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pPr w:leftFromText="180" w:rightFromText="180" w:vertAnchor="text" w:horzAnchor="margin" w:tblpY="4659"/>
        <w:tblW w:w="0" w:type="auto"/>
        <w:tblLook w:val="04A0" w:firstRow="1" w:lastRow="0" w:firstColumn="1" w:lastColumn="0" w:noHBand="0" w:noVBand="1"/>
      </w:tblPr>
      <w:tblGrid>
        <w:gridCol w:w="4675"/>
        <w:gridCol w:w="4675"/>
      </w:tblGrid>
      <w:tr w:rsidR="00E65B16" w:rsidRPr="00C20E8D" w:rsidTr="00DD4B01">
        <w:tc>
          <w:tcPr>
            <w:tcW w:w="4675" w:type="dxa"/>
          </w:tcPr>
          <w:p w:rsidR="00E65B16" w:rsidRPr="00C20E8D" w:rsidRDefault="00E65B16" w:rsidP="00DD4B01">
            <w:pPr>
              <w:rPr>
                <w:rFonts w:cs="Times New Roman"/>
                <w:color w:val="000000" w:themeColor="text1"/>
                <w:szCs w:val="24"/>
              </w:rPr>
            </w:pPr>
            <w:r w:rsidRPr="00C20E8D">
              <w:rPr>
                <w:rFonts w:cs="Times New Roman"/>
                <w:color w:val="000000" w:themeColor="text1"/>
                <w:szCs w:val="24"/>
              </w:rPr>
              <w:t>Student Name</w:t>
            </w:r>
          </w:p>
        </w:tc>
        <w:tc>
          <w:tcPr>
            <w:tcW w:w="4675" w:type="dxa"/>
          </w:tcPr>
          <w:p w:rsidR="00E65B16" w:rsidRPr="00C20E8D" w:rsidRDefault="00152FE4" w:rsidP="00DD4B01">
            <w:pPr>
              <w:rPr>
                <w:rFonts w:cs="Times New Roman"/>
                <w:color w:val="000000" w:themeColor="text1"/>
                <w:szCs w:val="24"/>
              </w:rPr>
            </w:pPr>
            <w:proofErr w:type="spellStart"/>
            <w:r>
              <w:rPr>
                <w:rFonts w:cs="Times New Roman"/>
                <w:color w:val="000000" w:themeColor="text1"/>
                <w:szCs w:val="24"/>
              </w:rPr>
              <w:t>Md</w:t>
            </w:r>
            <w:proofErr w:type="spellEnd"/>
            <w:r>
              <w:rPr>
                <w:rFonts w:cs="Times New Roman"/>
                <w:color w:val="000000" w:themeColor="text1"/>
                <w:szCs w:val="24"/>
              </w:rPr>
              <w:t xml:space="preserve"> Abidur Rahman</w:t>
            </w:r>
          </w:p>
        </w:tc>
      </w:tr>
      <w:tr w:rsidR="00E65B16" w:rsidRPr="00C20E8D" w:rsidTr="00DD4B01">
        <w:tc>
          <w:tcPr>
            <w:tcW w:w="4675" w:type="dxa"/>
          </w:tcPr>
          <w:p w:rsidR="00E65B16" w:rsidRPr="00C20E8D" w:rsidRDefault="00E65B16" w:rsidP="00DD4B01">
            <w:pPr>
              <w:rPr>
                <w:rFonts w:cs="Times New Roman"/>
                <w:color w:val="000000" w:themeColor="text1"/>
                <w:szCs w:val="24"/>
              </w:rPr>
            </w:pPr>
            <w:r w:rsidRPr="00C20E8D">
              <w:rPr>
                <w:rFonts w:cs="Times New Roman"/>
                <w:color w:val="000000" w:themeColor="text1"/>
                <w:szCs w:val="24"/>
              </w:rPr>
              <w:t>Student Number</w:t>
            </w:r>
          </w:p>
        </w:tc>
        <w:tc>
          <w:tcPr>
            <w:tcW w:w="4675" w:type="dxa"/>
          </w:tcPr>
          <w:p w:rsidR="00E65B16" w:rsidRPr="00C20E8D" w:rsidRDefault="00152FE4" w:rsidP="00DD4B01">
            <w:pPr>
              <w:rPr>
                <w:rFonts w:cs="Times New Roman"/>
                <w:color w:val="000000" w:themeColor="text1"/>
                <w:szCs w:val="24"/>
              </w:rPr>
            </w:pPr>
            <w:r>
              <w:rPr>
                <w:rFonts w:cs="Times New Roman"/>
                <w:color w:val="000000" w:themeColor="text1"/>
                <w:szCs w:val="24"/>
              </w:rPr>
              <w:t>1815081</w:t>
            </w:r>
          </w:p>
        </w:tc>
      </w:tr>
      <w:tr w:rsidR="00E65B16" w:rsidRPr="00C20E8D" w:rsidTr="00DD4B01">
        <w:tc>
          <w:tcPr>
            <w:tcW w:w="4675" w:type="dxa"/>
          </w:tcPr>
          <w:p w:rsidR="00E65B16" w:rsidRPr="00C20E8D" w:rsidRDefault="00E65B16" w:rsidP="00DD4B01">
            <w:pPr>
              <w:rPr>
                <w:rFonts w:cs="Times New Roman"/>
                <w:color w:val="000000" w:themeColor="text1"/>
                <w:szCs w:val="24"/>
              </w:rPr>
            </w:pPr>
            <w:r w:rsidRPr="00C20E8D">
              <w:rPr>
                <w:rFonts w:cs="Times New Roman"/>
                <w:color w:val="000000" w:themeColor="text1"/>
                <w:szCs w:val="24"/>
              </w:rPr>
              <w:t>Module Title</w:t>
            </w:r>
          </w:p>
        </w:tc>
        <w:tc>
          <w:tcPr>
            <w:tcW w:w="4675" w:type="dxa"/>
          </w:tcPr>
          <w:p w:rsidR="00E65B16" w:rsidRPr="00C20E8D" w:rsidRDefault="00152FE4" w:rsidP="00DD4B01">
            <w:pPr>
              <w:rPr>
                <w:rFonts w:cs="Times New Roman"/>
                <w:color w:val="000000" w:themeColor="text1"/>
                <w:szCs w:val="24"/>
              </w:rPr>
            </w:pPr>
            <w:r>
              <w:rPr>
                <w:rFonts w:cs="Times New Roman"/>
                <w:color w:val="000000" w:themeColor="text1"/>
                <w:szCs w:val="24"/>
              </w:rPr>
              <w:t>Community Engagement</w:t>
            </w:r>
            <w:r w:rsidR="004A3587">
              <w:rPr>
                <w:rFonts w:cs="Times New Roman"/>
                <w:color w:val="000000" w:themeColor="text1"/>
                <w:szCs w:val="24"/>
              </w:rPr>
              <w:t xml:space="preserve"> (LCBB 4002)</w:t>
            </w:r>
          </w:p>
        </w:tc>
      </w:tr>
      <w:tr w:rsidR="00E65B16" w:rsidRPr="00C20E8D" w:rsidTr="00DD4B01">
        <w:tc>
          <w:tcPr>
            <w:tcW w:w="4675" w:type="dxa"/>
          </w:tcPr>
          <w:p w:rsidR="00E65B16" w:rsidRPr="00C20E8D" w:rsidRDefault="00E65B16" w:rsidP="00DD4B01">
            <w:pPr>
              <w:rPr>
                <w:rFonts w:cs="Times New Roman"/>
                <w:color w:val="000000" w:themeColor="text1"/>
                <w:szCs w:val="24"/>
              </w:rPr>
            </w:pPr>
            <w:r w:rsidRPr="00C20E8D">
              <w:rPr>
                <w:rFonts w:cs="Times New Roman"/>
                <w:color w:val="000000" w:themeColor="text1"/>
                <w:szCs w:val="24"/>
              </w:rPr>
              <w:t>Module Lecturer’s Name</w:t>
            </w:r>
          </w:p>
        </w:tc>
        <w:tc>
          <w:tcPr>
            <w:tcW w:w="4675" w:type="dxa"/>
          </w:tcPr>
          <w:p w:rsidR="00E65B16" w:rsidRPr="00C20E8D" w:rsidRDefault="00152FE4" w:rsidP="00DD4B01">
            <w:pPr>
              <w:rPr>
                <w:rFonts w:cs="Times New Roman"/>
                <w:color w:val="000000" w:themeColor="text1"/>
                <w:szCs w:val="24"/>
              </w:rPr>
            </w:pPr>
            <w:r>
              <w:rPr>
                <w:rFonts w:cs="Times New Roman"/>
                <w:color w:val="000000" w:themeColor="text1"/>
                <w:szCs w:val="24"/>
              </w:rPr>
              <w:t xml:space="preserve">Zahra </w:t>
            </w:r>
            <w:proofErr w:type="spellStart"/>
            <w:r>
              <w:rPr>
                <w:rFonts w:cs="Times New Roman"/>
                <w:color w:val="000000" w:themeColor="text1"/>
                <w:szCs w:val="24"/>
              </w:rPr>
              <w:t>Mohammadnazari</w:t>
            </w:r>
            <w:proofErr w:type="spellEnd"/>
          </w:p>
        </w:tc>
      </w:tr>
    </w:tbl>
    <w:p w:rsidR="00E65B16" w:rsidRPr="00C20E8D" w:rsidRDefault="00E65B16" w:rsidP="00E65B16">
      <w:pPr>
        <w:rPr>
          <w:rFonts w:cs="Times New Roman"/>
          <w:color w:val="000000" w:themeColor="text1"/>
          <w:szCs w:val="24"/>
        </w:rPr>
      </w:pPr>
    </w:p>
    <w:p w:rsidR="00E65B16" w:rsidRPr="00C20E8D" w:rsidRDefault="00E65B16" w:rsidP="00E65B16">
      <w:pPr>
        <w:rPr>
          <w:rFonts w:cs="Times New Roman"/>
          <w:color w:val="000000" w:themeColor="text1"/>
          <w:szCs w:val="24"/>
        </w:rPr>
      </w:pPr>
      <w:r w:rsidRPr="00C20E8D">
        <w:rPr>
          <w:rFonts w:cs="Times New Roman"/>
          <w:color w:val="000000" w:themeColor="text1"/>
          <w:szCs w:val="24"/>
        </w:rPr>
        <w:br w:type="page"/>
      </w:r>
    </w:p>
    <w:p w:rsidR="00E65B16" w:rsidRPr="00195B56" w:rsidRDefault="00E65B16" w:rsidP="00E65B16">
      <w:pPr>
        <w:jc w:val="center"/>
        <w:rPr>
          <w:rFonts w:cs="Times New Roman"/>
          <w:b/>
          <w:bCs/>
          <w:color w:val="000000" w:themeColor="text1"/>
          <w:sz w:val="28"/>
          <w:szCs w:val="28"/>
        </w:rPr>
      </w:pPr>
      <w:r w:rsidRPr="00195B56">
        <w:rPr>
          <w:rFonts w:cs="Times New Roman"/>
          <w:b/>
          <w:bCs/>
          <w:color w:val="000000" w:themeColor="text1"/>
          <w:sz w:val="28"/>
          <w:szCs w:val="28"/>
        </w:rPr>
        <w:lastRenderedPageBreak/>
        <w:t xml:space="preserve">An Essay </w:t>
      </w:r>
      <w:r>
        <w:rPr>
          <w:rFonts w:cs="Times New Roman"/>
          <w:b/>
          <w:bCs/>
          <w:color w:val="000000" w:themeColor="text1"/>
          <w:sz w:val="28"/>
          <w:szCs w:val="28"/>
        </w:rPr>
        <w:t>on</w:t>
      </w:r>
      <w:r w:rsidRPr="00195B56">
        <w:rPr>
          <w:rFonts w:cs="Times New Roman"/>
          <w:b/>
          <w:bCs/>
          <w:color w:val="000000" w:themeColor="text1"/>
          <w:sz w:val="28"/>
          <w:szCs w:val="28"/>
        </w:rPr>
        <w:t xml:space="preserve"> </w:t>
      </w:r>
      <w:r w:rsidR="00152FE4">
        <w:rPr>
          <w:rFonts w:cs="Times New Roman"/>
          <w:b/>
          <w:bCs/>
          <w:color w:val="000000" w:themeColor="text1"/>
          <w:sz w:val="28"/>
          <w:szCs w:val="28"/>
        </w:rPr>
        <w:t>the</w:t>
      </w:r>
      <w:r w:rsidRPr="00195B56">
        <w:rPr>
          <w:rFonts w:cs="Times New Roman"/>
          <w:b/>
          <w:bCs/>
          <w:color w:val="000000" w:themeColor="text1"/>
          <w:sz w:val="28"/>
          <w:szCs w:val="28"/>
        </w:rPr>
        <w:t xml:space="preserve"> Community Engagement </w:t>
      </w:r>
      <w:r>
        <w:rPr>
          <w:rFonts w:cs="Times New Roman"/>
          <w:b/>
          <w:bCs/>
          <w:color w:val="000000" w:themeColor="text1"/>
          <w:sz w:val="28"/>
          <w:szCs w:val="28"/>
        </w:rPr>
        <w:t xml:space="preserve">Program </w:t>
      </w:r>
      <w:r w:rsidR="00152FE4">
        <w:rPr>
          <w:rFonts w:cs="Times New Roman"/>
          <w:b/>
          <w:bCs/>
          <w:color w:val="000000" w:themeColor="text1"/>
          <w:sz w:val="28"/>
          <w:szCs w:val="28"/>
        </w:rPr>
        <w:t>by</w:t>
      </w:r>
      <w:r>
        <w:rPr>
          <w:rFonts w:cs="Times New Roman"/>
          <w:b/>
          <w:bCs/>
          <w:color w:val="000000" w:themeColor="text1"/>
          <w:sz w:val="28"/>
          <w:szCs w:val="28"/>
        </w:rPr>
        <w:t xml:space="preserve"> Scope UK</w:t>
      </w:r>
    </w:p>
    <w:p w:rsidR="00E65B16" w:rsidRPr="004A3587" w:rsidRDefault="00E65B16" w:rsidP="004A3587">
      <w:pPr>
        <w:rPr>
          <w:rFonts w:ascii="Arial" w:hAnsi="Arial" w:cs="Arial"/>
          <w:color w:val="000000" w:themeColor="text1"/>
          <w:sz w:val="22"/>
        </w:rPr>
      </w:pPr>
      <w:r w:rsidRPr="00E65B16">
        <w:rPr>
          <w:rFonts w:cs="Times New Roman"/>
          <w:b/>
          <w:color w:val="000000" w:themeColor="text1"/>
          <w:szCs w:val="24"/>
        </w:rPr>
        <w:t>Introduction:</w:t>
      </w:r>
      <w:r>
        <w:rPr>
          <w:rFonts w:cs="Times New Roman"/>
          <w:color w:val="000000" w:themeColor="text1"/>
          <w:szCs w:val="24"/>
        </w:rPr>
        <w:tab/>
      </w:r>
      <w:r w:rsidRPr="004A3587">
        <w:rPr>
          <w:rFonts w:ascii="Arial" w:hAnsi="Arial" w:cs="Arial"/>
          <w:color w:val="000000" w:themeColor="text1"/>
          <w:sz w:val="22"/>
        </w:rPr>
        <w:t>The chosen project for this assessment is the Community Engagement Program by Scope UK. This program empowers local people to take action and create change in their local communities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 xml:space="preserve">. The program is for those who are disabled aged 18 and over, families, parents, and unpaid </w:t>
      </w:r>
      <w:r w:rsidR="00152FE4" w:rsidRPr="004A3587">
        <w:rPr>
          <w:rFonts w:ascii="Arial" w:hAnsi="Arial" w:cs="Arial"/>
          <w:color w:val="000000" w:themeColor="text1"/>
          <w:sz w:val="22"/>
        </w:rPr>
        <w:t>cares</w:t>
      </w:r>
      <w:r w:rsidRPr="004A3587">
        <w:rPr>
          <w:rFonts w:ascii="Arial" w:hAnsi="Arial" w:cs="Arial"/>
          <w:color w:val="000000" w:themeColor="text1"/>
          <w:sz w:val="22"/>
        </w:rPr>
        <w:t xml:space="preserve"> of disabled children. The program is currently ongoing in different regions throughout the UK, including the North East, North West, North Wales, West Midlands, East Anglia, South West and South Wales. The program aims to enhance the lives of disabled people and their families by delivering them various opportunities to engage with their local communities and take part in activities that promote social inclusion as well as community cohesion (</w:t>
      </w:r>
      <w:proofErr w:type="spellStart"/>
      <w:r w:rsidRPr="004A3587">
        <w:rPr>
          <w:rFonts w:ascii="Arial" w:hAnsi="Arial" w:cs="Arial"/>
          <w:color w:val="000000" w:themeColor="text1"/>
          <w:sz w:val="22"/>
          <w:shd w:val="clear" w:color="auto" w:fill="FFFFFF"/>
        </w:rPr>
        <w:t>Ocloo</w:t>
      </w:r>
      <w:proofErr w:type="spellEnd"/>
      <w:r w:rsidRPr="004A3587">
        <w:rPr>
          <w:rFonts w:ascii="Arial" w:hAnsi="Arial" w:cs="Arial"/>
          <w:color w:val="000000" w:themeColor="text1"/>
          <w:sz w:val="22"/>
          <w:shd w:val="clear" w:color="auto" w:fill="FFFFFF"/>
        </w:rPr>
        <w:t>, 2021)</w:t>
      </w:r>
      <w:r w:rsidRPr="004A3587">
        <w:rPr>
          <w:rFonts w:ascii="Arial" w:hAnsi="Arial" w:cs="Arial"/>
          <w:color w:val="000000" w:themeColor="text1"/>
          <w:sz w:val="22"/>
        </w:rPr>
        <w:t>. The essay on the community engagement program will focus on how the Community Engagement Program illustrate appropriate community engagement principles, planning and design, standards, as well as impact. This essay will further identify fields of strengths and weaknesses within the program, alongside recommendations.</w:t>
      </w:r>
    </w:p>
    <w:p w:rsidR="00E65B16" w:rsidRPr="004A3587" w:rsidRDefault="00E65B16" w:rsidP="004A3587">
      <w:pPr>
        <w:rPr>
          <w:rFonts w:ascii="Arial" w:hAnsi="Arial" w:cs="Arial"/>
          <w:color w:val="000000" w:themeColor="text1"/>
          <w:sz w:val="22"/>
        </w:rPr>
      </w:pPr>
      <w:r w:rsidRPr="004A3587">
        <w:rPr>
          <w:rFonts w:ascii="Arial" w:hAnsi="Arial" w:cs="Arial"/>
          <w:b/>
          <w:color w:val="000000" w:themeColor="text1"/>
          <w:sz w:val="22"/>
        </w:rPr>
        <w:t>Community Engagement Program:</w:t>
      </w:r>
      <w:r w:rsidRPr="004A3587">
        <w:rPr>
          <w:rFonts w:ascii="Arial" w:hAnsi="Arial" w:cs="Arial"/>
          <w:color w:val="000000" w:themeColor="text1"/>
          <w:sz w:val="22"/>
        </w:rPr>
        <w:t xml:space="preserve"> The Community Engagement Program (CEP) by Scope UK exhibits a steadfast commitment to crucial community engagement principles, which are vital to its mission of empowering disabled people and their families to launch positive change within their local communities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program diligently adheres to the principle of collaboration. It actively involves groups of people who are united by geographic proximity, shared circumstances, as well as special interests to address the issues that are affecting their welfare (</w:t>
      </w:r>
      <w:proofErr w:type="spellStart"/>
      <w:r w:rsidRPr="004A3587">
        <w:rPr>
          <w:rFonts w:ascii="Arial" w:hAnsi="Arial" w:cs="Arial"/>
          <w:color w:val="000000" w:themeColor="text1"/>
          <w:sz w:val="22"/>
        </w:rPr>
        <w:t>Chilvers</w:t>
      </w:r>
      <w:proofErr w:type="spellEnd"/>
      <w:r w:rsidRPr="004A3587">
        <w:rPr>
          <w:rFonts w:ascii="Arial" w:hAnsi="Arial" w:cs="Arial"/>
          <w:color w:val="000000" w:themeColor="text1"/>
          <w:sz w:val="22"/>
          <w:shd w:val="clear" w:color="auto" w:fill="FFFFFF"/>
        </w:rPr>
        <w:t>, 2021)</w:t>
      </w:r>
      <w:r w:rsidRPr="004A3587">
        <w:rPr>
          <w:rFonts w:ascii="Arial" w:hAnsi="Arial" w:cs="Arial"/>
          <w:color w:val="000000" w:themeColor="text1"/>
          <w:sz w:val="22"/>
        </w:rPr>
        <w:t>. The collaborative approach is well-aligned with the key objective of the program, ensuring that the voices and concerns of disabled people and their families are at the forefront of the initiative. The commitment of the program to collaboration effectively suits its mission and ensures that community engagement is rooted in inclusivity and diversity.</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Furthermore, the accessibility principle and inclusivity principle are integral to the design of the programs. It is closely crafted to be responsive and inclusive to the specific needs of disabled people and their families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 Basically, this inclusivity is a testament to the objectives and a clear demonstration of the program of its dedication to promoting social inclusion and community cohesion. The program removes all kinds of obstacles that often hinder community engagement for disabled individuals by making its activities accessible.</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 xml:space="preserve">The communication among principles is paramount, and the program excels in this regard. The principles of community engagement are transparently and effectively conveyed with the help of </w:t>
      </w:r>
      <w:r w:rsidRPr="004A3587">
        <w:rPr>
          <w:rFonts w:ascii="Arial" w:hAnsi="Arial" w:cs="Arial"/>
          <w:color w:val="000000" w:themeColor="text1"/>
          <w:sz w:val="22"/>
        </w:rPr>
        <w:lastRenderedPageBreak/>
        <w:t>the official website of the program. The website provides an informative hub, illustrating the program's aims, objectives, and the activities it offers. This clear communication confirms that participants and stakeholders are well-informed, cherishing a deeper understanding of the program's commitment to inclusive engagement (Head</w:t>
      </w:r>
      <w:r w:rsidRPr="004A3587">
        <w:rPr>
          <w:rFonts w:ascii="Arial" w:hAnsi="Arial" w:cs="Arial"/>
          <w:color w:val="000000" w:themeColor="text1"/>
          <w:sz w:val="22"/>
          <w:shd w:val="clear" w:color="auto" w:fill="FFFFFF"/>
        </w:rPr>
        <w:t>, 2007)</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Besides this website, the program employs a diverse range of tools and platforms for effective communication. Informal collecting, planned activities, and advocacy campaigns are among the mechanisms employed to reach local communities. These tools facilitate communication as well as actively engage respondents, thereby reinforcing the principles of collaboration and inclusivity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chosen program “The Community Engagement Program” by Scope UK has undergone a meticulous planning and design process, confirming that it is well-structured and actively responsive to the exclusive needs of disabled individuals and their families. The design of the project has been a comprehensive journey including multiple stages</w:t>
      </w:r>
      <w:r w:rsidRPr="004A3587">
        <w:rPr>
          <w:rFonts w:ascii="Arial" w:hAnsi="Arial" w:cs="Arial"/>
          <w:sz w:val="22"/>
        </w:rPr>
        <w:t xml:space="preserve"> </w:t>
      </w:r>
      <w:r w:rsidRPr="004A3587">
        <w:rPr>
          <w:rFonts w:ascii="Arial" w:hAnsi="Arial" w:cs="Arial"/>
          <w:color w:val="000000" w:themeColor="text1"/>
          <w:sz w:val="22"/>
        </w:rPr>
        <w:t>(</w:t>
      </w:r>
      <w:r w:rsidRPr="004A3587">
        <w:rPr>
          <w:rFonts w:ascii="Arial" w:hAnsi="Arial" w:cs="Arial"/>
          <w:color w:val="000000" w:themeColor="text1"/>
          <w:sz w:val="22"/>
          <w:shd w:val="clear" w:color="auto" w:fill="FFFFFF"/>
        </w:rPr>
        <w:t>Hart, 2011)</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With a thorough identification of stakeholders, the planning and design of the program commenced. This primary step was essential to understanding the several individuals and groups who would be affected by the program's activities. Stakeholders, involving disabled individuals, families, and local community representatives, were actively regarded and engaged from the outset.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program moved into the assessment of community needs, following stakeholder identification. This step included a deep dive into understanding the certain needs, challenges, and aspirations of the communities the program aims to serve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 This accurate assessment was essential in tailoring the program's activities to be highly relevant and effective.</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project’s design was a dynamic and flexible process which was guided by the insights collected from stakeholders and the community needs assessment. The design of the program aimed to be responsive and adaptable, confirming that it could evolve to mee</w:t>
      </w:r>
      <w:bookmarkStart w:id="0" w:name="_GoBack"/>
      <w:bookmarkEnd w:id="0"/>
      <w:r w:rsidRPr="004A3587">
        <w:rPr>
          <w:rFonts w:ascii="Arial" w:hAnsi="Arial" w:cs="Arial"/>
          <w:color w:val="000000" w:themeColor="text1"/>
          <w:sz w:val="22"/>
        </w:rPr>
        <w:t>t the evolving requirements and priorities of disabled people and their families (Milton, et al., 2012</w:t>
      </w:r>
      <w:r w:rsidRPr="004A3587">
        <w:rPr>
          <w:rFonts w:ascii="Arial" w:hAnsi="Arial" w:cs="Arial"/>
          <w:color w:val="000000" w:themeColor="text1"/>
          <w:sz w:val="22"/>
          <w:shd w:val="clear" w:color="auto" w:fill="FFFFFF"/>
        </w:rPr>
        <w:t>)</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 xml:space="preserve">The implementation of the program has been very appropriate, in tandem with its flexible design. Local coordinators work closely with community members to develop and improve activities and campaigns that are contextually relevant to their fixed communities. The program's emphasis on training and advocating additional enriches its appropriateness, equipping local </w:t>
      </w:r>
      <w:r w:rsidRPr="004A3587">
        <w:rPr>
          <w:rFonts w:ascii="Arial" w:hAnsi="Arial" w:cs="Arial"/>
          <w:color w:val="000000" w:themeColor="text1"/>
          <w:sz w:val="22"/>
        </w:rPr>
        <w:lastRenderedPageBreak/>
        <w:t>participants with the skills and confidence needed to drive change in their communities effectively (</w:t>
      </w:r>
      <w:r w:rsidRPr="004A3587">
        <w:rPr>
          <w:rFonts w:ascii="Arial" w:hAnsi="Arial" w:cs="Arial"/>
          <w:color w:val="000000" w:themeColor="text1"/>
          <w:sz w:val="22"/>
          <w:shd w:val="clear" w:color="auto" w:fill="FFFFFF"/>
        </w:rPr>
        <w:t>Hart, 2011)</w:t>
      </w:r>
      <w:r w:rsidRPr="004A3587">
        <w:rPr>
          <w:rFonts w:ascii="Arial" w:hAnsi="Arial" w:cs="Arial"/>
          <w:color w:val="000000" w:themeColor="text1"/>
          <w:sz w:val="22"/>
        </w:rPr>
        <w:t>.</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Community Engagement Program by Scope UK aligns with the National Standards for Community Engagement, a set of principles designed to enrich and guide community engagement processes. These standards are vital to the mission of the program of empowering disabled people and their families to instigate positive change within their local communities.</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use of the National Standards for Community Engagement is highly analogous to the program’s purpose. These standards are well-fitted to the initiative's goals, as they deliver a structured framework for establishing and sustaining relationships between public services and community groups. This framework confirms that both parties obtain a clear understanding of community needs and collaboratively take action to identify them.</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The program actively and transparently communicates its adherence to the National Standards for Community Engagement. These standards are mainly featured on the program's website, where they are illustrated and their relevance to the project is clearly highlighted (</w:t>
      </w:r>
      <w:r w:rsidRPr="004A3587">
        <w:rPr>
          <w:rFonts w:ascii="Arial" w:hAnsi="Arial" w:cs="Arial"/>
          <w:color w:val="000000" w:themeColor="text1"/>
          <w:sz w:val="22"/>
          <w:shd w:val="clear" w:color="auto" w:fill="FFFFFF"/>
        </w:rPr>
        <w:t>Hart, 2011)</w:t>
      </w:r>
      <w:r w:rsidRPr="004A3587">
        <w:rPr>
          <w:rFonts w:ascii="Arial" w:hAnsi="Arial" w:cs="Arial"/>
          <w:color w:val="000000" w:themeColor="text1"/>
          <w:sz w:val="22"/>
        </w:rPr>
        <w:t>. This clear communication confirms that participants, stakeholders, and the public at large are conscious of the principles that guide the program's activities.</w:t>
      </w:r>
    </w:p>
    <w:p w:rsidR="00E65B16" w:rsidRPr="004A3587" w:rsidRDefault="00E65B16" w:rsidP="004A3587">
      <w:pPr>
        <w:rPr>
          <w:rFonts w:ascii="Arial" w:hAnsi="Arial" w:cs="Arial"/>
          <w:color w:val="000000" w:themeColor="text1"/>
          <w:sz w:val="22"/>
        </w:rPr>
      </w:pPr>
      <w:r w:rsidRPr="004A3587">
        <w:rPr>
          <w:rFonts w:ascii="Arial" w:hAnsi="Arial" w:cs="Arial"/>
          <w:color w:val="000000" w:themeColor="text1"/>
          <w:sz w:val="22"/>
        </w:rPr>
        <w:t>Besides this website, several tools and platforms are utilized to effectively communicate these standards. The program employs informal collecting, planned activities, campaigns, and local community coordinators as channels for communication. It confirms that the principles of community engagement are not just theoretical but are actively practiced across the program's activities, by doing so.</w:t>
      </w:r>
    </w:p>
    <w:p w:rsidR="00E65B16" w:rsidRPr="004A3587" w:rsidRDefault="00E65B16" w:rsidP="004A3587">
      <w:pPr>
        <w:rPr>
          <w:rFonts w:ascii="Arial" w:hAnsi="Arial" w:cs="Arial"/>
          <w:sz w:val="22"/>
        </w:rPr>
      </w:pPr>
      <w:r w:rsidRPr="004A3587">
        <w:rPr>
          <w:rFonts w:ascii="Arial" w:hAnsi="Arial" w:cs="Arial"/>
          <w:sz w:val="22"/>
        </w:rPr>
        <w:t>The Community Engagement Program by Scope UK places a robust on evaluating and measuring its effects with the help of a diverse array of assessment tools. These tools are meticulously selected to deliver a comprehensive understanding of how the program impacts local communities, especially in the lives of disabled individuals and their families.</w:t>
      </w:r>
    </w:p>
    <w:p w:rsidR="00E65B16" w:rsidRPr="004A3587" w:rsidRDefault="00E65B16" w:rsidP="004A3587">
      <w:pPr>
        <w:rPr>
          <w:rFonts w:ascii="Arial" w:hAnsi="Arial" w:cs="Arial"/>
          <w:sz w:val="22"/>
        </w:rPr>
      </w:pPr>
      <w:r w:rsidRPr="004A3587">
        <w:rPr>
          <w:rFonts w:ascii="Arial" w:hAnsi="Arial" w:cs="Arial"/>
          <w:sz w:val="22"/>
        </w:rPr>
        <w:t xml:space="preserve">Quantitative Methods: Data Collection: The program uses quantitative data to hold measurable outcomes. This data may include statistics like the number of participants, event attendance, and community engagement levels. Surveys: Surveys are a precious quantitative tool that gathers structured data from participants. They may delve into their experiences, the tangible benefits, and perceptions they have gained from the program. Metrics and Indicators: The program identifies key performance indicators (KPIs) and metrics coherent to its goals. These </w:t>
      </w:r>
      <w:r w:rsidRPr="004A3587">
        <w:rPr>
          <w:rFonts w:ascii="Arial" w:hAnsi="Arial" w:cs="Arial"/>
          <w:sz w:val="22"/>
        </w:rPr>
        <w:lastRenderedPageBreak/>
        <w:t xml:space="preserve">include an increase in community participation or a decrease in isolation among disabled individuals </w:t>
      </w:r>
      <w:r w:rsidRPr="004A3587">
        <w:rPr>
          <w:rFonts w:ascii="Arial" w:hAnsi="Arial" w:cs="Arial"/>
          <w:color w:val="000000" w:themeColor="text1"/>
          <w:sz w:val="22"/>
        </w:rPr>
        <w:t>(</w:t>
      </w:r>
      <w:r w:rsidRPr="004A3587">
        <w:rPr>
          <w:rFonts w:ascii="Arial" w:hAnsi="Arial" w:cs="Arial"/>
          <w:color w:val="000000" w:themeColor="text1"/>
          <w:sz w:val="22"/>
          <w:shd w:val="clear" w:color="auto" w:fill="FFFFFF"/>
        </w:rPr>
        <w:t>Hart, 2011)</w:t>
      </w:r>
      <w:r w:rsidRPr="004A3587">
        <w:rPr>
          <w:rFonts w:ascii="Arial" w:hAnsi="Arial" w:cs="Arial"/>
          <w:sz w:val="22"/>
        </w:rPr>
        <w:t>. The quantitative methods are very crucial as they provide a tangible, statistical view of the program’s impacts. They allow the measurement of concrete, quantifiable changes in the communities where the program is more active, which is especially crucial for demonstrating outcomes and reaching certain targets.</w:t>
      </w:r>
    </w:p>
    <w:p w:rsidR="00E65B16" w:rsidRPr="004A3587" w:rsidRDefault="00E65B16" w:rsidP="004A3587">
      <w:pPr>
        <w:rPr>
          <w:rFonts w:ascii="Arial" w:hAnsi="Arial" w:cs="Arial"/>
          <w:sz w:val="22"/>
        </w:rPr>
      </w:pPr>
      <w:r w:rsidRPr="004A3587">
        <w:rPr>
          <w:rFonts w:ascii="Arial" w:hAnsi="Arial" w:cs="Arial"/>
          <w:sz w:val="22"/>
        </w:rPr>
        <w:t xml:space="preserve">Qualitative Methods: Interviews: Qualitative interviews provide in-depth insights into participants' experiences. The program can gather rich narratives that reveal the profound impacts on the lives of disabled people and their families by engaging in one-on-one conversations. Focus Groups: these group discussions ease and facilitate a collective exploration of experiences and opinions. The respondents can share their stories, personal growth, and challenges offering an aggregate view of the program's effect </w:t>
      </w:r>
      <w:r w:rsidRPr="004A3587">
        <w:rPr>
          <w:rFonts w:ascii="Arial" w:hAnsi="Arial" w:cs="Arial"/>
          <w:color w:val="000000" w:themeColor="text1"/>
          <w:sz w:val="22"/>
        </w:rPr>
        <w:t>(</w:t>
      </w:r>
      <w:r w:rsidRPr="004A3587">
        <w:rPr>
          <w:rFonts w:ascii="Arial" w:hAnsi="Arial" w:cs="Arial"/>
          <w:color w:val="000000" w:themeColor="text1"/>
          <w:sz w:val="22"/>
          <w:shd w:val="clear" w:color="auto" w:fill="FFFFFF"/>
        </w:rPr>
        <w:t>Carmichael, 2019)</w:t>
      </w:r>
      <w:r w:rsidRPr="004A3587">
        <w:rPr>
          <w:rFonts w:ascii="Arial" w:hAnsi="Arial" w:cs="Arial"/>
          <w:sz w:val="22"/>
        </w:rPr>
        <w:t>. Testimonials and Success Stories: personal anecdotes and success stories provide permission to the participants to reveal how the program has positively impacted their lives. These narratives deliver a qualitative dimension to the evaluation. Qualitative methods are inevitable for understanding the human prospects of the program's effect, offering a deep insight into the transformational changes, personal growth, and emotional experiences that might not be fully captured through quantitative data alone.</w:t>
      </w:r>
    </w:p>
    <w:p w:rsidR="00E65B16" w:rsidRPr="004A3587" w:rsidRDefault="00E65B16" w:rsidP="004A3587">
      <w:pPr>
        <w:rPr>
          <w:rFonts w:ascii="Arial" w:hAnsi="Arial" w:cs="Arial"/>
          <w:sz w:val="22"/>
        </w:rPr>
      </w:pPr>
      <w:r w:rsidRPr="004A3587">
        <w:rPr>
          <w:rFonts w:ascii="Arial" w:hAnsi="Arial" w:cs="Arial"/>
          <w:sz w:val="22"/>
        </w:rPr>
        <w:t xml:space="preserve">Feedback Mechanisms: feedback surveys: The program gathers feedback from participants with the help of surveys that include both quantitative and qualitative questions. These surveys often involve open-ended questions, giving respondents the opportunity to share their experiences and thoughts in their own words </w:t>
      </w:r>
      <w:r w:rsidRPr="004A3587">
        <w:rPr>
          <w:rFonts w:ascii="Arial" w:hAnsi="Arial" w:cs="Arial"/>
          <w:color w:val="000000" w:themeColor="text1"/>
          <w:sz w:val="22"/>
        </w:rPr>
        <w:t>(</w:t>
      </w:r>
      <w:r w:rsidRPr="004A3587">
        <w:rPr>
          <w:rFonts w:ascii="Arial" w:hAnsi="Arial" w:cs="Arial"/>
          <w:color w:val="000000" w:themeColor="text1"/>
          <w:sz w:val="22"/>
          <w:shd w:val="clear" w:color="auto" w:fill="FFFFFF"/>
        </w:rPr>
        <w:t>Carmichael, 2019)</w:t>
      </w:r>
      <w:r w:rsidRPr="004A3587">
        <w:rPr>
          <w:rFonts w:ascii="Arial" w:hAnsi="Arial" w:cs="Arial"/>
          <w:sz w:val="22"/>
        </w:rPr>
        <w:t>. Suggestion Boxes and Open Forums: the use of opinion boxes or open forums at the time of events and activities provides participants with a direct platform to voice their opinions, suggestions, and concerns. Ceaseless Feedback Loops: The program establishes mechanisms for continuous feedback, ensuring that it remains very responsive to respondents' changing needs and preferences. Feedback mechanisms are very crucial for staying attuned to the evolving needs and wants of the community. They help in making ceaseless improvements and ensuring that the program remains relevant and effective.</w:t>
      </w:r>
    </w:p>
    <w:p w:rsidR="00E65B16" w:rsidRPr="004A3587" w:rsidRDefault="00E65B16" w:rsidP="004A3587">
      <w:pPr>
        <w:rPr>
          <w:rFonts w:ascii="Arial" w:hAnsi="Arial" w:cs="Arial"/>
          <w:sz w:val="22"/>
        </w:rPr>
      </w:pPr>
      <w:r w:rsidRPr="004A3587">
        <w:rPr>
          <w:rFonts w:ascii="Arial" w:hAnsi="Arial" w:cs="Arial"/>
          <w:sz w:val="22"/>
        </w:rPr>
        <w:t xml:space="preserve">Here are the Quality Management Processes that include: quality planning: The program outlines a strategic quality plan that purposes, expectations, and effective steps for gaining and maintaining a high level of service quality. Quality Assurance: Regular checks, reviews, as well as audits are conducted to ensure that the program is adhered to established standards and guidelines </w:t>
      </w:r>
      <w:r w:rsidRPr="004A3587">
        <w:rPr>
          <w:rFonts w:ascii="Arial" w:hAnsi="Arial" w:cs="Arial"/>
          <w:color w:val="000000" w:themeColor="text1"/>
          <w:sz w:val="22"/>
        </w:rPr>
        <w:t>(</w:t>
      </w:r>
      <w:r w:rsidRPr="004A3587">
        <w:rPr>
          <w:rFonts w:ascii="Arial" w:hAnsi="Arial" w:cs="Arial"/>
          <w:color w:val="000000" w:themeColor="text1"/>
          <w:sz w:val="22"/>
          <w:shd w:val="clear" w:color="auto" w:fill="FFFFFF"/>
        </w:rPr>
        <w:t>Carmichael, 2019)</w:t>
      </w:r>
      <w:r w:rsidRPr="004A3587">
        <w:rPr>
          <w:rFonts w:ascii="Arial" w:hAnsi="Arial" w:cs="Arial"/>
          <w:sz w:val="22"/>
        </w:rPr>
        <w:t xml:space="preserve">. Quality Control: Implementing measures for quality control allows the program to refine its services continually and enhance its quality. These quality </w:t>
      </w:r>
      <w:r w:rsidRPr="004A3587">
        <w:rPr>
          <w:rFonts w:ascii="Arial" w:hAnsi="Arial" w:cs="Arial"/>
          <w:sz w:val="22"/>
        </w:rPr>
        <w:lastRenderedPageBreak/>
        <w:t>management processes serve as a broader framework for ensuring that the program maintains high standards and indirectly contribute to evaluating the program's effectiveness.</w:t>
      </w:r>
    </w:p>
    <w:p w:rsidR="00E65B16" w:rsidRPr="004A3587" w:rsidRDefault="00E65B16" w:rsidP="004A3587">
      <w:pPr>
        <w:rPr>
          <w:rFonts w:ascii="Arial" w:hAnsi="Arial" w:cs="Arial"/>
          <w:sz w:val="22"/>
        </w:rPr>
      </w:pPr>
      <w:r w:rsidRPr="004A3587">
        <w:rPr>
          <w:rFonts w:ascii="Arial" w:hAnsi="Arial" w:cs="Arial"/>
          <w:sz w:val="22"/>
        </w:rPr>
        <w:t>Nonetheless, the Program (CEP) by Scope UK employs a well-balanced set of assessment tools, including both quantitative and qualitative methods, quality management processes, and feedback mechanisms. This multifarious approach is aptly selected, as it delivers a detailed understanding of the program's multifaceted effect that ranges from statistical achievements to individual growth as well as qualitative transformations. This strong assessment strategy is crucial for the program’s ongoing success and its mission of empowering disabled individuals and their families to initiate positive change within their local communities.</w:t>
      </w:r>
    </w:p>
    <w:p w:rsidR="00E65B16" w:rsidRPr="004A3587" w:rsidRDefault="00E65B16" w:rsidP="004A3587">
      <w:pPr>
        <w:rPr>
          <w:rFonts w:ascii="Arial" w:hAnsi="Arial" w:cs="Arial"/>
          <w:color w:val="000000" w:themeColor="text1"/>
          <w:sz w:val="22"/>
        </w:rPr>
      </w:pPr>
      <w:r w:rsidRPr="004A3587">
        <w:rPr>
          <w:rFonts w:ascii="Arial" w:hAnsi="Arial" w:cs="Arial"/>
          <w:b/>
          <w:color w:val="000000" w:themeColor="text1"/>
          <w:sz w:val="22"/>
        </w:rPr>
        <w:t>Conclusion:</w:t>
      </w:r>
      <w:r w:rsidRPr="004A3587">
        <w:rPr>
          <w:rFonts w:ascii="Arial" w:hAnsi="Arial" w:cs="Arial"/>
          <w:color w:val="000000" w:themeColor="text1"/>
          <w:sz w:val="22"/>
        </w:rPr>
        <w:tab/>
        <w:t>In conclusion, the Community Engagement Program by Scope UK is a commendable and very impactful initiative that is designed to empower disabled people and their families, and also enable them to make positive changes within their local communities (</w:t>
      </w:r>
      <w:proofErr w:type="spellStart"/>
      <w:r w:rsidRPr="004A3587">
        <w:rPr>
          <w:rFonts w:ascii="Arial" w:hAnsi="Arial" w:cs="Arial"/>
          <w:color w:val="000000" w:themeColor="text1"/>
          <w:sz w:val="22"/>
        </w:rPr>
        <w:t>MaCade</w:t>
      </w:r>
      <w:proofErr w:type="spellEnd"/>
      <w:r w:rsidRPr="004A3587">
        <w:rPr>
          <w:rFonts w:ascii="Arial" w:hAnsi="Arial" w:cs="Arial"/>
          <w:color w:val="000000" w:themeColor="text1"/>
          <w:sz w:val="22"/>
          <w:shd w:val="clear" w:color="auto" w:fill="FFFFFF"/>
        </w:rPr>
        <w:t>, 2006)</w:t>
      </w:r>
      <w:r w:rsidRPr="004A3587">
        <w:rPr>
          <w:rFonts w:ascii="Arial" w:hAnsi="Arial" w:cs="Arial"/>
          <w:color w:val="000000" w:themeColor="text1"/>
          <w:sz w:val="22"/>
        </w:rPr>
        <w:t xml:space="preserve">. It excels in several prospects, while further presenting feasible fields for enhancement.  Here are some key </w:t>
      </w:r>
      <w:r w:rsidRPr="004A3587">
        <w:rPr>
          <w:rStyle w:val="IntenseEmphasis"/>
          <w:rFonts w:ascii="Arial" w:hAnsi="Arial" w:cs="Arial"/>
          <w:color w:val="000000" w:themeColor="text1"/>
          <w:sz w:val="22"/>
        </w:rPr>
        <w:t xml:space="preserve">strengths of the Community Engagement Program, like </w:t>
      </w:r>
      <w:r w:rsidRPr="004A3587">
        <w:rPr>
          <w:rFonts w:ascii="Arial" w:hAnsi="Arial" w:cs="Arial"/>
          <w:color w:val="000000" w:themeColor="text1"/>
          <w:sz w:val="22"/>
        </w:rPr>
        <w:t>the program's unwavering promise to collaborate and communicate with diverse community groups as well as stakeholders underscores its strength. It ensures that the voices and concerns of disabled individuals and their families are at the forefront, fostering a sense of ownership among participants, the program's dedication to inclusivity and accessibility is a crucial strength (</w:t>
      </w:r>
      <w:r w:rsidRPr="004A3587">
        <w:rPr>
          <w:rFonts w:ascii="Arial" w:hAnsi="Arial" w:cs="Arial"/>
          <w:color w:val="000000" w:themeColor="text1"/>
          <w:sz w:val="22"/>
          <w:shd w:val="clear" w:color="auto" w:fill="FFFFFF"/>
        </w:rPr>
        <w:t>Carmichael, 2019)</w:t>
      </w:r>
      <w:r w:rsidRPr="004A3587">
        <w:rPr>
          <w:rFonts w:ascii="Arial" w:hAnsi="Arial" w:cs="Arial"/>
          <w:color w:val="000000" w:themeColor="text1"/>
          <w:sz w:val="22"/>
        </w:rPr>
        <w:t xml:space="preserve">. By being responsive to the specific needs of disabled individuals, it successfully removes barriers that often hinder community engagement; the program's well-balanced use of both quantitative and qualitative evaluation methods is a significant strength. It offers a holistic view of its impact, from tangible outcomes to qualitative transformations and personal growth. The areas of improvement are </w:t>
      </w:r>
      <w:r w:rsidRPr="004A3587">
        <w:rPr>
          <w:rFonts w:ascii="Arial" w:hAnsi="Arial" w:cs="Arial"/>
          <w:sz w:val="22"/>
        </w:rPr>
        <w:t>Limited Availability where</w:t>
      </w:r>
      <w:r w:rsidRPr="004A3587">
        <w:rPr>
          <w:rFonts w:ascii="Arial" w:hAnsi="Arial" w:cs="Arial"/>
          <w:color w:val="000000" w:themeColor="text1"/>
          <w:sz w:val="22"/>
        </w:rPr>
        <w:t xml:space="preserve"> the program's geographical constraints, being available in specific regions across the UK, limit its accessibility to some disabled individuals and their families. To improve community engagement, the program should consider an expansion strategy, reaching out to more regions, thereby broadening its reach and inclusivity, </w:t>
      </w:r>
      <w:r w:rsidRPr="004A3587">
        <w:rPr>
          <w:rFonts w:ascii="Arial" w:hAnsi="Arial" w:cs="Arial"/>
          <w:sz w:val="22"/>
        </w:rPr>
        <w:t>Sustainability Concerns where</w:t>
      </w:r>
      <w:r w:rsidRPr="004A3587">
        <w:rPr>
          <w:rFonts w:ascii="Arial" w:hAnsi="Arial" w:cs="Arial"/>
          <w:color w:val="000000" w:themeColor="text1"/>
          <w:sz w:val="22"/>
        </w:rPr>
        <w:t xml:space="preserve"> the program's potential sustainability challenges due to funding constraints are a valid concern. To address this, exploring alternative funding sources should be a priority. This ensures the program's long-term viability and its continued positive impact on communities. </w:t>
      </w:r>
      <w:r w:rsidRPr="004A3587">
        <w:rPr>
          <w:rFonts w:ascii="Arial" w:hAnsi="Arial" w:cs="Arial"/>
          <w:sz w:val="22"/>
        </w:rPr>
        <w:t>Some recommendations include geographical expansion the</w:t>
      </w:r>
      <w:r w:rsidRPr="004A3587">
        <w:rPr>
          <w:rFonts w:ascii="Arial" w:hAnsi="Arial" w:cs="Arial"/>
          <w:color w:val="000000" w:themeColor="text1"/>
          <w:sz w:val="22"/>
        </w:rPr>
        <w:t xml:space="preserve"> program should strategically expand its reach to encompass more regions within the UK, ensuring that disabled individuals and their families in previously underserved areas have access to its valuable initiatives, </w:t>
      </w:r>
      <w:r w:rsidRPr="004A3587">
        <w:rPr>
          <w:rFonts w:ascii="Arial" w:hAnsi="Arial" w:cs="Arial"/>
          <w:sz w:val="22"/>
        </w:rPr>
        <w:t>diversified funding where</w:t>
      </w:r>
      <w:r w:rsidRPr="004A3587">
        <w:rPr>
          <w:rFonts w:ascii="Arial" w:hAnsi="Arial" w:cs="Arial"/>
          <w:color w:val="000000" w:themeColor="text1"/>
          <w:sz w:val="22"/>
        </w:rPr>
        <w:t xml:space="preserve"> exploring </w:t>
      </w:r>
      <w:r w:rsidRPr="004A3587">
        <w:rPr>
          <w:rFonts w:ascii="Arial" w:hAnsi="Arial" w:cs="Arial"/>
          <w:color w:val="000000" w:themeColor="text1"/>
          <w:sz w:val="22"/>
        </w:rPr>
        <w:lastRenderedPageBreak/>
        <w:t>various funding sources, such as partnerships with local businesses, grant opportunities, or crowd funding, can alleviate sustainability concerns and help secure the program's future.</w:t>
      </w:r>
    </w:p>
    <w:p w:rsidR="00E65B16" w:rsidRPr="004A3587" w:rsidRDefault="00E65B16" w:rsidP="004A3587">
      <w:pPr>
        <w:jc w:val="left"/>
        <w:rPr>
          <w:rFonts w:ascii="Arial" w:hAnsi="Arial" w:cs="Arial"/>
          <w:color w:val="000000" w:themeColor="text1"/>
          <w:sz w:val="22"/>
        </w:rPr>
      </w:pPr>
      <w:r w:rsidRPr="004A3587">
        <w:rPr>
          <w:rFonts w:ascii="Arial" w:hAnsi="Arial" w:cs="Arial"/>
          <w:color w:val="000000" w:themeColor="text1"/>
          <w:sz w:val="22"/>
        </w:rPr>
        <w:br w:type="page"/>
      </w:r>
    </w:p>
    <w:p w:rsidR="00E65B16" w:rsidRDefault="00E65B16" w:rsidP="00E65B16">
      <w:pPr>
        <w:pStyle w:val="Heading1"/>
      </w:pPr>
      <w:r>
        <w:lastRenderedPageBreak/>
        <w:t>References</w:t>
      </w:r>
    </w:p>
    <w:p w:rsidR="00E65B16" w:rsidRDefault="00E65B16" w:rsidP="00E65B16">
      <w:pPr>
        <w:ind w:left="720" w:hanging="720"/>
        <w:rPr>
          <w:shd w:val="clear" w:color="auto" w:fill="FFFFFF"/>
        </w:rPr>
      </w:pPr>
      <w:r>
        <w:rPr>
          <w:shd w:val="clear" w:color="auto" w:fill="FFFFFF"/>
        </w:rPr>
        <w:t xml:space="preserve">Carmichael, R., 2019. </w:t>
      </w:r>
      <w:proofErr w:type="spellStart"/>
      <w:proofErr w:type="gramStart"/>
      <w:r>
        <w:rPr>
          <w:shd w:val="clear" w:color="auto" w:fill="FFFFFF"/>
        </w:rPr>
        <w:t>Behaviour</w:t>
      </w:r>
      <w:proofErr w:type="spellEnd"/>
      <w:r>
        <w:rPr>
          <w:shd w:val="clear" w:color="auto" w:fill="FFFFFF"/>
        </w:rPr>
        <w:t xml:space="preserve"> change, public engagement and Net Zero.</w:t>
      </w:r>
      <w:proofErr w:type="gramEnd"/>
      <w:r>
        <w:rPr>
          <w:shd w:val="clear" w:color="auto" w:fill="FFFFFF"/>
        </w:rPr>
        <w:t> </w:t>
      </w:r>
      <w:proofErr w:type="gramStart"/>
      <w:r>
        <w:rPr>
          <w:i/>
          <w:iCs/>
          <w:shd w:val="clear" w:color="auto" w:fill="FFFFFF"/>
        </w:rPr>
        <w:t>A report for the Committee on Climate Change</w:t>
      </w:r>
      <w:r>
        <w:rPr>
          <w:shd w:val="clear" w:color="auto" w:fill="FFFFFF"/>
        </w:rPr>
        <w:t>.</w:t>
      </w:r>
      <w:proofErr w:type="gramEnd"/>
    </w:p>
    <w:p w:rsidR="00E65B16" w:rsidRPr="00EA2AED" w:rsidRDefault="00E65B16" w:rsidP="00E65B16">
      <w:pPr>
        <w:ind w:left="720" w:hanging="720"/>
      </w:pPr>
      <w:r>
        <w:rPr>
          <w:shd w:val="clear" w:color="auto" w:fill="FFFFFF"/>
        </w:rPr>
        <w:t xml:space="preserve">Burgess, R.A., Osborne, R.H., </w:t>
      </w:r>
      <w:proofErr w:type="spellStart"/>
      <w:r>
        <w:rPr>
          <w:shd w:val="clear" w:color="auto" w:fill="FFFFFF"/>
        </w:rPr>
        <w:t>Yongabi</w:t>
      </w:r>
      <w:proofErr w:type="spellEnd"/>
      <w:r>
        <w:rPr>
          <w:shd w:val="clear" w:color="auto" w:fill="FFFFFF"/>
        </w:rPr>
        <w:t xml:space="preserve">, K.A., </w:t>
      </w:r>
      <w:proofErr w:type="spellStart"/>
      <w:r>
        <w:rPr>
          <w:shd w:val="clear" w:color="auto" w:fill="FFFFFF"/>
        </w:rPr>
        <w:t>Greenhalgh</w:t>
      </w:r>
      <w:proofErr w:type="spellEnd"/>
      <w:r>
        <w:rPr>
          <w:shd w:val="clear" w:color="auto" w:fill="FFFFFF"/>
        </w:rPr>
        <w:t xml:space="preserve">, T., </w:t>
      </w:r>
      <w:proofErr w:type="spellStart"/>
      <w:r>
        <w:rPr>
          <w:shd w:val="clear" w:color="auto" w:fill="FFFFFF"/>
        </w:rPr>
        <w:t>Gurdasani</w:t>
      </w:r>
      <w:proofErr w:type="spellEnd"/>
      <w:r>
        <w:rPr>
          <w:shd w:val="clear" w:color="auto" w:fill="FFFFFF"/>
        </w:rPr>
        <w:t xml:space="preserve">, D., Kang, G., </w:t>
      </w:r>
      <w:proofErr w:type="spellStart"/>
      <w:r>
        <w:rPr>
          <w:shd w:val="clear" w:color="auto" w:fill="FFFFFF"/>
        </w:rPr>
        <w:t>Falade</w:t>
      </w:r>
      <w:proofErr w:type="spellEnd"/>
      <w:r>
        <w:rPr>
          <w:shd w:val="clear" w:color="auto" w:fill="FFFFFF"/>
        </w:rPr>
        <w:t xml:space="preserve">, A.G., </w:t>
      </w:r>
      <w:proofErr w:type="spellStart"/>
      <w:r>
        <w:rPr>
          <w:shd w:val="clear" w:color="auto" w:fill="FFFFFF"/>
        </w:rPr>
        <w:t>Odone</w:t>
      </w:r>
      <w:proofErr w:type="spellEnd"/>
      <w:r>
        <w:rPr>
          <w:shd w:val="clear" w:color="auto" w:fill="FFFFFF"/>
        </w:rPr>
        <w:t xml:space="preserve">, A., </w:t>
      </w:r>
      <w:proofErr w:type="spellStart"/>
      <w:r>
        <w:rPr>
          <w:shd w:val="clear" w:color="auto" w:fill="FFFFFF"/>
        </w:rPr>
        <w:t>Busse</w:t>
      </w:r>
      <w:proofErr w:type="spellEnd"/>
      <w:r>
        <w:rPr>
          <w:shd w:val="clear" w:color="auto" w:fill="FFFFFF"/>
        </w:rPr>
        <w:t xml:space="preserve">, R., Martin-Moreno, J.M. and </w:t>
      </w:r>
      <w:proofErr w:type="spellStart"/>
      <w:r>
        <w:rPr>
          <w:shd w:val="clear" w:color="auto" w:fill="FFFFFF"/>
        </w:rPr>
        <w:t>Reicher</w:t>
      </w:r>
      <w:proofErr w:type="spellEnd"/>
      <w:r>
        <w:rPr>
          <w:shd w:val="clear" w:color="auto" w:fill="FFFFFF"/>
        </w:rPr>
        <w:t>, S., 2021. The COVID-19 vaccines rush: participatory community engagement matters more than ever. </w:t>
      </w:r>
      <w:proofErr w:type="gramStart"/>
      <w:r>
        <w:rPr>
          <w:i/>
          <w:iCs/>
          <w:shd w:val="clear" w:color="auto" w:fill="FFFFFF"/>
        </w:rPr>
        <w:t>The Lancet</w:t>
      </w:r>
      <w:r>
        <w:rPr>
          <w:shd w:val="clear" w:color="auto" w:fill="FFFFFF"/>
        </w:rPr>
        <w:t>, </w:t>
      </w:r>
      <w:r>
        <w:rPr>
          <w:i/>
          <w:iCs/>
          <w:shd w:val="clear" w:color="auto" w:fill="FFFFFF"/>
        </w:rPr>
        <w:t>397</w:t>
      </w:r>
      <w:r>
        <w:rPr>
          <w:shd w:val="clear" w:color="auto" w:fill="FFFFFF"/>
        </w:rPr>
        <w:t>(10268), pp.8-10.</w:t>
      </w:r>
      <w:proofErr w:type="gramEnd"/>
    </w:p>
    <w:p w:rsidR="00E65B16" w:rsidRDefault="00E65B16" w:rsidP="00E65B16">
      <w:pPr>
        <w:ind w:left="720" w:hanging="720"/>
        <w:rPr>
          <w:shd w:val="clear" w:color="auto" w:fill="FFFFFF"/>
        </w:rPr>
      </w:pPr>
      <w:proofErr w:type="spellStart"/>
      <w:r>
        <w:rPr>
          <w:shd w:val="clear" w:color="auto" w:fill="FFFFFF"/>
        </w:rPr>
        <w:t>Ocloo</w:t>
      </w:r>
      <w:proofErr w:type="spellEnd"/>
      <w:r>
        <w:rPr>
          <w:shd w:val="clear" w:color="auto" w:fill="FFFFFF"/>
        </w:rPr>
        <w:t xml:space="preserve">, J., Garfield, S., Franklin, B.D. and Dawson, S., 2021. </w:t>
      </w:r>
      <w:proofErr w:type="gramStart"/>
      <w:r>
        <w:rPr>
          <w:shd w:val="clear" w:color="auto" w:fill="FFFFFF"/>
        </w:rPr>
        <w:t>Exploring the theory, barriers and enablers for patient and public involvement across health, social care and patient safety: a systematic review of reviews.</w:t>
      </w:r>
      <w:proofErr w:type="gramEnd"/>
      <w:r>
        <w:rPr>
          <w:shd w:val="clear" w:color="auto" w:fill="FFFFFF"/>
        </w:rPr>
        <w:t> </w:t>
      </w:r>
      <w:proofErr w:type="gramStart"/>
      <w:r>
        <w:rPr>
          <w:i/>
          <w:iCs/>
          <w:shd w:val="clear" w:color="auto" w:fill="FFFFFF"/>
        </w:rPr>
        <w:t>Health research policy and systems</w:t>
      </w:r>
      <w:r>
        <w:rPr>
          <w:shd w:val="clear" w:color="auto" w:fill="FFFFFF"/>
        </w:rPr>
        <w:t>, </w:t>
      </w:r>
      <w:r>
        <w:rPr>
          <w:i/>
          <w:iCs/>
          <w:shd w:val="clear" w:color="auto" w:fill="FFFFFF"/>
        </w:rPr>
        <w:t>19</w:t>
      </w:r>
      <w:r>
        <w:rPr>
          <w:shd w:val="clear" w:color="auto" w:fill="FFFFFF"/>
        </w:rPr>
        <w:t>, pp.1-21.</w:t>
      </w:r>
      <w:proofErr w:type="gramEnd"/>
    </w:p>
    <w:p w:rsidR="00E65B16" w:rsidRDefault="00E65B16" w:rsidP="00E65B16">
      <w:pPr>
        <w:ind w:left="720" w:hanging="720"/>
        <w:rPr>
          <w:shd w:val="clear" w:color="auto" w:fill="FFFFFF"/>
        </w:rPr>
      </w:pPr>
      <w:proofErr w:type="spellStart"/>
      <w:proofErr w:type="gramStart"/>
      <w:r>
        <w:rPr>
          <w:shd w:val="clear" w:color="auto" w:fill="FFFFFF"/>
        </w:rPr>
        <w:t>Greenhalgh</w:t>
      </w:r>
      <w:proofErr w:type="spellEnd"/>
      <w:r>
        <w:rPr>
          <w:shd w:val="clear" w:color="auto" w:fill="FFFFFF"/>
        </w:rPr>
        <w:t xml:space="preserve">, T., Hinton, L., Finlay, T., Macfarlane, A., </w:t>
      </w:r>
      <w:proofErr w:type="spellStart"/>
      <w:r>
        <w:rPr>
          <w:shd w:val="clear" w:color="auto" w:fill="FFFFFF"/>
        </w:rPr>
        <w:t>Fahy</w:t>
      </w:r>
      <w:proofErr w:type="spellEnd"/>
      <w:r>
        <w:rPr>
          <w:shd w:val="clear" w:color="auto" w:fill="FFFFFF"/>
        </w:rPr>
        <w:t>, N., Clyde, B. and Chant, A., 2019.</w:t>
      </w:r>
      <w:proofErr w:type="gramEnd"/>
      <w:r>
        <w:rPr>
          <w:shd w:val="clear" w:color="auto" w:fill="FFFFFF"/>
        </w:rPr>
        <w:t xml:space="preserve"> Frameworks for supporting patient and public involvement in research: systematic review and co</w:t>
      </w:r>
      <w:r>
        <w:rPr>
          <w:rFonts w:ascii="Cambria Math" w:hAnsi="Cambria Math" w:cs="Cambria Math"/>
          <w:shd w:val="clear" w:color="auto" w:fill="FFFFFF"/>
        </w:rPr>
        <w:t>‐</w:t>
      </w:r>
      <w:r>
        <w:rPr>
          <w:shd w:val="clear" w:color="auto" w:fill="FFFFFF"/>
        </w:rPr>
        <w:t>design pilot. </w:t>
      </w:r>
      <w:proofErr w:type="gramStart"/>
      <w:r>
        <w:rPr>
          <w:i/>
          <w:iCs/>
          <w:shd w:val="clear" w:color="auto" w:fill="FFFFFF"/>
        </w:rPr>
        <w:t>Health expectations</w:t>
      </w:r>
      <w:r>
        <w:rPr>
          <w:shd w:val="clear" w:color="auto" w:fill="FFFFFF"/>
        </w:rPr>
        <w:t>, </w:t>
      </w:r>
      <w:r>
        <w:rPr>
          <w:i/>
          <w:iCs/>
          <w:shd w:val="clear" w:color="auto" w:fill="FFFFFF"/>
        </w:rPr>
        <w:t>22</w:t>
      </w:r>
      <w:r>
        <w:rPr>
          <w:shd w:val="clear" w:color="auto" w:fill="FFFFFF"/>
        </w:rPr>
        <w:t>(4), pp.785-801.</w:t>
      </w:r>
      <w:proofErr w:type="gramEnd"/>
    </w:p>
    <w:p w:rsidR="00E65B16" w:rsidRDefault="00E65B16" w:rsidP="00E65B16">
      <w:pPr>
        <w:ind w:left="720" w:hanging="720"/>
        <w:rPr>
          <w:shd w:val="clear" w:color="auto" w:fill="FFFFFF"/>
        </w:rPr>
      </w:pPr>
      <w:proofErr w:type="spellStart"/>
      <w:proofErr w:type="gramStart"/>
      <w:r>
        <w:rPr>
          <w:shd w:val="clear" w:color="auto" w:fill="FFFFFF"/>
        </w:rPr>
        <w:t>Chilvers</w:t>
      </w:r>
      <w:proofErr w:type="spellEnd"/>
      <w:r>
        <w:rPr>
          <w:shd w:val="clear" w:color="auto" w:fill="FFFFFF"/>
        </w:rPr>
        <w:t xml:space="preserve">, J., Bellamy, R., </w:t>
      </w:r>
      <w:proofErr w:type="spellStart"/>
      <w:r>
        <w:rPr>
          <w:shd w:val="clear" w:color="auto" w:fill="FFFFFF"/>
        </w:rPr>
        <w:t>Pallett</w:t>
      </w:r>
      <w:proofErr w:type="spellEnd"/>
      <w:r>
        <w:rPr>
          <w:shd w:val="clear" w:color="auto" w:fill="FFFFFF"/>
        </w:rPr>
        <w:t>, H. and Hargreaves, T., 2021.</w:t>
      </w:r>
      <w:proofErr w:type="gramEnd"/>
      <w:r>
        <w:rPr>
          <w:shd w:val="clear" w:color="auto" w:fill="FFFFFF"/>
        </w:rPr>
        <w:t xml:space="preserve"> </w:t>
      </w:r>
      <w:proofErr w:type="gramStart"/>
      <w:r>
        <w:rPr>
          <w:shd w:val="clear" w:color="auto" w:fill="FFFFFF"/>
        </w:rPr>
        <w:t>A systemic approach to mapping participation with low-carbon energy transitions.</w:t>
      </w:r>
      <w:proofErr w:type="gramEnd"/>
      <w:r>
        <w:rPr>
          <w:shd w:val="clear" w:color="auto" w:fill="FFFFFF"/>
        </w:rPr>
        <w:t> </w:t>
      </w:r>
      <w:proofErr w:type="gramStart"/>
      <w:r>
        <w:rPr>
          <w:i/>
          <w:iCs/>
          <w:shd w:val="clear" w:color="auto" w:fill="FFFFFF"/>
        </w:rPr>
        <w:t>Nature Energy</w:t>
      </w:r>
      <w:r>
        <w:rPr>
          <w:shd w:val="clear" w:color="auto" w:fill="FFFFFF"/>
        </w:rPr>
        <w:t>, </w:t>
      </w:r>
      <w:r>
        <w:rPr>
          <w:i/>
          <w:iCs/>
          <w:shd w:val="clear" w:color="auto" w:fill="FFFFFF"/>
        </w:rPr>
        <w:t>6</w:t>
      </w:r>
      <w:r>
        <w:rPr>
          <w:shd w:val="clear" w:color="auto" w:fill="FFFFFF"/>
        </w:rPr>
        <w:t>(3), pp.250-259.</w:t>
      </w:r>
      <w:proofErr w:type="gramEnd"/>
    </w:p>
    <w:p w:rsidR="00E65B16" w:rsidRDefault="00E65B16" w:rsidP="00E65B16">
      <w:pPr>
        <w:ind w:left="720" w:hanging="720"/>
        <w:rPr>
          <w:shd w:val="clear" w:color="auto" w:fill="FFFFFF"/>
        </w:rPr>
      </w:pPr>
      <w:proofErr w:type="spellStart"/>
      <w:r>
        <w:rPr>
          <w:shd w:val="clear" w:color="auto" w:fill="FFFFFF"/>
        </w:rPr>
        <w:t>Purdam</w:t>
      </w:r>
      <w:proofErr w:type="spellEnd"/>
      <w:r>
        <w:rPr>
          <w:shd w:val="clear" w:color="auto" w:fill="FFFFFF"/>
        </w:rPr>
        <w:t xml:space="preserve">, K. and Crisp, R., 2009. </w:t>
      </w:r>
      <w:proofErr w:type="gramStart"/>
      <w:r>
        <w:rPr>
          <w:shd w:val="clear" w:color="auto" w:fill="FFFFFF"/>
        </w:rPr>
        <w:t>Measuring the impact of community engagement on policy making in the UK: a local case study.</w:t>
      </w:r>
      <w:proofErr w:type="gramEnd"/>
      <w:r>
        <w:rPr>
          <w:shd w:val="clear" w:color="auto" w:fill="FFFFFF"/>
        </w:rPr>
        <w:t> </w:t>
      </w:r>
      <w:proofErr w:type="gramStart"/>
      <w:r>
        <w:rPr>
          <w:i/>
          <w:iCs/>
          <w:shd w:val="clear" w:color="auto" w:fill="FFFFFF"/>
        </w:rPr>
        <w:t>Journal of Civil Society</w:t>
      </w:r>
      <w:r>
        <w:rPr>
          <w:shd w:val="clear" w:color="auto" w:fill="FFFFFF"/>
        </w:rPr>
        <w:t>, </w:t>
      </w:r>
      <w:r>
        <w:rPr>
          <w:i/>
          <w:iCs/>
          <w:shd w:val="clear" w:color="auto" w:fill="FFFFFF"/>
        </w:rPr>
        <w:t>5</w:t>
      </w:r>
      <w:r>
        <w:rPr>
          <w:shd w:val="clear" w:color="auto" w:fill="FFFFFF"/>
        </w:rPr>
        <w:t>(2), pp.169-186.</w:t>
      </w:r>
      <w:proofErr w:type="gramEnd"/>
    </w:p>
    <w:p w:rsidR="00E65B16" w:rsidRDefault="00E65B16" w:rsidP="00E65B16">
      <w:pPr>
        <w:ind w:left="720" w:hanging="720"/>
        <w:rPr>
          <w:shd w:val="clear" w:color="auto" w:fill="FFFFFF"/>
        </w:rPr>
      </w:pPr>
      <w:r>
        <w:rPr>
          <w:shd w:val="clear" w:color="auto" w:fill="FFFFFF"/>
        </w:rPr>
        <w:t>Head, B.W., 2007. Community engagement: participation on whose terms</w:t>
      </w:r>
      <w:proofErr w:type="gramStart"/>
      <w:r>
        <w:rPr>
          <w:shd w:val="clear" w:color="auto" w:fill="FFFFFF"/>
        </w:rPr>
        <w:t>?.</w:t>
      </w:r>
      <w:proofErr w:type="gramEnd"/>
      <w:r>
        <w:rPr>
          <w:shd w:val="clear" w:color="auto" w:fill="FFFFFF"/>
        </w:rPr>
        <w:t> </w:t>
      </w:r>
      <w:proofErr w:type="gramStart"/>
      <w:r>
        <w:rPr>
          <w:i/>
          <w:iCs/>
          <w:shd w:val="clear" w:color="auto" w:fill="FFFFFF"/>
        </w:rPr>
        <w:t>Australian journal of political science</w:t>
      </w:r>
      <w:r>
        <w:rPr>
          <w:shd w:val="clear" w:color="auto" w:fill="FFFFFF"/>
        </w:rPr>
        <w:t>, </w:t>
      </w:r>
      <w:r>
        <w:rPr>
          <w:i/>
          <w:iCs/>
          <w:shd w:val="clear" w:color="auto" w:fill="FFFFFF"/>
        </w:rPr>
        <w:t>42</w:t>
      </w:r>
      <w:r>
        <w:rPr>
          <w:shd w:val="clear" w:color="auto" w:fill="FFFFFF"/>
        </w:rPr>
        <w:t>(3), pp.441-454.</w:t>
      </w:r>
      <w:proofErr w:type="gramEnd"/>
    </w:p>
    <w:p w:rsidR="00E65B16" w:rsidRDefault="00E65B16" w:rsidP="00E65B16">
      <w:pPr>
        <w:ind w:left="720" w:hanging="720"/>
        <w:rPr>
          <w:shd w:val="clear" w:color="auto" w:fill="FFFFFF"/>
        </w:rPr>
      </w:pPr>
      <w:proofErr w:type="gramStart"/>
      <w:r>
        <w:rPr>
          <w:shd w:val="clear" w:color="auto" w:fill="FFFFFF"/>
        </w:rPr>
        <w:t xml:space="preserve">Hart, A. and </w:t>
      </w:r>
      <w:proofErr w:type="spellStart"/>
      <w:r>
        <w:rPr>
          <w:shd w:val="clear" w:color="auto" w:fill="FFFFFF"/>
        </w:rPr>
        <w:t>Northmore</w:t>
      </w:r>
      <w:proofErr w:type="spellEnd"/>
      <w:r>
        <w:rPr>
          <w:shd w:val="clear" w:color="auto" w:fill="FFFFFF"/>
        </w:rPr>
        <w:t>, S., 2011.</w:t>
      </w:r>
      <w:proofErr w:type="gramEnd"/>
      <w:r>
        <w:rPr>
          <w:shd w:val="clear" w:color="auto" w:fill="FFFFFF"/>
        </w:rPr>
        <w:t xml:space="preserve"> Auditing and evaluating university–community engagement: Lessons from a UK case study. </w:t>
      </w:r>
      <w:proofErr w:type="gramStart"/>
      <w:r>
        <w:rPr>
          <w:i/>
          <w:iCs/>
          <w:shd w:val="clear" w:color="auto" w:fill="FFFFFF"/>
        </w:rPr>
        <w:t>Higher Education Quarterly</w:t>
      </w:r>
      <w:r>
        <w:rPr>
          <w:shd w:val="clear" w:color="auto" w:fill="FFFFFF"/>
        </w:rPr>
        <w:t>, </w:t>
      </w:r>
      <w:r>
        <w:rPr>
          <w:i/>
          <w:iCs/>
          <w:shd w:val="clear" w:color="auto" w:fill="FFFFFF"/>
        </w:rPr>
        <w:t>65</w:t>
      </w:r>
      <w:r>
        <w:rPr>
          <w:shd w:val="clear" w:color="auto" w:fill="FFFFFF"/>
        </w:rPr>
        <w:t>(1), pp.34-58.</w:t>
      </w:r>
      <w:proofErr w:type="gramEnd"/>
    </w:p>
    <w:p w:rsidR="00E65B16" w:rsidRPr="00C20E8D" w:rsidRDefault="00E65B16" w:rsidP="00E65B16">
      <w:pPr>
        <w:ind w:left="720" w:hanging="720"/>
        <w:rPr>
          <w:rFonts w:cs="Times New Roman"/>
          <w:color w:val="000000" w:themeColor="text1"/>
          <w:szCs w:val="24"/>
        </w:rPr>
      </w:pPr>
      <w:proofErr w:type="gramStart"/>
      <w:r>
        <w:rPr>
          <w:shd w:val="clear" w:color="auto" w:fill="FFFFFF"/>
        </w:rPr>
        <w:t xml:space="preserve">Milton, B., </w:t>
      </w:r>
      <w:proofErr w:type="spellStart"/>
      <w:r>
        <w:rPr>
          <w:shd w:val="clear" w:color="auto" w:fill="FFFFFF"/>
        </w:rPr>
        <w:t>Attree</w:t>
      </w:r>
      <w:proofErr w:type="spellEnd"/>
      <w:r>
        <w:rPr>
          <w:shd w:val="clear" w:color="auto" w:fill="FFFFFF"/>
        </w:rPr>
        <w:t xml:space="preserve">, P., French, B., </w:t>
      </w:r>
      <w:proofErr w:type="spellStart"/>
      <w:r>
        <w:rPr>
          <w:shd w:val="clear" w:color="auto" w:fill="FFFFFF"/>
        </w:rPr>
        <w:t>Povall</w:t>
      </w:r>
      <w:proofErr w:type="spellEnd"/>
      <w:r>
        <w:rPr>
          <w:shd w:val="clear" w:color="auto" w:fill="FFFFFF"/>
        </w:rPr>
        <w:t xml:space="preserve">, S., Whitehead, M. and </w:t>
      </w:r>
      <w:proofErr w:type="spellStart"/>
      <w:r>
        <w:rPr>
          <w:shd w:val="clear" w:color="auto" w:fill="FFFFFF"/>
        </w:rPr>
        <w:t>Popay</w:t>
      </w:r>
      <w:proofErr w:type="spellEnd"/>
      <w:r>
        <w:rPr>
          <w:shd w:val="clear" w:color="auto" w:fill="FFFFFF"/>
        </w:rPr>
        <w:t>, J., 2012.</w:t>
      </w:r>
      <w:proofErr w:type="gramEnd"/>
      <w:r>
        <w:rPr>
          <w:shd w:val="clear" w:color="auto" w:fill="FFFFFF"/>
        </w:rPr>
        <w:t xml:space="preserve"> The impact of community engagement on health and social outcomes: a systematic review. </w:t>
      </w:r>
      <w:proofErr w:type="gramStart"/>
      <w:r>
        <w:rPr>
          <w:i/>
          <w:iCs/>
          <w:shd w:val="clear" w:color="auto" w:fill="FFFFFF"/>
        </w:rPr>
        <w:t>Community Development Journal</w:t>
      </w:r>
      <w:r>
        <w:rPr>
          <w:shd w:val="clear" w:color="auto" w:fill="FFFFFF"/>
        </w:rPr>
        <w:t>, </w:t>
      </w:r>
      <w:r>
        <w:rPr>
          <w:i/>
          <w:iCs/>
          <w:shd w:val="clear" w:color="auto" w:fill="FFFFFF"/>
        </w:rPr>
        <w:t>47</w:t>
      </w:r>
      <w:r>
        <w:rPr>
          <w:shd w:val="clear" w:color="auto" w:fill="FFFFFF"/>
        </w:rPr>
        <w:t>(3), pp.316-334.</w:t>
      </w:r>
      <w:proofErr w:type="gramEnd"/>
    </w:p>
    <w:p w:rsidR="00E65B16" w:rsidRPr="00C20E8D" w:rsidRDefault="00E65B16" w:rsidP="00E65B16">
      <w:pPr>
        <w:ind w:left="720" w:hanging="720"/>
        <w:rPr>
          <w:rFonts w:cs="Times New Roman"/>
          <w:color w:val="000000" w:themeColor="text1"/>
          <w:szCs w:val="24"/>
        </w:rPr>
      </w:pPr>
      <w:r>
        <w:rPr>
          <w:shd w:val="clear" w:color="auto" w:fill="FFFFFF"/>
        </w:rPr>
        <w:t xml:space="preserve">McCabe, A., </w:t>
      </w:r>
      <w:proofErr w:type="spellStart"/>
      <w:r>
        <w:rPr>
          <w:shd w:val="clear" w:color="auto" w:fill="FFFFFF"/>
        </w:rPr>
        <w:t>Keast</w:t>
      </w:r>
      <w:proofErr w:type="spellEnd"/>
      <w:r>
        <w:rPr>
          <w:shd w:val="clear" w:color="auto" w:fill="FFFFFF"/>
        </w:rPr>
        <w:t>, R. and Brown, K., 2006. Community engagement: towards community as governance. In </w:t>
      </w:r>
      <w:r>
        <w:rPr>
          <w:i/>
          <w:iCs/>
          <w:shd w:val="clear" w:color="auto" w:fill="FFFFFF"/>
        </w:rPr>
        <w:t>Proceedings of the Governments &amp; Communities in Partnership Conference: From Theory to Practice</w:t>
      </w:r>
      <w:r>
        <w:rPr>
          <w:shd w:val="clear" w:color="auto" w:fill="FFFFFF"/>
        </w:rPr>
        <w:t xml:space="preserve"> (pp. 1-21). </w:t>
      </w:r>
      <w:proofErr w:type="gramStart"/>
      <w:r>
        <w:rPr>
          <w:shd w:val="clear" w:color="auto" w:fill="FFFFFF"/>
        </w:rPr>
        <w:t>University of Melbourne.</w:t>
      </w:r>
      <w:proofErr w:type="gramEnd"/>
    </w:p>
    <w:p w:rsidR="00B22DEE" w:rsidRDefault="00B22DEE"/>
    <w:sectPr w:rsidR="00B22DE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3C88" w:rsidRDefault="00E33C88">
      <w:pPr>
        <w:spacing w:after="0" w:line="240" w:lineRule="auto"/>
      </w:pPr>
      <w:r>
        <w:separator/>
      </w:r>
    </w:p>
  </w:endnote>
  <w:endnote w:type="continuationSeparator" w:id="0">
    <w:p w:rsidR="00E33C88" w:rsidRDefault="00E33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3C88" w:rsidRDefault="00E33C88">
      <w:pPr>
        <w:spacing w:after="0" w:line="240" w:lineRule="auto"/>
      </w:pPr>
      <w:r>
        <w:separator/>
      </w:r>
    </w:p>
  </w:footnote>
  <w:footnote w:type="continuationSeparator" w:id="0">
    <w:p w:rsidR="00E33C88" w:rsidRDefault="00E33C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5995839"/>
      <w:docPartObj>
        <w:docPartGallery w:val="Page Numbers (Top of Page)"/>
        <w:docPartUnique/>
      </w:docPartObj>
    </w:sdtPr>
    <w:sdtEndPr>
      <w:rPr>
        <w:color w:val="7F7F7F" w:themeColor="background1" w:themeShade="7F"/>
        <w:spacing w:val="60"/>
      </w:rPr>
    </w:sdtEndPr>
    <w:sdtContent>
      <w:p w:rsidR="00936B60" w:rsidRDefault="00152FE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4A3587" w:rsidRPr="004A3587">
          <w:rPr>
            <w:b/>
            <w:bCs/>
            <w:noProof/>
          </w:rPr>
          <w:t>9</w:t>
        </w:r>
        <w:r>
          <w:rPr>
            <w:b/>
            <w:bCs/>
            <w:noProof/>
          </w:rPr>
          <w:fldChar w:fldCharType="end"/>
        </w:r>
        <w:r>
          <w:rPr>
            <w:b/>
            <w:bCs/>
          </w:rPr>
          <w:t xml:space="preserve"> | </w:t>
        </w:r>
        <w:r>
          <w:rPr>
            <w:color w:val="7F7F7F" w:themeColor="background1" w:themeShade="7F"/>
            <w:spacing w:val="60"/>
          </w:rPr>
          <w:t>Page</w:t>
        </w:r>
      </w:p>
    </w:sdtContent>
  </w:sdt>
  <w:p w:rsidR="00936B60" w:rsidRDefault="00E33C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705C"/>
    <w:rsid w:val="00152FE4"/>
    <w:rsid w:val="0032705C"/>
    <w:rsid w:val="004A3587"/>
    <w:rsid w:val="00B22DEE"/>
    <w:rsid w:val="00E33C88"/>
    <w:rsid w:val="00E6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5B16"/>
    <w:pPr>
      <w:spacing w:after="16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65B16"/>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B16"/>
    <w:rPr>
      <w:rFonts w:ascii="Times New Roman" w:eastAsiaTheme="majorEastAsia" w:hAnsi="Times New Roman" w:cstheme="majorBidi"/>
      <w:b/>
      <w:color w:val="002060"/>
      <w:sz w:val="32"/>
      <w:szCs w:val="32"/>
      <w:lang w:val="en-US"/>
    </w:rPr>
  </w:style>
  <w:style w:type="paragraph" w:styleId="Header">
    <w:name w:val="header"/>
    <w:basedOn w:val="Normal"/>
    <w:link w:val="HeaderChar"/>
    <w:uiPriority w:val="99"/>
    <w:unhideWhenUsed/>
    <w:rsid w:val="00E65B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B16"/>
    <w:rPr>
      <w:rFonts w:ascii="Times New Roman" w:hAnsi="Times New Roman"/>
      <w:sz w:val="24"/>
      <w:lang w:val="en-US"/>
    </w:rPr>
  </w:style>
  <w:style w:type="table" w:styleId="TableGrid">
    <w:name w:val="Table Grid"/>
    <w:basedOn w:val="TableNormal"/>
    <w:uiPriority w:val="39"/>
    <w:rsid w:val="00E65B1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E65B16"/>
    <w:rPr>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5B16"/>
    <w:pPr>
      <w:spacing w:after="16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65B16"/>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B16"/>
    <w:rPr>
      <w:rFonts w:ascii="Times New Roman" w:eastAsiaTheme="majorEastAsia" w:hAnsi="Times New Roman" w:cstheme="majorBidi"/>
      <w:b/>
      <w:color w:val="002060"/>
      <w:sz w:val="32"/>
      <w:szCs w:val="32"/>
      <w:lang w:val="en-US"/>
    </w:rPr>
  </w:style>
  <w:style w:type="paragraph" w:styleId="Header">
    <w:name w:val="header"/>
    <w:basedOn w:val="Normal"/>
    <w:link w:val="HeaderChar"/>
    <w:uiPriority w:val="99"/>
    <w:unhideWhenUsed/>
    <w:rsid w:val="00E65B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B16"/>
    <w:rPr>
      <w:rFonts w:ascii="Times New Roman" w:hAnsi="Times New Roman"/>
      <w:sz w:val="24"/>
      <w:lang w:val="en-US"/>
    </w:rPr>
  </w:style>
  <w:style w:type="table" w:styleId="TableGrid">
    <w:name w:val="Table Grid"/>
    <w:basedOn w:val="TableNormal"/>
    <w:uiPriority w:val="39"/>
    <w:rsid w:val="00E65B1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E65B16"/>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2</cp:revision>
  <dcterms:created xsi:type="dcterms:W3CDTF">2023-10-29T11:04:00Z</dcterms:created>
  <dcterms:modified xsi:type="dcterms:W3CDTF">2023-10-29T11:04:00Z</dcterms:modified>
</cp:coreProperties>
</file>