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C1E8" w14:textId="77777777" w:rsidR="00CB6FC4" w:rsidRPr="00F93827" w:rsidRDefault="00CB6FC4" w:rsidP="003E1D6B">
      <w:pPr>
        <w:spacing w:after="0" w:line="480" w:lineRule="auto"/>
        <w:jc w:val="center"/>
        <w:rPr>
          <w:rFonts w:ascii="Times New Roman" w:hAnsi="Times New Roman" w:cs="Times New Roman"/>
          <w:sz w:val="24"/>
          <w:szCs w:val="24"/>
          <w:lang w:val="en-GB"/>
        </w:rPr>
      </w:pPr>
    </w:p>
    <w:p w14:paraId="41098CAA" w14:textId="77777777" w:rsidR="00D51F63" w:rsidRPr="00F93827" w:rsidRDefault="00D51F63" w:rsidP="003E1D6B">
      <w:pPr>
        <w:spacing w:after="0" w:line="480" w:lineRule="auto"/>
        <w:jc w:val="center"/>
        <w:rPr>
          <w:rFonts w:ascii="Times New Roman" w:hAnsi="Times New Roman" w:cs="Times New Roman"/>
          <w:sz w:val="24"/>
          <w:szCs w:val="24"/>
          <w:lang w:val="en-GB"/>
        </w:rPr>
      </w:pPr>
    </w:p>
    <w:p w14:paraId="2666361F" w14:textId="77777777" w:rsidR="00D51F63" w:rsidRPr="00F93827" w:rsidRDefault="00D51F63" w:rsidP="003E1D6B">
      <w:pPr>
        <w:spacing w:after="0" w:line="480" w:lineRule="auto"/>
        <w:jc w:val="center"/>
        <w:rPr>
          <w:rFonts w:ascii="Times New Roman" w:hAnsi="Times New Roman" w:cs="Times New Roman"/>
          <w:sz w:val="24"/>
          <w:szCs w:val="24"/>
          <w:lang w:val="en-GB"/>
        </w:rPr>
      </w:pPr>
    </w:p>
    <w:p w14:paraId="3A36FE02" w14:textId="77777777" w:rsidR="00D51F63" w:rsidRPr="00F93827" w:rsidRDefault="00D51F63" w:rsidP="003E1D6B">
      <w:pPr>
        <w:spacing w:after="0" w:line="480" w:lineRule="auto"/>
        <w:jc w:val="center"/>
        <w:rPr>
          <w:rFonts w:ascii="Times New Roman" w:hAnsi="Times New Roman" w:cs="Times New Roman"/>
          <w:sz w:val="24"/>
          <w:szCs w:val="24"/>
          <w:lang w:val="en-GB"/>
        </w:rPr>
      </w:pPr>
    </w:p>
    <w:p w14:paraId="6ABB55C9" w14:textId="0923B72C" w:rsidR="00D51F63" w:rsidRPr="0097613B" w:rsidRDefault="00434F3F" w:rsidP="003E1D6B">
      <w:pPr>
        <w:spacing w:after="0" w:line="480" w:lineRule="auto"/>
        <w:jc w:val="center"/>
        <w:rPr>
          <w:rFonts w:ascii="Times New Roman" w:hAnsi="Times New Roman" w:cs="Times New Roman"/>
          <w:b/>
          <w:bCs/>
          <w:sz w:val="48"/>
          <w:szCs w:val="48"/>
          <w:lang w:val="en-GB"/>
        </w:rPr>
      </w:pPr>
      <w:r w:rsidRPr="0097613B">
        <w:rPr>
          <w:rFonts w:ascii="Times New Roman" w:hAnsi="Times New Roman" w:cs="Times New Roman"/>
          <w:b/>
          <w:bCs/>
          <w:sz w:val="48"/>
          <w:szCs w:val="48"/>
          <w:lang w:val="en-GB"/>
        </w:rPr>
        <w:t>FINANCIAL STATEMENT ANALYSIS</w:t>
      </w:r>
    </w:p>
    <w:p w14:paraId="01AA8012" w14:textId="77777777" w:rsidR="000F717F" w:rsidRDefault="000F717F" w:rsidP="000F717F">
      <w:pPr>
        <w:spacing w:after="0" w:line="480" w:lineRule="auto"/>
        <w:rPr>
          <w:rFonts w:ascii="Times New Roman" w:hAnsi="Times New Roman" w:cs="Times New Roman"/>
          <w:sz w:val="24"/>
          <w:szCs w:val="24"/>
          <w:lang w:val="en-GB"/>
        </w:rPr>
      </w:pPr>
    </w:p>
    <w:p w14:paraId="691C4E22" w14:textId="77777777" w:rsidR="000F717F" w:rsidRDefault="000F717F" w:rsidP="000F717F">
      <w:pPr>
        <w:spacing w:after="0" w:line="480" w:lineRule="auto"/>
        <w:rPr>
          <w:rFonts w:ascii="Times New Roman" w:hAnsi="Times New Roman" w:cs="Times New Roman"/>
          <w:sz w:val="24"/>
          <w:szCs w:val="24"/>
          <w:lang w:val="en-GB"/>
        </w:rPr>
      </w:pPr>
    </w:p>
    <w:p w14:paraId="4D5708D8" w14:textId="04FFEC63" w:rsidR="00D51F63" w:rsidRPr="0097613B" w:rsidRDefault="000F717F" w:rsidP="000F717F">
      <w:pPr>
        <w:spacing w:after="0" w:line="480" w:lineRule="auto"/>
        <w:rPr>
          <w:rFonts w:ascii="Times New Roman" w:hAnsi="Times New Roman" w:cs="Times New Roman"/>
          <w:b/>
          <w:bCs/>
          <w:sz w:val="32"/>
          <w:szCs w:val="32"/>
          <w:lang w:val="en-GB"/>
        </w:rPr>
      </w:pPr>
      <w:r w:rsidRPr="0097613B">
        <w:rPr>
          <w:rFonts w:ascii="Times New Roman" w:hAnsi="Times New Roman" w:cs="Times New Roman"/>
          <w:b/>
          <w:bCs/>
          <w:sz w:val="32"/>
          <w:szCs w:val="32"/>
          <w:lang w:val="en-GB"/>
        </w:rPr>
        <w:t>Student name:</w:t>
      </w:r>
      <w:r w:rsidR="00D60EC2" w:rsidRPr="0097613B">
        <w:rPr>
          <w:rFonts w:ascii="Times New Roman" w:hAnsi="Times New Roman" w:cs="Times New Roman"/>
          <w:b/>
          <w:bCs/>
          <w:sz w:val="32"/>
          <w:szCs w:val="32"/>
          <w:lang w:val="en-GB"/>
        </w:rPr>
        <w:t xml:space="preserve"> </w:t>
      </w:r>
      <w:r w:rsidR="00212AF4" w:rsidRPr="0097613B">
        <w:rPr>
          <w:rFonts w:ascii="Times New Roman" w:hAnsi="Times New Roman" w:cs="Times New Roman"/>
          <w:b/>
          <w:bCs/>
          <w:sz w:val="32"/>
          <w:szCs w:val="32"/>
          <w:lang w:val="en-GB"/>
        </w:rPr>
        <w:t xml:space="preserve">Mariana </w:t>
      </w:r>
      <w:proofErr w:type="spellStart"/>
      <w:r w:rsidR="00212AF4" w:rsidRPr="0097613B">
        <w:rPr>
          <w:rFonts w:ascii="Times New Roman" w:hAnsi="Times New Roman" w:cs="Times New Roman"/>
          <w:b/>
          <w:bCs/>
          <w:sz w:val="32"/>
          <w:szCs w:val="32"/>
          <w:lang w:val="en-GB"/>
        </w:rPr>
        <w:t>Rodica</w:t>
      </w:r>
      <w:proofErr w:type="spellEnd"/>
      <w:r w:rsidR="00212AF4" w:rsidRPr="0097613B">
        <w:rPr>
          <w:rFonts w:ascii="Times New Roman" w:hAnsi="Times New Roman" w:cs="Times New Roman"/>
          <w:b/>
          <w:bCs/>
          <w:sz w:val="32"/>
          <w:szCs w:val="32"/>
          <w:lang w:val="en-GB"/>
        </w:rPr>
        <w:t xml:space="preserve"> Strateanu</w:t>
      </w:r>
    </w:p>
    <w:p w14:paraId="3BF49733" w14:textId="76A7DC9C" w:rsidR="000F717F" w:rsidRPr="0097613B" w:rsidRDefault="000F717F" w:rsidP="000F717F">
      <w:pPr>
        <w:spacing w:after="0" w:line="480" w:lineRule="auto"/>
        <w:rPr>
          <w:rFonts w:ascii="Times New Roman" w:hAnsi="Times New Roman" w:cs="Times New Roman"/>
          <w:b/>
          <w:bCs/>
          <w:sz w:val="32"/>
          <w:szCs w:val="32"/>
          <w:lang w:val="en-GB"/>
        </w:rPr>
      </w:pPr>
      <w:r w:rsidRPr="0097613B">
        <w:rPr>
          <w:rFonts w:ascii="Times New Roman" w:hAnsi="Times New Roman" w:cs="Times New Roman"/>
          <w:b/>
          <w:bCs/>
          <w:sz w:val="32"/>
          <w:szCs w:val="32"/>
          <w:lang w:val="en-GB"/>
        </w:rPr>
        <w:t>Student number:2017055</w:t>
      </w:r>
    </w:p>
    <w:p w14:paraId="17840EA5" w14:textId="0C2AF172" w:rsidR="000F717F" w:rsidRPr="0097613B" w:rsidRDefault="000F717F" w:rsidP="000F717F">
      <w:pPr>
        <w:spacing w:after="0" w:line="480" w:lineRule="auto"/>
        <w:rPr>
          <w:rFonts w:ascii="Times New Roman" w:hAnsi="Times New Roman" w:cs="Times New Roman"/>
          <w:b/>
          <w:bCs/>
          <w:sz w:val="32"/>
          <w:szCs w:val="32"/>
          <w:lang w:val="en-GB"/>
        </w:rPr>
      </w:pPr>
      <w:r w:rsidRPr="0097613B">
        <w:rPr>
          <w:rFonts w:ascii="Times New Roman" w:hAnsi="Times New Roman" w:cs="Times New Roman"/>
          <w:b/>
          <w:bCs/>
          <w:sz w:val="32"/>
          <w:szCs w:val="32"/>
          <w:lang w:val="en-GB"/>
        </w:rPr>
        <w:t>Module Name:</w:t>
      </w:r>
      <w:r w:rsidR="008E532A" w:rsidRPr="0097613B">
        <w:rPr>
          <w:rFonts w:ascii="Times New Roman" w:hAnsi="Times New Roman" w:cs="Times New Roman"/>
          <w:b/>
          <w:bCs/>
          <w:sz w:val="32"/>
          <w:szCs w:val="32"/>
          <w:lang w:val="en-GB"/>
        </w:rPr>
        <w:t xml:space="preserve"> Financial Management for the Hotel Industry</w:t>
      </w:r>
    </w:p>
    <w:p w14:paraId="717A3BD1" w14:textId="1A728525" w:rsidR="008E532A" w:rsidRDefault="008E532A" w:rsidP="000F717F">
      <w:pPr>
        <w:spacing w:after="0" w:line="480" w:lineRule="auto"/>
        <w:rPr>
          <w:rFonts w:ascii="Times New Roman" w:hAnsi="Times New Roman" w:cs="Times New Roman"/>
          <w:b/>
          <w:bCs/>
          <w:sz w:val="32"/>
          <w:szCs w:val="32"/>
          <w:lang w:val="en-GB"/>
        </w:rPr>
      </w:pPr>
      <w:r w:rsidRPr="0097613B">
        <w:rPr>
          <w:rFonts w:ascii="Times New Roman" w:hAnsi="Times New Roman" w:cs="Times New Roman"/>
          <w:b/>
          <w:bCs/>
          <w:sz w:val="32"/>
          <w:szCs w:val="32"/>
          <w:lang w:val="en-GB"/>
        </w:rPr>
        <w:t xml:space="preserve">Lecturer: </w:t>
      </w:r>
      <w:r w:rsidR="00FD433A">
        <w:rPr>
          <w:rFonts w:ascii="Times New Roman" w:hAnsi="Times New Roman" w:cs="Times New Roman"/>
          <w:b/>
          <w:bCs/>
          <w:sz w:val="32"/>
          <w:szCs w:val="32"/>
          <w:lang w:val="en-GB"/>
        </w:rPr>
        <w:t>Mike Davies</w:t>
      </w:r>
    </w:p>
    <w:p w14:paraId="6BA29BB4" w14:textId="77777777" w:rsidR="004F3A16" w:rsidRPr="0097613B" w:rsidRDefault="004F3A16" w:rsidP="000F717F">
      <w:pPr>
        <w:spacing w:after="0" w:line="480" w:lineRule="auto"/>
        <w:rPr>
          <w:rFonts w:ascii="Times New Roman" w:hAnsi="Times New Roman" w:cs="Times New Roman"/>
          <w:b/>
          <w:bCs/>
          <w:sz w:val="32"/>
          <w:szCs w:val="32"/>
          <w:lang w:val="en-GB"/>
        </w:rPr>
      </w:pPr>
    </w:p>
    <w:p w14:paraId="7464CD3E" w14:textId="77777777" w:rsidR="000F717F" w:rsidRPr="00F93827" w:rsidRDefault="000F717F" w:rsidP="000F717F">
      <w:pPr>
        <w:spacing w:after="0" w:line="480" w:lineRule="auto"/>
        <w:rPr>
          <w:rFonts w:ascii="Times New Roman" w:hAnsi="Times New Roman" w:cs="Times New Roman"/>
          <w:sz w:val="24"/>
          <w:szCs w:val="24"/>
          <w:lang w:val="en-GB"/>
        </w:rPr>
      </w:pPr>
    </w:p>
    <w:p w14:paraId="1EFB13A6" w14:textId="77777777" w:rsidR="00D51F63" w:rsidRPr="00F93827" w:rsidRDefault="00D60EC2" w:rsidP="003E1D6B">
      <w:pPr>
        <w:spacing w:after="0" w:line="480" w:lineRule="auto"/>
        <w:rPr>
          <w:rFonts w:ascii="Times New Roman" w:hAnsi="Times New Roman" w:cs="Times New Roman"/>
          <w:b/>
          <w:sz w:val="24"/>
          <w:szCs w:val="24"/>
          <w:lang w:val="en-GB"/>
        </w:rPr>
      </w:pPr>
      <w:r w:rsidRPr="00F93827">
        <w:rPr>
          <w:rFonts w:ascii="Times New Roman" w:hAnsi="Times New Roman" w:cs="Times New Roman"/>
          <w:b/>
          <w:sz w:val="24"/>
          <w:szCs w:val="24"/>
          <w:lang w:val="en-GB"/>
        </w:rPr>
        <w:br w:type="page"/>
      </w:r>
    </w:p>
    <w:p w14:paraId="212D7E3B" w14:textId="77777777" w:rsidR="00D51F63" w:rsidRPr="0097613B" w:rsidRDefault="00D60EC2" w:rsidP="003E1D6B">
      <w:pPr>
        <w:spacing w:after="0" w:line="480" w:lineRule="auto"/>
        <w:jc w:val="center"/>
        <w:rPr>
          <w:rFonts w:ascii="Times New Roman" w:hAnsi="Times New Roman" w:cs="Times New Roman"/>
          <w:b/>
          <w:bCs/>
          <w:sz w:val="32"/>
          <w:szCs w:val="32"/>
          <w:lang w:val="en-GB"/>
        </w:rPr>
      </w:pPr>
      <w:r w:rsidRPr="0097613B">
        <w:rPr>
          <w:rFonts w:ascii="Times New Roman" w:hAnsi="Times New Roman" w:cs="Times New Roman"/>
          <w:b/>
          <w:bCs/>
          <w:sz w:val="32"/>
          <w:szCs w:val="32"/>
          <w:lang w:val="en-GB"/>
        </w:rPr>
        <w:lastRenderedPageBreak/>
        <w:t>Jurys Inn Financial Statement Analysis</w:t>
      </w:r>
    </w:p>
    <w:p w14:paraId="4A0EA2E0" w14:textId="02AB6DF0" w:rsidR="008B35FA" w:rsidRPr="00F93827" w:rsidRDefault="00D60EC2" w:rsidP="00434F3F">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Financial statements are instruments that allow business owners to assess the financial situation of their firm for a specific period to </w:t>
      </w:r>
      <w:r w:rsidR="00F93827" w:rsidRPr="00F93827">
        <w:rPr>
          <w:rFonts w:ascii="Times New Roman" w:hAnsi="Times New Roman" w:cs="Times New Roman"/>
          <w:sz w:val="24"/>
          <w:szCs w:val="24"/>
          <w:lang w:val="en-GB"/>
        </w:rPr>
        <w:t>analyse</w:t>
      </w:r>
      <w:r w:rsidRPr="00F93827">
        <w:rPr>
          <w:rFonts w:ascii="Times New Roman" w:hAnsi="Times New Roman" w:cs="Times New Roman"/>
          <w:sz w:val="24"/>
          <w:szCs w:val="24"/>
          <w:lang w:val="en-GB"/>
        </w:rPr>
        <w:t xml:space="preserve"> its performance throughout that period. Furthermore, an entrepreneur who does not have financial accounts will not know </w:t>
      </w:r>
      <w:proofErr w:type="gramStart"/>
      <w:r w:rsidRPr="00F93827">
        <w:rPr>
          <w:rFonts w:ascii="Times New Roman" w:hAnsi="Times New Roman" w:cs="Times New Roman"/>
          <w:sz w:val="24"/>
          <w:szCs w:val="24"/>
          <w:lang w:val="en-GB"/>
        </w:rPr>
        <w:t>whether or not</w:t>
      </w:r>
      <w:proofErr w:type="gramEnd"/>
      <w:r w:rsidRPr="00F93827">
        <w:rPr>
          <w:rFonts w:ascii="Times New Roman" w:hAnsi="Times New Roman" w:cs="Times New Roman"/>
          <w:sz w:val="24"/>
          <w:szCs w:val="24"/>
          <w:lang w:val="en-GB"/>
        </w:rPr>
        <w:t xml:space="preserve"> his firm is lucrative and successful or whether or not his company's expansion is due to a rise in loans rather than an increase in earnings. In other words, their development is not healthy. Consequently, financial statements enable shareholders and other internal and external users to make educated decisions and monitor </w:t>
      </w:r>
      <w:proofErr w:type="gramStart"/>
      <w:r w:rsidRPr="00F93827">
        <w:rPr>
          <w:rFonts w:ascii="Times New Roman" w:hAnsi="Times New Roman" w:cs="Times New Roman"/>
          <w:sz w:val="24"/>
          <w:szCs w:val="24"/>
          <w:lang w:val="en-GB"/>
        </w:rPr>
        <w:t>whether or not</w:t>
      </w:r>
      <w:proofErr w:type="gramEnd"/>
      <w:r w:rsidRPr="00F93827">
        <w:rPr>
          <w:rFonts w:ascii="Times New Roman" w:hAnsi="Times New Roman" w:cs="Times New Roman"/>
          <w:sz w:val="24"/>
          <w:szCs w:val="24"/>
          <w:lang w:val="en-GB"/>
        </w:rPr>
        <w:t xml:space="preserve"> they are reaching the intended goals. The emphasis of the study, on the other hand, is on the annual report submitted to the Securities and Exchange Commission SEC 10-K, which offers detailed information on the company's financial statistics in detail. The financial accounts will also be compared to those from the prior fiscal year to gauge the company's progress. Another critical factor to consider is the company's performance with its competitors in the industry since this provides a more comprehensive picture of its success in the industry sector</w:t>
      </w:r>
      <w:r w:rsidR="00BC1EE8" w:rsidRPr="00F93827">
        <w:rPr>
          <w:rFonts w:ascii="Times New Roman" w:hAnsi="Times New Roman" w:cs="Times New Roman"/>
          <w:sz w:val="24"/>
          <w:szCs w:val="24"/>
          <w:lang w:val="en-GB"/>
        </w:rPr>
        <w:t xml:space="preserve"> (</w:t>
      </w:r>
      <w:proofErr w:type="spellStart"/>
      <w:r w:rsidR="00BC1EE8" w:rsidRPr="00F93827">
        <w:rPr>
          <w:rFonts w:ascii="Times New Roman" w:hAnsi="Times New Roman" w:cs="Times New Roman"/>
          <w:sz w:val="24"/>
          <w:szCs w:val="24"/>
          <w:lang w:val="en-GB"/>
        </w:rPr>
        <w:t>Gurbaxani</w:t>
      </w:r>
      <w:proofErr w:type="spellEnd"/>
      <w:r w:rsidR="00BC1EE8" w:rsidRPr="00F93827">
        <w:rPr>
          <w:rFonts w:ascii="Times New Roman" w:hAnsi="Times New Roman" w:cs="Times New Roman"/>
          <w:sz w:val="24"/>
          <w:szCs w:val="24"/>
          <w:lang w:val="en-GB"/>
        </w:rPr>
        <w:t xml:space="preserve"> &amp; Debora, 2019)</w:t>
      </w:r>
      <w:r w:rsidRPr="00F93827">
        <w:rPr>
          <w:rFonts w:ascii="Times New Roman" w:hAnsi="Times New Roman" w:cs="Times New Roman"/>
          <w:sz w:val="24"/>
          <w:szCs w:val="24"/>
          <w:lang w:val="en-GB"/>
        </w:rPr>
        <w:t>. As a result, the financial statements of Jurys Inn (a hospitality company that manages a portfolio of hotels throughout the United Kingdom and Northern Ireland) for the fiscal years 2015 and 2016 will be examined, and the values calculated will be compared to those of other companies in the same industry.</w:t>
      </w:r>
    </w:p>
    <w:p w14:paraId="2E8B4AD6" w14:textId="77777777" w:rsidR="001545F2" w:rsidRPr="00CB32D2" w:rsidRDefault="00D60EC2" w:rsidP="003E1D6B">
      <w:pPr>
        <w:spacing w:after="0" w:line="480" w:lineRule="auto"/>
        <w:jc w:val="center"/>
        <w:rPr>
          <w:rFonts w:ascii="Times New Roman" w:hAnsi="Times New Roman" w:cs="Times New Roman"/>
          <w:b/>
          <w:bCs/>
          <w:sz w:val="28"/>
          <w:szCs w:val="28"/>
          <w:lang w:val="en-GB"/>
        </w:rPr>
      </w:pPr>
      <w:r w:rsidRPr="00CB32D2">
        <w:rPr>
          <w:rFonts w:ascii="Times New Roman" w:hAnsi="Times New Roman" w:cs="Times New Roman"/>
          <w:b/>
          <w:bCs/>
          <w:sz w:val="28"/>
          <w:szCs w:val="28"/>
          <w:lang w:val="en-GB"/>
        </w:rPr>
        <w:t>Financial Ratios</w:t>
      </w:r>
      <w:r w:rsidR="008B35FA" w:rsidRPr="00CB32D2">
        <w:rPr>
          <w:rFonts w:ascii="Times New Roman" w:hAnsi="Times New Roman" w:cs="Times New Roman"/>
          <w:b/>
          <w:bCs/>
          <w:sz w:val="28"/>
          <w:szCs w:val="28"/>
          <w:lang w:val="en-GB"/>
        </w:rPr>
        <w:t xml:space="preserve"> Calculation</w:t>
      </w:r>
    </w:p>
    <w:p w14:paraId="30C2B6F4" w14:textId="77777777" w:rsidR="008B35FA"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Note Better: The following calculations are divided by 1000 to simply their computations</w:t>
      </w:r>
    </w:p>
    <w:p w14:paraId="38F185DC" w14:textId="77777777" w:rsidR="001545F2" w:rsidRPr="00F93827" w:rsidRDefault="00D60EC2" w:rsidP="003E1D6B">
      <w:pPr>
        <w:pStyle w:val="ListParagraph"/>
        <w:numPr>
          <w:ilvl w:val="0"/>
          <w:numId w:val="2"/>
        </w:numPr>
        <w:spacing w:after="0" w:line="480" w:lineRule="auto"/>
        <w:ind w:left="0"/>
        <w:jc w:val="center"/>
        <w:rPr>
          <w:rFonts w:ascii="Times New Roman" w:hAnsi="Times New Roman" w:cs="Times New Roman"/>
          <w:sz w:val="24"/>
          <w:szCs w:val="24"/>
          <w:lang w:val="en-GB"/>
        </w:rPr>
      </w:pPr>
      <w:r w:rsidRPr="00F93827">
        <w:rPr>
          <w:rFonts w:ascii="Times New Roman" w:hAnsi="Times New Roman" w:cs="Times New Roman"/>
          <w:sz w:val="24"/>
          <w:szCs w:val="24"/>
          <w:lang w:val="en-GB"/>
        </w:rPr>
        <w:t>Liquidity Ratios</w:t>
      </w:r>
    </w:p>
    <w:p w14:paraId="24A90CE2" w14:textId="77777777" w:rsidR="001545F2" w:rsidRPr="00F93827" w:rsidRDefault="00D60EC2" w:rsidP="003E1D6B">
      <w:pPr>
        <w:pStyle w:val="ListParagraph"/>
        <w:numPr>
          <w:ilvl w:val="0"/>
          <w:numId w:val="3"/>
        </w:numPr>
        <w:spacing w:after="0" w:line="480" w:lineRule="auto"/>
        <w:ind w:left="0"/>
        <w:rPr>
          <w:rFonts w:ascii="Times New Roman" w:hAnsi="Times New Roman" w:cs="Times New Roman"/>
          <w:i/>
          <w:sz w:val="24"/>
          <w:szCs w:val="24"/>
          <w:lang w:val="en-GB"/>
        </w:rPr>
      </w:pPr>
      <w:r w:rsidRPr="00F93827">
        <w:rPr>
          <w:rFonts w:ascii="Times New Roman" w:hAnsi="Times New Roman" w:cs="Times New Roman"/>
          <w:i/>
          <w:sz w:val="24"/>
          <w:szCs w:val="24"/>
          <w:lang w:val="en-GB"/>
        </w:rPr>
        <w:t>Current Ratio</w:t>
      </w:r>
    </w:p>
    <w:p w14:paraId="04600A47" w14:textId="77777777" w:rsidR="001545F2"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CR= Current assets/ Current Liabilities</w:t>
      </w:r>
    </w:p>
    <w:p w14:paraId="737706E7" w14:textId="77777777" w:rsidR="001545F2"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lastRenderedPageBreak/>
        <w:t xml:space="preserve"> Year 2019= 1839/ 855= </w:t>
      </w:r>
      <w:r w:rsidR="008B35FA" w:rsidRPr="00F93827">
        <w:rPr>
          <w:rFonts w:ascii="Times New Roman" w:hAnsi="Times New Roman" w:cs="Times New Roman"/>
          <w:sz w:val="24"/>
          <w:szCs w:val="24"/>
          <w:lang w:val="en-GB"/>
        </w:rPr>
        <w:t>2.15</w:t>
      </w:r>
    </w:p>
    <w:p w14:paraId="3850C634" w14:textId="77777777" w:rsidR="001545F2"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Year 2020= 2152/888= </w:t>
      </w:r>
      <w:r w:rsidR="008B35FA" w:rsidRPr="00F93827">
        <w:rPr>
          <w:rFonts w:ascii="Times New Roman" w:hAnsi="Times New Roman" w:cs="Times New Roman"/>
          <w:sz w:val="24"/>
          <w:szCs w:val="24"/>
          <w:lang w:val="en-GB"/>
        </w:rPr>
        <w:t>2.42</w:t>
      </w:r>
    </w:p>
    <w:p w14:paraId="0DD07D27" w14:textId="77777777" w:rsidR="001545F2" w:rsidRPr="00F93827" w:rsidRDefault="00D60EC2" w:rsidP="003E1D6B">
      <w:pPr>
        <w:pStyle w:val="ListParagraph"/>
        <w:numPr>
          <w:ilvl w:val="0"/>
          <w:numId w:val="3"/>
        </w:numPr>
        <w:spacing w:after="0" w:line="480" w:lineRule="auto"/>
        <w:ind w:left="0"/>
        <w:rPr>
          <w:rFonts w:ascii="Times New Roman" w:hAnsi="Times New Roman" w:cs="Times New Roman"/>
          <w:i/>
          <w:sz w:val="24"/>
          <w:szCs w:val="24"/>
          <w:lang w:val="en-GB"/>
        </w:rPr>
      </w:pPr>
      <w:r w:rsidRPr="00F93827">
        <w:rPr>
          <w:rFonts w:ascii="Times New Roman" w:hAnsi="Times New Roman" w:cs="Times New Roman"/>
          <w:i/>
          <w:sz w:val="24"/>
          <w:szCs w:val="24"/>
          <w:lang w:val="en-GB"/>
        </w:rPr>
        <w:t>Quick Ratios</w:t>
      </w:r>
    </w:p>
    <w:p w14:paraId="125E06DB" w14:textId="77777777" w:rsidR="001545F2"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QR= [Current Assets- Inventory] / Current Liabilities</w:t>
      </w:r>
    </w:p>
    <w:p w14:paraId="3C39B030" w14:textId="77777777" w:rsidR="001545F2"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2019= [1839-700] / 855 =</w:t>
      </w:r>
      <w:r w:rsidR="008B35FA" w:rsidRPr="00F93827">
        <w:rPr>
          <w:rFonts w:ascii="Times New Roman" w:hAnsi="Times New Roman" w:cs="Times New Roman"/>
          <w:sz w:val="24"/>
          <w:szCs w:val="24"/>
          <w:lang w:val="en-GB"/>
        </w:rPr>
        <w:t xml:space="preserve"> 1.33</w:t>
      </w:r>
    </w:p>
    <w:p w14:paraId="0C28F6DC" w14:textId="77777777" w:rsidR="001545F2"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2020= [2152-750]/ 888 =</w:t>
      </w:r>
      <w:r w:rsidR="008B35FA" w:rsidRPr="00F93827">
        <w:rPr>
          <w:rFonts w:ascii="Times New Roman" w:hAnsi="Times New Roman" w:cs="Times New Roman"/>
          <w:sz w:val="24"/>
          <w:szCs w:val="24"/>
          <w:lang w:val="en-GB"/>
        </w:rPr>
        <w:t xml:space="preserve"> 1.58</w:t>
      </w:r>
    </w:p>
    <w:p w14:paraId="1A930C19" w14:textId="77777777" w:rsidR="001545F2" w:rsidRPr="00F93827" w:rsidRDefault="00D60EC2" w:rsidP="003E1D6B">
      <w:pPr>
        <w:pStyle w:val="ListParagraph"/>
        <w:numPr>
          <w:ilvl w:val="0"/>
          <w:numId w:val="2"/>
        </w:numPr>
        <w:spacing w:after="0" w:line="480" w:lineRule="auto"/>
        <w:ind w:left="0"/>
        <w:jc w:val="center"/>
        <w:rPr>
          <w:rFonts w:ascii="Times New Roman" w:hAnsi="Times New Roman" w:cs="Times New Roman"/>
          <w:sz w:val="24"/>
          <w:szCs w:val="24"/>
          <w:lang w:val="en-GB"/>
        </w:rPr>
      </w:pPr>
      <w:r w:rsidRPr="00F93827">
        <w:rPr>
          <w:rFonts w:ascii="Times New Roman" w:hAnsi="Times New Roman" w:cs="Times New Roman"/>
          <w:sz w:val="24"/>
          <w:szCs w:val="24"/>
          <w:lang w:val="en-GB"/>
        </w:rPr>
        <w:t>Profitability Ratios</w:t>
      </w:r>
    </w:p>
    <w:p w14:paraId="1643DB13" w14:textId="77777777" w:rsidR="001545F2" w:rsidRPr="00F93827" w:rsidRDefault="00D60EC2" w:rsidP="003E1D6B">
      <w:pPr>
        <w:pStyle w:val="ListParagraph"/>
        <w:numPr>
          <w:ilvl w:val="0"/>
          <w:numId w:val="4"/>
        </w:numPr>
        <w:spacing w:after="0" w:line="480" w:lineRule="auto"/>
        <w:ind w:left="0"/>
        <w:rPr>
          <w:rFonts w:ascii="Times New Roman" w:hAnsi="Times New Roman" w:cs="Times New Roman"/>
          <w:i/>
          <w:sz w:val="24"/>
          <w:szCs w:val="24"/>
          <w:lang w:val="en-GB"/>
        </w:rPr>
      </w:pPr>
      <w:r w:rsidRPr="00F93827">
        <w:rPr>
          <w:rFonts w:ascii="Times New Roman" w:hAnsi="Times New Roman" w:cs="Times New Roman"/>
          <w:i/>
          <w:sz w:val="24"/>
          <w:szCs w:val="24"/>
          <w:lang w:val="en-GB"/>
        </w:rPr>
        <w:t xml:space="preserve">Gross Profit Margin </w:t>
      </w:r>
    </w:p>
    <w:p w14:paraId="44382006" w14:textId="77777777" w:rsidR="004A2CC1"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GPM= [Sales –Cost of goods sold] / Sales</w:t>
      </w:r>
    </w:p>
    <w:p w14:paraId="383161E5" w14:textId="77777777" w:rsidR="004A2CC1"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2019= [9000- 6900] / 9000 =</w:t>
      </w:r>
      <w:r w:rsidR="008B35FA" w:rsidRPr="00F93827">
        <w:rPr>
          <w:rFonts w:ascii="Times New Roman" w:hAnsi="Times New Roman" w:cs="Times New Roman"/>
          <w:sz w:val="24"/>
          <w:szCs w:val="24"/>
          <w:lang w:val="en-GB"/>
        </w:rPr>
        <w:t xml:space="preserve"> 0.23</w:t>
      </w:r>
    </w:p>
    <w:p w14:paraId="59854E41" w14:textId="77777777" w:rsidR="004A2CC1"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2020= [9500 – 7650] / 9500=</w:t>
      </w:r>
      <w:r w:rsidR="008B35FA" w:rsidRPr="00F93827">
        <w:rPr>
          <w:rFonts w:ascii="Times New Roman" w:hAnsi="Times New Roman" w:cs="Times New Roman"/>
          <w:sz w:val="24"/>
          <w:szCs w:val="24"/>
          <w:lang w:val="en-GB"/>
        </w:rPr>
        <w:t xml:space="preserve"> 0.19</w:t>
      </w:r>
    </w:p>
    <w:p w14:paraId="6A17F910" w14:textId="77777777" w:rsidR="004A2CC1" w:rsidRPr="00F93827" w:rsidRDefault="00D60EC2" w:rsidP="003E1D6B">
      <w:pPr>
        <w:pStyle w:val="ListParagraph"/>
        <w:numPr>
          <w:ilvl w:val="0"/>
          <w:numId w:val="4"/>
        </w:numPr>
        <w:spacing w:after="0" w:line="480" w:lineRule="auto"/>
        <w:ind w:left="0"/>
        <w:rPr>
          <w:rFonts w:ascii="Times New Roman" w:hAnsi="Times New Roman" w:cs="Times New Roman"/>
          <w:i/>
          <w:sz w:val="24"/>
          <w:szCs w:val="24"/>
          <w:lang w:val="en-GB"/>
        </w:rPr>
      </w:pPr>
      <w:r w:rsidRPr="00F93827">
        <w:rPr>
          <w:rFonts w:ascii="Times New Roman" w:hAnsi="Times New Roman" w:cs="Times New Roman"/>
          <w:i/>
          <w:sz w:val="24"/>
          <w:szCs w:val="24"/>
          <w:lang w:val="en-GB"/>
        </w:rPr>
        <w:t>Net Profit Margin = Net Income/ Sales</w:t>
      </w:r>
    </w:p>
    <w:p w14:paraId="34BAD8C5" w14:textId="77777777" w:rsidR="004A2CC1"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2019= 623/ 9000 =</w:t>
      </w:r>
      <w:r w:rsidR="008B35FA" w:rsidRPr="00F93827">
        <w:rPr>
          <w:rFonts w:ascii="Times New Roman" w:hAnsi="Times New Roman" w:cs="Times New Roman"/>
          <w:sz w:val="24"/>
          <w:szCs w:val="24"/>
          <w:lang w:val="en-GB"/>
        </w:rPr>
        <w:t xml:space="preserve"> 0.07</w:t>
      </w:r>
    </w:p>
    <w:p w14:paraId="7F1ABE00" w14:textId="77777777" w:rsidR="004A2CC1"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2020 = 307/ 9500</w:t>
      </w:r>
      <w:r w:rsidR="008B35FA" w:rsidRPr="00F93827">
        <w:rPr>
          <w:rFonts w:ascii="Times New Roman" w:hAnsi="Times New Roman" w:cs="Times New Roman"/>
          <w:sz w:val="24"/>
          <w:szCs w:val="24"/>
          <w:lang w:val="en-GB"/>
        </w:rPr>
        <w:t xml:space="preserve"> = 0.03</w:t>
      </w:r>
    </w:p>
    <w:p w14:paraId="3FF80E4B" w14:textId="77777777" w:rsidR="004A2CC1" w:rsidRPr="00F93827" w:rsidRDefault="00D60EC2" w:rsidP="003E1D6B">
      <w:pPr>
        <w:pStyle w:val="ListParagraph"/>
        <w:numPr>
          <w:ilvl w:val="0"/>
          <w:numId w:val="4"/>
        </w:numPr>
        <w:spacing w:after="0" w:line="480" w:lineRule="auto"/>
        <w:ind w:left="0"/>
        <w:rPr>
          <w:rFonts w:ascii="Times New Roman" w:hAnsi="Times New Roman" w:cs="Times New Roman"/>
          <w:i/>
          <w:sz w:val="24"/>
          <w:szCs w:val="24"/>
          <w:lang w:val="en-GB"/>
        </w:rPr>
      </w:pPr>
      <w:r w:rsidRPr="00F93827">
        <w:rPr>
          <w:rFonts w:ascii="Times New Roman" w:hAnsi="Times New Roman" w:cs="Times New Roman"/>
          <w:i/>
          <w:sz w:val="24"/>
          <w:szCs w:val="24"/>
          <w:lang w:val="en-GB"/>
        </w:rPr>
        <w:t xml:space="preserve">Return on Total Assets </w:t>
      </w:r>
    </w:p>
    <w:p w14:paraId="2A493CAC" w14:textId="77777777" w:rsidR="004A2CC1" w:rsidRPr="00F93827" w:rsidRDefault="00D60EC2" w:rsidP="003E1D6B">
      <w:pPr>
        <w:pStyle w:val="ListParagraph"/>
        <w:spacing w:after="0" w:line="480" w:lineRule="auto"/>
        <w:ind w:left="0"/>
        <w:rPr>
          <w:rFonts w:ascii="Times New Roman" w:hAnsi="Times New Roman" w:cs="Times New Roman"/>
          <w:sz w:val="24"/>
          <w:szCs w:val="24"/>
          <w:lang w:val="en-GB"/>
        </w:rPr>
      </w:pPr>
      <w:r w:rsidRPr="00F93827">
        <w:rPr>
          <w:rFonts w:ascii="Times New Roman" w:hAnsi="Times New Roman" w:cs="Times New Roman"/>
          <w:sz w:val="24"/>
          <w:szCs w:val="24"/>
          <w:lang w:val="en-GB"/>
        </w:rPr>
        <w:t>= Net income/ Total Assets</w:t>
      </w:r>
    </w:p>
    <w:p w14:paraId="56A95BC3" w14:textId="77777777" w:rsidR="004A2CC1"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2019= 623 / 3539 =</w:t>
      </w:r>
      <w:r w:rsidR="008B35FA" w:rsidRPr="00F93827">
        <w:rPr>
          <w:rFonts w:ascii="Times New Roman" w:hAnsi="Times New Roman" w:cs="Times New Roman"/>
          <w:sz w:val="24"/>
          <w:szCs w:val="24"/>
          <w:lang w:val="en-GB"/>
        </w:rPr>
        <w:t xml:space="preserve"> 0. 18</w:t>
      </w:r>
    </w:p>
    <w:p w14:paraId="3A323A68" w14:textId="77777777" w:rsidR="004A2CC1"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2020= 307 / 3902 =</w:t>
      </w:r>
      <w:r w:rsidR="008B35FA" w:rsidRPr="00F93827">
        <w:rPr>
          <w:rFonts w:ascii="Times New Roman" w:hAnsi="Times New Roman" w:cs="Times New Roman"/>
          <w:sz w:val="24"/>
          <w:szCs w:val="24"/>
          <w:lang w:val="en-GB"/>
        </w:rPr>
        <w:t xml:space="preserve"> 0.08</w:t>
      </w:r>
    </w:p>
    <w:p w14:paraId="33F77735" w14:textId="77777777" w:rsidR="004A2CC1" w:rsidRPr="00F93827" w:rsidRDefault="00D60EC2" w:rsidP="003E1D6B">
      <w:pPr>
        <w:pStyle w:val="ListParagraph"/>
        <w:numPr>
          <w:ilvl w:val="0"/>
          <w:numId w:val="4"/>
        </w:numPr>
        <w:spacing w:after="0" w:line="480" w:lineRule="auto"/>
        <w:ind w:left="0"/>
        <w:rPr>
          <w:rFonts w:ascii="Times New Roman" w:hAnsi="Times New Roman" w:cs="Times New Roman"/>
          <w:i/>
          <w:sz w:val="24"/>
          <w:szCs w:val="24"/>
          <w:lang w:val="en-GB"/>
        </w:rPr>
      </w:pPr>
      <w:r w:rsidRPr="00F93827">
        <w:rPr>
          <w:rFonts w:ascii="Times New Roman" w:hAnsi="Times New Roman" w:cs="Times New Roman"/>
          <w:i/>
          <w:sz w:val="24"/>
          <w:szCs w:val="24"/>
          <w:lang w:val="en-GB"/>
        </w:rPr>
        <w:t>Return on Equity= Net income/ Owners Equity</w:t>
      </w:r>
    </w:p>
    <w:p w14:paraId="37A4F469" w14:textId="77777777" w:rsidR="004A2CC1"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Owners’ Equity = Assets- Liabilities</w:t>
      </w:r>
    </w:p>
    <w:p w14:paraId="4E4136E9" w14:textId="77777777" w:rsidR="004A2CC1"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2019= 623 / 2534 =</w:t>
      </w:r>
      <w:r w:rsidR="008B35FA" w:rsidRPr="00F93827">
        <w:rPr>
          <w:rFonts w:ascii="Times New Roman" w:hAnsi="Times New Roman" w:cs="Times New Roman"/>
          <w:sz w:val="24"/>
          <w:szCs w:val="24"/>
          <w:lang w:val="en-GB"/>
        </w:rPr>
        <w:t xml:space="preserve"> 0.25</w:t>
      </w:r>
    </w:p>
    <w:p w14:paraId="36E46F86" w14:textId="77777777" w:rsidR="004A2CC1"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2020= 307 / 2864 =</w:t>
      </w:r>
      <w:r w:rsidR="008B35FA" w:rsidRPr="00F93827">
        <w:rPr>
          <w:rFonts w:ascii="Times New Roman" w:hAnsi="Times New Roman" w:cs="Times New Roman"/>
          <w:sz w:val="24"/>
          <w:szCs w:val="24"/>
          <w:lang w:val="en-GB"/>
        </w:rPr>
        <w:t xml:space="preserve"> 0.11</w:t>
      </w:r>
    </w:p>
    <w:p w14:paraId="74972A37" w14:textId="77777777" w:rsidR="004A2CC1" w:rsidRPr="00F93827" w:rsidRDefault="00D60EC2" w:rsidP="003E1D6B">
      <w:pPr>
        <w:pStyle w:val="ListParagraph"/>
        <w:numPr>
          <w:ilvl w:val="0"/>
          <w:numId w:val="2"/>
        </w:numPr>
        <w:spacing w:after="0" w:line="480" w:lineRule="auto"/>
        <w:ind w:left="0"/>
        <w:jc w:val="center"/>
        <w:rPr>
          <w:rFonts w:ascii="Times New Roman" w:hAnsi="Times New Roman" w:cs="Times New Roman"/>
          <w:sz w:val="24"/>
          <w:szCs w:val="24"/>
          <w:lang w:val="en-GB"/>
        </w:rPr>
      </w:pPr>
      <w:r w:rsidRPr="00F93827">
        <w:rPr>
          <w:rFonts w:ascii="Times New Roman" w:hAnsi="Times New Roman" w:cs="Times New Roman"/>
          <w:sz w:val="24"/>
          <w:szCs w:val="24"/>
          <w:lang w:val="en-GB"/>
        </w:rPr>
        <w:t>Gearing Ratios</w:t>
      </w:r>
    </w:p>
    <w:p w14:paraId="663B6535" w14:textId="77777777" w:rsidR="004A2CC1" w:rsidRPr="00F93827" w:rsidRDefault="00D60EC2" w:rsidP="003E1D6B">
      <w:pPr>
        <w:pStyle w:val="ListParagraph"/>
        <w:numPr>
          <w:ilvl w:val="0"/>
          <w:numId w:val="5"/>
        </w:numPr>
        <w:spacing w:after="0" w:line="480" w:lineRule="auto"/>
        <w:ind w:left="0"/>
        <w:rPr>
          <w:rFonts w:ascii="Times New Roman" w:hAnsi="Times New Roman" w:cs="Times New Roman"/>
          <w:i/>
          <w:sz w:val="24"/>
          <w:szCs w:val="24"/>
          <w:lang w:val="en-GB"/>
        </w:rPr>
      </w:pPr>
      <w:r w:rsidRPr="00F93827">
        <w:rPr>
          <w:rFonts w:ascii="Times New Roman" w:hAnsi="Times New Roman" w:cs="Times New Roman"/>
          <w:i/>
          <w:sz w:val="24"/>
          <w:szCs w:val="24"/>
          <w:lang w:val="en-GB"/>
        </w:rPr>
        <w:lastRenderedPageBreak/>
        <w:t>Debts to Assets Ratio= Total Debts/ Total Assets</w:t>
      </w:r>
    </w:p>
    <w:p w14:paraId="0FA68B62" w14:textId="77777777" w:rsidR="004A2CC1" w:rsidRPr="00F93827" w:rsidRDefault="00D60EC2" w:rsidP="003E1D6B">
      <w:pPr>
        <w:pStyle w:val="ListParagraph"/>
        <w:spacing w:after="0" w:line="480" w:lineRule="auto"/>
        <w:ind w:left="0"/>
        <w:rPr>
          <w:rFonts w:ascii="Times New Roman" w:hAnsi="Times New Roman" w:cs="Times New Roman"/>
          <w:sz w:val="24"/>
          <w:szCs w:val="24"/>
          <w:lang w:val="en-GB"/>
        </w:rPr>
      </w:pPr>
      <w:r w:rsidRPr="00F93827">
        <w:rPr>
          <w:rFonts w:ascii="Times New Roman" w:hAnsi="Times New Roman" w:cs="Times New Roman"/>
          <w:sz w:val="24"/>
          <w:szCs w:val="24"/>
          <w:lang w:val="en-GB"/>
        </w:rPr>
        <w:t>Year 2019= 1005/ 3539</w:t>
      </w:r>
      <w:r w:rsidR="008B35FA" w:rsidRPr="00F93827">
        <w:rPr>
          <w:rFonts w:ascii="Times New Roman" w:hAnsi="Times New Roman" w:cs="Times New Roman"/>
          <w:sz w:val="24"/>
          <w:szCs w:val="24"/>
          <w:lang w:val="en-GB"/>
        </w:rPr>
        <w:t xml:space="preserve"> = 0.28</w:t>
      </w:r>
    </w:p>
    <w:p w14:paraId="033DDC03" w14:textId="77777777" w:rsidR="00255BE8" w:rsidRPr="00F93827" w:rsidRDefault="00D60EC2" w:rsidP="003E1D6B">
      <w:pPr>
        <w:pStyle w:val="ListParagraph"/>
        <w:spacing w:after="0" w:line="480" w:lineRule="auto"/>
        <w:ind w:left="0"/>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 Year 2020= 1038/ 3902</w:t>
      </w:r>
      <w:r w:rsidR="008B35FA" w:rsidRPr="00F93827">
        <w:rPr>
          <w:rFonts w:ascii="Times New Roman" w:hAnsi="Times New Roman" w:cs="Times New Roman"/>
          <w:sz w:val="24"/>
          <w:szCs w:val="24"/>
          <w:lang w:val="en-GB"/>
        </w:rPr>
        <w:t xml:space="preserve"> = 0.27</w:t>
      </w:r>
    </w:p>
    <w:p w14:paraId="772E1569" w14:textId="77777777" w:rsidR="00255BE8" w:rsidRPr="00F93827" w:rsidRDefault="00D60EC2" w:rsidP="003E1D6B">
      <w:pPr>
        <w:pStyle w:val="ListParagraph"/>
        <w:numPr>
          <w:ilvl w:val="0"/>
          <w:numId w:val="5"/>
        </w:numPr>
        <w:spacing w:after="0" w:line="480" w:lineRule="auto"/>
        <w:ind w:left="0"/>
        <w:rPr>
          <w:rFonts w:ascii="Times New Roman" w:hAnsi="Times New Roman" w:cs="Times New Roman"/>
          <w:i/>
          <w:sz w:val="24"/>
          <w:szCs w:val="24"/>
          <w:lang w:val="en-GB"/>
        </w:rPr>
      </w:pPr>
      <w:r w:rsidRPr="00F93827">
        <w:rPr>
          <w:rFonts w:ascii="Times New Roman" w:hAnsi="Times New Roman" w:cs="Times New Roman"/>
          <w:i/>
          <w:sz w:val="24"/>
          <w:szCs w:val="24"/>
          <w:lang w:val="en-GB"/>
        </w:rPr>
        <w:t>Debt to Equity Ratio= Total debts/ Owner’s Equity</w:t>
      </w:r>
    </w:p>
    <w:p w14:paraId="3DF85170" w14:textId="77777777" w:rsidR="00255BE8"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2019= 1005/ 2534</w:t>
      </w:r>
      <w:r w:rsidR="008B35FA" w:rsidRPr="00F93827">
        <w:rPr>
          <w:rFonts w:ascii="Times New Roman" w:hAnsi="Times New Roman" w:cs="Times New Roman"/>
          <w:sz w:val="24"/>
          <w:szCs w:val="24"/>
          <w:lang w:val="en-GB"/>
        </w:rPr>
        <w:t xml:space="preserve"> = 0.40</w:t>
      </w:r>
    </w:p>
    <w:p w14:paraId="7A58FCA4" w14:textId="77777777" w:rsidR="00255BE8"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Year 2020= 1038/ 2864 </w:t>
      </w:r>
      <w:r w:rsidR="008B35FA" w:rsidRPr="00F93827">
        <w:rPr>
          <w:rFonts w:ascii="Times New Roman" w:hAnsi="Times New Roman" w:cs="Times New Roman"/>
          <w:sz w:val="24"/>
          <w:szCs w:val="24"/>
          <w:lang w:val="en-GB"/>
        </w:rPr>
        <w:t>= 0.36</w:t>
      </w:r>
    </w:p>
    <w:p w14:paraId="42E1204E" w14:textId="77777777" w:rsidR="008B35FA" w:rsidRPr="00F93827" w:rsidRDefault="00D60EC2" w:rsidP="003E1D6B">
      <w:pPr>
        <w:pStyle w:val="ListParagraph"/>
        <w:numPr>
          <w:ilvl w:val="0"/>
          <w:numId w:val="5"/>
        </w:numPr>
        <w:spacing w:after="0" w:line="480" w:lineRule="auto"/>
        <w:ind w:left="0"/>
        <w:rPr>
          <w:rFonts w:ascii="Times New Roman" w:hAnsi="Times New Roman" w:cs="Times New Roman"/>
          <w:i/>
          <w:sz w:val="24"/>
          <w:szCs w:val="24"/>
          <w:lang w:val="en-GB"/>
        </w:rPr>
      </w:pPr>
      <w:r w:rsidRPr="00F93827">
        <w:rPr>
          <w:rFonts w:ascii="Times New Roman" w:hAnsi="Times New Roman" w:cs="Times New Roman"/>
          <w:i/>
          <w:sz w:val="24"/>
          <w:szCs w:val="24"/>
          <w:lang w:val="en-GB"/>
        </w:rPr>
        <w:t>Time Interest Earned</w:t>
      </w:r>
    </w:p>
    <w:p w14:paraId="51A12C92" w14:textId="77777777" w:rsidR="00255BE8"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 [Income before Taxes + Interest] / Interest charges</w:t>
      </w:r>
    </w:p>
    <w:p w14:paraId="2F37CDE2" w14:textId="77777777" w:rsidR="00255BE8"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2019= (623+10) / 10</w:t>
      </w:r>
      <w:r w:rsidR="008B35FA" w:rsidRPr="00F93827">
        <w:rPr>
          <w:rFonts w:ascii="Times New Roman" w:hAnsi="Times New Roman" w:cs="Times New Roman"/>
          <w:sz w:val="24"/>
          <w:szCs w:val="24"/>
          <w:lang w:val="en-GB"/>
        </w:rPr>
        <w:t xml:space="preserve"> = 63.3</w:t>
      </w:r>
    </w:p>
    <w:p w14:paraId="0AE21FB6" w14:textId="77777777" w:rsidR="00255BE8" w:rsidRPr="00F93827" w:rsidRDefault="00D60EC2" w:rsidP="003E1D6B">
      <w:pPr>
        <w:spacing w:after="0" w:line="480" w:lineRule="auto"/>
        <w:rPr>
          <w:rFonts w:ascii="Times New Roman" w:hAnsi="Times New Roman" w:cs="Times New Roman"/>
          <w:sz w:val="24"/>
          <w:szCs w:val="24"/>
          <w:lang w:val="en-GB"/>
        </w:rPr>
      </w:pPr>
      <w:r w:rsidRPr="00F93827">
        <w:rPr>
          <w:rFonts w:ascii="Times New Roman" w:hAnsi="Times New Roman" w:cs="Times New Roman"/>
          <w:sz w:val="24"/>
          <w:szCs w:val="24"/>
          <w:lang w:val="en-GB"/>
        </w:rPr>
        <w:t>Year 2020= (307+90 / 9</w:t>
      </w:r>
      <w:r w:rsidR="008B35FA" w:rsidRPr="00F93827">
        <w:rPr>
          <w:rFonts w:ascii="Times New Roman" w:hAnsi="Times New Roman" w:cs="Times New Roman"/>
          <w:sz w:val="24"/>
          <w:szCs w:val="24"/>
          <w:lang w:val="en-GB"/>
        </w:rPr>
        <w:t xml:space="preserve"> = 44.11</w:t>
      </w:r>
    </w:p>
    <w:p w14:paraId="1FE73CF8" w14:textId="77777777" w:rsidR="003F51B0" w:rsidRPr="0097613B" w:rsidRDefault="00D60EC2" w:rsidP="00434F3F">
      <w:pPr>
        <w:spacing w:after="0" w:line="480" w:lineRule="auto"/>
        <w:jc w:val="center"/>
        <w:rPr>
          <w:rFonts w:ascii="Times New Roman" w:hAnsi="Times New Roman" w:cs="Times New Roman"/>
          <w:b/>
          <w:bCs/>
          <w:sz w:val="28"/>
          <w:szCs w:val="28"/>
          <w:lang w:val="en-GB"/>
        </w:rPr>
      </w:pPr>
      <w:r w:rsidRPr="0097613B">
        <w:rPr>
          <w:rFonts w:ascii="Times New Roman" w:hAnsi="Times New Roman" w:cs="Times New Roman"/>
          <w:b/>
          <w:bCs/>
          <w:sz w:val="28"/>
          <w:szCs w:val="28"/>
          <w:lang w:val="en-GB"/>
        </w:rPr>
        <w:t>Ratio Analysis</w:t>
      </w:r>
    </w:p>
    <w:p w14:paraId="051AC43F" w14:textId="10094FF7" w:rsidR="003F51B0"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A ratio analysis is a statistical comparison of financial statements that helps investors, creditors, and the company's management better understand the company's financial condition and performance</w:t>
      </w:r>
      <w:r w:rsidR="003E1D6B" w:rsidRPr="00F93827">
        <w:rPr>
          <w:rFonts w:ascii="Times New Roman" w:hAnsi="Times New Roman" w:cs="Times New Roman"/>
          <w:sz w:val="24"/>
          <w:szCs w:val="24"/>
          <w:lang w:val="en-GB"/>
        </w:rPr>
        <w:t xml:space="preserve"> (</w:t>
      </w:r>
      <w:proofErr w:type="spellStart"/>
      <w:r w:rsidR="003E1D6B" w:rsidRPr="00F93827">
        <w:rPr>
          <w:rFonts w:ascii="Times New Roman" w:hAnsi="Times New Roman" w:cs="Times New Roman"/>
          <w:sz w:val="24"/>
          <w:szCs w:val="24"/>
          <w:lang w:val="en-GB"/>
        </w:rPr>
        <w:t>Mahotra</w:t>
      </w:r>
      <w:proofErr w:type="spellEnd"/>
      <w:r w:rsidR="003E1D6B" w:rsidRPr="00F93827">
        <w:rPr>
          <w:rFonts w:ascii="Times New Roman" w:hAnsi="Times New Roman" w:cs="Times New Roman"/>
          <w:sz w:val="24"/>
          <w:szCs w:val="24"/>
          <w:lang w:val="en-GB"/>
        </w:rPr>
        <w:t xml:space="preserve"> &amp; Malhotra 2008)</w:t>
      </w:r>
      <w:r w:rsidRPr="00F93827">
        <w:rPr>
          <w:rFonts w:ascii="Times New Roman" w:hAnsi="Times New Roman" w:cs="Times New Roman"/>
          <w:sz w:val="24"/>
          <w:szCs w:val="24"/>
          <w:lang w:val="en-GB"/>
        </w:rPr>
        <w:t>. It is necessary to calculate the financial ratios of Jurys Inn and compare them with the industry average to comprehend the financial status of the establishment.</w:t>
      </w:r>
    </w:p>
    <w:p w14:paraId="6EE769AB" w14:textId="77777777" w:rsidR="003F51B0" w:rsidRPr="0097613B" w:rsidRDefault="00D60EC2" w:rsidP="00A21674">
      <w:pPr>
        <w:spacing w:after="0" w:line="480" w:lineRule="auto"/>
        <w:rPr>
          <w:rFonts w:ascii="Times New Roman" w:hAnsi="Times New Roman" w:cs="Times New Roman"/>
          <w:b/>
          <w:bCs/>
          <w:i/>
          <w:sz w:val="24"/>
          <w:szCs w:val="24"/>
          <w:lang w:val="en-GB"/>
        </w:rPr>
      </w:pPr>
      <w:r w:rsidRPr="0097613B">
        <w:rPr>
          <w:rFonts w:ascii="Times New Roman" w:hAnsi="Times New Roman" w:cs="Times New Roman"/>
          <w:b/>
          <w:bCs/>
          <w:i/>
          <w:sz w:val="24"/>
          <w:szCs w:val="24"/>
          <w:lang w:val="en-GB"/>
        </w:rPr>
        <w:t>Current Ratio</w:t>
      </w:r>
    </w:p>
    <w:p w14:paraId="3ECDBB95" w14:textId="79E2E64D" w:rsidR="003F51B0"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Using the current ratio, </w:t>
      </w:r>
      <w:r w:rsidR="00A21674" w:rsidRPr="00F93827">
        <w:rPr>
          <w:rFonts w:ascii="Times New Roman" w:hAnsi="Times New Roman" w:cs="Times New Roman"/>
          <w:sz w:val="24"/>
          <w:szCs w:val="24"/>
          <w:lang w:val="en-GB"/>
        </w:rPr>
        <w:t>one</w:t>
      </w:r>
      <w:r w:rsidRPr="00F93827">
        <w:rPr>
          <w:rFonts w:ascii="Times New Roman" w:hAnsi="Times New Roman" w:cs="Times New Roman"/>
          <w:sz w:val="24"/>
          <w:szCs w:val="24"/>
          <w:lang w:val="en-GB"/>
        </w:rPr>
        <w:t xml:space="preserve"> may determine </w:t>
      </w:r>
      <w:r w:rsidR="00B32444" w:rsidRPr="00F93827">
        <w:rPr>
          <w:rFonts w:ascii="Times New Roman" w:hAnsi="Times New Roman" w:cs="Times New Roman"/>
          <w:sz w:val="24"/>
          <w:szCs w:val="24"/>
          <w:lang w:val="en-GB"/>
        </w:rPr>
        <w:t>whether</w:t>
      </w:r>
      <w:r w:rsidRPr="00F93827">
        <w:rPr>
          <w:rFonts w:ascii="Times New Roman" w:hAnsi="Times New Roman" w:cs="Times New Roman"/>
          <w:sz w:val="24"/>
          <w:szCs w:val="24"/>
          <w:lang w:val="en-GB"/>
        </w:rPr>
        <w:t xml:space="preserve"> a company has the capacity to pay its current liabilities with its curr</w:t>
      </w:r>
      <w:r w:rsidR="003E1D6B" w:rsidRPr="00F93827">
        <w:rPr>
          <w:rFonts w:ascii="Times New Roman" w:hAnsi="Times New Roman" w:cs="Times New Roman"/>
          <w:sz w:val="24"/>
          <w:szCs w:val="24"/>
          <w:lang w:val="en-GB"/>
        </w:rPr>
        <w:t>ent assets (</w:t>
      </w:r>
      <w:proofErr w:type="spellStart"/>
      <w:r w:rsidR="003E1D6B" w:rsidRPr="00F93827">
        <w:rPr>
          <w:rFonts w:ascii="Times New Roman" w:hAnsi="Times New Roman" w:cs="Times New Roman"/>
          <w:sz w:val="24"/>
          <w:szCs w:val="24"/>
          <w:lang w:val="en-GB"/>
        </w:rPr>
        <w:t>Herawatti</w:t>
      </w:r>
      <w:proofErr w:type="spellEnd"/>
      <w:r w:rsidR="003E1D6B" w:rsidRPr="00F93827">
        <w:rPr>
          <w:rFonts w:ascii="Times New Roman" w:hAnsi="Times New Roman" w:cs="Times New Roman"/>
          <w:sz w:val="24"/>
          <w:szCs w:val="24"/>
          <w:lang w:val="en-GB"/>
        </w:rPr>
        <w:t xml:space="preserve"> &amp; Fauzia</w:t>
      </w:r>
      <w:r w:rsidR="00A21674" w:rsidRPr="00F93827">
        <w:rPr>
          <w:rFonts w:ascii="Times New Roman" w:hAnsi="Times New Roman" w:cs="Times New Roman"/>
          <w:sz w:val="24"/>
          <w:szCs w:val="24"/>
          <w:lang w:val="en-GB"/>
        </w:rPr>
        <w:t>,</w:t>
      </w:r>
      <w:r w:rsidR="003E1D6B" w:rsidRPr="00F93827">
        <w:rPr>
          <w:rFonts w:ascii="Times New Roman" w:hAnsi="Times New Roman" w:cs="Times New Roman"/>
          <w:sz w:val="24"/>
          <w:szCs w:val="24"/>
          <w:lang w:val="en-GB"/>
        </w:rPr>
        <w:t xml:space="preserve"> 2018). The optimal current</w:t>
      </w:r>
      <w:r w:rsidRPr="00F93827">
        <w:rPr>
          <w:rFonts w:ascii="Times New Roman" w:hAnsi="Times New Roman" w:cs="Times New Roman"/>
          <w:sz w:val="24"/>
          <w:szCs w:val="24"/>
          <w:lang w:val="en-GB"/>
        </w:rPr>
        <w:t xml:space="preserve"> ratio is two. Jurys Inn had a ratio of 2.15 in 2019 and 2.42 in 2020, compared to 2.15 in 2018. (The ideal ratio). It implies that the corporation has a solid ability to pay off its short-term debts from its current assets, which have improved over time.</w:t>
      </w:r>
    </w:p>
    <w:p w14:paraId="2ED1E34C" w14:textId="77777777" w:rsidR="00A21674" w:rsidRPr="00F93827" w:rsidRDefault="00A21674" w:rsidP="003E1D6B">
      <w:pPr>
        <w:spacing w:after="0" w:line="480" w:lineRule="auto"/>
        <w:ind w:firstLine="720"/>
        <w:rPr>
          <w:rFonts w:ascii="Times New Roman" w:hAnsi="Times New Roman" w:cs="Times New Roman"/>
          <w:sz w:val="24"/>
          <w:szCs w:val="24"/>
          <w:lang w:val="en-GB"/>
        </w:rPr>
      </w:pPr>
    </w:p>
    <w:p w14:paraId="75A223B5" w14:textId="342A8DB6" w:rsidR="003F51B0" w:rsidRPr="0097613B" w:rsidRDefault="00D60EC2" w:rsidP="00A21674">
      <w:pPr>
        <w:spacing w:after="0" w:line="480" w:lineRule="auto"/>
        <w:rPr>
          <w:rFonts w:ascii="Times New Roman" w:hAnsi="Times New Roman" w:cs="Times New Roman"/>
          <w:b/>
          <w:bCs/>
          <w:i/>
          <w:sz w:val="24"/>
          <w:szCs w:val="24"/>
          <w:lang w:val="en-GB"/>
        </w:rPr>
      </w:pPr>
      <w:r w:rsidRPr="0097613B">
        <w:rPr>
          <w:rFonts w:ascii="Times New Roman" w:hAnsi="Times New Roman" w:cs="Times New Roman"/>
          <w:b/>
          <w:bCs/>
          <w:i/>
          <w:sz w:val="24"/>
          <w:szCs w:val="24"/>
          <w:lang w:val="en-GB"/>
        </w:rPr>
        <w:lastRenderedPageBreak/>
        <w:t xml:space="preserve">Quick Ratio </w:t>
      </w:r>
    </w:p>
    <w:p w14:paraId="6840DC20" w14:textId="5107D9A5" w:rsidR="003F51B0"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It assesses the company's capacity to pay off its present creditors with the money it has on hand in the form of short-term assets. Quick assets are computed by subtracting inventories from current assets in the financial statement. In 2019, the company's profitabilit</w:t>
      </w:r>
      <w:r w:rsidR="00A21674" w:rsidRPr="00F93827">
        <w:rPr>
          <w:rFonts w:ascii="Times New Roman" w:hAnsi="Times New Roman" w:cs="Times New Roman"/>
          <w:sz w:val="24"/>
          <w:szCs w:val="24"/>
          <w:lang w:val="en-GB"/>
        </w:rPr>
        <w:t>y ratio was 1.33, while in 2020</w:t>
      </w:r>
      <w:r w:rsidRPr="00F93827">
        <w:rPr>
          <w:rFonts w:ascii="Times New Roman" w:hAnsi="Times New Roman" w:cs="Times New Roman"/>
          <w:sz w:val="24"/>
          <w:szCs w:val="24"/>
          <w:lang w:val="en-GB"/>
        </w:rPr>
        <w:t xml:space="preserve"> it was 1.58. When compared to the rest of the industry, it is much higher. </w:t>
      </w:r>
      <w:r w:rsidR="00A21674" w:rsidRPr="00F93827">
        <w:rPr>
          <w:rFonts w:ascii="Times New Roman" w:hAnsi="Times New Roman" w:cs="Times New Roman"/>
          <w:sz w:val="24"/>
          <w:szCs w:val="24"/>
          <w:lang w:val="en-GB"/>
        </w:rPr>
        <w:t>T</w:t>
      </w:r>
      <w:r w:rsidRPr="00F93827">
        <w:rPr>
          <w:rFonts w:ascii="Times New Roman" w:hAnsi="Times New Roman" w:cs="Times New Roman"/>
          <w:sz w:val="24"/>
          <w:szCs w:val="24"/>
          <w:lang w:val="en-GB"/>
        </w:rPr>
        <w:t>he corporation</w:t>
      </w:r>
      <w:r w:rsidR="00A21674" w:rsidRPr="00F93827">
        <w:rPr>
          <w:rFonts w:ascii="Times New Roman" w:hAnsi="Times New Roman" w:cs="Times New Roman"/>
          <w:sz w:val="24"/>
          <w:szCs w:val="24"/>
          <w:lang w:val="en-GB"/>
        </w:rPr>
        <w:t>’s</w:t>
      </w:r>
      <w:r w:rsidRPr="00F93827">
        <w:rPr>
          <w:rFonts w:ascii="Times New Roman" w:hAnsi="Times New Roman" w:cs="Times New Roman"/>
          <w:sz w:val="24"/>
          <w:szCs w:val="24"/>
          <w:lang w:val="en-GB"/>
        </w:rPr>
        <w:t xml:space="preserve"> </w:t>
      </w:r>
      <w:r w:rsidR="00A21674" w:rsidRPr="00F93827">
        <w:rPr>
          <w:rFonts w:ascii="Times New Roman" w:hAnsi="Times New Roman" w:cs="Times New Roman"/>
          <w:sz w:val="24"/>
          <w:szCs w:val="24"/>
          <w:lang w:val="en-GB"/>
        </w:rPr>
        <w:t>ability</w:t>
      </w:r>
      <w:r w:rsidRPr="00F93827">
        <w:rPr>
          <w:rFonts w:ascii="Times New Roman" w:hAnsi="Times New Roman" w:cs="Times New Roman"/>
          <w:sz w:val="24"/>
          <w:szCs w:val="24"/>
          <w:lang w:val="en-GB"/>
        </w:rPr>
        <w:t xml:space="preserve"> to pay off its short-term debts indicates its financial strength. Compared to the previous year, Jurys Inn was in a stronger position to pay down its short-term commitments in 2020.</w:t>
      </w:r>
    </w:p>
    <w:p w14:paraId="1B499DC1" w14:textId="77777777" w:rsidR="003F51B0" w:rsidRPr="0097613B" w:rsidRDefault="00D60EC2" w:rsidP="00A21674">
      <w:pPr>
        <w:spacing w:after="0" w:line="480" w:lineRule="auto"/>
        <w:rPr>
          <w:rFonts w:ascii="Times New Roman" w:hAnsi="Times New Roman" w:cs="Times New Roman"/>
          <w:b/>
          <w:bCs/>
          <w:i/>
          <w:sz w:val="24"/>
          <w:szCs w:val="24"/>
          <w:lang w:val="en-GB"/>
        </w:rPr>
      </w:pPr>
      <w:r w:rsidRPr="0097613B">
        <w:rPr>
          <w:rFonts w:ascii="Times New Roman" w:hAnsi="Times New Roman" w:cs="Times New Roman"/>
          <w:b/>
          <w:bCs/>
          <w:i/>
          <w:sz w:val="24"/>
          <w:szCs w:val="24"/>
          <w:lang w:val="en-GB"/>
        </w:rPr>
        <w:t xml:space="preserve">Gross Profit Margin </w:t>
      </w:r>
    </w:p>
    <w:p w14:paraId="7235BEB1" w14:textId="77777777" w:rsidR="003F51B0"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It is a profitability ratio that compares the gross margin of a company with the net sales. It is a metric used to assess the profitability of a company's sales of inventories. If the company's inventory sales are less profitable than those of its competitors, its profitability will be poor in the following financial years. Jurys Inn's occupancy rate was 23 percent in 2019 and 19 percent in 2020, both of which were lower than the industry average of 25.00 percent for the same year.</w:t>
      </w:r>
    </w:p>
    <w:p w14:paraId="12E17461" w14:textId="77777777" w:rsidR="003F51B0" w:rsidRPr="0097613B" w:rsidRDefault="00D60EC2" w:rsidP="00A21674">
      <w:pPr>
        <w:spacing w:after="0" w:line="480" w:lineRule="auto"/>
        <w:rPr>
          <w:rFonts w:ascii="Times New Roman" w:hAnsi="Times New Roman" w:cs="Times New Roman"/>
          <w:b/>
          <w:bCs/>
          <w:i/>
          <w:sz w:val="24"/>
          <w:szCs w:val="24"/>
          <w:lang w:val="en-GB"/>
        </w:rPr>
      </w:pPr>
      <w:r w:rsidRPr="0097613B">
        <w:rPr>
          <w:rFonts w:ascii="Times New Roman" w:hAnsi="Times New Roman" w:cs="Times New Roman"/>
          <w:b/>
          <w:bCs/>
          <w:i/>
          <w:sz w:val="24"/>
          <w:szCs w:val="24"/>
          <w:lang w:val="en-GB"/>
        </w:rPr>
        <w:t>Profit Margin (Net Profit Margin)</w:t>
      </w:r>
    </w:p>
    <w:p w14:paraId="6E3A6C40" w14:textId="77777777" w:rsidR="003F51B0"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It is defined as net income expressed as a proportion of net sales. The Net Profit Margin is somewhat lower than the industry average of 10%, which is good. It shows that the company's profitability is poor compared to its competitors and that the situation is likely to worsen in 2020. According to the most recent available data, Jurys Inn's occupancy rate was 7 percent in 2019 and 3 percent in 2020.</w:t>
      </w:r>
    </w:p>
    <w:p w14:paraId="5257CA3C" w14:textId="77777777" w:rsidR="00223F39" w:rsidRPr="0097613B" w:rsidRDefault="00D60EC2" w:rsidP="00A21674">
      <w:pPr>
        <w:spacing w:after="0" w:line="480" w:lineRule="auto"/>
        <w:rPr>
          <w:rFonts w:ascii="Times New Roman" w:hAnsi="Times New Roman" w:cs="Times New Roman"/>
          <w:b/>
          <w:bCs/>
          <w:i/>
          <w:sz w:val="24"/>
          <w:szCs w:val="24"/>
          <w:lang w:val="en-GB"/>
        </w:rPr>
      </w:pPr>
      <w:r w:rsidRPr="0097613B">
        <w:rPr>
          <w:rFonts w:ascii="Times New Roman" w:hAnsi="Times New Roman" w:cs="Times New Roman"/>
          <w:b/>
          <w:bCs/>
          <w:i/>
          <w:sz w:val="24"/>
          <w:szCs w:val="24"/>
          <w:lang w:val="en-GB"/>
        </w:rPr>
        <w:t>Debt-to-income ratio (Debt to Assets)</w:t>
      </w:r>
    </w:p>
    <w:p w14:paraId="0CF64AB9" w14:textId="4BA1EFC3" w:rsidR="00223F39"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It is referred to as the leverage ratio, and it represents the proportion of total assets financed by creditors rather than by investors</w:t>
      </w:r>
      <w:r w:rsidR="003E1D6B" w:rsidRPr="00F93827">
        <w:rPr>
          <w:rFonts w:ascii="Times New Roman" w:hAnsi="Times New Roman" w:cs="Times New Roman"/>
          <w:sz w:val="24"/>
          <w:szCs w:val="24"/>
          <w:lang w:val="en-GB"/>
        </w:rPr>
        <w:t xml:space="preserve"> (Friedman</w:t>
      </w:r>
      <w:r w:rsidR="00A21674" w:rsidRPr="00F93827">
        <w:rPr>
          <w:rFonts w:ascii="Times New Roman" w:hAnsi="Times New Roman" w:cs="Times New Roman"/>
          <w:sz w:val="24"/>
          <w:szCs w:val="24"/>
          <w:lang w:val="en-GB"/>
        </w:rPr>
        <w:t>,</w:t>
      </w:r>
      <w:r w:rsidR="003E1D6B" w:rsidRPr="00F93827">
        <w:rPr>
          <w:rFonts w:ascii="Times New Roman" w:hAnsi="Times New Roman" w:cs="Times New Roman"/>
          <w:sz w:val="24"/>
          <w:szCs w:val="24"/>
          <w:lang w:val="en-GB"/>
        </w:rPr>
        <w:t xml:space="preserve"> 1985)</w:t>
      </w:r>
      <w:r w:rsidRPr="00F93827">
        <w:rPr>
          <w:rFonts w:ascii="Times New Roman" w:hAnsi="Times New Roman" w:cs="Times New Roman"/>
          <w:sz w:val="24"/>
          <w:szCs w:val="24"/>
          <w:lang w:val="en-GB"/>
        </w:rPr>
        <w:t xml:space="preserve">. It is usually preferable to have a </w:t>
      </w:r>
      <w:r w:rsidRPr="00F93827">
        <w:rPr>
          <w:rFonts w:ascii="Times New Roman" w:hAnsi="Times New Roman" w:cs="Times New Roman"/>
          <w:sz w:val="24"/>
          <w:szCs w:val="24"/>
          <w:lang w:val="en-GB"/>
        </w:rPr>
        <w:lastRenderedPageBreak/>
        <w:t>smaller ratio. The Jurys Inn has a 2019 ratio of 0.28, higher than the 2020 ratio of 0.27. The average for the industry is often more than 0.45. According to this indicator, the firm has a low level of debt when compared to its industry, and the situation will improve in 2020.</w:t>
      </w:r>
    </w:p>
    <w:p w14:paraId="5F9D5666" w14:textId="77777777" w:rsidR="00223F39" w:rsidRPr="0097613B" w:rsidRDefault="00D60EC2" w:rsidP="00A21674">
      <w:pPr>
        <w:spacing w:after="0" w:line="480" w:lineRule="auto"/>
        <w:rPr>
          <w:rFonts w:ascii="Times New Roman" w:hAnsi="Times New Roman" w:cs="Times New Roman"/>
          <w:b/>
          <w:bCs/>
          <w:i/>
          <w:sz w:val="24"/>
          <w:szCs w:val="24"/>
          <w:lang w:val="en-GB"/>
        </w:rPr>
      </w:pPr>
      <w:r w:rsidRPr="0097613B">
        <w:rPr>
          <w:rFonts w:ascii="Times New Roman" w:hAnsi="Times New Roman" w:cs="Times New Roman"/>
          <w:b/>
          <w:bCs/>
          <w:i/>
          <w:sz w:val="24"/>
          <w:szCs w:val="24"/>
          <w:lang w:val="en-GB"/>
        </w:rPr>
        <w:t>Debt to Equity Ratios</w:t>
      </w:r>
    </w:p>
    <w:p w14:paraId="320873ED" w14:textId="77777777" w:rsidR="00223F39"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It is referred to as a liquidity ratio, and it indicates the proportion of a company's funding that originates from creditors and investors, respectively. Jurys Inn's debt to equity ratio is 0.40 in 2019 and 0.36 in 2020, better than the industry's average of 1.20+. It is usually preferable to have a smaller ratio.</w:t>
      </w:r>
    </w:p>
    <w:p w14:paraId="09542205" w14:textId="77777777" w:rsidR="00223F39" w:rsidRPr="0097613B" w:rsidRDefault="00D60EC2" w:rsidP="00A21674">
      <w:pPr>
        <w:spacing w:after="0" w:line="480" w:lineRule="auto"/>
        <w:rPr>
          <w:rFonts w:ascii="Times New Roman" w:hAnsi="Times New Roman" w:cs="Times New Roman"/>
          <w:b/>
          <w:bCs/>
          <w:i/>
          <w:sz w:val="24"/>
          <w:szCs w:val="24"/>
          <w:lang w:val="en-GB"/>
        </w:rPr>
      </w:pPr>
      <w:r w:rsidRPr="0097613B">
        <w:rPr>
          <w:rFonts w:ascii="Times New Roman" w:hAnsi="Times New Roman" w:cs="Times New Roman"/>
          <w:b/>
          <w:bCs/>
          <w:i/>
          <w:sz w:val="24"/>
          <w:szCs w:val="24"/>
          <w:lang w:val="en-GB"/>
        </w:rPr>
        <w:t>Times Interest Earned</w:t>
      </w:r>
    </w:p>
    <w:p w14:paraId="7BA9C1E6" w14:textId="77777777" w:rsidR="00223F39"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It assesses the capacity of a company to meet its interest-bearing commitments on its debt obligations. It suggests that the company's capacity to pay interest charges has deteriorated over time. In 2019, the company's profitability ratio was 63.3, while in 2020, it was 44.11.</w:t>
      </w:r>
    </w:p>
    <w:p w14:paraId="3A809B93" w14:textId="77777777" w:rsidR="00A52301" w:rsidRPr="0097613B" w:rsidRDefault="00D60EC2" w:rsidP="00A21674">
      <w:pPr>
        <w:spacing w:after="0" w:line="480" w:lineRule="auto"/>
        <w:rPr>
          <w:rFonts w:ascii="Times New Roman" w:hAnsi="Times New Roman" w:cs="Times New Roman"/>
          <w:b/>
          <w:bCs/>
          <w:i/>
          <w:sz w:val="24"/>
          <w:szCs w:val="24"/>
          <w:lang w:val="en-GB"/>
        </w:rPr>
      </w:pPr>
      <w:r w:rsidRPr="0097613B">
        <w:rPr>
          <w:rFonts w:ascii="Times New Roman" w:hAnsi="Times New Roman" w:cs="Times New Roman"/>
          <w:b/>
          <w:bCs/>
          <w:i/>
          <w:sz w:val="24"/>
          <w:szCs w:val="24"/>
          <w:lang w:val="en-GB"/>
        </w:rPr>
        <w:t xml:space="preserve">Return on Assets (ROA) </w:t>
      </w:r>
    </w:p>
    <w:p w14:paraId="72DD3C87" w14:textId="78BAF94C" w:rsidR="00A52301"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In financial analysis, a profitability ratio examines the net income produced by total assets over a while by comparing net income to the average total assets. The return on assets drops, suggesting lesser usage of assets in producing net income. The corporation's percentage is 18%, and 8% in 2019 and 2020</w:t>
      </w:r>
      <w:r w:rsidR="00A21674" w:rsidRPr="00F93827">
        <w:rPr>
          <w:rFonts w:ascii="Times New Roman" w:hAnsi="Times New Roman" w:cs="Times New Roman"/>
          <w:sz w:val="24"/>
          <w:szCs w:val="24"/>
          <w:lang w:val="en-GB"/>
        </w:rPr>
        <w:t>,</w:t>
      </w:r>
      <w:r w:rsidRPr="00F93827">
        <w:rPr>
          <w:rFonts w:ascii="Times New Roman" w:hAnsi="Times New Roman" w:cs="Times New Roman"/>
          <w:sz w:val="24"/>
          <w:szCs w:val="24"/>
          <w:lang w:val="en-GB"/>
        </w:rPr>
        <w:t xml:space="preserve"> accordingly.</w:t>
      </w:r>
    </w:p>
    <w:p w14:paraId="2C67F6FD" w14:textId="2E5D1045" w:rsidR="00A52301" w:rsidRPr="0097613B" w:rsidRDefault="00D60EC2" w:rsidP="00A21674">
      <w:pPr>
        <w:spacing w:after="0" w:line="480" w:lineRule="auto"/>
        <w:rPr>
          <w:rFonts w:ascii="Times New Roman" w:hAnsi="Times New Roman" w:cs="Times New Roman"/>
          <w:b/>
          <w:bCs/>
          <w:i/>
          <w:sz w:val="24"/>
          <w:szCs w:val="24"/>
          <w:lang w:val="en-GB"/>
        </w:rPr>
      </w:pPr>
      <w:r w:rsidRPr="0097613B">
        <w:rPr>
          <w:rFonts w:ascii="Times New Roman" w:hAnsi="Times New Roman" w:cs="Times New Roman"/>
          <w:b/>
          <w:bCs/>
          <w:i/>
          <w:sz w:val="24"/>
          <w:szCs w:val="24"/>
          <w:lang w:val="en-GB"/>
        </w:rPr>
        <w:t xml:space="preserve">Return on Equity (ROE) </w:t>
      </w:r>
    </w:p>
    <w:p w14:paraId="2B7B09C6" w14:textId="5DB314B9" w:rsidR="00223F39"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This ratio assesses the capacity of a corporation to make profits from its shareholder’s investments. Again</w:t>
      </w:r>
      <w:r w:rsidR="00A21674" w:rsidRPr="00F93827">
        <w:rPr>
          <w:rFonts w:ascii="Times New Roman" w:hAnsi="Times New Roman" w:cs="Times New Roman"/>
          <w:sz w:val="24"/>
          <w:szCs w:val="24"/>
          <w:lang w:val="en-GB"/>
        </w:rPr>
        <w:t>,</w:t>
      </w:r>
      <w:r w:rsidRPr="00F93827">
        <w:rPr>
          <w:rFonts w:ascii="Times New Roman" w:hAnsi="Times New Roman" w:cs="Times New Roman"/>
          <w:sz w:val="24"/>
          <w:szCs w:val="24"/>
          <w:lang w:val="en-GB"/>
        </w:rPr>
        <w:t xml:space="preserve"> the performance of Jurys declines during the coming financial years. The ratio remained at 25% in 2019 and 11% in 2020</w:t>
      </w:r>
    </w:p>
    <w:p w14:paraId="3A2EEFC6" w14:textId="294F995F" w:rsidR="00A21674" w:rsidRPr="00F93827" w:rsidRDefault="00A21674" w:rsidP="003E1D6B">
      <w:pPr>
        <w:spacing w:after="0" w:line="480" w:lineRule="auto"/>
        <w:ind w:firstLine="720"/>
        <w:rPr>
          <w:rFonts w:ascii="Times New Roman" w:hAnsi="Times New Roman" w:cs="Times New Roman"/>
          <w:sz w:val="24"/>
          <w:szCs w:val="24"/>
          <w:lang w:val="en-GB"/>
        </w:rPr>
      </w:pPr>
    </w:p>
    <w:p w14:paraId="6DBBA2A8" w14:textId="77777777" w:rsidR="00A21674" w:rsidRPr="00F93827" w:rsidRDefault="00A21674" w:rsidP="003E1D6B">
      <w:pPr>
        <w:spacing w:after="0" w:line="480" w:lineRule="auto"/>
        <w:ind w:firstLine="720"/>
        <w:rPr>
          <w:rFonts w:ascii="Times New Roman" w:hAnsi="Times New Roman" w:cs="Times New Roman"/>
          <w:sz w:val="24"/>
          <w:szCs w:val="24"/>
          <w:lang w:val="en-GB"/>
        </w:rPr>
      </w:pPr>
    </w:p>
    <w:p w14:paraId="2A32BDCF" w14:textId="77777777" w:rsidR="00A52301" w:rsidRPr="0097613B" w:rsidRDefault="00D60EC2" w:rsidP="00434F3F">
      <w:pPr>
        <w:spacing w:after="0" w:line="480" w:lineRule="auto"/>
        <w:jc w:val="center"/>
        <w:rPr>
          <w:rFonts w:ascii="Times New Roman" w:hAnsi="Times New Roman" w:cs="Times New Roman"/>
          <w:b/>
          <w:bCs/>
          <w:sz w:val="28"/>
          <w:szCs w:val="28"/>
          <w:lang w:val="en-GB"/>
        </w:rPr>
      </w:pPr>
      <w:r w:rsidRPr="0097613B">
        <w:rPr>
          <w:rFonts w:ascii="Times New Roman" w:hAnsi="Times New Roman" w:cs="Times New Roman"/>
          <w:b/>
          <w:bCs/>
          <w:sz w:val="28"/>
          <w:szCs w:val="28"/>
          <w:lang w:val="en-GB"/>
        </w:rPr>
        <w:lastRenderedPageBreak/>
        <w:t>Importance of Understanding Financial Ratios in Hotel Management</w:t>
      </w:r>
    </w:p>
    <w:p w14:paraId="77A86F9C" w14:textId="4D66D8D1" w:rsidR="00CA442B"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Based on the company's financial and economic features that the financial ratio is being used to examine and evaluate</w:t>
      </w:r>
      <w:r w:rsidR="00F93827">
        <w:rPr>
          <w:rFonts w:ascii="Times New Roman" w:hAnsi="Times New Roman" w:cs="Times New Roman"/>
          <w:sz w:val="24"/>
          <w:szCs w:val="24"/>
          <w:lang w:val="en-GB"/>
        </w:rPr>
        <w:t>, financial ratios are categoris</w:t>
      </w:r>
      <w:r w:rsidRPr="00F93827">
        <w:rPr>
          <w:rFonts w:ascii="Times New Roman" w:hAnsi="Times New Roman" w:cs="Times New Roman"/>
          <w:sz w:val="24"/>
          <w:szCs w:val="24"/>
          <w:lang w:val="en-GB"/>
        </w:rPr>
        <w:t>ed</w:t>
      </w:r>
      <w:r w:rsidR="00BC1EE8" w:rsidRPr="00F93827">
        <w:rPr>
          <w:rFonts w:ascii="Times New Roman" w:hAnsi="Times New Roman" w:cs="Times New Roman"/>
          <w:sz w:val="24"/>
          <w:szCs w:val="24"/>
          <w:lang w:val="en-GB"/>
        </w:rPr>
        <w:t xml:space="preserve"> (Barnes</w:t>
      </w:r>
      <w:r w:rsidR="00F93827" w:rsidRPr="00F93827">
        <w:rPr>
          <w:rFonts w:ascii="Times New Roman" w:hAnsi="Times New Roman" w:cs="Times New Roman"/>
          <w:sz w:val="24"/>
          <w:szCs w:val="24"/>
          <w:lang w:val="en-GB"/>
        </w:rPr>
        <w:t>,</w:t>
      </w:r>
      <w:r w:rsidR="00BC1EE8" w:rsidRPr="00F93827">
        <w:rPr>
          <w:rFonts w:ascii="Times New Roman" w:hAnsi="Times New Roman" w:cs="Times New Roman"/>
          <w:sz w:val="24"/>
          <w:szCs w:val="24"/>
          <w:lang w:val="en-GB"/>
        </w:rPr>
        <w:t xml:space="preserve"> 1987)</w:t>
      </w:r>
      <w:r w:rsidRPr="00F93827">
        <w:rPr>
          <w:rFonts w:ascii="Times New Roman" w:hAnsi="Times New Roman" w:cs="Times New Roman"/>
          <w:sz w:val="24"/>
          <w:szCs w:val="24"/>
          <w:lang w:val="en-GB"/>
        </w:rPr>
        <w:t>. According to</w:t>
      </w:r>
      <w:r w:rsidR="00EE30E6" w:rsidRPr="00F93827">
        <w:rPr>
          <w:rFonts w:ascii="Times New Roman" w:hAnsi="Times New Roman" w:cs="Times New Roman"/>
          <w:sz w:val="24"/>
          <w:szCs w:val="24"/>
          <w:lang w:val="en-GB"/>
        </w:rPr>
        <w:t xml:space="preserve"> </w:t>
      </w:r>
      <w:proofErr w:type="spellStart"/>
      <w:r w:rsidR="00EE30E6" w:rsidRPr="00F93827">
        <w:rPr>
          <w:rFonts w:ascii="Times New Roman" w:hAnsi="Times New Roman" w:cs="Times New Roman"/>
          <w:sz w:val="24"/>
          <w:szCs w:val="24"/>
          <w:lang w:val="en-GB"/>
        </w:rPr>
        <w:t>Bhoraj</w:t>
      </w:r>
      <w:proofErr w:type="spellEnd"/>
      <w:r w:rsidR="00EE30E6" w:rsidRPr="00F93827">
        <w:rPr>
          <w:rFonts w:ascii="Times New Roman" w:hAnsi="Times New Roman" w:cs="Times New Roman"/>
          <w:sz w:val="24"/>
          <w:szCs w:val="24"/>
          <w:lang w:val="en-GB"/>
        </w:rPr>
        <w:t xml:space="preserve"> and Lee</w:t>
      </w:r>
      <w:r w:rsidRPr="00F93827">
        <w:rPr>
          <w:rFonts w:ascii="Times New Roman" w:hAnsi="Times New Roman" w:cs="Times New Roman"/>
          <w:sz w:val="24"/>
          <w:szCs w:val="24"/>
          <w:lang w:val="en-GB"/>
        </w:rPr>
        <w:t>, it is a comparative extension of selected numerical values from the enterprise's financial statements twice as large as the original numbers</w:t>
      </w:r>
      <w:r w:rsidR="00EE30E6" w:rsidRPr="00F93827">
        <w:rPr>
          <w:rFonts w:ascii="Times New Roman" w:hAnsi="Times New Roman" w:cs="Times New Roman"/>
          <w:sz w:val="24"/>
          <w:szCs w:val="24"/>
          <w:lang w:val="en-GB"/>
        </w:rPr>
        <w:t xml:space="preserve"> (2002)</w:t>
      </w:r>
      <w:r w:rsidRPr="00F93827">
        <w:rPr>
          <w:rFonts w:ascii="Times New Roman" w:hAnsi="Times New Roman" w:cs="Times New Roman"/>
          <w:sz w:val="24"/>
          <w:szCs w:val="24"/>
          <w:lang w:val="en-GB"/>
        </w:rPr>
        <w:t>. Economic or accounting experts often use the financial ratios to compare the SWOT analyses, which are the strengths, weaknesses, opportunities, and threats of different firms, to one another</w:t>
      </w:r>
      <w:r w:rsidR="00EE30E6" w:rsidRPr="00F93827">
        <w:rPr>
          <w:rFonts w:ascii="Times New Roman" w:hAnsi="Times New Roman" w:cs="Times New Roman"/>
          <w:sz w:val="24"/>
          <w:szCs w:val="24"/>
          <w:lang w:val="en-GB"/>
        </w:rPr>
        <w:t xml:space="preserve"> (Singh &amp; </w:t>
      </w:r>
      <w:proofErr w:type="spellStart"/>
      <w:r w:rsidR="00EE30E6" w:rsidRPr="00F93827">
        <w:rPr>
          <w:rFonts w:ascii="Times New Roman" w:hAnsi="Times New Roman" w:cs="Times New Roman"/>
          <w:sz w:val="24"/>
          <w:szCs w:val="24"/>
          <w:lang w:val="en-GB"/>
        </w:rPr>
        <w:t>Schmidgall</w:t>
      </w:r>
      <w:proofErr w:type="spellEnd"/>
      <w:r w:rsidR="00F93827" w:rsidRPr="00F93827">
        <w:rPr>
          <w:rFonts w:ascii="Times New Roman" w:hAnsi="Times New Roman" w:cs="Times New Roman"/>
          <w:sz w:val="24"/>
          <w:szCs w:val="24"/>
          <w:lang w:val="en-GB"/>
        </w:rPr>
        <w:t>,</w:t>
      </w:r>
      <w:r w:rsidR="00EE30E6" w:rsidRPr="00F93827">
        <w:rPr>
          <w:rFonts w:ascii="Times New Roman" w:hAnsi="Times New Roman" w:cs="Times New Roman"/>
          <w:sz w:val="24"/>
          <w:szCs w:val="24"/>
          <w:lang w:val="en-GB"/>
        </w:rPr>
        <w:t xml:space="preserve"> 2002)</w:t>
      </w:r>
      <w:r w:rsidRPr="00F93827">
        <w:rPr>
          <w:rFonts w:ascii="Times New Roman" w:hAnsi="Times New Roman" w:cs="Times New Roman"/>
          <w:sz w:val="24"/>
          <w:szCs w:val="24"/>
          <w:lang w:val="en-GB"/>
        </w:rPr>
        <w:t>. Most of the time, they enable financial experts to dissect a company's financial statements to assess its performance. As a result, accounting ratios may be used by executives inside a firm and by present and future stakeholders.</w:t>
      </w:r>
    </w:p>
    <w:p w14:paraId="13CEA378" w14:textId="42CEEAD3" w:rsidR="001E1579"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There are four types of financial ratios that may be used to </w:t>
      </w:r>
      <w:r w:rsidR="00F93827" w:rsidRPr="00F93827">
        <w:rPr>
          <w:rFonts w:ascii="Times New Roman" w:hAnsi="Times New Roman" w:cs="Times New Roman"/>
          <w:sz w:val="24"/>
          <w:szCs w:val="24"/>
          <w:lang w:val="en-GB"/>
        </w:rPr>
        <w:t>analyse</w:t>
      </w:r>
      <w:r w:rsidRPr="00F93827">
        <w:rPr>
          <w:rFonts w:ascii="Times New Roman" w:hAnsi="Times New Roman" w:cs="Times New Roman"/>
          <w:sz w:val="24"/>
          <w:szCs w:val="24"/>
          <w:lang w:val="en-GB"/>
        </w:rPr>
        <w:t xml:space="preserve"> a firm's success, and they are as follows: solvency, liquidity, profitability, and efficiency</w:t>
      </w:r>
      <w:r w:rsidR="00EE30E6" w:rsidRPr="00F93827">
        <w:rPr>
          <w:rFonts w:ascii="Times New Roman" w:hAnsi="Times New Roman" w:cs="Times New Roman"/>
          <w:sz w:val="24"/>
          <w:szCs w:val="24"/>
          <w:lang w:val="en-GB"/>
        </w:rPr>
        <w:t xml:space="preserve"> (Horrigan</w:t>
      </w:r>
      <w:r w:rsidR="00F93827" w:rsidRPr="00F93827">
        <w:rPr>
          <w:rFonts w:ascii="Times New Roman" w:hAnsi="Times New Roman" w:cs="Times New Roman"/>
          <w:sz w:val="24"/>
          <w:szCs w:val="24"/>
          <w:lang w:val="en-GB"/>
        </w:rPr>
        <w:t>,</w:t>
      </w:r>
      <w:r w:rsidR="00EE30E6" w:rsidRPr="00F93827">
        <w:rPr>
          <w:rFonts w:ascii="Times New Roman" w:hAnsi="Times New Roman" w:cs="Times New Roman"/>
          <w:sz w:val="24"/>
          <w:szCs w:val="24"/>
          <w:lang w:val="en-GB"/>
        </w:rPr>
        <w:t xml:space="preserve"> 1966)</w:t>
      </w:r>
      <w:r w:rsidRPr="00F93827">
        <w:rPr>
          <w:rFonts w:ascii="Times New Roman" w:hAnsi="Times New Roman" w:cs="Times New Roman"/>
          <w:sz w:val="24"/>
          <w:szCs w:val="24"/>
          <w:lang w:val="en-GB"/>
        </w:rPr>
        <w:t xml:space="preserve">. Solvency is a measure of a company's capacity to meet its obligations. Because they </w:t>
      </w:r>
      <w:r w:rsidR="00F93827" w:rsidRPr="00F93827">
        <w:rPr>
          <w:rFonts w:ascii="Times New Roman" w:hAnsi="Times New Roman" w:cs="Times New Roman"/>
          <w:sz w:val="24"/>
          <w:szCs w:val="24"/>
          <w:lang w:val="en-GB"/>
        </w:rPr>
        <w:t>analyse</w:t>
      </w:r>
      <w:r w:rsidRPr="00F93827">
        <w:rPr>
          <w:rFonts w:ascii="Times New Roman" w:hAnsi="Times New Roman" w:cs="Times New Roman"/>
          <w:sz w:val="24"/>
          <w:szCs w:val="24"/>
          <w:lang w:val="en-GB"/>
        </w:rPr>
        <w:t xml:space="preserve"> an institution's obligations in proportion to its resources and neutrality, solvency ratios may be used to determine the financial stability of an organization. As previously said, when a firm has an excessive level of debt, it lacks the stability to regulate its cash flow. </w:t>
      </w:r>
      <w:proofErr w:type="gramStart"/>
      <w:r w:rsidRPr="00F93827">
        <w:rPr>
          <w:rFonts w:ascii="Times New Roman" w:hAnsi="Times New Roman" w:cs="Times New Roman"/>
          <w:sz w:val="24"/>
          <w:szCs w:val="24"/>
          <w:lang w:val="en-GB"/>
        </w:rPr>
        <w:t>Generally speaking, liquidity</w:t>
      </w:r>
      <w:proofErr w:type="gramEnd"/>
      <w:r w:rsidRPr="00F93827">
        <w:rPr>
          <w:rFonts w:ascii="Times New Roman" w:hAnsi="Times New Roman" w:cs="Times New Roman"/>
          <w:sz w:val="24"/>
          <w:szCs w:val="24"/>
          <w:lang w:val="en-GB"/>
        </w:rPr>
        <w:t xml:space="preserve"> ratios are a way of assessing the connection between current organizational resources and current liabilities (or assets and liabilities). The nature of the partnership demonstrates the company's ability to satisfy its short-term financial commitments</w:t>
      </w:r>
      <w:r w:rsidR="00EE30E6" w:rsidRPr="00F93827">
        <w:rPr>
          <w:rFonts w:ascii="Times New Roman" w:hAnsi="Times New Roman" w:cs="Times New Roman"/>
          <w:sz w:val="24"/>
          <w:szCs w:val="24"/>
          <w:lang w:val="en-GB"/>
        </w:rPr>
        <w:t xml:space="preserve"> (Whittaker &amp; Marchington 2003)</w:t>
      </w:r>
      <w:r w:rsidRPr="00F93827">
        <w:rPr>
          <w:rFonts w:ascii="Times New Roman" w:hAnsi="Times New Roman" w:cs="Times New Roman"/>
          <w:sz w:val="24"/>
          <w:szCs w:val="24"/>
          <w:lang w:val="en-GB"/>
        </w:rPr>
        <w:t xml:space="preserve">. Revenue and foreign currency flow are determined by a company's ability to turn its sales dollars into revenue and foreign currency flow, expressed as a profitability ratio. According to the proficiency ratios, an organization's accounts revenues and receivable gross revenues from the cost of things sold to its inventory are divided into accounts revenues and receivable gross </w:t>
      </w:r>
      <w:r w:rsidRPr="00F93827">
        <w:rPr>
          <w:rFonts w:ascii="Times New Roman" w:hAnsi="Times New Roman" w:cs="Times New Roman"/>
          <w:sz w:val="24"/>
          <w:szCs w:val="24"/>
          <w:lang w:val="en-GB"/>
        </w:rPr>
        <w:lastRenderedPageBreak/>
        <w:t>revenues, respectively. It is defined as the relationship between credit transactions and funds receivable, the amount of money due to a client who has not cleared a credit balance.</w:t>
      </w:r>
    </w:p>
    <w:p w14:paraId="7961E65E" w14:textId="77777777" w:rsidR="007B1AB8" w:rsidRPr="00CB32D2" w:rsidRDefault="00D60EC2" w:rsidP="00A21674">
      <w:pPr>
        <w:spacing w:after="0" w:line="480" w:lineRule="auto"/>
        <w:jc w:val="center"/>
        <w:rPr>
          <w:rFonts w:ascii="Times New Roman" w:hAnsi="Times New Roman" w:cs="Times New Roman"/>
          <w:b/>
          <w:bCs/>
          <w:sz w:val="28"/>
          <w:szCs w:val="28"/>
          <w:lang w:val="en-GB"/>
        </w:rPr>
      </w:pPr>
      <w:r w:rsidRPr="00CB32D2">
        <w:rPr>
          <w:rFonts w:ascii="Times New Roman" w:hAnsi="Times New Roman" w:cs="Times New Roman"/>
          <w:b/>
          <w:bCs/>
          <w:sz w:val="28"/>
          <w:szCs w:val="28"/>
          <w:lang w:val="en-GB"/>
        </w:rPr>
        <w:t>Limitations</w:t>
      </w:r>
    </w:p>
    <w:p w14:paraId="3BCF91B2" w14:textId="77777777" w:rsidR="007B1AB8"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There are several limitations to financial ratios that make it impossible to rely on the study results. When the inflation rates are either too high or too low, there is an excellent likelihood that the organization's balance sheet will be distorted. As a result, they must be evaluated with the economy's aggregate finances and the organization's formality, among other things. The fact that </w:t>
      </w:r>
      <w:r w:rsidR="005A0394" w:rsidRPr="00F93827">
        <w:rPr>
          <w:rFonts w:ascii="Times New Roman" w:hAnsi="Times New Roman" w:cs="Times New Roman"/>
          <w:sz w:val="24"/>
          <w:szCs w:val="24"/>
          <w:lang w:val="en-GB"/>
        </w:rPr>
        <w:t>largest</w:t>
      </w:r>
      <w:r w:rsidRPr="00F93827">
        <w:rPr>
          <w:rFonts w:ascii="Times New Roman" w:hAnsi="Times New Roman" w:cs="Times New Roman"/>
          <w:sz w:val="24"/>
          <w:szCs w:val="24"/>
          <w:lang w:val="en-GB"/>
        </w:rPr>
        <w:t xml:space="preserve"> corporations have several detachments in separate groups makes it difficult to compile a meaningful collection of average industry ratios. </w:t>
      </w:r>
    </w:p>
    <w:p w14:paraId="36E1CA81" w14:textId="3D916F23" w:rsidR="007B1AB8"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Short-term lending institutions often make payday advances and </w:t>
      </w:r>
      <w:r w:rsidR="00F93827" w:rsidRPr="00F93827">
        <w:rPr>
          <w:rFonts w:ascii="Times New Roman" w:hAnsi="Times New Roman" w:cs="Times New Roman"/>
          <w:sz w:val="24"/>
          <w:szCs w:val="24"/>
          <w:lang w:val="en-GB"/>
        </w:rPr>
        <w:t>instalment</w:t>
      </w:r>
      <w:r w:rsidRPr="00F93827">
        <w:rPr>
          <w:rFonts w:ascii="Times New Roman" w:hAnsi="Times New Roman" w:cs="Times New Roman"/>
          <w:sz w:val="24"/>
          <w:szCs w:val="24"/>
          <w:lang w:val="en-GB"/>
        </w:rPr>
        <w:t xml:space="preserve"> loans </w:t>
      </w:r>
      <w:r w:rsidR="00BC1EE8" w:rsidRPr="00F93827">
        <w:rPr>
          <w:rFonts w:ascii="Times New Roman" w:hAnsi="Times New Roman" w:cs="Times New Roman"/>
          <w:sz w:val="24"/>
          <w:szCs w:val="24"/>
          <w:lang w:val="en-GB"/>
        </w:rPr>
        <w:t>(Stegman, 2007)</w:t>
      </w:r>
      <w:r w:rsidRPr="00F93827">
        <w:rPr>
          <w:rFonts w:ascii="Times New Roman" w:hAnsi="Times New Roman" w:cs="Times New Roman"/>
          <w:sz w:val="24"/>
          <w:szCs w:val="24"/>
          <w:lang w:val="en-GB"/>
        </w:rPr>
        <w:t xml:space="preserve">. Unlike payday loans, which are repaid as soon as the debtor receives their </w:t>
      </w:r>
      <w:proofErr w:type="gramStart"/>
      <w:r w:rsidR="00F93827" w:rsidRPr="00F93827">
        <w:rPr>
          <w:rFonts w:ascii="Times New Roman" w:hAnsi="Times New Roman" w:cs="Times New Roman"/>
          <w:sz w:val="24"/>
          <w:szCs w:val="24"/>
          <w:lang w:val="en-GB"/>
        </w:rPr>
        <w:t>pay check</w:t>
      </w:r>
      <w:proofErr w:type="gramEnd"/>
      <w:r w:rsidRPr="00F93827">
        <w:rPr>
          <w:rFonts w:ascii="Times New Roman" w:hAnsi="Times New Roman" w:cs="Times New Roman"/>
          <w:sz w:val="24"/>
          <w:szCs w:val="24"/>
          <w:lang w:val="en-GB"/>
        </w:rPr>
        <w:t xml:space="preserve">, </w:t>
      </w:r>
      <w:r w:rsidR="00F93827" w:rsidRPr="00F93827">
        <w:rPr>
          <w:rFonts w:ascii="Times New Roman" w:hAnsi="Times New Roman" w:cs="Times New Roman"/>
          <w:sz w:val="24"/>
          <w:szCs w:val="24"/>
          <w:lang w:val="en-GB"/>
        </w:rPr>
        <w:t>instalment</w:t>
      </w:r>
      <w:r w:rsidRPr="00F93827">
        <w:rPr>
          <w:rFonts w:ascii="Times New Roman" w:hAnsi="Times New Roman" w:cs="Times New Roman"/>
          <w:sz w:val="24"/>
          <w:szCs w:val="24"/>
          <w:lang w:val="en-GB"/>
        </w:rPr>
        <w:t xml:space="preserve"> loans enable the borrower to spread payments over a defined length of time. As a result, short-term loan providers would prefer liquidity ratios. Sacco is an example of a short-term lending institution. Concerning the number of payments, long-term lenders contrast to short-term lenders. </w:t>
      </w:r>
      <w:r w:rsidR="00F93827" w:rsidRPr="00F93827">
        <w:rPr>
          <w:rFonts w:ascii="Times New Roman" w:hAnsi="Times New Roman" w:cs="Times New Roman"/>
          <w:sz w:val="24"/>
          <w:szCs w:val="24"/>
          <w:lang w:val="en-GB"/>
        </w:rPr>
        <w:t>Instalment</w:t>
      </w:r>
      <w:r w:rsidRPr="00F93827">
        <w:rPr>
          <w:rFonts w:ascii="Times New Roman" w:hAnsi="Times New Roman" w:cs="Times New Roman"/>
          <w:sz w:val="24"/>
          <w:szCs w:val="24"/>
          <w:lang w:val="en-GB"/>
        </w:rPr>
        <w:t xml:space="preserve"> loans are often higher in size and are repaid over a more extended period than payday loans. It is customary to be repaid in </w:t>
      </w:r>
      <w:r w:rsidR="00F93827" w:rsidRPr="00F93827">
        <w:rPr>
          <w:rFonts w:ascii="Times New Roman" w:hAnsi="Times New Roman" w:cs="Times New Roman"/>
          <w:sz w:val="24"/>
          <w:szCs w:val="24"/>
          <w:lang w:val="en-GB"/>
        </w:rPr>
        <w:t>instalments</w:t>
      </w:r>
      <w:r w:rsidRPr="00F93827">
        <w:rPr>
          <w:rFonts w:ascii="Times New Roman" w:hAnsi="Times New Roman" w:cs="Times New Roman"/>
          <w:sz w:val="24"/>
          <w:szCs w:val="24"/>
          <w:lang w:val="en-GB"/>
        </w:rPr>
        <w:t xml:space="preserve">, which means that interest rates are calculated following the amount borrowed. </w:t>
      </w:r>
      <w:r w:rsidR="001E1579" w:rsidRPr="00F93827">
        <w:rPr>
          <w:rFonts w:ascii="Times New Roman" w:hAnsi="Times New Roman" w:cs="Times New Roman"/>
          <w:sz w:val="24"/>
          <w:szCs w:val="24"/>
          <w:lang w:val="en-GB"/>
        </w:rPr>
        <w:t xml:space="preserve">Lenders are interested in the long run </w:t>
      </w:r>
      <w:r w:rsidR="00F93827" w:rsidRPr="00F93827">
        <w:rPr>
          <w:rFonts w:ascii="Times New Roman" w:hAnsi="Times New Roman" w:cs="Times New Roman"/>
          <w:sz w:val="24"/>
          <w:szCs w:val="24"/>
          <w:lang w:val="en-GB"/>
        </w:rPr>
        <w:t>favour</w:t>
      </w:r>
      <w:r w:rsidR="001E1579" w:rsidRPr="00F93827">
        <w:rPr>
          <w:rFonts w:ascii="Times New Roman" w:hAnsi="Times New Roman" w:cs="Times New Roman"/>
          <w:sz w:val="24"/>
          <w:szCs w:val="24"/>
          <w:lang w:val="en-GB"/>
        </w:rPr>
        <w:t xml:space="preserve"> profitability and efficiency ratios, which they use to compare the amount of money owed to them with the amount they have sold out. Long-term lenders include financial institutions such as banks</w:t>
      </w:r>
      <w:r w:rsidR="00BC1EE8" w:rsidRPr="00F93827">
        <w:rPr>
          <w:rFonts w:ascii="Times New Roman" w:hAnsi="Times New Roman" w:cs="Times New Roman"/>
          <w:sz w:val="24"/>
          <w:szCs w:val="24"/>
          <w:lang w:val="en-GB"/>
        </w:rPr>
        <w:t xml:space="preserve"> (Abdul, 2018)</w:t>
      </w:r>
      <w:r w:rsidR="001E1579" w:rsidRPr="00F93827">
        <w:rPr>
          <w:rFonts w:ascii="Times New Roman" w:hAnsi="Times New Roman" w:cs="Times New Roman"/>
          <w:sz w:val="24"/>
          <w:szCs w:val="24"/>
          <w:lang w:val="en-GB"/>
        </w:rPr>
        <w:t>. Using efficiency ratios, shareholders will assess the accounts revenue and receivable, gross revenue of the cost of things sold to the organization's inventory</w:t>
      </w:r>
      <w:r w:rsidR="00F93827" w:rsidRPr="00F93827">
        <w:rPr>
          <w:rFonts w:ascii="Times New Roman" w:hAnsi="Times New Roman" w:cs="Times New Roman"/>
          <w:sz w:val="24"/>
          <w:szCs w:val="24"/>
          <w:lang w:val="en-GB"/>
        </w:rPr>
        <w:t xml:space="preserve"> (Lambert, 2000</w:t>
      </w:r>
      <w:r w:rsidR="00BC1EE8" w:rsidRPr="00F93827">
        <w:rPr>
          <w:rFonts w:ascii="Times New Roman" w:hAnsi="Times New Roman" w:cs="Times New Roman"/>
          <w:sz w:val="24"/>
          <w:szCs w:val="24"/>
          <w:lang w:val="en-GB"/>
        </w:rPr>
        <w:t>)</w:t>
      </w:r>
      <w:r w:rsidR="001E1579" w:rsidRPr="00F93827">
        <w:rPr>
          <w:rFonts w:ascii="Times New Roman" w:hAnsi="Times New Roman" w:cs="Times New Roman"/>
          <w:sz w:val="24"/>
          <w:szCs w:val="24"/>
          <w:lang w:val="en-GB"/>
        </w:rPr>
        <w:t>. By using these ratios, shareholders will be able to determine the organization's profitability</w:t>
      </w:r>
      <w:r w:rsidRPr="00F93827">
        <w:rPr>
          <w:rFonts w:ascii="Times New Roman" w:hAnsi="Times New Roman" w:cs="Times New Roman"/>
          <w:sz w:val="24"/>
          <w:szCs w:val="24"/>
          <w:lang w:val="en-GB"/>
        </w:rPr>
        <w:t>.</w:t>
      </w:r>
    </w:p>
    <w:p w14:paraId="0F2292A7" w14:textId="64015FE4" w:rsidR="00255BE8"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lastRenderedPageBreak/>
        <w:t xml:space="preserve">The following are some drawbacks of using ratio analysis:  The sole signs of financial difficulties are the ratios themselves. It does nothing to assist management in resolving the problem. Ratios may be compared when there is a direct link between two elements; otherwise, computed ratios are rendered meaningless. If </w:t>
      </w:r>
      <w:r w:rsidR="00F93827">
        <w:rPr>
          <w:rFonts w:ascii="Times New Roman" w:hAnsi="Times New Roman" w:cs="Times New Roman"/>
          <w:sz w:val="24"/>
          <w:szCs w:val="24"/>
          <w:lang w:val="en-GB"/>
        </w:rPr>
        <w:t>one</w:t>
      </w:r>
      <w:r w:rsidRPr="00F93827">
        <w:rPr>
          <w:rFonts w:ascii="Times New Roman" w:hAnsi="Times New Roman" w:cs="Times New Roman"/>
          <w:sz w:val="24"/>
          <w:szCs w:val="24"/>
          <w:lang w:val="en-GB"/>
        </w:rPr>
        <w:t xml:space="preserve"> compare</w:t>
      </w:r>
      <w:r w:rsidR="00F93827">
        <w:rPr>
          <w:rFonts w:ascii="Times New Roman" w:hAnsi="Times New Roman" w:cs="Times New Roman"/>
          <w:sz w:val="24"/>
          <w:szCs w:val="24"/>
          <w:lang w:val="en-GB"/>
        </w:rPr>
        <w:t>s</w:t>
      </w:r>
      <w:r w:rsidRPr="00F93827">
        <w:rPr>
          <w:rFonts w:ascii="Times New Roman" w:hAnsi="Times New Roman" w:cs="Times New Roman"/>
          <w:sz w:val="24"/>
          <w:szCs w:val="24"/>
          <w:lang w:val="en-GB"/>
        </w:rPr>
        <w:t xml:space="preserve"> historical performance to industry norms and planned percentages, </w:t>
      </w:r>
      <w:r w:rsidR="00F93827">
        <w:rPr>
          <w:rFonts w:ascii="Times New Roman" w:hAnsi="Times New Roman" w:cs="Times New Roman"/>
          <w:sz w:val="24"/>
          <w:szCs w:val="24"/>
          <w:lang w:val="en-GB"/>
        </w:rPr>
        <w:t>one</w:t>
      </w:r>
      <w:r w:rsidRPr="00F93827">
        <w:rPr>
          <w:rFonts w:ascii="Times New Roman" w:hAnsi="Times New Roman" w:cs="Times New Roman"/>
          <w:sz w:val="24"/>
          <w:szCs w:val="24"/>
          <w:lang w:val="en-GB"/>
        </w:rPr>
        <w:t xml:space="preserve"> will find that ratios are not very informative. Instead, it should be compared to a reference standard or a benchmark. There must be a comparison made between the same segments in the same sector in the same industry. Consider the following example. Comparing a three-star hotel with a five-star hotel does not result in relevant interpretations. The ratios are calculated per accounting regulations. When different firms use various accounting procedures, the ratios will be diverse. The calculation of single ratios does not assist the user in understanding the financial performance of the organization. The estimated ratios should be compared for each period rather than individually. The financial components are the only ones included in the ratio analysis. Other occurrences that do not directly influence the financial statements are not taken into consideration. Lawsuits, unrecorded contracts, and lines of credit are examples of such occurrences.</w:t>
      </w:r>
    </w:p>
    <w:p w14:paraId="3C60D7B3" w14:textId="77777777" w:rsidR="00255BE8"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t>Similarly, the cost-to-income ratios are calculated using historical data. Lastly, the inflation rate is not considered in the ratio study. As a result, it may overestimate or underestimate the values for the current period.</w:t>
      </w:r>
      <w:r w:rsidR="00BC1EE8" w:rsidRPr="00F93827">
        <w:rPr>
          <w:rFonts w:ascii="Times New Roman" w:hAnsi="Times New Roman" w:cs="Times New Roman"/>
          <w:sz w:val="24"/>
          <w:szCs w:val="24"/>
          <w:lang w:val="en-GB"/>
        </w:rPr>
        <w:t xml:space="preserve"> </w:t>
      </w:r>
    </w:p>
    <w:p w14:paraId="6A3FCF5B" w14:textId="77777777" w:rsidR="00BC1EE8" w:rsidRPr="00F93827" w:rsidRDefault="00D60EC2" w:rsidP="003E1D6B">
      <w:pPr>
        <w:spacing w:after="0" w:line="480" w:lineRule="auto"/>
        <w:ind w:firstLine="720"/>
        <w:rPr>
          <w:rFonts w:ascii="Times New Roman" w:hAnsi="Times New Roman" w:cs="Times New Roman"/>
          <w:sz w:val="24"/>
          <w:szCs w:val="24"/>
          <w:lang w:val="en-GB"/>
        </w:rPr>
      </w:pPr>
      <w:r w:rsidRPr="00F93827">
        <w:rPr>
          <w:rFonts w:ascii="Times New Roman" w:hAnsi="Times New Roman" w:cs="Times New Roman"/>
          <w:sz w:val="24"/>
          <w:szCs w:val="24"/>
          <w:lang w:val="en-GB"/>
        </w:rPr>
        <w:br w:type="page"/>
      </w:r>
    </w:p>
    <w:p w14:paraId="2D02D464" w14:textId="77777777" w:rsidR="001545F2" w:rsidRPr="00CB32D2" w:rsidRDefault="00D60EC2" w:rsidP="003E1D6B">
      <w:pPr>
        <w:spacing w:after="0" w:line="480" w:lineRule="auto"/>
        <w:jc w:val="center"/>
        <w:rPr>
          <w:rFonts w:ascii="Times New Roman" w:hAnsi="Times New Roman" w:cs="Times New Roman"/>
          <w:b/>
          <w:bCs/>
          <w:sz w:val="28"/>
          <w:szCs w:val="28"/>
          <w:lang w:val="en-GB"/>
        </w:rPr>
      </w:pPr>
      <w:r w:rsidRPr="00CB32D2">
        <w:rPr>
          <w:rFonts w:ascii="Times New Roman" w:hAnsi="Times New Roman" w:cs="Times New Roman"/>
          <w:b/>
          <w:bCs/>
          <w:sz w:val="28"/>
          <w:szCs w:val="28"/>
          <w:lang w:val="en-GB"/>
        </w:rPr>
        <w:lastRenderedPageBreak/>
        <w:t>References</w:t>
      </w:r>
    </w:p>
    <w:p w14:paraId="609ABD3E" w14:textId="77777777" w:rsidR="00BC1EE8" w:rsidRPr="00F93827" w:rsidRDefault="00D60EC2" w:rsidP="003E1D6B">
      <w:pPr>
        <w:spacing w:after="0" w:line="480" w:lineRule="auto"/>
        <w:ind w:left="720" w:hanging="720"/>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Abdul </w:t>
      </w:r>
      <w:proofErr w:type="spellStart"/>
      <w:r w:rsidRPr="00F93827">
        <w:rPr>
          <w:rFonts w:ascii="Times New Roman" w:hAnsi="Times New Roman" w:cs="Times New Roman"/>
          <w:sz w:val="24"/>
          <w:szCs w:val="24"/>
          <w:lang w:val="en-GB"/>
        </w:rPr>
        <w:t>Hadi</w:t>
      </w:r>
      <w:proofErr w:type="spellEnd"/>
      <w:r w:rsidRPr="00F93827">
        <w:rPr>
          <w:rFonts w:ascii="Times New Roman" w:hAnsi="Times New Roman" w:cs="Times New Roman"/>
          <w:sz w:val="24"/>
          <w:szCs w:val="24"/>
          <w:lang w:val="en-GB"/>
        </w:rPr>
        <w:t xml:space="preserve">, A.R., Hussain, H.I., </w:t>
      </w:r>
      <w:proofErr w:type="spellStart"/>
      <w:r w:rsidRPr="00F93827">
        <w:rPr>
          <w:rFonts w:ascii="Times New Roman" w:hAnsi="Times New Roman" w:cs="Times New Roman"/>
          <w:sz w:val="24"/>
          <w:szCs w:val="24"/>
          <w:lang w:val="en-GB"/>
        </w:rPr>
        <w:t>Suryanto</w:t>
      </w:r>
      <w:proofErr w:type="spellEnd"/>
      <w:r w:rsidRPr="00F93827">
        <w:rPr>
          <w:rFonts w:ascii="Times New Roman" w:hAnsi="Times New Roman" w:cs="Times New Roman"/>
          <w:sz w:val="24"/>
          <w:szCs w:val="24"/>
          <w:lang w:val="en-GB"/>
        </w:rPr>
        <w:t xml:space="preserve">, T. and Yap, T.H., 2018. Bank's performance and determinants: evidence from the Middle East, Indian sub-continent, and African banks. </w:t>
      </w:r>
      <w:r w:rsidRPr="00F93827">
        <w:rPr>
          <w:rFonts w:ascii="Times New Roman" w:hAnsi="Times New Roman" w:cs="Times New Roman"/>
          <w:i/>
          <w:iCs/>
          <w:sz w:val="24"/>
          <w:szCs w:val="24"/>
          <w:lang w:val="en-GB"/>
        </w:rPr>
        <w:t>Polish Journal of Management Studies</w:t>
      </w:r>
      <w:r w:rsidRPr="00F93827">
        <w:rPr>
          <w:rFonts w:ascii="Times New Roman" w:hAnsi="Times New Roman" w:cs="Times New Roman"/>
          <w:sz w:val="24"/>
          <w:szCs w:val="24"/>
          <w:lang w:val="en-GB"/>
        </w:rPr>
        <w:t>, </w:t>
      </w:r>
      <w:r w:rsidRPr="00F93827">
        <w:rPr>
          <w:rFonts w:ascii="Times New Roman" w:hAnsi="Times New Roman" w:cs="Times New Roman"/>
          <w:b/>
          <w:iCs/>
          <w:sz w:val="24"/>
          <w:szCs w:val="24"/>
          <w:lang w:val="en-GB"/>
        </w:rPr>
        <w:t>17</w:t>
      </w:r>
      <w:r w:rsidRPr="00F93827">
        <w:rPr>
          <w:rFonts w:ascii="Times New Roman" w:hAnsi="Times New Roman" w:cs="Times New Roman"/>
          <w:sz w:val="24"/>
          <w:szCs w:val="24"/>
          <w:lang w:val="en-GB"/>
        </w:rPr>
        <w:t>.</w:t>
      </w:r>
    </w:p>
    <w:p w14:paraId="2B5AE737" w14:textId="77777777" w:rsidR="00BC1EE8" w:rsidRPr="00F93827" w:rsidRDefault="00D60EC2" w:rsidP="003E1D6B">
      <w:pPr>
        <w:spacing w:after="0" w:line="480" w:lineRule="auto"/>
        <w:ind w:left="720" w:hanging="720"/>
        <w:rPr>
          <w:rFonts w:ascii="Times New Roman" w:hAnsi="Times New Roman" w:cs="Times New Roman"/>
          <w:sz w:val="24"/>
          <w:szCs w:val="24"/>
          <w:lang w:val="en-GB"/>
        </w:rPr>
      </w:pPr>
      <w:r w:rsidRPr="00F93827">
        <w:rPr>
          <w:rFonts w:ascii="Times New Roman" w:hAnsi="Times New Roman" w:cs="Times New Roman"/>
          <w:sz w:val="24"/>
          <w:szCs w:val="24"/>
          <w:lang w:val="en-GB"/>
        </w:rPr>
        <w:t>Barnes, P., 1987. The analysis and use of financial ratios. </w:t>
      </w:r>
      <w:r w:rsidRPr="00F93827">
        <w:rPr>
          <w:rFonts w:ascii="Times New Roman" w:hAnsi="Times New Roman" w:cs="Times New Roman"/>
          <w:i/>
          <w:iCs/>
          <w:sz w:val="24"/>
          <w:szCs w:val="24"/>
          <w:lang w:val="en-GB"/>
        </w:rPr>
        <w:t>Journal of Business Finance dan Accounting</w:t>
      </w:r>
      <w:r w:rsidRPr="00F93827">
        <w:rPr>
          <w:rFonts w:ascii="Times New Roman" w:hAnsi="Times New Roman" w:cs="Times New Roman"/>
          <w:sz w:val="24"/>
          <w:szCs w:val="24"/>
          <w:lang w:val="en-GB"/>
        </w:rPr>
        <w:t>, </w:t>
      </w:r>
      <w:r w:rsidRPr="00F93827">
        <w:rPr>
          <w:rFonts w:ascii="Times New Roman" w:hAnsi="Times New Roman" w:cs="Times New Roman"/>
          <w:b/>
          <w:iCs/>
          <w:sz w:val="24"/>
          <w:szCs w:val="24"/>
          <w:lang w:val="en-GB"/>
        </w:rPr>
        <w:t>14</w:t>
      </w:r>
      <w:r w:rsidRPr="00F93827">
        <w:rPr>
          <w:rFonts w:ascii="Times New Roman" w:hAnsi="Times New Roman" w:cs="Times New Roman"/>
          <w:sz w:val="24"/>
          <w:szCs w:val="24"/>
          <w:lang w:val="en-GB"/>
        </w:rPr>
        <w:t>(4), p.449.</w:t>
      </w:r>
    </w:p>
    <w:p w14:paraId="5964EDD7" w14:textId="3F0AC53D" w:rsidR="00EE30E6" w:rsidRPr="00F93827" w:rsidRDefault="00D60EC2" w:rsidP="003E1D6B">
      <w:pPr>
        <w:spacing w:after="0" w:line="480" w:lineRule="auto"/>
        <w:ind w:left="720" w:hanging="720"/>
        <w:rPr>
          <w:rFonts w:ascii="Times New Roman" w:hAnsi="Times New Roman" w:cs="Times New Roman"/>
          <w:sz w:val="24"/>
          <w:szCs w:val="24"/>
          <w:lang w:val="en-GB"/>
        </w:rPr>
      </w:pPr>
      <w:proofErr w:type="spellStart"/>
      <w:r w:rsidRPr="00F93827">
        <w:rPr>
          <w:rFonts w:ascii="Times New Roman" w:hAnsi="Times New Roman" w:cs="Times New Roman"/>
          <w:sz w:val="24"/>
          <w:szCs w:val="24"/>
          <w:lang w:val="en-GB"/>
        </w:rPr>
        <w:t>Bhojraj</w:t>
      </w:r>
      <w:proofErr w:type="spellEnd"/>
      <w:r w:rsidRPr="00F93827">
        <w:rPr>
          <w:rFonts w:ascii="Times New Roman" w:hAnsi="Times New Roman" w:cs="Times New Roman"/>
          <w:sz w:val="24"/>
          <w:szCs w:val="24"/>
          <w:lang w:val="en-GB"/>
        </w:rPr>
        <w:t>, S. and Lee, C.M., 2002. Who is my peer? A valuation‐based approach to the selection of comparable firms. </w:t>
      </w:r>
      <w:r w:rsidR="00F93827">
        <w:rPr>
          <w:rFonts w:ascii="Times New Roman" w:hAnsi="Times New Roman" w:cs="Times New Roman"/>
          <w:i/>
          <w:iCs/>
          <w:sz w:val="24"/>
          <w:szCs w:val="24"/>
          <w:lang w:val="en-GB"/>
        </w:rPr>
        <w:t>Journal of Accounting R</w:t>
      </w:r>
      <w:r w:rsidRPr="00F93827">
        <w:rPr>
          <w:rFonts w:ascii="Times New Roman" w:hAnsi="Times New Roman" w:cs="Times New Roman"/>
          <w:i/>
          <w:iCs/>
          <w:sz w:val="24"/>
          <w:szCs w:val="24"/>
          <w:lang w:val="en-GB"/>
        </w:rPr>
        <w:t>esearch</w:t>
      </w:r>
      <w:r w:rsidRPr="00F93827">
        <w:rPr>
          <w:rFonts w:ascii="Times New Roman" w:hAnsi="Times New Roman" w:cs="Times New Roman"/>
          <w:sz w:val="24"/>
          <w:szCs w:val="24"/>
          <w:lang w:val="en-GB"/>
        </w:rPr>
        <w:t>, </w:t>
      </w:r>
      <w:r w:rsidRPr="00F93827">
        <w:rPr>
          <w:rFonts w:ascii="Times New Roman" w:hAnsi="Times New Roman" w:cs="Times New Roman"/>
          <w:b/>
          <w:iCs/>
          <w:sz w:val="24"/>
          <w:szCs w:val="24"/>
          <w:lang w:val="en-GB"/>
        </w:rPr>
        <w:t>40</w:t>
      </w:r>
      <w:r w:rsidRPr="00F93827">
        <w:rPr>
          <w:rFonts w:ascii="Times New Roman" w:hAnsi="Times New Roman" w:cs="Times New Roman"/>
          <w:sz w:val="24"/>
          <w:szCs w:val="24"/>
          <w:lang w:val="en-GB"/>
        </w:rPr>
        <w:t>(2), 407-439.</w:t>
      </w:r>
    </w:p>
    <w:p w14:paraId="1005282D" w14:textId="77777777" w:rsidR="003E1D6B" w:rsidRPr="00F93827" w:rsidRDefault="00D60EC2" w:rsidP="003E1D6B">
      <w:pPr>
        <w:spacing w:after="0" w:line="480" w:lineRule="auto"/>
        <w:ind w:left="720" w:hanging="720"/>
        <w:rPr>
          <w:rFonts w:ascii="Times New Roman" w:hAnsi="Times New Roman" w:cs="Times New Roman"/>
          <w:sz w:val="24"/>
          <w:szCs w:val="24"/>
          <w:lang w:val="en-GB"/>
        </w:rPr>
      </w:pPr>
      <w:r w:rsidRPr="00F93827">
        <w:rPr>
          <w:rFonts w:ascii="Times New Roman" w:hAnsi="Times New Roman" w:cs="Times New Roman"/>
          <w:sz w:val="24"/>
          <w:szCs w:val="24"/>
          <w:lang w:val="en-GB"/>
        </w:rPr>
        <w:t>Friedman, B.M., 1985. Portfolio choice and the debt-to-income relationship.</w:t>
      </w:r>
    </w:p>
    <w:p w14:paraId="30E2FC5F" w14:textId="583ECD7F" w:rsidR="00BC1EE8" w:rsidRPr="00F93827" w:rsidRDefault="00D60EC2" w:rsidP="003E1D6B">
      <w:pPr>
        <w:spacing w:after="0" w:line="480" w:lineRule="auto"/>
        <w:ind w:left="720" w:hanging="720"/>
        <w:rPr>
          <w:rFonts w:ascii="Times New Roman" w:hAnsi="Times New Roman" w:cs="Times New Roman"/>
          <w:sz w:val="24"/>
          <w:szCs w:val="24"/>
          <w:lang w:val="en-GB"/>
        </w:rPr>
      </w:pPr>
      <w:proofErr w:type="spellStart"/>
      <w:r w:rsidRPr="00F93827">
        <w:rPr>
          <w:rFonts w:ascii="Times New Roman" w:hAnsi="Times New Roman" w:cs="Times New Roman"/>
          <w:sz w:val="24"/>
          <w:szCs w:val="24"/>
          <w:lang w:val="en-GB"/>
        </w:rPr>
        <w:t>Gurbax</w:t>
      </w:r>
      <w:r w:rsidR="00F93827">
        <w:rPr>
          <w:rFonts w:ascii="Times New Roman" w:hAnsi="Times New Roman" w:cs="Times New Roman"/>
          <w:sz w:val="24"/>
          <w:szCs w:val="24"/>
          <w:lang w:val="en-GB"/>
        </w:rPr>
        <w:t>ani</w:t>
      </w:r>
      <w:proofErr w:type="spellEnd"/>
      <w:r w:rsidR="00F93827">
        <w:rPr>
          <w:rFonts w:ascii="Times New Roman" w:hAnsi="Times New Roman" w:cs="Times New Roman"/>
          <w:sz w:val="24"/>
          <w:szCs w:val="24"/>
          <w:lang w:val="en-GB"/>
        </w:rPr>
        <w:t xml:space="preserve">, Vijay, and Debora </w:t>
      </w:r>
      <w:proofErr w:type="spellStart"/>
      <w:r w:rsidR="00F93827">
        <w:rPr>
          <w:rFonts w:ascii="Times New Roman" w:hAnsi="Times New Roman" w:cs="Times New Roman"/>
          <w:sz w:val="24"/>
          <w:szCs w:val="24"/>
          <w:lang w:val="en-GB"/>
        </w:rPr>
        <w:t>Dunkle</w:t>
      </w:r>
      <w:proofErr w:type="spellEnd"/>
      <w:r w:rsidR="00F93827">
        <w:rPr>
          <w:rFonts w:ascii="Times New Roman" w:hAnsi="Times New Roman" w:cs="Times New Roman"/>
          <w:sz w:val="24"/>
          <w:szCs w:val="24"/>
          <w:lang w:val="en-GB"/>
        </w:rPr>
        <w:t xml:space="preserve">, 2019 </w:t>
      </w:r>
      <w:r w:rsidRPr="00F93827">
        <w:rPr>
          <w:rFonts w:ascii="Times New Roman" w:hAnsi="Times New Roman" w:cs="Times New Roman"/>
          <w:sz w:val="24"/>
          <w:szCs w:val="24"/>
          <w:lang w:val="en-GB"/>
        </w:rPr>
        <w:t xml:space="preserve">Gearing up for successful digital </w:t>
      </w:r>
      <w:proofErr w:type="spellStart"/>
      <w:r w:rsidR="00F93827">
        <w:rPr>
          <w:rFonts w:ascii="Times New Roman" w:hAnsi="Times New Roman" w:cs="Times New Roman"/>
          <w:sz w:val="24"/>
          <w:szCs w:val="24"/>
          <w:lang w:val="en-GB"/>
        </w:rPr>
        <w:t>transformation.</w:t>
      </w:r>
      <w:r w:rsidRPr="00F93827">
        <w:rPr>
          <w:rFonts w:ascii="Times New Roman" w:hAnsi="Times New Roman" w:cs="Times New Roman"/>
          <w:i/>
          <w:iCs/>
          <w:sz w:val="24"/>
          <w:szCs w:val="24"/>
          <w:lang w:val="en-GB"/>
        </w:rPr>
        <w:t>MIS</w:t>
      </w:r>
      <w:proofErr w:type="spellEnd"/>
      <w:r w:rsidRPr="00F93827">
        <w:rPr>
          <w:rFonts w:ascii="Times New Roman" w:hAnsi="Times New Roman" w:cs="Times New Roman"/>
          <w:i/>
          <w:iCs/>
          <w:sz w:val="24"/>
          <w:szCs w:val="24"/>
          <w:lang w:val="en-GB"/>
        </w:rPr>
        <w:t xml:space="preserve"> Quarterly Executive</w:t>
      </w:r>
      <w:r w:rsidR="00F93827">
        <w:rPr>
          <w:rFonts w:ascii="Times New Roman" w:hAnsi="Times New Roman" w:cs="Times New Roman"/>
          <w:i/>
          <w:iCs/>
          <w:sz w:val="24"/>
          <w:szCs w:val="24"/>
          <w:lang w:val="en-GB"/>
        </w:rPr>
        <w:t>,</w:t>
      </w:r>
      <w:r w:rsidRPr="00F93827">
        <w:rPr>
          <w:rFonts w:ascii="Times New Roman" w:hAnsi="Times New Roman" w:cs="Times New Roman"/>
          <w:sz w:val="24"/>
          <w:szCs w:val="24"/>
          <w:lang w:val="en-GB"/>
        </w:rPr>
        <w:t> </w:t>
      </w:r>
      <w:r w:rsidRPr="00F93827">
        <w:rPr>
          <w:rFonts w:ascii="Times New Roman" w:hAnsi="Times New Roman" w:cs="Times New Roman"/>
          <w:b/>
          <w:sz w:val="24"/>
          <w:szCs w:val="24"/>
          <w:lang w:val="en-GB"/>
        </w:rPr>
        <w:t>18</w:t>
      </w:r>
      <w:r w:rsidR="00F93827">
        <w:rPr>
          <w:rFonts w:ascii="Times New Roman" w:hAnsi="Times New Roman" w:cs="Times New Roman"/>
          <w:sz w:val="24"/>
          <w:szCs w:val="24"/>
          <w:lang w:val="en-GB"/>
        </w:rPr>
        <w:t>(</w:t>
      </w:r>
      <w:r w:rsidRPr="00F93827">
        <w:rPr>
          <w:rFonts w:ascii="Times New Roman" w:hAnsi="Times New Roman" w:cs="Times New Roman"/>
          <w:sz w:val="24"/>
          <w:szCs w:val="24"/>
          <w:lang w:val="en-GB"/>
        </w:rPr>
        <w:t>3</w:t>
      </w:r>
      <w:r w:rsidR="00F93827">
        <w:rPr>
          <w:rFonts w:ascii="Times New Roman" w:hAnsi="Times New Roman" w:cs="Times New Roman"/>
          <w:sz w:val="24"/>
          <w:szCs w:val="24"/>
          <w:lang w:val="en-GB"/>
        </w:rPr>
        <w:t>)</w:t>
      </w:r>
      <w:r w:rsidRPr="00F93827">
        <w:rPr>
          <w:rFonts w:ascii="Times New Roman" w:hAnsi="Times New Roman" w:cs="Times New Roman"/>
          <w:sz w:val="24"/>
          <w:szCs w:val="24"/>
          <w:lang w:val="en-GB"/>
        </w:rPr>
        <w:t xml:space="preserve"> </w:t>
      </w:r>
    </w:p>
    <w:p w14:paraId="0EF8A0EE" w14:textId="77777777" w:rsidR="003E1D6B" w:rsidRPr="00F93827" w:rsidRDefault="00D60EC2" w:rsidP="003E1D6B">
      <w:pPr>
        <w:spacing w:after="0" w:line="480" w:lineRule="auto"/>
        <w:ind w:left="720" w:hanging="720"/>
        <w:rPr>
          <w:rFonts w:ascii="Times New Roman" w:hAnsi="Times New Roman" w:cs="Times New Roman"/>
          <w:sz w:val="24"/>
          <w:szCs w:val="24"/>
          <w:lang w:val="en-GB"/>
        </w:rPr>
      </w:pPr>
      <w:proofErr w:type="spellStart"/>
      <w:r w:rsidRPr="00F93827">
        <w:rPr>
          <w:rFonts w:ascii="Times New Roman" w:hAnsi="Times New Roman" w:cs="Times New Roman"/>
          <w:sz w:val="24"/>
          <w:szCs w:val="24"/>
          <w:lang w:val="en-GB"/>
        </w:rPr>
        <w:t>Herawati</w:t>
      </w:r>
      <w:proofErr w:type="spellEnd"/>
      <w:r w:rsidRPr="00F93827">
        <w:rPr>
          <w:rFonts w:ascii="Times New Roman" w:hAnsi="Times New Roman" w:cs="Times New Roman"/>
          <w:sz w:val="24"/>
          <w:szCs w:val="24"/>
          <w:lang w:val="en-GB"/>
        </w:rPr>
        <w:t xml:space="preserve">, A. and Fauzia, F.I., 2018. The effect of current ratio, debt to equity ratio, and return on the asset on dividend </w:t>
      </w:r>
      <w:proofErr w:type="spellStart"/>
      <w:r w:rsidRPr="00F93827">
        <w:rPr>
          <w:rFonts w:ascii="Times New Roman" w:hAnsi="Times New Roman" w:cs="Times New Roman"/>
          <w:sz w:val="24"/>
          <w:szCs w:val="24"/>
          <w:lang w:val="en-GB"/>
        </w:rPr>
        <w:t>payout</w:t>
      </w:r>
      <w:proofErr w:type="spellEnd"/>
      <w:r w:rsidRPr="00F93827">
        <w:rPr>
          <w:rFonts w:ascii="Times New Roman" w:hAnsi="Times New Roman" w:cs="Times New Roman"/>
          <w:sz w:val="24"/>
          <w:szCs w:val="24"/>
          <w:lang w:val="en-GB"/>
        </w:rPr>
        <w:t xml:space="preserve"> ratio in sub-sector automotive and component listed in Indonesia stock exchange in period 2012–2016. </w:t>
      </w:r>
      <w:proofErr w:type="spellStart"/>
      <w:r w:rsidRPr="00F93827">
        <w:rPr>
          <w:rFonts w:ascii="Times New Roman" w:hAnsi="Times New Roman" w:cs="Times New Roman"/>
          <w:i/>
          <w:iCs/>
          <w:sz w:val="24"/>
          <w:szCs w:val="24"/>
          <w:lang w:val="en-GB"/>
        </w:rPr>
        <w:t>KnE</w:t>
      </w:r>
      <w:proofErr w:type="spellEnd"/>
      <w:r w:rsidRPr="00F93827">
        <w:rPr>
          <w:rFonts w:ascii="Times New Roman" w:hAnsi="Times New Roman" w:cs="Times New Roman"/>
          <w:i/>
          <w:iCs/>
          <w:sz w:val="24"/>
          <w:szCs w:val="24"/>
          <w:lang w:val="en-GB"/>
        </w:rPr>
        <w:t xml:space="preserve"> Social Sciences</w:t>
      </w:r>
      <w:r w:rsidRPr="00F93827">
        <w:rPr>
          <w:rFonts w:ascii="Times New Roman" w:hAnsi="Times New Roman" w:cs="Times New Roman"/>
          <w:sz w:val="24"/>
          <w:szCs w:val="24"/>
          <w:lang w:val="en-GB"/>
        </w:rPr>
        <w:t>.</w:t>
      </w:r>
    </w:p>
    <w:p w14:paraId="73428AD2" w14:textId="77777777" w:rsidR="00EE30E6" w:rsidRPr="00F93827" w:rsidRDefault="00D60EC2" w:rsidP="003E1D6B">
      <w:pPr>
        <w:spacing w:after="0" w:line="480" w:lineRule="auto"/>
        <w:ind w:left="720" w:hanging="720"/>
        <w:rPr>
          <w:rFonts w:ascii="Times New Roman" w:hAnsi="Times New Roman" w:cs="Times New Roman"/>
          <w:sz w:val="24"/>
          <w:szCs w:val="24"/>
          <w:lang w:val="en-GB"/>
        </w:rPr>
      </w:pPr>
      <w:r w:rsidRPr="00F93827">
        <w:rPr>
          <w:rFonts w:ascii="Times New Roman" w:hAnsi="Times New Roman" w:cs="Times New Roman"/>
          <w:sz w:val="24"/>
          <w:szCs w:val="24"/>
          <w:lang w:val="en-GB"/>
        </w:rPr>
        <w:t>Horrigan, J.O., 1966. The determination of long-term credit standing with financial ratios. </w:t>
      </w:r>
      <w:r w:rsidRPr="00F93827">
        <w:rPr>
          <w:rFonts w:ascii="Times New Roman" w:hAnsi="Times New Roman" w:cs="Times New Roman"/>
          <w:i/>
          <w:iCs/>
          <w:sz w:val="24"/>
          <w:szCs w:val="24"/>
          <w:lang w:val="en-GB"/>
        </w:rPr>
        <w:t>Journal of Accounting Research</w:t>
      </w:r>
      <w:r w:rsidRPr="00F93827">
        <w:rPr>
          <w:rFonts w:ascii="Times New Roman" w:hAnsi="Times New Roman" w:cs="Times New Roman"/>
          <w:sz w:val="24"/>
          <w:szCs w:val="24"/>
          <w:lang w:val="en-GB"/>
        </w:rPr>
        <w:t>, pp.44-62.</w:t>
      </w:r>
    </w:p>
    <w:p w14:paraId="5AD49B9D" w14:textId="77777777" w:rsidR="00BC1EE8" w:rsidRPr="00F93827" w:rsidRDefault="00D60EC2" w:rsidP="003E1D6B">
      <w:pPr>
        <w:spacing w:after="0" w:line="480" w:lineRule="auto"/>
        <w:ind w:left="720" w:hanging="720"/>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Lambert, D.M. and </w:t>
      </w:r>
      <w:proofErr w:type="spellStart"/>
      <w:r w:rsidRPr="00F93827">
        <w:rPr>
          <w:rFonts w:ascii="Times New Roman" w:hAnsi="Times New Roman" w:cs="Times New Roman"/>
          <w:sz w:val="24"/>
          <w:szCs w:val="24"/>
          <w:lang w:val="en-GB"/>
        </w:rPr>
        <w:t>Burduroglu</w:t>
      </w:r>
      <w:proofErr w:type="spellEnd"/>
      <w:r w:rsidRPr="00F93827">
        <w:rPr>
          <w:rFonts w:ascii="Times New Roman" w:hAnsi="Times New Roman" w:cs="Times New Roman"/>
          <w:sz w:val="24"/>
          <w:szCs w:val="24"/>
          <w:lang w:val="en-GB"/>
        </w:rPr>
        <w:t>, R., 2000. Measuring and selling the value of logistics. </w:t>
      </w:r>
      <w:r w:rsidRPr="00F93827">
        <w:rPr>
          <w:rFonts w:ascii="Times New Roman" w:hAnsi="Times New Roman" w:cs="Times New Roman"/>
          <w:i/>
          <w:iCs/>
          <w:sz w:val="24"/>
          <w:szCs w:val="24"/>
          <w:lang w:val="en-GB"/>
        </w:rPr>
        <w:t>The International Journal of Logistics Management</w:t>
      </w:r>
      <w:r w:rsidRPr="00F93827">
        <w:rPr>
          <w:rFonts w:ascii="Times New Roman" w:hAnsi="Times New Roman" w:cs="Times New Roman"/>
          <w:sz w:val="24"/>
          <w:szCs w:val="24"/>
          <w:lang w:val="en-GB"/>
        </w:rPr>
        <w:t>, </w:t>
      </w:r>
      <w:r w:rsidRPr="00F93827">
        <w:rPr>
          <w:rFonts w:ascii="Times New Roman" w:hAnsi="Times New Roman" w:cs="Times New Roman"/>
          <w:b/>
          <w:iCs/>
          <w:sz w:val="24"/>
          <w:szCs w:val="24"/>
          <w:lang w:val="en-GB"/>
        </w:rPr>
        <w:t>11</w:t>
      </w:r>
      <w:r w:rsidRPr="00F93827">
        <w:rPr>
          <w:rFonts w:ascii="Times New Roman" w:hAnsi="Times New Roman" w:cs="Times New Roman"/>
          <w:sz w:val="24"/>
          <w:szCs w:val="24"/>
          <w:lang w:val="en-GB"/>
        </w:rPr>
        <w:t>(1), pp.1-18.</w:t>
      </w:r>
    </w:p>
    <w:p w14:paraId="2962C3A8" w14:textId="77777777" w:rsidR="00EE30E6" w:rsidRPr="00F93827" w:rsidRDefault="00D60EC2" w:rsidP="003E1D6B">
      <w:pPr>
        <w:spacing w:after="0" w:line="480" w:lineRule="auto"/>
        <w:ind w:left="720" w:hanging="720"/>
        <w:rPr>
          <w:rFonts w:ascii="Times New Roman" w:hAnsi="Times New Roman" w:cs="Times New Roman"/>
          <w:sz w:val="24"/>
          <w:szCs w:val="24"/>
          <w:lang w:val="en-GB"/>
        </w:rPr>
      </w:pPr>
      <w:proofErr w:type="spellStart"/>
      <w:r w:rsidRPr="00F93827">
        <w:rPr>
          <w:rFonts w:ascii="Times New Roman" w:hAnsi="Times New Roman" w:cs="Times New Roman"/>
          <w:sz w:val="24"/>
          <w:szCs w:val="24"/>
          <w:lang w:val="en-GB"/>
        </w:rPr>
        <w:t>Mahotra</w:t>
      </w:r>
      <w:proofErr w:type="spellEnd"/>
      <w:r w:rsidRPr="00F93827">
        <w:rPr>
          <w:rFonts w:ascii="Times New Roman" w:hAnsi="Times New Roman" w:cs="Times New Roman"/>
          <w:sz w:val="24"/>
          <w:szCs w:val="24"/>
          <w:lang w:val="en-GB"/>
        </w:rPr>
        <w:t xml:space="preserve">, D.K. and Malhotra, R., 2008. </w:t>
      </w:r>
      <w:proofErr w:type="spellStart"/>
      <w:r w:rsidRPr="00F93827">
        <w:rPr>
          <w:rFonts w:ascii="Times New Roman" w:hAnsi="Times New Roman" w:cs="Times New Roman"/>
          <w:sz w:val="24"/>
          <w:szCs w:val="24"/>
          <w:lang w:val="en-GB"/>
        </w:rPr>
        <w:t>Analyzing</w:t>
      </w:r>
      <w:proofErr w:type="spellEnd"/>
      <w:r w:rsidRPr="00F93827">
        <w:rPr>
          <w:rFonts w:ascii="Times New Roman" w:hAnsi="Times New Roman" w:cs="Times New Roman"/>
          <w:sz w:val="24"/>
          <w:szCs w:val="24"/>
          <w:lang w:val="en-GB"/>
        </w:rPr>
        <w:t xml:space="preserve"> financial statements using data envelopment analysis. </w:t>
      </w:r>
      <w:r w:rsidRPr="00F93827">
        <w:rPr>
          <w:rFonts w:ascii="Times New Roman" w:hAnsi="Times New Roman" w:cs="Times New Roman"/>
          <w:i/>
          <w:iCs/>
          <w:sz w:val="24"/>
          <w:szCs w:val="24"/>
          <w:lang w:val="en-GB"/>
        </w:rPr>
        <w:t>Com. Lending Rev.</w:t>
      </w:r>
      <w:r w:rsidRPr="00F93827">
        <w:rPr>
          <w:rFonts w:ascii="Times New Roman" w:hAnsi="Times New Roman" w:cs="Times New Roman"/>
          <w:sz w:val="24"/>
          <w:szCs w:val="24"/>
          <w:lang w:val="en-GB"/>
        </w:rPr>
        <w:t>, </w:t>
      </w:r>
      <w:r w:rsidRPr="00F93827">
        <w:rPr>
          <w:rFonts w:ascii="Times New Roman" w:hAnsi="Times New Roman" w:cs="Times New Roman"/>
          <w:b/>
          <w:iCs/>
          <w:sz w:val="24"/>
          <w:szCs w:val="24"/>
          <w:lang w:val="en-GB"/>
        </w:rPr>
        <w:t>23</w:t>
      </w:r>
      <w:r w:rsidRPr="00F93827">
        <w:rPr>
          <w:rFonts w:ascii="Times New Roman" w:hAnsi="Times New Roman" w:cs="Times New Roman"/>
          <w:sz w:val="24"/>
          <w:szCs w:val="24"/>
          <w:lang w:val="en-GB"/>
        </w:rPr>
        <w:t>, p.25.</w:t>
      </w:r>
    </w:p>
    <w:p w14:paraId="4CF8D3E8" w14:textId="77777777" w:rsidR="00EE30E6" w:rsidRPr="00F93827" w:rsidRDefault="00D60EC2" w:rsidP="003E1D6B">
      <w:pPr>
        <w:spacing w:after="0" w:line="480" w:lineRule="auto"/>
        <w:ind w:left="720" w:hanging="720"/>
        <w:rPr>
          <w:rFonts w:ascii="Times New Roman" w:hAnsi="Times New Roman" w:cs="Times New Roman"/>
          <w:sz w:val="24"/>
          <w:szCs w:val="24"/>
          <w:lang w:val="en-GB"/>
        </w:rPr>
      </w:pPr>
      <w:r w:rsidRPr="00F93827">
        <w:rPr>
          <w:rFonts w:ascii="Times New Roman" w:hAnsi="Times New Roman" w:cs="Times New Roman"/>
          <w:sz w:val="24"/>
          <w:szCs w:val="24"/>
          <w:lang w:val="en-GB"/>
        </w:rPr>
        <w:t xml:space="preserve">Singh, A.J. and </w:t>
      </w:r>
      <w:proofErr w:type="spellStart"/>
      <w:r w:rsidRPr="00F93827">
        <w:rPr>
          <w:rFonts w:ascii="Times New Roman" w:hAnsi="Times New Roman" w:cs="Times New Roman"/>
          <w:sz w:val="24"/>
          <w:szCs w:val="24"/>
          <w:lang w:val="en-GB"/>
        </w:rPr>
        <w:t>Schmidgall</w:t>
      </w:r>
      <w:proofErr w:type="spellEnd"/>
      <w:r w:rsidRPr="00F93827">
        <w:rPr>
          <w:rFonts w:ascii="Times New Roman" w:hAnsi="Times New Roman" w:cs="Times New Roman"/>
          <w:sz w:val="24"/>
          <w:szCs w:val="24"/>
          <w:lang w:val="en-GB"/>
        </w:rPr>
        <w:t>, R.S., 2002. Analysis of financial ratios commonly used by US lodging financial executives. </w:t>
      </w:r>
      <w:r w:rsidRPr="00F93827">
        <w:rPr>
          <w:rFonts w:ascii="Times New Roman" w:hAnsi="Times New Roman" w:cs="Times New Roman"/>
          <w:i/>
          <w:iCs/>
          <w:sz w:val="24"/>
          <w:szCs w:val="24"/>
          <w:lang w:val="en-GB"/>
        </w:rPr>
        <w:t>Journal of Retail &amp; Leisure Property</w:t>
      </w:r>
      <w:r w:rsidRPr="00F93827">
        <w:rPr>
          <w:rFonts w:ascii="Times New Roman" w:hAnsi="Times New Roman" w:cs="Times New Roman"/>
          <w:sz w:val="24"/>
          <w:szCs w:val="24"/>
          <w:lang w:val="en-GB"/>
        </w:rPr>
        <w:t>, </w:t>
      </w:r>
      <w:r w:rsidRPr="00F93827">
        <w:rPr>
          <w:rFonts w:ascii="Times New Roman" w:hAnsi="Times New Roman" w:cs="Times New Roman"/>
          <w:b/>
          <w:iCs/>
          <w:sz w:val="24"/>
          <w:szCs w:val="24"/>
          <w:lang w:val="en-GB"/>
        </w:rPr>
        <w:t>2</w:t>
      </w:r>
      <w:r w:rsidRPr="00F93827">
        <w:rPr>
          <w:rFonts w:ascii="Times New Roman" w:hAnsi="Times New Roman" w:cs="Times New Roman"/>
          <w:sz w:val="24"/>
          <w:szCs w:val="24"/>
          <w:lang w:val="en-GB"/>
        </w:rPr>
        <w:t>(3), pp.201-213.</w:t>
      </w:r>
    </w:p>
    <w:p w14:paraId="00E636E3" w14:textId="77777777" w:rsidR="00BC1EE8" w:rsidRPr="00F93827" w:rsidRDefault="00D60EC2" w:rsidP="003E1D6B">
      <w:pPr>
        <w:spacing w:after="0" w:line="480" w:lineRule="auto"/>
        <w:ind w:left="720" w:hanging="720"/>
        <w:rPr>
          <w:rFonts w:ascii="Times New Roman" w:hAnsi="Times New Roman" w:cs="Times New Roman"/>
          <w:sz w:val="24"/>
          <w:szCs w:val="24"/>
          <w:lang w:val="en-GB"/>
        </w:rPr>
      </w:pPr>
      <w:r w:rsidRPr="00F93827">
        <w:rPr>
          <w:rFonts w:ascii="Times New Roman" w:hAnsi="Times New Roman" w:cs="Times New Roman"/>
          <w:sz w:val="24"/>
          <w:szCs w:val="24"/>
          <w:lang w:val="en-GB"/>
        </w:rPr>
        <w:t>Stegman, M.A., 2007. Payday lending. </w:t>
      </w:r>
      <w:r w:rsidRPr="00F93827">
        <w:rPr>
          <w:rFonts w:ascii="Times New Roman" w:hAnsi="Times New Roman" w:cs="Times New Roman"/>
          <w:i/>
          <w:iCs/>
          <w:sz w:val="24"/>
          <w:szCs w:val="24"/>
          <w:lang w:val="en-GB"/>
        </w:rPr>
        <w:t>Journal of Economic Perspectives</w:t>
      </w:r>
      <w:r w:rsidRPr="00F93827">
        <w:rPr>
          <w:rFonts w:ascii="Times New Roman" w:hAnsi="Times New Roman" w:cs="Times New Roman"/>
          <w:sz w:val="24"/>
          <w:szCs w:val="24"/>
          <w:lang w:val="en-GB"/>
        </w:rPr>
        <w:t>, </w:t>
      </w:r>
      <w:r w:rsidRPr="00F93827">
        <w:rPr>
          <w:rFonts w:ascii="Times New Roman" w:hAnsi="Times New Roman" w:cs="Times New Roman"/>
          <w:b/>
          <w:iCs/>
          <w:sz w:val="24"/>
          <w:szCs w:val="24"/>
          <w:lang w:val="en-GB"/>
        </w:rPr>
        <w:t>21</w:t>
      </w:r>
      <w:r w:rsidRPr="00F93827">
        <w:rPr>
          <w:rFonts w:ascii="Times New Roman" w:hAnsi="Times New Roman" w:cs="Times New Roman"/>
          <w:sz w:val="24"/>
          <w:szCs w:val="24"/>
          <w:lang w:val="en-GB"/>
        </w:rPr>
        <w:t>(1), pp.169-190.</w:t>
      </w:r>
    </w:p>
    <w:p w14:paraId="1AD46082" w14:textId="77777777" w:rsidR="00BC1EE8" w:rsidRPr="00F93827" w:rsidRDefault="00D60EC2" w:rsidP="003E1D6B">
      <w:pPr>
        <w:spacing w:after="0" w:line="480" w:lineRule="auto"/>
        <w:ind w:left="720" w:hanging="720"/>
        <w:rPr>
          <w:rFonts w:ascii="Times New Roman" w:hAnsi="Times New Roman" w:cs="Times New Roman"/>
          <w:sz w:val="24"/>
          <w:szCs w:val="24"/>
          <w:lang w:val="en-GB"/>
        </w:rPr>
      </w:pPr>
      <w:r w:rsidRPr="00F93827">
        <w:rPr>
          <w:rFonts w:ascii="Times New Roman" w:hAnsi="Times New Roman" w:cs="Times New Roman"/>
          <w:sz w:val="24"/>
          <w:szCs w:val="24"/>
          <w:lang w:val="en-GB"/>
        </w:rPr>
        <w:lastRenderedPageBreak/>
        <w:t xml:space="preserve">Whittaker, S. and Marchington, M., 2003. Devolving HR responsibility to the line: threat, opportunity, or partnership? </w:t>
      </w:r>
      <w:r w:rsidRPr="00F93827">
        <w:rPr>
          <w:rFonts w:ascii="Times New Roman" w:hAnsi="Times New Roman" w:cs="Times New Roman"/>
          <w:i/>
          <w:iCs/>
          <w:sz w:val="24"/>
          <w:szCs w:val="24"/>
          <w:lang w:val="en-GB"/>
        </w:rPr>
        <w:t>Employee Relations</w:t>
      </w:r>
    </w:p>
    <w:sectPr w:rsidR="00BC1EE8" w:rsidRPr="00F9382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35654" w14:textId="77777777" w:rsidR="0097283B" w:rsidRDefault="0097283B">
      <w:pPr>
        <w:spacing w:after="0" w:line="240" w:lineRule="auto"/>
      </w:pPr>
      <w:r>
        <w:separator/>
      </w:r>
    </w:p>
  </w:endnote>
  <w:endnote w:type="continuationSeparator" w:id="0">
    <w:p w14:paraId="6568430B" w14:textId="77777777" w:rsidR="0097283B" w:rsidRDefault="00972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3043B" w14:textId="77777777" w:rsidR="00841A24" w:rsidRDefault="00841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CCC84" w14:textId="77777777" w:rsidR="00841A24" w:rsidRDefault="00841A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6C7CA" w14:textId="77777777" w:rsidR="00841A24" w:rsidRDefault="00841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B602F" w14:textId="77777777" w:rsidR="0097283B" w:rsidRDefault="0097283B">
      <w:pPr>
        <w:spacing w:after="0" w:line="240" w:lineRule="auto"/>
      </w:pPr>
      <w:r>
        <w:separator/>
      </w:r>
    </w:p>
  </w:footnote>
  <w:footnote w:type="continuationSeparator" w:id="0">
    <w:p w14:paraId="65D35E1F" w14:textId="77777777" w:rsidR="0097283B" w:rsidRDefault="009728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DE842" w14:textId="77777777" w:rsidR="00841A24" w:rsidRDefault="00841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9D200" w14:textId="14D4F62A" w:rsidR="00D51F63" w:rsidRPr="00D51F63" w:rsidRDefault="00D60EC2" w:rsidP="00D51F63">
    <w:pPr>
      <w:pStyle w:val="Header"/>
      <w:jc w:val="right"/>
      <w:rPr>
        <w:rFonts w:ascii="Times New Roman" w:hAnsi="Times New Roman" w:cs="Times New Roman"/>
        <w:sz w:val="24"/>
        <w:szCs w:val="24"/>
      </w:rPr>
    </w:pPr>
    <w:r w:rsidRPr="00D51F63">
      <w:rPr>
        <w:rFonts w:ascii="Times New Roman" w:hAnsi="Times New Roman" w:cs="Times New Roman"/>
        <w:sz w:val="24"/>
        <w:szCs w:val="24"/>
      </w:rPr>
      <w:t xml:space="preserve">Financial Statement Analysis </w:t>
    </w:r>
    <w:sdt>
      <w:sdtPr>
        <w:rPr>
          <w:rFonts w:ascii="Times New Roman" w:hAnsi="Times New Roman" w:cs="Times New Roman"/>
          <w:sz w:val="24"/>
          <w:szCs w:val="24"/>
        </w:rPr>
        <w:id w:val="1715850465"/>
        <w:docPartObj>
          <w:docPartGallery w:val="Page Numbers (Top of Page)"/>
          <w:docPartUnique/>
        </w:docPartObj>
      </w:sdtPr>
      <w:sdtEndPr>
        <w:rPr>
          <w:noProof/>
        </w:rPr>
      </w:sdtEndPr>
      <w:sdtContent>
        <w:r w:rsidRPr="00D51F63">
          <w:rPr>
            <w:rFonts w:ascii="Times New Roman" w:hAnsi="Times New Roman" w:cs="Times New Roman"/>
            <w:sz w:val="24"/>
            <w:szCs w:val="24"/>
          </w:rPr>
          <w:fldChar w:fldCharType="begin"/>
        </w:r>
        <w:r w:rsidRPr="00D51F63">
          <w:rPr>
            <w:rFonts w:ascii="Times New Roman" w:hAnsi="Times New Roman" w:cs="Times New Roman"/>
            <w:sz w:val="24"/>
            <w:szCs w:val="24"/>
          </w:rPr>
          <w:instrText xml:space="preserve"> PAGE   \* MERGEFORMAT </w:instrText>
        </w:r>
        <w:r w:rsidRPr="00D51F63">
          <w:rPr>
            <w:rFonts w:ascii="Times New Roman" w:hAnsi="Times New Roman" w:cs="Times New Roman"/>
            <w:sz w:val="24"/>
            <w:szCs w:val="24"/>
          </w:rPr>
          <w:fldChar w:fldCharType="separate"/>
        </w:r>
        <w:r w:rsidR="00841A24">
          <w:rPr>
            <w:rFonts w:ascii="Times New Roman" w:hAnsi="Times New Roman" w:cs="Times New Roman"/>
            <w:noProof/>
            <w:sz w:val="24"/>
            <w:szCs w:val="24"/>
          </w:rPr>
          <w:t>11</w:t>
        </w:r>
        <w:r w:rsidRPr="00D51F63">
          <w:rPr>
            <w:rFonts w:ascii="Times New Roman" w:hAnsi="Times New Roman" w:cs="Times New Roman"/>
            <w:noProof/>
            <w:sz w:val="24"/>
            <w:szCs w:val="24"/>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E9280" w14:textId="77777777" w:rsidR="00841A24" w:rsidRDefault="00841A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794D"/>
    <w:multiLevelType w:val="hybridMultilevel"/>
    <w:tmpl w:val="8D16FD32"/>
    <w:lvl w:ilvl="0" w:tplc="1A1C2724">
      <w:start w:val="1"/>
      <w:numFmt w:val="decimal"/>
      <w:lvlText w:val="%1."/>
      <w:lvlJc w:val="left"/>
      <w:pPr>
        <w:ind w:left="720" w:hanging="360"/>
      </w:pPr>
      <w:rPr>
        <w:rFonts w:hint="default"/>
      </w:rPr>
    </w:lvl>
    <w:lvl w:ilvl="1" w:tplc="E47CF48A" w:tentative="1">
      <w:start w:val="1"/>
      <w:numFmt w:val="lowerLetter"/>
      <w:lvlText w:val="%2."/>
      <w:lvlJc w:val="left"/>
      <w:pPr>
        <w:ind w:left="1440" w:hanging="360"/>
      </w:pPr>
    </w:lvl>
    <w:lvl w:ilvl="2" w:tplc="F6047B66" w:tentative="1">
      <w:start w:val="1"/>
      <w:numFmt w:val="lowerRoman"/>
      <w:lvlText w:val="%3."/>
      <w:lvlJc w:val="right"/>
      <w:pPr>
        <w:ind w:left="2160" w:hanging="180"/>
      </w:pPr>
    </w:lvl>
    <w:lvl w:ilvl="3" w:tplc="62000066" w:tentative="1">
      <w:start w:val="1"/>
      <w:numFmt w:val="decimal"/>
      <w:lvlText w:val="%4."/>
      <w:lvlJc w:val="left"/>
      <w:pPr>
        <w:ind w:left="2880" w:hanging="360"/>
      </w:pPr>
    </w:lvl>
    <w:lvl w:ilvl="4" w:tplc="97D08F86" w:tentative="1">
      <w:start w:val="1"/>
      <w:numFmt w:val="lowerLetter"/>
      <w:lvlText w:val="%5."/>
      <w:lvlJc w:val="left"/>
      <w:pPr>
        <w:ind w:left="3600" w:hanging="360"/>
      </w:pPr>
    </w:lvl>
    <w:lvl w:ilvl="5" w:tplc="77E64EB6" w:tentative="1">
      <w:start w:val="1"/>
      <w:numFmt w:val="lowerRoman"/>
      <w:lvlText w:val="%6."/>
      <w:lvlJc w:val="right"/>
      <w:pPr>
        <w:ind w:left="4320" w:hanging="180"/>
      </w:pPr>
    </w:lvl>
    <w:lvl w:ilvl="6" w:tplc="03286EEE" w:tentative="1">
      <w:start w:val="1"/>
      <w:numFmt w:val="decimal"/>
      <w:lvlText w:val="%7."/>
      <w:lvlJc w:val="left"/>
      <w:pPr>
        <w:ind w:left="5040" w:hanging="360"/>
      </w:pPr>
    </w:lvl>
    <w:lvl w:ilvl="7" w:tplc="1E3AE666" w:tentative="1">
      <w:start w:val="1"/>
      <w:numFmt w:val="lowerLetter"/>
      <w:lvlText w:val="%8."/>
      <w:lvlJc w:val="left"/>
      <w:pPr>
        <w:ind w:left="5760" w:hanging="360"/>
      </w:pPr>
    </w:lvl>
    <w:lvl w:ilvl="8" w:tplc="5C90637E" w:tentative="1">
      <w:start w:val="1"/>
      <w:numFmt w:val="lowerRoman"/>
      <w:lvlText w:val="%9."/>
      <w:lvlJc w:val="right"/>
      <w:pPr>
        <w:ind w:left="6480" w:hanging="180"/>
      </w:pPr>
    </w:lvl>
  </w:abstractNum>
  <w:abstractNum w:abstractNumId="1" w15:restartNumberingAfterBreak="0">
    <w:nsid w:val="2C4520AE"/>
    <w:multiLevelType w:val="hybridMultilevel"/>
    <w:tmpl w:val="08424608"/>
    <w:lvl w:ilvl="0" w:tplc="33C45A1A">
      <w:start w:val="1"/>
      <w:numFmt w:val="decimal"/>
      <w:lvlText w:val="%1."/>
      <w:lvlJc w:val="left"/>
      <w:pPr>
        <w:ind w:left="720" w:hanging="360"/>
      </w:pPr>
      <w:rPr>
        <w:rFonts w:hint="default"/>
      </w:rPr>
    </w:lvl>
    <w:lvl w:ilvl="1" w:tplc="EA3C9D0A" w:tentative="1">
      <w:start w:val="1"/>
      <w:numFmt w:val="lowerLetter"/>
      <w:lvlText w:val="%2."/>
      <w:lvlJc w:val="left"/>
      <w:pPr>
        <w:ind w:left="1440" w:hanging="360"/>
      </w:pPr>
    </w:lvl>
    <w:lvl w:ilvl="2" w:tplc="10447ED4" w:tentative="1">
      <w:start w:val="1"/>
      <w:numFmt w:val="lowerRoman"/>
      <w:lvlText w:val="%3."/>
      <w:lvlJc w:val="right"/>
      <w:pPr>
        <w:ind w:left="2160" w:hanging="180"/>
      </w:pPr>
    </w:lvl>
    <w:lvl w:ilvl="3" w:tplc="FB127640" w:tentative="1">
      <w:start w:val="1"/>
      <w:numFmt w:val="decimal"/>
      <w:lvlText w:val="%4."/>
      <w:lvlJc w:val="left"/>
      <w:pPr>
        <w:ind w:left="2880" w:hanging="360"/>
      </w:pPr>
    </w:lvl>
    <w:lvl w:ilvl="4" w:tplc="FBFEF1BA" w:tentative="1">
      <w:start w:val="1"/>
      <w:numFmt w:val="lowerLetter"/>
      <w:lvlText w:val="%5."/>
      <w:lvlJc w:val="left"/>
      <w:pPr>
        <w:ind w:left="3600" w:hanging="360"/>
      </w:pPr>
    </w:lvl>
    <w:lvl w:ilvl="5" w:tplc="1CCAC054" w:tentative="1">
      <w:start w:val="1"/>
      <w:numFmt w:val="lowerRoman"/>
      <w:lvlText w:val="%6."/>
      <w:lvlJc w:val="right"/>
      <w:pPr>
        <w:ind w:left="4320" w:hanging="180"/>
      </w:pPr>
    </w:lvl>
    <w:lvl w:ilvl="6" w:tplc="DAF81378" w:tentative="1">
      <w:start w:val="1"/>
      <w:numFmt w:val="decimal"/>
      <w:lvlText w:val="%7."/>
      <w:lvlJc w:val="left"/>
      <w:pPr>
        <w:ind w:left="5040" w:hanging="360"/>
      </w:pPr>
    </w:lvl>
    <w:lvl w:ilvl="7" w:tplc="57D01B42" w:tentative="1">
      <w:start w:val="1"/>
      <w:numFmt w:val="lowerLetter"/>
      <w:lvlText w:val="%8."/>
      <w:lvlJc w:val="left"/>
      <w:pPr>
        <w:ind w:left="5760" w:hanging="360"/>
      </w:pPr>
    </w:lvl>
    <w:lvl w:ilvl="8" w:tplc="0494F45E" w:tentative="1">
      <w:start w:val="1"/>
      <w:numFmt w:val="lowerRoman"/>
      <w:lvlText w:val="%9."/>
      <w:lvlJc w:val="right"/>
      <w:pPr>
        <w:ind w:left="6480" w:hanging="180"/>
      </w:pPr>
    </w:lvl>
  </w:abstractNum>
  <w:abstractNum w:abstractNumId="2" w15:restartNumberingAfterBreak="0">
    <w:nsid w:val="582413E9"/>
    <w:multiLevelType w:val="hybridMultilevel"/>
    <w:tmpl w:val="9AEE3B72"/>
    <w:lvl w:ilvl="0" w:tplc="DB9449F6">
      <w:start w:val="1"/>
      <w:numFmt w:val="decimal"/>
      <w:lvlText w:val="%1."/>
      <w:lvlJc w:val="left"/>
      <w:pPr>
        <w:ind w:left="720" w:hanging="360"/>
      </w:pPr>
      <w:rPr>
        <w:rFonts w:hint="default"/>
      </w:rPr>
    </w:lvl>
    <w:lvl w:ilvl="1" w:tplc="F59C0108" w:tentative="1">
      <w:start w:val="1"/>
      <w:numFmt w:val="lowerLetter"/>
      <w:lvlText w:val="%2."/>
      <w:lvlJc w:val="left"/>
      <w:pPr>
        <w:ind w:left="1440" w:hanging="360"/>
      </w:pPr>
    </w:lvl>
    <w:lvl w:ilvl="2" w:tplc="FA147906" w:tentative="1">
      <w:start w:val="1"/>
      <w:numFmt w:val="lowerRoman"/>
      <w:lvlText w:val="%3."/>
      <w:lvlJc w:val="right"/>
      <w:pPr>
        <w:ind w:left="2160" w:hanging="180"/>
      </w:pPr>
    </w:lvl>
    <w:lvl w:ilvl="3" w:tplc="4E72D19E" w:tentative="1">
      <w:start w:val="1"/>
      <w:numFmt w:val="decimal"/>
      <w:lvlText w:val="%4."/>
      <w:lvlJc w:val="left"/>
      <w:pPr>
        <w:ind w:left="2880" w:hanging="360"/>
      </w:pPr>
    </w:lvl>
    <w:lvl w:ilvl="4" w:tplc="53F0BA28" w:tentative="1">
      <w:start w:val="1"/>
      <w:numFmt w:val="lowerLetter"/>
      <w:lvlText w:val="%5."/>
      <w:lvlJc w:val="left"/>
      <w:pPr>
        <w:ind w:left="3600" w:hanging="360"/>
      </w:pPr>
    </w:lvl>
    <w:lvl w:ilvl="5" w:tplc="0DAE0CCC" w:tentative="1">
      <w:start w:val="1"/>
      <w:numFmt w:val="lowerRoman"/>
      <w:lvlText w:val="%6."/>
      <w:lvlJc w:val="right"/>
      <w:pPr>
        <w:ind w:left="4320" w:hanging="180"/>
      </w:pPr>
    </w:lvl>
    <w:lvl w:ilvl="6" w:tplc="5808C3B0" w:tentative="1">
      <w:start w:val="1"/>
      <w:numFmt w:val="decimal"/>
      <w:lvlText w:val="%7."/>
      <w:lvlJc w:val="left"/>
      <w:pPr>
        <w:ind w:left="5040" w:hanging="360"/>
      </w:pPr>
    </w:lvl>
    <w:lvl w:ilvl="7" w:tplc="C2A604A4" w:tentative="1">
      <w:start w:val="1"/>
      <w:numFmt w:val="lowerLetter"/>
      <w:lvlText w:val="%8."/>
      <w:lvlJc w:val="left"/>
      <w:pPr>
        <w:ind w:left="5760" w:hanging="360"/>
      </w:pPr>
    </w:lvl>
    <w:lvl w:ilvl="8" w:tplc="6736013C" w:tentative="1">
      <w:start w:val="1"/>
      <w:numFmt w:val="lowerRoman"/>
      <w:lvlText w:val="%9."/>
      <w:lvlJc w:val="right"/>
      <w:pPr>
        <w:ind w:left="6480" w:hanging="180"/>
      </w:pPr>
    </w:lvl>
  </w:abstractNum>
  <w:abstractNum w:abstractNumId="3" w15:restartNumberingAfterBreak="0">
    <w:nsid w:val="5B5B0703"/>
    <w:multiLevelType w:val="hybridMultilevel"/>
    <w:tmpl w:val="CA6AD558"/>
    <w:lvl w:ilvl="0" w:tplc="6630D696">
      <w:start w:val="1"/>
      <w:numFmt w:val="upperLetter"/>
      <w:lvlText w:val="%1."/>
      <w:lvlJc w:val="left"/>
      <w:pPr>
        <w:ind w:left="720" w:hanging="360"/>
      </w:pPr>
      <w:rPr>
        <w:rFonts w:hint="default"/>
      </w:rPr>
    </w:lvl>
    <w:lvl w:ilvl="1" w:tplc="C608D9F4" w:tentative="1">
      <w:start w:val="1"/>
      <w:numFmt w:val="lowerLetter"/>
      <w:lvlText w:val="%2."/>
      <w:lvlJc w:val="left"/>
      <w:pPr>
        <w:ind w:left="1440" w:hanging="360"/>
      </w:pPr>
    </w:lvl>
    <w:lvl w:ilvl="2" w:tplc="27F68F18" w:tentative="1">
      <w:start w:val="1"/>
      <w:numFmt w:val="lowerRoman"/>
      <w:lvlText w:val="%3."/>
      <w:lvlJc w:val="right"/>
      <w:pPr>
        <w:ind w:left="2160" w:hanging="180"/>
      </w:pPr>
    </w:lvl>
    <w:lvl w:ilvl="3" w:tplc="228A7148" w:tentative="1">
      <w:start w:val="1"/>
      <w:numFmt w:val="decimal"/>
      <w:lvlText w:val="%4."/>
      <w:lvlJc w:val="left"/>
      <w:pPr>
        <w:ind w:left="2880" w:hanging="360"/>
      </w:pPr>
    </w:lvl>
    <w:lvl w:ilvl="4" w:tplc="4822BA58" w:tentative="1">
      <w:start w:val="1"/>
      <w:numFmt w:val="lowerLetter"/>
      <w:lvlText w:val="%5."/>
      <w:lvlJc w:val="left"/>
      <w:pPr>
        <w:ind w:left="3600" w:hanging="360"/>
      </w:pPr>
    </w:lvl>
    <w:lvl w:ilvl="5" w:tplc="3A0AD956" w:tentative="1">
      <w:start w:val="1"/>
      <w:numFmt w:val="lowerRoman"/>
      <w:lvlText w:val="%6."/>
      <w:lvlJc w:val="right"/>
      <w:pPr>
        <w:ind w:left="4320" w:hanging="180"/>
      </w:pPr>
    </w:lvl>
    <w:lvl w:ilvl="6" w:tplc="6448A436" w:tentative="1">
      <w:start w:val="1"/>
      <w:numFmt w:val="decimal"/>
      <w:lvlText w:val="%7."/>
      <w:lvlJc w:val="left"/>
      <w:pPr>
        <w:ind w:left="5040" w:hanging="360"/>
      </w:pPr>
    </w:lvl>
    <w:lvl w:ilvl="7" w:tplc="59B26418" w:tentative="1">
      <w:start w:val="1"/>
      <w:numFmt w:val="lowerLetter"/>
      <w:lvlText w:val="%8."/>
      <w:lvlJc w:val="left"/>
      <w:pPr>
        <w:ind w:left="5760" w:hanging="360"/>
      </w:pPr>
    </w:lvl>
    <w:lvl w:ilvl="8" w:tplc="5332FFDE" w:tentative="1">
      <w:start w:val="1"/>
      <w:numFmt w:val="lowerRoman"/>
      <w:lvlText w:val="%9."/>
      <w:lvlJc w:val="right"/>
      <w:pPr>
        <w:ind w:left="6480" w:hanging="180"/>
      </w:pPr>
    </w:lvl>
  </w:abstractNum>
  <w:abstractNum w:abstractNumId="4" w15:restartNumberingAfterBreak="0">
    <w:nsid w:val="7411111B"/>
    <w:multiLevelType w:val="hybridMultilevel"/>
    <w:tmpl w:val="71C4CCA2"/>
    <w:lvl w:ilvl="0" w:tplc="A336EFCA">
      <w:start w:val="1"/>
      <w:numFmt w:val="lowerLetter"/>
      <w:lvlText w:val="%1."/>
      <w:lvlJc w:val="left"/>
      <w:pPr>
        <w:ind w:left="720" w:hanging="360"/>
      </w:pPr>
      <w:rPr>
        <w:rFonts w:hint="default"/>
      </w:rPr>
    </w:lvl>
    <w:lvl w:ilvl="1" w:tplc="B2B206F4" w:tentative="1">
      <w:start w:val="1"/>
      <w:numFmt w:val="lowerLetter"/>
      <w:lvlText w:val="%2."/>
      <w:lvlJc w:val="left"/>
      <w:pPr>
        <w:ind w:left="1440" w:hanging="360"/>
      </w:pPr>
    </w:lvl>
    <w:lvl w:ilvl="2" w:tplc="00169868" w:tentative="1">
      <w:start w:val="1"/>
      <w:numFmt w:val="lowerRoman"/>
      <w:lvlText w:val="%3."/>
      <w:lvlJc w:val="right"/>
      <w:pPr>
        <w:ind w:left="2160" w:hanging="180"/>
      </w:pPr>
    </w:lvl>
    <w:lvl w:ilvl="3" w:tplc="578E41F4" w:tentative="1">
      <w:start w:val="1"/>
      <w:numFmt w:val="decimal"/>
      <w:lvlText w:val="%4."/>
      <w:lvlJc w:val="left"/>
      <w:pPr>
        <w:ind w:left="2880" w:hanging="360"/>
      </w:pPr>
    </w:lvl>
    <w:lvl w:ilvl="4" w:tplc="C0062F1A" w:tentative="1">
      <w:start w:val="1"/>
      <w:numFmt w:val="lowerLetter"/>
      <w:lvlText w:val="%5."/>
      <w:lvlJc w:val="left"/>
      <w:pPr>
        <w:ind w:left="3600" w:hanging="360"/>
      </w:pPr>
    </w:lvl>
    <w:lvl w:ilvl="5" w:tplc="8826B53A" w:tentative="1">
      <w:start w:val="1"/>
      <w:numFmt w:val="lowerRoman"/>
      <w:lvlText w:val="%6."/>
      <w:lvlJc w:val="right"/>
      <w:pPr>
        <w:ind w:left="4320" w:hanging="180"/>
      </w:pPr>
    </w:lvl>
    <w:lvl w:ilvl="6" w:tplc="1CA65A24" w:tentative="1">
      <w:start w:val="1"/>
      <w:numFmt w:val="decimal"/>
      <w:lvlText w:val="%7."/>
      <w:lvlJc w:val="left"/>
      <w:pPr>
        <w:ind w:left="5040" w:hanging="360"/>
      </w:pPr>
    </w:lvl>
    <w:lvl w:ilvl="7" w:tplc="7A6CDF52" w:tentative="1">
      <w:start w:val="1"/>
      <w:numFmt w:val="lowerLetter"/>
      <w:lvlText w:val="%8."/>
      <w:lvlJc w:val="left"/>
      <w:pPr>
        <w:ind w:left="5760" w:hanging="360"/>
      </w:pPr>
    </w:lvl>
    <w:lvl w:ilvl="8" w:tplc="FD960980"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5F2"/>
    <w:rsid w:val="00025A78"/>
    <w:rsid w:val="000A495B"/>
    <w:rsid w:val="000F717F"/>
    <w:rsid w:val="00136735"/>
    <w:rsid w:val="001545F2"/>
    <w:rsid w:val="001869BB"/>
    <w:rsid w:val="001E1579"/>
    <w:rsid w:val="00211DCA"/>
    <w:rsid w:val="00212AF4"/>
    <w:rsid w:val="00223F39"/>
    <w:rsid w:val="00255BE8"/>
    <w:rsid w:val="003E1D6B"/>
    <w:rsid w:val="003F51B0"/>
    <w:rsid w:val="00434F3F"/>
    <w:rsid w:val="004A2CC1"/>
    <w:rsid w:val="004A4334"/>
    <w:rsid w:val="004F3A16"/>
    <w:rsid w:val="00565E01"/>
    <w:rsid w:val="005A0394"/>
    <w:rsid w:val="007B1AB8"/>
    <w:rsid w:val="00841A24"/>
    <w:rsid w:val="008B35FA"/>
    <w:rsid w:val="008E532A"/>
    <w:rsid w:val="0094316E"/>
    <w:rsid w:val="0097283B"/>
    <w:rsid w:val="0097613B"/>
    <w:rsid w:val="00A21674"/>
    <w:rsid w:val="00A52301"/>
    <w:rsid w:val="00B14C21"/>
    <w:rsid w:val="00B32444"/>
    <w:rsid w:val="00BC1EE8"/>
    <w:rsid w:val="00BC4473"/>
    <w:rsid w:val="00CA442B"/>
    <w:rsid w:val="00CB32D2"/>
    <w:rsid w:val="00CB6FC4"/>
    <w:rsid w:val="00D51F63"/>
    <w:rsid w:val="00D60EC2"/>
    <w:rsid w:val="00EE30E6"/>
    <w:rsid w:val="00F93827"/>
    <w:rsid w:val="00FD4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068F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9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5F2"/>
    <w:pPr>
      <w:ind w:left="720"/>
      <w:contextualSpacing/>
    </w:pPr>
  </w:style>
  <w:style w:type="paragraph" w:styleId="Header">
    <w:name w:val="header"/>
    <w:basedOn w:val="Normal"/>
    <w:link w:val="HeaderChar"/>
    <w:uiPriority w:val="99"/>
    <w:unhideWhenUsed/>
    <w:rsid w:val="00D51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F63"/>
  </w:style>
  <w:style w:type="paragraph" w:styleId="Footer">
    <w:name w:val="footer"/>
    <w:basedOn w:val="Normal"/>
    <w:link w:val="FooterChar"/>
    <w:uiPriority w:val="99"/>
    <w:unhideWhenUsed/>
    <w:rsid w:val="00D51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F63"/>
  </w:style>
  <w:style w:type="character" w:customStyle="1" w:styleId="Heading1Char">
    <w:name w:val="Heading 1 Char"/>
    <w:basedOn w:val="DefaultParagraphFont"/>
    <w:link w:val="Heading1"/>
    <w:uiPriority w:val="9"/>
    <w:rsid w:val="001869B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869B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2174</Words>
  <Characters>12392</Characters>
  <Application>Microsoft Office Word</Application>
  <DocSecurity>0</DocSecurity>
  <Lines>103</Lines>
  <Paragraphs>29</Paragraphs>
  <ScaleCrop>false</ScaleCrop>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2022-02-06T11:35:00Z</dcterms:created>
  <dcterms:modified xsi:type="dcterms:W3CDTF">2022-02-13T13:03:00Z</dcterms:modified>
</cp:coreProperties>
</file>