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AC2481">
      <w:pPr>
        <w:jc w:val="center"/>
        <w:rPr>
          <w:b/>
          <w:sz w:val="44"/>
        </w:rPr>
      </w:pPr>
      <w:r>
        <w:rPr>
          <w:rFonts w:ascii="SimSun" w:hAnsi="SimSun" w:eastAsia="SimSun" w:cs="SimSun"/>
          <w:kern w:val="0"/>
          <w:sz w:val="24"/>
          <w:szCs w:val="24"/>
          <w:lang w:val="en-US" w:eastAsia="zh-CN" w:bidi="ar"/>
        </w:rPr>
        <w:drawing>
          <wp:inline distT="0" distB="0" distL="114300" distR="114300">
            <wp:extent cx="3435985" cy="819785"/>
            <wp:effectExtent l="0" t="0" r="8255" b="3175"/>
            <wp:docPr id="5" name="Picture 2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0" descr="IMG_256"/>
                    <pic:cNvPicPr>
                      <a:picLocks noChangeAspect="1"/>
                    </pic:cNvPicPr>
                  </pic:nvPicPr>
                  <pic:blipFill>
                    <a:blip r:embed="rId7"/>
                    <a:stretch>
                      <a:fillRect/>
                    </a:stretch>
                  </pic:blipFill>
                  <pic:spPr>
                    <a:xfrm>
                      <a:off x="0" y="0"/>
                      <a:ext cx="3435985" cy="819785"/>
                    </a:xfrm>
                    <a:prstGeom prst="rect">
                      <a:avLst/>
                    </a:prstGeom>
                    <a:noFill/>
                    <a:ln w="9525">
                      <a:noFill/>
                    </a:ln>
                  </pic:spPr>
                </pic:pic>
              </a:graphicData>
            </a:graphic>
          </wp:inline>
        </w:drawing>
      </w:r>
    </w:p>
    <w:p w14:paraId="02D5E4B2">
      <w:pPr>
        <w:keepNext w:val="0"/>
        <w:keepLines w:val="0"/>
        <w:widowControl/>
        <w:suppressLineNumbers w:val="0"/>
        <w:jc w:val="center"/>
        <w:rPr>
          <w:rFonts w:hint="default" w:ascii="Arial" w:hAnsi="Arial" w:cs="Arial"/>
          <w:sz w:val="28"/>
          <w:szCs w:val="28"/>
        </w:rPr>
      </w:pPr>
      <w:r>
        <w:rPr>
          <w:rFonts w:hint="default" w:ascii="Arial" w:hAnsi="Arial" w:eastAsia="Aptos" w:cs="Arial"/>
          <w:color w:val="000000"/>
          <w:kern w:val="0"/>
          <w:sz w:val="28"/>
          <w:szCs w:val="28"/>
          <w:lang w:val="en-US" w:eastAsia="zh-CN" w:bidi="ar"/>
        </w:rPr>
        <w:t>Master of Business Administration</w:t>
      </w:r>
    </w:p>
    <w:p w14:paraId="6F94AD21">
      <w:pPr>
        <w:keepNext w:val="0"/>
        <w:keepLines w:val="0"/>
        <w:widowControl/>
        <w:suppressLineNumbers w:val="0"/>
        <w:jc w:val="center"/>
        <w:rPr>
          <w:rFonts w:hint="default" w:ascii="Arial" w:hAnsi="Arial" w:eastAsia="Aptos" w:cs="Arial"/>
          <w:color w:val="000000"/>
          <w:kern w:val="0"/>
          <w:sz w:val="28"/>
          <w:szCs w:val="28"/>
          <w:lang w:val="en-US" w:eastAsia="zh-CN" w:bidi="ar"/>
        </w:rPr>
      </w:pPr>
      <w:r>
        <w:rPr>
          <w:rFonts w:hint="default" w:ascii="Arial" w:hAnsi="Arial" w:eastAsia="Aptos" w:cs="Arial"/>
          <w:color w:val="000000"/>
          <w:kern w:val="0"/>
          <w:sz w:val="28"/>
          <w:szCs w:val="28"/>
          <w:lang w:val="en-US" w:eastAsia="zh-CN" w:bidi="ar"/>
        </w:rPr>
        <w:t>International Business pathway</w:t>
      </w:r>
    </w:p>
    <w:p w14:paraId="432FE441">
      <w:pPr>
        <w:keepNext w:val="0"/>
        <w:keepLines w:val="0"/>
        <w:widowControl/>
        <w:suppressLineNumbers w:val="0"/>
        <w:jc w:val="center"/>
        <w:rPr>
          <w:rFonts w:hint="default" w:ascii="Arial" w:hAnsi="Arial" w:cs="Arial"/>
          <w:color w:val="0000FF"/>
          <w:sz w:val="28"/>
          <w:szCs w:val="28"/>
        </w:rPr>
      </w:pPr>
      <w:r>
        <w:rPr>
          <w:rFonts w:hint="default" w:ascii="Arial" w:hAnsi="Arial" w:eastAsia="Aptos-Bold" w:cs="Arial"/>
          <w:b/>
          <w:bCs/>
          <w:color w:val="0000FF"/>
          <w:kern w:val="0"/>
          <w:sz w:val="28"/>
          <w:szCs w:val="28"/>
          <w:lang w:val="en-US" w:eastAsia="zh-CN" w:bidi="ar"/>
        </w:rPr>
        <w:t>Contemporary employability skills</w:t>
      </w:r>
    </w:p>
    <w:p w14:paraId="72927A07">
      <w:pPr>
        <w:keepNext w:val="0"/>
        <w:keepLines w:val="0"/>
        <w:widowControl/>
        <w:suppressLineNumbers w:val="0"/>
        <w:ind w:firstLine="1821" w:firstLineChars="650"/>
        <w:jc w:val="left"/>
        <w:rPr>
          <w:rFonts w:hint="default" w:ascii="Arial" w:hAnsi="Arial" w:eastAsia="Aptos" w:cs="Arial"/>
          <w:b/>
          <w:bCs/>
          <w:color w:val="000000" w:themeColor="text1"/>
          <w:kern w:val="0"/>
          <w:sz w:val="28"/>
          <w:szCs w:val="28"/>
          <w:lang w:val="en-US" w:eastAsia="zh-CN" w:bidi="ar"/>
          <w14:textFill>
            <w14:solidFill>
              <w14:schemeClr w14:val="tx1"/>
            </w14:solidFill>
          </w14:textFill>
        </w:rPr>
      </w:pPr>
      <w:r>
        <w:rPr>
          <w:rFonts w:hint="default" w:ascii="Arial" w:hAnsi="Arial" w:eastAsia="Aptos" w:cs="Arial"/>
          <w:b/>
          <w:bCs/>
          <w:color w:val="000000"/>
          <w:kern w:val="0"/>
          <w:sz w:val="28"/>
          <w:szCs w:val="28"/>
          <w:lang w:val="en-US" w:eastAsia="zh-CN" w:bidi="ar"/>
        </w:rPr>
        <w:t xml:space="preserve">Assessment </w:t>
      </w:r>
      <w:r>
        <w:rPr>
          <w:rFonts w:hint="default" w:ascii="Arial" w:hAnsi="Arial" w:eastAsia="Aptos" w:cs="Arial"/>
          <w:b/>
          <w:bCs/>
          <w:color w:val="000000" w:themeColor="text1"/>
          <w:kern w:val="0"/>
          <w:sz w:val="28"/>
          <w:szCs w:val="28"/>
          <w:lang w:val="en-US" w:eastAsia="zh-CN" w:bidi="ar"/>
          <w14:textFill>
            <w14:solidFill>
              <w14:schemeClr w14:val="tx1"/>
            </w14:solidFill>
          </w14:textFill>
        </w:rPr>
        <w:t>1</w:t>
      </w:r>
      <w:r>
        <w:rPr>
          <w:rFonts w:hint="default" w:ascii="Arial" w:hAnsi="Arial" w:eastAsia="ChromeSansMM" w:cs="Arial"/>
          <w:b/>
          <w:bCs/>
          <w:color w:val="000000" w:themeColor="text1"/>
          <w:kern w:val="0"/>
          <w:sz w:val="28"/>
          <w:szCs w:val="28"/>
          <w:lang w:val="en-US" w:eastAsia="zh-CN" w:bidi="ar"/>
          <w14:textFill>
            <w14:solidFill>
              <w14:schemeClr w14:val="tx1"/>
            </w14:solidFill>
          </w14:textFill>
        </w:rPr>
        <w:t xml:space="preserve"> </w:t>
      </w:r>
      <w:r>
        <w:rPr>
          <w:rFonts w:hint="default" w:ascii="Arial" w:hAnsi="Arial" w:eastAsia="Aptos" w:cs="Arial"/>
          <w:b/>
          <w:bCs/>
          <w:color w:val="000000" w:themeColor="text1"/>
          <w:kern w:val="0"/>
          <w:sz w:val="28"/>
          <w:szCs w:val="28"/>
          <w:lang w:val="en-US" w:eastAsia="zh-CN" w:bidi="ar"/>
          <w14:textFill>
            <w14:solidFill>
              <w14:schemeClr w14:val="tx1"/>
            </w14:solidFill>
          </w14:textFill>
        </w:rPr>
        <w:t xml:space="preserve">: Individual report. Weight: </w:t>
      </w:r>
      <w:r>
        <w:rPr>
          <w:rFonts w:hint="default" w:ascii="Arial" w:hAnsi="Arial" w:eastAsia="Aptos" w:cs="Arial"/>
          <w:b/>
          <w:bCs/>
          <w:color w:val="000000" w:themeColor="text1"/>
          <w:kern w:val="0"/>
          <w:sz w:val="28"/>
          <w:szCs w:val="28"/>
          <w:lang w:val="en-GB" w:eastAsia="zh-CN" w:bidi="ar"/>
          <w14:textFill>
            <w14:solidFill>
              <w14:schemeClr w14:val="tx1"/>
            </w14:solidFill>
          </w14:textFill>
        </w:rPr>
        <w:t>100</w:t>
      </w:r>
      <w:r>
        <w:rPr>
          <w:rFonts w:hint="default" w:ascii="Arial" w:hAnsi="Arial" w:eastAsia="Aptos" w:cs="Arial"/>
          <w:b/>
          <w:bCs/>
          <w:color w:val="000000" w:themeColor="text1"/>
          <w:kern w:val="0"/>
          <w:sz w:val="28"/>
          <w:szCs w:val="28"/>
          <w:lang w:val="en-US" w:eastAsia="zh-CN" w:bidi="ar"/>
          <w14:textFill>
            <w14:solidFill>
              <w14:schemeClr w14:val="tx1"/>
            </w14:solidFill>
          </w14:textFill>
        </w:rPr>
        <w:t>%</w:t>
      </w:r>
    </w:p>
    <w:p w14:paraId="3854252E">
      <w:pPr>
        <w:keepNext w:val="0"/>
        <w:keepLines w:val="0"/>
        <w:widowControl/>
        <w:suppressLineNumbers w:val="0"/>
        <w:ind w:firstLine="2241" w:firstLineChars="800"/>
        <w:jc w:val="left"/>
        <w:rPr>
          <w:rFonts w:hint="default" w:ascii="Arial" w:hAnsi="Arial" w:eastAsia="Aptos" w:cs="Arial"/>
          <w:b/>
          <w:bCs/>
          <w:color w:val="000000" w:themeColor="text1"/>
          <w:kern w:val="0"/>
          <w:sz w:val="28"/>
          <w:szCs w:val="28"/>
          <w:lang w:val="en-GB" w:eastAsia="zh-CN" w:bidi="ar"/>
          <w14:textFill>
            <w14:solidFill>
              <w14:schemeClr w14:val="tx1"/>
            </w14:solidFill>
          </w14:textFill>
        </w:rPr>
      </w:pPr>
      <w:r>
        <w:rPr>
          <w:rFonts w:hint="default" w:ascii="Arial" w:hAnsi="Arial" w:eastAsia="Aptos" w:cs="Arial"/>
          <w:b/>
          <w:bCs/>
          <w:color w:val="000000" w:themeColor="text1"/>
          <w:kern w:val="0"/>
          <w:sz w:val="28"/>
          <w:szCs w:val="28"/>
          <w:lang w:val="en-GB" w:eastAsia="zh-CN" w:bidi="ar"/>
          <w14:textFill>
            <w14:solidFill>
              <w14:schemeClr w14:val="tx1"/>
            </w14:solidFill>
          </w14:textFill>
        </w:rPr>
        <w:t>Company: Walton Hi-Tech Industries PLC</w:t>
      </w:r>
    </w:p>
    <w:p w14:paraId="1F80F53B">
      <w:pPr>
        <w:keepNext w:val="0"/>
        <w:keepLines w:val="0"/>
        <w:widowControl/>
        <w:suppressLineNumbers w:val="0"/>
        <w:jc w:val="center"/>
        <w:rPr>
          <w:rFonts w:hint="default" w:ascii="Arial" w:hAnsi="Arial" w:eastAsia="Aptos-Bold" w:cs="Arial"/>
          <w:b/>
          <w:bCs/>
          <w:color w:val="000000"/>
          <w:kern w:val="0"/>
          <w:sz w:val="24"/>
          <w:szCs w:val="24"/>
          <w:lang w:val="en-GB" w:eastAsia="zh-CN" w:bidi="ar"/>
        </w:rPr>
      </w:pPr>
      <w:r>
        <w:rPr>
          <w:rFonts w:hint="default" w:ascii="Arial" w:hAnsi="Arial" w:eastAsia="Aptos-Bold" w:cs="Arial"/>
          <w:b/>
          <w:bCs/>
          <w:color w:val="000000"/>
          <w:kern w:val="0"/>
          <w:sz w:val="24"/>
          <w:szCs w:val="24"/>
          <w:lang w:val="en-GB" w:eastAsia="zh-CN" w:bidi="ar"/>
        </w:rPr>
        <w:drawing>
          <wp:inline distT="0" distB="0" distL="114300" distR="114300">
            <wp:extent cx="2239010" cy="741680"/>
            <wp:effectExtent l="0" t="0" r="1270" b="5080"/>
            <wp:docPr id="8" name="Picture 8" descr="Walton_Group.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Walton_Group.svg"/>
                    <pic:cNvPicPr>
                      <a:picLocks noChangeAspect="1"/>
                    </pic:cNvPicPr>
                  </pic:nvPicPr>
                  <pic:blipFill>
                    <a:blip r:embed="rId8"/>
                    <a:stretch>
                      <a:fillRect/>
                    </a:stretch>
                  </pic:blipFill>
                  <pic:spPr>
                    <a:xfrm>
                      <a:off x="0" y="0"/>
                      <a:ext cx="2239010" cy="741680"/>
                    </a:xfrm>
                    <a:prstGeom prst="rect">
                      <a:avLst/>
                    </a:prstGeom>
                  </pic:spPr>
                </pic:pic>
              </a:graphicData>
            </a:graphic>
          </wp:inline>
        </w:drawing>
      </w:r>
    </w:p>
    <w:p w14:paraId="738EF615">
      <w:pPr>
        <w:keepNext w:val="0"/>
        <w:keepLines w:val="0"/>
        <w:widowControl/>
        <w:suppressLineNumbers w:val="0"/>
        <w:jc w:val="left"/>
        <w:rPr>
          <w:rFonts w:hint="default" w:ascii="Arial" w:hAnsi="Arial" w:eastAsia="Aptos-Bold" w:cs="Arial"/>
          <w:b/>
          <w:bCs/>
          <w:color w:val="000000"/>
          <w:kern w:val="0"/>
          <w:sz w:val="24"/>
          <w:szCs w:val="24"/>
          <w:lang w:val="en-US" w:eastAsia="zh-CN" w:bidi="ar"/>
        </w:rPr>
      </w:pPr>
    </w:p>
    <w:p w14:paraId="29906E9C">
      <w:pPr>
        <w:keepNext w:val="0"/>
        <w:keepLines w:val="0"/>
        <w:widowControl/>
        <w:suppressLineNumbers w:val="0"/>
        <w:jc w:val="left"/>
        <w:rPr>
          <w:rFonts w:hint="default" w:ascii="Arial" w:hAnsi="Arial" w:eastAsia="Aptos-Bold" w:cs="Arial"/>
          <w:b w:val="0"/>
          <w:bCs w:val="0"/>
          <w:color w:val="000000"/>
          <w:kern w:val="0"/>
          <w:sz w:val="24"/>
          <w:szCs w:val="24"/>
          <w:lang w:val="en-GB" w:eastAsia="zh-CN" w:bidi="ar"/>
        </w:rPr>
      </w:pPr>
      <w:r>
        <w:rPr>
          <w:rFonts w:hint="default" w:ascii="Arial" w:hAnsi="Arial" w:eastAsia="Aptos-Bold" w:cs="Arial"/>
          <w:b/>
          <w:bCs/>
          <w:color w:val="000000"/>
          <w:kern w:val="0"/>
          <w:sz w:val="24"/>
          <w:szCs w:val="24"/>
          <w:lang w:val="en-US" w:eastAsia="zh-CN" w:bidi="ar"/>
        </w:rPr>
        <w:t>Module name:</w:t>
      </w:r>
      <w:r>
        <w:rPr>
          <w:rFonts w:hint="default" w:ascii="Arial" w:hAnsi="Arial" w:eastAsia="Aptos-Bold" w:cs="Arial"/>
          <w:b w:val="0"/>
          <w:bCs w:val="0"/>
          <w:color w:val="000000"/>
          <w:kern w:val="0"/>
          <w:sz w:val="24"/>
          <w:szCs w:val="24"/>
          <w:lang w:val="en-GB" w:eastAsia="zh-CN" w:bidi="ar"/>
        </w:rPr>
        <w:t xml:space="preserve"> International Business Concepts </w:t>
      </w:r>
    </w:p>
    <w:p w14:paraId="455A3FF1">
      <w:pPr>
        <w:keepNext w:val="0"/>
        <w:keepLines w:val="0"/>
        <w:widowControl/>
        <w:suppressLineNumbers w:val="0"/>
        <w:jc w:val="left"/>
        <w:rPr>
          <w:rFonts w:hint="default" w:ascii="Arial" w:hAnsi="Arial" w:cs="Arial"/>
          <w:b w:val="0"/>
          <w:bCs w:val="0"/>
          <w:sz w:val="24"/>
          <w:szCs w:val="24"/>
          <w:lang w:val="en-GB"/>
        </w:rPr>
      </w:pPr>
      <w:r>
        <w:rPr>
          <w:rFonts w:hint="default" w:ascii="Arial" w:hAnsi="Arial" w:eastAsia="Aptos-Bold" w:cs="Arial"/>
          <w:b/>
          <w:bCs/>
          <w:color w:val="000000"/>
          <w:kern w:val="0"/>
          <w:sz w:val="24"/>
          <w:szCs w:val="24"/>
          <w:lang w:val="en-US" w:eastAsia="zh-CN" w:bidi="ar"/>
        </w:rPr>
        <w:t>Module code</w:t>
      </w:r>
      <w:r>
        <w:rPr>
          <w:rFonts w:hint="default" w:ascii="Arial" w:hAnsi="Arial" w:eastAsia="Aptos" w:cs="Arial"/>
          <w:b/>
          <w:bCs/>
          <w:color w:val="000000"/>
          <w:kern w:val="0"/>
          <w:sz w:val="24"/>
          <w:szCs w:val="24"/>
          <w:lang w:val="en-US" w:eastAsia="zh-CN" w:bidi="ar"/>
        </w:rPr>
        <w:t>:</w:t>
      </w:r>
      <w:r>
        <w:rPr>
          <w:rFonts w:hint="default" w:ascii="Arial" w:hAnsi="Arial" w:eastAsia="Aptos" w:cs="Arial"/>
          <w:b w:val="0"/>
          <w:bCs w:val="0"/>
          <w:color w:val="000000"/>
          <w:kern w:val="0"/>
          <w:sz w:val="24"/>
          <w:szCs w:val="24"/>
          <w:lang w:val="en-US" w:eastAsia="zh-CN" w:bidi="ar"/>
        </w:rPr>
        <w:t xml:space="preserve"> LCMB7034 </w:t>
      </w:r>
    </w:p>
    <w:p w14:paraId="40323499">
      <w:pPr>
        <w:keepNext w:val="0"/>
        <w:keepLines w:val="0"/>
        <w:widowControl/>
        <w:suppressLineNumbers w:val="0"/>
        <w:jc w:val="left"/>
        <w:rPr>
          <w:rFonts w:hint="default" w:ascii="Arial" w:hAnsi="Arial" w:eastAsia="Aptos" w:cs="Arial"/>
          <w:b w:val="0"/>
          <w:bCs w:val="0"/>
          <w:color w:val="000000"/>
          <w:kern w:val="0"/>
          <w:sz w:val="24"/>
          <w:szCs w:val="24"/>
          <w:lang w:val="en-GB" w:eastAsia="zh-CN" w:bidi="ar"/>
        </w:rPr>
      </w:pPr>
      <w:r>
        <w:rPr>
          <w:rFonts w:hint="default" w:ascii="Arial" w:hAnsi="Arial" w:eastAsia="Aptos-Bold" w:cs="Arial"/>
          <w:b/>
          <w:bCs/>
          <w:color w:val="000000"/>
          <w:kern w:val="0"/>
          <w:sz w:val="24"/>
          <w:szCs w:val="24"/>
          <w:lang w:val="en-US" w:eastAsia="zh-CN" w:bidi="ar"/>
        </w:rPr>
        <w:t>Lecturer name</w:t>
      </w:r>
      <w:r>
        <w:rPr>
          <w:rFonts w:hint="default" w:ascii="Arial" w:hAnsi="Arial" w:eastAsia="Aptos" w:cs="Arial"/>
          <w:b/>
          <w:bCs/>
          <w:color w:val="000000"/>
          <w:kern w:val="0"/>
          <w:sz w:val="24"/>
          <w:szCs w:val="24"/>
          <w:lang w:val="en-US" w:eastAsia="zh-CN" w:bidi="ar"/>
        </w:rPr>
        <w:t>:</w:t>
      </w:r>
      <w:r>
        <w:rPr>
          <w:rFonts w:hint="default" w:ascii="Arial" w:hAnsi="Arial" w:eastAsia="Aptos" w:cs="Arial"/>
          <w:b/>
          <w:bCs/>
          <w:color w:val="000000"/>
          <w:kern w:val="0"/>
          <w:sz w:val="24"/>
          <w:szCs w:val="24"/>
          <w:lang w:val="en-GB" w:eastAsia="zh-CN" w:bidi="ar"/>
        </w:rPr>
        <w:t xml:space="preserve"> </w:t>
      </w:r>
      <w:r>
        <w:rPr>
          <w:rFonts w:hint="default" w:ascii="Arial" w:hAnsi="Arial" w:eastAsia="Aptos" w:cs="Arial"/>
          <w:b w:val="0"/>
          <w:bCs w:val="0"/>
          <w:color w:val="000000"/>
          <w:kern w:val="0"/>
          <w:sz w:val="24"/>
          <w:szCs w:val="24"/>
          <w:lang w:val="en-GB" w:eastAsia="zh-CN" w:bidi="ar"/>
        </w:rPr>
        <w:t>Jean Wang</w:t>
      </w:r>
    </w:p>
    <w:p w14:paraId="19E6B862">
      <w:pPr>
        <w:keepNext w:val="0"/>
        <w:keepLines w:val="0"/>
        <w:widowControl/>
        <w:suppressLineNumbers w:val="0"/>
        <w:jc w:val="left"/>
        <w:rPr>
          <w:rFonts w:hint="default" w:ascii="Arial" w:hAnsi="Arial" w:eastAsia="Aptos" w:cs="Arial"/>
          <w:b w:val="0"/>
          <w:bCs w:val="0"/>
          <w:color w:val="000000"/>
          <w:kern w:val="0"/>
          <w:sz w:val="24"/>
          <w:szCs w:val="24"/>
          <w:lang w:val="en-US" w:eastAsia="zh-CN" w:bidi="ar"/>
        </w:rPr>
      </w:pPr>
    </w:p>
    <w:p w14:paraId="3E5489BD">
      <w:pPr>
        <w:keepNext w:val="0"/>
        <w:keepLines w:val="0"/>
        <w:widowControl/>
        <w:suppressLineNumbers w:val="0"/>
        <w:jc w:val="left"/>
        <w:rPr>
          <w:rFonts w:hint="default" w:ascii="Arial" w:hAnsi="Arial" w:cs="Arial"/>
          <w:sz w:val="24"/>
          <w:szCs w:val="24"/>
          <w:lang w:val="en-GB"/>
        </w:rPr>
      </w:pPr>
      <w:r>
        <w:rPr>
          <w:rFonts w:hint="default" w:ascii="Arial" w:hAnsi="Arial" w:eastAsia="Aptos-Bold" w:cs="Arial"/>
          <w:b/>
          <w:bCs/>
          <w:color w:val="000000"/>
          <w:kern w:val="0"/>
          <w:sz w:val="24"/>
          <w:szCs w:val="24"/>
          <w:lang w:val="en-US" w:eastAsia="zh-CN" w:bidi="ar"/>
        </w:rPr>
        <w:t>Student name</w:t>
      </w:r>
      <w:r>
        <w:rPr>
          <w:rFonts w:hint="default" w:ascii="Arial" w:hAnsi="Arial" w:eastAsia="Aptos" w:cs="Arial"/>
          <w:b/>
          <w:bCs/>
          <w:color w:val="000000"/>
          <w:kern w:val="0"/>
          <w:sz w:val="24"/>
          <w:szCs w:val="24"/>
          <w:lang w:val="en-US" w:eastAsia="zh-CN" w:bidi="ar"/>
        </w:rPr>
        <w:t>:</w:t>
      </w:r>
      <w:r>
        <w:rPr>
          <w:rFonts w:hint="default" w:ascii="Arial" w:hAnsi="Arial" w:eastAsia="Aptos" w:cs="Arial"/>
          <w:color w:val="000000"/>
          <w:kern w:val="0"/>
          <w:sz w:val="24"/>
          <w:szCs w:val="24"/>
          <w:lang w:val="en-GB" w:eastAsia="zh-CN" w:bidi="ar"/>
        </w:rPr>
        <w:t xml:space="preserve"> Rainak Zabin</w:t>
      </w:r>
    </w:p>
    <w:p w14:paraId="3522EEDE">
      <w:pPr>
        <w:keepNext w:val="0"/>
        <w:keepLines w:val="0"/>
        <w:widowControl/>
        <w:suppressLineNumbers w:val="0"/>
        <w:jc w:val="left"/>
        <w:rPr>
          <w:rFonts w:hint="default" w:ascii="Arial" w:hAnsi="Arial" w:eastAsia="Aptos" w:cs="Arial"/>
          <w:color w:val="000000"/>
          <w:kern w:val="0"/>
          <w:sz w:val="24"/>
          <w:szCs w:val="24"/>
          <w:lang w:val="en-GB" w:eastAsia="zh-CN" w:bidi="ar"/>
        </w:rPr>
      </w:pPr>
      <w:r>
        <w:rPr>
          <w:rFonts w:hint="default" w:ascii="Arial" w:hAnsi="Arial" w:eastAsia="Aptos-Bold" w:cs="Arial"/>
          <w:b/>
          <w:bCs/>
          <w:color w:val="000000"/>
          <w:kern w:val="0"/>
          <w:sz w:val="24"/>
          <w:szCs w:val="24"/>
          <w:lang w:val="en-US" w:eastAsia="zh-CN" w:bidi="ar"/>
        </w:rPr>
        <w:t>Student ID</w:t>
      </w:r>
      <w:r>
        <w:rPr>
          <w:rFonts w:hint="default" w:ascii="Arial" w:hAnsi="Arial" w:eastAsia="Aptos" w:cs="Arial"/>
          <w:b/>
          <w:bCs/>
          <w:color w:val="000000"/>
          <w:kern w:val="0"/>
          <w:sz w:val="24"/>
          <w:szCs w:val="24"/>
          <w:lang w:val="en-US" w:eastAsia="zh-CN" w:bidi="ar"/>
        </w:rPr>
        <w:t>:</w:t>
      </w:r>
      <w:r>
        <w:rPr>
          <w:rFonts w:hint="default" w:ascii="Arial" w:hAnsi="Arial" w:eastAsia="Aptos" w:cs="Arial"/>
          <w:b/>
          <w:bCs/>
          <w:color w:val="000000"/>
          <w:kern w:val="0"/>
          <w:sz w:val="24"/>
          <w:szCs w:val="24"/>
          <w:lang w:val="en-GB" w:eastAsia="zh-CN" w:bidi="ar"/>
        </w:rPr>
        <w:t xml:space="preserve"> </w:t>
      </w:r>
      <w:r>
        <w:rPr>
          <w:rFonts w:hint="default" w:ascii="Arial" w:hAnsi="Arial" w:eastAsia="Aptos" w:cs="Arial"/>
          <w:color w:val="000000"/>
          <w:kern w:val="0"/>
          <w:sz w:val="24"/>
          <w:szCs w:val="24"/>
          <w:lang w:val="en-GB" w:eastAsia="zh-CN" w:bidi="ar"/>
        </w:rPr>
        <w:t>2522511</w:t>
      </w:r>
    </w:p>
    <w:p w14:paraId="73825CB2">
      <w:pPr>
        <w:keepNext w:val="0"/>
        <w:keepLines w:val="0"/>
        <w:widowControl/>
        <w:suppressLineNumbers w:val="0"/>
        <w:jc w:val="left"/>
        <w:rPr>
          <w:rFonts w:hint="default" w:ascii="Arial" w:hAnsi="Arial" w:cs="Arial"/>
          <w:b w:val="0"/>
          <w:bCs w:val="0"/>
          <w:sz w:val="24"/>
          <w:szCs w:val="24"/>
          <w:lang w:val="en-GB"/>
        </w:rPr>
      </w:pPr>
      <w:r>
        <w:rPr>
          <w:rFonts w:hint="default" w:ascii="Arial" w:hAnsi="Arial" w:eastAsia="Aptos-Bold" w:cs="Arial"/>
          <w:b/>
          <w:bCs/>
          <w:color w:val="000000"/>
          <w:kern w:val="0"/>
          <w:sz w:val="24"/>
          <w:szCs w:val="24"/>
          <w:lang w:val="en-US" w:eastAsia="zh-CN" w:bidi="ar"/>
        </w:rPr>
        <w:t>Word count</w:t>
      </w:r>
      <w:r>
        <w:rPr>
          <w:rFonts w:hint="default" w:ascii="Arial" w:hAnsi="Arial" w:eastAsia="Aptos" w:cs="Arial"/>
          <w:b/>
          <w:bCs/>
          <w:color w:val="000000"/>
          <w:kern w:val="0"/>
          <w:sz w:val="24"/>
          <w:szCs w:val="24"/>
          <w:lang w:val="en-US" w:eastAsia="zh-CN" w:bidi="ar"/>
        </w:rPr>
        <w:t xml:space="preserve">: </w:t>
      </w:r>
      <w:r>
        <w:rPr>
          <w:rFonts w:hint="default" w:ascii="Arial" w:hAnsi="Arial" w:eastAsia="Aptos" w:cs="Arial"/>
          <w:b w:val="0"/>
          <w:bCs w:val="0"/>
          <w:color w:val="000000"/>
          <w:kern w:val="0"/>
          <w:sz w:val="24"/>
          <w:szCs w:val="24"/>
          <w:lang w:val="en-GB" w:eastAsia="zh-CN" w:bidi="ar"/>
        </w:rPr>
        <w:t>4600</w:t>
      </w:r>
    </w:p>
    <w:p w14:paraId="38747630">
      <w:pPr>
        <w:ind w:firstLine="2281" w:firstLineChars="950"/>
        <w:rPr>
          <w:rFonts w:hint="default" w:ascii="Arial" w:hAnsi="Arial" w:eastAsia="Aptos-Bold" w:cs="Arial"/>
          <w:b/>
          <w:bCs/>
          <w:color w:val="000000"/>
          <w:kern w:val="0"/>
          <w:sz w:val="24"/>
          <w:szCs w:val="24"/>
          <w:lang w:val="en-US" w:eastAsia="zh-CN" w:bidi="ar"/>
        </w:rPr>
      </w:pPr>
    </w:p>
    <w:p w14:paraId="045B1865">
      <w:pPr>
        <w:rPr>
          <w:rFonts w:hint="default" w:ascii="Arial" w:hAnsi="Arial" w:eastAsia="Aptos-Bold" w:cs="Arial"/>
          <w:b/>
          <w:bCs/>
          <w:color w:val="000000"/>
          <w:kern w:val="0"/>
          <w:sz w:val="24"/>
          <w:szCs w:val="24"/>
          <w:lang w:val="en-US" w:eastAsia="zh-CN" w:bidi="ar"/>
        </w:rPr>
      </w:pPr>
    </w:p>
    <w:p w14:paraId="3EC4135F">
      <w:pPr>
        <w:ind w:firstLine="2761" w:firstLineChars="1150"/>
        <w:rPr>
          <w:rFonts w:hint="default" w:ascii="Arial" w:hAnsi="Arial" w:eastAsia="Aptos-Bold" w:cs="Arial"/>
          <w:b/>
          <w:bCs/>
          <w:color w:val="000000"/>
          <w:kern w:val="0"/>
          <w:sz w:val="24"/>
          <w:szCs w:val="24"/>
          <w:lang w:val="en-US" w:eastAsia="zh-CN" w:bidi="ar"/>
        </w:rPr>
      </w:pPr>
    </w:p>
    <w:p w14:paraId="5E0BC664">
      <w:pPr>
        <w:ind w:firstLine="2761" w:firstLineChars="1150"/>
        <w:rPr>
          <w:rFonts w:hint="default" w:ascii="Arial" w:hAnsi="Arial" w:eastAsia="Aptos" w:cs="Arial"/>
          <w:color w:val="000000"/>
          <w:kern w:val="0"/>
          <w:sz w:val="24"/>
          <w:szCs w:val="24"/>
          <w:lang w:val="en-GB" w:eastAsia="zh-CN" w:bidi="ar"/>
        </w:rPr>
      </w:pPr>
      <w:r>
        <w:rPr>
          <w:rFonts w:hint="default" w:ascii="Arial" w:hAnsi="Arial" w:eastAsia="Aptos-Bold" w:cs="Arial"/>
          <w:b/>
          <w:bCs/>
          <w:color w:val="000000"/>
          <w:kern w:val="0"/>
          <w:sz w:val="24"/>
          <w:szCs w:val="24"/>
          <w:lang w:val="en-US" w:eastAsia="zh-CN" w:bidi="ar"/>
        </w:rPr>
        <w:t>Submission date</w:t>
      </w:r>
      <w:r>
        <w:rPr>
          <w:rFonts w:hint="default" w:ascii="Arial" w:hAnsi="Arial" w:eastAsia="Aptos" w:cs="Arial"/>
          <w:b/>
          <w:bCs/>
          <w:color w:val="000000"/>
          <w:kern w:val="0"/>
          <w:sz w:val="24"/>
          <w:szCs w:val="24"/>
          <w:lang w:val="en-US" w:eastAsia="zh-CN" w:bidi="ar"/>
        </w:rPr>
        <w:t>:</w:t>
      </w:r>
      <w:r>
        <w:rPr>
          <w:rFonts w:hint="default" w:ascii="Arial" w:hAnsi="Arial" w:eastAsia="Aptos" w:cs="Arial"/>
          <w:color w:val="000000"/>
          <w:kern w:val="0"/>
          <w:sz w:val="24"/>
          <w:szCs w:val="24"/>
          <w:lang w:val="en-GB" w:eastAsia="zh-CN" w:bidi="ar"/>
        </w:rPr>
        <w:t xml:space="preserve"> 14</w:t>
      </w:r>
      <w:r>
        <w:rPr>
          <w:rFonts w:hint="default" w:ascii="Arial" w:hAnsi="Arial" w:eastAsia="Aptos" w:cs="Arial"/>
          <w:color w:val="000000"/>
          <w:kern w:val="0"/>
          <w:sz w:val="24"/>
          <w:szCs w:val="24"/>
          <w:vertAlign w:val="superscript"/>
          <w:lang w:val="en-GB" w:eastAsia="zh-CN" w:bidi="ar"/>
        </w:rPr>
        <w:t>th</w:t>
      </w:r>
      <w:r>
        <w:rPr>
          <w:rFonts w:hint="default" w:ascii="Arial" w:hAnsi="Arial" w:eastAsia="Aptos" w:cs="Arial"/>
          <w:color w:val="000000"/>
          <w:kern w:val="0"/>
          <w:sz w:val="24"/>
          <w:szCs w:val="24"/>
          <w:lang w:val="en-GB" w:eastAsia="zh-CN" w:bidi="ar"/>
        </w:rPr>
        <w:t xml:space="preserve"> August, 2026</w:t>
      </w:r>
    </w:p>
    <w:p w14:paraId="409217FA">
      <w:pPr>
        <w:rPr>
          <w:rFonts w:hint="default" w:ascii="Arial" w:hAnsi="Arial" w:eastAsia="Aptos" w:cs="Arial"/>
          <w:color w:val="000000"/>
          <w:kern w:val="0"/>
          <w:sz w:val="24"/>
          <w:szCs w:val="24"/>
          <w:lang w:val="en-GB" w:eastAsia="zh-CN" w:bidi="ar"/>
        </w:rPr>
      </w:pPr>
    </w:p>
    <w:p w14:paraId="08619913">
      <w:pPr>
        <w:pStyle w:val="2"/>
        <w:rPr>
          <w:rFonts w:hint="default" w:ascii="Arial" w:hAnsi="Arial" w:cs="Arial"/>
        </w:rPr>
      </w:pPr>
    </w:p>
    <w:p w14:paraId="1F5CF09E">
      <w:pPr>
        <w:pStyle w:val="2"/>
        <w:keepNext w:val="0"/>
        <w:keepLines w:val="0"/>
        <w:widowControl/>
        <w:suppressLineNumbers w:val="0"/>
        <w:rPr>
          <w:rFonts w:hint="default" w:ascii="Arial" w:hAnsi="Arial" w:eastAsia="SimSun" w:cs="Arial"/>
          <w:sz w:val="28"/>
          <w:szCs w:val="28"/>
        </w:rPr>
      </w:pPr>
      <w:r>
        <w:rPr>
          <w:rFonts w:hint="default" w:ascii="Arial" w:hAnsi="Arial" w:eastAsia="SimSun" w:cs="Arial"/>
          <w:sz w:val="28"/>
          <w:szCs w:val="28"/>
        </w:rPr>
        <w:t xml:space="preserve">AI </w:t>
      </w:r>
      <w:r>
        <w:rPr>
          <w:rFonts w:hint="default" w:ascii="Arial" w:hAnsi="Arial" w:cs="Arial"/>
          <w:sz w:val="28"/>
          <w:szCs w:val="28"/>
          <w:lang w:val="en-GB"/>
        </w:rPr>
        <w:t xml:space="preserve">Use </w:t>
      </w:r>
      <w:r>
        <w:rPr>
          <w:rFonts w:hint="default" w:ascii="Arial" w:hAnsi="Arial" w:eastAsia="SimSun" w:cs="Arial"/>
          <w:sz w:val="28"/>
          <w:szCs w:val="28"/>
        </w:rPr>
        <w:t>Acknowledgement</w:t>
      </w:r>
    </w:p>
    <w:p w14:paraId="6C31FF02">
      <w:pPr>
        <w:rPr>
          <w:rFonts w:hint="default" w:ascii="Arial" w:hAnsi="Arial" w:cs="Arial"/>
        </w:rPr>
      </w:pPr>
    </w:p>
    <w:p w14:paraId="3C3BCDC0">
      <w:pPr>
        <w:pStyle w:val="2"/>
        <w:keepNext w:val="0"/>
        <w:keepLines w:val="0"/>
        <w:widowControl/>
        <w:suppressLineNumbers w:val="0"/>
        <w:rPr>
          <w:rFonts w:hint="default" w:ascii="Arial" w:hAnsi="Arial" w:eastAsia="SimSun" w:cs="Arial"/>
          <w:b w:val="0"/>
          <w:bCs w:val="0"/>
          <w:color w:val="000000" w:themeColor="text1"/>
          <w:sz w:val="22"/>
          <w:szCs w:val="22"/>
          <w14:textFill>
            <w14:solidFill>
              <w14:schemeClr w14:val="tx1"/>
            </w14:solidFill>
          </w14:textFill>
        </w:rPr>
      </w:pPr>
      <w:r>
        <w:rPr>
          <w:rFonts w:hint="default" w:ascii="Arial" w:hAnsi="Arial" w:eastAsia="SimSun" w:cs="Arial"/>
          <w:b w:val="0"/>
          <w:bCs w:val="0"/>
          <w:color w:val="000000" w:themeColor="text1"/>
          <w:sz w:val="22"/>
          <w:szCs w:val="22"/>
          <w14:textFill>
            <w14:solidFill>
              <w14:schemeClr w14:val="tx1"/>
            </w14:solidFill>
          </w14:textFill>
        </w:rPr>
        <w:t xml:space="preserve">I acknowledge the use of ChatGPT (OpenAI) (https://chatgpt.com/) to support the preparation of this Dior Beauty strategic analysis report. AI was used to assist with </w:t>
      </w:r>
      <w:r>
        <w:rPr>
          <w:rFonts w:hint="default" w:ascii="Arial" w:hAnsi="Arial" w:cs="Arial"/>
          <w:b w:val="0"/>
          <w:bCs w:val="0"/>
          <w:color w:val="000000" w:themeColor="text1"/>
          <w:sz w:val="22"/>
          <w:szCs w:val="22"/>
          <w:lang w:val="en-GB"/>
          <w14:textFill>
            <w14:solidFill>
              <w14:schemeClr w14:val="tx1"/>
            </w14:solidFill>
          </w14:textFill>
        </w:rPr>
        <w:t>organizing</w:t>
      </w:r>
      <w:r>
        <w:rPr>
          <w:rFonts w:hint="default" w:ascii="Arial" w:hAnsi="Arial" w:eastAsia="SimSun" w:cs="Arial"/>
          <w:b w:val="0"/>
          <w:bCs w:val="0"/>
          <w:color w:val="000000" w:themeColor="text1"/>
          <w:sz w:val="22"/>
          <w:szCs w:val="22"/>
          <w14:textFill>
            <w14:solidFill>
              <w14:schemeClr w14:val="tx1"/>
            </w14:solidFill>
          </w14:textFill>
        </w:rPr>
        <w:t xml:space="preserve"> ideas</w:t>
      </w:r>
      <w:r>
        <w:rPr>
          <w:rFonts w:hint="default" w:ascii="Arial" w:hAnsi="Arial" w:cs="Arial"/>
          <w:b w:val="0"/>
          <w:bCs w:val="0"/>
          <w:color w:val="000000" w:themeColor="text1"/>
          <w:sz w:val="22"/>
          <w:szCs w:val="22"/>
          <w:lang w:val="en-GB"/>
          <w14:textFill>
            <w14:solidFill>
              <w14:schemeClr w14:val="tx1"/>
            </w14:solidFill>
          </w14:textFill>
        </w:rPr>
        <w:t xml:space="preserve"> and research.</w:t>
      </w:r>
      <w:r>
        <w:rPr>
          <w:rFonts w:hint="default" w:ascii="Arial" w:hAnsi="Arial" w:eastAsia="SimSun" w:cs="Arial"/>
          <w:b w:val="0"/>
          <w:bCs w:val="0"/>
          <w:color w:val="000000" w:themeColor="text1"/>
          <w:sz w:val="22"/>
          <w:szCs w:val="22"/>
          <w14:textFill>
            <w14:solidFill>
              <w14:schemeClr w14:val="tx1"/>
            </w14:solidFill>
          </w14:textFill>
        </w:rPr>
        <w:t xml:space="preserve"> The following prompts were used:</w:t>
      </w:r>
    </w:p>
    <w:p w14:paraId="0ED3B91B">
      <w:pPr>
        <w:pStyle w:val="2"/>
        <w:keepNext w:val="0"/>
        <w:keepLines w:val="0"/>
        <w:widowControl/>
        <w:suppressLineNumbers w:val="0"/>
        <w:rPr>
          <w:rFonts w:hint="default" w:ascii="Arial" w:hAnsi="Arial" w:eastAsia="SimSun" w:cs="Arial"/>
          <w:b w:val="0"/>
          <w:bCs w:val="0"/>
          <w:color w:val="000000" w:themeColor="text1"/>
          <w:sz w:val="22"/>
          <w:szCs w:val="22"/>
          <w14:textFill>
            <w14:solidFill>
              <w14:schemeClr w14:val="tx1"/>
            </w14:solidFill>
          </w14:textFill>
        </w:rPr>
      </w:pPr>
      <w:r>
        <w:rPr>
          <w:rFonts w:hint="default" w:ascii="Arial" w:hAnsi="Arial" w:cs="Arial"/>
          <w:b w:val="0"/>
          <w:bCs w:val="0"/>
          <w:color w:val="000000" w:themeColor="text1"/>
          <w:sz w:val="22"/>
          <w:szCs w:val="22"/>
          <w:lang w:val="en-GB"/>
          <w14:textFill>
            <w14:solidFill>
              <w14:schemeClr w14:val="tx1"/>
            </w14:solidFill>
          </w14:textFill>
        </w:rPr>
        <w:t xml:space="preserve">I used </w:t>
      </w:r>
      <w:r>
        <w:rPr>
          <w:rFonts w:hint="default" w:ascii="Arial" w:hAnsi="Arial" w:eastAsia="SimSun" w:cs="Arial"/>
          <w:b w:val="0"/>
          <w:bCs w:val="0"/>
          <w:color w:val="000000" w:themeColor="text1"/>
          <w:sz w:val="22"/>
          <w:szCs w:val="22"/>
          <w14:textFill>
            <w14:solidFill>
              <w14:schemeClr w14:val="tx1"/>
            </w14:solidFill>
          </w14:textFill>
        </w:rPr>
        <w:t>the prompt(s):</w:t>
      </w:r>
    </w:p>
    <w:p w14:paraId="142E84A8">
      <w:pPr>
        <w:pStyle w:val="2"/>
        <w:keepNext w:val="0"/>
        <w:keepLines w:val="0"/>
        <w:widowControl/>
        <w:suppressLineNumbers w:val="0"/>
        <w:rPr>
          <w:rFonts w:hint="default" w:ascii="Arial" w:hAnsi="Arial" w:eastAsia="SimSun" w:cs="Arial"/>
          <w:b w:val="0"/>
          <w:bCs w:val="0"/>
          <w:color w:val="000000" w:themeColor="text1"/>
          <w:sz w:val="22"/>
          <w:szCs w:val="22"/>
          <w:lang w:val="en-GB"/>
          <w14:textFill>
            <w14:solidFill>
              <w14:schemeClr w14:val="tx1"/>
            </w14:solidFill>
          </w14:textFill>
        </w:rPr>
      </w:pPr>
      <w:r>
        <w:rPr>
          <w:rFonts w:hint="default" w:ascii="Arial" w:hAnsi="Arial" w:eastAsia="SimSun" w:cs="Arial"/>
          <w:b w:val="0"/>
          <w:bCs w:val="0"/>
          <w:color w:val="000000" w:themeColor="text1"/>
          <w:sz w:val="22"/>
          <w:szCs w:val="22"/>
          <w14:textFill>
            <w14:solidFill>
              <w14:schemeClr w14:val="tx1"/>
            </w14:solidFill>
          </w14:textFill>
        </w:rPr>
        <w:t xml:space="preserve">1. </w:t>
      </w:r>
      <w:r>
        <w:rPr>
          <w:rFonts w:hint="default" w:ascii="Arial" w:hAnsi="Arial" w:cs="Arial"/>
          <w:b w:val="0"/>
          <w:bCs w:val="0"/>
          <w:color w:val="000000" w:themeColor="text1"/>
          <w:sz w:val="22"/>
          <w:szCs w:val="22"/>
          <w:lang w:val="en-GB"/>
          <w14:textFill>
            <w14:solidFill>
              <w14:schemeClr w14:val="tx1"/>
            </w14:solidFill>
          </w14:textFill>
        </w:rPr>
        <w:t xml:space="preserve">“ </w:t>
      </w:r>
      <w:r>
        <w:rPr>
          <w:rFonts w:hint="default" w:ascii="Arial" w:hAnsi="Arial" w:eastAsia="SimSun" w:cs="Arial"/>
          <w:b w:val="0"/>
          <w:bCs w:val="0"/>
          <w:color w:val="000000" w:themeColor="text1"/>
          <w:sz w:val="22"/>
          <w:szCs w:val="22"/>
          <w14:textFill>
            <w14:solidFill>
              <w14:schemeClr w14:val="tx1"/>
            </w14:solidFill>
          </w14:textFill>
        </w:rPr>
        <w:t xml:space="preserve">Please </w:t>
      </w:r>
      <w:r>
        <w:rPr>
          <w:rFonts w:hint="default" w:ascii="Arial" w:hAnsi="Arial" w:cs="Arial"/>
          <w:b w:val="0"/>
          <w:bCs w:val="0"/>
          <w:color w:val="000000" w:themeColor="text1"/>
          <w:sz w:val="22"/>
          <w:szCs w:val="22"/>
          <w:lang w:val="en-GB"/>
          <w14:textFill>
            <w14:solidFill>
              <w14:schemeClr w14:val="tx1"/>
            </w14:solidFill>
          </w14:textFill>
        </w:rPr>
        <w:t>explain me the legal requirements for entering as a technology brands in UK.”</w:t>
      </w:r>
    </w:p>
    <w:p w14:paraId="183EB270">
      <w:pPr>
        <w:pStyle w:val="2"/>
        <w:keepNext w:val="0"/>
        <w:keepLines w:val="0"/>
        <w:widowControl/>
        <w:suppressLineNumbers w:val="0"/>
        <w:rPr>
          <w:rFonts w:hint="default" w:ascii="Arial" w:hAnsi="Arial" w:eastAsia="SimSun" w:cs="Arial"/>
          <w:b w:val="0"/>
          <w:bCs w:val="0"/>
          <w:color w:val="000000" w:themeColor="text1"/>
          <w:sz w:val="22"/>
          <w:szCs w:val="22"/>
          <w:lang w:val="en-GB"/>
          <w14:textFill>
            <w14:solidFill>
              <w14:schemeClr w14:val="tx1"/>
            </w14:solidFill>
          </w14:textFill>
        </w:rPr>
      </w:pPr>
      <w:r>
        <w:rPr>
          <w:rFonts w:hint="default" w:ascii="Arial" w:hAnsi="Arial" w:eastAsia="SimSun" w:cs="Arial"/>
          <w:b w:val="0"/>
          <w:bCs w:val="0"/>
          <w:color w:val="000000" w:themeColor="text1"/>
          <w:sz w:val="22"/>
          <w:szCs w:val="22"/>
          <w14:textFill>
            <w14:solidFill>
              <w14:schemeClr w14:val="tx1"/>
            </w14:solidFill>
          </w14:textFill>
        </w:rPr>
        <w:t xml:space="preserve">2. </w:t>
      </w:r>
      <w:r>
        <w:rPr>
          <w:rFonts w:hint="default" w:ascii="Arial" w:hAnsi="Arial" w:cs="Arial"/>
          <w:b w:val="0"/>
          <w:bCs w:val="0"/>
          <w:color w:val="000000" w:themeColor="text1"/>
          <w:sz w:val="22"/>
          <w:szCs w:val="22"/>
          <w:lang w:val="en-GB"/>
          <w14:textFill>
            <w14:solidFill>
              <w14:schemeClr w14:val="tx1"/>
            </w14:solidFill>
          </w14:textFill>
        </w:rPr>
        <w:t>“ Please give me some details of Walton’s last years financial performance in different countries.”</w:t>
      </w:r>
    </w:p>
    <w:p w14:paraId="4E6D67A5">
      <w:pPr>
        <w:pStyle w:val="2"/>
        <w:keepNext w:val="0"/>
        <w:keepLines w:val="0"/>
        <w:widowControl/>
        <w:suppressLineNumbers w:val="0"/>
        <w:rPr>
          <w:rFonts w:hint="default" w:ascii="Arial" w:hAnsi="Arial" w:cs="Arial"/>
          <w:b w:val="0"/>
          <w:bCs w:val="0"/>
          <w:color w:val="000000" w:themeColor="text1"/>
          <w:sz w:val="22"/>
          <w:szCs w:val="22"/>
          <w:lang w:val="en-GB"/>
          <w14:textFill>
            <w14:solidFill>
              <w14:schemeClr w14:val="tx1"/>
            </w14:solidFill>
          </w14:textFill>
        </w:rPr>
      </w:pPr>
      <w:r>
        <w:rPr>
          <w:rFonts w:hint="default" w:ascii="Arial" w:hAnsi="Arial" w:eastAsia="SimSun" w:cs="Arial"/>
          <w:b w:val="0"/>
          <w:bCs w:val="0"/>
          <w:color w:val="000000" w:themeColor="text1"/>
          <w:sz w:val="22"/>
          <w:szCs w:val="22"/>
          <w14:textFill>
            <w14:solidFill>
              <w14:schemeClr w14:val="tx1"/>
            </w14:solidFill>
          </w14:textFill>
        </w:rPr>
        <w:t xml:space="preserve">3. </w:t>
      </w:r>
      <w:r>
        <w:rPr>
          <w:rFonts w:hint="default" w:ascii="Arial" w:hAnsi="Arial" w:cs="Arial"/>
          <w:b w:val="0"/>
          <w:bCs w:val="0"/>
          <w:color w:val="000000" w:themeColor="text1"/>
          <w:sz w:val="22"/>
          <w:szCs w:val="22"/>
          <w:lang w:val="en-GB"/>
          <w14:textFill>
            <w14:solidFill>
              <w14:schemeClr w14:val="tx1"/>
            </w14:solidFill>
          </w14:textFill>
        </w:rPr>
        <w:t>“ Please help me understand which strategy Walton followed previously while entering in different country markets.”</w:t>
      </w:r>
    </w:p>
    <w:p w14:paraId="26EF0694">
      <w:pPr>
        <w:rPr>
          <w:rFonts w:hint="default" w:ascii="Arial" w:hAnsi="Arial" w:cs="Arial"/>
          <w:b w:val="0"/>
          <w:bCs w:val="0"/>
          <w:color w:val="000000" w:themeColor="text1"/>
          <w:sz w:val="22"/>
          <w:szCs w:val="22"/>
          <w:lang w:val="en-GB"/>
          <w14:textFill>
            <w14:solidFill>
              <w14:schemeClr w14:val="tx1"/>
            </w14:solidFill>
          </w14:textFill>
        </w:rPr>
      </w:pPr>
    </w:p>
    <w:p w14:paraId="27BD63D0">
      <w:pPr>
        <w:rPr>
          <w:rFonts w:hint="default" w:ascii="Arial" w:hAnsi="Arial" w:cs="Arial"/>
          <w:b w:val="0"/>
          <w:bCs w:val="0"/>
          <w:sz w:val="22"/>
          <w:szCs w:val="22"/>
          <w:lang w:val="en-GB"/>
        </w:rPr>
      </w:pPr>
      <w:r>
        <w:rPr>
          <w:rFonts w:hint="default" w:ascii="Arial" w:hAnsi="Arial" w:cs="Arial"/>
          <w:b w:val="0"/>
          <w:bCs w:val="0"/>
          <w:color w:val="000000" w:themeColor="text1"/>
          <w:sz w:val="22"/>
          <w:szCs w:val="22"/>
          <w:lang w:val="en-GB"/>
          <w14:textFill>
            <w14:solidFill>
              <w14:schemeClr w14:val="tx1"/>
            </w14:solidFill>
          </w14:textFill>
        </w:rPr>
        <w:t xml:space="preserve">I confirm that I have not presented any AI </w:t>
      </w:r>
      <w:r>
        <w:rPr>
          <w:rFonts w:hint="default" w:ascii="Arial" w:hAnsi="Arial" w:cs="Arial"/>
          <w:b w:val="0"/>
          <w:bCs w:val="0"/>
          <w:sz w:val="22"/>
          <w:szCs w:val="22"/>
          <w:lang w:val="en-GB"/>
        </w:rPr>
        <w:t xml:space="preserve">generated text as my own work. I confirm I </w:t>
      </w:r>
    </w:p>
    <w:p w14:paraId="44856ADE">
      <w:pPr>
        <w:rPr>
          <w:rFonts w:hint="default" w:ascii="Arial" w:hAnsi="Arial" w:cs="Arial"/>
          <w:b w:val="0"/>
          <w:bCs w:val="0"/>
          <w:sz w:val="22"/>
          <w:szCs w:val="22"/>
          <w:lang w:val="en-GB"/>
        </w:rPr>
      </w:pPr>
      <w:r>
        <w:rPr>
          <w:rFonts w:hint="default" w:ascii="Arial" w:hAnsi="Arial" w:cs="Arial"/>
          <w:b w:val="0"/>
          <w:bCs w:val="0"/>
          <w:sz w:val="22"/>
          <w:szCs w:val="22"/>
          <w:lang w:val="en-GB"/>
        </w:rPr>
        <w:t>have copies of my drafts, notes, and other resources I used before, and after the use of AI tools which I may be asked to provide in evidence.</w:t>
      </w:r>
    </w:p>
    <w:p w14:paraId="3A0BE20D">
      <w:pPr>
        <w:pStyle w:val="2"/>
        <w:keepNext w:val="0"/>
        <w:keepLines w:val="0"/>
        <w:widowControl/>
        <w:suppressLineNumbers w:val="0"/>
        <w:rPr>
          <w:rFonts w:hint="default" w:ascii="Arial" w:hAnsi="Arial" w:eastAsia="SimSun" w:cs="Arial"/>
          <w:sz w:val="22"/>
          <w:szCs w:val="22"/>
        </w:rPr>
      </w:pPr>
    </w:p>
    <w:p w14:paraId="3B7492BF">
      <w:pPr>
        <w:pStyle w:val="2"/>
        <w:rPr>
          <w:rFonts w:hint="default" w:ascii="Arial" w:hAnsi="Arial" w:cs="Arial"/>
        </w:rPr>
      </w:pPr>
    </w:p>
    <w:p w14:paraId="5ADA06FA">
      <w:pPr>
        <w:rPr>
          <w:rFonts w:hint="default" w:ascii="Arial" w:hAnsi="Arial" w:cs="Arial"/>
        </w:rPr>
      </w:pPr>
    </w:p>
    <w:p w14:paraId="7BD5A2A4">
      <w:pPr>
        <w:rPr>
          <w:rFonts w:hint="default" w:ascii="Arial" w:hAnsi="Arial" w:cs="Arial"/>
        </w:rPr>
      </w:pPr>
    </w:p>
    <w:p w14:paraId="1EB7004D">
      <w:pPr>
        <w:pStyle w:val="2"/>
        <w:rPr>
          <w:rFonts w:hint="default" w:ascii="Arial" w:hAnsi="Arial" w:cs="Arial"/>
          <w:lang w:val="en-GB"/>
        </w:rPr>
      </w:pPr>
      <w:r>
        <w:rPr>
          <w:rFonts w:hint="default" w:ascii="Arial" w:hAnsi="Arial" w:cs="Arial"/>
        </w:rPr>
        <w:t>Table of Contents</w:t>
      </w:r>
      <w:r>
        <w:rPr>
          <w:rFonts w:hint="default" w:ascii="Arial" w:hAnsi="Arial" w:cs="Arial"/>
          <w:lang w:val="en-GB"/>
        </w:rPr>
        <w:t xml:space="preserve"> </w:t>
      </w:r>
    </w:p>
    <w:p w14:paraId="41756B92">
      <w:pPr>
        <w:rPr>
          <w:rFonts w:hint="default" w:ascii="Arial" w:hAnsi="Arial" w:cs="Arial"/>
          <w:lang w:val="en-GB"/>
        </w:rPr>
      </w:pPr>
    </w:p>
    <w:tbl>
      <w:tblPr>
        <w:tblW w:w="0" w:type="auto"/>
        <w:tblCellSpacing w:w="15" w:type="dxa"/>
        <w:tblInd w:w="0" w:type="dxa"/>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Layout w:type="autofit"/>
        <w:tblCellMar>
          <w:top w:w="15" w:type="dxa"/>
          <w:left w:w="15" w:type="dxa"/>
          <w:bottom w:w="15" w:type="dxa"/>
          <w:right w:w="15" w:type="dxa"/>
        </w:tblCellMar>
      </w:tblPr>
      <w:tblGrid>
        <w:gridCol w:w="8707"/>
        <w:gridCol w:w="1051"/>
      </w:tblGrid>
      <w:tr w14:paraId="7D4F3677">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Header/>
          <w:tblCellSpacing w:w="15" w:type="dxa"/>
        </w:trPr>
        <w:tc>
          <w:tcPr>
            <w:tcW w:w="8662" w:type="dxa"/>
            <w:tcBorders>
              <w:tl2br w:val="nil"/>
              <w:tr2bl w:val="nil"/>
            </w:tcBorders>
            <w:shd w:val="clear"/>
            <w:vAlign w:val="center"/>
          </w:tcPr>
          <w:p w14:paraId="1D437D40">
            <w:pPr>
              <w:keepNext w:val="0"/>
              <w:keepLines w:val="0"/>
              <w:widowControl/>
              <w:suppressLineNumbers w:val="0"/>
              <w:jc w:val="center"/>
              <w:rPr>
                <w:rFonts w:hint="default" w:ascii="Arial" w:hAnsi="Arial" w:cs="Arial"/>
                <w:b/>
                <w:bCs/>
              </w:rPr>
            </w:pPr>
            <w:r>
              <w:rPr>
                <w:rStyle w:val="34"/>
                <w:rFonts w:hint="default" w:ascii="Arial" w:hAnsi="Arial" w:eastAsia="SimSun" w:cs="Arial"/>
                <w:kern w:val="0"/>
                <w:sz w:val="24"/>
                <w:szCs w:val="24"/>
                <w:lang w:val="en-US" w:eastAsia="zh-CN" w:bidi="ar"/>
              </w:rPr>
              <w:t>Section / Heading</w:t>
            </w:r>
          </w:p>
        </w:tc>
        <w:tc>
          <w:tcPr>
            <w:tcW w:w="1006" w:type="dxa"/>
            <w:tcBorders>
              <w:tl2br w:val="nil"/>
              <w:tr2bl w:val="nil"/>
            </w:tcBorders>
            <w:shd w:val="clear"/>
            <w:vAlign w:val="center"/>
          </w:tcPr>
          <w:p w14:paraId="63F46ED3">
            <w:pPr>
              <w:keepNext w:val="0"/>
              <w:keepLines w:val="0"/>
              <w:widowControl/>
              <w:suppressLineNumbers w:val="0"/>
              <w:jc w:val="center"/>
              <w:rPr>
                <w:rFonts w:hint="default" w:ascii="Arial" w:hAnsi="Arial" w:cs="Arial"/>
                <w:b/>
                <w:bCs/>
              </w:rPr>
            </w:pPr>
            <w:r>
              <w:rPr>
                <w:rStyle w:val="34"/>
                <w:rFonts w:hint="default" w:ascii="Arial" w:hAnsi="Arial" w:eastAsia="SimSun" w:cs="Arial"/>
                <w:kern w:val="0"/>
                <w:sz w:val="24"/>
                <w:szCs w:val="24"/>
                <w:lang w:val="en-US" w:eastAsia="zh-CN" w:bidi="ar"/>
              </w:rPr>
              <w:t>Page</w:t>
            </w:r>
          </w:p>
        </w:tc>
      </w:tr>
      <w:tr w14:paraId="21384987">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1152F4F5">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Section 1: International Market Entry Assessment (Organisational Classification and Global Strategy)</w:t>
            </w:r>
          </w:p>
        </w:tc>
        <w:tc>
          <w:tcPr>
            <w:tcW w:w="1006" w:type="dxa"/>
            <w:tcBorders>
              <w:tl2br w:val="nil"/>
              <w:tr2bl w:val="nil"/>
            </w:tcBorders>
            <w:shd w:val="clear"/>
            <w:vAlign w:val="center"/>
          </w:tcPr>
          <w:p w14:paraId="5353CA25">
            <w:pPr>
              <w:jc w:val="right"/>
              <w:rPr>
                <w:rFonts w:hint="default" w:ascii="Arial" w:hAnsi="Arial" w:cs="Arial"/>
                <w:b w:val="0"/>
                <w:bCs w:val="0"/>
                <w:sz w:val="22"/>
                <w:szCs w:val="22"/>
                <w:lang w:val="en-GB"/>
              </w:rPr>
            </w:pPr>
            <w:r>
              <w:rPr>
                <w:rFonts w:hint="default" w:ascii="Arial" w:hAnsi="Arial" w:cs="Arial"/>
                <w:b w:val="0"/>
                <w:bCs w:val="0"/>
                <w:sz w:val="22"/>
                <w:szCs w:val="22"/>
                <w:lang w:val="en-GB"/>
              </w:rPr>
              <w:t>4</w:t>
            </w:r>
          </w:p>
        </w:tc>
      </w:tr>
      <w:tr w14:paraId="0D4B8E2B">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1294872F">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1.1 Strategic Categorisation Using Bartlett and Ghoshal</w:t>
            </w:r>
          </w:p>
        </w:tc>
        <w:tc>
          <w:tcPr>
            <w:tcW w:w="1006" w:type="dxa"/>
            <w:tcBorders>
              <w:tl2br w:val="nil"/>
              <w:tr2bl w:val="nil"/>
            </w:tcBorders>
            <w:shd w:val="clear"/>
            <w:vAlign w:val="center"/>
          </w:tcPr>
          <w:p w14:paraId="4CDF0197">
            <w:pPr>
              <w:jc w:val="right"/>
              <w:rPr>
                <w:rFonts w:hint="default" w:ascii="Arial" w:hAnsi="Arial" w:cs="Arial"/>
                <w:b w:val="0"/>
                <w:bCs w:val="0"/>
                <w:sz w:val="22"/>
                <w:szCs w:val="22"/>
                <w:lang w:val="en-GB"/>
              </w:rPr>
            </w:pPr>
            <w:r>
              <w:rPr>
                <w:rFonts w:hint="default" w:ascii="Arial" w:hAnsi="Arial" w:cs="Arial"/>
                <w:b w:val="0"/>
                <w:bCs w:val="0"/>
                <w:sz w:val="22"/>
                <w:szCs w:val="22"/>
                <w:lang w:val="en-GB"/>
              </w:rPr>
              <w:t>4</w:t>
            </w:r>
          </w:p>
        </w:tc>
      </w:tr>
      <w:tr w14:paraId="0360715B">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0FB8B220">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1.2 Global Footprint and Competitive Advantage</w:t>
            </w:r>
          </w:p>
        </w:tc>
        <w:tc>
          <w:tcPr>
            <w:tcW w:w="1006" w:type="dxa"/>
            <w:tcBorders>
              <w:tl2br w:val="nil"/>
              <w:tr2bl w:val="nil"/>
            </w:tcBorders>
            <w:shd w:val="clear"/>
            <w:vAlign w:val="center"/>
          </w:tcPr>
          <w:p w14:paraId="67ADB85E">
            <w:pPr>
              <w:jc w:val="right"/>
              <w:rPr>
                <w:rFonts w:hint="default" w:ascii="Arial" w:hAnsi="Arial" w:cs="Arial"/>
                <w:b w:val="0"/>
                <w:bCs w:val="0"/>
                <w:sz w:val="22"/>
                <w:szCs w:val="22"/>
                <w:lang w:val="en-GB"/>
              </w:rPr>
            </w:pPr>
            <w:r>
              <w:rPr>
                <w:rFonts w:hint="default" w:ascii="Arial" w:hAnsi="Arial" w:cs="Arial"/>
                <w:b w:val="0"/>
                <w:bCs w:val="0"/>
                <w:sz w:val="22"/>
                <w:szCs w:val="22"/>
                <w:lang w:val="en-GB"/>
              </w:rPr>
              <w:t>4-5</w:t>
            </w:r>
          </w:p>
        </w:tc>
      </w:tr>
      <w:tr w14:paraId="21874720">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7E469CB4">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2. Macro-Environmental Appraisal and Market Attractiveness</w:t>
            </w:r>
          </w:p>
        </w:tc>
        <w:tc>
          <w:tcPr>
            <w:tcW w:w="1006" w:type="dxa"/>
            <w:tcBorders>
              <w:tl2br w:val="nil"/>
              <w:tr2bl w:val="nil"/>
            </w:tcBorders>
            <w:shd w:val="clear"/>
            <w:vAlign w:val="center"/>
          </w:tcPr>
          <w:p w14:paraId="14CFC6D7">
            <w:pPr>
              <w:jc w:val="right"/>
              <w:rPr>
                <w:rFonts w:hint="default" w:ascii="Arial" w:hAnsi="Arial" w:cs="Arial"/>
                <w:b w:val="0"/>
                <w:bCs w:val="0"/>
                <w:sz w:val="22"/>
                <w:szCs w:val="22"/>
                <w:lang w:val="en-GB"/>
              </w:rPr>
            </w:pPr>
            <w:r>
              <w:rPr>
                <w:rFonts w:hint="default" w:ascii="Arial" w:hAnsi="Arial" w:cs="Arial"/>
                <w:b w:val="0"/>
                <w:bCs w:val="0"/>
                <w:sz w:val="22"/>
                <w:szCs w:val="22"/>
                <w:lang w:val="en-GB"/>
              </w:rPr>
              <w:t>6</w:t>
            </w:r>
          </w:p>
        </w:tc>
      </w:tr>
      <w:tr w14:paraId="10DD4F01">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5FB285AE">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2.1 PESTEL Analysis of the United Kingdom</w:t>
            </w:r>
          </w:p>
        </w:tc>
        <w:tc>
          <w:tcPr>
            <w:tcW w:w="1006" w:type="dxa"/>
            <w:tcBorders>
              <w:tl2br w:val="nil"/>
              <w:tr2bl w:val="nil"/>
            </w:tcBorders>
            <w:shd w:val="clear"/>
            <w:vAlign w:val="center"/>
          </w:tcPr>
          <w:p w14:paraId="19FEEF5B">
            <w:pPr>
              <w:jc w:val="right"/>
              <w:rPr>
                <w:rFonts w:hint="default" w:ascii="Arial" w:hAnsi="Arial" w:cs="Arial"/>
                <w:b w:val="0"/>
                <w:bCs w:val="0"/>
                <w:sz w:val="22"/>
                <w:szCs w:val="22"/>
                <w:lang w:val="en-GB"/>
              </w:rPr>
            </w:pPr>
            <w:r>
              <w:rPr>
                <w:rFonts w:hint="default" w:ascii="Arial" w:hAnsi="Arial" w:cs="Arial"/>
                <w:b w:val="0"/>
                <w:bCs w:val="0"/>
                <w:sz w:val="22"/>
                <w:szCs w:val="22"/>
                <w:lang w:val="en-GB"/>
              </w:rPr>
              <w:t>6</w:t>
            </w:r>
          </w:p>
        </w:tc>
      </w:tr>
      <w:tr w14:paraId="59ABEFFA">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233840EA">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2.2 Market and Industry Attractiveness</w:t>
            </w:r>
          </w:p>
        </w:tc>
        <w:tc>
          <w:tcPr>
            <w:tcW w:w="1006" w:type="dxa"/>
            <w:tcBorders>
              <w:tl2br w:val="nil"/>
              <w:tr2bl w:val="nil"/>
            </w:tcBorders>
            <w:shd w:val="clear"/>
            <w:vAlign w:val="center"/>
          </w:tcPr>
          <w:p w14:paraId="22060891">
            <w:pPr>
              <w:jc w:val="right"/>
              <w:rPr>
                <w:rFonts w:hint="default" w:ascii="Arial" w:hAnsi="Arial" w:cs="Arial"/>
                <w:b w:val="0"/>
                <w:bCs w:val="0"/>
                <w:sz w:val="22"/>
                <w:szCs w:val="22"/>
                <w:lang w:val="en-GB"/>
              </w:rPr>
            </w:pPr>
            <w:r>
              <w:rPr>
                <w:rFonts w:hint="default" w:ascii="Arial" w:hAnsi="Arial" w:cs="Arial"/>
                <w:b w:val="0"/>
                <w:bCs w:val="0"/>
                <w:sz w:val="22"/>
                <w:szCs w:val="22"/>
                <w:lang w:val="en-GB"/>
              </w:rPr>
              <w:t>7</w:t>
            </w:r>
          </w:p>
        </w:tc>
      </w:tr>
      <w:tr w14:paraId="7C4E28F7">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393AA4A8">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3. Entry Mode Strategy and Strategic Synthesis</w:t>
            </w:r>
          </w:p>
        </w:tc>
        <w:tc>
          <w:tcPr>
            <w:tcW w:w="1006" w:type="dxa"/>
            <w:tcBorders>
              <w:tl2br w:val="nil"/>
              <w:tr2bl w:val="nil"/>
            </w:tcBorders>
            <w:shd w:val="clear"/>
            <w:vAlign w:val="center"/>
          </w:tcPr>
          <w:p w14:paraId="1CD2727E">
            <w:pPr>
              <w:jc w:val="right"/>
              <w:rPr>
                <w:rFonts w:hint="default" w:ascii="Arial" w:hAnsi="Arial" w:cs="Arial"/>
                <w:b w:val="0"/>
                <w:bCs w:val="0"/>
                <w:sz w:val="22"/>
                <w:szCs w:val="22"/>
                <w:lang w:val="en-GB"/>
              </w:rPr>
            </w:pPr>
            <w:r>
              <w:rPr>
                <w:rFonts w:hint="default" w:ascii="Arial" w:hAnsi="Arial" w:cs="Arial"/>
                <w:b w:val="0"/>
                <w:bCs w:val="0"/>
                <w:sz w:val="22"/>
                <w:szCs w:val="22"/>
                <w:lang w:val="en-GB"/>
              </w:rPr>
              <w:t>10</w:t>
            </w:r>
          </w:p>
        </w:tc>
      </w:tr>
      <w:tr w14:paraId="1A06ECF8">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573881C8">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3.1 Historical Pattern Recognition</w:t>
            </w:r>
          </w:p>
        </w:tc>
        <w:tc>
          <w:tcPr>
            <w:tcW w:w="1006" w:type="dxa"/>
            <w:tcBorders>
              <w:tl2br w:val="nil"/>
              <w:tr2bl w:val="nil"/>
            </w:tcBorders>
            <w:shd w:val="clear"/>
            <w:vAlign w:val="center"/>
          </w:tcPr>
          <w:p w14:paraId="4DB05412">
            <w:pPr>
              <w:jc w:val="right"/>
              <w:rPr>
                <w:rFonts w:hint="default" w:ascii="Arial" w:hAnsi="Arial" w:cs="Arial"/>
                <w:b w:val="0"/>
                <w:bCs w:val="0"/>
                <w:sz w:val="22"/>
                <w:szCs w:val="22"/>
                <w:lang w:val="en-GB"/>
              </w:rPr>
            </w:pPr>
            <w:r>
              <w:rPr>
                <w:rFonts w:hint="default" w:ascii="Arial" w:hAnsi="Arial" w:cs="Arial"/>
                <w:b w:val="0"/>
                <w:bCs w:val="0"/>
                <w:sz w:val="22"/>
                <w:szCs w:val="22"/>
                <w:lang w:val="en-GB"/>
              </w:rPr>
              <w:t>11</w:t>
            </w:r>
          </w:p>
        </w:tc>
      </w:tr>
      <w:tr w14:paraId="709036E3">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39CC0B8D">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3.2 Entry Mode Options</w:t>
            </w:r>
          </w:p>
        </w:tc>
        <w:tc>
          <w:tcPr>
            <w:tcW w:w="1006" w:type="dxa"/>
            <w:tcBorders>
              <w:tl2br w:val="nil"/>
              <w:tr2bl w:val="nil"/>
            </w:tcBorders>
            <w:shd w:val="clear"/>
            <w:vAlign w:val="center"/>
          </w:tcPr>
          <w:p w14:paraId="4C90EA73">
            <w:pPr>
              <w:jc w:val="right"/>
              <w:rPr>
                <w:rFonts w:hint="default" w:ascii="Arial" w:hAnsi="Arial" w:cs="Arial"/>
                <w:b w:val="0"/>
                <w:bCs w:val="0"/>
                <w:sz w:val="22"/>
                <w:szCs w:val="22"/>
                <w:lang w:val="en-GB"/>
              </w:rPr>
            </w:pPr>
            <w:r>
              <w:rPr>
                <w:rFonts w:hint="default" w:ascii="Arial" w:hAnsi="Arial" w:cs="Arial"/>
                <w:b w:val="0"/>
                <w:bCs w:val="0"/>
                <w:sz w:val="22"/>
                <w:szCs w:val="22"/>
                <w:lang w:val="en-GB"/>
              </w:rPr>
              <w:t>12</w:t>
            </w:r>
          </w:p>
        </w:tc>
      </w:tr>
      <w:tr w14:paraId="168E0867">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387EBDA9">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3.3 Strategic Fit and Justification</w:t>
            </w:r>
          </w:p>
        </w:tc>
        <w:tc>
          <w:tcPr>
            <w:tcW w:w="1006" w:type="dxa"/>
            <w:tcBorders>
              <w:tl2br w:val="nil"/>
              <w:tr2bl w:val="nil"/>
            </w:tcBorders>
            <w:shd w:val="clear"/>
            <w:vAlign w:val="center"/>
          </w:tcPr>
          <w:p w14:paraId="0D029607">
            <w:pPr>
              <w:jc w:val="right"/>
              <w:rPr>
                <w:rFonts w:hint="default" w:ascii="Arial" w:hAnsi="Arial" w:cs="Arial"/>
                <w:b w:val="0"/>
                <w:bCs w:val="0"/>
                <w:sz w:val="22"/>
                <w:szCs w:val="22"/>
                <w:lang w:val="en-GB"/>
              </w:rPr>
            </w:pPr>
            <w:r>
              <w:rPr>
                <w:rFonts w:hint="default" w:ascii="Arial" w:hAnsi="Arial" w:cs="Arial"/>
                <w:b w:val="0"/>
                <w:bCs w:val="0"/>
                <w:sz w:val="22"/>
                <w:szCs w:val="22"/>
                <w:lang w:val="en-GB"/>
              </w:rPr>
              <w:t>13</w:t>
            </w:r>
          </w:p>
        </w:tc>
      </w:tr>
      <w:tr w14:paraId="79849BF1">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00DE9128">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3.4 Five-Year Implementation Roadmap</w:t>
            </w:r>
          </w:p>
        </w:tc>
        <w:tc>
          <w:tcPr>
            <w:tcW w:w="1006" w:type="dxa"/>
            <w:tcBorders>
              <w:tl2br w:val="nil"/>
              <w:tr2bl w:val="nil"/>
            </w:tcBorders>
            <w:shd w:val="clear"/>
            <w:vAlign w:val="center"/>
          </w:tcPr>
          <w:p w14:paraId="43DEDD13">
            <w:pPr>
              <w:jc w:val="right"/>
              <w:rPr>
                <w:rFonts w:hint="default" w:ascii="Arial" w:hAnsi="Arial" w:cs="Arial"/>
                <w:b w:val="0"/>
                <w:bCs w:val="0"/>
                <w:sz w:val="22"/>
                <w:szCs w:val="22"/>
                <w:lang w:val="en-GB"/>
              </w:rPr>
            </w:pPr>
            <w:r>
              <w:rPr>
                <w:rFonts w:hint="default" w:ascii="Arial" w:hAnsi="Arial" w:cs="Arial"/>
                <w:b w:val="0"/>
                <w:bCs w:val="0"/>
                <w:sz w:val="22"/>
                <w:szCs w:val="22"/>
                <w:lang w:val="en-GB"/>
              </w:rPr>
              <w:t>15</w:t>
            </w:r>
          </w:p>
        </w:tc>
      </w:tr>
      <w:tr w14:paraId="7BBA615A">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65248182">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3.5 Risks and Mitigation</w:t>
            </w:r>
          </w:p>
        </w:tc>
        <w:tc>
          <w:tcPr>
            <w:tcW w:w="1006" w:type="dxa"/>
            <w:tcBorders>
              <w:tl2br w:val="nil"/>
              <w:tr2bl w:val="nil"/>
            </w:tcBorders>
            <w:shd w:val="clear"/>
            <w:vAlign w:val="center"/>
          </w:tcPr>
          <w:p w14:paraId="1E2A0AD7">
            <w:pPr>
              <w:jc w:val="right"/>
              <w:rPr>
                <w:rFonts w:hint="default" w:ascii="Arial" w:hAnsi="Arial" w:cs="Arial"/>
                <w:b w:val="0"/>
                <w:bCs w:val="0"/>
                <w:sz w:val="22"/>
                <w:szCs w:val="22"/>
                <w:lang w:val="en-GB"/>
              </w:rPr>
            </w:pPr>
            <w:r>
              <w:rPr>
                <w:rFonts w:hint="default" w:ascii="Arial" w:hAnsi="Arial" w:cs="Arial"/>
                <w:b w:val="0"/>
                <w:bCs w:val="0"/>
                <w:sz w:val="22"/>
                <w:szCs w:val="22"/>
                <w:lang w:val="en-GB"/>
              </w:rPr>
              <w:t>16</w:t>
            </w:r>
          </w:p>
        </w:tc>
      </w:tr>
      <w:tr w14:paraId="03CFA443">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01455D44">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3.6 Final Recommendation</w:t>
            </w:r>
          </w:p>
        </w:tc>
        <w:tc>
          <w:tcPr>
            <w:tcW w:w="1006" w:type="dxa"/>
            <w:tcBorders>
              <w:tl2br w:val="nil"/>
              <w:tr2bl w:val="nil"/>
            </w:tcBorders>
            <w:shd w:val="clear"/>
            <w:vAlign w:val="center"/>
          </w:tcPr>
          <w:p w14:paraId="652FC4C8">
            <w:pPr>
              <w:jc w:val="right"/>
              <w:rPr>
                <w:rFonts w:hint="default" w:ascii="Arial" w:hAnsi="Arial" w:cs="Arial"/>
                <w:b w:val="0"/>
                <w:bCs w:val="0"/>
                <w:sz w:val="22"/>
                <w:szCs w:val="22"/>
                <w:lang w:val="en-GB"/>
              </w:rPr>
            </w:pPr>
            <w:r>
              <w:rPr>
                <w:rFonts w:hint="default" w:ascii="Arial" w:hAnsi="Arial" w:cs="Arial"/>
                <w:b w:val="0"/>
                <w:bCs w:val="0"/>
                <w:sz w:val="22"/>
                <w:szCs w:val="22"/>
                <w:lang w:val="en-GB"/>
              </w:rPr>
              <w:t>18-19</w:t>
            </w:r>
          </w:p>
        </w:tc>
      </w:tr>
      <w:tr w14:paraId="1204F9FE">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4F9ABE37">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Section 2: Reflective Account Using Gibbs' Reflective Cycle</w:t>
            </w:r>
          </w:p>
        </w:tc>
        <w:tc>
          <w:tcPr>
            <w:tcW w:w="1006" w:type="dxa"/>
            <w:tcBorders>
              <w:tl2br w:val="nil"/>
              <w:tr2bl w:val="nil"/>
            </w:tcBorders>
            <w:shd w:val="clear"/>
            <w:vAlign w:val="center"/>
          </w:tcPr>
          <w:p w14:paraId="37C63B90">
            <w:pPr>
              <w:jc w:val="right"/>
              <w:rPr>
                <w:rFonts w:hint="default" w:ascii="Arial" w:hAnsi="Arial" w:cs="Arial"/>
                <w:b w:val="0"/>
                <w:bCs w:val="0"/>
                <w:sz w:val="22"/>
                <w:szCs w:val="22"/>
                <w:lang w:val="en-GB"/>
              </w:rPr>
            </w:pPr>
            <w:r>
              <w:rPr>
                <w:rFonts w:hint="default" w:ascii="Arial" w:hAnsi="Arial" w:cs="Arial"/>
                <w:b w:val="0"/>
                <w:bCs w:val="0"/>
                <w:sz w:val="22"/>
                <w:szCs w:val="22"/>
                <w:lang w:val="en-GB"/>
              </w:rPr>
              <w:t>20-21</w:t>
            </w:r>
          </w:p>
        </w:tc>
      </w:tr>
      <w:tr w14:paraId="5C90A8A8">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391E44EC">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Conclusion</w:t>
            </w:r>
          </w:p>
        </w:tc>
        <w:tc>
          <w:tcPr>
            <w:tcW w:w="1006" w:type="dxa"/>
            <w:tcBorders>
              <w:tl2br w:val="nil"/>
              <w:tr2bl w:val="nil"/>
            </w:tcBorders>
            <w:shd w:val="clear"/>
            <w:vAlign w:val="center"/>
          </w:tcPr>
          <w:p w14:paraId="4484904C">
            <w:pPr>
              <w:jc w:val="both"/>
              <w:rPr>
                <w:rFonts w:hint="default" w:ascii="Arial" w:hAnsi="Arial" w:cs="Arial"/>
                <w:b w:val="0"/>
                <w:bCs w:val="0"/>
                <w:sz w:val="22"/>
                <w:szCs w:val="22"/>
                <w:lang w:val="en-GB"/>
              </w:rPr>
            </w:pPr>
            <w:r>
              <w:rPr>
                <w:rFonts w:hint="default" w:ascii="Arial" w:hAnsi="Arial" w:cs="Arial"/>
                <w:b w:val="0"/>
                <w:bCs w:val="0"/>
                <w:sz w:val="22"/>
                <w:szCs w:val="22"/>
                <w:lang w:val="en-GB"/>
              </w:rPr>
              <w:t xml:space="preserve">      22-23</w:t>
            </w:r>
          </w:p>
        </w:tc>
      </w:tr>
      <w:tr w14:paraId="6DEEA24A">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76778E98">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References</w:t>
            </w:r>
          </w:p>
        </w:tc>
        <w:tc>
          <w:tcPr>
            <w:tcW w:w="1006" w:type="dxa"/>
            <w:tcBorders>
              <w:tl2br w:val="nil"/>
              <w:tr2bl w:val="nil"/>
            </w:tcBorders>
            <w:shd w:val="clear"/>
            <w:vAlign w:val="center"/>
          </w:tcPr>
          <w:p w14:paraId="02F0D9EF">
            <w:pPr>
              <w:jc w:val="right"/>
              <w:rPr>
                <w:rFonts w:hint="default" w:ascii="Arial" w:hAnsi="Arial" w:cs="Arial"/>
                <w:b w:val="0"/>
                <w:bCs w:val="0"/>
                <w:sz w:val="22"/>
                <w:szCs w:val="22"/>
                <w:lang w:val="en-GB"/>
              </w:rPr>
            </w:pPr>
            <w:r>
              <w:rPr>
                <w:rFonts w:hint="default" w:ascii="Arial" w:hAnsi="Arial" w:cs="Arial"/>
                <w:b w:val="0"/>
                <w:bCs w:val="0"/>
                <w:sz w:val="22"/>
                <w:szCs w:val="22"/>
                <w:lang w:val="en-GB"/>
              </w:rPr>
              <w:t>24-27</w:t>
            </w:r>
          </w:p>
        </w:tc>
      </w:tr>
      <w:tr w14:paraId="1755E942">
        <w:tblPrEx>
          <w:tblBorders>
            <w:top w:val="single" w:color="8DB3E2" w:themeColor="text2" w:themeTint="66" w:sz="4" w:space="0"/>
            <w:left w:val="single" w:color="8DB3E2" w:themeColor="text2" w:themeTint="66" w:sz="4" w:space="0"/>
            <w:bottom w:val="single" w:color="8DB3E2" w:themeColor="text2" w:themeTint="66" w:sz="4" w:space="0"/>
            <w:right w:val="single" w:color="8DB3E2" w:themeColor="text2" w:themeTint="66" w:sz="4" w:space="0"/>
            <w:insideH w:val="single" w:color="8DB3E2" w:themeColor="text2" w:themeTint="66" w:sz="4" w:space="0"/>
            <w:insideV w:val="single" w:color="8DB3E2" w:themeColor="text2" w:themeTint="66" w:sz="4" w:space="0"/>
          </w:tblBorders>
          <w:shd w:val="clear"/>
          <w:tblCellMar>
            <w:top w:w="15" w:type="dxa"/>
            <w:left w:w="15" w:type="dxa"/>
            <w:bottom w:w="15" w:type="dxa"/>
            <w:right w:w="15" w:type="dxa"/>
          </w:tblCellMar>
        </w:tblPrEx>
        <w:trPr>
          <w:tblCellSpacing w:w="15" w:type="dxa"/>
        </w:trPr>
        <w:tc>
          <w:tcPr>
            <w:tcW w:w="8662" w:type="dxa"/>
            <w:tcBorders>
              <w:tl2br w:val="nil"/>
              <w:tr2bl w:val="nil"/>
            </w:tcBorders>
            <w:shd w:val="clear"/>
            <w:vAlign w:val="center"/>
          </w:tcPr>
          <w:p w14:paraId="63B686F1">
            <w:pPr>
              <w:keepNext w:val="0"/>
              <w:keepLines w:val="0"/>
              <w:widowControl/>
              <w:suppressLineNumbers w:val="0"/>
              <w:jc w:val="left"/>
              <w:rPr>
                <w:rFonts w:hint="default" w:ascii="Arial" w:hAnsi="Arial" w:cs="Arial"/>
                <w:b w:val="0"/>
                <w:bCs w:val="0"/>
                <w:sz w:val="22"/>
                <w:szCs w:val="22"/>
              </w:rPr>
            </w:pPr>
            <w:r>
              <w:rPr>
                <w:rStyle w:val="34"/>
                <w:rFonts w:hint="default" w:ascii="Arial" w:hAnsi="Arial" w:eastAsia="SimSun" w:cs="Arial"/>
                <w:b w:val="0"/>
                <w:bCs w:val="0"/>
                <w:kern w:val="0"/>
                <w:sz w:val="22"/>
                <w:szCs w:val="22"/>
                <w:lang w:val="en-US" w:eastAsia="zh-CN" w:bidi="ar"/>
              </w:rPr>
              <w:t>Appendices</w:t>
            </w:r>
          </w:p>
        </w:tc>
        <w:tc>
          <w:tcPr>
            <w:tcW w:w="1006" w:type="dxa"/>
            <w:tcBorders>
              <w:tl2br w:val="nil"/>
              <w:tr2bl w:val="nil"/>
            </w:tcBorders>
            <w:shd w:val="clear"/>
            <w:vAlign w:val="center"/>
          </w:tcPr>
          <w:p w14:paraId="4EA967BC">
            <w:pPr>
              <w:jc w:val="both"/>
              <w:rPr>
                <w:rFonts w:hint="default" w:ascii="Arial" w:hAnsi="Arial" w:cs="Arial"/>
                <w:b w:val="0"/>
                <w:bCs w:val="0"/>
                <w:sz w:val="22"/>
                <w:szCs w:val="22"/>
                <w:lang w:val="en-GB"/>
              </w:rPr>
            </w:pPr>
            <w:r>
              <w:rPr>
                <w:rFonts w:hint="default" w:ascii="Arial" w:hAnsi="Arial" w:cs="Arial"/>
                <w:b w:val="0"/>
                <w:bCs w:val="0"/>
                <w:sz w:val="22"/>
                <w:szCs w:val="22"/>
                <w:lang w:val="en-GB"/>
              </w:rPr>
              <w:t xml:space="preserve">          28</w:t>
            </w:r>
          </w:p>
        </w:tc>
      </w:tr>
    </w:tbl>
    <w:p w14:paraId="4ACF3F44">
      <w:pPr>
        <w:rPr>
          <w:rFonts w:hint="default" w:ascii="Arial" w:hAnsi="Arial" w:cs="Arial"/>
          <w:lang w:val="en-GB"/>
        </w:rPr>
      </w:pPr>
    </w:p>
    <w:p w14:paraId="5459B73F">
      <w:pPr>
        <w:rPr>
          <w:rFonts w:hint="default" w:ascii="Arial" w:hAnsi="Arial" w:cs="Arial"/>
          <w:lang w:val="en-GB"/>
        </w:rPr>
      </w:pPr>
    </w:p>
    <w:p w14:paraId="74CF2F4E">
      <w:pPr>
        <w:rPr>
          <w:rFonts w:hint="default" w:ascii="Arial" w:hAnsi="Arial" w:cs="Arial"/>
          <w:lang w:val="en-GB"/>
        </w:rPr>
      </w:pPr>
    </w:p>
    <w:p w14:paraId="2BF7A2A2">
      <w:pPr>
        <w:rPr>
          <w:rFonts w:hint="default" w:ascii="Arial" w:hAnsi="Arial" w:cs="Arial"/>
          <w:lang w:val="en-GB"/>
        </w:rPr>
      </w:pPr>
    </w:p>
    <w:p w14:paraId="763C8A8E">
      <w:pPr>
        <w:rPr>
          <w:rFonts w:hint="default" w:ascii="Arial" w:hAnsi="Arial" w:cs="Arial"/>
          <w:lang w:val="en-GB"/>
        </w:rPr>
      </w:pPr>
    </w:p>
    <w:p w14:paraId="7E1FFFAD">
      <w:pPr>
        <w:rPr>
          <w:rFonts w:hint="default" w:ascii="Arial" w:hAnsi="Arial" w:cs="Arial"/>
          <w:lang w:val="en-GB"/>
        </w:rPr>
      </w:pPr>
    </w:p>
    <w:p w14:paraId="6B4384F9">
      <w:pPr>
        <w:rPr>
          <w:rFonts w:hint="default" w:ascii="Arial" w:hAnsi="Arial" w:cs="Arial"/>
          <w:lang w:val="en-GB"/>
        </w:rPr>
      </w:pPr>
    </w:p>
    <w:p w14:paraId="05D1E086">
      <w:pPr>
        <w:rPr>
          <w:rFonts w:hint="default" w:ascii="Arial" w:hAnsi="Arial" w:cs="Arial"/>
          <w:lang w:val="en-GB"/>
        </w:rPr>
      </w:pPr>
    </w:p>
    <w:p w14:paraId="6E53CD48">
      <w:pPr>
        <w:pStyle w:val="2"/>
        <w:rPr>
          <w:rFonts w:hint="default" w:ascii="Arial" w:hAnsi="Arial" w:cs="Arial"/>
          <w:b/>
          <w:bCs/>
          <w:sz w:val="28"/>
          <w:szCs w:val="28"/>
        </w:rPr>
      </w:pPr>
      <w:r>
        <w:rPr>
          <w:rFonts w:hint="default" w:ascii="Arial" w:hAnsi="Arial" w:cs="Arial"/>
          <w:b/>
          <w:bCs/>
          <w:sz w:val="28"/>
          <w:szCs w:val="28"/>
        </w:rPr>
        <w:t>Section 1: International Market Entry Assessment</w:t>
      </w:r>
    </w:p>
    <w:p w14:paraId="62B24696">
      <w:pPr>
        <w:pStyle w:val="3"/>
        <w:rPr>
          <w:rFonts w:hint="default" w:ascii="Arial" w:hAnsi="Arial" w:cs="Arial"/>
          <w:b/>
          <w:bCs/>
          <w:sz w:val="24"/>
          <w:szCs w:val="24"/>
        </w:rPr>
      </w:pPr>
      <w:r>
        <w:rPr>
          <w:rFonts w:hint="default" w:ascii="Arial" w:hAnsi="Arial" w:cs="Arial"/>
          <w:b/>
          <w:bCs/>
          <w:sz w:val="24"/>
          <w:szCs w:val="24"/>
        </w:rPr>
        <w:t>1. Organisational Classification and Global Strategy</w:t>
      </w:r>
    </w:p>
    <w:p w14:paraId="377DDBD8">
      <w:pPr>
        <w:pStyle w:val="4"/>
        <w:rPr>
          <w:rFonts w:hint="default" w:ascii="Arial" w:hAnsi="Arial" w:cs="Arial"/>
          <w:b/>
          <w:bCs/>
          <w:sz w:val="24"/>
          <w:szCs w:val="24"/>
        </w:rPr>
      </w:pPr>
      <w:r>
        <w:rPr>
          <w:rFonts w:hint="default" w:ascii="Arial" w:hAnsi="Arial" w:cs="Arial"/>
          <w:b/>
          <w:bCs/>
          <w:sz w:val="24"/>
          <w:szCs w:val="24"/>
        </w:rPr>
        <w:t>1.1 Strategic Categorisation Using Bartlett and Ghoshal</w:t>
      </w:r>
    </w:p>
    <w:p w14:paraId="3B0E3306">
      <w:pPr>
        <w:rPr>
          <w:rFonts w:hint="default" w:ascii="Arial" w:hAnsi="Arial" w:cs="Arial"/>
        </w:rPr>
      </w:pPr>
    </w:p>
    <w:p w14:paraId="66341062">
      <w:pPr>
        <w:rPr>
          <w:rFonts w:hint="default" w:ascii="Arial" w:hAnsi="Arial" w:cs="Arial"/>
          <w:sz w:val="22"/>
          <w:szCs w:val="22"/>
        </w:rPr>
      </w:pPr>
      <w:r>
        <w:rPr>
          <w:rFonts w:hint="default" w:ascii="Arial" w:hAnsi="Arial" w:cs="Arial"/>
          <w:sz w:val="22"/>
          <w:szCs w:val="22"/>
        </w:rPr>
        <w:t>Multinational strategies are categorized by Bartlett and Ghoshal (1989) based on the demands of local responsiveness and global integration. International strategies transfer domestic skills overseas; multinational strategies prioritize local responsiveness; global strategies prioritize efficiency and standardization; and transnational strategies simultaneously pursue knowledge sharing, local responsiveness, and global efficiency.</w:t>
      </w:r>
    </w:p>
    <w:p w14:paraId="6E690C11">
      <w:pPr>
        <w:rPr>
          <w:rFonts w:hint="default" w:ascii="Arial" w:hAnsi="Arial" w:cs="Arial"/>
          <w:sz w:val="22"/>
          <w:szCs w:val="22"/>
        </w:rPr>
      </w:pPr>
      <w:r>
        <w:rPr>
          <w:rFonts w:hint="default" w:ascii="Arial" w:hAnsi="Arial" w:cs="Arial"/>
          <w:sz w:val="22"/>
          <w:szCs w:val="22"/>
        </w:rPr>
        <w:t>Rather than being a fully developed transnational business, Walton is best seen as a growing multinational organization with a transnational focus. While its corporate information details operations in over 50 countries and a long-term goal of worldwide brand development, its manufacturing and R&amp;I capabilities are firmly anchored in Bangladesh (Walton Hi-Tech Industries PLC, 2026a; 2026c). As a result, the corporation is transcending a strictly domestic business model; but, compared to the biggest electronics multinationals, its international network does not yet have the same level of integrated global knowledge flows.</w:t>
      </w:r>
    </w:p>
    <w:p w14:paraId="5D2D32B0">
      <w:pPr>
        <w:rPr>
          <w:rFonts w:hint="default" w:ascii="Arial" w:hAnsi="Arial" w:cs="Arial"/>
          <w:sz w:val="22"/>
          <w:szCs w:val="22"/>
        </w:rPr>
      </w:pPr>
      <w:r>
        <w:rPr>
          <w:rFonts w:hint="default" w:ascii="Arial" w:hAnsi="Arial" w:cs="Arial"/>
          <w:sz w:val="22"/>
          <w:szCs w:val="22"/>
        </w:rPr>
        <w:t>A transnational strategy is more suited for the UK than a strictly global one. While packaging, warranties, digital communication, product specs, customer service, and some features need to be adjusted to British requirements, core technologies, procurement, product platforms, and manufacturing standards can be standardized to maintain economies of scale. According to UK regulations (OPSS, 2026a; Department for Environment, Food and Rural Affairs and OPSS, 2025), manufacturers, importers, and distributors may be subject to certain compliance obligations, and dealers may additionally have duties concerning energy information and WEEE.</w:t>
      </w:r>
    </w:p>
    <w:p w14:paraId="17B627CD">
      <w:pPr>
        <w:rPr>
          <w:rFonts w:hint="default" w:ascii="Arial" w:hAnsi="Arial" w:cs="Arial"/>
          <w:sz w:val="22"/>
          <w:szCs w:val="22"/>
        </w:rPr>
      </w:pPr>
      <w:r>
        <w:rPr>
          <w:rFonts w:hint="default" w:ascii="Arial" w:hAnsi="Arial" w:cs="Arial"/>
          <w:b w:val="0"/>
          <w:bCs w:val="0"/>
          <w:color w:val="000000" w:themeColor="text1"/>
          <w:sz w:val="22"/>
          <w:szCs w:val="22"/>
          <w14:textFill>
            <w14:solidFill>
              <w14:schemeClr w14:val="tx1"/>
            </w14:solidFill>
          </w14:textFill>
        </w:rPr>
        <w:t>Therefore, rather than just being a sales office, the UK subsidiary should become a source of market expertise. Walton's R&amp;I teams should receive customer feedback, product reviews, warranty information, and service details. In line with Bartlett and Ghoshal's (1989) theory that subsidiaries can give knowledge rather than only absorb it, this would enable UK learning to enhance products for other developed markets.</w:t>
      </w:r>
      <w:r>
        <w:rPr>
          <w:rFonts w:hint="default" w:ascii="Arial" w:hAnsi="Arial" w:cs="Arial"/>
          <w:b w:val="0"/>
          <w:bCs w:val="0"/>
          <w:color w:val="000000" w:themeColor="text1"/>
          <w:sz w:val="22"/>
          <w:szCs w:val="22"/>
          <w:lang w:val="en-GB"/>
          <w14:textFill>
            <w14:solidFill>
              <w14:schemeClr w14:val="tx1"/>
            </w14:solidFill>
          </w14:textFill>
        </w:rPr>
        <w:t xml:space="preserve"> </w:t>
      </w:r>
    </w:p>
    <w:p w14:paraId="6F92A586">
      <w:pPr>
        <w:pStyle w:val="4"/>
        <w:rPr>
          <w:rFonts w:hint="default" w:ascii="Arial" w:hAnsi="Arial" w:cs="Arial"/>
          <w:sz w:val="22"/>
          <w:szCs w:val="22"/>
        </w:rPr>
      </w:pPr>
      <w:r>
        <w:rPr>
          <w:rFonts w:hint="default" w:ascii="Arial" w:hAnsi="Arial" w:cs="Arial"/>
          <w:sz w:val="22"/>
          <w:szCs w:val="22"/>
        </w:rPr>
        <w:t>1.2 Global Footprint and Competitive Advantage</w:t>
      </w:r>
    </w:p>
    <w:p w14:paraId="5DFF28AD">
      <w:pPr>
        <w:rPr>
          <w:rFonts w:hint="default" w:ascii="Arial" w:hAnsi="Arial" w:cs="Arial"/>
          <w:sz w:val="22"/>
          <w:szCs w:val="22"/>
        </w:rPr>
      </w:pPr>
      <w:r>
        <w:rPr>
          <w:rFonts w:hint="default" w:ascii="Arial" w:hAnsi="Arial" w:cs="Arial"/>
          <w:sz w:val="22"/>
          <w:szCs w:val="22"/>
        </w:rPr>
        <w:t>Walton's manufacturing base and product diversity are its main advantages. Refrigerators, air conditioners, televisions, household appliances, electrical appliances, compressors, and IT goods are listed as core categories in its corporate information (Walton Hi-Tech Industries PLC, 2026b). New production facilities, product development, international standards, and market expansion into developed nations are all highlighted in the company's global plan (Walton Hi-Tech Industries PLC, 2026c). This offers possible industrial flexibility and economies of scale.</w:t>
      </w:r>
    </w:p>
    <w:p w14:paraId="26075E86">
      <w:pPr>
        <w:rPr>
          <w:rFonts w:hint="default" w:ascii="Arial" w:hAnsi="Arial" w:cs="Arial"/>
          <w:sz w:val="22"/>
          <w:szCs w:val="22"/>
        </w:rPr>
      </w:pPr>
      <w:r>
        <w:rPr>
          <w:rFonts w:hint="default" w:ascii="Arial" w:hAnsi="Arial" w:cs="Arial"/>
          <w:sz w:val="22"/>
          <w:szCs w:val="22"/>
        </w:rPr>
        <w:t>Experience abroad is an additional benefit. While Walton's global-operation information lists the UK as one of its foreign sites, its public information includes markets in Asia, the Middle East, Europe, Africa, and North America (Walton Hi-Tech Industries PLC, 2026b; 2026d). Nevertheless, the UK is not included as a current export destination in the company's current FAQ, which covers several European export destinations. Therefore, rather than presuming a mature Walton retail presence already exists, the safest interpretation is that the UK should be considered as a market requiring more commercial growth.</w:t>
      </w:r>
    </w:p>
    <w:p w14:paraId="19AA7665">
      <w:pPr>
        <w:rPr>
          <w:rFonts w:hint="default" w:ascii="Arial" w:hAnsi="Arial" w:cs="Arial"/>
          <w:sz w:val="22"/>
          <w:szCs w:val="22"/>
        </w:rPr>
      </w:pPr>
      <w:r>
        <w:rPr>
          <w:rFonts w:hint="default" w:ascii="Arial" w:hAnsi="Arial" w:cs="Arial"/>
          <w:sz w:val="22"/>
          <w:szCs w:val="22"/>
        </w:rPr>
        <w:t>The biggest strategic flaw is brand recognition. Samsung, LG, Sony, Bosch, Beko, Hisense, TCL, and shop private labels are well-known to UK consumers. Walton must therefore convert production proficiency into customer confidence. Factory pricing alone is probably not as important as independent product testing, clear specifications, extended warranties, dependable service, local spare parts, and solid merchant partnerships.</w:t>
      </w:r>
    </w:p>
    <w:p w14:paraId="284EA276">
      <w:pPr>
        <w:rPr>
          <w:rFonts w:hint="default" w:ascii="Arial" w:hAnsi="Arial" w:cs="Arial"/>
          <w:sz w:val="22"/>
          <w:szCs w:val="22"/>
        </w:rPr>
      </w:pPr>
      <w:r>
        <w:rPr>
          <w:rFonts w:hint="default" w:ascii="Arial" w:hAnsi="Arial" w:cs="Arial"/>
          <w:sz w:val="22"/>
          <w:szCs w:val="22"/>
        </w:rPr>
        <w:t>At first, Walton should focus on a small handful of "hero products." Subject to UK technical and seasonal constraints, a starting portfolio can include refrigeration, carefully chosen air conditioning goods, washing machines, and televisions. After that, small appliances can be installed. Instead of being dispersed over too many categories, concentration will enable marketing, inventory, compliance, and service resources to be concentrated.</w:t>
      </w:r>
    </w:p>
    <w:p w14:paraId="2B9E41F2">
      <w:pPr>
        <w:rPr>
          <w:rFonts w:hint="default" w:ascii="Arial" w:hAnsi="Arial" w:cs="Arial"/>
          <w:sz w:val="22"/>
          <w:szCs w:val="22"/>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6"/>
        <w:gridCol w:w="3216"/>
        <w:gridCol w:w="3216"/>
      </w:tblGrid>
      <w:tr w14:paraId="376DF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7FF2B1C3">
            <w:pPr>
              <w:rPr>
                <w:rFonts w:hint="default" w:ascii="Arial" w:hAnsi="Arial" w:cs="Arial"/>
                <w:sz w:val="22"/>
                <w:szCs w:val="22"/>
              </w:rPr>
            </w:pPr>
            <w:r>
              <w:rPr>
                <w:rFonts w:hint="default" w:ascii="Arial" w:hAnsi="Arial" w:cs="Arial"/>
                <w:sz w:val="22"/>
                <w:szCs w:val="22"/>
              </w:rPr>
              <w:t>Resource/capability</w:t>
            </w:r>
          </w:p>
        </w:tc>
        <w:tc>
          <w:tcPr>
            <w:tcW w:w="3216" w:type="dxa"/>
          </w:tcPr>
          <w:p w14:paraId="48CB9D13">
            <w:pPr>
              <w:rPr>
                <w:rFonts w:hint="default" w:ascii="Arial" w:hAnsi="Arial" w:cs="Arial"/>
                <w:sz w:val="22"/>
                <w:szCs w:val="22"/>
              </w:rPr>
            </w:pPr>
            <w:r>
              <w:rPr>
                <w:rFonts w:hint="default" w:ascii="Arial" w:hAnsi="Arial" w:cs="Arial"/>
                <w:sz w:val="22"/>
                <w:szCs w:val="22"/>
              </w:rPr>
              <w:t>Potential UK advantage</w:t>
            </w:r>
          </w:p>
        </w:tc>
        <w:tc>
          <w:tcPr>
            <w:tcW w:w="3216" w:type="dxa"/>
          </w:tcPr>
          <w:p w14:paraId="21A948E3">
            <w:pPr>
              <w:rPr>
                <w:rFonts w:hint="default" w:ascii="Arial" w:hAnsi="Arial" w:cs="Arial"/>
                <w:sz w:val="22"/>
                <w:szCs w:val="22"/>
              </w:rPr>
            </w:pPr>
            <w:r>
              <w:rPr>
                <w:rFonts w:hint="default" w:ascii="Arial" w:hAnsi="Arial" w:cs="Arial"/>
                <w:sz w:val="22"/>
                <w:szCs w:val="22"/>
              </w:rPr>
              <w:t>Main limitation</w:t>
            </w:r>
          </w:p>
        </w:tc>
      </w:tr>
      <w:tr w14:paraId="6DE4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6E69EC27">
            <w:pPr>
              <w:rPr>
                <w:rFonts w:hint="default" w:ascii="Arial" w:hAnsi="Arial" w:cs="Arial"/>
                <w:sz w:val="22"/>
                <w:szCs w:val="22"/>
              </w:rPr>
            </w:pPr>
            <w:r>
              <w:rPr>
                <w:rFonts w:hint="default" w:ascii="Arial" w:hAnsi="Arial" w:cs="Arial"/>
                <w:sz w:val="22"/>
                <w:szCs w:val="22"/>
              </w:rPr>
              <w:t>Manufacturing scale</w:t>
            </w:r>
          </w:p>
        </w:tc>
        <w:tc>
          <w:tcPr>
            <w:tcW w:w="3216" w:type="dxa"/>
          </w:tcPr>
          <w:p w14:paraId="6863A8D2">
            <w:pPr>
              <w:rPr>
                <w:rFonts w:hint="default" w:ascii="Arial" w:hAnsi="Arial" w:cs="Arial"/>
                <w:sz w:val="22"/>
                <w:szCs w:val="22"/>
              </w:rPr>
            </w:pPr>
            <w:r>
              <w:rPr>
                <w:rFonts w:hint="default" w:ascii="Arial" w:hAnsi="Arial" w:cs="Arial"/>
                <w:sz w:val="22"/>
                <w:szCs w:val="22"/>
              </w:rPr>
              <w:t>Competitive cost and production flexibility</w:t>
            </w:r>
          </w:p>
        </w:tc>
        <w:tc>
          <w:tcPr>
            <w:tcW w:w="3216" w:type="dxa"/>
          </w:tcPr>
          <w:p w14:paraId="6669B9D4">
            <w:pPr>
              <w:rPr>
                <w:rFonts w:hint="default" w:ascii="Arial" w:hAnsi="Arial" w:cs="Arial"/>
                <w:sz w:val="22"/>
                <w:szCs w:val="22"/>
              </w:rPr>
            </w:pPr>
            <w:r>
              <w:rPr>
                <w:rFonts w:hint="default" w:ascii="Arial" w:hAnsi="Arial" w:cs="Arial"/>
                <w:sz w:val="22"/>
                <w:szCs w:val="22"/>
              </w:rPr>
              <w:t>Freight, exchange-rate and inventory costs</w:t>
            </w:r>
          </w:p>
        </w:tc>
      </w:tr>
      <w:tr w14:paraId="5FC9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4F7614A1">
            <w:pPr>
              <w:rPr>
                <w:rFonts w:hint="default" w:ascii="Arial" w:hAnsi="Arial" w:cs="Arial"/>
                <w:sz w:val="22"/>
                <w:szCs w:val="22"/>
              </w:rPr>
            </w:pPr>
            <w:r>
              <w:rPr>
                <w:rFonts w:hint="default" w:ascii="Arial" w:hAnsi="Arial" w:cs="Arial"/>
                <w:sz w:val="22"/>
                <w:szCs w:val="22"/>
              </w:rPr>
              <w:t>R&amp;I capability</w:t>
            </w:r>
          </w:p>
        </w:tc>
        <w:tc>
          <w:tcPr>
            <w:tcW w:w="3216" w:type="dxa"/>
          </w:tcPr>
          <w:p w14:paraId="522909EC">
            <w:pPr>
              <w:rPr>
                <w:rFonts w:hint="default" w:ascii="Arial" w:hAnsi="Arial" w:cs="Arial"/>
                <w:sz w:val="22"/>
                <w:szCs w:val="22"/>
              </w:rPr>
            </w:pPr>
            <w:r>
              <w:rPr>
                <w:rFonts w:hint="default" w:ascii="Arial" w:hAnsi="Arial" w:cs="Arial"/>
                <w:sz w:val="22"/>
                <w:szCs w:val="22"/>
              </w:rPr>
              <w:t>Product adaptation and smart/efficient technology</w:t>
            </w:r>
          </w:p>
        </w:tc>
        <w:tc>
          <w:tcPr>
            <w:tcW w:w="3216" w:type="dxa"/>
          </w:tcPr>
          <w:p w14:paraId="008A59C2">
            <w:pPr>
              <w:rPr>
                <w:rFonts w:hint="default" w:ascii="Arial" w:hAnsi="Arial" w:cs="Arial"/>
                <w:sz w:val="22"/>
                <w:szCs w:val="22"/>
              </w:rPr>
            </w:pPr>
            <w:r>
              <w:rPr>
                <w:rFonts w:hint="default" w:ascii="Arial" w:hAnsi="Arial" w:cs="Arial"/>
                <w:sz w:val="22"/>
                <w:szCs w:val="22"/>
              </w:rPr>
              <w:t>UK standards and expectations require local adaptation</w:t>
            </w:r>
          </w:p>
        </w:tc>
      </w:tr>
      <w:tr w14:paraId="2DA38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0AAA70FD">
            <w:pPr>
              <w:rPr>
                <w:rFonts w:hint="default" w:ascii="Arial" w:hAnsi="Arial" w:cs="Arial"/>
                <w:sz w:val="22"/>
                <w:szCs w:val="22"/>
              </w:rPr>
            </w:pPr>
            <w:r>
              <w:rPr>
                <w:rFonts w:hint="default" w:ascii="Arial" w:hAnsi="Arial" w:cs="Arial"/>
                <w:sz w:val="22"/>
                <w:szCs w:val="22"/>
              </w:rPr>
              <w:t>Broad portfolio</w:t>
            </w:r>
          </w:p>
        </w:tc>
        <w:tc>
          <w:tcPr>
            <w:tcW w:w="3216" w:type="dxa"/>
          </w:tcPr>
          <w:p w14:paraId="6265BFB7">
            <w:pPr>
              <w:rPr>
                <w:rFonts w:hint="default" w:ascii="Arial" w:hAnsi="Arial" w:cs="Arial"/>
                <w:sz w:val="22"/>
                <w:szCs w:val="22"/>
              </w:rPr>
            </w:pPr>
            <w:r>
              <w:rPr>
                <w:rFonts w:hint="default" w:ascii="Arial" w:hAnsi="Arial" w:cs="Arial"/>
                <w:sz w:val="22"/>
                <w:szCs w:val="22"/>
              </w:rPr>
              <w:t>Cross-selling and future category expansion</w:t>
            </w:r>
          </w:p>
        </w:tc>
        <w:tc>
          <w:tcPr>
            <w:tcW w:w="3216" w:type="dxa"/>
          </w:tcPr>
          <w:p w14:paraId="55795E57">
            <w:pPr>
              <w:rPr>
                <w:rFonts w:hint="default" w:ascii="Arial" w:hAnsi="Arial" w:cs="Arial"/>
                <w:sz w:val="22"/>
                <w:szCs w:val="22"/>
              </w:rPr>
            </w:pPr>
            <w:r>
              <w:rPr>
                <w:rFonts w:hint="default" w:ascii="Arial" w:hAnsi="Arial" w:cs="Arial"/>
                <w:sz w:val="22"/>
                <w:szCs w:val="22"/>
              </w:rPr>
              <w:t>Risk of overextending marketing and service</w:t>
            </w:r>
          </w:p>
        </w:tc>
      </w:tr>
      <w:tr w14:paraId="542C1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20880AB1">
            <w:pPr>
              <w:rPr>
                <w:rFonts w:hint="default" w:ascii="Arial" w:hAnsi="Arial" w:cs="Arial"/>
                <w:sz w:val="22"/>
                <w:szCs w:val="22"/>
              </w:rPr>
            </w:pPr>
            <w:r>
              <w:rPr>
                <w:rFonts w:hint="default" w:ascii="Arial" w:hAnsi="Arial" w:cs="Arial"/>
                <w:sz w:val="22"/>
                <w:szCs w:val="22"/>
              </w:rPr>
              <w:t>International exports</w:t>
            </w:r>
          </w:p>
        </w:tc>
        <w:tc>
          <w:tcPr>
            <w:tcW w:w="3216" w:type="dxa"/>
          </w:tcPr>
          <w:p w14:paraId="17EBA5C1">
            <w:pPr>
              <w:rPr>
                <w:rFonts w:hint="default" w:ascii="Arial" w:hAnsi="Arial" w:cs="Arial"/>
                <w:sz w:val="22"/>
                <w:szCs w:val="22"/>
              </w:rPr>
            </w:pPr>
            <w:r>
              <w:rPr>
                <w:rFonts w:hint="default" w:ascii="Arial" w:hAnsi="Arial" w:cs="Arial"/>
                <w:sz w:val="22"/>
                <w:szCs w:val="22"/>
              </w:rPr>
              <w:t>Experience with distributors and foreign markets</w:t>
            </w:r>
          </w:p>
        </w:tc>
        <w:tc>
          <w:tcPr>
            <w:tcW w:w="3216" w:type="dxa"/>
          </w:tcPr>
          <w:p w14:paraId="477F3317">
            <w:pPr>
              <w:rPr>
                <w:rFonts w:hint="default" w:ascii="Arial" w:hAnsi="Arial" w:cs="Arial"/>
                <w:sz w:val="22"/>
                <w:szCs w:val="22"/>
              </w:rPr>
            </w:pPr>
            <w:r>
              <w:rPr>
                <w:rFonts w:hint="default" w:ascii="Arial" w:hAnsi="Arial" w:cs="Arial"/>
                <w:sz w:val="22"/>
                <w:szCs w:val="22"/>
              </w:rPr>
              <w:t>UK retail is especially competitive</w:t>
            </w:r>
          </w:p>
        </w:tc>
      </w:tr>
      <w:tr w14:paraId="7D7DA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796389EE">
            <w:pPr>
              <w:rPr>
                <w:rFonts w:hint="default" w:ascii="Arial" w:hAnsi="Arial" w:cs="Arial"/>
                <w:sz w:val="22"/>
                <w:szCs w:val="22"/>
              </w:rPr>
            </w:pPr>
            <w:r>
              <w:rPr>
                <w:rFonts w:hint="default" w:ascii="Arial" w:hAnsi="Arial" w:cs="Arial"/>
                <w:sz w:val="22"/>
                <w:szCs w:val="22"/>
              </w:rPr>
              <w:t>Bangladeshi brand equity</w:t>
            </w:r>
          </w:p>
        </w:tc>
        <w:tc>
          <w:tcPr>
            <w:tcW w:w="3216" w:type="dxa"/>
          </w:tcPr>
          <w:p w14:paraId="5A818A4B">
            <w:pPr>
              <w:rPr>
                <w:rFonts w:hint="default" w:ascii="Arial" w:hAnsi="Arial" w:cs="Arial"/>
                <w:sz w:val="22"/>
                <w:szCs w:val="22"/>
              </w:rPr>
            </w:pPr>
            <w:r>
              <w:rPr>
                <w:rFonts w:hint="default" w:ascii="Arial" w:hAnsi="Arial" w:cs="Arial"/>
                <w:sz w:val="22"/>
                <w:szCs w:val="22"/>
              </w:rPr>
              <w:t>Potential diaspora awareness</w:t>
            </w:r>
          </w:p>
        </w:tc>
        <w:tc>
          <w:tcPr>
            <w:tcW w:w="3216" w:type="dxa"/>
          </w:tcPr>
          <w:p w14:paraId="09D717C5">
            <w:pPr>
              <w:rPr>
                <w:rFonts w:hint="default" w:ascii="Arial" w:hAnsi="Arial" w:cs="Arial"/>
                <w:sz w:val="22"/>
                <w:szCs w:val="22"/>
              </w:rPr>
            </w:pPr>
            <w:r>
              <w:rPr>
                <w:rFonts w:hint="default" w:ascii="Arial" w:hAnsi="Arial" w:cs="Arial"/>
                <w:sz w:val="22"/>
                <w:szCs w:val="22"/>
              </w:rPr>
              <w:t>Low mainstream UK awareness</w:t>
            </w:r>
          </w:p>
        </w:tc>
      </w:tr>
      <w:tr w14:paraId="2857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6848C995">
            <w:pPr>
              <w:rPr>
                <w:rFonts w:hint="default" w:ascii="Arial" w:hAnsi="Arial" w:cs="Arial"/>
                <w:sz w:val="22"/>
                <w:szCs w:val="22"/>
              </w:rPr>
            </w:pPr>
            <w:r>
              <w:rPr>
                <w:rFonts w:hint="default" w:ascii="Arial" w:hAnsi="Arial" w:cs="Arial"/>
                <w:sz w:val="22"/>
                <w:szCs w:val="22"/>
              </w:rPr>
              <w:t>After-sales capability</w:t>
            </w:r>
          </w:p>
        </w:tc>
        <w:tc>
          <w:tcPr>
            <w:tcW w:w="3216" w:type="dxa"/>
          </w:tcPr>
          <w:p w14:paraId="6D97583C">
            <w:pPr>
              <w:rPr>
                <w:rFonts w:hint="default" w:ascii="Arial" w:hAnsi="Arial" w:cs="Arial"/>
                <w:sz w:val="22"/>
                <w:szCs w:val="22"/>
              </w:rPr>
            </w:pPr>
            <w:r>
              <w:rPr>
                <w:rFonts w:hint="default" w:ascii="Arial" w:hAnsi="Arial" w:cs="Arial"/>
                <w:sz w:val="22"/>
                <w:szCs w:val="22"/>
              </w:rPr>
              <w:t>Potential basis for service differentiation</w:t>
            </w:r>
          </w:p>
        </w:tc>
        <w:tc>
          <w:tcPr>
            <w:tcW w:w="3216" w:type="dxa"/>
          </w:tcPr>
          <w:p w14:paraId="5B663E84">
            <w:pPr>
              <w:rPr>
                <w:rFonts w:hint="default" w:ascii="Arial" w:hAnsi="Arial" w:cs="Arial"/>
                <w:sz w:val="22"/>
                <w:szCs w:val="22"/>
              </w:rPr>
            </w:pPr>
            <w:r>
              <w:rPr>
                <w:rFonts w:hint="default" w:ascii="Arial" w:hAnsi="Arial" w:cs="Arial"/>
                <w:sz w:val="22"/>
                <w:szCs w:val="22"/>
              </w:rPr>
              <w:t>UK customers expect rapid local service</w:t>
            </w:r>
          </w:p>
        </w:tc>
      </w:tr>
    </w:tbl>
    <w:p w14:paraId="195397F0">
      <w:pPr>
        <w:pStyle w:val="3"/>
        <w:rPr>
          <w:rFonts w:hint="default" w:ascii="Arial" w:hAnsi="Arial" w:cs="Arial"/>
          <w:sz w:val="22"/>
          <w:szCs w:val="22"/>
        </w:rPr>
      </w:pPr>
    </w:p>
    <w:p w14:paraId="1DE7A021">
      <w:pPr>
        <w:pStyle w:val="3"/>
        <w:jc w:val="center"/>
        <w:rPr>
          <w:rFonts w:hint="default" w:ascii="Arial" w:hAnsi="Arial" w:cs="Arial"/>
          <w:sz w:val="28"/>
          <w:szCs w:val="28"/>
          <w:lang w:val="en-GB"/>
        </w:rPr>
      </w:pPr>
      <w:r>
        <w:rPr>
          <w:rFonts w:hint="default" w:ascii="Arial" w:hAnsi="Arial" w:cs="Arial"/>
          <w:sz w:val="28"/>
          <w:szCs w:val="28"/>
          <w:lang w:val="en-GB"/>
        </w:rPr>
        <w:drawing>
          <wp:inline distT="0" distB="0" distL="114300" distR="114300">
            <wp:extent cx="4678045" cy="2681605"/>
            <wp:effectExtent l="0" t="0" r="635" b="635"/>
            <wp:docPr id="1" name="Picture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s"/>
                    <pic:cNvPicPr>
                      <a:picLocks noChangeAspect="1"/>
                    </pic:cNvPicPr>
                  </pic:nvPicPr>
                  <pic:blipFill>
                    <a:blip r:embed="rId9"/>
                    <a:stretch>
                      <a:fillRect/>
                    </a:stretch>
                  </pic:blipFill>
                  <pic:spPr>
                    <a:xfrm>
                      <a:off x="0" y="0"/>
                      <a:ext cx="4678045" cy="2681605"/>
                    </a:xfrm>
                    <a:prstGeom prst="rect">
                      <a:avLst/>
                    </a:prstGeom>
                  </pic:spPr>
                </pic:pic>
              </a:graphicData>
            </a:graphic>
          </wp:inline>
        </w:drawing>
      </w:r>
    </w:p>
    <w:p w14:paraId="55ABABF0">
      <w:pPr>
        <w:pStyle w:val="3"/>
        <w:rPr>
          <w:rFonts w:hint="default" w:ascii="Arial" w:hAnsi="Arial" w:cs="Arial"/>
          <w:sz w:val="28"/>
          <w:szCs w:val="28"/>
        </w:rPr>
      </w:pPr>
    </w:p>
    <w:p w14:paraId="60056665">
      <w:pPr>
        <w:pStyle w:val="3"/>
        <w:rPr>
          <w:rFonts w:hint="default" w:ascii="Arial" w:hAnsi="Arial" w:cs="Arial"/>
          <w:sz w:val="28"/>
          <w:szCs w:val="28"/>
        </w:rPr>
      </w:pPr>
      <w:r>
        <w:rPr>
          <w:rFonts w:hint="default" w:ascii="Arial" w:hAnsi="Arial" w:cs="Arial"/>
          <w:sz w:val="28"/>
          <w:szCs w:val="28"/>
        </w:rPr>
        <w:t>2. Macro-Environmental Appraisal and Market Attractiveness</w:t>
      </w:r>
    </w:p>
    <w:p w14:paraId="7BD1AC90">
      <w:pPr>
        <w:pStyle w:val="4"/>
        <w:rPr>
          <w:rFonts w:hint="default" w:ascii="Arial" w:hAnsi="Arial" w:cs="Arial"/>
          <w:sz w:val="24"/>
          <w:szCs w:val="24"/>
        </w:rPr>
      </w:pPr>
      <w:r>
        <w:rPr>
          <w:rFonts w:hint="default" w:ascii="Arial" w:hAnsi="Arial" w:cs="Arial"/>
          <w:sz w:val="24"/>
          <w:szCs w:val="24"/>
        </w:rPr>
        <w:t>2.1 PESTEL Analysis of the United Kingdom</w:t>
      </w:r>
    </w:p>
    <w:p w14:paraId="649337D1">
      <w:pPr>
        <w:rPr>
          <w:rFonts w:hint="default" w:ascii="Arial" w:hAnsi="Arial" w:cs="Arial"/>
          <w:sz w:val="24"/>
          <w:szCs w:val="24"/>
        </w:rPr>
      </w:pPr>
    </w:p>
    <w:p w14:paraId="562769BE">
      <w:pPr>
        <w:rPr>
          <w:rFonts w:hint="default" w:ascii="Arial" w:hAnsi="Arial" w:cs="Arial"/>
          <w:sz w:val="24"/>
          <w:szCs w:val="24"/>
        </w:rPr>
      </w:pPr>
      <w:r>
        <w:rPr>
          <w:rFonts w:hint="default" w:ascii="Arial" w:hAnsi="Arial" w:cs="Arial"/>
          <w:sz w:val="24"/>
          <w:szCs w:val="24"/>
        </w:rPr>
        <w:t>PESTEL evaluates how international business is impacted by political, economic, social, technical, environmental, and legal factors (Johnson et al., 2020). The analysis that follows concentrates on how they directly affect Walton.</w:t>
      </w:r>
    </w:p>
    <w:p w14:paraId="3F14206A">
      <w:pPr>
        <w:rPr>
          <w:rFonts w:hint="default" w:ascii="Arial" w:hAnsi="Arial" w:cs="Arial"/>
          <w:sz w:val="24"/>
          <w:szCs w:val="24"/>
        </w:rPr>
      </w:pPr>
    </w:p>
    <w:p w14:paraId="53C07866">
      <w:pPr>
        <w:pStyle w:val="4"/>
        <w:rPr>
          <w:rFonts w:hint="default" w:ascii="Arial" w:hAnsi="Arial" w:cs="Arial"/>
          <w:sz w:val="24"/>
          <w:szCs w:val="24"/>
          <w:lang w:val="en-GB"/>
        </w:rPr>
      </w:pPr>
      <w:r>
        <w:rPr>
          <w:rFonts w:hint="default" w:ascii="Arial" w:hAnsi="Arial" w:cs="Arial"/>
          <w:sz w:val="24"/>
          <w:szCs w:val="24"/>
        </w:rPr>
        <w:t>Technological factors</w:t>
      </w:r>
      <w:r>
        <w:rPr>
          <w:rFonts w:hint="default" w:ascii="Arial" w:hAnsi="Arial" w:cs="Arial"/>
          <w:sz w:val="24"/>
          <w:szCs w:val="24"/>
          <w:lang w:val="en-GB"/>
        </w:rPr>
        <w:t xml:space="preserve"> </w:t>
      </w:r>
    </w:p>
    <w:p w14:paraId="1C1A4B0C">
      <w:pPr>
        <w:rPr>
          <w:rFonts w:hint="default" w:ascii="Arial" w:hAnsi="Arial" w:cs="Arial"/>
          <w:sz w:val="24"/>
          <w:szCs w:val="24"/>
          <w:lang w:val="en-GB"/>
        </w:rPr>
      </w:pPr>
    </w:p>
    <w:p w14:paraId="77B8090F">
      <w:pPr>
        <w:rPr>
          <w:rFonts w:hint="default" w:ascii="Arial" w:hAnsi="Arial" w:cs="Arial"/>
          <w:sz w:val="24"/>
          <w:szCs w:val="24"/>
          <w:lang w:val="en-GB"/>
        </w:rPr>
      </w:pPr>
      <w:r>
        <w:rPr>
          <w:rFonts w:hint="default" w:ascii="Arial" w:hAnsi="Arial" w:cs="Arial"/>
          <w:sz w:val="24"/>
          <w:szCs w:val="24"/>
          <w:lang w:val="en-GB"/>
        </w:rPr>
        <w:t>The UK is a technologically advanced market with significant e-commerce and smart home adoption rates. Walton already offers Wi-Fi-enabled televisions, inverter air conditioners, and smart and energy-efficient equipment, giving it a technological edge in the UK market (Walton Group, 2026). Walton may be able to meet the growing demand from customers for connected, energy-efficient, and practical home goods with the use of these skills. Additionally, Walton has the chance to market inverter technology and smart energy-management features as sources of competitive advantage due to the UK's increased emphasis on energy efficiency. However, because UK customers demand smart appliances to seamlessly connect with well-established digital ecosystems and mobile applications, technological compatibility continues to be a major barrier.</w:t>
      </w:r>
    </w:p>
    <w:p w14:paraId="56C498C2">
      <w:pPr>
        <w:rPr>
          <w:rFonts w:hint="default" w:ascii="Arial" w:hAnsi="Arial" w:cs="Arial"/>
          <w:sz w:val="24"/>
          <w:szCs w:val="24"/>
          <w:lang w:val="en-GB"/>
        </w:rPr>
      </w:pPr>
    </w:p>
    <w:p w14:paraId="67BD65EB">
      <w:pPr>
        <w:rPr>
          <w:rFonts w:hint="default" w:ascii="Arial" w:hAnsi="Arial" w:cs="Arial"/>
          <w:sz w:val="24"/>
          <w:szCs w:val="24"/>
          <w:lang w:val="en-GB"/>
        </w:rPr>
      </w:pPr>
      <w:r>
        <w:rPr>
          <w:rFonts w:hint="default" w:ascii="Arial" w:hAnsi="Arial" w:cs="Arial"/>
          <w:sz w:val="24"/>
          <w:szCs w:val="24"/>
          <w:lang w:val="en-GB"/>
        </w:rPr>
        <w:t>Interoperability and software therefore pose some of the greatest risks. Reliable applications, regular firmware updates, strong cybersecurity and responsive customer support are essential for maintaining consumer confidence in connected appliances. Cybersecurity is particularly important because internet-connected household devices can create additional security vulnerabilities if manufacturers do not provide adequate protection and updates (National Cyber Security Centre, 2024). Walton should therefore prioritise established smart-home platforms and ensure that its products are compatible with widely used systems. The company should also establish continuous software-update procedures and UK-based technical support to strengthen customer trust. Furthermore, clear privacy policies and transparent communication about data collection could improve consumer confidence. By combining its existing hardware capabilities with reliable software, cybersecurity and after-sales services, Walton can develop a stronger technological proposition and reduce the risks associated with entering the competitive UK smart-appliance market (Johnson, Scholes and Whittington, 2017).</w:t>
      </w:r>
    </w:p>
    <w:p w14:paraId="69537319">
      <w:pPr>
        <w:rPr>
          <w:rFonts w:hint="default" w:ascii="Arial" w:hAnsi="Arial" w:cs="Arial"/>
          <w:sz w:val="24"/>
          <w:szCs w:val="24"/>
          <w:lang w:val="en-GB"/>
        </w:rPr>
      </w:pPr>
    </w:p>
    <w:p w14:paraId="3133FBE1">
      <w:pPr>
        <w:pStyle w:val="4"/>
        <w:rPr>
          <w:rFonts w:hint="default" w:ascii="Arial" w:hAnsi="Arial" w:cs="Arial"/>
          <w:sz w:val="24"/>
          <w:szCs w:val="24"/>
          <w:lang w:val="en-GB"/>
        </w:rPr>
      </w:pPr>
      <w:r>
        <w:rPr>
          <w:rFonts w:hint="default" w:ascii="Arial" w:hAnsi="Arial" w:cs="Arial"/>
          <w:sz w:val="24"/>
          <w:szCs w:val="24"/>
        </w:rPr>
        <w:t>Legal factors</w:t>
      </w:r>
      <w:r>
        <w:rPr>
          <w:rFonts w:hint="default" w:ascii="Arial" w:hAnsi="Arial" w:cs="Arial"/>
          <w:sz w:val="24"/>
          <w:szCs w:val="24"/>
          <w:lang w:val="en-GB"/>
        </w:rPr>
        <w:t xml:space="preserve"> </w:t>
      </w:r>
    </w:p>
    <w:p w14:paraId="2DE9F110">
      <w:pPr>
        <w:rPr>
          <w:rFonts w:hint="default" w:ascii="Arial" w:hAnsi="Arial" w:cs="Arial"/>
          <w:lang w:val="en-GB"/>
        </w:rPr>
      </w:pPr>
    </w:p>
    <w:p w14:paraId="0249F978">
      <w:pPr>
        <w:rPr>
          <w:rFonts w:hint="default" w:ascii="Arial" w:hAnsi="Arial" w:cs="Arial"/>
          <w:sz w:val="24"/>
          <w:szCs w:val="24"/>
          <w:lang w:val="en-GB"/>
        </w:rPr>
      </w:pPr>
      <w:r>
        <w:rPr>
          <w:rFonts w:hint="default" w:ascii="Arial" w:hAnsi="Arial" w:cs="Arial"/>
          <w:sz w:val="24"/>
          <w:szCs w:val="24"/>
          <w:lang w:val="en-GB"/>
        </w:rPr>
        <w:t>Product safety is one of the primary barriers to admittance. Companies that produce, import, distribute, or sell consumer goods are responsible for safety and any associated labeling obligations, according UK regulation (OPSS, 2026a). Electrical equipment is also subject to some safety laws, such as those concerning consumer information, technical documentation, and product conformance. According to the Department for Business and Trade (2026), current government guidelines affirm that CE marking is still accepted in Great Britain for a number of electrical goods, along with UKCA alternatives based on the product and appropriate regulatory regime.</w:t>
      </w:r>
    </w:p>
    <w:p w14:paraId="379C27E7">
      <w:pPr>
        <w:rPr>
          <w:rFonts w:hint="default" w:ascii="Arial" w:hAnsi="Arial" w:cs="Arial"/>
          <w:sz w:val="24"/>
          <w:szCs w:val="24"/>
          <w:lang w:val="en-GB"/>
        </w:rPr>
      </w:pPr>
      <w:r>
        <w:rPr>
          <w:rFonts w:hint="default" w:ascii="Arial" w:hAnsi="Arial" w:cs="Arial"/>
          <w:sz w:val="24"/>
          <w:szCs w:val="24"/>
          <w:lang w:val="en-GB"/>
        </w:rPr>
        <w:t>For each product family, Walton should produce a UK compliance dossier that includes technical files, labels, instructions, traceability records and conformity evidence. Before store contracts and significant marketing commitments are made, regulatory work must be completed. Walton should also conduct regular compliance reviews to ensure that products remain aligned with changes in UK legislation and safety standards. Particular attention should be given to energy efficiency, electrical safety, packaging information and responsible disposal requirements. Strong compliance systems can reduce product recalls, legal exposure and reputational damage while increasing retailer and consumer confidence (Department for Business and Trade, 2026). Walton should therefore treat regulatory compliance as an ongoing strategic activity rather than a one-off market-entry requirement.</w:t>
      </w:r>
    </w:p>
    <w:p w14:paraId="0D12C740">
      <w:pPr>
        <w:rPr>
          <w:rFonts w:hint="default" w:ascii="Arial" w:hAnsi="Arial" w:cs="Arial"/>
          <w:sz w:val="24"/>
          <w:szCs w:val="24"/>
          <w:lang w:val="en-GB"/>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6"/>
        <w:gridCol w:w="3216"/>
        <w:gridCol w:w="3216"/>
      </w:tblGrid>
      <w:tr w14:paraId="6AB0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3F3AAD7C">
            <w:pPr>
              <w:rPr>
                <w:rFonts w:hint="default" w:ascii="Arial" w:hAnsi="Arial" w:cs="Arial"/>
                <w:sz w:val="22"/>
                <w:szCs w:val="22"/>
              </w:rPr>
            </w:pPr>
            <w:r>
              <w:rPr>
                <w:rFonts w:hint="default" w:ascii="Arial" w:hAnsi="Arial" w:cs="Arial"/>
                <w:sz w:val="22"/>
                <w:szCs w:val="22"/>
              </w:rPr>
              <w:t>PESTEL factor</w:t>
            </w:r>
          </w:p>
        </w:tc>
        <w:tc>
          <w:tcPr>
            <w:tcW w:w="3216" w:type="dxa"/>
          </w:tcPr>
          <w:p w14:paraId="20F0FF16">
            <w:pPr>
              <w:rPr>
                <w:rFonts w:hint="default" w:ascii="Arial" w:hAnsi="Arial" w:cs="Arial"/>
                <w:sz w:val="22"/>
                <w:szCs w:val="22"/>
              </w:rPr>
            </w:pPr>
            <w:r>
              <w:rPr>
                <w:rFonts w:hint="default" w:ascii="Arial" w:hAnsi="Arial" w:cs="Arial"/>
                <w:sz w:val="22"/>
                <w:szCs w:val="22"/>
              </w:rPr>
              <w:t>Walton-specific issue</w:t>
            </w:r>
          </w:p>
        </w:tc>
        <w:tc>
          <w:tcPr>
            <w:tcW w:w="3216" w:type="dxa"/>
          </w:tcPr>
          <w:p w14:paraId="54BEC1B4">
            <w:pPr>
              <w:rPr>
                <w:rFonts w:hint="default" w:ascii="Arial" w:hAnsi="Arial" w:cs="Arial"/>
                <w:sz w:val="22"/>
                <w:szCs w:val="22"/>
              </w:rPr>
            </w:pPr>
            <w:r>
              <w:rPr>
                <w:rFonts w:hint="default" w:ascii="Arial" w:hAnsi="Arial" w:cs="Arial"/>
                <w:sz w:val="22"/>
                <w:szCs w:val="22"/>
              </w:rPr>
              <w:t>Strategic implication</w:t>
            </w:r>
          </w:p>
        </w:tc>
      </w:tr>
      <w:tr w14:paraId="7D72A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7D81236C">
            <w:pPr>
              <w:rPr>
                <w:rFonts w:hint="default" w:ascii="Arial" w:hAnsi="Arial" w:cs="Arial"/>
                <w:sz w:val="22"/>
                <w:szCs w:val="22"/>
              </w:rPr>
            </w:pPr>
            <w:r>
              <w:rPr>
                <w:rFonts w:hint="default" w:ascii="Arial" w:hAnsi="Arial" w:cs="Arial"/>
                <w:sz w:val="22"/>
                <w:szCs w:val="22"/>
              </w:rPr>
              <w:t>Technological</w:t>
            </w:r>
          </w:p>
        </w:tc>
        <w:tc>
          <w:tcPr>
            <w:tcW w:w="3216" w:type="dxa"/>
          </w:tcPr>
          <w:p w14:paraId="2AB333B5">
            <w:pPr>
              <w:rPr>
                <w:rFonts w:hint="default" w:ascii="Arial" w:hAnsi="Arial" w:cs="Arial"/>
                <w:sz w:val="22"/>
                <w:szCs w:val="22"/>
              </w:rPr>
            </w:pPr>
            <w:r>
              <w:rPr>
                <w:rFonts w:hint="default" w:ascii="Arial" w:hAnsi="Arial" w:cs="Arial"/>
                <w:sz w:val="22"/>
                <w:szCs w:val="22"/>
              </w:rPr>
              <w:t>Smart-home and e-commerce opportunity</w:t>
            </w:r>
          </w:p>
        </w:tc>
        <w:tc>
          <w:tcPr>
            <w:tcW w:w="3216" w:type="dxa"/>
          </w:tcPr>
          <w:p w14:paraId="7E386F5B">
            <w:pPr>
              <w:rPr>
                <w:rFonts w:hint="default" w:ascii="Arial" w:hAnsi="Arial" w:cs="Arial"/>
                <w:sz w:val="22"/>
                <w:szCs w:val="22"/>
              </w:rPr>
            </w:pPr>
            <w:r>
              <w:rPr>
                <w:rFonts w:hint="default" w:ascii="Arial" w:hAnsi="Arial" w:cs="Arial"/>
                <w:sz w:val="22"/>
                <w:szCs w:val="22"/>
              </w:rPr>
              <w:t>Use connected products with robust software support</w:t>
            </w:r>
          </w:p>
        </w:tc>
      </w:tr>
      <w:tr w14:paraId="4DBB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45CD6E26">
            <w:pPr>
              <w:rPr>
                <w:rFonts w:hint="default" w:ascii="Arial" w:hAnsi="Arial" w:cs="Arial"/>
                <w:sz w:val="22"/>
                <w:szCs w:val="22"/>
              </w:rPr>
            </w:pPr>
            <w:r>
              <w:rPr>
                <w:rFonts w:hint="default" w:ascii="Arial" w:hAnsi="Arial" w:cs="Arial"/>
                <w:sz w:val="22"/>
                <w:szCs w:val="22"/>
              </w:rPr>
              <w:t>Legal</w:t>
            </w:r>
          </w:p>
        </w:tc>
        <w:tc>
          <w:tcPr>
            <w:tcW w:w="3216" w:type="dxa"/>
          </w:tcPr>
          <w:p w14:paraId="18F4EA38">
            <w:pPr>
              <w:rPr>
                <w:rFonts w:hint="default" w:ascii="Arial" w:hAnsi="Arial" w:cs="Arial"/>
                <w:sz w:val="22"/>
                <w:szCs w:val="22"/>
              </w:rPr>
            </w:pPr>
            <w:r>
              <w:rPr>
                <w:rFonts w:hint="default" w:ascii="Arial" w:hAnsi="Arial" w:cs="Arial"/>
                <w:sz w:val="22"/>
                <w:szCs w:val="22"/>
              </w:rPr>
              <w:t>Safety, conformity and importer responsibilities</w:t>
            </w:r>
          </w:p>
        </w:tc>
        <w:tc>
          <w:tcPr>
            <w:tcW w:w="3216" w:type="dxa"/>
          </w:tcPr>
          <w:p w14:paraId="700C65F1">
            <w:pPr>
              <w:rPr>
                <w:rFonts w:hint="default" w:ascii="Arial" w:hAnsi="Arial" w:cs="Arial"/>
                <w:sz w:val="22"/>
                <w:szCs w:val="22"/>
              </w:rPr>
            </w:pPr>
            <w:r>
              <w:rPr>
                <w:rFonts w:hint="default" w:ascii="Arial" w:hAnsi="Arial" w:cs="Arial"/>
                <w:sz w:val="22"/>
                <w:szCs w:val="22"/>
              </w:rPr>
              <w:t>Dedicated UK compliance before launch</w:t>
            </w:r>
          </w:p>
        </w:tc>
      </w:tr>
    </w:tbl>
    <w:p w14:paraId="23EC88A5">
      <w:pPr>
        <w:pStyle w:val="4"/>
        <w:rPr>
          <w:rFonts w:hint="default" w:ascii="Arial" w:hAnsi="Arial" w:cs="Arial"/>
          <w:sz w:val="24"/>
          <w:szCs w:val="24"/>
        </w:rPr>
      </w:pPr>
    </w:p>
    <w:p w14:paraId="167FE6BD">
      <w:pPr>
        <w:pStyle w:val="4"/>
        <w:rPr>
          <w:rFonts w:hint="default" w:ascii="Arial" w:hAnsi="Arial" w:cs="Arial"/>
          <w:sz w:val="24"/>
          <w:szCs w:val="24"/>
        </w:rPr>
      </w:pPr>
      <w:r>
        <w:rPr>
          <w:rFonts w:hint="default" w:ascii="Arial" w:hAnsi="Arial" w:cs="Arial"/>
          <w:sz w:val="24"/>
          <w:szCs w:val="24"/>
        </w:rPr>
        <w:t>2.2 Market and Industry Attractiveness</w:t>
      </w:r>
    </w:p>
    <w:p w14:paraId="48D2F66B">
      <w:pPr>
        <w:rPr>
          <w:rFonts w:hint="default" w:ascii="Arial" w:hAnsi="Arial" w:cs="Arial"/>
        </w:rPr>
      </w:pPr>
      <w:r>
        <w:rPr>
          <w:rFonts w:hint="default" w:ascii="Arial" w:hAnsi="Arial" w:cs="Arial"/>
        </w:rPr>
        <w:t>The UK appliance and consumer electronics industry appeals to Walton because it combines cutting-edge retail and online channels with a sizable and reasonably established consumer base. Supermarkets, specialized stores, internet marketplaces, and direct brand websites are all areas where consumers can make purchases. Kotler, Keller, and Chernev (2022) claim that as online purchasing has grown, consumers now have more options and price transparency, while international businesses now have more means to contact customers. This allows Walton to evaluate online demand before to making a significant investment in real retail infrastructure.</w:t>
      </w:r>
    </w:p>
    <w:p w14:paraId="3D384B2F">
      <w:pPr>
        <w:rPr>
          <w:rFonts w:hint="default" w:ascii="Arial" w:hAnsi="Arial" w:cs="Arial"/>
        </w:rPr>
      </w:pPr>
      <w:r>
        <w:rPr>
          <w:rFonts w:hint="default" w:ascii="Arial" w:hAnsi="Arial" w:cs="Arial"/>
        </w:rPr>
        <w:t>According to Porter's (1980) Five Forces, the industry is marked by intense rivalry, relatively high buyer power, and moderate risks from replacements and new entrants. There is fierce competition since well-known global corporations compete in areas including technology, design, pricing, advertising, product innovation, and store relationships. Buyer power is especially significant because UK consumers can readily compare prices, features, energy ratings, and user reviews across online platforms.</w:t>
      </w:r>
    </w:p>
    <w:p w14:paraId="62ED56D8">
      <w:pPr>
        <w:rPr>
          <w:rFonts w:hint="default" w:ascii="Arial" w:hAnsi="Arial" w:cs="Arial"/>
        </w:rPr>
      </w:pPr>
      <w:r>
        <w:rPr>
          <w:rFonts w:hint="default" w:ascii="Arial" w:hAnsi="Arial" w:cs="Arial"/>
        </w:rPr>
        <w:t>Walton is under increased pressure to provide a unique value as a result.The risk of new rivals is moderate. Even while e-commerce reduces some obstacles to market entry, significant expenditure is still required in brand building, product conformance, distribution, warranties, customer service, and spare parts availability. The requirement that UK electrical and electronic equipment adhere to pertinent safety, environmental, and energy-related standards creates additional compliance requirements for international producers (Office for Product Safety and Standards, 2026). Although Walton's current manufacturing scale may provide some cost advantages, it will still need to build UK-specific service and distribution capabilities. rather than relying solely on low prices (Porter, 1980).</w:t>
      </w:r>
    </w:p>
    <w:p w14:paraId="37738B67">
      <w:pPr>
        <w:rPr>
          <w:rFonts w:hint="default" w:ascii="Arial" w:hAnsi="Arial" w:cs="Arial"/>
        </w:rPr>
      </w:pPr>
      <w:r>
        <w:rPr>
          <w:rFonts w:hint="default" w:ascii="Arial" w:hAnsi="Arial" w:cs="Arial"/>
        </w:rPr>
        <w:t>Suppliers have a moderate amount of power. Walton's substantial vertical production capabilities allow it to reduce its dependence on external suppliers. The company still depends on outside vendors for elements like electronics, compressors, shipping services, and shop displays. Global supply-chain interruptions may therefore affect prices and product availability (Christopher, 2016). To reduce this risk, Walton could employ supplier diversification, inventory planning, and long-term purchase agreements.</w:t>
      </w:r>
    </w:p>
    <w:p w14:paraId="6CB73F25">
      <w:pPr>
        <w:rPr>
          <w:rFonts w:hint="default" w:ascii="Arial" w:hAnsi="Arial" w:cs="Arial"/>
        </w:rPr>
      </w:pPr>
      <w:r>
        <w:rPr>
          <w:rFonts w:hint="default" w:ascii="Arial" w:hAnsi="Arial" w:cs="Arial"/>
        </w:rPr>
        <w:t>The threat provided by alternatives includes things like choosing used goods, delaying replacement, repairing existing equipment, and purchasing reconditioned items. These choices could become more alluring when household finances are limited. Walton should therefore demonstrate the products' long-term value thru warranties, energy efficiency, durability, and post-purchase support.</w:t>
      </w:r>
    </w:p>
    <w:p w14:paraId="4C0FB751">
      <w:pPr>
        <w:rPr>
          <w:rFonts w:hint="default" w:ascii="Arial" w:hAnsi="Arial" w:cs="Arial"/>
        </w:rPr>
      </w:pPr>
      <w:r>
        <w:rPr>
          <w:rFonts w:hint="default" w:ascii="Arial" w:hAnsi="Arial" w:cs="Arial"/>
        </w:rPr>
        <w:t>Walton would thus be in the best position to compete with low-cost generic products and high-end technology companies. A "smart-value challenger" role may combine competitive cost, energy efficiency, modern design, innovative features, longevity, and reliable warranty support. With this approach, Walton would be able to compete on value rather than merely being the cheapest brand. Porter (1985) argues that creating distinctive consumer value is more important for a long-term competitive advantage than competing only on price.</w:t>
      </w:r>
    </w:p>
    <w:p w14:paraId="0683D0FD">
      <w:pPr>
        <w:rPr>
          <w:rFonts w:hint="default" w:ascii="Arial" w:hAnsi="Arial" w:cs="Arial"/>
          <w:lang w:val="en-GB"/>
        </w:rPr>
      </w:pPr>
      <w:r>
        <w:rPr>
          <w:rFonts w:hint="default" w:ascii="Arial" w:hAnsi="Arial" w:cs="Arial"/>
          <w:lang w:val="en-GB"/>
        </w:rPr>
        <w:t>Energy efficiency is one highly effective area for differentiation. Due to customers' increased knowledge of household energy costs, purchasing efficient appliances is becoming increasingly crucial. Walton's technological solution can be strengthened while lowering lifetime ownership costs by the use of inverter technology, low-energy operating modes, and efficient compressors. Furthermore, UK energy-labelling requirements make efficiency data more visible to consumers, allowing businesses to demonstrate measurable performance differences (Department for Energy Security and Net Zero, 2026). Walton is able to combine engineering expertise, client savings, and regulatory requirements into a single value package.</w:t>
      </w:r>
    </w:p>
    <w:p w14:paraId="023DA5B2">
      <w:pPr>
        <w:rPr>
          <w:rFonts w:hint="default" w:ascii="Arial" w:hAnsi="Arial" w:cs="Arial"/>
          <w:lang w:val="en-GB"/>
        </w:rPr>
      </w:pPr>
      <w:r>
        <w:rPr>
          <w:rFonts w:hint="default" w:ascii="Arial" w:hAnsi="Arial" w:cs="Arial"/>
          <w:lang w:val="en-GB"/>
        </w:rPr>
        <w:t>Finally, in order to further set itself apart, Walton needs to develop trust and after-sales support. Because a new entrant may initially lack the brand awareness experienced by established competitors, extended warranties, readily available replacement parts, timely repair services, and open customer support may reduce perceived purchase risk. By honing these abilities, Walton would be able to change from being viewed as an obscure foreign manufacturer to a respectable, enduring UK appliance brand.</w:t>
      </w:r>
    </w:p>
    <w:p w14:paraId="3F31B37F">
      <w:pPr>
        <w:rPr>
          <w:rFonts w:hint="default" w:ascii="Arial" w:hAnsi="Arial" w:cs="Arial"/>
          <w:lang w:val="en-GB"/>
        </w:rPr>
      </w:pPr>
    </w:p>
    <w:p w14:paraId="23051809">
      <w:pPr>
        <w:pStyle w:val="4"/>
        <w:rPr>
          <w:rFonts w:hint="default" w:ascii="Arial" w:hAnsi="Arial" w:cs="Arial"/>
          <w:sz w:val="24"/>
          <w:szCs w:val="24"/>
        </w:rPr>
      </w:pPr>
      <w:r>
        <w:rPr>
          <w:rFonts w:hint="default" w:ascii="Arial" w:hAnsi="Arial" w:cs="Arial"/>
          <w:sz w:val="24"/>
          <w:szCs w:val="24"/>
        </w:rPr>
        <w:t>2.3 Dunning's OLI/ECLECTIC Paradigm</w:t>
      </w:r>
    </w:p>
    <w:p w14:paraId="1F8558BD">
      <w:pPr>
        <w:rPr>
          <w:rFonts w:hint="default" w:ascii="Arial" w:hAnsi="Arial" w:cs="Arial"/>
          <w:sz w:val="24"/>
          <w:szCs w:val="24"/>
        </w:rPr>
      </w:pPr>
    </w:p>
    <w:p w14:paraId="5B7655B7">
      <w:pPr>
        <w:rPr>
          <w:rFonts w:hint="default" w:ascii="Arial" w:hAnsi="Arial" w:cs="Arial"/>
          <w:sz w:val="22"/>
          <w:szCs w:val="22"/>
        </w:rPr>
      </w:pPr>
      <w:r>
        <w:rPr>
          <w:rFonts w:hint="default" w:ascii="Arial" w:hAnsi="Arial" w:cs="Arial"/>
          <w:sz w:val="22"/>
          <w:szCs w:val="22"/>
        </w:rPr>
        <w:t>Dunning's (1988; 2000) OLI paradigm uses advantages in ownership, location, and internalization to explain foreign investment. Walton's ownership advantages include manufacturing expertise, product diversity, R&amp;I, cost-focused production, and experience exporting to other countries. Particularly in refrigerators, air conditioners, televisions, and household appliances, they can be shipped to the UK.</w:t>
      </w:r>
    </w:p>
    <w:p w14:paraId="337FEA97">
      <w:pPr>
        <w:rPr>
          <w:rFonts w:hint="default" w:ascii="Arial" w:hAnsi="Arial" w:cs="Arial"/>
          <w:sz w:val="22"/>
          <w:szCs w:val="22"/>
        </w:rPr>
      </w:pPr>
      <w:r>
        <w:rPr>
          <w:rFonts w:hint="default" w:ascii="Arial" w:hAnsi="Arial" w:cs="Arial"/>
          <w:sz w:val="22"/>
          <w:szCs w:val="22"/>
        </w:rPr>
        <w:t>In terms of market size, purchasing power, sophisticated retail and logistics, digital infrastructure, and the chance to gain insight from consumers in developed markets, the UK offers location advantages. Although European expansion would necessitate independent country-level regulatory and commercial studies, a UK presence can also facilitate eventual European learning.</w:t>
      </w:r>
    </w:p>
    <w:p w14:paraId="72399CFF">
      <w:pPr>
        <w:rPr>
          <w:rFonts w:hint="default" w:ascii="Arial" w:hAnsi="Arial" w:cs="Arial"/>
          <w:sz w:val="22"/>
          <w:szCs w:val="22"/>
          <w:lang w:val="en-GB"/>
        </w:rPr>
      </w:pPr>
      <w:r>
        <w:rPr>
          <w:rFonts w:hint="default" w:ascii="Arial" w:hAnsi="Arial" w:cs="Arial"/>
          <w:sz w:val="22"/>
          <w:szCs w:val="22"/>
        </w:rPr>
        <w:t>Selective internalization is necessary. Core engineering, product quality, brand standards, and strategically significant data should all remain under Walton's control. For distribution, storage, installation, maintenance, and some regulatory assistance, it should first work with regional partners. This hybrid paradigm preserves Walton's key competencies while capturing local expertise.</w:t>
      </w:r>
      <w:r>
        <w:rPr>
          <w:rFonts w:hint="default" w:ascii="Arial" w:hAnsi="Arial" w:cs="Arial"/>
          <w:sz w:val="22"/>
          <w:szCs w:val="22"/>
          <w:lang w:val="en-GB"/>
        </w:rPr>
        <w:t xml:space="preserve"> </w:t>
      </w:r>
    </w:p>
    <w:p w14:paraId="1A3F4ED7">
      <w:pPr>
        <w:rPr>
          <w:rFonts w:hint="default" w:ascii="Arial" w:hAnsi="Arial" w:cs="Arial"/>
          <w:sz w:val="22"/>
          <w:szCs w:val="22"/>
          <w:lang w:val="en-GB"/>
        </w:rPr>
      </w:pPr>
      <w:r>
        <w:rPr>
          <w:rFonts w:hint="default" w:ascii="Arial" w:hAnsi="Arial" w:cs="Arial"/>
          <w:sz w:val="22"/>
          <w:szCs w:val="22"/>
          <w:lang w:val="en-GB"/>
        </w:rPr>
        <w:t>According to the OLI, Walton has enough location and ownership advantages to support its entry into the UK, but not enough UK-specific knowledge to support a large-scale manufacturing investment right away. Therefore, the optimum risk-adjusted path is a staged collaboration.</w:t>
      </w:r>
    </w:p>
    <w:p w14:paraId="31B806C4">
      <w:pPr>
        <w:rPr>
          <w:rFonts w:hint="default" w:ascii="Arial" w:hAnsi="Arial" w:cs="Arial"/>
          <w:sz w:val="22"/>
          <w:szCs w:val="22"/>
          <w:lang w:val="en-GB"/>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6"/>
        <w:gridCol w:w="3216"/>
        <w:gridCol w:w="3216"/>
      </w:tblGrid>
      <w:tr w14:paraId="74235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75F2A8C5">
            <w:pPr>
              <w:rPr>
                <w:rFonts w:hint="default" w:ascii="Arial" w:hAnsi="Arial" w:cs="Arial"/>
                <w:sz w:val="22"/>
                <w:szCs w:val="22"/>
              </w:rPr>
            </w:pPr>
            <w:r>
              <w:rPr>
                <w:rFonts w:hint="default" w:ascii="Arial" w:hAnsi="Arial" w:cs="Arial"/>
                <w:sz w:val="22"/>
                <w:szCs w:val="22"/>
              </w:rPr>
              <w:t>OLI element</w:t>
            </w:r>
          </w:p>
        </w:tc>
        <w:tc>
          <w:tcPr>
            <w:tcW w:w="3216" w:type="dxa"/>
          </w:tcPr>
          <w:p w14:paraId="70831E99">
            <w:pPr>
              <w:rPr>
                <w:rFonts w:hint="default" w:ascii="Arial" w:hAnsi="Arial" w:cs="Arial"/>
                <w:sz w:val="22"/>
                <w:szCs w:val="22"/>
              </w:rPr>
            </w:pPr>
            <w:r>
              <w:rPr>
                <w:rFonts w:hint="default" w:ascii="Arial" w:hAnsi="Arial" w:cs="Arial"/>
                <w:sz w:val="22"/>
                <w:szCs w:val="22"/>
              </w:rPr>
              <w:t>Assessment</w:t>
            </w:r>
          </w:p>
        </w:tc>
        <w:tc>
          <w:tcPr>
            <w:tcW w:w="3216" w:type="dxa"/>
          </w:tcPr>
          <w:p w14:paraId="31A5D893">
            <w:pPr>
              <w:rPr>
                <w:rFonts w:hint="default" w:ascii="Arial" w:hAnsi="Arial" w:cs="Arial"/>
                <w:sz w:val="22"/>
                <w:szCs w:val="22"/>
              </w:rPr>
            </w:pPr>
            <w:r>
              <w:rPr>
                <w:rFonts w:hint="default" w:ascii="Arial" w:hAnsi="Arial" w:cs="Arial"/>
                <w:sz w:val="22"/>
                <w:szCs w:val="22"/>
              </w:rPr>
              <w:t>Decision</w:t>
            </w:r>
          </w:p>
        </w:tc>
      </w:tr>
      <w:tr w14:paraId="30E0C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4DEB36ED">
            <w:pPr>
              <w:rPr>
                <w:rFonts w:hint="default" w:ascii="Arial" w:hAnsi="Arial" w:cs="Arial"/>
                <w:sz w:val="22"/>
                <w:szCs w:val="22"/>
              </w:rPr>
            </w:pPr>
            <w:r>
              <w:rPr>
                <w:rFonts w:hint="default" w:ascii="Arial" w:hAnsi="Arial" w:cs="Arial"/>
                <w:sz w:val="22"/>
                <w:szCs w:val="22"/>
              </w:rPr>
              <w:t>Ownership</w:t>
            </w:r>
          </w:p>
        </w:tc>
        <w:tc>
          <w:tcPr>
            <w:tcW w:w="3216" w:type="dxa"/>
          </w:tcPr>
          <w:p w14:paraId="461E55C7">
            <w:pPr>
              <w:rPr>
                <w:rFonts w:hint="default" w:ascii="Arial" w:hAnsi="Arial" w:cs="Arial"/>
                <w:sz w:val="22"/>
                <w:szCs w:val="22"/>
              </w:rPr>
            </w:pPr>
            <w:r>
              <w:rPr>
                <w:rFonts w:hint="default" w:ascii="Arial" w:hAnsi="Arial" w:cs="Arial"/>
                <w:sz w:val="22"/>
                <w:szCs w:val="22"/>
              </w:rPr>
              <w:t>Manufacturing, R&amp;I, broad products, international experience</w:t>
            </w:r>
          </w:p>
        </w:tc>
        <w:tc>
          <w:tcPr>
            <w:tcW w:w="3216" w:type="dxa"/>
          </w:tcPr>
          <w:p w14:paraId="682ADF5A">
            <w:pPr>
              <w:rPr>
                <w:rFonts w:hint="default" w:ascii="Arial" w:hAnsi="Arial" w:cs="Arial"/>
                <w:sz w:val="22"/>
                <w:szCs w:val="22"/>
              </w:rPr>
            </w:pPr>
            <w:r>
              <w:rPr>
                <w:rFonts w:hint="default" w:ascii="Arial" w:hAnsi="Arial" w:cs="Arial"/>
                <w:sz w:val="22"/>
                <w:szCs w:val="22"/>
              </w:rPr>
              <w:t>Exploit core strengths; build brand/service</w:t>
            </w:r>
          </w:p>
        </w:tc>
      </w:tr>
      <w:tr w14:paraId="616E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05AAB138">
            <w:pPr>
              <w:rPr>
                <w:rFonts w:hint="default" w:ascii="Arial" w:hAnsi="Arial" w:cs="Arial"/>
                <w:sz w:val="22"/>
                <w:szCs w:val="22"/>
              </w:rPr>
            </w:pPr>
            <w:r>
              <w:rPr>
                <w:rFonts w:hint="default" w:ascii="Arial" w:hAnsi="Arial" w:cs="Arial"/>
                <w:sz w:val="22"/>
                <w:szCs w:val="22"/>
              </w:rPr>
              <w:t>Location</w:t>
            </w:r>
          </w:p>
        </w:tc>
        <w:tc>
          <w:tcPr>
            <w:tcW w:w="3216" w:type="dxa"/>
          </w:tcPr>
          <w:p w14:paraId="65F34A6B">
            <w:pPr>
              <w:rPr>
                <w:rFonts w:hint="default" w:ascii="Arial" w:hAnsi="Arial" w:cs="Arial"/>
                <w:sz w:val="22"/>
                <w:szCs w:val="22"/>
              </w:rPr>
            </w:pPr>
            <w:r>
              <w:rPr>
                <w:rFonts w:hint="default" w:ascii="Arial" w:hAnsi="Arial" w:cs="Arial"/>
                <w:sz w:val="22"/>
                <w:szCs w:val="22"/>
              </w:rPr>
              <w:t>Large developed market, retail/e-commerce infrastructure</w:t>
            </w:r>
          </w:p>
        </w:tc>
        <w:tc>
          <w:tcPr>
            <w:tcW w:w="3216" w:type="dxa"/>
          </w:tcPr>
          <w:p w14:paraId="75F5FAA8">
            <w:pPr>
              <w:rPr>
                <w:rFonts w:hint="default" w:ascii="Arial" w:hAnsi="Arial" w:cs="Arial"/>
                <w:sz w:val="22"/>
                <w:szCs w:val="22"/>
              </w:rPr>
            </w:pPr>
            <w:r>
              <w:rPr>
                <w:rFonts w:hint="default" w:ascii="Arial" w:hAnsi="Arial" w:cs="Arial"/>
                <w:sz w:val="22"/>
                <w:szCs w:val="22"/>
              </w:rPr>
              <w:t>Enter selectively through Great Britain</w:t>
            </w:r>
          </w:p>
        </w:tc>
      </w:tr>
      <w:tr w14:paraId="43D80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6" w:type="dxa"/>
          </w:tcPr>
          <w:p w14:paraId="634ACFCB">
            <w:pPr>
              <w:rPr>
                <w:rFonts w:hint="default" w:ascii="Arial" w:hAnsi="Arial" w:cs="Arial"/>
                <w:sz w:val="22"/>
                <w:szCs w:val="22"/>
              </w:rPr>
            </w:pPr>
            <w:r>
              <w:rPr>
                <w:rFonts w:hint="default" w:ascii="Arial" w:hAnsi="Arial" w:cs="Arial"/>
                <w:sz w:val="22"/>
                <w:szCs w:val="22"/>
              </w:rPr>
              <w:t>Internalisation</w:t>
            </w:r>
          </w:p>
        </w:tc>
        <w:tc>
          <w:tcPr>
            <w:tcW w:w="3216" w:type="dxa"/>
          </w:tcPr>
          <w:p w14:paraId="504F784A">
            <w:pPr>
              <w:rPr>
                <w:rFonts w:hint="default" w:ascii="Arial" w:hAnsi="Arial" w:cs="Arial"/>
                <w:sz w:val="22"/>
                <w:szCs w:val="22"/>
              </w:rPr>
            </w:pPr>
            <w:r>
              <w:rPr>
                <w:rFonts w:hint="default" w:ascii="Arial" w:hAnsi="Arial" w:cs="Arial"/>
                <w:sz w:val="22"/>
                <w:szCs w:val="22"/>
              </w:rPr>
              <w:t>Core technology needs control; local execution needs expertise</w:t>
            </w:r>
          </w:p>
        </w:tc>
        <w:tc>
          <w:tcPr>
            <w:tcW w:w="3216" w:type="dxa"/>
          </w:tcPr>
          <w:p w14:paraId="2C951786">
            <w:pPr>
              <w:rPr>
                <w:rFonts w:hint="default" w:ascii="Arial" w:hAnsi="Arial" w:cs="Arial"/>
                <w:sz w:val="22"/>
                <w:szCs w:val="22"/>
              </w:rPr>
            </w:pPr>
            <w:r>
              <w:rPr>
                <w:rFonts w:hint="default" w:ascii="Arial" w:hAnsi="Arial" w:cs="Arial"/>
                <w:sz w:val="22"/>
                <w:szCs w:val="22"/>
              </w:rPr>
              <w:t>UK organisation plus strategic partners</w:t>
            </w:r>
          </w:p>
        </w:tc>
      </w:tr>
    </w:tbl>
    <w:p w14:paraId="00CA883C">
      <w:pPr>
        <w:pStyle w:val="3"/>
        <w:rPr>
          <w:rFonts w:hint="default" w:ascii="Arial" w:hAnsi="Arial" w:cs="Arial"/>
          <w:sz w:val="22"/>
          <w:szCs w:val="22"/>
        </w:rPr>
      </w:pPr>
    </w:p>
    <w:p w14:paraId="782C90BC">
      <w:pPr>
        <w:pStyle w:val="3"/>
        <w:rPr>
          <w:rFonts w:hint="default" w:ascii="Arial" w:hAnsi="Arial" w:cs="Arial"/>
          <w:sz w:val="28"/>
          <w:szCs w:val="28"/>
        </w:rPr>
      </w:pPr>
      <w:r>
        <w:rPr>
          <w:rFonts w:hint="default" w:ascii="Arial" w:hAnsi="Arial" w:cs="Arial"/>
          <w:sz w:val="28"/>
          <w:szCs w:val="28"/>
        </w:rPr>
        <w:t>3. Entry Mode Strategy and Strategic Synthesis</w:t>
      </w:r>
    </w:p>
    <w:p w14:paraId="56015E53">
      <w:pPr>
        <w:pStyle w:val="4"/>
        <w:rPr>
          <w:rFonts w:hint="default" w:ascii="Arial" w:hAnsi="Arial" w:cs="Arial"/>
          <w:sz w:val="24"/>
          <w:szCs w:val="24"/>
        </w:rPr>
      </w:pPr>
      <w:r>
        <w:rPr>
          <w:rFonts w:hint="default" w:ascii="Arial" w:hAnsi="Arial" w:cs="Arial"/>
          <w:sz w:val="24"/>
          <w:szCs w:val="24"/>
        </w:rPr>
        <w:t>3.1 Historical Pattern Recognition</w:t>
      </w:r>
    </w:p>
    <w:p w14:paraId="571E67F3">
      <w:pPr>
        <w:rPr>
          <w:rFonts w:hint="default" w:ascii="Arial" w:hAnsi="Arial" w:cs="Arial"/>
          <w:sz w:val="24"/>
          <w:szCs w:val="24"/>
        </w:rPr>
      </w:pPr>
      <w:r>
        <w:rPr>
          <w:rFonts w:hint="default" w:ascii="Arial" w:hAnsi="Arial" w:cs="Arial"/>
          <w:sz w:val="24"/>
          <w:szCs w:val="24"/>
        </w:rPr>
        <w:t>Historically, Walton's globalization has been largely dependent on wholesalers and exporting. International distributors and exports from various locations are described in its corporate information (Walton Hi-Tech Industries PLC, 2026b; 2026d). This asset-light strategy makes sense since it enables Walton to take advantage of its production base in Bangladesh while discovering demand outside.</w:t>
      </w:r>
    </w:p>
    <w:p w14:paraId="7AFC71ED">
      <w:pPr>
        <w:rPr>
          <w:rFonts w:hint="default" w:ascii="Arial" w:hAnsi="Arial" w:cs="Arial"/>
          <w:sz w:val="24"/>
          <w:szCs w:val="24"/>
        </w:rPr>
      </w:pPr>
      <w:r>
        <w:rPr>
          <w:rFonts w:hint="default" w:ascii="Arial" w:hAnsi="Arial" w:cs="Arial"/>
          <w:sz w:val="24"/>
          <w:szCs w:val="24"/>
        </w:rPr>
        <w:t>However, exporting alone is not enough for the UK. Customers anticipate local help for warranties, repairs, refunds, and spare parts. Thus, Walton should transition from "exporting to the UK" to "building a UK market organization."</w:t>
      </w:r>
    </w:p>
    <w:p w14:paraId="01D08AF2">
      <w:pPr>
        <w:rPr>
          <w:rFonts w:hint="default" w:ascii="Arial" w:hAnsi="Arial" w:cs="Arial"/>
          <w:sz w:val="24"/>
          <w:szCs w:val="24"/>
        </w:rPr>
      </w:pPr>
    </w:p>
    <w:p w14:paraId="1BF81D1E">
      <w:pPr>
        <w:pStyle w:val="4"/>
        <w:rPr>
          <w:rFonts w:hint="default" w:ascii="Arial" w:hAnsi="Arial" w:cs="Arial"/>
          <w:sz w:val="24"/>
          <w:szCs w:val="24"/>
        </w:rPr>
      </w:pPr>
      <w:r>
        <w:rPr>
          <w:rFonts w:hint="default" w:ascii="Arial" w:hAnsi="Arial" w:cs="Arial"/>
          <w:sz w:val="24"/>
          <w:szCs w:val="24"/>
        </w:rPr>
        <w:t>3.2 Entry Mode Options</w:t>
      </w:r>
    </w:p>
    <w:p w14:paraId="3A9E2F6B">
      <w:pPr>
        <w:rPr>
          <w:rFonts w:hint="default" w:ascii="Arial" w:hAnsi="Arial" w:cs="Arial"/>
          <w:sz w:val="24"/>
          <w:szCs w:val="24"/>
        </w:rPr>
      </w:pPr>
      <w:r>
        <w:rPr>
          <w:rFonts w:hint="default" w:ascii="Arial" w:hAnsi="Arial" w:cs="Arial"/>
          <w:sz w:val="24"/>
          <w:szCs w:val="24"/>
        </w:rPr>
        <w:t>Direct exporting is suitable for initial market testing through online channels and specialist distributors because it requires relatively low capital investment, although Walton would have limited control over customer service and the overall customer experience (Hill and Hult, 2023). Licensing could reduce investment costs but may create risks concerning product quality, brand reputation and intellectual-property control, making it less appropriate for Walton's technology-based branded products (Keegan and Green, 2020). A wholly owned UK subsidiary would provide greater control over branding, pricing, customer data and after-sales service, but would create higher fixed costs before demand is proven (Hill and Hult, 2023). A strategic alliance or joint venture offers a stronger balance by combining Walton's manufacturing and technological capabilities with a UK partner's retail access, logistics, technical expertise and market knowledge. Agreements should clearly establish brand standards, data ownership, service levels and exit provisions (Cavusgil et al., 2020). Acquisition could accelerate market access but should only be considered after sufficient UK demand has been demonstrated because of its high financial and integration risks.</w:t>
      </w:r>
    </w:p>
    <w:p w14:paraId="7C3A3B00">
      <w:pPr>
        <w:rPr>
          <w:rFonts w:hint="default" w:ascii="Arial" w:hAnsi="Arial" w:cs="Arial"/>
          <w:sz w:val="24"/>
          <w:szCs w:val="24"/>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0"/>
        <w:gridCol w:w="1930"/>
        <w:gridCol w:w="1930"/>
        <w:gridCol w:w="1930"/>
        <w:gridCol w:w="1930"/>
      </w:tblGrid>
      <w:tr w14:paraId="11B44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30" w:type="dxa"/>
          </w:tcPr>
          <w:p w14:paraId="01311EA4">
            <w:pPr>
              <w:rPr>
                <w:rFonts w:hint="default" w:ascii="Arial" w:hAnsi="Arial" w:cs="Arial"/>
                <w:sz w:val="22"/>
                <w:szCs w:val="22"/>
              </w:rPr>
            </w:pPr>
            <w:r>
              <w:rPr>
                <w:rFonts w:hint="default" w:ascii="Arial" w:hAnsi="Arial" w:cs="Arial"/>
                <w:sz w:val="22"/>
                <w:szCs w:val="22"/>
              </w:rPr>
              <w:t>Entry mode</w:t>
            </w:r>
          </w:p>
        </w:tc>
        <w:tc>
          <w:tcPr>
            <w:tcW w:w="1930" w:type="dxa"/>
          </w:tcPr>
          <w:p w14:paraId="64B8E75B">
            <w:pPr>
              <w:rPr>
                <w:rFonts w:hint="default" w:ascii="Arial" w:hAnsi="Arial" w:cs="Arial"/>
                <w:sz w:val="22"/>
                <w:szCs w:val="22"/>
              </w:rPr>
            </w:pPr>
            <w:r>
              <w:rPr>
                <w:rFonts w:hint="default" w:ascii="Arial" w:hAnsi="Arial" w:cs="Arial"/>
                <w:sz w:val="22"/>
                <w:szCs w:val="22"/>
              </w:rPr>
              <w:t>Investment</w:t>
            </w:r>
          </w:p>
        </w:tc>
        <w:tc>
          <w:tcPr>
            <w:tcW w:w="1930" w:type="dxa"/>
          </w:tcPr>
          <w:p w14:paraId="03249D37">
            <w:pPr>
              <w:rPr>
                <w:rFonts w:hint="default" w:ascii="Arial" w:hAnsi="Arial" w:cs="Arial"/>
                <w:sz w:val="22"/>
                <w:szCs w:val="22"/>
              </w:rPr>
            </w:pPr>
            <w:r>
              <w:rPr>
                <w:rFonts w:hint="default" w:ascii="Arial" w:hAnsi="Arial" w:cs="Arial"/>
                <w:sz w:val="22"/>
                <w:szCs w:val="22"/>
              </w:rPr>
              <w:t>Control</w:t>
            </w:r>
          </w:p>
        </w:tc>
        <w:tc>
          <w:tcPr>
            <w:tcW w:w="1930" w:type="dxa"/>
          </w:tcPr>
          <w:p w14:paraId="441D2486">
            <w:pPr>
              <w:rPr>
                <w:rFonts w:hint="default" w:ascii="Arial" w:hAnsi="Arial" w:cs="Arial"/>
                <w:sz w:val="22"/>
                <w:szCs w:val="22"/>
              </w:rPr>
            </w:pPr>
            <w:r>
              <w:rPr>
                <w:rFonts w:hint="default" w:ascii="Arial" w:hAnsi="Arial" w:cs="Arial"/>
                <w:sz w:val="22"/>
                <w:szCs w:val="22"/>
              </w:rPr>
              <w:t>Risk</w:t>
            </w:r>
          </w:p>
        </w:tc>
        <w:tc>
          <w:tcPr>
            <w:tcW w:w="1930" w:type="dxa"/>
          </w:tcPr>
          <w:p w14:paraId="7A76C98A">
            <w:pPr>
              <w:rPr>
                <w:rFonts w:hint="default" w:ascii="Arial" w:hAnsi="Arial" w:cs="Arial"/>
                <w:sz w:val="22"/>
                <w:szCs w:val="22"/>
              </w:rPr>
            </w:pPr>
            <w:r>
              <w:rPr>
                <w:rFonts w:hint="default" w:ascii="Arial" w:hAnsi="Arial" w:cs="Arial"/>
                <w:sz w:val="22"/>
                <w:szCs w:val="22"/>
              </w:rPr>
              <w:t>Assessment</w:t>
            </w:r>
          </w:p>
        </w:tc>
      </w:tr>
      <w:tr w14:paraId="77C5E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30" w:type="dxa"/>
          </w:tcPr>
          <w:p w14:paraId="07AF9DB7">
            <w:pPr>
              <w:rPr>
                <w:rFonts w:hint="default" w:ascii="Arial" w:hAnsi="Arial" w:cs="Arial"/>
                <w:sz w:val="22"/>
                <w:szCs w:val="22"/>
              </w:rPr>
            </w:pPr>
            <w:r>
              <w:rPr>
                <w:rFonts w:hint="default" w:ascii="Arial" w:hAnsi="Arial" w:cs="Arial"/>
                <w:sz w:val="22"/>
                <w:szCs w:val="22"/>
              </w:rPr>
              <w:t>Direct exporting</w:t>
            </w:r>
          </w:p>
        </w:tc>
        <w:tc>
          <w:tcPr>
            <w:tcW w:w="1930" w:type="dxa"/>
          </w:tcPr>
          <w:p w14:paraId="259AB5C4">
            <w:pPr>
              <w:rPr>
                <w:rFonts w:hint="default" w:ascii="Arial" w:hAnsi="Arial" w:cs="Arial"/>
                <w:sz w:val="22"/>
                <w:szCs w:val="22"/>
              </w:rPr>
            </w:pPr>
            <w:r>
              <w:rPr>
                <w:rFonts w:hint="default" w:ascii="Arial" w:hAnsi="Arial" w:cs="Arial"/>
                <w:sz w:val="22"/>
                <w:szCs w:val="22"/>
              </w:rPr>
              <w:t>Low</w:t>
            </w:r>
          </w:p>
        </w:tc>
        <w:tc>
          <w:tcPr>
            <w:tcW w:w="1930" w:type="dxa"/>
          </w:tcPr>
          <w:p w14:paraId="37B97DE6">
            <w:pPr>
              <w:rPr>
                <w:rFonts w:hint="default" w:ascii="Arial" w:hAnsi="Arial" w:cs="Arial"/>
                <w:sz w:val="22"/>
                <w:szCs w:val="22"/>
              </w:rPr>
            </w:pPr>
            <w:r>
              <w:rPr>
                <w:rFonts w:hint="default" w:ascii="Arial" w:hAnsi="Arial" w:cs="Arial"/>
                <w:sz w:val="22"/>
                <w:szCs w:val="22"/>
              </w:rPr>
              <w:t>Low-medium</w:t>
            </w:r>
          </w:p>
        </w:tc>
        <w:tc>
          <w:tcPr>
            <w:tcW w:w="1930" w:type="dxa"/>
          </w:tcPr>
          <w:p w14:paraId="7368E1FD">
            <w:pPr>
              <w:rPr>
                <w:rFonts w:hint="default" w:ascii="Arial" w:hAnsi="Arial" w:cs="Arial"/>
                <w:sz w:val="22"/>
                <w:szCs w:val="22"/>
              </w:rPr>
            </w:pPr>
            <w:r>
              <w:rPr>
                <w:rFonts w:hint="default" w:ascii="Arial" w:hAnsi="Arial" w:cs="Arial"/>
                <w:sz w:val="22"/>
                <w:szCs w:val="22"/>
              </w:rPr>
              <w:t>Medium</w:t>
            </w:r>
          </w:p>
        </w:tc>
        <w:tc>
          <w:tcPr>
            <w:tcW w:w="1930" w:type="dxa"/>
          </w:tcPr>
          <w:p w14:paraId="6221D8BA">
            <w:pPr>
              <w:rPr>
                <w:rFonts w:hint="default" w:ascii="Arial" w:hAnsi="Arial" w:cs="Arial"/>
                <w:sz w:val="22"/>
                <w:szCs w:val="22"/>
              </w:rPr>
            </w:pPr>
            <w:r>
              <w:rPr>
                <w:rFonts w:hint="default" w:ascii="Arial" w:hAnsi="Arial" w:cs="Arial"/>
                <w:sz w:val="22"/>
                <w:szCs w:val="22"/>
              </w:rPr>
              <w:t>Useful pilot</w:t>
            </w:r>
          </w:p>
        </w:tc>
      </w:tr>
      <w:tr w14:paraId="60056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30" w:type="dxa"/>
          </w:tcPr>
          <w:p w14:paraId="2ED70639">
            <w:pPr>
              <w:rPr>
                <w:rFonts w:hint="default" w:ascii="Arial" w:hAnsi="Arial" w:cs="Arial"/>
                <w:sz w:val="22"/>
                <w:szCs w:val="22"/>
              </w:rPr>
            </w:pPr>
            <w:r>
              <w:rPr>
                <w:rFonts w:hint="default" w:ascii="Arial" w:hAnsi="Arial" w:cs="Arial"/>
                <w:sz w:val="22"/>
                <w:szCs w:val="22"/>
              </w:rPr>
              <w:t>Licensing</w:t>
            </w:r>
          </w:p>
        </w:tc>
        <w:tc>
          <w:tcPr>
            <w:tcW w:w="1930" w:type="dxa"/>
          </w:tcPr>
          <w:p w14:paraId="0BE1E27C">
            <w:pPr>
              <w:rPr>
                <w:rFonts w:hint="default" w:ascii="Arial" w:hAnsi="Arial" w:cs="Arial"/>
                <w:sz w:val="22"/>
                <w:szCs w:val="22"/>
              </w:rPr>
            </w:pPr>
            <w:r>
              <w:rPr>
                <w:rFonts w:hint="default" w:ascii="Arial" w:hAnsi="Arial" w:cs="Arial"/>
                <w:sz w:val="22"/>
                <w:szCs w:val="22"/>
              </w:rPr>
              <w:t>Low</w:t>
            </w:r>
          </w:p>
        </w:tc>
        <w:tc>
          <w:tcPr>
            <w:tcW w:w="1930" w:type="dxa"/>
          </w:tcPr>
          <w:p w14:paraId="3B7ABF9B">
            <w:pPr>
              <w:rPr>
                <w:rFonts w:hint="default" w:ascii="Arial" w:hAnsi="Arial" w:cs="Arial"/>
                <w:sz w:val="22"/>
                <w:szCs w:val="22"/>
              </w:rPr>
            </w:pPr>
            <w:r>
              <w:rPr>
                <w:rFonts w:hint="default" w:ascii="Arial" w:hAnsi="Arial" w:cs="Arial"/>
                <w:sz w:val="22"/>
                <w:szCs w:val="22"/>
              </w:rPr>
              <w:t>Low</w:t>
            </w:r>
          </w:p>
        </w:tc>
        <w:tc>
          <w:tcPr>
            <w:tcW w:w="1930" w:type="dxa"/>
          </w:tcPr>
          <w:p w14:paraId="01B90986">
            <w:pPr>
              <w:rPr>
                <w:rFonts w:hint="default" w:ascii="Arial" w:hAnsi="Arial" w:cs="Arial"/>
                <w:sz w:val="22"/>
                <w:szCs w:val="22"/>
              </w:rPr>
            </w:pPr>
            <w:r>
              <w:rPr>
                <w:rFonts w:hint="default" w:ascii="Arial" w:hAnsi="Arial" w:cs="Arial"/>
                <w:sz w:val="22"/>
                <w:szCs w:val="22"/>
              </w:rPr>
              <w:t>High brand risk</w:t>
            </w:r>
          </w:p>
        </w:tc>
        <w:tc>
          <w:tcPr>
            <w:tcW w:w="1930" w:type="dxa"/>
          </w:tcPr>
          <w:p w14:paraId="4A1519C2">
            <w:pPr>
              <w:rPr>
                <w:rFonts w:hint="default" w:ascii="Arial" w:hAnsi="Arial" w:cs="Arial"/>
                <w:sz w:val="22"/>
                <w:szCs w:val="22"/>
              </w:rPr>
            </w:pPr>
            <w:r>
              <w:rPr>
                <w:rFonts w:hint="default" w:ascii="Arial" w:hAnsi="Arial" w:cs="Arial"/>
                <w:sz w:val="22"/>
                <w:szCs w:val="22"/>
              </w:rPr>
              <w:t>Not recommended</w:t>
            </w:r>
          </w:p>
        </w:tc>
      </w:tr>
      <w:tr w14:paraId="788DF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30" w:type="dxa"/>
          </w:tcPr>
          <w:p w14:paraId="123A4A5E">
            <w:pPr>
              <w:rPr>
                <w:rFonts w:hint="default" w:ascii="Arial" w:hAnsi="Arial" w:cs="Arial"/>
                <w:sz w:val="22"/>
                <w:szCs w:val="22"/>
              </w:rPr>
            </w:pPr>
            <w:r>
              <w:rPr>
                <w:rFonts w:hint="default" w:ascii="Arial" w:hAnsi="Arial" w:cs="Arial"/>
                <w:sz w:val="22"/>
                <w:szCs w:val="22"/>
              </w:rPr>
              <w:t>Strategic alliance/JV</w:t>
            </w:r>
          </w:p>
        </w:tc>
        <w:tc>
          <w:tcPr>
            <w:tcW w:w="1930" w:type="dxa"/>
          </w:tcPr>
          <w:p w14:paraId="5B0D4294">
            <w:pPr>
              <w:rPr>
                <w:rFonts w:hint="default" w:ascii="Arial" w:hAnsi="Arial" w:cs="Arial"/>
                <w:sz w:val="22"/>
                <w:szCs w:val="22"/>
              </w:rPr>
            </w:pPr>
            <w:r>
              <w:rPr>
                <w:rFonts w:hint="default" w:ascii="Arial" w:hAnsi="Arial" w:cs="Arial"/>
                <w:sz w:val="22"/>
                <w:szCs w:val="22"/>
              </w:rPr>
              <w:t>Medium</w:t>
            </w:r>
          </w:p>
        </w:tc>
        <w:tc>
          <w:tcPr>
            <w:tcW w:w="1930" w:type="dxa"/>
          </w:tcPr>
          <w:p w14:paraId="59D70FC2">
            <w:pPr>
              <w:rPr>
                <w:rFonts w:hint="default" w:ascii="Arial" w:hAnsi="Arial" w:cs="Arial"/>
                <w:sz w:val="22"/>
                <w:szCs w:val="22"/>
              </w:rPr>
            </w:pPr>
            <w:r>
              <w:rPr>
                <w:rFonts w:hint="default" w:ascii="Arial" w:hAnsi="Arial" w:cs="Arial"/>
                <w:sz w:val="22"/>
                <w:szCs w:val="22"/>
              </w:rPr>
              <w:t>Medium-high</w:t>
            </w:r>
          </w:p>
        </w:tc>
        <w:tc>
          <w:tcPr>
            <w:tcW w:w="1930" w:type="dxa"/>
          </w:tcPr>
          <w:p w14:paraId="2B8343B2">
            <w:pPr>
              <w:rPr>
                <w:rFonts w:hint="default" w:ascii="Arial" w:hAnsi="Arial" w:cs="Arial"/>
                <w:sz w:val="22"/>
                <w:szCs w:val="22"/>
              </w:rPr>
            </w:pPr>
            <w:r>
              <w:rPr>
                <w:rFonts w:hint="default" w:ascii="Arial" w:hAnsi="Arial" w:cs="Arial"/>
                <w:sz w:val="22"/>
                <w:szCs w:val="22"/>
              </w:rPr>
              <w:t>Medium</w:t>
            </w:r>
          </w:p>
        </w:tc>
        <w:tc>
          <w:tcPr>
            <w:tcW w:w="1930" w:type="dxa"/>
          </w:tcPr>
          <w:p w14:paraId="0AE978B0">
            <w:pPr>
              <w:rPr>
                <w:rFonts w:hint="default" w:ascii="Arial" w:hAnsi="Arial" w:cs="Arial"/>
                <w:sz w:val="22"/>
                <w:szCs w:val="22"/>
              </w:rPr>
            </w:pPr>
            <w:r>
              <w:rPr>
                <w:rFonts w:hint="default" w:ascii="Arial" w:hAnsi="Arial" w:cs="Arial"/>
                <w:sz w:val="22"/>
                <w:szCs w:val="22"/>
              </w:rPr>
              <w:t>Recommended</w:t>
            </w:r>
          </w:p>
        </w:tc>
      </w:tr>
      <w:tr w14:paraId="13572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30" w:type="dxa"/>
          </w:tcPr>
          <w:p w14:paraId="703E8414">
            <w:pPr>
              <w:rPr>
                <w:rFonts w:hint="default" w:ascii="Arial" w:hAnsi="Arial" w:cs="Arial"/>
                <w:sz w:val="22"/>
                <w:szCs w:val="22"/>
              </w:rPr>
            </w:pPr>
            <w:r>
              <w:rPr>
                <w:rFonts w:hint="default" w:ascii="Arial" w:hAnsi="Arial" w:cs="Arial"/>
                <w:sz w:val="22"/>
                <w:szCs w:val="22"/>
              </w:rPr>
              <w:t>Wholly owned UK sales subsidiary</w:t>
            </w:r>
          </w:p>
        </w:tc>
        <w:tc>
          <w:tcPr>
            <w:tcW w:w="1930" w:type="dxa"/>
          </w:tcPr>
          <w:p w14:paraId="4B50D954">
            <w:pPr>
              <w:rPr>
                <w:rFonts w:hint="default" w:ascii="Arial" w:hAnsi="Arial" w:cs="Arial"/>
                <w:sz w:val="22"/>
                <w:szCs w:val="22"/>
              </w:rPr>
            </w:pPr>
            <w:r>
              <w:rPr>
                <w:rFonts w:hint="default" w:ascii="Arial" w:hAnsi="Arial" w:cs="Arial"/>
                <w:sz w:val="22"/>
                <w:szCs w:val="22"/>
              </w:rPr>
              <w:t>Medium-high</w:t>
            </w:r>
          </w:p>
        </w:tc>
        <w:tc>
          <w:tcPr>
            <w:tcW w:w="1930" w:type="dxa"/>
          </w:tcPr>
          <w:p w14:paraId="77D48EFE">
            <w:pPr>
              <w:rPr>
                <w:rFonts w:hint="default" w:ascii="Arial" w:hAnsi="Arial" w:cs="Arial"/>
                <w:sz w:val="22"/>
                <w:szCs w:val="22"/>
              </w:rPr>
            </w:pPr>
            <w:r>
              <w:rPr>
                <w:rFonts w:hint="default" w:ascii="Arial" w:hAnsi="Arial" w:cs="Arial"/>
                <w:sz w:val="22"/>
                <w:szCs w:val="22"/>
              </w:rPr>
              <w:t>High</w:t>
            </w:r>
          </w:p>
        </w:tc>
        <w:tc>
          <w:tcPr>
            <w:tcW w:w="1930" w:type="dxa"/>
          </w:tcPr>
          <w:p w14:paraId="27276283">
            <w:pPr>
              <w:rPr>
                <w:rFonts w:hint="default" w:ascii="Arial" w:hAnsi="Arial" w:cs="Arial"/>
                <w:sz w:val="22"/>
                <w:szCs w:val="22"/>
              </w:rPr>
            </w:pPr>
            <w:r>
              <w:rPr>
                <w:rFonts w:hint="default" w:ascii="Arial" w:hAnsi="Arial" w:cs="Arial"/>
                <w:sz w:val="22"/>
                <w:szCs w:val="22"/>
              </w:rPr>
              <w:t>Medium-high</w:t>
            </w:r>
          </w:p>
        </w:tc>
        <w:tc>
          <w:tcPr>
            <w:tcW w:w="1930" w:type="dxa"/>
          </w:tcPr>
          <w:p w14:paraId="41719FE9">
            <w:pPr>
              <w:rPr>
                <w:rFonts w:hint="default" w:ascii="Arial" w:hAnsi="Arial" w:cs="Arial"/>
                <w:sz w:val="22"/>
                <w:szCs w:val="22"/>
              </w:rPr>
            </w:pPr>
            <w:r>
              <w:rPr>
                <w:rFonts w:hint="default" w:ascii="Arial" w:hAnsi="Arial" w:cs="Arial"/>
                <w:sz w:val="22"/>
                <w:szCs w:val="22"/>
              </w:rPr>
              <w:t>Second-stage option</w:t>
            </w:r>
          </w:p>
        </w:tc>
      </w:tr>
      <w:tr w14:paraId="18C7C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30" w:type="dxa"/>
          </w:tcPr>
          <w:p w14:paraId="4E16AFFA">
            <w:pPr>
              <w:rPr>
                <w:rFonts w:hint="default" w:ascii="Arial" w:hAnsi="Arial" w:cs="Arial"/>
                <w:sz w:val="22"/>
                <w:szCs w:val="22"/>
              </w:rPr>
            </w:pPr>
            <w:r>
              <w:rPr>
                <w:rFonts w:hint="default" w:ascii="Arial" w:hAnsi="Arial" w:cs="Arial"/>
                <w:sz w:val="22"/>
                <w:szCs w:val="22"/>
              </w:rPr>
              <w:t>UK manufacturing</w:t>
            </w:r>
          </w:p>
        </w:tc>
        <w:tc>
          <w:tcPr>
            <w:tcW w:w="1930" w:type="dxa"/>
          </w:tcPr>
          <w:p w14:paraId="307FEEE1">
            <w:pPr>
              <w:rPr>
                <w:rFonts w:hint="default" w:ascii="Arial" w:hAnsi="Arial" w:cs="Arial"/>
                <w:sz w:val="22"/>
                <w:szCs w:val="22"/>
              </w:rPr>
            </w:pPr>
            <w:r>
              <w:rPr>
                <w:rFonts w:hint="default" w:ascii="Arial" w:hAnsi="Arial" w:cs="Arial"/>
                <w:sz w:val="22"/>
                <w:szCs w:val="22"/>
              </w:rPr>
              <w:t>Very high</w:t>
            </w:r>
          </w:p>
        </w:tc>
        <w:tc>
          <w:tcPr>
            <w:tcW w:w="1930" w:type="dxa"/>
          </w:tcPr>
          <w:p w14:paraId="738BA17A">
            <w:pPr>
              <w:rPr>
                <w:rFonts w:hint="default" w:ascii="Arial" w:hAnsi="Arial" w:cs="Arial"/>
                <w:sz w:val="22"/>
                <w:szCs w:val="22"/>
              </w:rPr>
            </w:pPr>
            <w:r>
              <w:rPr>
                <w:rFonts w:hint="default" w:ascii="Arial" w:hAnsi="Arial" w:cs="Arial"/>
                <w:sz w:val="22"/>
                <w:szCs w:val="22"/>
              </w:rPr>
              <w:t>Very high</w:t>
            </w:r>
          </w:p>
        </w:tc>
        <w:tc>
          <w:tcPr>
            <w:tcW w:w="1930" w:type="dxa"/>
          </w:tcPr>
          <w:p w14:paraId="3F4B7C2E">
            <w:pPr>
              <w:rPr>
                <w:rFonts w:hint="default" w:ascii="Arial" w:hAnsi="Arial" w:cs="Arial"/>
                <w:sz w:val="22"/>
                <w:szCs w:val="22"/>
              </w:rPr>
            </w:pPr>
            <w:r>
              <w:rPr>
                <w:rFonts w:hint="default" w:ascii="Arial" w:hAnsi="Arial" w:cs="Arial"/>
                <w:sz w:val="22"/>
                <w:szCs w:val="22"/>
              </w:rPr>
              <w:t>High</w:t>
            </w:r>
          </w:p>
        </w:tc>
        <w:tc>
          <w:tcPr>
            <w:tcW w:w="1930" w:type="dxa"/>
          </w:tcPr>
          <w:p w14:paraId="4F367B20">
            <w:pPr>
              <w:rPr>
                <w:rFonts w:hint="default" w:ascii="Arial" w:hAnsi="Arial" w:cs="Arial"/>
                <w:sz w:val="22"/>
                <w:szCs w:val="22"/>
              </w:rPr>
            </w:pPr>
            <w:r>
              <w:rPr>
                <w:rFonts w:hint="default" w:ascii="Arial" w:hAnsi="Arial" w:cs="Arial"/>
                <w:sz w:val="22"/>
                <w:szCs w:val="22"/>
              </w:rPr>
              <w:t>Long-term only</w:t>
            </w:r>
          </w:p>
        </w:tc>
      </w:tr>
      <w:tr w14:paraId="49D45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30" w:type="dxa"/>
          </w:tcPr>
          <w:p w14:paraId="11BA306B">
            <w:pPr>
              <w:rPr>
                <w:rFonts w:hint="default" w:ascii="Arial" w:hAnsi="Arial" w:cs="Arial"/>
                <w:sz w:val="22"/>
                <w:szCs w:val="22"/>
              </w:rPr>
            </w:pPr>
            <w:r>
              <w:rPr>
                <w:rFonts w:hint="default" w:ascii="Arial" w:hAnsi="Arial" w:cs="Arial"/>
                <w:sz w:val="22"/>
                <w:szCs w:val="22"/>
              </w:rPr>
              <w:t>Acquisition</w:t>
            </w:r>
          </w:p>
        </w:tc>
        <w:tc>
          <w:tcPr>
            <w:tcW w:w="1930" w:type="dxa"/>
          </w:tcPr>
          <w:p w14:paraId="275D92A2">
            <w:pPr>
              <w:rPr>
                <w:rFonts w:hint="default" w:ascii="Arial" w:hAnsi="Arial" w:cs="Arial"/>
                <w:sz w:val="22"/>
                <w:szCs w:val="22"/>
              </w:rPr>
            </w:pPr>
            <w:r>
              <w:rPr>
                <w:rFonts w:hint="default" w:ascii="Arial" w:hAnsi="Arial" w:cs="Arial"/>
                <w:sz w:val="22"/>
                <w:szCs w:val="22"/>
              </w:rPr>
              <w:t>Very high</w:t>
            </w:r>
          </w:p>
        </w:tc>
        <w:tc>
          <w:tcPr>
            <w:tcW w:w="1930" w:type="dxa"/>
          </w:tcPr>
          <w:p w14:paraId="68E80D60">
            <w:pPr>
              <w:rPr>
                <w:rFonts w:hint="default" w:ascii="Arial" w:hAnsi="Arial" w:cs="Arial"/>
                <w:sz w:val="22"/>
                <w:szCs w:val="22"/>
              </w:rPr>
            </w:pPr>
            <w:r>
              <w:rPr>
                <w:rFonts w:hint="default" w:ascii="Arial" w:hAnsi="Arial" w:cs="Arial"/>
                <w:sz w:val="22"/>
                <w:szCs w:val="22"/>
              </w:rPr>
              <w:t>High</w:t>
            </w:r>
          </w:p>
        </w:tc>
        <w:tc>
          <w:tcPr>
            <w:tcW w:w="1930" w:type="dxa"/>
          </w:tcPr>
          <w:p w14:paraId="6CDE9D52">
            <w:pPr>
              <w:rPr>
                <w:rFonts w:hint="default" w:ascii="Arial" w:hAnsi="Arial" w:cs="Arial"/>
                <w:sz w:val="22"/>
                <w:szCs w:val="22"/>
              </w:rPr>
            </w:pPr>
            <w:r>
              <w:rPr>
                <w:rFonts w:hint="default" w:ascii="Arial" w:hAnsi="Arial" w:cs="Arial"/>
                <w:sz w:val="22"/>
                <w:szCs w:val="22"/>
              </w:rPr>
              <w:t>High</w:t>
            </w:r>
          </w:p>
        </w:tc>
        <w:tc>
          <w:tcPr>
            <w:tcW w:w="1930" w:type="dxa"/>
          </w:tcPr>
          <w:p w14:paraId="31C212E9">
            <w:pPr>
              <w:rPr>
                <w:rFonts w:hint="default" w:ascii="Arial" w:hAnsi="Arial" w:cs="Arial"/>
                <w:sz w:val="22"/>
                <w:szCs w:val="22"/>
              </w:rPr>
            </w:pPr>
            <w:r>
              <w:rPr>
                <w:rFonts w:hint="default" w:ascii="Arial" w:hAnsi="Arial" w:cs="Arial"/>
                <w:sz w:val="22"/>
                <w:szCs w:val="22"/>
              </w:rPr>
              <w:t>Not initially suitable</w:t>
            </w:r>
          </w:p>
        </w:tc>
      </w:tr>
    </w:tbl>
    <w:p w14:paraId="51E229B2">
      <w:pPr>
        <w:pStyle w:val="4"/>
        <w:rPr>
          <w:rFonts w:hint="default" w:ascii="Arial" w:hAnsi="Arial" w:cs="Arial"/>
          <w:sz w:val="24"/>
          <w:szCs w:val="24"/>
        </w:rPr>
      </w:pPr>
    </w:p>
    <w:p w14:paraId="6BCC682B">
      <w:pPr>
        <w:pStyle w:val="4"/>
        <w:jc w:val="center"/>
        <w:rPr>
          <w:rFonts w:hint="default" w:ascii="Arial" w:hAnsi="Arial" w:cs="Arial"/>
          <w:sz w:val="24"/>
          <w:szCs w:val="24"/>
          <w:lang w:val="en-GB"/>
        </w:rPr>
      </w:pPr>
      <w:r>
        <w:rPr>
          <w:rFonts w:hint="default" w:ascii="Arial" w:hAnsi="Arial" w:cs="Arial"/>
          <w:sz w:val="24"/>
          <w:szCs w:val="24"/>
          <w:lang w:val="en-GB"/>
        </w:rPr>
        <w:drawing>
          <wp:inline distT="0" distB="0" distL="114300" distR="114300">
            <wp:extent cx="4495800" cy="4495800"/>
            <wp:effectExtent l="0" t="0" r="0" b="0"/>
            <wp:docPr id="4" name="Picture 4" descr="557630063_1207394188098191_2090780009560476160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557630063_1207394188098191_2090780009560476160_n"/>
                    <pic:cNvPicPr>
                      <a:picLocks noChangeAspect="1"/>
                    </pic:cNvPicPr>
                  </pic:nvPicPr>
                  <pic:blipFill>
                    <a:blip r:embed="rId10"/>
                    <a:stretch>
                      <a:fillRect/>
                    </a:stretch>
                  </pic:blipFill>
                  <pic:spPr>
                    <a:xfrm>
                      <a:off x="0" y="0"/>
                      <a:ext cx="4495800" cy="4495800"/>
                    </a:xfrm>
                    <a:prstGeom prst="rect">
                      <a:avLst/>
                    </a:prstGeom>
                  </pic:spPr>
                </pic:pic>
              </a:graphicData>
            </a:graphic>
          </wp:inline>
        </w:drawing>
      </w:r>
    </w:p>
    <w:p w14:paraId="750905EE">
      <w:pPr>
        <w:pStyle w:val="4"/>
        <w:rPr>
          <w:rFonts w:hint="default" w:ascii="Arial" w:hAnsi="Arial" w:cs="Arial"/>
          <w:sz w:val="24"/>
          <w:szCs w:val="24"/>
          <w:lang w:val="en-GB"/>
        </w:rPr>
      </w:pPr>
      <w:r>
        <w:rPr>
          <w:rFonts w:hint="default" w:ascii="Arial" w:hAnsi="Arial" w:cs="Arial"/>
          <w:sz w:val="24"/>
          <w:szCs w:val="24"/>
        </w:rPr>
        <w:t>3.3 Strategic Fit and Justification</w:t>
      </w:r>
      <w:r>
        <w:rPr>
          <w:rFonts w:hint="default" w:ascii="Arial" w:hAnsi="Arial" w:cs="Arial"/>
          <w:sz w:val="24"/>
          <w:szCs w:val="24"/>
          <w:lang w:val="en-GB"/>
        </w:rPr>
        <w:t xml:space="preserve"> </w:t>
      </w:r>
    </w:p>
    <w:p w14:paraId="1BDF440F">
      <w:pPr>
        <w:rPr>
          <w:rFonts w:hint="default" w:ascii="Arial" w:hAnsi="Arial" w:cs="Arial"/>
          <w:sz w:val="24"/>
          <w:szCs w:val="24"/>
          <w:lang w:val="en-GB"/>
        </w:rPr>
      </w:pPr>
    </w:p>
    <w:p w14:paraId="4DC08016">
      <w:pPr>
        <w:rPr>
          <w:rFonts w:hint="default" w:ascii="Arial" w:hAnsi="Arial" w:cs="Arial"/>
          <w:sz w:val="24"/>
          <w:szCs w:val="24"/>
          <w:lang w:val="en-GB"/>
        </w:rPr>
      </w:pPr>
      <w:r>
        <w:rPr>
          <w:rFonts w:hint="default" w:ascii="Arial" w:hAnsi="Arial" w:cs="Arial"/>
          <w:sz w:val="24"/>
          <w:szCs w:val="24"/>
          <w:lang w:val="en-GB"/>
        </w:rPr>
        <w:t>Three interrelated elements make up the suggested structure: a UK-based commercial organization, Walton-controlled product and brand management, and carefully chosen strategic partners for distribution, fulfillment, installation, repairs, and specific retail access. With this arrangement, Walton would be able to use local knowledge in areas where it has little understanding of the UK market while maintaining control over its core competitive advantages. This aligns with Walton's current strategy for international expansion, which has shifted away from solely depending on third-party manufacturing and toward building its own brand thru specialized global business teams, subsidiaries, distributors, and showrooms (The Daily Star, 2025). Along with its experience exporting goods internationally, Walton already possesses significant manufacturing capabilities for refrigerators, air conditioners, televisions, and other appliances (Walton, 2026a).</w:t>
      </w:r>
    </w:p>
    <w:p w14:paraId="400FE8C2">
      <w:pPr>
        <w:rPr>
          <w:rFonts w:hint="default" w:ascii="Arial" w:hAnsi="Arial" w:cs="Arial"/>
          <w:sz w:val="24"/>
          <w:szCs w:val="24"/>
          <w:lang w:val="en-GB"/>
        </w:rPr>
      </w:pPr>
      <w:r>
        <w:rPr>
          <w:rFonts w:hint="default" w:ascii="Arial" w:hAnsi="Arial" w:cs="Arial"/>
          <w:sz w:val="24"/>
          <w:szCs w:val="24"/>
          <w:lang w:val="en-GB"/>
        </w:rPr>
        <w:t>Within its portfolio, Walton already recognizes televisions, air conditioners, and refrigerators as key product categories (Walton Hi-Tech Industries PLC, 2026). This means that consumers must receive correct energy information (Department for Energy Security and Net Zero and Office for Product Safety and Standards, 2026a).</w:t>
      </w:r>
    </w:p>
    <w:p w14:paraId="263057F2">
      <w:pPr>
        <w:rPr>
          <w:rFonts w:hint="default" w:ascii="Arial" w:hAnsi="Arial" w:cs="Arial"/>
          <w:sz w:val="24"/>
          <w:szCs w:val="24"/>
          <w:lang w:val="en-GB"/>
        </w:rPr>
      </w:pPr>
      <w:r>
        <w:rPr>
          <w:rFonts w:hint="default" w:ascii="Arial" w:hAnsi="Arial" w:cs="Arial"/>
          <w:sz w:val="24"/>
          <w:szCs w:val="24"/>
          <w:lang w:val="en-GB"/>
        </w:rPr>
        <w:t>This is consistent with Walton's declared global strategy of integrating local market fit with international standards, especially in its refrigeration division (The Daily Star, 2026). Walton would be able to avoid being seen as just an inexpensive foreign electronics brand with this posture. According to Walton, its international competitiveness is supported by quality, design, innovation, energy efficiency, and durability (The Daily Star, 2025).</w:t>
      </w:r>
    </w:p>
    <w:p w14:paraId="5012EAAE">
      <w:pPr>
        <w:rPr>
          <w:rFonts w:hint="default" w:ascii="Arial" w:hAnsi="Arial" w:cs="Arial"/>
          <w:sz w:val="24"/>
          <w:szCs w:val="24"/>
          <w:lang w:val="en-GB"/>
        </w:rPr>
      </w:pPr>
      <w:r>
        <w:rPr>
          <w:rFonts w:hint="default" w:ascii="Arial" w:hAnsi="Arial" w:cs="Arial"/>
          <w:sz w:val="24"/>
          <w:szCs w:val="24"/>
          <w:lang w:val="en-GB"/>
        </w:rPr>
        <w:t>A robust distribution network and after-sales support are already recognized by Walton as critical organizational competencies (Walton Hi-Tech Industries PLC, 2026).</w:t>
      </w:r>
    </w:p>
    <w:p w14:paraId="0C5C8C6D">
      <w:pPr>
        <w:rPr>
          <w:rFonts w:hint="default" w:ascii="Arial" w:hAnsi="Arial" w:cs="Arial"/>
          <w:sz w:val="24"/>
          <w:szCs w:val="24"/>
          <w:lang w:val="en-GB"/>
        </w:rPr>
      </w:pPr>
      <w:r>
        <w:rPr>
          <w:rFonts w:hint="default" w:ascii="Arial" w:hAnsi="Arial" w:cs="Arial"/>
          <w:sz w:val="24"/>
          <w:szCs w:val="24"/>
          <w:lang w:val="en-GB"/>
        </w:rPr>
        <w:t>This is especially significant because UK electrical equipment regulations impose obligations on companies that sell electrical and electronic equipment. Walton or its designated UK importer/representative may be responsible for producer duties for registration, reporting, financing for WEEE, and end-of-life treatment, depending on the structure of the UK operation (Environment Agency, 2025). Therefore, prior to its commercial launch, Walton should set up its legal and compliance framework in the UK.</w:t>
      </w:r>
    </w:p>
    <w:p w14:paraId="3607433A">
      <w:pPr>
        <w:rPr>
          <w:rFonts w:hint="default" w:ascii="Arial" w:hAnsi="Arial" w:cs="Arial"/>
          <w:sz w:val="24"/>
          <w:szCs w:val="24"/>
          <w:lang w:val="en-GB"/>
        </w:rPr>
      </w:pPr>
      <w:r>
        <w:rPr>
          <w:rFonts w:hint="default" w:ascii="Arial" w:hAnsi="Arial" w:cs="Arial"/>
          <w:sz w:val="24"/>
          <w:szCs w:val="24"/>
          <w:lang w:val="en-GB"/>
        </w:rPr>
        <w:t xml:space="preserve"> According to UK ecodesign regulations, suppliers must keep technical records and declarations of conformance, and covered energy-related items must meet certain efficiency requirements (Department for Energy Security and Net Zero and Office for Product Safety and Standards, 2026b).</w:t>
      </w:r>
    </w:p>
    <w:p w14:paraId="5F3E8D54">
      <w:pPr>
        <w:rPr>
          <w:rFonts w:hint="default" w:ascii="Arial" w:hAnsi="Arial" w:cs="Arial"/>
          <w:sz w:val="24"/>
          <w:szCs w:val="24"/>
          <w:lang w:val="en-GB"/>
        </w:rPr>
      </w:pPr>
      <w:r>
        <w:rPr>
          <w:rFonts w:hint="default" w:ascii="Arial" w:hAnsi="Arial" w:cs="Arial"/>
          <w:sz w:val="24"/>
          <w:szCs w:val="24"/>
          <w:lang w:val="en-GB"/>
        </w:rPr>
        <w:t xml:space="preserve">Lastly, Walton ought to implement a staged strategy for entering the UK market. The business should test a small number of hero products thru certain internet and specialty retail channels throughout Phases. </w:t>
      </w:r>
    </w:p>
    <w:p w14:paraId="1327A141">
      <w:pPr>
        <w:jc w:val="center"/>
        <w:rPr>
          <w:rFonts w:hint="default" w:ascii="Arial" w:hAnsi="Arial" w:cs="Arial"/>
          <w:sz w:val="24"/>
          <w:szCs w:val="24"/>
          <w:lang w:val="en-GB"/>
        </w:rPr>
      </w:pPr>
      <w:r>
        <w:rPr>
          <w:rFonts w:hint="default" w:ascii="Arial" w:hAnsi="Arial" w:cs="Arial"/>
          <w:sz w:val="24"/>
          <w:szCs w:val="24"/>
          <w:lang w:val="en-GB"/>
        </w:rPr>
        <w:drawing>
          <wp:inline distT="0" distB="0" distL="114300" distR="114300">
            <wp:extent cx="3787140" cy="3787140"/>
            <wp:effectExtent l="0" t="0" r="7620" b="7620"/>
            <wp:docPr id="7" name="Picture 7" descr="fr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friz"/>
                    <pic:cNvPicPr>
                      <a:picLocks noChangeAspect="1"/>
                    </pic:cNvPicPr>
                  </pic:nvPicPr>
                  <pic:blipFill>
                    <a:blip r:embed="rId11"/>
                    <a:stretch>
                      <a:fillRect/>
                    </a:stretch>
                  </pic:blipFill>
                  <pic:spPr>
                    <a:xfrm>
                      <a:off x="0" y="0"/>
                      <a:ext cx="3787140" cy="3787140"/>
                    </a:xfrm>
                    <a:prstGeom prst="rect">
                      <a:avLst/>
                    </a:prstGeom>
                  </pic:spPr>
                </pic:pic>
              </a:graphicData>
            </a:graphic>
          </wp:inline>
        </w:drawing>
      </w:r>
    </w:p>
    <w:p w14:paraId="4F936F75">
      <w:pPr>
        <w:rPr>
          <w:rFonts w:hint="default" w:ascii="Arial" w:hAnsi="Arial" w:cs="Arial"/>
          <w:sz w:val="24"/>
          <w:szCs w:val="24"/>
          <w:lang w:val="en-GB"/>
        </w:rPr>
      </w:pPr>
      <w:r>
        <w:rPr>
          <w:rFonts w:hint="default" w:ascii="Arial" w:hAnsi="Arial" w:cs="Arial"/>
          <w:sz w:val="24"/>
          <w:szCs w:val="24"/>
          <w:lang w:val="en-GB"/>
        </w:rPr>
        <w:t xml:space="preserve">In this picture it shows how faster they plan strategy and implement next moves as a business. </w:t>
      </w:r>
    </w:p>
    <w:p w14:paraId="2A98B4D2">
      <w:pPr>
        <w:rPr>
          <w:rFonts w:hint="default" w:ascii="Arial" w:hAnsi="Arial" w:cs="Arial"/>
          <w:sz w:val="24"/>
          <w:szCs w:val="24"/>
          <w:lang w:val="en-GB"/>
        </w:rPr>
      </w:pPr>
    </w:p>
    <w:p w14:paraId="68BFBDAD">
      <w:pPr>
        <w:pStyle w:val="4"/>
        <w:rPr>
          <w:rFonts w:hint="default" w:ascii="Arial" w:hAnsi="Arial" w:cs="Arial"/>
          <w:sz w:val="24"/>
          <w:szCs w:val="24"/>
        </w:rPr>
      </w:pPr>
      <w:r>
        <w:rPr>
          <w:rFonts w:hint="default" w:ascii="Arial" w:hAnsi="Arial" w:cs="Arial"/>
          <w:sz w:val="24"/>
          <w:szCs w:val="24"/>
        </w:rPr>
        <w:t>3.4 Five-Year Implementation Roadmap</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2412"/>
        <w:gridCol w:w="2412"/>
        <w:gridCol w:w="2412"/>
      </w:tblGrid>
      <w:tr w14:paraId="0743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dxa"/>
          </w:tcPr>
          <w:p w14:paraId="528DA579">
            <w:pPr>
              <w:rPr>
                <w:rFonts w:hint="default" w:ascii="Arial" w:hAnsi="Arial" w:cs="Arial"/>
                <w:sz w:val="22"/>
                <w:szCs w:val="22"/>
              </w:rPr>
            </w:pPr>
            <w:r>
              <w:rPr>
                <w:rFonts w:hint="default" w:ascii="Arial" w:hAnsi="Arial" w:cs="Arial"/>
                <w:sz w:val="22"/>
                <w:szCs w:val="22"/>
              </w:rPr>
              <w:t>Period</w:t>
            </w:r>
          </w:p>
        </w:tc>
        <w:tc>
          <w:tcPr>
            <w:tcW w:w="2412" w:type="dxa"/>
          </w:tcPr>
          <w:p w14:paraId="6EAB5D3C">
            <w:pPr>
              <w:rPr>
                <w:rFonts w:hint="default" w:ascii="Arial" w:hAnsi="Arial" w:cs="Arial"/>
                <w:sz w:val="22"/>
                <w:szCs w:val="22"/>
              </w:rPr>
            </w:pPr>
            <w:r>
              <w:rPr>
                <w:rFonts w:hint="default" w:ascii="Arial" w:hAnsi="Arial" w:cs="Arial"/>
                <w:sz w:val="22"/>
                <w:szCs w:val="22"/>
              </w:rPr>
              <w:t>Priority</w:t>
            </w:r>
          </w:p>
        </w:tc>
        <w:tc>
          <w:tcPr>
            <w:tcW w:w="2412" w:type="dxa"/>
          </w:tcPr>
          <w:p w14:paraId="17364629">
            <w:pPr>
              <w:rPr>
                <w:rFonts w:hint="default" w:ascii="Arial" w:hAnsi="Arial" w:cs="Arial"/>
                <w:sz w:val="22"/>
                <w:szCs w:val="22"/>
              </w:rPr>
            </w:pPr>
            <w:r>
              <w:rPr>
                <w:rFonts w:hint="default" w:ascii="Arial" w:hAnsi="Arial" w:cs="Arial"/>
                <w:sz w:val="22"/>
                <w:szCs w:val="22"/>
              </w:rPr>
              <w:t>Key actions</w:t>
            </w:r>
          </w:p>
        </w:tc>
        <w:tc>
          <w:tcPr>
            <w:tcW w:w="2412" w:type="dxa"/>
          </w:tcPr>
          <w:p w14:paraId="49F5F327">
            <w:pPr>
              <w:rPr>
                <w:rFonts w:hint="default" w:ascii="Arial" w:hAnsi="Arial" w:cs="Arial"/>
                <w:sz w:val="22"/>
                <w:szCs w:val="22"/>
              </w:rPr>
            </w:pPr>
            <w:r>
              <w:rPr>
                <w:rFonts w:hint="default" w:ascii="Arial" w:hAnsi="Arial" w:cs="Arial"/>
                <w:sz w:val="22"/>
                <w:szCs w:val="22"/>
              </w:rPr>
              <w:t>Success indicators</w:t>
            </w:r>
          </w:p>
        </w:tc>
      </w:tr>
      <w:tr w14:paraId="073F0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dxa"/>
          </w:tcPr>
          <w:p w14:paraId="18A150F7">
            <w:pPr>
              <w:rPr>
                <w:rFonts w:hint="default" w:ascii="Arial" w:hAnsi="Arial" w:cs="Arial"/>
                <w:sz w:val="22"/>
                <w:szCs w:val="22"/>
              </w:rPr>
            </w:pPr>
            <w:r>
              <w:rPr>
                <w:rFonts w:hint="default" w:ascii="Arial" w:hAnsi="Arial" w:cs="Arial"/>
                <w:sz w:val="22"/>
                <w:szCs w:val="22"/>
              </w:rPr>
              <w:t>2026-27</w:t>
            </w:r>
          </w:p>
        </w:tc>
        <w:tc>
          <w:tcPr>
            <w:tcW w:w="2412" w:type="dxa"/>
          </w:tcPr>
          <w:p w14:paraId="5D455698">
            <w:pPr>
              <w:rPr>
                <w:rFonts w:hint="default" w:ascii="Arial" w:hAnsi="Arial" w:cs="Arial"/>
                <w:sz w:val="22"/>
                <w:szCs w:val="22"/>
              </w:rPr>
            </w:pPr>
            <w:r>
              <w:rPr>
                <w:rFonts w:hint="default" w:ascii="Arial" w:hAnsi="Arial" w:cs="Arial"/>
                <w:sz w:val="22"/>
                <w:szCs w:val="22"/>
              </w:rPr>
              <w:t>Validation</w:t>
            </w:r>
          </w:p>
        </w:tc>
        <w:tc>
          <w:tcPr>
            <w:tcW w:w="2412" w:type="dxa"/>
          </w:tcPr>
          <w:p w14:paraId="2DCC6CF4">
            <w:pPr>
              <w:rPr>
                <w:rFonts w:hint="default" w:ascii="Arial" w:hAnsi="Arial" w:cs="Arial"/>
                <w:sz w:val="22"/>
                <w:szCs w:val="22"/>
              </w:rPr>
            </w:pPr>
            <w:r>
              <w:rPr>
                <w:rFonts w:hint="default" w:ascii="Arial" w:hAnsi="Arial" w:cs="Arial"/>
                <w:sz w:val="22"/>
                <w:szCs w:val="22"/>
              </w:rPr>
              <w:t>Compliance audit; 5-8 hero products; UK advisers; distributor/service partners; pilot online channel</w:t>
            </w:r>
          </w:p>
        </w:tc>
        <w:tc>
          <w:tcPr>
            <w:tcW w:w="2412" w:type="dxa"/>
          </w:tcPr>
          <w:p w14:paraId="09B1B243">
            <w:pPr>
              <w:rPr>
                <w:rFonts w:hint="default" w:ascii="Arial" w:hAnsi="Arial" w:cs="Arial"/>
                <w:sz w:val="22"/>
                <w:szCs w:val="22"/>
              </w:rPr>
            </w:pPr>
            <w:r>
              <w:rPr>
                <w:rFonts w:hint="default" w:ascii="Arial" w:hAnsi="Arial" w:cs="Arial"/>
                <w:sz w:val="22"/>
                <w:szCs w:val="22"/>
              </w:rPr>
              <w:t>Compliance completed; partners appointed; initial customer feedback</w:t>
            </w:r>
          </w:p>
        </w:tc>
      </w:tr>
      <w:tr w14:paraId="4DE2B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dxa"/>
          </w:tcPr>
          <w:p w14:paraId="5B081189">
            <w:pPr>
              <w:rPr>
                <w:rFonts w:hint="default" w:ascii="Arial" w:hAnsi="Arial" w:cs="Arial"/>
                <w:sz w:val="22"/>
                <w:szCs w:val="22"/>
              </w:rPr>
            </w:pPr>
            <w:r>
              <w:rPr>
                <w:rFonts w:hint="default" w:ascii="Arial" w:hAnsi="Arial" w:cs="Arial"/>
                <w:sz w:val="22"/>
                <w:szCs w:val="22"/>
              </w:rPr>
              <w:t>2027-28</w:t>
            </w:r>
          </w:p>
        </w:tc>
        <w:tc>
          <w:tcPr>
            <w:tcW w:w="2412" w:type="dxa"/>
          </w:tcPr>
          <w:p w14:paraId="01725948">
            <w:pPr>
              <w:rPr>
                <w:rFonts w:hint="default" w:ascii="Arial" w:hAnsi="Arial" w:cs="Arial"/>
                <w:sz w:val="22"/>
                <w:szCs w:val="22"/>
              </w:rPr>
            </w:pPr>
            <w:r>
              <w:rPr>
                <w:rFonts w:hint="default" w:ascii="Arial" w:hAnsi="Arial" w:cs="Arial"/>
                <w:sz w:val="22"/>
                <w:szCs w:val="22"/>
              </w:rPr>
              <w:t>Launch</w:t>
            </w:r>
          </w:p>
        </w:tc>
        <w:tc>
          <w:tcPr>
            <w:tcW w:w="2412" w:type="dxa"/>
          </w:tcPr>
          <w:p w14:paraId="03C597EE">
            <w:pPr>
              <w:rPr>
                <w:rFonts w:hint="default" w:ascii="Arial" w:hAnsi="Arial" w:cs="Arial"/>
                <w:sz w:val="22"/>
                <w:szCs w:val="22"/>
              </w:rPr>
            </w:pPr>
            <w:r>
              <w:rPr>
                <w:rFonts w:hint="default" w:ascii="Arial" w:hAnsi="Arial" w:cs="Arial"/>
                <w:sz w:val="22"/>
                <w:szCs w:val="22"/>
              </w:rPr>
              <w:t>E-commerce and selected retailers; warranty; digital marketing; targeted diaspora and mainstream campaigns</w:t>
            </w:r>
          </w:p>
        </w:tc>
        <w:tc>
          <w:tcPr>
            <w:tcW w:w="2412" w:type="dxa"/>
          </w:tcPr>
          <w:p w14:paraId="2A8B6EDA">
            <w:pPr>
              <w:rPr>
                <w:rFonts w:hint="default" w:ascii="Arial" w:hAnsi="Arial" w:cs="Arial"/>
                <w:sz w:val="22"/>
                <w:szCs w:val="22"/>
              </w:rPr>
            </w:pPr>
            <w:r>
              <w:rPr>
                <w:rFonts w:hint="default" w:ascii="Arial" w:hAnsi="Arial" w:cs="Arial"/>
                <w:sz w:val="22"/>
                <w:szCs w:val="22"/>
              </w:rPr>
              <w:t>Sales growth; service SLA; controlled returns</w:t>
            </w:r>
          </w:p>
        </w:tc>
      </w:tr>
      <w:tr w14:paraId="6373F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dxa"/>
          </w:tcPr>
          <w:p w14:paraId="0ACA2621">
            <w:pPr>
              <w:rPr>
                <w:rFonts w:hint="default" w:ascii="Arial" w:hAnsi="Arial" w:cs="Arial"/>
                <w:sz w:val="22"/>
                <w:szCs w:val="22"/>
              </w:rPr>
            </w:pPr>
            <w:r>
              <w:rPr>
                <w:rFonts w:hint="default" w:ascii="Arial" w:hAnsi="Arial" w:cs="Arial"/>
                <w:sz w:val="22"/>
                <w:szCs w:val="22"/>
              </w:rPr>
              <w:t>2028-29</w:t>
            </w:r>
          </w:p>
        </w:tc>
        <w:tc>
          <w:tcPr>
            <w:tcW w:w="2412" w:type="dxa"/>
          </w:tcPr>
          <w:p w14:paraId="3AD22E83">
            <w:pPr>
              <w:rPr>
                <w:rFonts w:hint="default" w:ascii="Arial" w:hAnsi="Arial" w:cs="Arial"/>
                <w:sz w:val="22"/>
                <w:szCs w:val="22"/>
              </w:rPr>
            </w:pPr>
            <w:r>
              <w:rPr>
                <w:rFonts w:hint="default" w:ascii="Arial" w:hAnsi="Arial" w:cs="Arial"/>
                <w:sz w:val="22"/>
                <w:szCs w:val="22"/>
              </w:rPr>
              <w:t>Scale</w:t>
            </w:r>
          </w:p>
        </w:tc>
        <w:tc>
          <w:tcPr>
            <w:tcW w:w="2412" w:type="dxa"/>
          </w:tcPr>
          <w:p w14:paraId="2209E2E5">
            <w:pPr>
              <w:rPr>
                <w:rFonts w:hint="default" w:ascii="Arial" w:hAnsi="Arial" w:cs="Arial"/>
                <w:sz w:val="22"/>
                <w:szCs w:val="22"/>
              </w:rPr>
            </w:pPr>
            <w:r>
              <w:rPr>
                <w:rFonts w:hint="default" w:ascii="Arial" w:hAnsi="Arial" w:cs="Arial"/>
                <w:sz w:val="22"/>
                <w:szCs w:val="22"/>
              </w:rPr>
              <w:t>More products; warehouse/service network; additional retail partners; localisation</w:t>
            </w:r>
          </w:p>
        </w:tc>
        <w:tc>
          <w:tcPr>
            <w:tcW w:w="2412" w:type="dxa"/>
          </w:tcPr>
          <w:p w14:paraId="1EEF21E1">
            <w:pPr>
              <w:rPr>
                <w:rFonts w:hint="default" w:ascii="Arial" w:hAnsi="Arial" w:cs="Arial"/>
                <w:sz w:val="22"/>
                <w:szCs w:val="22"/>
              </w:rPr>
            </w:pPr>
            <w:r>
              <w:rPr>
                <w:rFonts w:hint="default" w:ascii="Arial" w:hAnsi="Arial" w:cs="Arial"/>
                <w:sz w:val="22"/>
                <w:szCs w:val="22"/>
              </w:rPr>
              <w:t>Higher repeat purchase; broader distribution</w:t>
            </w:r>
          </w:p>
        </w:tc>
      </w:tr>
      <w:tr w14:paraId="614E9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dxa"/>
          </w:tcPr>
          <w:p w14:paraId="0A9A00BE">
            <w:pPr>
              <w:rPr>
                <w:rFonts w:hint="default" w:ascii="Arial" w:hAnsi="Arial" w:cs="Arial"/>
                <w:sz w:val="22"/>
                <w:szCs w:val="22"/>
              </w:rPr>
            </w:pPr>
            <w:r>
              <w:rPr>
                <w:rFonts w:hint="default" w:ascii="Arial" w:hAnsi="Arial" w:cs="Arial"/>
                <w:sz w:val="22"/>
                <w:szCs w:val="22"/>
              </w:rPr>
              <w:t>2029-30</w:t>
            </w:r>
          </w:p>
        </w:tc>
        <w:tc>
          <w:tcPr>
            <w:tcW w:w="2412" w:type="dxa"/>
          </w:tcPr>
          <w:p w14:paraId="2E05D2C6">
            <w:pPr>
              <w:rPr>
                <w:rFonts w:hint="default" w:ascii="Arial" w:hAnsi="Arial" w:cs="Arial"/>
                <w:sz w:val="22"/>
                <w:szCs w:val="22"/>
              </w:rPr>
            </w:pPr>
            <w:r>
              <w:rPr>
                <w:rFonts w:hint="default" w:ascii="Arial" w:hAnsi="Arial" w:cs="Arial"/>
                <w:sz w:val="22"/>
                <w:szCs w:val="22"/>
              </w:rPr>
              <w:t>Consolidate</w:t>
            </w:r>
          </w:p>
        </w:tc>
        <w:tc>
          <w:tcPr>
            <w:tcW w:w="2412" w:type="dxa"/>
          </w:tcPr>
          <w:p w14:paraId="13F08067">
            <w:pPr>
              <w:rPr>
                <w:rFonts w:hint="default" w:ascii="Arial" w:hAnsi="Arial" w:cs="Arial"/>
                <w:sz w:val="22"/>
                <w:szCs w:val="22"/>
              </w:rPr>
            </w:pPr>
            <w:r>
              <w:rPr>
                <w:rFonts w:hint="default" w:ascii="Arial" w:hAnsi="Arial" w:cs="Arial"/>
                <w:sz w:val="22"/>
                <w:szCs w:val="22"/>
              </w:rPr>
              <w:t>Assess larger UK subsidiary, repair hub and local assembly</w:t>
            </w:r>
          </w:p>
        </w:tc>
        <w:tc>
          <w:tcPr>
            <w:tcW w:w="2412" w:type="dxa"/>
          </w:tcPr>
          <w:p w14:paraId="1BCE287D">
            <w:pPr>
              <w:rPr>
                <w:rFonts w:hint="default" w:ascii="Arial" w:hAnsi="Arial" w:cs="Arial"/>
                <w:sz w:val="22"/>
                <w:szCs w:val="22"/>
              </w:rPr>
            </w:pPr>
            <w:r>
              <w:rPr>
                <w:rFonts w:hint="default" w:ascii="Arial" w:hAnsi="Arial" w:cs="Arial"/>
                <w:sz w:val="22"/>
                <w:szCs w:val="22"/>
              </w:rPr>
              <w:t>Positive contribution margin; lower service/logistics cost</w:t>
            </w:r>
          </w:p>
        </w:tc>
      </w:tr>
      <w:tr w14:paraId="180ED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dxa"/>
          </w:tcPr>
          <w:p w14:paraId="7B6BBCE1">
            <w:pPr>
              <w:rPr>
                <w:rFonts w:hint="default" w:ascii="Arial" w:hAnsi="Arial" w:cs="Arial"/>
                <w:sz w:val="22"/>
                <w:szCs w:val="22"/>
              </w:rPr>
            </w:pPr>
            <w:r>
              <w:rPr>
                <w:rFonts w:hint="default" w:ascii="Arial" w:hAnsi="Arial" w:cs="Arial"/>
                <w:sz w:val="22"/>
                <w:szCs w:val="22"/>
              </w:rPr>
              <w:t>2030</w:t>
            </w:r>
          </w:p>
        </w:tc>
        <w:tc>
          <w:tcPr>
            <w:tcW w:w="2412" w:type="dxa"/>
          </w:tcPr>
          <w:p w14:paraId="1D4A18B1">
            <w:pPr>
              <w:rPr>
                <w:rFonts w:hint="default" w:ascii="Arial" w:hAnsi="Arial" w:cs="Arial"/>
                <w:sz w:val="22"/>
                <w:szCs w:val="22"/>
              </w:rPr>
            </w:pPr>
            <w:r>
              <w:rPr>
                <w:rFonts w:hint="default" w:ascii="Arial" w:hAnsi="Arial" w:cs="Arial"/>
                <w:sz w:val="22"/>
                <w:szCs w:val="22"/>
              </w:rPr>
              <w:t>Review</w:t>
            </w:r>
          </w:p>
        </w:tc>
        <w:tc>
          <w:tcPr>
            <w:tcW w:w="2412" w:type="dxa"/>
          </w:tcPr>
          <w:p w14:paraId="6FA399C9">
            <w:pPr>
              <w:rPr>
                <w:rFonts w:hint="default" w:ascii="Arial" w:hAnsi="Arial" w:cs="Arial"/>
                <w:sz w:val="22"/>
                <w:szCs w:val="22"/>
              </w:rPr>
            </w:pPr>
            <w:r>
              <w:rPr>
                <w:rFonts w:hint="default" w:ascii="Arial" w:hAnsi="Arial" w:cs="Arial"/>
                <w:sz w:val="22"/>
                <w:szCs w:val="22"/>
              </w:rPr>
              <w:t>Evaluate full UK investment and wider European learning</w:t>
            </w:r>
          </w:p>
        </w:tc>
        <w:tc>
          <w:tcPr>
            <w:tcW w:w="2412" w:type="dxa"/>
          </w:tcPr>
          <w:p w14:paraId="4FD9AEF3">
            <w:pPr>
              <w:rPr>
                <w:rFonts w:hint="default" w:ascii="Arial" w:hAnsi="Arial" w:cs="Arial"/>
                <w:sz w:val="22"/>
                <w:szCs w:val="22"/>
              </w:rPr>
            </w:pPr>
            <w:r>
              <w:rPr>
                <w:rFonts w:hint="default" w:ascii="Arial" w:hAnsi="Arial" w:cs="Arial"/>
                <w:sz w:val="22"/>
                <w:szCs w:val="22"/>
              </w:rPr>
              <w:t>Evidence-based FDI decision</w:t>
            </w:r>
          </w:p>
        </w:tc>
      </w:tr>
    </w:tbl>
    <w:p w14:paraId="19D1BD69">
      <w:pPr>
        <w:pStyle w:val="4"/>
        <w:rPr>
          <w:rFonts w:hint="default" w:ascii="Arial" w:hAnsi="Arial" w:cs="Arial"/>
          <w:b w:val="0"/>
          <w:bCs w:val="0"/>
          <w:color w:val="000000" w:themeColor="text1"/>
          <w:sz w:val="22"/>
          <w:szCs w:val="22"/>
          <w:lang w:val="en-GB"/>
          <w14:textFill>
            <w14:solidFill>
              <w14:schemeClr w14:val="tx1"/>
            </w14:solidFill>
          </w14:textFill>
        </w:rPr>
      </w:pPr>
      <w:r>
        <w:rPr>
          <w:rFonts w:hint="default" w:ascii="Arial" w:hAnsi="Arial" w:cs="Arial"/>
          <w:b w:val="0"/>
          <w:bCs w:val="0"/>
          <w:color w:val="000000" w:themeColor="text1"/>
          <w:sz w:val="22"/>
          <w:szCs w:val="22"/>
          <w:lang w:val="en-GB"/>
          <w14:textFill>
            <w14:solidFill>
              <w14:schemeClr w14:val="tx1"/>
            </w14:solidFill>
          </w14:textFill>
        </w:rPr>
        <w:t xml:space="preserve">As we can see only in one country how they earn profit only in 9 months- </w:t>
      </w:r>
    </w:p>
    <w:p w14:paraId="204A2CC6">
      <w:pPr>
        <w:pStyle w:val="4"/>
        <w:jc w:val="center"/>
        <w:rPr>
          <w:rFonts w:hint="default" w:ascii="Arial" w:hAnsi="Arial" w:cs="Arial"/>
          <w:b w:val="0"/>
          <w:bCs w:val="0"/>
          <w:color w:val="000000" w:themeColor="text1"/>
          <w:sz w:val="22"/>
          <w:szCs w:val="22"/>
          <w:lang w:val="en-GB"/>
          <w14:textFill>
            <w14:solidFill>
              <w14:schemeClr w14:val="tx1"/>
            </w14:solidFill>
          </w14:textFill>
        </w:rPr>
      </w:pPr>
      <w:r>
        <w:rPr>
          <w:rFonts w:hint="default" w:ascii="Arial" w:hAnsi="Arial" w:cs="Arial"/>
          <w:b w:val="0"/>
          <w:bCs w:val="0"/>
          <w:color w:val="000000" w:themeColor="text1"/>
          <w:sz w:val="22"/>
          <w:szCs w:val="22"/>
          <w:lang w:val="en-GB"/>
          <w14:textFill>
            <w14:solidFill>
              <w14:schemeClr w14:val="tx1"/>
            </w14:solidFill>
          </w14:textFill>
        </w:rPr>
        <w:drawing>
          <wp:inline distT="0" distB="0" distL="114300" distR="114300">
            <wp:extent cx="3207385" cy="3207385"/>
            <wp:effectExtent l="0" t="0" r="8255" b="8255"/>
            <wp:docPr id="2" name="Picture 2" descr="1777528697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777528697080"/>
                    <pic:cNvPicPr>
                      <a:picLocks noChangeAspect="1"/>
                    </pic:cNvPicPr>
                  </pic:nvPicPr>
                  <pic:blipFill>
                    <a:blip r:embed="rId12"/>
                    <a:stretch>
                      <a:fillRect/>
                    </a:stretch>
                  </pic:blipFill>
                  <pic:spPr>
                    <a:xfrm>
                      <a:off x="0" y="0"/>
                      <a:ext cx="3207385" cy="3207385"/>
                    </a:xfrm>
                    <a:prstGeom prst="rect">
                      <a:avLst/>
                    </a:prstGeom>
                  </pic:spPr>
                </pic:pic>
              </a:graphicData>
            </a:graphic>
          </wp:inline>
        </w:drawing>
      </w:r>
    </w:p>
    <w:p w14:paraId="58BF990F">
      <w:pPr>
        <w:pStyle w:val="4"/>
        <w:rPr>
          <w:rFonts w:hint="default" w:ascii="Arial" w:hAnsi="Arial" w:cs="Arial"/>
          <w:sz w:val="24"/>
          <w:szCs w:val="24"/>
        </w:rPr>
      </w:pPr>
    </w:p>
    <w:p w14:paraId="6D81F37B">
      <w:pPr>
        <w:pStyle w:val="4"/>
        <w:rPr>
          <w:rFonts w:hint="default" w:ascii="Arial" w:hAnsi="Arial" w:cs="Arial"/>
          <w:sz w:val="24"/>
          <w:szCs w:val="24"/>
        </w:rPr>
      </w:pPr>
    </w:p>
    <w:p w14:paraId="627C9EE7">
      <w:pPr>
        <w:pStyle w:val="4"/>
        <w:rPr>
          <w:rFonts w:hint="default" w:ascii="Arial" w:hAnsi="Arial" w:cs="Arial"/>
          <w:sz w:val="24"/>
          <w:szCs w:val="24"/>
        </w:rPr>
      </w:pPr>
      <w:r>
        <w:rPr>
          <w:rFonts w:hint="default" w:ascii="Arial" w:hAnsi="Arial" w:cs="Arial"/>
          <w:sz w:val="24"/>
          <w:szCs w:val="24"/>
        </w:rPr>
        <w:t>3.5 Risks and Mitigation</w:t>
      </w:r>
    </w:p>
    <w:p w14:paraId="5E2E3497">
      <w:pPr>
        <w:rPr>
          <w:rFonts w:hint="default" w:ascii="Arial" w:hAnsi="Arial" w:cs="Arial"/>
          <w:sz w:val="22"/>
          <w:szCs w:val="22"/>
        </w:rPr>
      </w:pPr>
      <w:r>
        <w:rPr>
          <w:rFonts w:hint="default" w:ascii="Arial" w:hAnsi="Arial" w:cs="Arial"/>
          <w:sz w:val="22"/>
          <w:szCs w:val="22"/>
        </w:rPr>
        <w:t>Walton's entry into the UK appliance market would involve several interconnected risks, including brand, regulatory, supply-chain, service, financial, reputational and environmental risks. A structured risk-management framework is therefore necessary to support a controlled internationalisation strategy. As Cavusgil, Knight and Riesenberger (2020) argue, international expansion requires firms to identify country-specific risks while developing mechanisms that protect resources and organisational capabilities.</w:t>
      </w:r>
    </w:p>
    <w:p w14:paraId="190CB77F">
      <w:pPr>
        <w:rPr>
          <w:rFonts w:hint="default" w:ascii="Arial" w:hAnsi="Arial" w:cs="Arial"/>
          <w:sz w:val="22"/>
          <w:szCs w:val="22"/>
        </w:rPr>
      </w:pPr>
    </w:p>
    <w:p w14:paraId="2896005B">
      <w:pPr>
        <w:rPr>
          <w:rFonts w:hint="default" w:ascii="Arial" w:hAnsi="Arial" w:cs="Arial"/>
          <w:sz w:val="22"/>
          <w:szCs w:val="22"/>
        </w:rPr>
      </w:pPr>
      <w:r>
        <w:rPr>
          <w:rFonts w:hint="default" w:ascii="Arial" w:hAnsi="Arial" w:cs="Arial"/>
          <w:sz w:val="22"/>
          <w:szCs w:val="22"/>
        </w:rPr>
        <w:t>Brand risk should be reduced through independent product testing, clear quality standards, robust warranties and systematic review-generation programmes. As a relatively unfamiliar brand in the UK, Walton may initially face uncertainty regarding product quality and reliability. Independent testing and verified customer reviews can provide third-party evidence of performance and reduce perceived purchase risk. However, Walton should avoid positioning itself solely around affordability because competing only on price can weaken margins and make the brand vulnerable to aggressive promotional responses from established competitors (Porter, 1985). Instead, communications should emphasise quality, engineering, energy efficiency, smart technology and dependable after-sales support.</w:t>
      </w:r>
    </w:p>
    <w:p w14:paraId="37FA2BD0">
      <w:pPr>
        <w:rPr>
          <w:rFonts w:hint="default" w:ascii="Arial" w:hAnsi="Arial" w:cs="Arial"/>
          <w:sz w:val="22"/>
          <w:szCs w:val="22"/>
        </w:rPr>
      </w:pPr>
    </w:p>
    <w:p w14:paraId="7105F391">
      <w:pPr>
        <w:rPr>
          <w:rFonts w:hint="default" w:ascii="Arial" w:hAnsi="Arial" w:cs="Arial"/>
          <w:sz w:val="22"/>
          <w:szCs w:val="22"/>
        </w:rPr>
      </w:pPr>
      <w:r>
        <w:rPr>
          <w:rFonts w:hint="default" w:ascii="Arial" w:hAnsi="Arial" w:cs="Arial"/>
          <w:sz w:val="22"/>
          <w:szCs w:val="22"/>
        </w:rPr>
        <w:t>Regulatory risk should be addressed before commercial launch. Walton should establish a clearly responsible UK importer organisation and maintain a comprehensive UK compliance register. Each product family should have appropriate technical documentation, labels, user instructions, declarations of conformity and evidence of applicable testing before being placed on the market (Department for Business and Trade, 2026; Office for Product Safety and Standards, 2026a). This process should also identify differences between UK requirements and regulations in Walton's existing export markets. Compliance responsibility should be assigned to specific managers rather than treated as a general corporate responsibility.</w:t>
      </w:r>
    </w:p>
    <w:p w14:paraId="424CBBC9">
      <w:pPr>
        <w:rPr>
          <w:rFonts w:hint="default" w:ascii="Arial" w:hAnsi="Arial" w:cs="Arial"/>
          <w:sz w:val="22"/>
          <w:szCs w:val="22"/>
        </w:rPr>
      </w:pPr>
      <w:r>
        <w:rPr>
          <w:rFonts w:hint="default" w:ascii="Arial" w:hAnsi="Arial" w:cs="Arial"/>
          <w:sz w:val="22"/>
          <w:szCs w:val="22"/>
        </w:rPr>
        <w:t>Local spare-parts inventories, a variety of freight choices, and suitable UK safety stock can all help reduce supply-chain risk. Because transportation, storage, and reverse logistics can be costly, this is especially crucial for refrigerators, washing machines, and other large appliances. In order to align inventory levels with seasonal demand and promotional activities, Walton should employ demand forecasting. Supply-chain resilience, according to Christopher (2016), depends on visibility, adaptability, and the capacity to react swiftly to shocks. Walton might maintain alternate overseas suppliers and delivery lines while first storing essential spare parts in a UK warehouse.</w:t>
      </w:r>
    </w:p>
    <w:p w14:paraId="7D33262D">
      <w:pPr>
        <w:rPr>
          <w:rFonts w:hint="default" w:ascii="Arial" w:hAnsi="Arial" w:cs="Arial"/>
          <w:sz w:val="22"/>
          <w:szCs w:val="22"/>
        </w:rPr>
      </w:pPr>
      <w:r>
        <w:rPr>
          <w:rFonts w:hint="default" w:ascii="Arial" w:hAnsi="Arial" w:cs="Arial"/>
          <w:sz w:val="22"/>
          <w:szCs w:val="22"/>
        </w:rPr>
        <w:t>Service risk is equally important because poor after-sales support could damage Walton's reputation during the early stages of market entry. The company should appoint qualified UK service providers with measurable service-level agreements covering response times, repair completion, customer communication and spare-parts availability. Warranty data should be systematically collected and transferred to Walton's research and innovation (R&amp;I) teams. This would allow recurring product failures to be identified and incorporated into future product development, creating a feedback loop between UK customers and Walton's manufacturing operations.</w:t>
      </w:r>
    </w:p>
    <w:p w14:paraId="502E5E6D">
      <w:pPr>
        <w:rPr>
          <w:rFonts w:hint="default" w:ascii="Arial" w:hAnsi="Arial" w:cs="Arial"/>
          <w:sz w:val="22"/>
          <w:szCs w:val="22"/>
        </w:rPr>
      </w:pPr>
    </w:p>
    <w:p w14:paraId="2AA0A395">
      <w:pPr>
        <w:rPr>
          <w:rFonts w:hint="default" w:ascii="Arial" w:hAnsi="Arial" w:cs="Arial"/>
          <w:sz w:val="22"/>
          <w:szCs w:val="22"/>
        </w:rPr>
      </w:pPr>
      <w:r>
        <w:rPr>
          <w:rFonts w:hint="default" w:ascii="Arial" w:hAnsi="Arial" w:cs="Arial"/>
          <w:sz w:val="22"/>
          <w:szCs w:val="22"/>
        </w:rPr>
        <w:t>Financial risk should be managed through a stage-gated investment strategy. Rather than committing substantial capital to stores, warehouses and service infrastructure immediately, Walton should begin with a smaller market-testing programme. Additional investment should only be approved when predetermined benchmarks for sales volume, gross margin, customer satisfaction, warranty claims and service performance are achieved. This approach reduces exposure to demand uncertainty and is consistent with the principle of incremental international market commitment (Johanson and Vahlne, 2009).</w:t>
      </w:r>
    </w:p>
    <w:p w14:paraId="6CBCB9D9">
      <w:pPr>
        <w:rPr>
          <w:rFonts w:hint="default" w:ascii="Arial" w:hAnsi="Arial" w:cs="Arial"/>
          <w:sz w:val="22"/>
          <w:szCs w:val="22"/>
        </w:rPr>
      </w:pPr>
      <w:r>
        <w:rPr>
          <w:rFonts w:hint="default" w:ascii="Arial" w:hAnsi="Arial" w:cs="Arial"/>
          <w:sz w:val="22"/>
          <w:szCs w:val="22"/>
        </w:rPr>
        <w:t>Environmental and reputational concerns should be included of Walton's risk framework. The company must comply with applicable energy-efficiency, electrical-product, and WEEE rules and ensure that any environmental representations are supported by reliable data, according to the Department for Environment, Food and Rural Affairs and Office for Product Safety and Standards (2025). Walton ought to avoid using vague terms like "eco-friendly" unless they are verifiable. Instead, quantitative data regarding energy consumption, product durability, recyclability, and packaging reduction should be provided to consumers.</w:t>
      </w:r>
    </w:p>
    <w:p w14:paraId="08BC3901">
      <w:pPr>
        <w:rPr>
          <w:rFonts w:hint="default" w:ascii="Arial" w:hAnsi="Arial" w:cs="Arial"/>
          <w:sz w:val="22"/>
          <w:szCs w:val="22"/>
        </w:rPr>
      </w:pPr>
      <w:r>
        <w:rPr>
          <w:rFonts w:hint="default" w:ascii="Arial" w:hAnsi="Arial" w:cs="Arial"/>
          <w:sz w:val="22"/>
          <w:szCs w:val="22"/>
        </w:rPr>
        <w:t>Finally, Walton should establish a UK risk dashboard reviewed quarterly by senior management. Key indicators could include product returns, warranty claims, delivery failures, customer complaints, service response times, regulatory incidents, stock-outs and environmental-compliance issues. This would allow management to identify problems early and take corrective action before they become significant financial or reputational threats. Overall, a proactive risk-management system would enable Walton to pursue UK expansion while protecting its brand, financial resources and long-term competitive position.</w:t>
      </w:r>
    </w:p>
    <w:p w14:paraId="237D9BA2">
      <w:pPr>
        <w:pStyle w:val="4"/>
        <w:rPr>
          <w:rFonts w:hint="default" w:ascii="Arial" w:hAnsi="Arial" w:cs="Arial"/>
          <w:sz w:val="24"/>
          <w:szCs w:val="24"/>
        </w:rPr>
      </w:pPr>
      <w:r>
        <w:rPr>
          <w:rFonts w:hint="default" w:ascii="Arial" w:hAnsi="Arial" w:cs="Arial"/>
          <w:sz w:val="24"/>
          <w:szCs w:val="24"/>
        </w:rPr>
        <w:t>3.6 Final Recommendation</w:t>
      </w:r>
    </w:p>
    <w:p w14:paraId="40D77A96">
      <w:pPr>
        <w:rPr>
          <w:rFonts w:hint="default" w:ascii="Arial" w:hAnsi="Arial" w:cs="Arial"/>
          <w:sz w:val="22"/>
          <w:szCs w:val="22"/>
        </w:rPr>
      </w:pPr>
      <w:r>
        <w:rPr>
          <w:rFonts w:hint="default" w:ascii="Arial" w:hAnsi="Arial" w:cs="Arial"/>
          <w:sz w:val="22"/>
          <w:szCs w:val="22"/>
        </w:rPr>
        <w:t>Although strategically appealing, Walton finds the UK to be quite demanding. Location advantages include its strong purchasing power, sophisticated distribution, e-commerce, and developed-market learning potential. Ownership benefits come from Walton's manufacturing, R&amp;I, and product capabilities. Deeper internationalization is also supported by its globalization aspirations (Walton Hi-Tech Industries PLC, 2026c).</w:t>
      </w:r>
    </w:p>
    <w:p w14:paraId="50FDDE25">
      <w:pPr>
        <w:rPr>
          <w:rFonts w:hint="default" w:ascii="Arial" w:hAnsi="Arial" w:cs="Arial"/>
          <w:sz w:val="22"/>
          <w:szCs w:val="22"/>
        </w:rPr>
      </w:pPr>
      <w:r>
        <w:rPr>
          <w:rFonts w:hint="default" w:ascii="Arial" w:hAnsi="Arial" w:cs="Arial"/>
          <w:sz w:val="22"/>
          <w:szCs w:val="22"/>
        </w:rPr>
        <w:t>However, market legitimacy rather than production capability is the main obstacle. Customers in the UK require assurance that Walton products are dependable, safe, effective, and supported after purchase. A low-price export approach would be insufficient due to strong incumbents, buyer power, and regulation.</w:t>
      </w:r>
    </w:p>
    <w:p w14:paraId="6781C21E">
      <w:pPr>
        <w:rPr>
          <w:rFonts w:hint="default" w:ascii="Arial" w:hAnsi="Arial" w:cs="Arial"/>
          <w:sz w:val="22"/>
          <w:szCs w:val="22"/>
        </w:rPr>
      </w:pPr>
      <w:r>
        <w:rPr>
          <w:rFonts w:hint="default" w:ascii="Arial" w:hAnsi="Arial" w:cs="Arial"/>
          <w:sz w:val="22"/>
          <w:szCs w:val="22"/>
        </w:rPr>
        <w:t>A phased partnership-led entry, starting with Great Britain, is the ultimate recommendation. Walton should work with a UK commercial organization, carefully chosen distribution and service partners, and control over product engineering and brand standards. Walton should increase investment thru a larger UK subsidiary, local repair capabilities, and possibly local assembly if the first two years show high appeal. This strategy aligns with incremental internationalization, OLI logic, and transnational strategy (Bartlett and Ghoshal, 1989; Dunning, 1988; Johanson and Vahlne, 1977).</w:t>
      </w:r>
      <w:r>
        <w:rPr>
          <w:rFonts w:hint="default" w:ascii="Arial" w:hAnsi="Arial" w:cs="Arial"/>
          <w:sz w:val="22"/>
          <w:szCs w:val="22"/>
        </w:rPr>
        <w:br w:type="page"/>
      </w:r>
    </w:p>
    <w:p w14:paraId="66F1D479">
      <w:pPr>
        <w:pStyle w:val="2"/>
        <w:rPr>
          <w:rFonts w:hint="default" w:ascii="Arial" w:hAnsi="Arial" w:cs="Arial"/>
          <w:sz w:val="22"/>
          <w:szCs w:val="22"/>
        </w:rPr>
      </w:pPr>
      <w:r>
        <w:rPr>
          <w:rFonts w:hint="default" w:ascii="Arial" w:hAnsi="Arial" w:cs="Arial"/>
          <w:sz w:val="24"/>
          <w:szCs w:val="24"/>
        </w:rPr>
        <w:t>Section 2: Reflective Account Using Gibbs' Reflective Cycle</w:t>
      </w:r>
    </w:p>
    <w:p w14:paraId="0D618509">
      <w:pPr>
        <w:pStyle w:val="3"/>
        <w:rPr>
          <w:rFonts w:hint="default" w:ascii="Arial" w:hAnsi="Arial" w:cs="Arial"/>
          <w:b w:val="0"/>
          <w:bCs w:val="0"/>
          <w:color w:val="000000" w:themeColor="text1"/>
          <w:sz w:val="22"/>
          <w:szCs w:val="22"/>
          <w14:textFill>
            <w14:solidFill>
              <w14:schemeClr w14:val="tx1"/>
            </w14:solidFill>
          </w14:textFill>
        </w:rPr>
      </w:pPr>
      <w:r>
        <w:rPr>
          <w:rFonts w:hint="default" w:ascii="Arial" w:hAnsi="Arial" w:cs="Arial"/>
          <w:b w:val="0"/>
          <w:bCs w:val="0"/>
          <w:color w:val="000000" w:themeColor="text1"/>
          <w:sz w:val="22"/>
          <w:szCs w:val="22"/>
          <w14:textFill>
            <w14:solidFill>
              <w14:schemeClr w14:val="tx1"/>
            </w14:solidFill>
          </w14:textFill>
        </w:rPr>
        <w:t>Gibbs' (1988) reflective cycle consists of six stages: description, feelings, assessment, analysis, conclusion, and action plan. This reflection reviews the research and preparation process for the Walton UK international-business assessment.</w:t>
      </w:r>
    </w:p>
    <w:p w14:paraId="783F9B4D">
      <w:pPr>
        <w:pStyle w:val="3"/>
        <w:rPr>
          <w:rFonts w:hint="default" w:ascii="Arial" w:hAnsi="Arial" w:cs="Arial"/>
          <w:sz w:val="24"/>
          <w:szCs w:val="24"/>
          <w:lang w:val="en-GB"/>
        </w:rPr>
      </w:pPr>
      <w:r>
        <w:rPr>
          <w:rFonts w:hint="default" w:ascii="Arial" w:hAnsi="Arial" w:cs="Arial"/>
          <w:sz w:val="24"/>
          <w:szCs w:val="24"/>
        </w:rPr>
        <w:t>Description</w:t>
      </w:r>
      <w:r>
        <w:rPr>
          <w:rFonts w:hint="default" w:ascii="Arial" w:hAnsi="Arial" w:cs="Arial"/>
          <w:sz w:val="24"/>
          <w:szCs w:val="24"/>
          <w:lang w:val="en-GB"/>
        </w:rPr>
        <w:t xml:space="preserve"> </w:t>
      </w:r>
    </w:p>
    <w:p w14:paraId="0E23D3ED">
      <w:pPr>
        <w:rPr>
          <w:rFonts w:hint="default" w:ascii="Arial" w:hAnsi="Arial" w:cs="Arial"/>
          <w:lang w:val="en-GB"/>
        </w:rPr>
      </w:pPr>
      <w:r>
        <w:rPr>
          <w:rFonts w:hint="default" w:ascii="Arial" w:hAnsi="Arial" w:cs="Arial"/>
          <w:lang w:val="en-GB"/>
        </w:rPr>
        <w:t>The assessment procedure began with classifying the multinational, evaluating its global strategy, examining the host market, using OLI, comparing entry modes, and coming up with a recommendation. Walton, a prominent Bangladeshi appliance and electronics firm with international goals, was selected. The analysis combined academic sources for theory with Walton and UK government sources for business and regulatory evidence.</w:t>
      </w:r>
    </w:p>
    <w:p w14:paraId="50ADD051">
      <w:pPr>
        <w:pStyle w:val="3"/>
        <w:rPr>
          <w:rFonts w:hint="default" w:ascii="Arial" w:hAnsi="Arial" w:cs="Arial"/>
          <w:sz w:val="24"/>
          <w:szCs w:val="24"/>
        </w:rPr>
      </w:pPr>
      <w:r>
        <w:rPr>
          <w:rFonts w:hint="default" w:ascii="Arial" w:hAnsi="Arial" w:cs="Arial"/>
          <w:sz w:val="24"/>
          <w:szCs w:val="24"/>
        </w:rPr>
        <w:t>Feelings</w:t>
      </w:r>
    </w:p>
    <w:p w14:paraId="5AF2BD1F">
      <w:pPr>
        <w:rPr>
          <w:rFonts w:hint="default" w:ascii="Arial" w:hAnsi="Arial" w:cs="Arial"/>
        </w:rPr>
      </w:pPr>
      <w:r>
        <w:rPr>
          <w:rFonts w:hint="default" w:ascii="Arial" w:hAnsi="Arial" w:cs="Arial"/>
        </w:rPr>
        <w:t>There was a possibility that a descriptive report rather than a critical analysis would be generated because there were initially so many frameworks. The process became clearer as each framework was linked to a specific decision. Researching Walton was made more challenging by the fact that different corporate pages define the company's global presence in different ways. This demonstrated how important it is to distinguish between reliable evidence and speculation.</w:t>
      </w:r>
    </w:p>
    <w:p w14:paraId="5E3D46DA">
      <w:pPr>
        <w:pStyle w:val="3"/>
        <w:rPr>
          <w:rFonts w:hint="default" w:ascii="Arial" w:hAnsi="Arial" w:cs="Arial"/>
          <w:sz w:val="24"/>
          <w:szCs w:val="24"/>
          <w:lang w:val="en-GB"/>
        </w:rPr>
      </w:pPr>
      <w:r>
        <w:rPr>
          <w:rFonts w:hint="default" w:ascii="Arial" w:hAnsi="Arial" w:cs="Arial"/>
          <w:sz w:val="24"/>
          <w:szCs w:val="24"/>
        </w:rPr>
        <w:t>Evaluation</w:t>
      </w:r>
      <w:r>
        <w:rPr>
          <w:rFonts w:hint="default" w:ascii="Arial" w:hAnsi="Arial" w:cs="Arial"/>
          <w:sz w:val="24"/>
          <w:szCs w:val="24"/>
          <w:lang w:val="en-GB"/>
        </w:rPr>
        <w:t xml:space="preserve"> </w:t>
      </w:r>
    </w:p>
    <w:p w14:paraId="1433C584">
      <w:pPr>
        <w:rPr>
          <w:rFonts w:hint="default" w:ascii="Arial" w:hAnsi="Arial" w:cs="Arial"/>
          <w:sz w:val="24"/>
          <w:szCs w:val="24"/>
          <w:lang w:val="en-GB"/>
        </w:rPr>
      </w:pPr>
      <w:r>
        <w:rPr>
          <w:rFonts w:hint="default" w:ascii="Arial" w:hAnsi="Arial" w:cs="Arial"/>
          <w:sz w:val="24"/>
          <w:szCs w:val="24"/>
          <w:lang w:val="en-GB"/>
        </w:rPr>
        <w:t>The process's best feature was its ability to integrate theory with current primary data. Bartlett and Ghoshal helped determine the appropriate balance between standardization and local responsiveness, while OLI helped compare exports, partnerships, and foreign investment. Tables also made it easier to assess trade-offs. The lack of publicly accessible UK sales, market share, and customer acquisition statistics impeded a fully defined investment case.</w:t>
      </w:r>
    </w:p>
    <w:p w14:paraId="4E6B2B79">
      <w:pPr>
        <w:pStyle w:val="3"/>
        <w:rPr>
          <w:rFonts w:hint="default" w:ascii="Arial" w:hAnsi="Arial" w:cs="Arial"/>
          <w:sz w:val="24"/>
          <w:szCs w:val="24"/>
          <w:lang w:val="en-GB"/>
        </w:rPr>
      </w:pPr>
      <w:r>
        <w:rPr>
          <w:rFonts w:hint="default" w:ascii="Arial" w:hAnsi="Arial" w:cs="Arial"/>
          <w:sz w:val="24"/>
          <w:szCs w:val="24"/>
        </w:rPr>
        <w:t>Analysis</w:t>
      </w:r>
      <w:r>
        <w:rPr>
          <w:rFonts w:hint="default" w:ascii="Arial" w:hAnsi="Arial" w:cs="Arial"/>
          <w:sz w:val="24"/>
          <w:szCs w:val="24"/>
          <w:lang w:val="en-GB"/>
        </w:rPr>
        <w:t xml:space="preserve"> </w:t>
      </w:r>
    </w:p>
    <w:p w14:paraId="314E78A7">
      <w:pPr>
        <w:rPr>
          <w:rFonts w:hint="default" w:ascii="Arial" w:hAnsi="Arial" w:cs="Arial"/>
          <w:lang w:val="en-GB"/>
        </w:rPr>
      </w:pPr>
      <w:r>
        <w:rPr>
          <w:rFonts w:hint="default" w:ascii="Arial" w:hAnsi="Arial" w:cs="Arial"/>
          <w:lang w:val="en-GB"/>
        </w:rPr>
        <w:t>The research states that international expansion is a strategic-fit issue. Walton's manufacturing competence does not automatically mean that local service, regulatory knowledge, and brand development are no longer necessary. Due to UK compliance requirements, the regulation was modified from a generic PESTEL element to a specific entry-mode concern. Walton should employ local partners for distribution and service while internalizing core engineering and quality, as exemplified by Dunning's architecture. Johanson and Vahlne's (1977) incremental internationalization notion supported a tiered learning approach.</w:t>
      </w:r>
    </w:p>
    <w:p w14:paraId="279D5229">
      <w:pPr>
        <w:pStyle w:val="3"/>
        <w:rPr>
          <w:rFonts w:hint="default" w:ascii="Arial" w:hAnsi="Arial" w:cs="Arial"/>
          <w:sz w:val="24"/>
          <w:szCs w:val="24"/>
          <w:lang w:val="en-GB"/>
        </w:rPr>
      </w:pPr>
      <w:r>
        <w:rPr>
          <w:rFonts w:hint="default" w:ascii="Arial" w:hAnsi="Arial" w:cs="Arial"/>
          <w:sz w:val="24"/>
          <w:szCs w:val="24"/>
        </w:rPr>
        <w:t>Conclusion</w:t>
      </w:r>
      <w:r>
        <w:rPr>
          <w:rFonts w:hint="default" w:ascii="Arial" w:hAnsi="Arial" w:cs="Arial"/>
          <w:sz w:val="24"/>
          <w:szCs w:val="24"/>
          <w:lang w:val="en-GB"/>
        </w:rPr>
        <w:t xml:space="preserve"> </w:t>
      </w:r>
    </w:p>
    <w:p w14:paraId="727C0B61">
      <w:pPr>
        <w:rPr>
          <w:rFonts w:hint="default" w:ascii="Arial" w:hAnsi="Arial" w:cs="Arial"/>
          <w:sz w:val="24"/>
          <w:szCs w:val="24"/>
          <w:lang w:val="en-GB"/>
        </w:rPr>
      </w:pPr>
      <w:r>
        <w:rPr>
          <w:rFonts w:hint="default" w:ascii="Arial" w:hAnsi="Arial" w:cs="Arial"/>
          <w:sz w:val="24"/>
          <w:szCs w:val="24"/>
          <w:lang w:val="en-GB"/>
        </w:rPr>
        <w:t>The approach was improved by combining academic theory, current government rules, and evidence particular to the company. The most crucial lesson was that any external situation must be connected to Walton's resources, risks, and strategic choices.</w:t>
      </w:r>
    </w:p>
    <w:p w14:paraId="13ED1370">
      <w:pPr>
        <w:pStyle w:val="3"/>
        <w:rPr>
          <w:rFonts w:hint="default" w:ascii="Arial" w:hAnsi="Arial" w:cs="Arial"/>
          <w:sz w:val="24"/>
          <w:szCs w:val="24"/>
        </w:rPr>
      </w:pPr>
      <w:r>
        <w:rPr>
          <w:rFonts w:hint="default" w:ascii="Arial" w:hAnsi="Arial" w:cs="Arial"/>
          <w:sz w:val="24"/>
          <w:szCs w:val="24"/>
        </w:rPr>
        <w:t>Action Plan</w:t>
      </w:r>
    </w:p>
    <w:p w14:paraId="6F0BDC17">
      <w:pPr>
        <w:rPr>
          <w:rFonts w:hint="default" w:ascii="Arial" w:hAnsi="Arial" w:cs="Arial"/>
          <w:sz w:val="24"/>
          <w:szCs w:val="24"/>
        </w:rPr>
      </w:pPr>
      <w:r>
        <w:rPr>
          <w:rFonts w:hint="default" w:ascii="Arial" w:hAnsi="Arial" w:cs="Arial"/>
          <w:sz w:val="24"/>
          <w:szCs w:val="24"/>
        </w:rPr>
        <w:t>Future evaluations should begin with a source map that links each assessment criterion to a theoretical framework and trustworthy evidence. A competitiveness matrix and financial sensitivity analysis must be produced as soon as possible. Current regulatory assertions should be double-checked before submission, and corporate and market evidence should be differentiated. These steps would improve critical efficiency, precision, and depth.</w:t>
      </w:r>
    </w:p>
    <w:p w14:paraId="66D7154E">
      <w:pPr>
        <w:rPr>
          <w:rFonts w:hint="default" w:ascii="Arial" w:hAnsi="Arial" w:cs="Arial"/>
          <w:sz w:val="24"/>
          <w:szCs w:val="24"/>
        </w:rPr>
      </w:pPr>
    </w:p>
    <w:p w14:paraId="229D91DF">
      <w:pPr>
        <w:rPr>
          <w:rFonts w:hint="default" w:ascii="Arial" w:hAnsi="Arial" w:cs="Arial"/>
          <w:sz w:val="24"/>
          <w:szCs w:val="24"/>
        </w:rPr>
      </w:pPr>
    </w:p>
    <w:p w14:paraId="1B7D153E">
      <w:pPr>
        <w:rPr>
          <w:rFonts w:hint="default" w:ascii="Arial" w:hAnsi="Arial" w:cs="Arial"/>
          <w:sz w:val="24"/>
          <w:szCs w:val="24"/>
        </w:rPr>
      </w:pPr>
    </w:p>
    <w:p w14:paraId="303EC12E">
      <w:pPr>
        <w:rPr>
          <w:rFonts w:hint="default" w:ascii="Arial" w:hAnsi="Arial" w:cs="Arial"/>
          <w:sz w:val="24"/>
          <w:szCs w:val="24"/>
        </w:rPr>
      </w:pPr>
    </w:p>
    <w:p w14:paraId="7687F3EB">
      <w:pPr>
        <w:rPr>
          <w:rFonts w:hint="default" w:ascii="Arial" w:hAnsi="Arial" w:cs="Arial"/>
          <w:sz w:val="24"/>
          <w:szCs w:val="24"/>
        </w:rPr>
      </w:pPr>
    </w:p>
    <w:p w14:paraId="466DFD33">
      <w:pPr>
        <w:rPr>
          <w:rFonts w:hint="default" w:ascii="Arial" w:hAnsi="Arial" w:cs="Arial"/>
          <w:sz w:val="24"/>
          <w:szCs w:val="24"/>
        </w:rPr>
      </w:pPr>
    </w:p>
    <w:p w14:paraId="02353AD2">
      <w:pPr>
        <w:rPr>
          <w:rFonts w:hint="default" w:ascii="Arial" w:hAnsi="Arial" w:cs="Arial"/>
          <w:sz w:val="24"/>
          <w:szCs w:val="24"/>
        </w:rPr>
      </w:pPr>
    </w:p>
    <w:p w14:paraId="33E7C3B3">
      <w:pPr>
        <w:rPr>
          <w:rFonts w:hint="default" w:ascii="Arial" w:hAnsi="Arial" w:cs="Arial"/>
          <w:sz w:val="24"/>
          <w:szCs w:val="24"/>
        </w:rPr>
      </w:pPr>
    </w:p>
    <w:p w14:paraId="516AB268">
      <w:pPr>
        <w:rPr>
          <w:rFonts w:hint="default" w:ascii="Arial" w:hAnsi="Arial" w:cs="Arial"/>
          <w:sz w:val="24"/>
          <w:szCs w:val="24"/>
        </w:rPr>
      </w:pPr>
    </w:p>
    <w:p w14:paraId="293BA236">
      <w:pPr>
        <w:rPr>
          <w:rFonts w:hint="default" w:ascii="Arial" w:hAnsi="Arial" w:cs="Arial"/>
          <w:sz w:val="24"/>
          <w:szCs w:val="24"/>
        </w:rPr>
      </w:pPr>
    </w:p>
    <w:p w14:paraId="6F2EF4CC">
      <w:pPr>
        <w:rPr>
          <w:rFonts w:hint="default" w:ascii="Arial" w:hAnsi="Arial" w:cs="Arial"/>
          <w:sz w:val="24"/>
          <w:szCs w:val="24"/>
        </w:rPr>
      </w:pPr>
    </w:p>
    <w:p w14:paraId="5804A692">
      <w:pPr>
        <w:rPr>
          <w:rFonts w:hint="default" w:ascii="Arial" w:hAnsi="Arial" w:cs="Arial"/>
          <w:sz w:val="24"/>
          <w:szCs w:val="24"/>
        </w:rPr>
      </w:pPr>
    </w:p>
    <w:p w14:paraId="3EEB9C76">
      <w:pPr>
        <w:rPr>
          <w:rFonts w:hint="default" w:ascii="Arial" w:hAnsi="Arial" w:cs="Arial"/>
          <w:sz w:val="24"/>
          <w:szCs w:val="24"/>
        </w:rPr>
      </w:pPr>
    </w:p>
    <w:p w14:paraId="0F0D3FD8">
      <w:pPr>
        <w:rPr>
          <w:rFonts w:hint="default" w:ascii="Arial" w:hAnsi="Arial" w:cs="Arial"/>
          <w:sz w:val="24"/>
          <w:szCs w:val="24"/>
        </w:rPr>
      </w:pPr>
    </w:p>
    <w:p w14:paraId="0D7A1385">
      <w:pPr>
        <w:rPr>
          <w:rFonts w:hint="default" w:ascii="Arial" w:hAnsi="Arial" w:cs="Arial"/>
          <w:sz w:val="24"/>
          <w:szCs w:val="24"/>
        </w:rPr>
      </w:pPr>
    </w:p>
    <w:p w14:paraId="195183C8">
      <w:pPr>
        <w:rPr>
          <w:rFonts w:hint="default" w:ascii="Arial" w:hAnsi="Arial" w:cs="Arial"/>
          <w:b/>
          <w:bCs/>
          <w:color w:val="376092" w:themeColor="accent1" w:themeShade="BF"/>
          <w:sz w:val="24"/>
          <w:szCs w:val="24"/>
          <w:lang w:val="en-GB"/>
        </w:rPr>
      </w:pPr>
      <w:r>
        <w:rPr>
          <w:rFonts w:hint="default" w:ascii="Arial" w:hAnsi="Arial" w:cs="Arial"/>
          <w:b/>
          <w:bCs/>
          <w:color w:val="376092" w:themeColor="accent1" w:themeShade="BF"/>
          <w:sz w:val="24"/>
          <w:szCs w:val="24"/>
          <w:lang w:val="en-GB"/>
        </w:rPr>
        <w:t xml:space="preserve">Conclusion: </w:t>
      </w:r>
    </w:p>
    <w:p w14:paraId="1FE4F6CD">
      <w:pPr>
        <w:rPr>
          <w:rFonts w:hint="default" w:ascii="Arial" w:hAnsi="Arial" w:cs="Arial"/>
          <w:b w:val="0"/>
          <w:bCs w:val="0"/>
          <w:color w:val="000000" w:themeColor="text1"/>
          <w:sz w:val="22"/>
          <w:szCs w:val="22"/>
          <w:lang w:val="en-GB"/>
          <w14:textFill>
            <w14:solidFill>
              <w14:schemeClr w14:val="tx1"/>
            </w14:solidFill>
          </w14:textFill>
        </w:rPr>
      </w:pPr>
      <w:r>
        <w:rPr>
          <w:rFonts w:hint="default" w:ascii="Arial" w:hAnsi="Arial" w:cs="Arial"/>
          <w:b w:val="0"/>
          <w:bCs w:val="0"/>
          <w:color w:val="000000" w:themeColor="text1"/>
          <w:sz w:val="22"/>
          <w:szCs w:val="22"/>
          <w:lang w:val="en-GB"/>
          <w14:textFill>
            <w14:solidFill>
              <w14:schemeClr w14:val="tx1"/>
            </w14:solidFill>
          </w14:textFill>
        </w:rPr>
        <w:t>Walton's planned entry into the UK is a strategically appealing opportunity, but the company's ability to successfully expand internationally will depend on its capacity to apply its current manufacturing and innovation strengths in a market with fierce competition, picky customers, and stringent regulations. With a wide range of televisions, refrigerators, air conditioners, and home appliances, as well as a sizable manufacturing capacity, research and innovation capabilities, and experience in numerous international markets, Walton already has substantial international capabilities (Walton Hi-Tech Industries PLC, 2026a). The strategic justification for strengthening its position in developed markets is further supported by the company's goal of being one of the top consumer electronics brands in the world by 2030 (Walton Hi-Tech Industries PLC, 2026b).</w:t>
      </w:r>
    </w:p>
    <w:p w14:paraId="2BA8B6A9">
      <w:pPr>
        <w:rPr>
          <w:rFonts w:hint="default" w:ascii="Arial" w:hAnsi="Arial" w:cs="Arial"/>
          <w:b w:val="0"/>
          <w:bCs w:val="0"/>
          <w:color w:val="000000" w:themeColor="text1"/>
          <w:sz w:val="22"/>
          <w:szCs w:val="22"/>
          <w:lang w:val="en-GB"/>
          <w14:textFill>
            <w14:solidFill>
              <w14:schemeClr w14:val="tx1"/>
            </w14:solidFill>
          </w14:textFill>
        </w:rPr>
      </w:pPr>
      <w:r>
        <w:rPr>
          <w:rFonts w:hint="default" w:ascii="Arial" w:hAnsi="Arial" w:cs="Arial"/>
          <w:b w:val="0"/>
          <w:bCs w:val="0"/>
          <w:color w:val="000000" w:themeColor="text1"/>
          <w:sz w:val="22"/>
          <w:szCs w:val="22"/>
          <w:lang w:val="en-GB"/>
          <w14:textFill>
            <w14:solidFill>
              <w14:schemeClr w14:val="tx1"/>
            </w14:solidFill>
          </w14:textFill>
        </w:rPr>
        <w:t>Because customers have access to sophisticated online and physical retail channels, the UK market has the potential to be appealing. Additionally, chances for differentiated value propositions are created by the desire for energy-efficient and technologically advanced appliances. Walton shouldn't enter the market primarily as a low-price competitor, according to the report. Due to strong consumer power and well-known global brands, price competition alone may lead to low profitability and little long-term brand equity. Walton should instead take a "smart value challenger" stance, which combines competitive pricing with high-quality engineering, energy efficiency, smart technology, modern design, durability, and dependable after-sales support. This would enable the business to stand between high-end technological brands and generic, inexpensive substitutes.</w:t>
      </w:r>
    </w:p>
    <w:p w14:paraId="2FD0A7A5">
      <w:pPr>
        <w:rPr>
          <w:rFonts w:hint="default" w:ascii="Arial" w:hAnsi="Arial" w:cs="Arial"/>
          <w:b w:val="0"/>
          <w:bCs w:val="0"/>
          <w:color w:val="000000" w:themeColor="text1"/>
          <w:sz w:val="22"/>
          <w:szCs w:val="22"/>
          <w:lang w:val="en-GB"/>
          <w14:textFill>
            <w14:solidFill>
              <w14:schemeClr w14:val="tx1"/>
            </w14:solidFill>
          </w14:textFill>
        </w:rPr>
      </w:pPr>
      <w:r>
        <w:rPr>
          <w:rFonts w:hint="default" w:ascii="Arial" w:hAnsi="Arial" w:cs="Arial"/>
          <w:b w:val="0"/>
          <w:bCs w:val="0"/>
          <w:color w:val="000000" w:themeColor="text1"/>
          <w:sz w:val="22"/>
          <w:szCs w:val="22"/>
          <w:lang w:val="en-GB"/>
          <w14:textFill>
            <w14:solidFill>
              <w14:schemeClr w14:val="tx1"/>
            </w14:solidFill>
          </w14:textFill>
        </w:rPr>
        <w:t>Thus, a phased, partnership-led approach is the suggested entrance method. Walton would be able to evaluate demand while reducing capital exposure by first exporting directly thru e-commerce and a few specialized wholesalers. The business may create a distinct UK sales and service division once sales, profits, customer happiness, and service performance hit preset benchmarks. While Walton maintains control over its product specs, brand identification, price strategy, and customer data, strategic partnerships should initially offer local experience in logistics, installation, repairs, and retail access. Such a gradual commitment is in line with the concept of incremental internationalization and lessens uncertainty (Johanson and Vahlne, 2009).</w:t>
      </w:r>
    </w:p>
    <w:p w14:paraId="65319129">
      <w:pPr>
        <w:rPr>
          <w:rFonts w:hint="default" w:ascii="Arial" w:hAnsi="Arial" w:cs="Arial"/>
          <w:b w:val="0"/>
          <w:bCs w:val="0"/>
          <w:color w:val="000000" w:themeColor="text1"/>
          <w:sz w:val="22"/>
          <w:szCs w:val="22"/>
          <w:lang w:val="en-GB"/>
          <w14:textFill>
            <w14:solidFill>
              <w14:schemeClr w14:val="tx1"/>
            </w14:solidFill>
          </w14:textFill>
        </w:rPr>
      </w:pPr>
      <w:r>
        <w:rPr>
          <w:rFonts w:hint="default" w:ascii="Arial" w:hAnsi="Arial" w:cs="Arial"/>
          <w:b w:val="0"/>
          <w:bCs w:val="0"/>
          <w:color w:val="000000" w:themeColor="text1"/>
          <w:sz w:val="22"/>
          <w:szCs w:val="22"/>
          <w:lang w:val="en-GB"/>
          <w14:textFill>
            <w14:solidFill>
              <w14:schemeClr w14:val="tx1"/>
            </w14:solidFill>
          </w14:textFill>
        </w:rPr>
        <w:t>Implementation must continue to revolve around regulatory compliance. UK energy-information regulations apply to products like air conditioners, refrigerators, washing machines, and televisions, and suppliers are required to keep up-to-date technical records and product information (Department for Energy Security and Net Zero and Office for Product Safety and Standards, 2026a). Several of Walton's suggested product categories are also subject to Ecodesign criteria, which call for conformity paperwork and suitable importer duties (Department for Energy Security and Net Zero and Office for Product Safety and Standards, 2026b). Walton would also have to deal with UK WEEE obligations for electrical and electronic products sold (Environment Agency, 2025).</w:t>
      </w:r>
    </w:p>
    <w:p w14:paraId="58FB6CE0">
      <w:pPr>
        <w:rPr>
          <w:rFonts w:hint="default" w:ascii="Arial" w:hAnsi="Arial" w:cs="Arial"/>
          <w:sz w:val="24"/>
          <w:szCs w:val="24"/>
          <w:lang w:val="en-GB"/>
        </w:rPr>
      </w:pPr>
      <w:r>
        <w:rPr>
          <w:rFonts w:hint="default" w:ascii="Arial" w:hAnsi="Arial" w:cs="Arial"/>
          <w:sz w:val="24"/>
          <w:szCs w:val="24"/>
        </w:rPr>
        <w:t>All things considered, Walton has the manufacturing capacity, product variety, technological know-how, and global ambition to seek UK expansion; nevertheless, competence by itself does not ensure success. The business should approach the market with caution, confirm customer demand, build a solid after-sales network in the UK, and employ smart technology and energy efficiency as important differentiators. The best balance between growth and risk would be achieved by a phased investment program backed by robust compliance systems, local alliances, and ongoing customer feedback. Therefore, rather than aiming for quick market penetration, Walton should pursue the UK market thru a regulated, partnership-supported, and gradually scaled entrance strategy, laying the groundwork for long-term brand development. With this strategy, Walton would be able to learn from one of the most advanced consumer marketplaces in the world while also strengthening its aspirations to become a global brand.</w:t>
      </w:r>
      <w:r>
        <w:rPr>
          <w:rFonts w:hint="default" w:ascii="Arial" w:hAnsi="Arial" w:cs="Arial"/>
          <w:sz w:val="24"/>
          <w:szCs w:val="24"/>
          <w:lang w:val="en-GB"/>
        </w:rPr>
        <w:t xml:space="preserve"> </w:t>
      </w:r>
    </w:p>
    <w:p w14:paraId="7D10DB28">
      <w:pPr>
        <w:rPr>
          <w:rFonts w:hint="default" w:ascii="Arial" w:hAnsi="Arial" w:cs="Arial"/>
          <w:sz w:val="24"/>
          <w:szCs w:val="24"/>
          <w:lang w:val="en-GB"/>
        </w:rPr>
      </w:pPr>
    </w:p>
    <w:p w14:paraId="120518D0">
      <w:pPr>
        <w:rPr>
          <w:rFonts w:hint="default" w:ascii="Arial" w:hAnsi="Arial" w:cs="Arial"/>
          <w:sz w:val="24"/>
          <w:szCs w:val="24"/>
          <w:lang w:val="en-GB"/>
        </w:rPr>
      </w:pPr>
    </w:p>
    <w:p w14:paraId="2B92F2A6">
      <w:pPr>
        <w:rPr>
          <w:rFonts w:hint="default" w:ascii="Arial" w:hAnsi="Arial" w:cs="Arial"/>
          <w:sz w:val="24"/>
          <w:szCs w:val="24"/>
          <w:lang w:val="en-GB"/>
        </w:rPr>
      </w:pPr>
    </w:p>
    <w:p w14:paraId="5B3A81F9">
      <w:pPr>
        <w:rPr>
          <w:rFonts w:hint="default" w:ascii="Arial" w:hAnsi="Arial" w:cs="Arial"/>
          <w:sz w:val="24"/>
          <w:szCs w:val="24"/>
          <w:lang w:val="en-GB"/>
        </w:rPr>
      </w:pPr>
    </w:p>
    <w:p w14:paraId="62544D74">
      <w:pPr>
        <w:rPr>
          <w:rFonts w:hint="default" w:ascii="Arial" w:hAnsi="Arial" w:cs="Arial"/>
          <w:sz w:val="24"/>
          <w:szCs w:val="24"/>
          <w:lang w:val="en-GB"/>
        </w:rPr>
      </w:pPr>
    </w:p>
    <w:p w14:paraId="25EDF8D1">
      <w:pPr>
        <w:rPr>
          <w:rFonts w:hint="default" w:ascii="Arial" w:hAnsi="Arial" w:cs="Arial"/>
          <w:sz w:val="24"/>
          <w:szCs w:val="24"/>
          <w:lang w:val="en-GB"/>
        </w:rPr>
      </w:pPr>
    </w:p>
    <w:p w14:paraId="495256CE">
      <w:pPr>
        <w:rPr>
          <w:rFonts w:hint="default" w:ascii="Arial" w:hAnsi="Arial" w:cs="Arial"/>
          <w:sz w:val="24"/>
          <w:szCs w:val="24"/>
          <w:lang w:val="en-GB"/>
        </w:rPr>
      </w:pPr>
    </w:p>
    <w:p w14:paraId="20FFB652">
      <w:pPr>
        <w:rPr>
          <w:rFonts w:hint="default" w:ascii="Arial" w:hAnsi="Arial" w:cs="Arial"/>
          <w:sz w:val="24"/>
          <w:szCs w:val="24"/>
          <w:lang w:val="en-GB"/>
        </w:rPr>
      </w:pPr>
    </w:p>
    <w:p w14:paraId="73E726C8">
      <w:pPr>
        <w:rPr>
          <w:rFonts w:hint="default" w:ascii="Arial" w:hAnsi="Arial" w:cs="Arial"/>
          <w:sz w:val="24"/>
          <w:szCs w:val="24"/>
          <w:lang w:val="en-GB"/>
        </w:rPr>
      </w:pPr>
    </w:p>
    <w:p w14:paraId="3BD4CD19">
      <w:pPr>
        <w:rPr>
          <w:rFonts w:hint="default" w:ascii="Arial" w:hAnsi="Arial" w:cs="Arial"/>
          <w:sz w:val="24"/>
          <w:szCs w:val="24"/>
        </w:rPr>
      </w:pPr>
    </w:p>
    <w:p w14:paraId="72B8FBE6">
      <w:pPr>
        <w:rPr>
          <w:rFonts w:hint="default" w:ascii="Arial" w:hAnsi="Arial" w:cs="Arial"/>
          <w:sz w:val="24"/>
          <w:szCs w:val="24"/>
        </w:rPr>
      </w:pPr>
    </w:p>
    <w:p w14:paraId="4645B02A">
      <w:pPr>
        <w:rPr>
          <w:rFonts w:hint="default" w:ascii="Arial" w:hAnsi="Arial" w:cs="Arial"/>
          <w:sz w:val="24"/>
          <w:szCs w:val="24"/>
        </w:rPr>
      </w:pPr>
    </w:p>
    <w:p w14:paraId="6005331E">
      <w:pPr>
        <w:pStyle w:val="2"/>
        <w:rPr>
          <w:rFonts w:hint="default" w:ascii="Arial" w:hAnsi="Arial" w:cs="Arial"/>
          <w:sz w:val="24"/>
          <w:szCs w:val="24"/>
        </w:rPr>
      </w:pPr>
    </w:p>
    <w:p w14:paraId="4486F727">
      <w:pPr>
        <w:pStyle w:val="2"/>
        <w:rPr>
          <w:rFonts w:hint="default" w:ascii="Arial" w:hAnsi="Arial" w:cs="Arial"/>
          <w:sz w:val="24"/>
          <w:szCs w:val="24"/>
        </w:rPr>
      </w:pPr>
      <w:r>
        <w:rPr>
          <w:rFonts w:hint="default" w:ascii="Arial" w:hAnsi="Arial" w:cs="Arial"/>
          <w:sz w:val="24"/>
          <w:szCs w:val="24"/>
        </w:rPr>
        <w:t>References</w:t>
      </w:r>
    </w:p>
    <w:p w14:paraId="00A6D787">
      <w:pPr>
        <w:rPr>
          <w:rFonts w:hint="default" w:ascii="Arial" w:hAnsi="Arial" w:cs="Arial"/>
        </w:rPr>
      </w:pPr>
    </w:p>
    <w:p w14:paraId="31035DC9">
      <w:pPr>
        <w:rPr>
          <w:rFonts w:hint="default" w:ascii="Arial" w:hAnsi="Arial" w:cs="Arial"/>
          <w:sz w:val="22"/>
          <w:szCs w:val="22"/>
        </w:rPr>
      </w:pPr>
      <w:r>
        <w:rPr>
          <w:rFonts w:hint="default" w:ascii="Arial" w:hAnsi="Arial" w:cs="Arial"/>
          <w:sz w:val="22"/>
          <w:szCs w:val="22"/>
        </w:rPr>
        <w:t>Bartlett, C.A. and Ghoshal, S. (1989) Managing Across Borders: The Transnational Solution. Boston, MA: Harvard Business School Press.</w:t>
      </w:r>
    </w:p>
    <w:p w14:paraId="28C75FC8">
      <w:pPr>
        <w:rPr>
          <w:rFonts w:hint="default" w:ascii="Arial" w:hAnsi="Arial" w:cs="Arial"/>
          <w:sz w:val="22"/>
          <w:szCs w:val="22"/>
        </w:rPr>
      </w:pPr>
      <w:r>
        <w:rPr>
          <w:rFonts w:hint="default" w:ascii="Arial" w:hAnsi="Arial" w:cs="Arial"/>
          <w:sz w:val="22"/>
          <w:szCs w:val="22"/>
        </w:rPr>
        <w:t>Department for Business and Trade (2026) Product regulations by sector and current approaches to UKCA and CE regimes. Available at: https://www.gov.uk/government/publications/product-regulations-by-sector-and-current-approaches-to-ukca-and-ce-regimes (Accessed: 12 August 2026).</w:t>
      </w:r>
    </w:p>
    <w:p w14:paraId="39E39847">
      <w:pPr>
        <w:rPr>
          <w:rFonts w:hint="default" w:ascii="Arial" w:hAnsi="Arial" w:cs="Arial"/>
          <w:sz w:val="22"/>
          <w:szCs w:val="22"/>
        </w:rPr>
      </w:pPr>
      <w:r>
        <w:rPr>
          <w:rFonts w:hint="default" w:ascii="Arial" w:hAnsi="Arial" w:cs="Arial"/>
          <w:sz w:val="22"/>
          <w:szCs w:val="22"/>
        </w:rPr>
        <w:t>Department for Energy Security and Net Zero and Office for Product Safety and Standards (2026a) Regulations: energy information. Available at: https://www.gov.uk/guidance/the-energy-labelling-of-products (Accessed: 12 August 2026).</w:t>
      </w:r>
    </w:p>
    <w:p w14:paraId="5BD1E309">
      <w:pPr>
        <w:rPr>
          <w:rFonts w:hint="default" w:ascii="Arial" w:hAnsi="Arial" w:cs="Arial"/>
          <w:sz w:val="22"/>
          <w:szCs w:val="22"/>
        </w:rPr>
      </w:pPr>
      <w:r>
        <w:rPr>
          <w:rFonts w:hint="default" w:ascii="Arial" w:hAnsi="Arial" w:cs="Arial"/>
          <w:sz w:val="22"/>
          <w:szCs w:val="22"/>
        </w:rPr>
        <w:t>Department for Energy Security and Net Zero and Office for Product Safety and Standards (2026b) Regulations: ecodesign of energy-consuming products. Available at: https://www.gov.uk/guidance/placing-energy-related-products-on-the-uk-market (Accessed: 12 August 2026).</w:t>
      </w:r>
    </w:p>
    <w:p w14:paraId="09821F40">
      <w:pPr>
        <w:rPr>
          <w:rFonts w:hint="default" w:ascii="Arial" w:hAnsi="Arial" w:cs="Arial"/>
          <w:sz w:val="22"/>
          <w:szCs w:val="22"/>
        </w:rPr>
      </w:pPr>
      <w:r>
        <w:rPr>
          <w:rFonts w:hint="default" w:ascii="Arial" w:hAnsi="Arial" w:cs="Arial"/>
          <w:sz w:val="22"/>
          <w:szCs w:val="22"/>
        </w:rPr>
        <w:t>Department for Environment, Food and Rural Affairs and Office for Product Safety and Standards (2025) Regulations: Waste Electrical and Electronic Equipment (WEEE). Available at: https://www.gov.uk/guidance/regulations-waste-electrical-and-electronic-equipment (Accessed: 12 August 2026).</w:t>
      </w:r>
    </w:p>
    <w:p w14:paraId="0EC8D716">
      <w:pPr>
        <w:rPr>
          <w:rFonts w:hint="default" w:ascii="Arial" w:hAnsi="Arial" w:cs="Arial"/>
          <w:sz w:val="22"/>
          <w:szCs w:val="22"/>
        </w:rPr>
      </w:pPr>
      <w:r>
        <w:rPr>
          <w:rFonts w:hint="default" w:ascii="Arial" w:hAnsi="Arial" w:cs="Arial"/>
          <w:sz w:val="22"/>
          <w:szCs w:val="22"/>
        </w:rPr>
        <w:t>Department for Environment, Food and Rural Affairs, Environment Agency and Office for Product Safety and Standards (2026) Producer responsibility regulations. Available at: https://www.gov.uk/government/collections/producer-responsibility-regulations (Accessed: 12 August 2026).</w:t>
      </w:r>
    </w:p>
    <w:p w14:paraId="026D5A77">
      <w:pPr>
        <w:rPr>
          <w:rFonts w:hint="default" w:ascii="Arial" w:hAnsi="Arial" w:cs="Arial"/>
          <w:sz w:val="22"/>
          <w:szCs w:val="22"/>
        </w:rPr>
      </w:pPr>
      <w:r>
        <w:rPr>
          <w:rFonts w:hint="default" w:ascii="Arial" w:hAnsi="Arial" w:cs="Arial"/>
          <w:sz w:val="22"/>
          <w:szCs w:val="22"/>
        </w:rPr>
        <w:t>Dunning, J.H. (1988) 'The eclectic paradigm of international production: a restatement and some possible extensions', Journal of International Business Studies, 19(1), pp. 1-31.</w:t>
      </w:r>
    </w:p>
    <w:p w14:paraId="059DF28E">
      <w:pPr>
        <w:rPr>
          <w:rFonts w:hint="default" w:ascii="Arial" w:hAnsi="Arial" w:cs="Arial"/>
          <w:sz w:val="22"/>
          <w:szCs w:val="22"/>
        </w:rPr>
      </w:pPr>
      <w:r>
        <w:rPr>
          <w:rFonts w:hint="default" w:ascii="Arial" w:hAnsi="Arial" w:cs="Arial"/>
          <w:sz w:val="22"/>
          <w:szCs w:val="22"/>
        </w:rPr>
        <w:t>Dunning, J.H. (2000) 'The eclectic paradigm as an envelope for economic and business theories of MNE activity', International Business Review, 9(2), pp. 163-190.</w:t>
      </w:r>
    </w:p>
    <w:p w14:paraId="230B561D">
      <w:pPr>
        <w:rPr>
          <w:rFonts w:hint="default" w:ascii="Arial" w:hAnsi="Arial" w:cs="Arial"/>
          <w:sz w:val="22"/>
          <w:szCs w:val="22"/>
        </w:rPr>
      </w:pPr>
      <w:r>
        <w:rPr>
          <w:rFonts w:hint="default" w:ascii="Arial" w:hAnsi="Arial" w:cs="Arial"/>
          <w:sz w:val="22"/>
          <w:szCs w:val="22"/>
        </w:rPr>
        <w:t>Gibbs, G. (1988) Learning by Doing: A Guide to Teaching and Learning Methods. Oxford: Oxford Polytechnic.</w:t>
      </w:r>
    </w:p>
    <w:p w14:paraId="66F4DBF0">
      <w:pPr>
        <w:rPr>
          <w:rFonts w:hint="default" w:ascii="Arial" w:hAnsi="Arial" w:cs="Arial"/>
          <w:sz w:val="22"/>
          <w:szCs w:val="22"/>
        </w:rPr>
      </w:pPr>
      <w:r>
        <w:rPr>
          <w:rFonts w:hint="default" w:ascii="Arial" w:hAnsi="Arial" w:cs="Arial"/>
          <w:sz w:val="22"/>
          <w:szCs w:val="22"/>
        </w:rPr>
        <w:t>Johanson, J. and Vahlne, J.-E. (1977) 'The internationalization process of the firm: a model of knowledge development and increasing foreign market commitments', Journal of International Business Studies, 8(1), pp. 23-32.</w:t>
      </w:r>
    </w:p>
    <w:p w14:paraId="5912DD2D">
      <w:pPr>
        <w:rPr>
          <w:rFonts w:hint="default" w:ascii="Arial" w:hAnsi="Arial" w:cs="Arial"/>
          <w:sz w:val="22"/>
          <w:szCs w:val="22"/>
        </w:rPr>
      </w:pPr>
      <w:r>
        <w:rPr>
          <w:rFonts w:hint="default" w:ascii="Arial" w:hAnsi="Arial" w:cs="Arial"/>
          <w:sz w:val="22"/>
          <w:szCs w:val="22"/>
        </w:rPr>
        <w:t>Johnson, G., Whittington, R., Scholes, K., Angwin, D. and Regnér, P. (2020) Exploring Strategy. 12th edn. Harlow: Pearson.</w:t>
      </w:r>
    </w:p>
    <w:p w14:paraId="46CB8239">
      <w:pPr>
        <w:rPr>
          <w:rFonts w:hint="default" w:ascii="Arial" w:hAnsi="Arial" w:cs="Arial"/>
          <w:sz w:val="22"/>
          <w:szCs w:val="22"/>
        </w:rPr>
      </w:pPr>
      <w:r>
        <w:rPr>
          <w:rFonts w:hint="default" w:ascii="Arial" w:hAnsi="Arial" w:cs="Arial"/>
          <w:sz w:val="22"/>
          <w:szCs w:val="22"/>
        </w:rPr>
        <w:t>Office for Product Safety and Standards (2026a) Product safety advice for businesses. Available at: https://www.gov.uk/guidance/product-safety-advice-for-businesses (Accessed: 12 August 2026).</w:t>
      </w:r>
    </w:p>
    <w:p w14:paraId="12696A8E">
      <w:pPr>
        <w:rPr>
          <w:rFonts w:hint="default" w:ascii="Arial" w:hAnsi="Arial" w:cs="Arial"/>
          <w:sz w:val="22"/>
          <w:szCs w:val="22"/>
        </w:rPr>
      </w:pPr>
      <w:r>
        <w:rPr>
          <w:rFonts w:hint="default" w:ascii="Arial" w:hAnsi="Arial" w:cs="Arial"/>
          <w:sz w:val="22"/>
          <w:szCs w:val="22"/>
        </w:rPr>
        <w:t>Office for Product Safety and Standards (2026b) Electrical Equipment (Safety) Regulations 2016: Great Britain. Available at: https://www.gov.uk/government/publications/electrical-equipment-safety-regulations-2016/electrical-equipment-safety-regulations-2016-great-britain (Accessed: 12 August 2026).</w:t>
      </w:r>
    </w:p>
    <w:p w14:paraId="55694788">
      <w:pPr>
        <w:rPr>
          <w:rFonts w:hint="default" w:ascii="Arial" w:hAnsi="Arial" w:cs="Arial"/>
          <w:sz w:val="22"/>
          <w:szCs w:val="22"/>
        </w:rPr>
      </w:pPr>
      <w:r>
        <w:rPr>
          <w:rFonts w:hint="default" w:ascii="Arial" w:hAnsi="Arial" w:cs="Arial"/>
          <w:sz w:val="22"/>
          <w:szCs w:val="22"/>
        </w:rPr>
        <w:t>Porter, M.E. (1980) Competitive Strategy: Techniques for Analyzing Industries and Competitors. New York: Free Press.</w:t>
      </w:r>
    </w:p>
    <w:p w14:paraId="399F2BFD">
      <w:pPr>
        <w:rPr>
          <w:rFonts w:hint="default" w:ascii="Arial" w:hAnsi="Arial" w:cs="Arial"/>
          <w:sz w:val="22"/>
          <w:szCs w:val="22"/>
        </w:rPr>
      </w:pPr>
      <w:r>
        <w:rPr>
          <w:rFonts w:hint="default" w:ascii="Arial" w:hAnsi="Arial" w:cs="Arial"/>
          <w:sz w:val="22"/>
          <w:szCs w:val="22"/>
        </w:rPr>
        <w:t>Reuters (2026) 'UK retailer AO World logs record profit as discounts and membership draw shoppers', 17 June. Available at: https://www.reuters.com/business/uk-retailer-ao-world-posts-higher-annual-profit-proposes-27-million-shareholder-2026-06-17/ (Accessed: 12 August 2026).</w:t>
      </w:r>
    </w:p>
    <w:p w14:paraId="7EBE24EF">
      <w:pPr>
        <w:rPr>
          <w:rFonts w:hint="default" w:ascii="Arial" w:hAnsi="Arial" w:cs="Arial"/>
          <w:sz w:val="22"/>
          <w:szCs w:val="22"/>
        </w:rPr>
      </w:pPr>
      <w:r>
        <w:rPr>
          <w:rFonts w:hint="default" w:ascii="Arial" w:hAnsi="Arial" w:cs="Arial"/>
          <w:sz w:val="22"/>
          <w:szCs w:val="22"/>
        </w:rPr>
        <w:t>Walton Group (2026) Walton Group: Electrical, Electronics and IT products. Available at: https://waltonbd.com/ (Accessed: 12 August 2026).</w:t>
      </w:r>
    </w:p>
    <w:p w14:paraId="20070EBF">
      <w:pPr>
        <w:rPr>
          <w:rFonts w:hint="default" w:ascii="Arial" w:hAnsi="Arial" w:cs="Arial"/>
          <w:sz w:val="22"/>
          <w:szCs w:val="22"/>
        </w:rPr>
      </w:pPr>
      <w:r>
        <w:rPr>
          <w:rFonts w:hint="default" w:ascii="Arial" w:hAnsi="Arial" w:cs="Arial"/>
          <w:sz w:val="22"/>
          <w:szCs w:val="22"/>
        </w:rPr>
        <w:t>Walton Hi-Tech Industries PLC (2026a) Our Root: Overview. Available at: https://www.waltonplc.com/our-root/overview (Accessed: 12 August 2026).</w:t>
      </w:r>
    </w:p>
    <w:p w14:paraId="1FD988FC">
      <w:pPr>
        <w:rPr>
          <w:rFonts w:hint="default" w:ascii="Arial" w:hAnsi="Arial" w:cs="Arial"/>
          <w:sz w:val="22"/>
          <w:szCs w:val="22"/>
        </w:rPr>
      </w:pPr>
      <w:r>
        <w:rPr>
          <w:rFonts w:hint="default" w:ascii="Arial" w:hAnsi="Arial" w:cs="Arial"/>
          <w:sz w:val="22"/>
          <w:szCs w:val="22"/>
        </w:rPr>
        <w:t>Walton Hi-Tech Industries PLC (2026b) Frequently Asked Questions. Available at: https://www.waltonplc.com/investors/faq (Accessed: 12 August 2026).</w:t>
      </w:r>
    </w:p>
    <w:p w14:paraId="1CF86C8B">
      <w:pPr>
        <w:rPr>
          <w:rFonts w:hint="default" w:ascii="Arial" w:hAnsi="Arial" w:cs="Arial"/>
          <w:sz w:val="22"/>
          <w:szCs w:val="22"/>
        </w:rPr>
      </w:pPr>
      <w:r>
        <w:rPr>
          <w:rFonts w:hint="default" w:ascii="Arial" w:hAnsi="Arial" w:cs="Arial"/>
          <w:sz w:val="22"/>
          <w:szCs w:val="22"/>
        </w:rPr>
        <w:t>Walton Hi-Tech Industries PLC (2026c) Where We Want to Be: Going Global by 2030. Available at: https://www.waltonhil.com/go-global/where-we-want-to-be (Accessed: 12 August 2026).</w:t>
      </w:r>
    </w:p>
    <w:p w14:paraId="079348F7">
      <w:pPr>
        <w:rPr>
          <w:rFonts w:hint="default" w:ascii="Arial" w:hAnsi="Arial" w:cs="Arial"/>
          <w:sz w:val="22"/>
          <w:szCs w:val="22"/>
          <w:lang w:val="en-GB"/>
        </w:rPr>
      </w:pPr>
      <w:r>
        <w:rPr>
          <w:rFonts w:hint="default" w:ascii="Arial" w:hAnsi="Arial" w:cs="Arial"/>
          <w:sz w:val="22"/>
          <w:szCs w:val="22"/>
        </w:rPr>
        <w:t>Walton Hi-Tech Industries PLC (2026d) Where We Are: Global Operations. Available at: https://www.waltonhil.com/go-global/where-we-are (Accessed: 12 August 2026).</w:t>
      </w:r>
      <w:r>
        <w:rPr>
          <w:rFonts w:hint="default" w:ascii="Arial" w:hAnsi="Arial" w:cs="Arial"/>
          <w:sz w:val="22"/>
          <w:szCs w:val="22"/>
          <w:lang w:val="en-GB"/>
        </w:rPr>
        <w:t xml:space="preserve"> </w:t>
      </w:r>
    </w:p>
    <w:p w14:paraId="1C619084">
      <w:pPr>
        <w:rPr>
          <w:rFonts w:hint="default" w:ascii="Arial" w:hAnsi="Arial" w:cs="Arial"/>
          <w:sz w:val="22"/>
          <w:szCs w:val="22"/>
          <w:lang w:val="en-GB"/>
        </w:rPr>
      </w:pPr>
      <w:r>
        <w:rPr>
          <w:rFonts w:hint="default" w:ascii="Arial" w:hAnsi="Arial" w:cs="Arial"/>
          <w:sz w:val="22"/>
          <w:szCs w:val="22"/>
          <w:lang w:val="en-GB"/>
        </w:rPr>
        <w:t>Department for Energy Security and Net Zero and Office for Product Safety and Standards (2026a) Regulations: energy information. GOV.UK. Available at: GOV.UK – Energy information regulations (Accessed: 14 August 2026).</w:t>
      </w:r>
    </w:p>
    <w:p w14:paraId="57A98B5B">
      <w:pPr>
        <w:rPr>
          <w:rFonts w:hint="default" w:ascii="Arial" w:hAnsi="Arial" w:cs="Arial"/>
          <w:sz w:val="22"/>
          <w:szCs w:val="22"/>
          <w:lang w:val="en-GB"/>
        </w:rPr>
      </w:pPr>
      <w:r>
        <w:rPr>
          <w:rFonts w:hint="default" w:ascii="Arial" w:hAnsi="Arial" w:cs="Arial"/>
          <w:sz w:val="22"/>
          <w:szCs w:val="22"/>
          <w:lang w:val="en-GB"/>
        </w:rPr>
        <w:t>Department for Energy Security and Net Zero and Office for Product Safety and Standards (2026b) Regulations: ecodesign of energy-consuming products. GOV.UK. Available at: GOV.UK – Ecodesign regulations (Accessed: 14 August 2026).</w:t>
      </w:r>
    </w:p>
    <w:p w14:paraId="0D7FB1F0">
      <w:pPr>
        <w:rPr>
          <w:rFonts w:hint="default" w:ascii="Arial" w:hAnsi="Arial" w:cs="Arial"/>
          <w:sz w:val="22"/>
          <w:szCs w:val="22"/>
          <w:lang w:val="en-GB"/>
        </w:rPr>
      </w:pPr>
      <w:r>
        <w:rPr>
          <w:rFonts w:hint="default" w:ascii="Arial" w:hAnsi="Arial" w:cs="Arial"/>
          <w:sz w:val="22"/>
          <w:szCs w:val="22"/>
          <w:lang w:val="en-GB"/>
        </w:rPr>
        <w:t>Department for Environment, Food &amp; Rural Affairs, Environment Agency and Office for Product Safety and Standards (2026) Producer responsibility regulations. GOV.UK. Available at: GOV.UK – Producer responsibility regulations (Accessed: 14 August 2026).</w:t>
      </w:r>
    </w:p>
    <w:p w14:paraId="28AFF52F">
      <w:pPr>
        <w:rPr>
          <w:rFonts w:hint="default" w:ascii="Arial" w:hAnsi="Arial" w:cs="Arial"/>
          <w:sz w:val="22"/>
          <w:szCs w:val="22"/>
          <w:lang w:val="en-GB"/>
        </w:rPr>
      </w:pPr>
      <w:r>
        <w:rPr>
          <w:rFonts w:hint="default" w:ascii="Arial" w:hAnsi="Arial" w:cs="Arial"/>
          <w:sz w:val="22"/>
          <w:szCs w:val="22"/>
          <w:lang w:val="en-GB"/>
        </w:rPr>
        <w:t>Environment Agency (2025) Electrical and electronic equipment (EEE): producer responsibilities. GOV.UK. Available at: GOV.UK – EEE producer responsibilities (Accessed: 14 August 2026).</w:t>
      </w:r>
    </w:p>
    <w:p w14:paraId="0F600042">
      <w:pPr>
        <w:rPr>
          <w:rFonts w:hint="default" w:ascii="Arial" w:hAnsi="Arial" w:cs="Arial"/>
          <w:sz w:val="22"/>
          <w:szCs w:val="22"/>
          <w:lang w:val="en-GB"/>
        </w:rPr>
      </w:pPr>
      <w:r>
        <w:rPr>
          <w:rFonts w:hint="default" w:ascii="Arial" w:hAnsi="Arial" w:cs="Arial"/>
          <w:sz w:val="22"/>
          <w:szCs w:val="22"/>
          <w:lang w:val="en-GB"/>
        </w:rPr>
        <w:t>Walton Hi-Tech Industries PLC (2026) Who we are. Available at: Walton Hi-Tech Industries (Accessed: 14 August 2026).</w:t>
      </w:r>
    </w:p>
    <w:p w14:paraId="2742A862">
      <w:pPr>
        <w:rPr>
          <w:rFonts w:hint="default" w:ascii="Arial" w:hAnsi="Arial" w:cs="Arial"/>
          <w:sz w:val="22"/>
          <w:szCs w:val="22"/>
          <w:lang w:val="en-GB"/>
        </w:rPr>
      </w:pPr>
      <w:r>
        <w:rPr>
          <w:rFonts w:hint="default" w:ascii="Arial" w:hAnsi="Arial" w:cs="Arial"/>
          <w:sz w:val="22"/>
          <w:szCs w:val="22"/>
          <w:lang w:val="en-GB"/>
        </w:rPr>
        <w:t>Walton (2026a) Who we are. Available at: Walton (Accessed: 14 August 2026).</w:t>
      </w:r>
    </w:p>
    <w:p w14:paraId="49AF692F">
      <w:pPr>
        <w:rPr>
          <w:rFonts w:hint="default" w:ascii="Arial" w:hAnsi="Arial" w:cs="Arial"/>
          <w:sz w:val="22"/>
          <w:szCs w:val="22"/>
          <w:lang w:val="en-GB"/>
        </w:rPr>
      </w:pPr>
      <w:r>
        <w:rPr>
          <w:rFonts w:hint="default" w:ascii="Arial" w:hAnsi="Arial" w:cs="Arial"/>
          <w:sz w:val="22"/>
          <w:szCs w:val="22"/>
          <w:lang w:val="en-GB"/>
        </w:rPr>
        <w:t>The Daily Star (2025) Walton expands brand business to seven new countries. 12 August.</w:t>
      </w:r>
    </w:p>
    <w:p w14:paraId="6863F4C4">
      <w:pPr>
        <w:rPr>
          <w:rFonts w:hint="default" w:ascii="Arial" w:hAnsi="Arial" w:cs="Arial"/>
          <w:sz w:val="22"/>
          <w:szCs w:val="22"/>
          <w:lang w:val="en-GB"/>
        </w:rPr>
      </w:pPr>
      <w:r>
        <w:rPr>
          <w:rFonts w:hint="default" w:ascii="Arial" w:hAnsi="Arial" w:cs="Arial"/>
          <w:sz w:val="22"/>
          <w:szCs w:val="22"/>
          <w:lang w:val="en-GB"/>
        </w:rPr>
        <w:t>Cavusgil, S.T., Knight, G. and Riesenberger, J.R. (2020) International Business: The New Realities. 5th edn. Pearson.</w:t>
      </w:r>
    </w:p>
    <w:p w14:paraId="3980F384">
      <w:pPr>
        <w:rPr>
          <w:rFonts w:hint="default" w:ascii="Arial" w:hAnsi="Arial" w:cs="Arial"/>
          <w:sz w:val="22"/>
          <w:szCs w:val="22"/>
          <w:lang w:val="en-GB"/>
        </w:rPr>
      </w:pPr>
      <w:r>
        <w:rPr>
          <w:rFonts w:hint="default" w:ascii="Arial" w:hAnsi="Arial" w:cs="Arial"/>
          <w:sz w:val="22"/>
          <w:szCs w:val="22"/>
          <w:lang w:val="en-GB"/>
        </w:rPr>
        <w:t>Hill, C.W.L. and Hult, G.T.M. (2023) International Business: Competing in the Global Marketplace. 14th edn. McGraw-Hill.</w:t>
      </w:r>
    </w:p>
    <w:p w14:paraId="1E010329">
      <w:pPr>
        <w:rPr>
          <w:rFonts w:hint="default" w:ascii="Arial" w:hAnsi="Arial" w:cs="Arial"/>
          <w:sz w:val="22"/>
          <w:szCs w:val="22"/>
          <w:lang w:val="en-GB"/>
        </w:rPr>
      </w:pPr>
      <w:r>
        <w:rPr>
          <w:rFonts w:hint="default" w:ascii="Arial" w:hAnsi="Arial" w:cs="Arial"/>
          <w:sz w:val="22"/>
          <w:szCs w:val="22"/>
          <w:lang w:val="en-GB"/>
        </w:rPr>
        <w:t xml:space="preserve">Keegan, W.J. and Green, M.C. (2020) Global Marketing. 10th edn. Pearson. </w:t>
      </w:r>
    </w:p>
    <w:p w14:paraId="4275D7A9">
      <w:pPr>
        <w:rPr>
          <w:rFonts w:hint="default" w:ascii="Arial" w:hAnsi="Arial" w:cs="Arial"/>
          <w:sz w:val="22"/>
          <w:szCs w:val="22"/>
          <w:lang w:val="en-GB"/>
        </w:rPr>
      </w:pPr>
      <w:r>
        <w:rPr>
          <w:rFonts w:hint="default" w:ascii="Arial" w:hAnsi="Arial" w:cs="Arial"/>
          <w:sz w:val="22"/>
          <w:szCs w:val="22"/>
          <w:lang w:val="en-GB"/>
        </w:rPr>
        <w:t>Christopher, M. (2016) Logistics &amp; Supply Chain Management. 5th edn. Harlow: Pearson.</w:t>
      </w:r>
    </w:p>
    <w:p w14:paraId="4345C838">
      <w:pPr>
        <w:rPr>
          <w:rFonts w:hint="default" w:ascii="Arial" w:hAnsi="Arial" w:cs="Arial"/>
          <w:sz w:val="22"/>
          <w:szCs w:val="22"/>
          <w:lang w:val="en-GB"/>
        </w:rPr>
      </w:pPr>
      <w:r>
        <w:rPr>
          <w:rFonts w:hint="default" w:ascii="Arial" w:hAnsi="Arial" w:cs="Arial"/>
          <w:sz w:val="22"/>
          <w:szCs w:val="22"/>
          <w:lang w:val="en-GB"/>
        </w:rPr>
        <w:t>Department for Energy Security and Net Zero (2026) Energy labelling of products. GOV.UK. Available at: https://www.gov.uk/guidance/the-energy-labelling-of-products (Accessed: 14 August 2026).</w:t>
      </w:r>
    </w:p>
    <w:p w14:paraId="27577531">
      <w:pPr>
        <w:rPr>
          <w:rFonts w:hint="default" w:ascii="Arial" w:hAnsi="Arial" w:cs="Arial"/>
          <w:sz w:val="22"/>
          <w:szCs w:val="22"/>
          <w:lang w:val="en-GB"/>
        </w:rPr>
      </w:pPr>
      <w:r>
        <w:rPr>
          <w:rFonts w:hint="default" w:ascii="Arial" w:hAnsi="Arial" w:cs="Arial"/>
          <w:sz w:val="22"/>
          <w:szCs w:val="22"/>
          <w:lang w:val="en-GB"/>
        </w:rPr>
        <w:t>Kotler, P., Keller, K.L. and Chernev, A. (2022) Marketing Management. 16th edn. Harlow: Pearson.</w:t>
      </w:r>
    </w:p>
    <w:p w14:paraId="52F08580">
      <w:pPr>
        <w:rPr>
          <w:rFonts w:hint="default" w:ascii="Arial" w:hAnsi="Arial" w:cs="Arial"/>
          <w:sz w:val="22"/>
          <w:szCs w:val="22"/>
          <w:lang w:val="en-GB"/>
        </w:rPr>
      </w:pPr>
      <w:r>
        <w:rPr>
          <w:rFonts w:hint="default" w:ascii="Arial" w:hAnsi="Arial" w:cs="Arial"/>
          <w:sz w:val="22"/>
          <w:szCs w:val="22"/>
          <w:lang w:val="en-GB"/>
        </w:rPr>
        <w:t>Office for Product Safety and Standards (2026) Electrical equipment and appliances: product safety requirements. GOV.UK. Available at: https://www.gov.uk/guidance/electrical-equipment-and-appliances (Accessed: 14 August 2026).</w:t>
      </w:r>
    </w:p>
    <w:p w14:paraId="421B7287">
      <w:pPr>
        <w:rPr>
          <w:rFonts w:hint="default" w:ascii="Arial" w:hAnsi="Arial" w:cs="Arial"/>
          <w:sz w:val="22"/>
          <w:szCs w:val="22"/>
          <w:lang w:val="en-GB"/>
        </w:rPr>
      </w:pPr>
      <w:r>
        <w:rPr>
          <w:rFonts w:hint="default" w:ascii="Arial" w:hAnsi="Arial" w:cs="Arial"/>
          <w:sz w:val="22"/>
          <w:szCs w:val="22"/>
          <w:lang w:val="en-GB"/>
        </w:rPr>
        <w:t>Porter, M.E. (1980) Competitive Strategy: Techniques for Analysing Industries and Competitors. New York: Free Press.</w:t>
      </w:r>
    </w:p>
    <w:p w14:paraId="7F526328">
      <w:pPr>
        <w:rPr>
          <w:rFonts w:hint="default" w:ascii="Arial" w:hAnsi="Arial" w:cs="Arial"/>
          <w:sz w:val="22"/>
          <w:szCs w:val="22"/>
          <w:lang w:val="en-GB"/>
        </w:rPr>
      </w:pPr>
      <w:r>
        <w:rPr>
          <w:rFonts w:hint="default" w:ascii="Arial" w:hAnsi="Arial" w:cs="Arial"/>
          <w:sz w:val="22"/>
          <w:szCs w:val="22"/>
          <w:lang w:val="en-GB"/>
        </w:rPr>
        <w:t>Porter, M.E. (1985) Competitive Advantage: Creating and Sustaining Superior Performance. New York: Free Press.</w:t>
      </w:r>
    </w:p>
    <w:p w14:paraId="764A4B36">
      <w:pPr>
        <w:rPr>
          <w:rFonts w:hint="default" w:ascii="Arial" w:hAnsi="Arial" w:cs="Arial"/>
          <w:sz w:val="22"/>
          <w:szCs w:val="22"/>
          <w:lang w:val="en-GB"/>
        </w:rPr>
      </w:pPr>
      <w:r>
        <w:rPr>
          <w:rFonts w:hint="default" w:ascii="Arial" w:hAnsi="Arial" w:cs="Arial"/>
          <w:sz w:val="22"/>
          <w:szCs w:val="22"/>
          <w:lang w:val="en-GB"/>
        </w:rPr>
        <w:t>Cavusgil, S.T., Knight, G. and Riesenberger, J.R. (2020) International Business: The New Realities. 5th edn. Harlow: Pearson.</w:t>
      </w:r>
    </w:p>
    <w:p w14:paraId="2743CF3E">
      <w:pPr>
        <w:rPr>
          <w:rFonts w:hint="default" w:ascii="Arial" w:hAnsi="Arial" w:cs="Arial"/>
          <w:sz w:val="22"/>
          <w:szCs w:val="22"/>
          <w:lang w:val="en-GB"/>
        </w:rPr>
      </w:pPr>
      <w:r>
        <w:rPr>
          <w:rFonts w:hint="default" w:ascii="Arial" w:hAnsi="Arial" w:cs="Arial"/>
          <w:sz w:val="22"/>
          <w:szCs w:val="22"/>
          <w:lang w:val="en-GB"/>
        </w:rPr>
        <w:t>Christopher, M. (2016) Logistics &amp; Supply Chain Management. 5th edn. Harlow: Pearson.</w:t>
      </w:r>
    </w:p>
    <w:p w14:paraId="36E00C0F">
      <w:pPr>
        <w:rPr>
          <w:rFonts w:hint="default" w:ascii="Arial" w:hAnsi="Arial" w:cs="Arial"/>
          <w:sz w:val="22"/>
          <w:szCs w:val="22"/>
          <w:lang w:val="en-GB"/>
        </w:rPr>
      </w:pPr>
      <w:r>
        <w:rPr>
          <w:rFonts w:hint="default" w:ascii="Arial" w:hAnsi="Arial" w:cs="Arial"/>
          <w:sz w:val="22"/>
          <w:szCs w:val="22"/>
          <w:lang w:val="en-GB"/>
        </w:rPr>
        <w:t>Department for Business and Trade (2026) Product safety and compliance. GOV.UK. Available at: https://www.gov.uk/guidance/product-safety-advice-for-businesses (Accessed: 14 August 2026).</w:t>
      </w:r>
    </w:p>
    <w:p w14:paraId="1C02F940">
      <w:pPr>
        <w:rPr>
          <w:rFonts w:hint="default" w:ascii="Arial" w:hAnsi="Arial" w:cs="Arial"/>
          <w:sz w:val="22"/>
          <w:szCs w:val="22"/>
          <w:lang w:val="en-GB"/>
        </w:rPr>
      </w:pPr>
      <w:r>
        <w:rPr>
          <w:rFonts w:hint="default" w:ascii="Arial" w:hAnsi="Arial" w:cs="Arial"/>
          <w:sz w:val="22"/>
          <w:szCs w:val="22"/>
          <w:lang w:val="en-GB"/>
        </w:rPr>
        <w:t>Department for Environment, Food and Rural Affairs and Office for Product Safety and Standards (2025) Electrical and electronic equipment: producer responsibility. GOV.UK. Available at: https://www.gov.uk/guidance/electrical-and-electronic-equipment-eee-producer-responsibility (Accessed: 14 August 2026).</w:t>
      </w:r>
    </w:p>
    <w:p w14:paraId="68F63E08">
      <w:pPr>
        <w:rPr>
          <w:rFonts w:hint="default" w:ascii="Arial" w:hAnsi="Arial" w:cs="Arial"/>
          <w:sz w:val="22"/>
          <w:szCs w:val="22"/>
          <w:lang w:val="en-GB"/>
        </w:rPr>
      </w:pPr>
      <w:r>
        <w:rPr>
          <w:rFonts w:hint="default" w:ascii="Arial" w:hAnsi="Arial" w:cs="Arial"/>
          <w:sz w:val="22"/>
          <w:szCs w:val="22"/>
          <w:lang w:val="en-GB"/>
        </w:rPr>
        <w:t>Johanson, J. and Vahlne, J.-E. (2009) ‘The Uppsala internationalization process model revisited: From liability of foreignness to liability of outsidership’, Journal of International Business Studies, 40(9), pp. 1411–1431.</w:t>
      </w:r>
    </w:p>
    <w:p w14:paraId="6F6399D1">
      <w:pPr>
        <w:rPr>
          <w:rFonts w:hint="default" w:ascii="Arial" w:hAnsi="Arial" w:cs="Arial"/>
          <w:sz w:val="22"/>
          <w:szCs w:val="22"/>
          <w:lang w:val="en-GB"/>
        </w:rPr>
      </w:pPr>
      <w:r>
        <w:rPr>
          <w:rFonts w:hint="default" w:ascii="Arial" w:hAnsi="Arial" w:cs="Arial"/>
          <w:sz w:val="22"/>
          <w:szCs w:val="22"/>
          <w:lang w:val="en-GB"/>
        </w:rPr>
        <w:t>Office for Product Safety and Standards (2026a) Electrical equipment and appliances: product safety requirements. GOV.UK. Available at: https://www.gov.uk/guidance/electrical-equipment-and-appliances (Accessed: 14 August 2026).</w:t>
      </w:r>
    </w:p>
    <w:p w14:paraId="7124AB06">
      <w:pPr>
        <w:rPr>
          <w:rFonts w:hint="default" w:ascii="Arial" w:hAnsi="Arial" w:cs="Arial"/>
          <w:sz w:val="22"/>
          <w:szCs w:val="22"/>
          <w:lang w:val="en-GB"/>
        </w:rPr>
      </w:pPr>
      <w:r>
        <w:rPr>
          <w:rFonts w:hint="default" w:ascii="Arial" w:hAnsi="Arial" w:cs="Arial"/>
          <w:sz w:val="22"/>
          <w:szCs w:val="22"/>
          <w:lang w:val="en-GB"/>
        </w:rPr>
        <w:t xml:space="preserve">Porter, M.E. (1985) Competitive Advantage: Creating and Sustaining Superior Performance. New York: Free Press. </w:t>
      </w:r>
    </w:p>
    <w:p w14:paraId="0B9E7B3C">
      <w:pPr>
        <w:rPr>
          <w:rFonts w:hint="default" w:ascii="Arial" w:hAnsi="Arial" w:cs="Arial"/>
          <w:sz w:val="22"/>
          <w:szCs w:val="22"/>
          <w:lang w:val="en-GB"/>
        </w:rPr>
      </w:pPr>
      <w:r>
        <w:rPr>
          <w:rFonts w:hint="default" w:ascii="Arial" w:hAnsi="Arial" w:cs="Arial"/>
          <w:sz w:val="22"/>
          <w:szCs w:val="22"/>
          <w:lang w:val="en-GB"/>
        </w:rPr>
        <w:t>Johnson, G., Scholes, K. and Whittington, R. (2017) *Exploring Strategy: Text and Cases*. 11th edn. Harlow: Pearson.</w:t>
      </w:r>
    </w:p>
    <w:p w14:paraId="215C4123">
      <w:pPr>
        <w:rPr>
          <w:rFonts w:hint="default" w:ascii="Arial" w:hAnsi="Arial" w:cs="Arial"/>
          <w:sz w:val="22"/>
          <w:szCs w:val="22"/>
          <w:lang w:val="en-GB"/>
        </w:rPr>
      </w:pPr>
      <w:r>
        <w:rPr>
          <w:rFonts w:hint="default" w:ascii="Arial" w:hAnsi="Arial" w:cs="Arial"/>
          <w:sz w:val="22"/>
          <w:szCs w:val="22"/>
          <w:lang w:val="en-GB"/>
        </w:rPr>
        <w:t>National Cyber Security Centre (2024) *Connected Places Cyber Security Principles*. Available at: https://www.ncsc.gov.uk/collection/connected-places (Accessed: 14 August 2026).</w:t>
      </w:r>
    </w:p>
    <w:p w14:paraId="163F03C0">
      <w:pPr>
        <w:rPr>
          <w:rFonts w:hint="default" w:ascii="Arial" w:hAnsi="Arial" w:cs="Arial"/>
          <w:sz w:val="22"/>
          <w:szCs w:val="22"/>
          <w:lang w:val="en-GB"/>
        </w:rPr>
      </w:pPr>
      <w:r>
        <w:rPr>
          <w:rFonts w:hint="default" w:ascii="Arial" w:hAnsi="Arial" w:cs="Arial"/>
          <w:sz w:val="22"/>
          <w:szCs w:val="22"/>
          <w:lang w:val="en-GB"/>
        </w:rPr>
        <w:t xml:space="preserve">Walton Group (2026) *Walton Group: Smart and Energy-Efficient Appliances*. Available at: https://waltonbd.com/ (Accessed: 14 August 2026). </w:t>
      </w:r>
    </w:p>
    <w:p w14:paraId="69478130">
      <w:pPr>
        <w:rPr>
          <w:rFonts w:hint="default" w:ascii="Arial" w:hAnsi="Arial" w:cs="Arial"/>
          <w:sz w:val="22"/>
          <w:szCs w:val="22"/>
          <w:lang w:val="en-GB"/>
        </w:rPr>
      </w:pPr>
      <w:r>
        <w:rPr>
          <w:rFonts w:hint="default" w:ascii="Arial" w:hAnsi="Arial" w:cs="Arial"/>
          <w:sz w:val="22"/>
          <w:szCs w:val="22"/>
          <w:lang w:val="en-GB"/>
        </w:rPr>
        <w:t>Department for Business and Trade (2026) *Using the UKCA and CE marking*. Available at: https://www.gov.uk/guidance/using-the-ukca-and-ce-marking (Accessed: 14 August 2026).</w:t>
      </w:r>
    </w:p>
    <w:p w14:paraId="2D3D2697">
      <w:pPr>
        <w:rPr>
          <w:rFonts w:hint="default" w:ascii="Arial" w:hAnsi="Arial" w:cs="Arial"/>
          <w:sz w:val="22"/>
          <w:szCs w:val="22"/>
          <w:lang w:val="en-GB"/>
        </w:rPr>
      </w:pPr>
      <w:r>
        <w:rPr>
          <w:rFonts w:hint="default" w:ascii="Arial" w:hAnsi="Arial" w:cs="Arial"/>
          <w:sz w:val="22"/>
          <w:szCs w:val="22"/>
          <w:lang w:val="en-GB"/>
        </w:rPr>
        <w:t>Office for Product Safety and Standards (OPSS) (2026a) *Product safety advice for businesses*. Available at: https://www.gov.uk/government/organisations/office-for-product-safety-and-standards (Accessed: 14 August 2026).</w:t>
      </w:r>
    </w:p>
    <w:p w14:paraId="7BB6DBD4">
      <w:pPr>
        <w:rPr>
          <w:rFonts w:hint="default" w:ascii="Arial" w:hAnsi="Arial" w:cs="Arial"/>
          <w:sz w:val="22"/>
          <w:szCs w:val="22"/>
          <w:lang w:val="en-GB"/>
        </w:rPr>
      </w:pPr>
    </w:p>
    <w:p w14:paraId="71E2D95E">
      <w:pPr>
        <w:rPr>
          <w:rFonts w:hint="default" w:ascii="Arial" w:hAnsi="Arial" w:cs="Arial"/>
          <w:sz w:val="22"/>
          <w:szCs w:val="22"/>
          <w:lang w:val="en-GB"/>
        </w:rPr>
      </w:pPr>
    </w:p>
    <w:p w14:paraId="0EC79A40">
      <w:pPr>
        <w:rPr>
          <w:rFonts w:hint="default" w:ascii="Arial" w:hAnsi="Arial" w:cs="Arial"/>
          <w:sz w:val="22"/>
          <w:szCs w:val="22"/>
          <w:lang w:val="en-GB"/>
        </w:rPr>
      </w:pPr>
    </w:p>
    <w:p w14:paraId="14FE9960">
      <w:pPr>
        <w:rPr>
          <w:rFonts w:hint="default" w:ascii="Arial" w:hAnsi="Arial" w:cs="Arial"/>
          <w:sz w:val="22"/>
          <w:szCs w:val="22"/>
          <w:lang w:val="en-GB"/>
        </w:rPr>
      </w:pPr>
    </w:p>
    <w:p w14:paraId="376C0AAC">
      <w:pPr>
        <w:rPr>
          <w:rFonts w:hint="default" w:ascii="Arial" w:hAnsi="Arial" w:cs="Arial"/>
          <w:sz w:val="22"/>
          <w:szCs w:val="22"/>
          <w:lang w:val="en-GB"/>
        </w:rPr>
      </w:pPr>
    </w:p>
    <w:p w14:paraId="68087512">
      <w:pPr>
        <w:rPr>
          <w:rFonts w:hint="default" w:ascii="Arial" w:hAnsi="Arial" w:cs="Arial"/>
          <w:sz w:val="22"/>
          <w:szCs w:val="22"/>
          <w:lang w:val="en-GB"/>
        </w:rPr>
      </w:pPr>
    </w:p>
    <w:p w14:paraId="62928C15">
      <w:pPr>
        <w:rPr>
          <w:rFonts w:hint="default" w:ascii="Arial" w:hAnsi="Arial" w:cs="Arial"/>
          <w:b/>
          <w:bCs/>
          <w:color w:val="376092" w:themeColor="accent1" w:themeShade="BF"/>
          <w:sz w:val="24"/>
          <w:szCs w:val="24"/>
          <w:lang w:val="en-GB"/>
        </w:rPr>
      </w:pPr>
      <w:r>
        <w:rPr>
          <w:rFonts w:hint="default" w:ascii="Arial" w:hAnsi="Arial" w:cs="Arial"/>
          <w:b/>
          <w:bCs/>
          <w:color w:val="376092" w:themeColor="accent1" w:themeShade="BF"/>
          <w:sz w:val="24"/>
          <w:szCs w:val="24"/>
          <w:lang w:val="en-GB"/>
        </w:rPr>
        <w:t>Appendices</w:t>
      </w:r>
    </w:p>
    <w:p w14:paraId="0AEA27CD">
      <w:pPr>
        <w:rPr>
          <w:rFonts w:hint="default" w:ascii="Arial" w:hAnsi="Arial" w:cs="Arial"/>
          <w:sz w:val="22"/>
          <w:szCs w:val="22"/>
          <w:lang w:val="en-GB"/>
        </w:rPr>
      </w:pPr>
    </w:p>
    <w:p w14:paraId="38489909">
      <w:pPr>
        <w:rPr>
          <w:rFonts w:hint="default" w:ascii="Arial" w:hAnsi="Arial" w:cs="Arial"/>
          <w:sz w:val="22"/>
          <w:szCs w:val="22"/>
          <w:lang w:val="en-GB"/>
        </w:rPr>
      </w:pPr>
      <w:r>
        <w:rPr>
          <w:rFonts w:hint="default" w:ascii="Arial" w:hAnsi="Arial" w:cs="Arial"/>
          <w:sz w:val="22"/>
          <w:szCs w:val="22"/>
          <w:lang w:val="en-GB"/>
        </w:rPr>
        <w:t xml:space="preserve">Appendix 1: Resource, Advantage &amp; Limitation Table. </w:t>
      </w:r>
      <w:bookmarkStart w:id="0" w:name="_GoBack"/>
      <w:bookmarkEnd w:id="0"/>
    </w:p>
    <w:p w14:paraId="29311DFC">
      <w:pPr>
        <w:rPr>
          <w:rFonts w:hint="default" w:ascii="Arial" w:hAnsi="Arial" w:cs="Arial"/>
          <w:sz w:val="22"/>
          <w:szCs w:val="22"/>
          <w:lang w:val="en-GB"/>
        </w:rPr>
      </w:pPr>
      <w:r>
        <w:rPr>
          <w:rFonts w:hint="default" w:ascii="Arial" w:hAnsi="Arial" w:cs="Arial"/>
          <w:sz w:val="22"/>
          <w:szCs w:val="22"/>
          <w:lang w:val="en-GB"/>
        </w:rPr>
        <w:t>Appendix 2: PESTEL Analysis table ( only 2 component )</w:t>
      </w:r>
    </w:p>
    <w:p w14:paraId="09BEA157">
      <w:pPr>
        <w:rPr>
          <w:rFonts w:hint="default" w:ascii="Arial" w:hAnsi="Arial" w:cs="Arial"/>
          <w:sz w:val="22"/>
          <w:szCs w:val="22"/>
          <w:lang w:val="en-GB"/>
        </w:rPr>
      </w:pPr>
      <w:r>
        <w:rPr>
          <w:rFonts w:hint="default" w:ascii="Arial" w:hAnsi="Arial" w:cs="Arial"/>
          <w:sz w:val="22"/>
          <w:szCs w:val="22"/>
          <w:lang w:val="en-GB"/>
        </w:rPr>
        <w:t>Appendix 3: OLI table</w:t>
      </w:r>
    </w:p>
    <w:p w14:paraId="127FD501">
      <w:pPr>
        <w:rPr>
          <w:rFonts w:hint="default" w:ascii="Arial" w:hAnsi="Arial" w:cs="Arial"/>
          <w:sz w:val="22"/>
          <w:szCs w:val="22"/>
          <w:lang w:val="en-GB"/>
        </w:rPr>
      </w:pPr>
      <w:r>
        <w:rPr>
          <w:rFonts w:hint="default" w:ascii="Arial" w:hAnsi="Arial" w:cs="Arial"/>
          <w:sz w:val="22"/>
          <w:szCs w:val="22"/>
          <w:lang w:val="en-GB"/>
        </w:rPr>
        <w:t>Appendix 4: Entry mode table</w:t>
      </w:r>
    </w:p>
    <w:p w14:paraId="6A33344C">
      <w:pPr>
        <w:rPr>
          <w:rFonts w:hint="default" w:ascii="Arial" w:hAnsi="Arial" w:cs="Arial"/>
          <w:sz w:val="22"/>
          <w:szCs w:val="22"/>
          <w:lang w:val="en-GB"/>
        </w:rPr>
      </w:pPr>
      <w:r>
        <w:rPr>
          <w:rFonts w:hint="default" w:ascii="Arial" w:hAnsi="Arial" w:cs="Arial"/>
          <w:sz w:val="22"/>
          <w:szCs w:val="22"/>
          <w:lang w:val="en-GB"/>
        </w:rPr>
        <w:t>Appendix 5: Five-Year Implementation Roadmap</w:t>
      </w:r>
    </w:p>
    <w:p w14:paraId="031D7FA9">
      <w:pPr>
        <w:rPr>
          <w:rFonts w:hint="default" w:ascii="Arial" w:hAnsi="Arial" w:cs="Arial"/>
          <w:sz w:val="22"/>
          <w:szCs w:val="22"/>
          <w:lang w:val="en-GB"/>
        </w:rPr>
      </w:pPr>
    </w:p>
    <w:sectPr>
      <w:footerReference r:id="rId5" w:type="default"/>
      <w:pgSz w:w="12240" w:h="15840"/>
      <w:pgMar w:top="1152" w:right="1296" w:bottom="1152" w:left="1296" w:header="720" w:footer="720" w:gutter="0"/>
      <w:pgBorders>
        <w:top w:val="none" w:sz="0" w:space="0"/>
        <w:left w:val="none" w:sz="0" w:space="0"/>
        <w:bottom w:val="none" w:sz="0" w:space="0"/>
        <w:right w:val="none" w:sz="0" w:space="0"/>
      </w:pgBorders>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auto"/>
    <w:pitch w:val="default"/>
    <w:sig w:usb0="00000000" w:usb1="00000000" w:usb2="00000000" w:usb3="00000000" w:csb0="80000000" w:csb1="0000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ptos">
    <w:altName w:val="Segoe UI"/>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Yu Gothic">
    <w:panose1 w:val="020B0400000000000000"/>
    <w:charset w:val="80"/>
    <w:family w:val="auto"/>
    <w:pitch w:val="default"/>
    <w:sig w:usb0="E00002FF" w:usb1="2AC7FDFF" w:usb2="00000016" w:usb3="00000000" w:csb0="2002009F" w:csb1="00000000"/>
  </w:font>
  <w:font w:name="Aptos-Bold">
    <w:altName w:val="Segoe Print"/>
    <w:panose1 w:val="00000000000000000000"/>
    <w:charset w:val="00"/>
    <w:family w:val="auto"/>
    <w:pitch w:val="default"/>
    <w:sig w:usb0="00000000" w:usb1="00000000" w:usb2="00000000" w:usb3="00000000" w:csb0="00000000" w:csb1="00000000"/>
  </w:font>
  <w:font w:name="ChromeSansMM">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CED63">
    <w:pPr>
      <w:pStyle w:val="18"/>
      <w:jc w:val="center"/>
    </w:pPr>
    <w:r>
      <w:t xml:space="preserve">Page </w:t>
    </w:r>
    <w:r>
      <w:fldChar w:fldCharType="begin"/>
    </w:r>
    <w:r>
      <w:instrText xml:space="preserve">PAGE</w:instrText>
    </w:r>
    <w:r>
      <w:fldChar w:fldCharType="separate"/>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31"/>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30"/>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5"/>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29"/>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3"/>
      <w:lvlText w:val=""/>
      <w:lvlJc w:val="left"/>
      <w:pPr>
        <w:tabs>
          <w:tab w:val="left" w:pos="360"/>
        </w:tabs>
        <w:ind w:left="360" w:hanging="360"/>
      </w:pPr>
      <w:rPr>
        <w:rFonts w:hint="default" w:ascii="Symbol" w:hAnsi="Symbol"/>
      </w:r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16C7665"/>
    <w:rsid w:val="035C2393"/>
    <w:rsid w:val="03C142B6"/>
    <w:rsid w:val="051D2C14"/>
    <w:rsid w:val="06782793"/>
    <w:rsid w:val="076247BA"/>
    <w:rsid w:val="076E27BD"/>
    <w:rsid w:val="08BB636A"/>
    <w:rsid w:val="099B02E7"/>
    <w:rsid w:val="09E35745"/>
    <w:rsid w:val="0ABB6891"/>
    <w:rsid w:val="0EF80318"/>
    <w:rsid w:val="0F4C3028"/>
    <w:rsid w:val="0F7563EB"/>
    <w:rsid w:val="115E0A8E"/>
    <w:rsid w:val="128526CB"/>
    <w:rsid w:val="154A777B"/>
    <w:rsid w:val="166D65D9"/>
    <w:rsid w:val="167D26F3"/>
    <w:rsid w:val="175355D1"/>
    <w:rsid w:val="177B11D8"/>
    <w:rsid w:val="17817FDA"/>
    <w:rsid w:val="17F06755"/>
    <w:rsid w:val="187A1F08"/>
    <w:rsid w:val="1994427E"/>
    <w:rsid w:val="1A0829B9"/>
    <w:rsid w:val="1AA36FC3"/>
    <w:rsid w:val="1C41576A"/>
    <w:rsid w:val="1ED32B20"/>
    <w:rsid w:val="1EFF75D4"/>
    <w:rsid w:val="1F0A12BB"/>
    <w:rsid w:val="1FB913FE"/>
    <w:rsid w:val="1FCF33BD"/>
    <w:rsid w:val="20304F10"/>
    <w:rsid w:val="20345DAC"/>
    <w:rsid w:val="209A1B8C"/>
    <w:rsid w:val="21E45026"/>
    <w:rsid w:val="2226575E"/>
    <w:rsid w:val="24BC5AD3"/>
    <w:rsid w:val="26BF14D7"/>
    <w:rsid w:val="271D3F2B"/>
    <w:rsid w:val="27986F20"/>
    <w:rsid w:val="2A0F67F9"/>
    <w:rsid w:val="2B305048"/>
    <w:rsid w:val="2C4A1A38"/>
    <w:rsid w:val="2E8C0CED"/>
    <w:rsid w:val="31584683"/>
    <w:rsid w:val="33292712"/>
    <w:rsid w:val="344B4FED"/>
    <w:rsid w:val="38845FC5"/>
    <w:rsid w:val="38946FDB"/>
    <w:rsid w:val="399C460F"/>
    <w:rsid w:val="39FA7AAD"/>
    <w:rsid w:val="3AEE4E1A"/>
    <w:rsid w:val="3BD52EB9"/>
    <w:rsid w:val="3C076F0B"/>
    <w:rsid w:val="3F4E78BD"/>
    <w:rsid w:val="40DF7B9C"/>
    <w:rsid w:val="41A27AEC"/>
    <w:rsid w:val="424173CD"/>
    <w:rsid w:val="428D7E54"/>
    <w:rsid w:val="42EC5ED9"/>
    <w:rsid w:val="43423065"/>
    <w:rsid w:val="435C3CCA"/>
    <w:rsid w:val="46A468E0"/>
    <w:rsid w:val="485D2DC8"/>
    <w:rsid w:val="49594A19"/>
    <w:rsid w:val="496E3722"/>
    <w:rsid w:val="4A8E6560"/>
    <w:rsid w:val="4AE97B73"/>
    <w:rsid w:val="4BD83A6D"/>
    <w:rsid w:val="4CB76E6A"/>
    <w:rsid w:val="4F46621E"/>
    <w:rsid w:val="530920EF"/>
    <w:rsid w:val="54717115"/>
    <w:rsid w:val="567F75DE"/>
    <w:rsid w:val="572B0DB1"/>
    <w:rsid w:val="59B04782"/>
    <w:rsid w:val="5B887BB7"/>
    <w:rsid w:val="5C705937"/>
    <w:rsid w:val="5CFB5874"/>
    <w:rsid w:val="5E1A42E3"/>
    <w:rsid w:val="5E1B4A56"/>
    <w:rsid w:val="5E3B0FB9"/>
    <w:rsid w:val="5EDE5554"/>
    <w:rsid w:val="60B466E8"/>
    <w:rsid w:val="60ED0C93"/>
    <w:rsid w:val="683B3E0E"/>
    <w:rsid w:val="69200C09"/>
    <w:rsid w:val="6BCD43F5"/>
    <w:rsid w:val="6C5C05C5"/>
    <w:rsid w:val="6DD239BB"/>
    <w:rsid w:val="6E765E37"/>
    <w:rsid w:val="6F0D2F31"/>
    <w:rsid w:val="6FCF1A38"/>
    <w:rsid w:val="70644124"/>
    <w:rsid w:val="70DE5680"/>
    <w:rsid w:val="73D62E1B"/>
    <w:rsid w:val="75941627"/>
    <w:rsid w:val="78B35B5F"/>
    <w:rsid w:val="7A9F1053"/>
    <w:rsid w:val="7AF456AE"/>
    <w:rsid w:val="7B3E77F1"/>
    <w:rsid w:val="7C775C1E"/>
    <w:rsid w:val="7D6464C5"/>
    <w:rsid w:val="7E336DF6"/>
    <w:rsid w:val="7E48197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qFormat="1"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semiHidden="0" w:name="Body Text"/>
    <w:lsdException w:uiPriority="99" w:name="Body Text Indent"/>
    <w:lsdException w:uiPriority="99" w:semiHidden="0" w:name="List Continue"/>
    <w:lsdException w:qFormat="1"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unhideWhenUsed="0" w:uiPriority="61" w:semiHidden="0" w:name="Light List Accent 2"/>
    <w:lsdException w:qFormat="1"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20" w:line="360" w:lineRule="auto"/>
    </w:pPr>
    <w:rPr>
      <w:rFonts w:ascii="Times New Roman" w:hAnsi="Times New Roman" w:eastAsiaTheme="minorEastAsia" w:cstheme="minorBidi"/>
      <w:sz w:val="24"/>
      <w:szCs w:val="22"/>
      <w:lang w:val="en-US" w:eastAsia="en-US" w:bidi="ar-SA"/>
    </w:rPr>
  </w:style>
  <w:style w:type="paragraph" w:styleId="2">
    <w:name w:val="heading 1"/>
    <w:basedOn w:val="1"/>
    <w:next w:val="1"/>
    <w:link w:val="139"/>
    <w:qFormat/>
    <w:uiPriority w:val="9"/>
    <w:pPr>
      <w:keepNext/>
      <w:keepLines/>
      <w:spacing w:before="480" w:after="0"/>
      <w:outlineLvl w:val="0"/>
    </w:pPr>
    <w:rPr>
      <w:rFonts w:asciiTheme="majorHAnsi" w:hAnsiTheme="majorHAnsi" w:eastAsiaTheme="majorEastAsia" w:cstheme="majorBidi"/>
      <w:b/>
      <w:bCs/>
      <w:color w:val="376092" w:themeColor="accent1" w:themeShade="BF"/>
      <w:sz w:val="32"/>
      <w:szCs w:val="28"/>
    </w:rPr>
  </w:style>
  <w:style w:type="paragraph" w:styleId="3">
    <w:name w:val="heading 2"/>
    <w:basedOn w:val="1"/>
    <w:next w:val="1"/>
    <w:link w:val="140"/>
    <w:unhideWhenUsed/>
    <w:qFormat/>
    <w:uiPriority w:val="9"/>
    <w:pPr>
      <w:keepNext/>
      <w:keepLines/>
      <w:spacing w:before="200" w:after="0"/>
      <w:outlineLvl w:val="1"/>
    </w:pPr>
    <w:rPr>
      <w:rFonts w:asciiTheme="majorHAnsi" w:hAnsiTheme="majorHAnsi" w:eastAsiaTheme="majorEastAsia" w:cstheme="majorBidi"/>
      <w:b/>
      <w:bCs/>
      <w:color w:val="4F81BD" w:themeColor="accent1"/>
      <w:sz w:val="28"/>
      <w:szCs w:val="26"/>
      <w14:textFill>
        <w14:solidFill>
          <w14:schemeClr w14:val="accent1"/>
        </w14:solidFill>
      </w14:textFill>
    </w:rPr>
  </w:style>
  <w:style w:type="paragraph" w:styleId="4">
    <w:name w:val="heading 3"/>
    <w:basedOn w:val="1"/>
    <w:next w:val="1"/>
    <w:link w:val="141"/>
    <w:unhideWhenUsed/>
    <w:qFormat/>
    <w:uiPriority w:val="9"/>
    <w:pPr>
      <w:keepNext/>
      <w:keepLines/>
      <w:spacing w:before="200" w:after="0"/>
      <w:outlineLvl w:val="2"/>
    </w:pPr>
    <w:rPr>
      <w:rFonts w:asciiTheme="majorHAnsi" w:hAnsiTheme="majorHAnsi" w:eastAsiaTheme="majorEastAsia" w:cstheme="majorBidi"/>
      <w:b/>
      <w:bCs/>
      <w:color w:val="4F81BD" w:themeColor="accent1"/>
      <w:sz w:val="24"/>
      <w14:textFill>
        <w14:solidFill>
          <w14:schemeClr w14:val="accent1"/>
        </w14:solidFill>
      </w14:textFill>
    </w:rPr>
  </w:style>
  <w:style w:type="paragraph" w:styleId="5">
    <w:name w:val="heading 4"/>
    <w:basedOn w:val="1"/>
    <w:next w:val="1"/>
    <w:link w:val="151"/>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2"/>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3"/>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4"/>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5"/>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56"/>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ody Text"/>
    <w:basedOn w:val="1"/>
    <w:link w:val="145"/>
    <w:unhideWhenUsed/>
    <w:uiPriority w:val="99"/>
    <w:pPr>
      <w:spacing w:after="120"/>
    </w:pPr>
  </w:style>
  <w:style w:type="paragraph" w:styleId="14">
    <w:name w:val="Body Text 2"/>
    <w:basedOn w:val="1"/>
    <w:link w:val="146"/>
    <w:unhideWhenUsed/>
    <w:uiPriority w:val="99"/>
    <w:pPr>
      <w:spacing w:after="120" w:line="480" w:lineRule="auto"/>
    </w:pPr>
  </w:style>
  <w:style w:type="paragraph" w:styleId="15">
    <w:name w:val="Body Text 3"/>
    <w:basedOn w:val="1"/>
    <w:link w:val="147"/>
    <w:unhideWhenUsed/>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37"/>
    <w:unhideWhenUsed/>
    <w:qFormat/>
    <w:uiPriority w:val="99"/>
    <w:pPr>
      <w:tabs>
        <w:tab w:val="center" w:pos="4680"/>
        <w:tab w:val="right" w:pos="9360"/>
      </w:tabs>
      <w:spacing w:after="0" w:line="240" w:lineRule="auto"/>
    </w:pPr>
  </w:style>
  <w:style w:type="paragraph" w:styleId="19">
    <w:name w:val="header"/>
    <w:basedOn w:val="1"/>
    <w:link w:val="136"/>
    <w:unhideWhenUsed/>
    <w:qFormat/>
    <w:uiPriority w:val="99"/>
    <w:pPr>
      <w:tabs>
        <w:tab w:val="center" w:pos="4680"/>
        <w:tab w:val="right" w:pos="9360"/>
      </w:tabs>
      <w:spacing w:after="0" w:line="240" w:lineRule="auto"/>
    </w:pPr>
  </w:style>
  <w:style w:type="paragraph" w:styleId="20">
    <w:name w:val="List"/>
    <w:basedOn w:val="1"/>
    <w:unhideWhenUsed/>
    <w:qFormat/>
    <w:uiPriority w:val="99"/>
    <w:pPr>
      <w:ind w:left="360" w:hanging="360"/>
      <w:contextualSpacing/>
    </w:pPr>
  </w:style>
  <w:style w:type="paragraph" w:styleId="21">
    <w:name w:val="List 2"/>
    <w:basedOn w:val="1"/>
    <w:unhideWhenUsed/>
    <w:uiPriority w:val="99"/>
    <w:pPr>
      <w:ind w:left="720" w:hanging="360"/>
      <w:contextualSpacing/>
    </w:pPr>
  </w:style>
  <w:style w:type="paragraph" w:styleId="22">
    <w:name w:val="List 3"/>
    <w:basedOn w:val="1"/>
    <w:unhideWhenUsed/>
    <w:uiPriority w:val="99"/>
    <w:pPr>
      <w:ind w:left="1080" w:hanging="360"/>
      <w:contextualSpacing/>
    </w:pPr>
  </w:style>
  <w:style w:type="paragraph" w:styleId="23">
    <w:name w:val="List Bullet"/>
    <w:basedOn w:val="1"/>
    <w:unhideWhenUsed/>
    <w:uiPriority w:val="99"/>
    <w:pPr>
      <w:numPr>
        <w:ilvl w:val="0"/>
        <w:numId w:val="1"/>
      </w:numPr>
      <w:contextualSpacing/>
    </w:pPr>
  </w:style>
  <w:style w:type="paragraph" w:styleId="24">
    <w:name w:val="List Bullet 2"/>
    <w:basedOn w:val="1"/>
    <w:unhideWhenUsed/>
    <w:uiPriority w:val="99"/>
    <w:pPr>
      <w:numPr>
        <w:ilvl w:val="0"/>
        <w:numId w:val="2"/>
      </w:numPr>
      <w:contextualSpacing/>
    </w:pPr>
  </w:style>
  <w:style w:type="paragraph" w:styleId="25">
    <w:name w:val="List Bullet 3"/>
    <w:basedOn w:val="1"/>
    <w:unhideWhenUsed/>
    <w:uiPriority w:val="99"/>
    <w:pPr>
      <w:numPr>
        <w:ilvl w:val="0"/>
        <w:numId w:val="3"/>
      </w:numPr>
      <w:contextualSpacing/>
    </w:pPr>
  </w:style>
  <w:style w:type="paragraph" w:styleId="26">
    <w:name w:val="List Continue"/>
    <w:basedOn w:val="1"/>
    <w:unhideWhenUsed/>
    <w:uiPriority w:val="99"/>
    <w:pPr>
      <w:spacing w:after="120"/>
      <w:ind w:left="360"/>
      <w:contextualSpacing/>
    </w:pPr>
  </w:style>
  <w:style w:type="paragraph" w:styleId="27">
    <w:name w:val="List Continue 2"/>
    <w:basedOn w:val="1"/>
    <w:unhideWhenUsed/>
    <w:qFormat/>
    <w:uiPriority w:val="99"/>
    <w:pPr>
      <w:spacing w:after="120"/>
      <w:ind w:left="720"/>
      <w:contextualSpacing/>
    </w:pPr>
  </w:style>
  <w:style w:type="paragraph" w:styleId="28">
    <w:name w:val="List Continue 3"/>
    <w:basedOn w:val="1"/>
    <w:unhideWhenUsed/>
    <w:uiPriority w:val="99"/>
    <w:pPr>
      <w:spacing w:after="120"/>
      <w:ind w:left="1080"/>
      <w:contextualSpacing/>
    </w:pPr>
  </w:style>
  <w:style w:type="paragraph" w:styleId="29">
    <w:name w:val="List Number"/>
    <w:basedOn w:val="1"/>
    <w:unhideWhenUsed/>
    <w:uiPriority w:val="99"/>
    <w:pPr>
      <w:numPr>
        <w:ilvl w:val="0"/>
        <w:numId w:val="4"/>
      </w:numPr>
      <w:contextualSpacing/>
    </w:pPr>
  </w:style>
  <w:style w:type="paragraph" w:styleId="30">
    <w:name w:val="List Number 2"/>
    <w:basedOn w:val="1"/>
    <w:unhideWhenUsed/>
    <w:uiPriority w:val="99"/>
    <w:pPr>
      <w:numPr>
        <w:ilvl w:val="0"/>
        <w:numId w:val="5"/>
      </w:numPr>
      <w:contextualSpacing/>
    </w:pPr>
  </w:style>
  <w:style w:type="paragraph" w:styleId="31">
    <w:name w:val="List Number 3"/>
    <w:basedOn w:val="1"/>
    <w:unhideWhenUsed/>
    <w:uiPriority w:val="99"/>
    <w:pPr>
      <w:numPr>
        <w:ilvl w:val="0"/>
        <w:numId w:val="6"/>
      </w:numPr>
      <w:contextualSpacing/>
    </w:pPr>
  </w:style>
  <w:style w:type="paragraph" w:styleId="32">
    <w:name w:val="macro"/>
    <w:link w:val="148"/>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33">
    <w:name w:val="Normal (Web)"/>
    <w:semiHidden/>
    <w:unhideWhenUsed/>
    <w:uiPriority w:val="99"/>
    <w:pPr>
      <w:spacing w:before="0" w:beforeAutospacing="1" w:after="0" w:afterAutospacing="1"/>
      <w:ind w:left="0" w:right="0"/>
      <w:jc w:val="left"/>
    </w:pPr>
    <w:rPr>
      <w:kern w:val="0"/>
      <w:sz w:val="24"/>
      <w:szCs w:val="24"/>
      <w:lang w:val="en-US" w:eastAsia="zh-CN" w:bidi="ar"/>
    </w:rPr>
  </w:style>
  <w:style w:type="character" w:styleId="34">
    <w:name w:val="Strong"/>
    <w:basedOn w:val="11"/>
    <w:qFormat/>
    <w:uiPriority w:val="22"/>
    <w:rPr>
      <w:b/>
      <w:bCs/>
    </w:rPr>
  </w:style>
  <w:style w:type="paragraph" w:styleId="35">
    <w:name w:val="Subtitle"/>
    <w:basedOn w:val="1"/>
    <w:next w:val="1"/>
    <w:link w:val="143"/>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6">
    <w:name w:val="Table Grid"/>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7">
    <w:name w:val="Title"/>
    <w:basedOn w:val="1"/>
    <w:next w:val="1"/>
    <w:link w:val="142"/>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8">
    <w:name w:val="Light Shading"/>
    <w:basedOn w:val="1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9">
    <w:name w:val="Light Shading Accent 1"/>
    <w:basedOn w:val="1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0">
    <w:name w:val="Light Shading Accent 2"/>
    <w:basedOn w:val="1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1">
    <w:name w:val="Light Shading Accent 3"/>
    <w:basedOn w:val="1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2">
    <w:name w:val="Light Shading Accent 4"/>
    <w:basedOn w:val="1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3">
    <w:name w:val="Light Shading Accent 5"/>
    <w:basedOn w:val="1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4">
    <w:name w:val="Light Shading Accent 6"/>
    <w:basedOn w:val="1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5">
    <w:name w:val="Light List"/>
    <w:basedOn w:val="1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6">
    <w:name w:val="Light List Accent 1"/>
    <w:basedOn w:val="1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7">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8">
    <w:name w:val="Light List Accent 3"/>
    <w:basedOn w:val="1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9">
    <w:name w:val="Light List Accent 4"/>
    <w:basedOn w:val="1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0">
    <w:name w:val="Light List Accent 5"/>
    <w:basedOn w:val="1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1">
    <w:name w:val="Light List Accent 6"/>
    <w:basedOn w:val="1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2">
    <w:name w:val="Light Grid"/>
    <w:basedOn w:val="1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3">
    <w:name w:val="Light Grid Accent 1"/>
    <w:basedOn w:val="1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4">
    <w:name w:val="Light Grid Accent 2"/>
    <w:basedOn w:val="1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5">
    <w:name w:val="Light Grid Accent 3"/>
    <w:basedOn w:val="1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6">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7">
    <w:name w:val="Light Grid Accent 5"/>
    <w:basedOn w:val="1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8">
    <w:name w:val="Light Grid Accent 6"/>
    <w:basedOn w:val="1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9">
    <w:name w:val="Medium Shading 1"/>
    <w:basedOn w:val="1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60">
    <w:name w:val="Medium Shading 1 Accent 1"/>
    <w:basedOn w:val="1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1">
    <w:name w:val="Medium Shading 1 Accent 2"/>
    <w:basedOn w:val="1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2">
    <w:name w:val="Medium Shading 1 Accent 3"/>
    <w:basedOn w:val="1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3">
    <w:name w:val="Medium Shading 1 Accent 4"/>
    <w:basedOn w:val="1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4">
    <w:name w:val="Medium Shading 1 Accent 5"/>
    <w:basedOn w:val="1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5">
    <w:name w:val="Medium Shading 1 Accent 6"/>
    <w:basedOn w:val="1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6">
    <w:name w:val="Medium Shading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1"/>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3"/>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4"/>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5"/>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Shading 2 Accent 6"/>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3">
    <w:name w:val="Medium List 1"/>
    <w:basedOn w:val="1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4">
    <w:name w:val="Medium List 1 Accent 1"/>
    <w:basedOn w:val="1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5">
    <w:name w:val="Medium List 1 Accent 2"/>
    <w:basedOn w:val="1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6">
    <w:name w:val="Medium List 1 Accent 3"/>
    <w:basedOn w:val="1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7">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8">
    <w:name w:val="Medium List 1 Accent 5"/>
    <w:basedOn w:val="1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9">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80">
    <w:name w:val="Medium Lis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1"/>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3"/>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4"/>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5"/>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List 2 Accent 6"/>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7">
    <w:name w:val="Medium Grid 1"/>
    <w:basedOn w:val="1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8">
    <w:name w:val="Medium Grid 1 Accent 1"/>
    <w:basedOn w:val="1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9">
    <w:name w:val="Medium Grid 1 Accent 2"/>
    <w:basedOn w:val="1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90">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1">
    <w:name w:val="Medium Grid 1 Accent 4"/>
    <w:basedOn w:val="1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2">
    <w:name w:val="Medium Grid 1 Accent 5"/>
    <w:basedOn w:val="1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3">
    <w:name w:val="Medium Grid 1 Accent 6"/>
    <w:basedOn w:val="1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4">
    <w:name w:val="Medium Grid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5">
    <w:name w:val="Medium Grid 2 Accent 1"/>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6">
    <w:name w:val="Medium Grid 2 Accent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7">
    <w:name w:val="Medium Grid 2 Accent 3"/>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8">
    <w:name w:val="Medium Grid 2 Accent 4"/>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9">
    <w:name w:val="Medium Grid 2 Accent 5"/>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00">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1">
    <w:name w:val="Medium Grid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2">
    <w:name w:val="Medium Grid 3 Accent 1"/>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3">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4">
    <w:name w:val="Medium Grid 3 Accent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5">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6">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7">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8">
    <w:name w:val="Dark List"/>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9">
    <w:name w:val="Dark List Accent 1"/>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10">
    <w:name w:val="Dark List Accent 2"/>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1">
    <w:name w:val="Dark List Accent 3"/>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2">
    <w:name w:val="Dark List Accent 4"/>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3">
    <w:name w:val="Dark List Accent 5"/>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4">
    <w:name w:val="Dark List Accent 6"/>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5">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9">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2">
    <w:name w:val="Colorful List"/>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3">
    <w:name w:val="Colorful List Accent 1"/>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4">
    <w:name w:val="Colorful List Accent 2"/>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5">
    <w:name w:val="Colorful List Accent 3"/>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6">
    <w:name w:val="Colorful List Accent 4"/>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7">
    <w:name w:val="Colorful List Accent 5"/>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8">
    <w:name w:val="Colorful List Accent 6"/>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9">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30">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1">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3">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4">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5">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36">
    <w:name w:val="Header Char"/>
    <w:basedOn w:val="11"/>
    <w:link w:val="19"/>
    <w:qFormat/>
    <w:uiPriority w:val="99"/>
  </w:style>
  <w:style w:type="character" w:customStyle="1" w:styleId="137">
    <w:name w:val="Footer Char"/>
    <w:basedOn w:val="11"/>
    <w:link w:val="18"/>
    <w:qFormat/>
    <w:uiPriority w:val="99"/>
  </w:style>
  <w:style w:type="paragraph" w:styleId="138">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9">
    <w:name w:val="Heading 1 Char"/>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140">
    <w:name w:val="Heading 2 Char"/>
    <w:basedOn w:val="11"/>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1">
    <w:name w:val="Heading 3 Ch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2">
    <w:name w:val="Title Char"/>
    <w:basedOn w:val="11"/>
    <w:link w:val="37"/>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3">
    <w:name w:val="Subtitle Char"/>
    <w:basedOn w:val="11"/>
    <w:link w:val="35"/>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4">
    <w:name w:val="List Paragraph"/>
    <w:basedOn w:val="1"/>
    <w:qFormat/>
    <w:uiPriority w:val="34"/>
    <w:pPr>
      <w:ind w:left="720"/>
      <w:contextualSpacing/>
    </w:pPr>
  </w:style>
  <w:style w:type="character" w:customStyle="1" w:styleId="145">
    <w:name w:val="Body Text Char"/>
    <w:basedOn w:val="11"/>
    <w:link w:val="13"/>
    <w:uiPriority w:val="99"/>
  </w:style>
  <w:style w:type="character" w:customStyle="1" w:styleId="146">
    <w:name w:val="Body Text 2 Char"/>
    <w:basedOn w:val="11"/>
    <w:link w:val="14"/>
    <w:uiPriority w:val="99"/>
  </w:style>
  <w:style w:type="character" w:customStyle="1" w:styleId="147">
    <w:name w:val="Body Text 3 Char"/>
    <w:basedOn w:val="11"/>
    <w:link w:val="15"/>
    <w:uiPriority w:val="99"/>
    <w:rPr>
      <w:sz w:val="16"/>
      <w:szCs w:val="16"/>
    </w:rPr>
  </w:style>
  <w:style w:type="character" w:customStyle="1" w:styleId="148">
    <w:name w:val="Macro Text Char"/>
    <w:basedOn w:val="11"/>
    <w:link w:val="32"/>
    <w:qFormat/>
    <w:uiPriority w:val="99"/>
    <w:rPr>
      <w:rFonts w:ascii="Courier" w:hAnsi="Courier"/>
      <w:sz w:val="20"/>
      <w:szCs w:val="20"/>
    </w:rPr>
  </w:style>
  <w:style w:type="paragraph" w:styleId="149">
    <w:name w:val="Quote"/>
    <w:basedOn w:val="1"/>
    <w:next w:val="1"/>
    <w:link w:val="150"/>
    <w:qFormat/>
    <w:uiPriority w:val="29"/>
    <w:rPr>
      <w:i/>
      <w:iCs/>
      <w:color w:val="000000" w:themeColor="text1"/>
      <w14:textFill>
        <w14:solidFill>
          <w14:schemeClr w14:val="tx1"/>
        </w14:solidFill>
      </w14:textFill>
    </w:rPr>
  </w:style>
  <w:style w:type="character" w:customStyle="1" w:styleId="150">
    <w:name w:val="Quote Char"/>
    <w:basedOn w:val="11"/>
    <w:link w:val="149"/>
    <w:uiPriority w:val="29"/>
    <w:rPr>
      <w:i/>
      <w:iCs/>
      <w:color w:val="000000" w:themeColor="text1"/>
      <w14:textFill>
        <w14:solidFill>
          <w14:schemeClr w14:val="tx1"/>
        </w14:solidFill>
      </w14:textFill>
    </w:rPr>
  </w:style>
  <w:style w:type="character" w:customStyle="1" w:styleId="151">
    <w:name w:val="Heading 4 Char"/>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2">
    <w:name w:val="Heading 5 Char"/>
    <w:basedOn w:val="11"/>
    <w:link w:val="6"/>
    <w:semiHidden/>
    <w:qFormat/>
    <w:uiPriority w:val="9"/>
    <w:rPr>
      <w:rFonts w:asciiTheme="majorHAnsi" w:hAnsiTheme="majorHAnsi" w:eastAsiaTheme="majorEastAsia" w:cstheme="majorBidi"/>
      <w:color w:val="254061" w:themeColor="accent1" w:themeShade="80"/>
    </w:rPr>
  </w:style>
  <w:style w:type="character" w:customStyle="1" w:styleId="153">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154">
    <w:name w:val="Heading 7 Char"/>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5">
    <w:name w:val="Heading 8 Char"/>
    <w:basedOn w:val="11"/>
    <w:link w:val="9"/>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6">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7">
    <w:name w:val="Intense Quote"/>
    <w:basedOn w:val="1"/>
    <w:next w:val="1"/>
    <w:link w:val="158"/>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8">
    <w:name w:val="Intense Quote Char"/>
    <w:basedOn w:val="11"/>
    <w:link w:val="157"/>
    <w:uiPriority w:val="30"/>
    <w:rPr>
      <w:b/>
      <w:bCs/>
      <w:i/>
      <w:iCs/>
      <w:color w:val="4F81BD" w:themeColor="accent1"/>
      <w14:textFill>
        <w14:solidFill>
          <w14:schemeClr w14:val="accent1"/>
        </w14:solidFill>
      </w14:textFill>
    </w:rPr>
  </w:style>
  <w:style w:type="character" w:customStyle="1" w:styleId="159">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60">
    <w:name w:val="Intense Emphasis"/>
    <w:basedOn w:val="11"/>
    <w:qFormat/>
    <w:uiPriority w:val="21"/>
    <w:rPr>
      <w:b/>
      <w:bCs/>
      <w:i/>
      <w:iCs/>
      <w:color w:val="4F81BD" w:themeColor="accent1"/>
      <w14:textFill>
        <w14:solidFill>
          <w14:schemeClr w14:val="accent1"/>
        </w14:solidFill>
      </w14:textFill>
    </w:rPr>
  </w:style>
  <w:style w:type="character" w:customStyle="1" w:styleId="161">
    <w:name w:val="Subtle Reference"/>
    <w:basedOn w:val="11"/>
    <w:qFormat/>
    <w:uiPriority w:val="31"/>
    <w:rPr>
      <w:smallCaps/>
      <w:color w:val="C0504D" w:themeColor="accent2"/>
      <w:u w:val="single"/>
      <w14:textFill>
        <w14:solidFill>
          <w14:schemeClr w14:val="accent2"/>
        </w14:solidFill>
      </w14:textFill>
    </w:rPr>
  </w:style>
  <w:style w:type="character" w:customStyle="1" w:styleId="162">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63">
    <w:name w:val="Book Title"/>
    <w:basedOn w:val="11"/>
    <w:qFormat/>
    <w:uiPriority w:val="33"/>
    <w:rPr>
      <w:b/>
      <w:bCs/>
      <w:smallCaps/>
      <w:spacing w:val="5"/>
    </w:rPr>
  </w:style>
  <w:style w:type="paragraph" w:customStyle="1" w:styleId="164">
    <w:name w:val="TOC Heading"/>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4018</Words>
  <Characters>27718</Characters>
  <Lines>0</Lines>
  <Paragraphs>0</Paragraphs>
  <TotalTime>4</TotalTime>
  <ScaleCrop>false</ScaleCrop>
  <LinksUpToDate>false</LinksUpToDate>
  <CharactersWithSpaces>31501</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anaya</cp:lastModifiedBy>
  <dcterms:modified xsi:type="dcterms:W3CDTF">2026-08-14T11:41:03Z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eyJoZGlkIjoiM2ZlZjFhYTNiNWU0MTQ1ZDM1MDZhMzdhMTE0ODQ0ZWIifQ==</vt:lpwstr>
  </property>
  <property fmtid="{D5CDD505-2E9C-101B-9397-08002B2CF9AE}" pid="3" name="KSOProductBuildVer">
    <vt:lpwstr>1033-12.1.0.28032</vt:lpwstr>
  </property>
  <property fmtid="{D5CDD505-2E9C-101B-9397-08002B2CF9AE}" pid="4" name="ICV">
    <vt:lpwstr>03FA921158804B5DBBC6869734363FA5_13</vt:lpwstr>
  </property>
</Properties>
</file>