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486CBE" w:rsidRDefault="00486CBE">
      <w:pPr>
        <w:jc w:val="center"/>
        <w:rPr>
          <w:b/>
        </w:rPr>
      </w:pPr>
    </w:p>
    <w:p w14:paraId="00000002" w14:textId="77777777" w:rsidR="00486CBE" w:rsidRDefault="00000000">
      <w:pPr>
        <w:jc w:val="center"/>
        <w:rPr>
          <w:b/>
        </w:rPr>
      </w:pPr>
      <w:r>
        <w:rPr>
          <w:b/>
        </w:rPr>
        <w:t>BMLW4005</w:t>
      </w:r>
    </w:p>
    <w:p w14:paraId="00000003" w14:textId="77777777" w:rsidR="00486CBE" w:rsidRDefault="00000000">
      <w:pPr>
        <w:jc w:val="center"/>
        <w:rPr>
          <w:b/>
        </w:rPr>
      </w:pPr>
      <w:r>
        <w:rPr>
          <w:b/>
        </w:rPr>
        <w:t>Criminal Law</w:t>
      </w:r>
    </w:p>
    <w:p w14:paraId="00000004" w14:textId="77777777" w:rsidR="00486CBE" w:rsidRDefault="00000000">
      <w:pPr>
        <w:jc w:val="center"/>
        <w:rPr>
          <w:b/>
        </w:rPr>
      </w:pPr>
      <w:r>
        <w:rPr>
          <w:b/>
        </w:rPr>
        <w:t>Student name: Sylwia Maciejewska</w:t>
      </w:r>
    </w:p>
    <w:p w14:paraId="00000005" w14:textId="77777777" w:rsidR="00486CBE" w:rsidRDefault="00000000">
      <w:pPr>
        <w:jc w:val="center"/>
        <w:rPr>
          <w:b/>
        </w:rPr>
      </w:pPr>
      <w:r>
        <w:rPr>
          <w:b/>
        </w:rPr>
        <w:t>Student number: 2130318</w:t>
      </w:r>
    </w:p>
    <w:p w14:paraId="00000006" w14:textId="77777777" w:rsidR="00486CBE" w:rsidRDefault="00000000">
      <w:pPr>
        <w:spacing w:line="276" w:lineRule="auto"/>
        <w:jc w:val="left"/>
      </w:pPr>
      <w:r>
        <w:br w:type="page"/>
      </w:r>
    </w:p>
    <w:p w14:paraId="00000007" w14:textId="77777777" w:rsidR="00486CBE" w:rsidRDefault="00000000">
      <w:pPr>
        <w:keepNext/>
        <w:keepLines/>
        <w:pBdr>
          <w:top w:val="nil"/>
          <w:left w:val="nil"/>
          <w:bottom w:val="nil"/>
          <w:right w:val="nil"/>
          <w:between w:val="nil"/>
        </w:pBdr>
        <w:spacing w:before="480" w:after="0"/>
        <w:rPr>
          <w:b/>
          <w:color w:val="366091"/>
          <w:sz w:val="28"/>
          <w:szCs w:val="28"/>
        </w:rPr>
      </w:pPr>
      <w:r>
        <w:rPr>
          <w:b/>
          <w:color w:val="366091"/>
          <w:sz w:val="28"/>
          <w:szCs w:val="28"/>
        </w:rPr>
        <w:lastRenderedPageBreak/>
        <w:t>Contents</w:t>
      </w:r>
    </w:p>
    <w:bookmarkStart w:id="0" w:name="_gjdgxs" w:colFirst="0" w:colLast="0" w:displacedByCustomXml="next"/>
    <w:bookmarkEnd w:id="0" w:displacedByCustomXml="next"/>
    <w:sdt>
      <w:sdtPr>
        <w:id w:val="1725716423"/>
        <w:docPartObj>
          <w:docPartGallery w:val="Table of Contents"/>
          <w:docPartUnique/>
        </w:docPartObj>
      </w:sdtPr>
      <w:sdtContent>
        <w:p w14:paraId="00000008" w14:textId="77777777" w:rsidR="00486CBE" w:rsidRDefault="00000000">
          <w:pPr>
            <w:pBdr>
              <w:top w:val="nil"/>
              <w:left w:val="nil"/>
              <w:bottom w:val="nil"/>
              <w:right w:val="nil"/>
              <w:between w:val="nil"/>
            </w:pBdr>
            <w:tabs>
              <w:tab w:val="right" w:pos="9016"/>
            </w:tabs>
            <w:spacing w:after="100"/>
            <w:rPr>
              <w:color w:val="000000"/>
            </w:rPr>
          </w:pPr>
          <w:r>
            <w:fldChar w:fldCharType="begin"/>
          </w:r>
          <w:r>
            <w:instrText xml:space="preserve"> TOC \h \u \z </w:instrText>
          </w:r>
          <w:r>
            <w:fldChar w:fldCharType="separate"/>
          </w:r>
          <w:hyperlink w:anchor="_30j0zll">
            <w:r>
              <w:rPr>
                <w:color w:val="000000"/>
              </w:rPr>
              <w:t>Task A</w:t>
            </w:r>
            <w:r>
              <w:rPr>
                <w:color w:val="000000"/>
              </w:rPr>
              <w:tab/>
              <w:t>3</w:t>
            </w:r>
          </w:hyperlink>
        </w:p>
        <w:p w14:paraId="00000009" w14:textId="77777777" w:rsidR="00486CBE" w:rsidRDefault="00000000">
          <w:pPr>
            <w:pBdr>
              <w:top w:val="nil"/>
              <w:left w:val="nil"/>
              <w:bottom w:val="nil"/>
              <w:right w:val="nil"/>
              <w:between w:val="nil"/>
            </w:pBdr>
            <w:tabs>
              <w:tab w:val="right" w:pos="9016"/>
            </w:tabs>
            <w:spacing w:after="100"/>
            <w:rPr>
              <w:color w:val="000000"/>
            </w:rPr>
          </w:pPr>
          <w:hyperlink w:anchor="_1fob9te">
            <w:r>
              <w:rPr>
                <w:color w:val="000000"/>
              </w:rPr>
              <w:t>Task B</w:t>
            </w:r>
            <w:r>
              <w:rPr>
                <w:color w:val="000000"/>
              </w:rPr>
              <w:tab/>
              <w:t>5</w:t>
            </w:r>
          </w:hyperlink>
        </w:p>
        <w:p w14:paraId="0000000A" w14:textId="77777777" w:rsidR="00486CBE" w:rsidRDefault="00000000">
          <w:pPr>
            <w:pBdr>
              <w:top w:val="nil"/>
              <w:left w:val="nil"/>
              <w:bottom w:val="nil"/>
              <w:right w:val="nil"/>
              <w:between w:val="nil"/>
            </w:pBdr>
            <w:tabs>
              <w:tab w:val="right" w:pos="9016"/>
            </w:tabs>
            <w:spacing w:after="100"/>
            <w:rPr>
              <w:color w:val="000000"/>
            </w:rPr>
          </w:pPr>
          <w:hyperlink w:anchor="_3znysh7">
            <w:r>
              <w:rPr>
                <w:color w:val="000000"/>
              </w:rPr>
              <w:t>References</w:t>
            </w:r>
            <w:r>
              <w:rPr>
                <w:color w:val="000000"/>
              </w:rPr>
              <w:tab/>
              <w:t>7</w:t>
            </w:r>
          </w:hyperlink>
        </w:p>
        <w:p w14:paraId="0000000B" w14:textId="77777777" w:rsidR="00486CBE" w:rsidRDefault="00000000">
          <w:r>
            <w:fldChar w:fldCharType="end"/>
          </w:r>
        </w:p>
      </w:sdtContent>
    </w:sdt>
    <w:p w14:paraId="0000000C" w14:textId="77777777" w:rsidR="00486CBE" w:rsidRDefault="00000000">
      <w:pPr>
        <w:spacing w:line="276" w:lineRule="auto"/>
        <w:jc w:val="left"/>
      </w:pPr>
      <w:r>
        <w:br w:type="page"/>
      </w:r>
    </w:p>
    <w:p w14:paraId="0000000D" w14:textId="77777777" w:rsidR="00486CBE" w:rsidRDefault="00000000">
      <w:pPr>
        <w:pStyle w:val="Heading2"/>
      </w:pPr>
      <w:bookmarkStart w:id="1" w:name="_30j0zll" w:colFirst="0" w:colLast="0"/>
      <w:bookmarkEnd w:id="1"/>
      <w:r>
        <w:lastRenderedPageBreak/>
        <w:t>Task A</w:t>
      </w:r>
    </w:p>
    <w:p w14:paraId="0000000E" w14:textId="78699E33" w:rsidR="00486CBE" w:rsidRDefault="00000000">
      <w:r>
        <w:t xml:space="preserve">Hadley entered the house of Ronan with an intention to steal </w:t>
      </w:r>
      <w:r w:rsidR="00036C54">
        <w:t>Bucci</w:t>
      </w:r>
      <w:r>
        <w:t xml:space="preserve"> trainers, and it amounted to burglary. Trespassing into a structure, or a portion thereof, with the purpose to conduct theft, Malicious wounding, or criminal damage, or </w:t>
      </w:r>
      <w:proofErr w:type="gramStart"/>
      <w:r>
        <w:t>actually committing</w:t>
      </w:r>
      <w:proofErr w:type="gramEnd"/>
      <w:r>
        <w:t xml:space="preserve"> theft, GBH, or criminal damage after entering as a trespasser, constitutes burglary. As Hadley entered the house with accurate intention of stealing something, so the action will be considered as a burglary. It can be supported by the judgement of R v Collins [1973] 3 WLR 243 case (Zedner, 2010).  The accused here was charged with burglary. A young woman was sleeping soundly in her bed when he mounted a ladder to peer inside. He climbed down the ladder, undressed to his socks, and then climbed back up. After she woke up, she looked out the window and saw him there. She mistook the stranger for her lover and welcomed him inside. Neither of them could remember for sure if he </w:t>
      </w:r>
      <w:proofErr w:type="gramStart"/>
      <w:r>
        <w:t>was</w:t>
      </w:r>
      <w:proofErr w:type="gramEnd"/>
      <w:r>
        <w:t xml:space="preserve"> already inside when she extended the invitation, or if he was outside the window when she did so (Roberts and Stalans, 2010). They then engaged in sexual activity. When she realised it was not her boyfriend, she yelled at him to exit the train. He bolted away. The police questioned him the next day, and on the basis that he had entered as a trespasser with the purpose to commit rape, he was charged with burglary under s.9(1)(a).</w:t>
      </w:r>
    </w:p>
    <w:p w14:paraId="0000000F" w14:textId="77777777" w:rsidR="00486CBE" w:rsidRDefault="00000000">
      <w:r>
        <w:t xml:space="preserve">Hadley also broke one of the wooden benches of Ronan and snapped it in half. It amounted to the offence of trespassing. If the property's owner extends an invitation, the guest is within their rights to enter the premises under British law. If, however, the owner (or a representative of the owner, such as a staff member or security operative) rescinds (or allows the invitation to expire) and the other person still refuses to leave, they have committed trespass (Hale et al., 2013). If the trespass was not committed with the purpose to commit a crime, the property owner has little legal remedies at his disposal. They might file a claim in court seeking compensation for the trespasser's "hypothetical" gains. Nothing further can be done save getting a court order against the trespasser returning to the property. The trespasser's awareness of the illegality of their act is given considerable weight by the law. It is quite unlikely that criminal charges will be pursued against the trespasser if they depart promptly and calmly after being warned that they are trespassing. It can be further supported by R v Jones &amp; Smith [1976]1 WLR 672 case (Conklin, 2013). Defendants Christopher Smith and John Jones were pulled over by police late at night because an officer saw a television protruding from the trunk of their vehicle. Jones was also found to be in possession of pliers and a second television during the stop. After their arrest, the police learned that Smith's dad had reported two TVs stolen from the residence earlier that evening. Both televisions' cables were severed and the </w:t>
      </w:r>
      <w:r>
        <w:lastRenderedPageBreak/>
        <w:t>lead that had been used to bind a broken window shut was also snipped. Smith confirmed that he and his companions had stolen the TVs, but maintained that he had his father's OK to do so (Roberts, 2015). Jones insisted that he was only Smith's date that night and that he had been under the impression that Smith had been given authorization to remove the televisions. Jones and Smith provided contradictory statements to the police and presented testimony at trial regarding where they were taking the televisions. Both Smith and Jones were found guilty on burglary charges.</w:t>
      </w:r>
    </w:p>
    <w:p w14:paraId="00000010" w14:textId="77777777" w:rsidR="00486CBE" w:rsidRDefault="00000000">
      <w:r>
        <w:t>Hadley also stole a Kolex watch of Ronan from his house. It amounted to the offence of theft. An act of stealing occurs when one person dishonestly takes another's belongings with the purpose to deprive the owner of those items permanently. In the case of R v MacPherson [1973] RTR 157, the defendant was accused of violating section 12(1) of the Theft Act of 1968, which makes it a crime to steal a vehicle without permission. In another case R V SMITH [2011] 1 CR APP R 30, Smith met with Chesterfield Jordan to make a drug purchase (Ashworth, 2016). Jordan had just arrived at the agreed-upon meeting spot when the two appellants, Plummer and Haines, came rushing out of a nearby alley and assaulted him. Haines knocked him out of the way when Plummer placed a knife to his throat. The three of them kicked Jordan to the ground and demanded the heroin. They snatched the heroin from Jordan's hands and took off (Adler, Mueller and Laufer, 2018). The three defendants who appealed their robbery convictions argued that illegal substances do not qualify as property under the Theft Act.</w:t>
      </w:r>
    </w:p>
    <w:p w14:paraId="00000011" w14:textId="77777777" w:rsidR="00486CBE" w:rsidRDefault="00000000">
      <w:r>
        <w:t>Finally, Hadley also set fire in the house of Ronan. It amounted to the offence of criminal damage, more specifically, arson. Arson is defined as a crime under Section 1(3) of the Criminal Damage Act 1971 when property is destroyed or damaged due to fire. As stated in Section 1(2) of the Criminal Damage Act, it is illegal to destroy or damage property with the intent to jeopardise the life of another person or with reckless disregard for whether the life of another person would be threatened as a result of such destruction or damage (Hale et al., 2013). If the destruction was caused by fire, then the perpetrator might be prosecuted with arson for either intending to risk lives or being irresponsible as to whether or not this would be the case. If the defendant either meant to risk life through damage, or was careless that life would be endangered by the harm, then the defendant is guilty.</w:t>
      </w:r>
    </w:p>
    <w:p w14:paraId="00000012" w14:textId="77777777" w:rsidR="00486CBE" w:rsidRDefault="00486CBE"/>
    <w:p w14:paraId="00000013" w14:textId="77777777" w:rsidR="00486CBE" w:rsidRDefault="00000000">
      <w:pPr>
        <w:pStyle w:val="Heading2"/>
      </w:pPr>
      <w:bookmarkStart w:id="2" w:name="_1fob9te" w:colFirst="0" w:colLast="0"/>
      <w:bookmarkEnd w:id="2"/>
      <w:r>
        <w:lastRenderedPageBreak/>
        <w:t>Task B</w:t>
      </w:r>
    </w:p>
    <w:p w14:paraId="00000014" w14:textId="77777777" w:rsidR="00486CBE" w:rsidRDefault="00000000">
      <w:r>
        <w:t>The burden of proof rests on the prosecution when someone is charged of a crime; the defence team can raise broad objections to the prosecution's assertion that the accused committed the act with purpose (Huff and Killias, 2010). Defences that apply generally are case and crime specific. In the given scenario, Freya can rely on the defences of intoxication and automatism.</w:t>
      </w:r>
    </w:p>
    <w:p w14:paraId="00000015" w14:textId="77777777" w:rsidR="00486CBE" w:rsidRDefault="00000000">
      <w:r>
        <w:t xml:space="preserve">In circumstances when a person committed a crime while lacking complete mental control, the defence of automatism may be raised. In addition to circumstances when the defendant was under the influence of drugs or alcohol, the automatism defence can be used when the defendant was not lucid during the commission of the crime (Zedner, 2010). In order to successfully use automatism as a defence, the defendant would have to show that they were completely unable to exercise any choice over their actions during the commission of the crime. No defence may be made if the defendant still has some degree of control over the situation, however limited or compromised (Roberts, 2015). In addition, the defence is not available if the person's automatism is the result of an illness, alcohol or drug abuse, or something the person does on their own, such skipping meals when on insulin. When the brain is not involved in a physical action, we say that the action is automatic. Complete defence; if successful, results in a finding of not guilty (Conklin, 2013). If the defendant's </w:t>
      </w:r>
      <w:r>
        <w:rPr>
          <w:i/>
        </w:rPr>
        <w:t>actus reus</w:t>
      </w:r>
      <w:r>
        <w:t xml:space="preserve"> was not done willingly, then they can use this defence. Also, they lacked the mental state of premeditation necessary to commit the crime. The trigger for the reflex must come from somewhere else, such a sneeze, the side effects of a medicine, or a swarm of bees. </w:t>
      </w:r>
      <w:r>
        <w:rPr>
          <w:i/>
        </w:rPr>
        <w:t>Hill v. Baxter, 1958</w:t>
      </w:r>
      <w:r>
        <w:t xml:space="preserve">, is a good case in point. External factors like extreme stress might contribute to the onset of automatism (Macdonald, 2013). The law is more nuanced when it comes to fundamental purpose, but the general rule is that if the defendant is found to have brought the automatic state on himself via recklessness, he cannot later utilise that state as a defence. Self-induced carelessness is no defence if the defendant was careless in entering the automatic condition. A defence of automatism cannot be utilised if the defendant's own actions brought about the automatic condition, such as via the use of alcohol, drugs, or other intoxicating substances. For example, </w:t>
      </w:r>
      <w:r>
        <w:rPr>
          <w:i/>
        </w:rPr>
        <w:t>The District Attorney's Office v. Majewski (1977)</w:t>
      </w:r>
      <w:r>
        <w:t xml:space="preserve"> can be referred to here (Ashworth, 2016). It shows that if the defendant does not realise that his activities are likely to lead to a self-induced automatic condition in which he may commit a crime, he has not been irresponsible and can invoke the defence of automatism.</w:t>
      </w:r>
    </w:p>
    <w:p w14:paraId="00000016" w14:textId="62AA09C7" w:rsidR="00486CBE" w:rsidRDefault="00000000">
      <w:r>
        <w:t xml:space="preserve">Intoxication is a common factor in criminal behaviour, and this defence may be used to show that the defendant lacked the mental ability to commit or understand the nature of the alleged </w:t>
      </w:r>
      <w:r>
        <w:lastRenderedPageBreak/>
        <w:t xml:space="preserve">offence in the given scenario of Freya. In circumstances of involuntary drunkenness, when the accused gets inebriated without their knowledge or consent—for example, if their drink was spiked—the defence has a better chance of succeeding. It is possible to achieve an acquittal in situations of voluntary drunkenness by arguing that the defendant lacked the necessary criminal ability due to their intoxication (Huff and Killias, 2010). When someone commits a crime, they cannot cite their own voluntary drunkenness as an excuse. The courts of the common law world have, beginning with the </w:t>
      </w:r>
      <w:r>
        <w:rPr>
          <w:i/>
        </w:rPr>
        <w:t>DPP v. Beard [1920] A.C. 479</w:t>
      </w:r>
      <w:r>
        <w:t xml:space="preserve"> judgement of the House of Lords, mapped out a solution to this conundrum by seeking a compromise between public policy and principle. Every first-year law student knows that their efforts have not always been consistent across time and location, and that they still integrate a maddening degree of doubt on at least one essential factor. </w:t>
      </w:r>
      <w:proofErr w:type="spellStart"/>
      <w:r>
        <w:t>Some</w:t>
      </w:r>
      <w:r w:rsidR="00036C54">
        <w:t xml:space="preserve"> </w:t>
      </w:r>
      <w:r>
        <w:t>what</w:t>
      </w:r>
      <w:proofErr w:type="spellEnd"/>
      <w:r>
        <w:t xml:space="preserve"> recently, in </w:t>
      </w:r>
      <w:r>
        <w:rPr>
          <w:i/>
        </w:rPr>
        <w:t>People (DPP) v. Eadon [2019] IESC 98</w:t>
      </w:r>
      <w:r>
        <w:t xml:space="preserve">, the Irish Supreme Court clarified another area of the law that has been a source of previous misunderstanding (Macdonald, 2013). The House of Lords (as it was at the time) ruled in a seminal case called </w:t>
      </w:r>
      <w:r>
        <w:rPr>
          <w:i/>
        </w:rPr>
        <w:t>DPP v. Majewski [1977] A.C. 443</w:t>
      </w:r>
      <w:r>
        <w:t xml:space="preserve"> that an accused could not be found guilty of a crime requiring particular purpose if he was so drunk at the time of the offence that he did not have the necessary specific intent. Naturally (and sensibly), without that key piece of evidence, the accused could not be found guilty of the crime (Roberts and Stalans, 2010). Nonetheless, it also ruled, critically, that voluntary drunkenness offered no protection at all against fundamental intent offences. The prosecution may not have to show the essential responsibility (recklessness) for such fundamental intent offences if the defendant admits to such voluntary drunkenness. It is possible that a charge of murder may be reduced to manslaughter if it could be shown that the accused was too drunk to realise the gravity of their actions. Proof beyond a reasonable doubt that an inebriated individual can still manage their acts while being unaware of the consequences of their actions is challenging to get (Zedner, 2010). A common misconception about drunkenness as a defence is that it may be used to deny criminal intent, whereas in fact it is used to show that the defendant committed the crime but was unaware of the illegal consequences of their actions due to their inebriation.</w:t>
      </w:r>
    </w:p>
    <w:p w14:paraId="00000017" w14:textId="77777777" w:rsidR="00486CBE" w:rsidRDefault="00000000">
      <w:pPr>
        <w:spacing w:line="276" w:lineRule="auto"/>
        <w:jc w:val="left"/>
      </w:pPr>
      <w:r>
        <w:br w:type="page"/>
      </w:r>
    </w:p>
    <w:p w14:paraId="00000018" w14:textId="77777777" w:rsidR="00486CBE" w:rsidRDefault="00000000">
      <w:pPr>
        <w:pStyle w:val="Heading2"/>
      </w:pPr>
      <w:bookmarkStart w:id="3" w:name="_3znysh7" w:colFirst="0" w:colLast="0"/>
      <w:bookmarkEnd w:id="3"/>
      <w:r>
        <w:lastRenderedPageBreak/>
        <w:t>References</w:t>
      </w:r>
    </w:p>
    <w:p w14:paraId="00000019" w14:textId="77777777" w:rsidR="00486CBE" w:rsidRDefault="00000000">
      <w:pPr>
        <w:pBdr>
          <w:top w:val="nil"/>
          <w:left w:val="nil"/>
          <w:bottom w:val="nil"/>
          <w:right w:val="nil"/>
          <w:between w:val="nil"/>
        </w:pBdr>
        <w:spacing w:after="240"/>
        <w:jc w:val="left"/>
        <w:rPr>
          <w:color w:val="000000"/>
        </w:rPr>
      </w:pPr>
      <w:r>
        <w:rPr>
          <w:color w:val="000000"/>
        </w:rPr>
        <w:t xml:space="preserve">Adler, F., Mueller, G.O.W. and Laufer, W.S. (2018). </w:t>
      </w:r>
      <w:r>
        <w:rPr>
          <w:i/>
          <w:color w:val="000000"/>
        </w:rPr>
        <w:t>Criminology</w:t>
      </w:r>
      <w:r>
        <w:rPr>
          <w:color w:val="000000"/>
        </w:rPr>
        <w:t>. New York, Ny: Mcgraw-Hill.</w:t>
      </w:r>
    </w:p>
    <w:p w14:paraId="0000001A" w14:textId="77777777" w:rsidR="00486CBE" w:rsidRDefault="00000000">
      <w:pPr>
        <w:pBdr>
          <w:top w:val="nil"/>
          <w:left w:val="nil"/>
          <w:bottom w:val="nil"/>
          <w:right w:val="nil"/>
          <w:between w:val="nil"/>
        </w:pBdr>
        <w:spacing w:after="240"/>
        <w:jc w:val="left"/>
        <w:rPr>
          <w:color w:val="000000"/>
        </w:rPr>
      </w:pPr>
      <w:r>
        <w:rPr>
          <w:color w:val="000000"/>
        </w:rPr>
        <w:t xml:space="preserve">Ashworth, A. (2016). </w:t>
      </w:r>
      <w:r>
        <w:rPr>
          <w:i/>
          <w:color w:val="000000"/>
        </w:rPr>
        <w:t>Sentencing and criminal justice</w:t>
      </w:r>
      <w:r>
        <w:rPr>
          <w:color w:val="000000"/>
        </w:rPr>
        <w:t>. Cambridge: Cambridge University Press.</w:t>
      </w:r>
    </w:p>
    <w:p w14:paraId="0000001B" w14:textId="77777777" w:rsidR="00486CBE" w:rsidRDefault="00000000">
      <w:pPr>
        <w:pBdr>
          <w:top w:val="nil"/>
          <w:left w:val="nil"/>
          <w:bottom w:val="nil"/>
          <w:right w:val="nil"/>
          <w:between w:val="nil"/>
        </w:pBdr>
        <w:spacing w:after="240"/>
        <w:jc w:val="left"/>
        <w:rPr>
          <w:color w:val="000000"/>
        </w:rPr>
      </w:pPr>
      <w:r>
        <w:rPr>
          <w:color w:val="000000"/>
        </w:rPr>
        <w:t xml:space="preserve">Conklin, J.E. (2013). </w:t>
      </w:r>
      <w:r>
        <w:rPr>
          <w:i/>
          <w:color w:val="000000"/>
        </w:rPr>
        <w:t>Criminology</w:t>
      </w:r>
      <w:r>
        <w:rPr>
          <w:color w:val="000000"/>
        </w:rPr>
        <w:t>. Boston, Mass.: Pearson.</w:t>
      </w:r>
    </w:p>
    <w:p w14:paraId="0000001C" w14:textId="77777777" w:rsidR="00486CBE" w:rsidRDefault="00000000">
      <w:pPr>
        <w:pBdr>
          <w:top w:val="nil"/>
          <w:left w:val="nil"/>
          <w:bottom w:val="nil"/>
          <w:right w:val="nil"/>
          <w:between w:val="nil"/>
        </w:pBdr>
        <w:spacing w:after="240"/>
        <w:jc w:val="left"/>
        <w:rPr>
          <w:color w:val="000000"/>
        </w:rPr>
      </w:pPr>
      <w:r>
        <w:rPr>
          <w:color w:val="000000"/>
        </w:rPr>
        <w:t xml:space="preserve">Hale, C., Hayward, K.J., Wahidin, A. and Wincup, E. (2013). </w:t>
      </w:r>
      <w:r>
        <w:rPr>
          <w:i/>
          <w:color w:val="000000"/>
        </w:rPr>
        <w:t>Criminology</w:t>
      </w:r>
      <w:r>
        <w:rPr>
          <w:color w:val="000000"/>
        </w:rPr>
        <w:t>. 3rd ed. Oxford: Oxford University Press.</w:t>
      </w:r>
    </w:p>
    <w:p w14:paraId="0000001D" w14:textId="77777777" w:rsidR="00486CBE" w:rsidRDefault="00000000">
      <w:pPr>
        <w:pBdr>
          <w:top w:val="nil"/>
          <w:left w:val="nil"/>
          <w:bottom w:val="nil"/>
          <w:right w:val="nil"/>
          <w:between w:val="nil"/>
        </w:pBdr>
        <w:spacing w:after="240"/>
        <w:jc w:val="left"/>
        <w:rPr>
          <w:color w:val="000000"/>
        </w:rPr>
      </w:pPr>
      <w:r>
        <w:rPr>
          <w:color w:val="000000"/>
        </w:rPr>
        <w:t xml:space="preserve">Huff, C.R. and Killias, M. (2010). </w:t>
      </w:r>
      <w:r>
        <w:rPr>
          <w:i/>
          <w:color w:val="000000"/>
        </w:rPr>
        <w:t xml:space="preserve">Wrongful conviction : international perspectives on </w:t>
      </w:r>
      <w:proofErr w:type="gramStart"/>
      <w:r>
        <w:rPr>
          <w:i/>
          <w:color w:val="000000"/>
        </w:rPr>
        <w:t>miscarriages of justice</w:t>
      </w:r>
      <w:proofErr w:type="gramEnd"/>
      <w:r>
        <w:rPr>
          <w:color w:val="000000"/>
        </w:rPr>
        <w:t>. Philadelphia: Temple University Press.</w:t>
      </w:r>
    </w:p>
    <w:p w14:paraId="0000001E" w14:textId="77777777" w:rsidR="00486CBE" w:rsidRDefault="00000000">
      <w:pPr>
        <w:pBdr>
          <w:top w:val="nil"/>
          <w:left w:val="nil"/>
          <w:bottom w:val="nil"/>
          <w:right w:val="nil"/>
          <w:between w:val="nil"/>
        </w:pBdr>
        <w:spacing w:after="240"/>
        <w:jc w:val="left"/>
        <w:rPr>
          <w:color w:val="000000"/>
        </w:rPr>
      </w:pPr>
      <w:r>
        <w:rPr>
          <w:color w:val="000000"/>
        </w:rPr>
        <w:t xml:space="preserve">Macdonald, A. (2013). </w:t>
      </w:r>
      <w:r>
        <w:rPr>
          <w:i/>
          <w:color w:val="000000"/>
        </w:rPr>
        <w:t>Criminology.</w:t>
      </w:r>
      <w:r>
        <w:rPr>
          <w:color w:val="000000"/>
        </w:rPr>
        <w:t xml:space="preserve"> Theclassics Us.</w:t>
      </w:r>
    </w:p>
    <w:p w14:paraId="0000001F" w14:textId="77777777" w:rsidR="00486CBE" w:rsidRDefault="00000000">
      <w:pPr>
        <w:pBdr>
          <w:top w:val="nil"/>
          <w:left w:val="nil"/>
          <w:bottom w:val="nil"/>
          <w:right w:val="nil"/>
          <w:between w:val="nil"/>
        </w:pBdr>
        <w:spacing w:after="240"/>
        <w:jc w:val="left"/>
        <w:rPr>
          <w:color w:val="000000"/>
        </w:rPr>
      </w:pPr>
      <w:r>
        <w:rPr>
          <w:color w:val="000000"/>
        </w:rPr>
        <w:t xml:space="preserve">Roberts, J.V. (2015). </w:t>
      </w:r>
      <w:r>
        <w:rPr>
          <w:i/>
          <w:color w:val="000000"/>
        </w:rPr>
        <w:t>Criminal justice : a very short introduction</w:t>
      </w:r>
      <w:r>
        <w:rPr>
          <w:color w:val="000000"/>
        </w:rPr>
        <w:t>. Oxford: Oxford University Press.</w:t>
      </w:r>
    </w:p>
    <w:p w14:paraId="00000020" w14:textId="77777777" w:rsidR="00486CBE" w:rsidRDefault="00000000">
      <w:pPr>
        <w:pBdr>
          <w:top w:val="nil"/>
          <w:left w:val="nil"/>
          <w:bottom w:val="nil"/>
          <w:right w:val="nil"/>
          <w:between w:val="nil"/>
        </w:pBdr>
        <w:spacing w:after="240"/>
        <w:jc w:val="left"/>
        <w:rPr>
          <w:color w:val="000000"/>
        </w:rPr>
      </w:pPr>
      <w:r>
        <w:rPr>
          <w:color w:val="000000"/>
        </w:rPr>
        <w:t xml:space="preserve">Roberts, J.V. and Stalans, L.J. (2010). </w:t>
      </w:r>
      <w:r>
        <w:rPr>
          <w:i/>
          <w:color w:val="000000"/>
        </w:rPr>
        <w:t>Public opinion, crime, and criminal justice</w:t>
      </w:r>
      <w:r>
        <w:rPr>
          <w:color w:val="000000"/>
        </w:rPr>
        <w:t>. Boulder, Colo.: Westview Press.</w:t>
      </w:r>
    </w:p>
    <w:p w14:paraId="00000021" w14:textId="66491410" w:rsidR="00486CBE" w:rsidRDefault="00000000">
      <w:pPr>
        <w:pBdr>
          <w:top w:val="nil"/>
          <w:left w:val="nil"/>
          <w:bottom w:val="nil"/>
          <w:right w:val="nil"/>
          <w:between w:val="nil"/>
        </w:pBdr>
        <w:spacing w:after="240"/>
        <w:jc w:val="left"/>
        <w:rPr>
          <w:color w:val="000000"/>
        </w:rPr>
      </w:pPr>
      <w:r>
        <w:rPr>
          <w:color w:val="000000"/>
        </w:rPr>
        <w:t xml:space="preserve">Zedner, L. (2010). </w:t>
      </w:r>
      <w:r>
        <w:rPr>
          <w:i/>
          <w:color w:val="000000"/>
        </w:rPr>
        <w:t>Criminal justice</w:t>
      </w:r>
      <w:r>
        <w:rPr>
          <w:color w:val="000000"/>
        </w:rPr>
        <w:t xml:space="preserve">. </w:t>
      </w:r>
      <w:r w:rsidR="00036C54">
        <w:rPr>
          <w:color w:val="000000"/>
        </w:rPr>
        <w:t>Oxford;</w:t>
      </w:r>
      <w:r>
        <w:rPr>
          <w:color w:val="000000"/>
        </w:rPr>
        <w:t xml:space="preserve"> New York: Oxford University Press, Repr.</w:t>
      </w:r>
    </w:p>
    <w:p w14:paraId="00000022" w14:textId="77777777" w:rsidR="00486CBE" w:rsidRDefault="00486CBE"/>
    <w:sectPr w:rsidR="00486CBE">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36236C" w14:textId="77777777" w:rsidR="00076511" w:rsidRDefault="00076511">
      <w:pPr>
        <w:spacing w:after="0" w:line="240" w:lineRule="auto"/>
      </w:pPr>
      <w:r>
        <w:separator/>
      </w:r>
    </w:p>
  </w:endnote>
  <w:endnote w:type="continuationSeparator" w:id="0">
    <w:p w14:paraId="643676FD" w14:textId="77777777" w:rsidR="00076511" w:rsidRDefault="000765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26" w14:textId="77777777" w:rsidR="00486CBE" w:rsidRDefault="00486CBE">
    <w:pPr>
      <w:pBdr>
        <w:top w:val="nil"/>
        <w:left w:val="nil"/>
        <w:bottom w:val="nil"/>
        <w:right w:val="nil"/>
        <w:between w:val="nil"/>
      </w:pBdr>
      <w:tabs>
        <w:tab w:val="center" w:pos="4513"/>
        <w:tab w:val="right" w:pos="9026"/>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28" w14:textId="33B59F37" w:rsidR="00486CBE" w:rsidRDefault="00000000">
    <w:pPr>
      <w:pBdr>
        <w:top w:val="nil"/>
        <w:left w:val="nil"/>
        <w:bottom w:val="nil"/>
        <w:right w:val="nil"/>
        <w:between w:val="nil"/>
      </w:pBdr>
      <w:tabs>
        <w:tab w:val="center" w:pos="4513"/>
        <w:tab w:val="right" w:pos="9026"/>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036C54">
      <w:rPr>
        <w:noProof/>
        <w:color w:val="000000"/>
      </w:rPr>
      <w:t>1</w:t>
    </w:r>
    <w:r>
      <w:rPr>
        <w:color w:val="000000"/>
      </w:rPr>
      <w:fldChar w:fldCharType="end"/>
    </w:r>
  </w:p>
  <w:p w14:paraId="00000029" w14:textId="77777777" w:rsidR="00486CBE" w:rsidRDefault="00486CBE">
    <w:pPr>
      <w:pBdr>
        <w:top w:val="nil"/>
        <w:left w:val="nil"/>
        <w:bottom w:val="nil"/>
        <w:right w:val="nil"/>
        <w:between w:val="nil"/>
      </w:pBdr>
      <w:tabs>
        <w:tab w:val="center" w:pos="4513"/>
        <w:tab w:val="right" w:pos="9026"/>
      </w:tabs>
      <w:spacing w:after="0"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27" w14:textId="77777777" w:rsidR="00486CBE" w:rsidRDefault="00486CBE">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5F50B5" w14:textId="77777777" w:rsidR="00076511" w:rsidRDefault="00076511">
      <w:pPr>
        <w:spacing w:after="0" w:line="240" w:lineRule="auto"/>
      </w:pPr>
      <w:r>
        <w:separator/>
      </w:r>
    </w:p>
  </w:footnote>
  <w:footnote w:type="continuationSeparator" w:id="0">
    <w:p w14:paraId="4D4BB77F" w14:textId="77777777" w:rsidR="00076511" w:rsidRDefault="0007651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24" w14:textId="77777777" w:rsidR="00486CBE" w:rsidRDefault="00486CBE">
    <w:pPr>
      <w:pBdr>
        <w:top w:val="nil"/>
        <w:left w:val="nil"/>
        <w:bottom w:val="nil"/>
        <w:right w:val="nil"/>
        <w:between w:val="nil"/>
      </w:pBdr>
      <w:tabs>
        <w:tab w:val="center" w:pos="4513"/>
        <w:tab w:val="right" w:pos="9026"/>
      </w:tabs>
      <w:spacing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23" w14:textId="77777777" w:rsidR="00486CBE" w:rsidRDefault="00486CBE">
    <w:pPr>
      <w:pBdr>
        <w:top w:val="nil"/>
        <w:left w:val="nil"/>
        <w:bottom w:val="nil"/>
        <w:right w:val="nil"/>
        <w:between w:val="nil"/>
      </w:pBdr>
      <w:tabs>
        <w:tab w:val="center" w:pos="4513"/>
        <w:tab w:val="right" w:pos="9026"/>
      </w:tabs>
      <w:spacing w:after="0" w:line="240" w:lineRule="auto"/>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25" w14:textId="77777777" w:rsidR="00486CBE" w:rsidRDefault="00486CBE">
    <w:pPr>
      <w:pBdr>
        <w:top w:val="nil"/>
        <w:left w:val="nil"/>
        <w:bottom w:val="nil"/>
        <w:right w:val="nil"/>
        <w:between w:val="nil"/>
      </w:pBdr>
      <w:tabs>
        <w:tab w:val="center" w:pos="4513"/>
        <w:tab w:val="right" w:pos="9026"/>
      </w:tabs>
      <w:spacing w:after="0" w:line="240" w:lineRule="auto"/>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6CBE"/>
    <w:rsid w:val="00036C54"/>
    <w:rsid w:val="00076511"/>
    <w:rsid w:val="000E46BE"/>
    <w:rsid w:val="002B5058"/>
    <w:rsid w:val="00486CBE"/>
    <w:rsid w:val="007D7E81"/>
    <w:rsid w:val="008C0232"/>
    <w:rsid w:val="00A245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9386E0"/>
  <w15:docId w15:val="{6E05E22C-EBD5-4150-A451-015CD31CF0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GB" w:bidi="ar-SA"/>
      </w:rPr>
    </w:rPrDefault>
    <w:pPrDefault>
      <w:pPr>
        <w:spacing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0"/>
      <w:outlineLvl w:val="0"/>
    </w:pPr>
    <w:rPr>
      <w:b/>
      <w:color w:val="366091"/>
      <w:sz w:val="32"/>
      <w:szCs w:val="32"/>
    </w:rPr>
  </w:style>
  <w:style w:type="paragraph" w:styleId="Heading2">
    <w:name w:val="heading 2"/>
    <w:basedOn w:val="Normal"/>
    <w:next w:val="Normal"/>
    <w:uiPriority w:val="9"/>
    <w:unhideWhenUsed/>
    <w:qFormat/>
    <w:pPr>
      <w:keepNext/>
      <w:keepLines/>
      <w:spacing w:before="200" w:after="0"/>
      <w:outlineLvl w:val="1"/>
    </w:pPr>
    <w:rPr>
      <w:b/>
      <w:color w:val="4F81BD"/>
      <w:sz w:val="28"/>
      <w:szCs w:val="28"/>
    </w:rPr>
  </w:style>
  <w:style w:type="paragraph" w:styleId="Heading3">
    <w:name w:val="heading 3"/>
    <w:basedOn w:val="Normal"/>
    <w:next w:val="Normal"/>
    <w:uiPriority w:val="9"/>
    <w:semiHidden/>
    <w:unhideWhenUsed/>
    <w:qFormat/>
    <w:pPr>
      <w:keepNext/>
      <w:keepLines/>
      <w:spacing w:before="200" w:after="0"/>
      <w:outlineLvl w:val="2"/>
    </w:pPr>
    <w:rPr>
      <w:b/>
      <w:color w:val="4F81BD"/>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1801</Words>
  <Characters>10272</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Sylwia Maciejewska</dc:creator>
  <cp:lastModifiedBy>Sylwia Maciejewska</cp:lastModifiedBy>
  <cp:revision>2</cp:revision>
  <dcterms:created xsi:type="dcterms:W3CDTF">2023-01-13T18:01:00Z</dcterms:created>
  <dcterms:modified xsi:type="dcterms:W3CDTF">2023-01-13T18:01:00Z</dcterms:modified>
</cp:coreProperties>
</file>