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4E74" w:rsidRDefault="00734E74" w:rsidP="00734E74">
      <w:pPr>
        <w:pStyle w:val="NormalWeb"/>
        <w:spacing w:before="0" w:beforeAutospacing="0" w:after="0" w:afterAutospacing="0" w:line="480" w:lineRule="auto"/>
        <w:jc w:val="center"/>
        <w:rPr>
          <w:color w:val="0E101A"/>
        </w:rPr>
      </w:pPr>
    </w:p>
    <w:p w:rsidR="00496C7D" w:rsidRPr="00734E74" w:rsidRDefault="00496C7D" w:rsidP="00734E74">
      <w:pPr>
        <w:pStyle w:val="NormalWeb"/>
        <w:spacing w:before="0" w:beforeAutospacing="0" w:after="0" w:afterAutospacing="0" w:line="480" w:lineRule="auto"/>
        <w:jc w:val="center"/>
        <w:rPr>
          <w:b/>
          <w:color w:val="0E101A"/>
          <w:lang w:val="en-GB"/>
        </w:rPr>
      </w:pPr>
      <w:r w:rsidRPr="00734E74">
        <w:rPr>
          <w:b/>
          <w:color w:val="0E101A"/>
          <w:lang w:val="en-GB"/>
        </w:rPr>
        <w:t>The Role of MAPPA in Managing Organised Crimes</w:t>
      </w:r>
    </w:p>
    <w:p w:rsidR="00496C7D" w:rsidRPr="00734E74" w:rsidRDefault="00496C7D" w:rsidP="00496C7D">
      <w:pPr>
        <w:pStyle w:val="NormalWeb"/>
        <w:spacing w:before="0" w:beforeAutospacing="0" w:after="0" w:afterAutospacing="0" w:line="480" w:lineRule="auto"/>
        <w:jc w:val="center"/>
        <w:rPr>
          <w:color w:val="0E101A"/>
          <w:lang w:val="en-GB"/>
        </w:rPr>
      </w:pPr>
      <w:r w:rsidRPr="00734E74">
        <w:rPr>
          <w:color w:val="0E101A"/>
          <w:lang w:val="en-GB"/>
        </w:rPr>
        <w:t>Introduction</w:t>
      </w:r>
    </w:p>
    <w:p w:rsidR="00496C7D" w:rsidRPr="00734E74" w:rsidRDefault="00496C7D" w:rsidP="00496C7D">
      <w:pPr>
        <w:pStyle w:val="NormalWeb"/>
        <w:spacing w:before="0" w:beforeAutospacing="0" w:after="0" w:afterAutospacing="0" w:line="480" w:lineRule="auto"/>
        <w:ind w:firstLine="720"/>
        <w:rPr>
          <w:color w:val="0E101A"/>
          <w:lang w:val="en-GB"/>
        </w:rPr>
      </w:pPr>
      <w:r w:rsidRPr="00734E74">
        <w:rPr>
          <w:color w:val="0E101A"/>
          <w:lang w:val="en-GB"/>
        </w:rPr>
        <w:t>The Multi-Agency Public Protection Arrangement (MAPPA) was organised to protect victims and the public from serious criminals associated with violence and sexual assault. MAPPA assesses level 2 and level 3 risk of violence and sex offences through surveillance, supervision, enforcement of policies, breach, compliance, and interventions to explore the agencies involved and category one, two, and three offenders under MAPPA. Organised crime continues to pose a significant threat to the public’s safety, despite efforts made by MAPPA. The essay will analyse some of the links between public protection issues and organised crimes, the roles of community intelligence, media coverage, and current public protection practices concerning organised criminal activities.</w:t>
      </w:r>
    </w:p>
    <w:p w:rsidR="00496C7D" w:rsidRPr="00734E74" w:rsidRDefault="00496C7D" w:rsidP="00496C7D">
      <w:pPr>
        <w:pStyle w:val="NormalWeb"/>
        <w:spacing w:before="0" w:beforeAutospacing="0" w:after="0" w:afterAutospacing="0" w:line="480" w:lineRule="auto"/>
        <w:jc w:val="center"/>
        <w:rPr>
          <w:color w:val="0E101A"/>
          <w:lang w:val="en-GB"/>
        </w:rPr>
      </w:pPr>
      <w:r w:rsidRPr="00734E74">
        <w:rPr>
          <w:color w:val="0E101A"/>
          <w:lang w:val="en-GB"/>
        </w:rPr>
        <w:t>Organised Crimes and Human Trafficking</w:t>
      </w:r>
    </w:p>
    <w:p w:rsidR="00496C7D" w:rsidRPr="00734E74" w:rsidRDefault="00496C7D" w:rsidP="00496C7D">
      <w:pPr>
        <w:pStyle w:val="NormalWeb"/>
        <w:spacing w:before="0" w:beforeAutospacing="0" w:after="0" w:afterAutospacing="0" w:line="480" w:lineRule="auto"/>
        <w:ind w:firstLine="720"/>
        <w:rPr>
          <w:color w:val="0E101A"/>
          <w:lang w:val="en-GB"/>
        </w:rPr>
      </w:pPr>
      <w:r w:rsidRPr="00734E74">
        <w:rPr>
          <w:color w:val="0E101A"/>
          <w:lang w:val="en-GB"/>
        </w:rPr>
        <w:t>Organised criminals, who engage in human trafficking activities, threaten the safety of millions of people in the world. Human traffickers kidnap people to use them to provide commercial sex, hence their monetary gain. Organised criminals often threaten the safety of vulnerable young women and children from foreign countries. Human trafficking is associated with violence and increased fear among communities that have lost their loved ones from serious criminals. MAPPA works with police officers, probation officials, and prisons to ensure the public’s safety by managing risks associated with human trafficking organised crimes. Local law enforcers utilise the ILP (Intelligence Led Policing) model, motivating them to work smart and not harder when working with local communities to manage human trafficking (Carter and Bryanna, 2018).</w:t>
      </w:r>
    </w:p>
    <w:p w:rsidR="00496C7D" w:rsidRPr="00734E74" w:rsidRDefault="00496C7D" w:rsidP="00496C7D">
      <w:pPr>
        <w:pStyle w:val="NormalWeb"/>
        <w:spacing w:before="0" w:beforeAutospacing="0" w:after="0" w:afterAutospacing="0" w:line="480" w:lineRule="auto"/>
        <w:ind w:firstLine="720"/>
        <w:rPr>
          <w:color w:val="0E101A"/>
          <w:lang w:val="en-GB"/>
        </w:rPr>
      </w:pPr>
      <w:r w:rsidRPr="00734E74">
        <w:rPr>
          <w:color w:val="0E101A"/>
          <w:lang w:val="en-GB"/>
        </w:rPr>
        <w:lastRenderedPageBreak/>
        <w:t xml:space="preserve">The police have built trust and empowerment among communities to ensure that they cooperate in communicating relevant information that contributes to public intelligence concerning category one, two, and three offenders. However, the police filter out the most prioritised human traffickers, even if the community may not be aware of it. The use of relevant public information is an effective way for the police to bring organised human trafficking crimes down strategically. Human trafficking offenders’ media information causes tension to a community, hence the need for communication protocols that uphold </w:t>
      </w:r>
      <w:proofErr w:type="gramStart"/>
      <w:r w:rsidRPr="00734E74">
        <w:rPr>
          <w:color w:val="0E101A"/>
          <w:lang w:val="en-GB"/>
        </w:rPr>
        <w:t>criminals’</w:t>
      </w:r>
      <w:proofErr w:type="gramEnd"/>
      <w:r w:rsidRPr="00734E74">
        <w:rPr>
          <w:color w:val="0E101A"/>
          <w:lang w:val="en-GB"/>
        </w:rPr>
        <w:t xml:space="preserve"> and victims’ information confidentiality. Placing captured individuals in maximum prisons and limiting their contacts have been an effective way of reducing human trafficking, hence protecting the public. </w:t>
      </w:r>
    </w:p>
    <w:p w:rsidR="00496C7D" w:rsidRPr="00734E74" w:rsidRDefault="00496C7D" w:rsidP="00496C7D">
      <w:pPr>
        <w:pStyle w:val="NormalWeb"/>
        <w:spacing w:before="0" w:beforeAutospacing="0" w:after="0" w:afterAutospacing="0" w:line="480" w:lineRule="auto"/>
        <w:ind w:firstLine="720"/>
        <w:rPr>
          <w:color w:val="0E101A"/>
          <w:lang w:val="en-GB"/>
        </w:rPr>
      </w:pPr>
      <w:r w:rsidRPr="00734E74">
        <w:rPr>
          <w:color w:val="0E101A"/>
          <w:lang w:val="en-GB"/>
        </w:rPr>
        <w:t xml:space="preserve">Human trafficking is a crime that </w:t>
      </w:r>
      <w:proofErr w:type="gramStart"/>
      <w:r w:rsidRPr="00734E74">
        <w:rPr>
          <w:color w:val="0E101A"/>
          <w:lang w:val="en-GB"/>
        </w:rPr>
        <w:t>is done</w:t>
      </w:r>
      <w:proofErr w:type="gramEnd"/>
      <w:r w:rsidRPr="00734E74">
        <w:rPr>
          <w:color w:val="0E101A"/>
          <w:lang w:val="en-GB"/>
        </w:rPr>
        <w:t xml:space="preserve"> across nations. Hence, MAPPA views the illegal associated with it as a level two situation that requires several agencies involved for effective risk assessment and management. MAPPA guarantees that victims </w:t>
      </w:r>
      <w:proofErr w:type="gramStart"/>
      <w:r w:rsidRPr="00734E74">
        <w:rPr>
          <w:color w:val="0E101A"/>
          <w:lang w:val="en-GB"/>
        </w:rPr>
        <w:t>are protected</w:t>
      </w:r>
      <w:proofErr w:type="gramEnd"/>
      <w:r w:rsidRPr="00734E74">
        <w:rPr>
          <w:color w:val="0E101A"/>
          <w:lang w:val="en-GB"/>
        </w:rPr>
        <w:t xml:space="preserve"> from further sex slavery by ensuring that the offenders are relocated far from victims. MAPPA warrants that effective communication occurs among probation, police officers, and prisons to promote offenders’ effective management. They also provide additional protection resources like surveillance, treatment, and accommodation to facilitate criminals’ risk management. </w:t>
      </w:r>
    </w:p>
    <w:p w:rsidR="00496C7D" w:rsidRPr="00734E74" w:rsidRDefault="00496C7D" w:rsidP="00496C7D">
      <w:pPr>
        <w:pStyle w:val="NormalWeb"/>
        <w:spacing w:before="0" w:beforeAutospacing="0" w:after="0" w:afterAutospacing="0" w:line="480" w:lineRule="auto"/>
        <w:jc w:val="center"/>
        <w:rPr>
          <w:color w:val="0E101A"/>
          <w:lang w:val="en-GB"/>
        </w:rPr>
      </w:pPr>
      <w:r w:rsidRPr="00734E74">
        <w:rPr>
          <w:color w:val="0E101A"/>
          <w:lang w:val="en-GB"/>
        </w:rPr>
        <w:t>Organised Crimes and Violence Associated with Drug Trafficking</w:t>
      </w:r>
    </w:p>
    <w:p w:rsidR="00496C7D" w:rsidRPr="00734E74" w:rsidRDefault="00496C7D" w:rsidP="00496C7D">
      <w:pPr>
        <w:pStyle w:val="NormalWeb"/>
        <w:spacing w:before="0" w:beforeAutospacing="0" w:after="0" w:afterAutospacing="0" w:line="480" w:lineRule="auto"/>
        <w:ind w:firstLine="720"/>
        <w:rPr>
          <w:color w:val="0E101A"/>
          <w:lang w:val="en-GB"/>
        </w:rPr>
      </w:pPr>
      <w:r w:rsidRPr="00734E74">
        <w:rPr>
          <w:color w:val="0E101A"/>
          <w:lang w:val="en-GB"/>
        </w:rPr>
        <w:t xml:space="preserve">Serious and organised criminals, who sell illegal drugs, such as heroin, cocaine, and bhang, are great threats to public safety, since they minimise local law enforcement effectiveness through bribery and corruption. Drug criminals associate their transactions with serious firearms and violence to protect their illegal businesses. They do not hesitate to murder individuals who act as threats to their businesses, thus menacing communities and neighbourhoods’ safety. MAPPA works with local enforcement agents who familiarise themselves with the communities, </w:t>
      </w:r>
      <w:r w:rsidRPr="00734E74">
        <w:rPr>
          <w:color w:val="0E101A"/>
          <w:lang w:val="en-GB"/>
        </w:rPr>
        <w:lastRenderedPageBreak/>
        <w:t>dress up casually to avoid easy identification, and work as undercover agents to get inside information (Carter and Bryanna, 2018). Undercover work is an effective way for law enforcement agents to investigate and take down organised high-risk drug traffickers, even though it is associated with several casualties of police lives. </w:t>
      </w:r>
    </w:p>
    <w:p w:rsidR="00496C7D" w:rsidRPr="00734E74" w:rsidRDefault="00496C7D" w:rsidP="00496C7D">
      <w:pPr>
        <w:pStyle w:val="NormalWeb"/>
        <w:spacing w:before="0" w:beforeAutospacing="0" w:after="0" w:afterAutospacing="0" w:line="480" w:lineRule="auto"/>
        <w:ind w:firstLine="720"/>
        <w:rPr>
          <w:color w:val="0E101A"/>
          <w:lang w:val="en-GB"/>
        </w:rPr>
      </w:pPr>
      <w:r w:rsidRPr="00734E74">
        <w:rPr>
          <w:color w:val="0E101A"/>
          <w:lang w:val="en-GB"/>
        </w:rPr>
        <w:t xml:space="preserve">Community members, who share information regarding </w:t>
      </w:r>
      <w:proofErr w:type="gramStart"/>
      <w:r w:rsidRPr="00734E74">
        <w:rPr>
          <w:color w:val="0E101A"/>
          <w:lang w:val="en-GB"/>
        </w:rPr>
        <w:t>drug trading</w:t>
      </w:r>
      <w:proofErr w:type="gramEnd"/>
      <w:r w:rsidRPr="00734E74">
        <w:rPr>
          <w:color w:val="0E101A"/>
          <w:lang w:val="en-GB"/>
        </w:rPr>
        <w:t xml:space="preserve"> activities, are kept safe by not sharing their data with the media unless authorised confirmation is issued. Media coverage concerning particular criminal activities results in public tension and forces criminals to disappear, affecting police work. Its influence on particular police, investigating drug trafficking, places their lives in danger while at home or work; hence, there is the need for confidentiality. ILP models are effective channels used by law enforcers to ensure that appropriate community intelligence is obtained during investigations and analysed to provide profitable information that </w:t>
      </w:r>
      <w:proofErr w:type="gramStart"/>
      <w:r w:rsidRPr="00734E74">
        <w:rPr>
          <w:color w:val="0E101A"/>
          <w:lang w:val="en-GB"/>
        </w:rPr>
        <w:t>can be used</w:t>
      </w:r>
      <w:proofErr w:type="gramEnd"/>
      <w:r w:rsidRPr="00734E74">
        <w:rPr>
          <w:color w:val="0E101A"/>
          <w:lang w:val="en-GB"/>
        </w:rPr>
        <w:t xml:space="preserve"> by prisons and the police to assess the risks associated with organised criminals, hence reducing public endangerment through risk management and MAPPA. The arrangement has been an effective way of protecting the public and the victims of violence from organised drug traffickers through cooperation with law enforcement and other agencies.</w:t>
      </w:r>
    </w:p>
    <w:p w:rsidR="00496C7D" w:rsidRPr="00734E74" w:rsidRDefault="00496C7D" w:rsidP="00496C7D">
      <w:pPr>
        <w:pStyle w:val="NormalWeb"/>
        <w:spacing w:before="0" w:beforeAutospacing="0" w:after="0" w:afterAutospacing="0" w:line="480" w:lineRule="auto"/>
        <w:jc w:val="center"/>
        <w:rPr>
          <w:color w:val="0E101A"/>
          <w:lang w:val="en-GB"/>
        </w:rPr>
      </w:pPr>
      <w:r w:rsidRPr="00734E74">
        <w:rPr>
          <w:color w:val="0E101A"/>
          <w:lang w:val="en-GB"/>
        </w:rPr>
        <w:t>Organised Crimes and Potentially Dangerous People (PDP)</w:t>
      </w:r>
    </w:p>
    <w:p w:rsidR="00496C7D" w:rsidRPr="00734E74" w:rsidRDefault="00496C7D" w:rsidP="00496C7D">
      <w:pPr>
        <w:pStyle w:val="NormalWeb"/>
        <w:spacing w:before="0" w:beforeAutospacing="0" w:after="0" w:afterAutospacing="0" w:line="480" w:lineRule="auto"/>
        <w:ind w:firstLine="720"/>
        <w:rPr>
          <w:color w:val="0E101A"/>
          <w:lang w:val="en-GB"/>
        </w:rPr>
      </w:pPr>
      <w:r w:rsidRPr="00734E74">
        <w:rPr>
          <w:color w:val="0E101A"/>
          <w:lang w:val="en-GB"/>
        </w:rPr>
        <w:t xml:space="preserve">Highly serious and organised criminals involve individuals who are mostly considered </w:t>
      </w:r>
      <w:proofErr w:type="gramStart"/>
      <w:r w:rsidRPr="00734E74">
        <w:rPr>
          <w:color w:val="0E101A"/>
          <w:lang w:val="en-GB"/>
        </w:rPr>
        <w:t>to be highly</w:t>
      </w:r>
      <w:proofErr w:type="gramEnd"/>
      <w:r w:rsidRPr="00734E74">
        <w:rPr>
          <w:color w:val="0E101A"/>
          <w:lang w:val="en-GB"/>
        </w:rPr>
        <w:t xml:space="preserve"> dangerous in society. The people, often concerned with such crimes, are category three offenders with a history of domestic violence with partners, uncharged child molesting, extremism, and mental instability associated with brutal fantasies. These individuals are classified under MAPPA as PDP (Potentially Dangerous People)</w:t>
      </w:r>
      <w:proofErr w:type="gramStart"/>
      <w:r w:rsidRPr="00734E74">
        <w:rPr>
          <w:color w:val="0E101A"/>
          <w:lang w:val="en-GB"/>
        </w:rPr>
        <w:t>,</w:t>
      </w:r>
      <w:proofErr w:type="gramEnd"/>
      <w:r w:rsidRPr="00734E74">
        <w:rPr>
          <w:color w:val="0E101A"/>
          <w:lang w:val="en-GB"/>
        </w:rPr>
        <w:t xml:space="preserve"> hence they are likely to pose serious harm to the public. MAPPA works with several agencies ranging from law enforcement </w:t>
      </w:r>
      <w:r w:rsidRPr="00734E74">
        <w:rPr>
          <w:color w:val="0E101A"/>
          <w:lang w:val="en-GB"/>
        </w:rPr>
        <w:lastRenderedPageBreak/>
        <w:t>or healthcare facilities to childhood community or social care services to help to manage risk associated with these individuals.</w:t>
      </w:r>
    </w:p>
    <w:p w:rsidR="00496C7D" w:rsidRPr="00734E74" w:rsidRDefault="00496C7D" w:rsidP="00496C7D">
      <w:pPr>
        <w:pStyle w:val="NormalWeb"/>
        <w:spacing w:before="0" w:beforeAutospacing="0" w:after="0" w:afterAutospacing="0" w:line="480" w:lineRule="auto"/>
        <w:ind w:firstLine="720"/>
        <w:rPr>
          <w:color w:val="0E101A"/>
          <w:lang w:val="en-GB"/>
        </w:rPr>
      </w:pPr>
      <w:r w:rsidRPr="00734E74">
        <w:rPr>
          <w:color w:val="0E101A"/>
          <w:lang w:val="en-GB"/>
        </w:rPr>
        <w:t xml:space="preserve">The police engage with communities </w:t>
      </w:r>
      <w:proofErr w:type="gramStart"/>
      <w:r w:rsidRPr="00734E74">
        <w:rPr>
          <w:color w:val="0E101A"/>
          <w:lang w:val="en-GB"/>
        </w:rPr>
        <w:t>in more relatable ways to communicate regarding any suspicions and past information that could help in investigations (Bateson et al., 2020)</w:t>
      </w:r>
      <w:proofErr w:type="gramEnd"/>
      <w:r w:rsidRPr="00734E74">
        <w:rPr>
          <w:color w:val="0E101A"/>
          <w:lang w:val="en-GB"/>
        </w:rPr>
        <w:t xml:space="preserve">. The police use ILP models to obtain relevant community intelligence, which is often effective in understanding a potentially dangerous person. The MAPPA policies offer effective ways for the police to identify whether the </w:t>
      </w:r>
      <w:proofErr w:type="gramStart"/>
      <w:r w:rsidRPr="00734E74">
        <w:rPr>
          <w:color w:val="0E101A"/>
          <w:lang w:val="en-GB"/>
        </w:rPr>
        <w:t>PDP’s</w:t>
      </w:r>
      <w:proofErr w:type="gramEnd"/>
      <w:r w:rsidRPr="00734E74">
        <w:rPr>
          <w:color w:val="0E101A"/>
          <w:lang w:val="en-GB"/>
        </w:rPr>
        <w:t xml:space="preserve"> under investigation poses a great threat to the public. They check with agencies to seek clarification on how best they can manage the individuals’ risks in question. PDPs’ risks </w:t>
      </w:r>
      <w:proofErr w:type="gramStart"/>
      <w:r w:rsidRPr="00734E74">
        <w:rPr>
          <w:color w:val="0E101A"/>
          <w:lang w:val="en-GB"/>
        </w:rPr>
        <w:t>are managed</w:t>
      </w:r>
      <w:proofErr w:type="gramEnd"/>
      <w:r w:rsidRPr="00734E74">
        <w:rPr>
          <w:color w:val="0E101A"/>
          <w:lang w:val="en-GB"/>
        </w:rPr>
        <w:t xml:space="preserve"> through disclosure to agencies and third parties, civil order applications, and using appropriate risk management systems. Personal information of all involved persons remains confidential, unless media coverage aids in promoting public safety. However, PDP information </w:t>
      </w:r>
      <w:proofErr w:type="gramStart"/>
      <w:r w:rsidRPr="00734E74">
        <w:rPr>
          <w:color w:val="0E101A"/>
          <w:lang w:val="en-GB"/>
        </w:rPr>
        <w:t>can be lawfully shared</w:t>
      </w:r>
      <w:proofErr w:type="gramEnd"/>
      <w:r w:rsidRPr="00734E74">
        <w:rPr>
          <w:color w:val="0E101A"/>
          <w:lang w:val="en-GB"/>
        </w:rPr>
        <w:t xml:space="preserve"> only with the right people and agencies, which is an effective way for the police and other agencies to promote public safety. </w:t>
      </w:r>
    </w:p>
    <w:p w:rsidR="00496C7D" w:rsidRPr="00734E74" w:rsidRDefault="00496C7D" w:rsidP="00496C7D">
      <w:pPr>
        <w:tabs>
          <w:tab w:val="left" w:pos="1815"/>
        </w:tabs>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Conclusion</w:t>
      </w:r>
    </w:p>
    <w:p w:rsidR="00496C7D" w:rsidRPr="00734E74" w:rsidRDefault="00496C7D" w:rsidP="00496C7D">
      <w:pPr>
        <w:tabs>
          <w:tab w:val="left" w:pos="1815"/>
        </w:tabs>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In conclusion, MAPPA has effectively promoted public safety from potentially dangerous people, violence associated with drug trafficking, and sex slavery involved in organised criminal activities. It has positively </w:t>
      </w:r>
      <w:proofErr w:type="gramStart"/>
      <w:r w:rsidRPr="00734E74">
        <w:rPr>
          <w:rFonts w:ascii="Times New Roman" w:hAnsi="Times New Roman" w:cs="Times New Roman"/>
          <w:sz w:val="24"/>
          <w:szCs w:val="24"/>
          <w:lang w:val="en-GB"/>
        </w:rPr>
        <w:t>impacted</w:t>
      </w:r>
      <w:proofErr w:type="gramEnd"/>
      <w:r w:rsidRPr="00734E74">
        <w:rPr>
          <w:rFonts w:ascii="Times New Roman" w:hAnsi="Times New Roman" w:cs="Times New Roman"/>
          <w:sz w:val="24"/>
          <w:szCs w:val="24"/>
          <w:lang w:val="en-GB"/>
        </w:rPr>
        <w:t xml:space="preserve"> communities with the help of law enforcement officers, prisons, governments, and other relating agencies who had a duty to cooperate.</w:t>
      </w:r>
    </w:p>
    <w:p w:rsidR="00496C7D" w:rsidRPr="00734E74" w:rsidRDefault="00496C7D" w:rsidP="00496C7D">
      <w:pPr>
        <w:spacing w:after="0" w:line="480" w:lineRule="auto"/>
        <w:rPr>
          <w:rFonts w:ascii="Times New Roman" w:hAnsi="Times New Roman" w:cs="Times New Roman"/>
          <w:sz w:val="24"/>
          <w:szCs w:val="24"/>
          <w:u w:val="single"/>
          <w:lang w:val="en-GB"/>
        </w:rPr>
      </w:pPr>
      <w:r w:rsidRPr="00734E74">
        <w:rPr>
          <w:rFonts w:ascii="Times New Roman" w:hAnsi="Times New Roman" w:cs="Times New Roman"/>
          <w:sz w:val="24"/>
          <w:szCs w:val="24"/>
          <w:u w:val="single"/>
          <w:lang w:val="en-GB"/>
        </w:rPr>
        <w:br w:type="page"/>
      </w:r>
    </w:p>
    <w:p w:rsidR="00496C7D" w:rsidRPr="00734E74" w:rsidRDefault="00496C7D" w:rsidP="00496C7D">
      <w:pPr>
        <w:tabs>
          <w:tab w:val="left" w:pos="1815"/>
        </w:tabs>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lastRenderedPageBreak/>
        <w:t>References</w:t>
      </w:r>
    </w:p>
    <w:p w:rsidR="00496C7D" w:rsidRPr="00734E74" w:rsidRDefault="00496C7D" w:rsidP="00496C7D">
      <w:pPr>
        <w:tabs>
          <w:tab w:val="left" w:pos="1815"/>
        </w:tabs>
        <w:spacing w:after="0" w:line="480" w:lineRule="auto"/>
        <w:ind w:left="720" w:hanging="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Bateson, K., McManus, M. and Johnson, G., 2020. Understanding the use, and misuse, of Adverse Childhood Experiences (ACEs) in trauma-informed policing. </w:t>
      </w:r>
      <w:r w:rsidRPr="00734E74">
        <w:rPr>
          <w:rFonts w:ascii="Times New Roman" w:hAnsi="Times New Roman" w:cs="Times New Roman"/>
          <w:i/>
          <w:sz w:val="24"/>
          <w:szCs w:val="24"/>
          <w:lang w:val="en-GB"/>
        </w:rPr>
        <w:t>The Police Journal</w:t>
      </w:r>
      <w:r w:rsidRPr="00734E74">
        <w:rPr>
          <w:rFonts w:ascii="Times New Roman" w:hAnsi="Times New Roman" w:cs="Times New Roman"/>
          <w:sz w:val="24"/>
          <w:szCs w:val="24"/>
          <w:lang w:val="en-GB"/>
        </w:rPr>
        <w:t xml:space="preserve">, </w:t>
      </w:r>
      <w:r w:rsidRPr="00734E74">
        <w:rPr>
          <w:rFonts w:ascii="Times New Roman" w:hAnsi="Times New Roman" w:cs="Times New Roman"/>
          <w:b/>
          <w:sz w:val="24"/>
          <w:szCs w:val="24"/>
          <w:lang w:val="en-GB"/>
        </w:rPr>
        <w:t>93</w:t>
      </w:r>
      <w:r w:rsidRPr="00734E74">
        <w:rPr>
          <w:rFonts w:ascii="Times New Roman" w:hAnsi="Times New Roman" w:cs="Times New Roman"/>
          <w:sz w:val="24"/>
          <w:szCs w:val="24"/>
          <w:lang w:val="en-GB"/>
        </w:rPr>
        <w:t>(2), pp.131-145. [Online] Available at &lt;</w:t>
      </w:r>
      <w:hyperlink r:id="rId7" w:history="1">
        <w:r w:rsidRPr="00734E74">
          <w:rPr>
            <w:rStyle w:val="Hyperlink"/>
            <w:rFonts w:ascii="Times New Roman" w:hAnsi="Times New Roman" w:cs="Times New Roman"/>
            <w:color w:val="auto"/>
            <w:sz w:val="24"/>
            <w:szCs w:val="24"/>
            <w:lang w:val="en-GB"/>
          </w:rPr>
          <w:t>https://doi.org/10.1177/0032258X19841409</w:t>
        </w:r>
      </w:hyperlink>
      <w:r w:rsidRPr="00734E74">
        <w:rPr>
          <w:rFonts w:ascii="Times New Roman" w:hAnsi="Times New Roman" w:cs="Times New Roman"/>
          <w:sz w:val="24"/>
          <w:szCs w:val="24"/>
          <w:lang w:val="en-GB"/>
        </w:rPr>
        <w:t xml:space="preserve">&gt; [Accessed 18 </w:t>
      </w:r>
      <w:proofErr w:type="gramStart"/>
      <w:r w:rsidRPr="00734E74">
        <w:rPr>
          <w:rFonts w:ascii="Times New Roman" w:hAnsi="Times New Roman" w:cs="Times New Roman"/>
          <w:sz w:val="24"/>
          <w:szCs w:val="24"/>
          <w:lang w:val="en-GB"/>
        </w:rPr>
        <w:t>December,</w:t>
      </w:r>
      <w:proofErr w:type="gramEnd"/>
      <w:r w:rsidRPr="00734E74">
        <w:rPr>
          <w:rFonts w:ascii="Times New Roman" w:hAnsi="Times New Roman" w:cs="Times New Roman"/>
          <w:sz w:val="24"/>
          <w:szCs w:val="24"/>
          <w:lang w:val="en-GB"/>
        </w:rPr>
        <w:t xml:space="preserve"> 2020]. </w:t>
      </w:r>
    </w:p>
    <w:p w:rsidR="00496C7D" w:rsidRPr="00734E74" w:rsidRDefault="00496C7D" w:rsidP="00496C7D">
      <w:pPr>
        <w:spacing w:after="0" w:line="480" w:lineRule="auto"/>
        <w:ind w:left="720" w:hanging="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Carter, J.G. and Fox, B., 2019. Community policing and intelligence-led policing. </w:t>
      </w:r>
      <w:proofErr w:type="gramStart"/>
      <w:r w:rsidRPr="00734E74">
        <w:rPr>
          <w:rFonts w:ascii="Times New Roman" w:hAnsi="Times New Roman" w:cs="Times New Roman"/>
          <w:i/>
          <w:sz w:val="24"/>
          <w:szCs w:val="24"/>
          <w:lang w:val="en-GB"/>
        </w:rPr>
        <w:t>Policing:</w:t>
      </w:r>
      <w:proofErr w:type="gramEnd"/>
      <w:r w:rsidRPr="00734E74">
        <w:rPr>
          <w:rFonts w:ascii="Times New Roman" w:hAnsi="Times New Roman" w:cs="Times New Roman"/>
          <w:i/>
          <w:sz w:val="24"/>
          <w:szCs w:val="24"/>
          <w:lang w:val="en-GB"/>
        </w:rPr>
        <w:t xml:space="preserve"> An International Journal</w:t>
      </w:r>
      <w:r w:rsidRPr="00734E74">
        <w:rPr>
          <w:rFonts w:ascii="Times New Roman" w:hAnsi="Times New Roman" w:cs="Times New Roman"/>
          <w:sz w:val="24"/>
          <w:szCs w:val="24"/>
          <w:lang w:val="en-GB"/>
        </w:rPr>
        <w:t>. [Online] Available at &lt;</w:t>
      </w:r>
      <w:hyperlink r:id="rId8" w:history="1">
        <w:r w:rsidRPr="00734E74">
          <w:rPr>
            <w:rStyle w:val="Hyperlink"/>
            <w:rFonts w:ascii="Times New Roman" w:hAnsi="Times New Roman" w:cs="Times New Roman"/>
            <w:color w:val="auto"/>
            <w:sz w:val="24"/>
            <w:szCs w:val="24"/>
            <w:lang w:val="en-GB"/>
          </w:rPr>
          <w:t>https://doi.org/10.1108/PIJPSM-07-2018-0105</w:t>
        </w:r>
      </w:hyperlink>
      <w:r w:rsidRPr="00734E74">
        <w:rPr>
          <w:rFonts w:ascii="Times New Roman" w:hAnsi="Times New Roman" w:cs="Times New Roman"/>
          <w:sz w:val="24"/>
          <w:szCs w:val="24"/>
          <w:lang w:val="en-GB"/>
        </w:rPr>
        <w:t xml:space="preserve">&gt; [Accessed 18 </w:t>
      </w:r>
      <w:proofErr w:type="gramStart"/>
      <w:r w:rsidRPr="00734E74">
        <w:rPr>
          <w:rFonts w:ascii="Times New Roman" w:hAnsi="Times New Roman" w:cs="Times New Roman"/>
          <w:sz w:val="24"/>
          <w:szCs w:val="24"/>
          <w:lang w:val="en-GB"/>
        </w:rPr>
        <w:t>December,</w:t>
      </w:r>
      <w:proofErr w:type="gramEnd"/>
      <w:r w:rsidRPr="00734E74">
        <w:rPr>
          <w:rFonts w:ascii="Times New Roman" w:hAnsi="Times New Roman" w:cs="Times New Roman"/>
          <w:sz w:val="24"/>
          <w:szCs w:val="24"/>
          <w:lang w:val="en-GB"/>
        </w:rPr>
        <w:t xml:space="preserve"> 2020]. </w:t>
      </w:r>
    </w:p>
    <w:p w:rsidR="00496C7D" w:rsidRPr="00734E74" w:rsidRDefault="00496C7D" w:rsidP="00496C7D">
      <w:pPr>
        <w:spacing w:after="0" w:line="480" w:lineRule="auto"/>
        <w:ind w:left="720" w:hanging="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Goldstein, H., 2018. On problem-oriented policing: the Stockholm lecture. </w:t>
      </w:r>
      <w:r w:rsidRPr="00734E74">
        <w:rPr>
          <w:rFonts w:ascii="Times New Roman" w:hAnsi="Times New Roman" w:cs="Times New Roman"/>
          <w:i/>
          <w:sz w:val="24"/>
          <w:szCs w:val="24"/>
          <w:lang w:val="en-GB"/>
        </w:rPr>
        <w:t>Crime Science</w:t>
      </w:r>
      <w:r w:rsidRPr="00734E74">
        <w:rPr>
          <w:rFonts w:ascii="Times New Roman" w:hAnsi="Times New Roman" w:cs="Times New Roman"/>
          <w:sz w:val="24"/>
          <w:szCs w:val="24"/>
          <w:lang w:val="en-GB"/>
        </w:rPr>
        <w:t xml:space="preserve">, </w:t>
      </w:r>
      <w:r w:rsidRPr="00734E74">
        <w:rPr>
          <w:rFonts w:ascii="Times New Roman" w:hAnsi="Times New Roman" w:cs="Times New Roman"/>
          <w:b/>
          <w:sz w:val="24"/>
          <w:szCs w:val="24"/>
          <w:lang w:val="en-GB"/>
        </w:rPr>
        <w:t>7</w:t>
      </w:r>
      <w:r w:rsidRPr="00734E74">
        <w:rPr>
          <w:rFonts w:ascii="Times New Roman" w:hAnsi="Times New Roman" w:cs="Times New Roman"/>
          <w:sz w:val="24"/>
          <w:szCs w:val="24"/>
          <w:lang w:val="en-GB"/>
        </w:rPr>
        <w:t xml:space="preserve">(1), pp.1-9. [Online] Available at </w:t>
      </w:r>
      <w:hyperlink r:id="rId9" w:history="1">
        <w:r w:rsidRPr="00734E74">
          <w:rPr>
            <w:rStyle w:val="Hyperlink"/>
            <w:rFonts w:ascii="Times New Roman" w:hAnsi="Times New Roman" w:cs="Times New Roman"/>
            <w:color w:val="auto"/>
            <w:sz w:val="24"/>
            <w:szCs w:val="24"/>
            <w:lang w:val="en-GB"/>
          </w:rPr>
          <w:t>https://doi.org/10.1186/s40163-018-0087-3</w:t>
        </w:r>
      </w:hyperlink>
      <w:r w:rsidRPr="00734E74">
        <w:rPr>
          <w:rFonts w:ascii="Times New Roman" w:hAnsi="Times New Roman" w:cs="Times New Roman"/>
          <w:sz w:val="24"/>
          <w:szCs w:val="24"/>
          <w:lang w:val="en-GB"/>
        </w:rPr>
        <w:t xml:space="preserve"> [Accessed 18 </w:t>
      </w:r>
      <w:proofErr w:type="gramStart"/>
      <w:r w:rsidRPr="00734E74">
        <w:rPr>
          <w:rFonts w:ascii="Times New Roman" w:hAnsi="Times New Roman" w:cs="Times New Roman"/>
          <w:sz w:val="24"/>
          <w:szCs w:val="24"/>
          <w:lang w:val="en-GB"/>
        </w:rPr>
        <w:t>December,</w:t>
      </w:r>
      <w:proofErr w:type="gramEnd"/>
      <w:r w:rsidRPr="00734E74">
        <w:rPr>
          <w:rFonts w:ascii="Times New Roman" w:hAnsi="Times New Roman" w:cs="Times New Roman"/>
          <w:sz w:val="24"/>
          <w:szCs w:val="24"/>
          <w:lang w:val="en-GB"/>
        </w:rPr>
        <w:t xml:space="preserve"> 2020].</w:t>
      </w:r>
    </w:p>
    <w:p w:rsidR="00410DC9" w:rsidRPr="00734E74" w:rsidRDefault="00410DC9">
      <w:pPr>
        <w:rPr>
          <w:rFonts w:ascii="Times New Roman" w:eastAsia="Times New Roman" w:hAnsi="Times New Roman" w:cs="Times New Roman"/>
          <w:sz w:val="24"/>
          <w:szCs w:val="24"/>
        </w:rPr>
      </w:pPr>
      <w:r w:rsidRPr="00734E74">
        <w:rPr>
          <w:rFonts w:ascii="Times New Roman" w:hAnsi="Times New Roman" w:cs="Times New Roman"/>
          <w:sz w:val="24"/>
          <w:szCs w:val="24"/>
        </w:rPr>
        <w:br w:type="page"/>
      </w:r>
      <w:bookmarkStart w:id="0" w:name="_GoBack"/>
      <w:bookmarkEnd w:id="0"/>
    </w:p>
    <w:p w:rsidR="004157F4" w:rsidRPr="00734E74" w:rsidRDefault="004157F4" w:rsidP="004157F4">
      <w:pPr>
        <w:pStyle w:val="NormalWeb"/>
        <w:spacing w:before="0" w:beforeAutospacing="0" w:after="0" w:afterAutospacing="0" w:line="480" w:lineRule="auto"/>
        <w:jc w:val="center"/>
        <w:rPr>
          <w:rStyle w:val="Strong"/>
          <w:b w:val="0"/>
          <w:color w:val="0E101A"/>
        </w:rPr>
      </w:pPr>
      <w:r w:rsidRPr="00734E74">
        <w:rPr>
          <w:b/>
        </w:rPr>
        <w:lastRenderedPageBreak/>
        <w:t>Professional Standards and Independent Bodies</w:t>
      </w:r>
    </w:p>
    <w:p w:rsidR="0068640E" w:rsidRPr="00734E74" w:rsidRDefault="0068640E" w:rsidP="004157F4">
      <w:pPr>
        <w:pStyle w:val="NormalWeb"/>
        <w:spacing w:before="0" w:beforeAutospacing="0" w:after="0" w:afterAutospacing="0" w:line="480" w:lineRule="auto"/>
        <w:jc w:val="center"/>
        <w:rPr>
          <w:b/>
          <w:color w:val="0E101A"/>
        </w:rPr>
      </w:pPr>
      <w:r w:rsidRPr="00734E74">
        <w:rPr>
          <w:rStyle w:val="Strong"/>
          <w:b w:val="0"/>
          <w:color w:val="0E101A"/>
        </w:rPr>
        <w:t>Roles of Independent Bodies</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t>Professional standards and independent bodies play the main role in society by ensuring that police work is within their jurisdiction. For example, these bodies, the Independent Office for Police Conduct (IOPC), are responsible for overseeing complaints about the police system (Murphy</w:t>
      </w:r>
      <w:r w:rsidR="004157F4" w:rsidRPr="00734E74">
        <w:rPr>
          <w:color w:val="0E101A"/>
        </w:rPr>
        <w:t xml:space="preserve"> et al.</w:t>
      </w:r>
      <w:r w:rsidRPr="00734E74">
        <w:rPr>
          <w:color w:val="0E101A"/>
        </w:rPr>
        <w:t>, 2017). The police system can be challenging; therefore, the need to have a statutory body to secure public confidence in police work (Murphy</w:t>
      </w:r>
      <w:r w:rsidR="004157F4" w:rsidRPr="00734E74">
        <w:rPr>
          <w:color w:val="0E101A"/>
        </w:rPr>
        <w:t xml:space="preserve"> et al.</w:t>
      </w:r>
      <w:r w:rsidRPr="00734E74">
        <w:rPr>
          <w:color w:val="0E101A"/>
        </w:rPr>
        <w:t>, 2017).</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t xml:space="preserve">The independent body has the responsibility of investigating the complaint against police officers. This role takes an interest in the most serious complaints, not any complaint against the police by making an analytic investigation to establish the truth of the matter before taking any serious actions. When this action </w:t>
      </w:r>
      <w:proofErr w:type="gramStart"/>
      <w:r w:rsidRPr="00734E74">
        <w:rPr>
          <w:color w:val="0E101A"/>
        </w:rPr>
        <w:t>is taken</w:t>
      </w:r>
      <w:proofErr w:type="gramEnd"/>
      <w:r w:rsidRPr="00734E74">
        <w:rPr>
          <w:color w:val="0E101A"/>
        </w:rPr>
        <w:t xml:space="preserve">, the police under investigation are usually suspended for the time. Additionally, in this regard, the department uses its time to handle appeals from unsatisfied individuals. This element implies that the typical professional values citizens' interest where it creates more room for individuals to pursue justice against corrupt officers further. The statement further indicates that the body is not only in the business of </w:t>
      </w:r>
      <w:proofErr w:type="gramStart"/>
      <w:r w:rsidRPr="00734E74">
        <w:rPr>
          <w:color w:val="0E101A"/>
        </w:rPr>
        <w:t>getting to the bottom</w:t>
      </w:r>
      <w:proofErr w:type="gramEnd"/>
      <w:r w:rsidRPr="00734E74">
        <w:rPr>
          <w:color w:val="0E101A"/>
        </w:rPr>
        <w:t xml:space="preserve"> of the matter; rather, it is concerned with citizen satisfaction.</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t xml:space="preserve">In terms of public confidence, the IOPC is responsible for ensuring that the police force is continuously under training for the sake of public service and improve standards. The body plays a principal role in issuing guidance to the police department on handling complaints and administering its duties impartially. This role is not limited to addressing citizens with complaints, rather entails a broader aspect of doing extensive research, and publishing real-life cases to improve confidence within the department. Even so, the IOPC </w:t>
      </w:r>
      <w:proofErr w:type="spellStart"/>
      <w:r w:rsidRPr="00734E74">
        <w:rPr>
          <w:color w:val="0E101A"/>
        </w:rPr>
        <w:t>prioritises</w:t>
      </w:r>
      <w:proofErr w:type="spellEnd"/>
      <w:r w:rsidRPr="00734E74">
        <w:rPr>
          <w:color w:val="0E101A"/>
        </w:rPr>
        <w:t xml:space="preserve"> oversight work by encouraging feedback from the public to understand their experiences.</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lastRenderedPageBreak/>
        <w:t xml:space="preserve">When this happens, the independent body then </w:t>
      </w:r>
      <w:proofErr w:type="gramStart"/>
      <w:r w:rsidRPr="00734E74">
        <w:rPr>
          <w:color w:val="0E101A"/>
        </w:rPr>
        <w:t>is allowed</w:t>
      </w:r>
      <w:proofErr w:type="gramEnd"/>
      <w:r w:rsidRPr="00734E74">
        <w:rPr>
          <w:color w:val="0E101A"/>
        </w:rPr>
        <w:t xml:space="preserve"> the opportunity to explore its flows and adjust accordingly. For instance, the IOPC in England and Wales take on the responsibility of constantly carrying out a public survey regarding their police force confidence (Murphy</w:t>
      </w:r>
      <w:r w:rsidR="004157F4" w:rsidRPr="00734E74">
        <w:rPr>
          <w:color w:val="0E101A"/>
        </w:rPr>
        <w:t xml:space="preserve"> et al.</w:t>
      </w:r>
      <w:r w:rsidRPr="00734E74">
        <w:rPr>
          <w:color w:val="0E101A"/>
        </w:rPr>
        <w:t>, 2017). This initiative indicates the body's dedication to understanding public perception concerning police work. Moreover, the public understands that the IOPC is keen on addressing their issues and complaints against the police.</w:t>
      </w:r>
    </w:p>
    <w:p w:rsidR="0068640E" w:rsidRPr="00734E74" w:rsidRDefault="0068640E" w:rsidP="00410DC9">
      <w:pPr>
        <w:pStyle w:val="NormalWeb"/>
        <w:spacing w:before="0" w:beforeAutospacing="0" w:after="0" w:afterAutospacing="0" w:line="480" w:lineRule="auto"/>
        <w:jc w:val="center"/>
        <w:rPr>
          <w:b/>
          <w:color w:val="0E101A"/>
        </w:rPr>
      </w:pPr>
      <w:r w:rsidRPr="00734E74">
        <w:rPr>
          <w:rStyle w:val="Strong"/>
          <w:b w:val="0"/>
          <w:color w:val="0E101A"/>
        </w:rPr>
        <w:t>Roles of Professional Standards</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t xml:space="preserve">Professional standards set within these departments are important in ensuring accountability on the parts of individual officers. Professional standards, such as officers' supervision, are crucial in improving quality and accountability (Walker, 2001). This aspect concerns supervisors overseeing the performance of specific duties laid out in advance. This operation ensures that officers </w:t>
      </w:r>
      <w:proofErr w:type="gramStart"/>
      <w:r w:rsidRPr="00734E74">
        <w:rPr>
          <w:color w:val="0E101A"/>
        </w:rPr>
        <w:t>are only involved in activities delegated</w:t>
      </w:r>
      <w:proofErr w:type="gramEnd"/>
      <w:r w:rsidRPr="00734E74">
        <w:rPr>
          <w:color w:val="0E101A"/>
        </w:rPr>
        <w:t xml:space="preserve"> to them by their superiors and are expected to deliver a report. Through this provision, police officers </w:t>
      </w:r>
      <w:proofErr w:type="gramStart"/>
      <w:r w:rsidRPr="00734E74">
        <w:rPr>
          <w:color w:val="0E101A"/>
        </w:rPr>
        <w:t>are kept</w:t>
      </w:r>
      <w:proofErr w:type="gramEnd"/>
      <w:r w:rsidRPr="00734E74">
        <w:rPr>
          <w:color w:val="0E101A"/>
        </w:rPr>
        <w:t xml:space="preserve"> on their feet to provide a quality response to their duties; thus, giving them little chance to engage in unorthodox operations. However, this standard of operation faces the challenge of an inadequate workforce that inhibits direct oversight, where specific operations require specific supervisory trends. In this case, coaching rather than directing is required so that officers are empowered to work under minimum supervision.</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t xml:space="preserve">Training of officers is crucial in ensuring that emphasis on the laws, rules and regulations </w:t>
      </w:r>
      <w:proofErr w:type="gramStart"/>
      <w:r w:rsidRPr="00734E74">
        <w:rPr>
          <w:color w:val="0E101A"/>
        </w:rPr>
        <w:t>are followed</w:t>
      </w:r>
      <w:proofErr w:type="gramEnd"/>
      <w:r w:rsidRPr="00734E74">
        <w:rPr>
          <w:color w:val="0E101A"/>
        </w:rPr>
        <w:t xml:space="preserve"> to the latter while dealing with public members. This </w:t>
      </w:r>
      <w:proofErr w:type="spellStart"/>
      <w:r w:rsidRPr="00734E74">
        <w:rPr>
          <w:color w:val="0E101A"/>
        </w:rPr>
        <w:t>standardisation</w:t>
      </w:r>
      <w:proofErr w:type="spellEnd"/>
      <w:r w:rsidRPr="00734E74">
        <w:rPr>
          <w:color w:val="0E101A"/>
        </w:rPr>
        <w:t xml:space="preserve"> aspect is vital for police accountability by </w:t>
      </w:r>
      <w:proofErr w:type="spellStart"/>
      <w:r w:rsidRPr="00734E74">
        <w:rPr>
          <w:color w:val="0E101A"/>
        </w:rPr>
        <w:t>emphasising</w:t>
      </w:r>
      <w:proofErr w:type="spellEnd"/>
      <w:r w:rsidRPr="00734E74">
        <w:rPr>
          <w:color w:val="0E101A"/>
        </w:rPr>
        <w:t xml:space="preserve"> important values adherence to the law and discipline (Walker, 2001).</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lastRenderedPageBreak/>
        <w:t xml:space="preserve">Training officers is not a guarantee that they become accountable by simply understanding the system; instead, it invokes a sense of responsibility and expectations. Despite this provision, training has not always born fruits in terms of police accountability given the challenges experienced in communities they police. This statement concerns the challenge of officers' tendency to create relationships with locals, </w:t>
      </w:r>
      <w:proofErr w:type="spellStart"/>
      <w:r w:rsidRPr="00734E74">
        <w:rPr>
          <w:color w:val="0E101A"/>
        </w:rPr>
        <w:t>jeopardising</w:t>
      </w:r>
      <w:proofErr w:type="spellEnd"/>
      <w:r w:rsidRPr="00734E74">
        <w:rPr>
          <w:color w:val="0E101A"/>
        </w:rPr>
        <w:t xml:space="preserve"> their ability to be accountable. Through this element, </w:t>
      </w:r>
      <w:proofErr w:type="spellStart"/>
      <w:r w:rsidRPr="00734E74">
        <w:rPr>
          <w:color w:val="0E101A"/>
        </w:rPr>
        <w:t>professionalisation</w:t>
      </w:r>
      <w:proofErr w:type="spellEnd"/>
      <w:r w:rsidRPr="00734E74">
        <w:rPr>
          <w:color w:val="0E101A"/>
        </w:rPr>
        <w:t xml:space="preserve"> </w:t>
      </w:r>
      <w:proofErr w:type="gramStart"/>
      <w:r w:rsidRPr="00734E74">
        <w:rPr>
          <w:color w:val="0E101A"/>
        </w:rPr>
        <w:t>is enhanced</w:t>
      </w:r>
      <w:proofErr w:type="gramEnd"/>
      <w:r w:rsidRPr="00734E74">
        <w:rPr>
          <w:color w:val="0E101A"/>
        </w:rPr>
        <w:t xml:space="preserve"> where a range of skills learnt is applied to enforce the law in real-life circumstances while adhering to the expected code of conduct.</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t xml:space="preserve">Further, professional standard relative to audit mechanisms plays the role of shaping cultural accountability through management (Walker, 2001). This statement implies that </w:t>
      </w:r>
      <w:proofErr w:type="spellStart"/>
      <w:r w:rsidRPr="00734E74">
        <w:rPr>
          <w:color w:val="0E101A"/>
        </w:rPr>
        <w:t>skilful</w:t>
      </w:r>
      <w:proofErr w:type="spellEnd"/>
      <w:r w:rsidRPr="00734E74">
        <w:rPr>
          <w:color w:val="0E101A"/>
        </w:rPr>
        <w:t xml:space="preserve"> administration is paramount in </w:t>
      </w:r>
      <w:proofErr w:type="spellStart"/>
      <w:r w:rsidRPr="00734E74">
        <w:rPr>
          <w:color w:val="0E101A"/>
        </w:rPr>
        <w:t>minimising</w:t>
      </w:r>
      <w:proofErr w:type="spellEnd"/>
      <w:r w:rsidRPr="00734E74">
        <w:rPr>
          <w:color w:val="0E101A"/>
        </w:rPr>
        <w:t xml:space="preserve"> police corruption, incompetence, and citizen harassment. This standard of operation ensures that officers in management are empowered enough such that their juniors are answerable to them. However, this aspect does not mean that accountability on the officers' part will be at its maximum. Rather, it ensures that vigilance in the form of auditing indicate the approaches used when handling the public. In other words, officers in charge take responsibility for their action; therefore, auditing serves as a measurement tool of conduct. For example, through auditing, the number of arrests is determined over a while, a sample of witnesses </w:t>
      </w:r>
      <w:proofErr w:type="gramStart"/>
      <w:r w:rsidRPr="00734E74">
        <w:rPr>
          <w:color w:val="0E101A"/>
        </w:rPr>
        <w:t>interviewed,</w:t>
      </w:r>
      <w:proofErr w:type="gramEnd"/>
      <w:r w:rsidRPr="00734E74">
        <w:rPr>
          <w:color w:val="0E101A"/>
        </w:rPr>
        <w:t xml:space="preserve"> defendants, and other unit controls (Walker, 2001). Moreover, it creates room for identifying citizen complaints and the approaches used to solve the issues raised.</w:t>
      </w:r>
    </w:p>
    <w:p w:rsidR="0068640E" w:rsidRPr="00734E74" w:rsidRDefault="0068640E" w:rsidP="00410DC9">
      <w:pPr>
        <w:pStyle w:val="NormalWeb"/>
        <w:spacing w:before="0" w:beforeAutospacing="0" w:after="0" w:afterAutospacing="0" w:line="480" w:lineRule="auto"/>
        <w:jc w:val="center"/>
        <w:rPr>
          <w:b/>
          <w:color w:val="0E101A"/>
        </w:rPr>
      </w:pPr>
      <w:r w:rsidRPr="00734E74">
        <w:rPr>
          <w:rStyle w:val="Strong"/>
          <w:b w:val="0"/>
          <w:color w:val="0E101A"/>
        </w:rPr>
        <w:t>Impacts of Malpractice and Corruption on Policing</w:t>
      </w:r>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t xml:space="preserve">Police malpractice undermines the confidence of the public in the sector (Goldsmith, 2005). For example, individuals may tend to make anonymous complaints indicating that they are scared of what might happen if their identity is noted (Goldsmith, 2005). This issue implies </w:t>
      </w:r>
      <w:r w:rsidRPr="00734E74">
        <w:rPr>
          <w:color w:val="0E101A"/>
        </w:rPr>
        <w:lastRenderedPageBreak/>
        <w:t xml:space="preserve">that the law and its disciplinary forces have failed citizens such that they do not associate themselves directly with making complaints. Secondly, acceptance of bribes deteriorates community values in that people aligned to corrupt officers feel safer to commit crimes, while others were living in fear. More so, it implies that no complaint against an officer </w:t>
      </w:r>
      <w:proofErr w:type="gramStart"/>
      <w:r w:rsidRPr="00734E74">
        <w:rPr>
          <w:color w:val="0E101A"/>
        </w:rPr>
        <w:t>is investigated</w:t>
      </w:r>
      <w:proofErr w:type="gramEnd"/>
      <w:r w:rsidRPr="00734E74">
        <w:rPr>
          <w:color w:val="0E101A"/>
        </w:rPr>
        <w:t xml:space="preserve"> since some may require bribes to oversee the case, while others will care less. </w:t>
      </w:r>
      <w:proofErr w:type="gramStart"/>
      <w:r w:rsidRPr="00734E74">
        <w:rPr>
          <w:color w:val="0E101A"/>
        </w:rPr>
        <w:t>For instance, officers involved with gamblers, and accept gratuities are a public concern since they undermine the freedom of expression and justice as they can oppress citizens.</w:t>
      </w:r>
      <w:proofErr w:type="gramEnd"/>
    </w:p>
    <w:p w:rsidR="0068640E" w:rsidRPr="00734E74" w:rsidRDefault="0068640E" w:rsidP="0068640E">
      <w:pPr>
        <w:pStyle w:val="NormalWeb"/>
        <w:spacing w:before="0" w:beforeAutospacing="0" w:after="0" w:afterAutospacing="0" w:line="480" w:lineRule="auto"/>
        <w:ind w:firstLine="720"/>
        <w:rPr>
          <w:color w:val="0E101A"/>
        </w:rPr>
      </w:pPr>
      <w:r w:rsidRPr="00734E74">
        <w:rPr>
          <w:color w:val="0E101A"/>
        </w:rPr>
        <w:t xml:space="preserve">Furthermore, due to a lack of transparency, it is difficult to administer service to the public due to mistrust. Malpractices can lead to active shooter responses from the police department, leading to public suffering due to missed targets or </w:t>
      </w:r>
      <w:proofErr w:type="spellStart"/>
      <w:r w:rsidRPr="00734E74">
        <w:rPr>
          <w:color w:val="0E101A"/>
        </w:rPr>
        <w:t>criminalisation</w:t>
      </w:r>
      <w:proofErr w:type="spellEnd"/>
      <w:r w:rsidRPr="00734E74">
        <w:rPr>
          <w:color w:val="0E101A"/>
        </w:rPr>
        <w:t xml:space="preserve"> of innocent people (Goldsmith, 2005). This impact usually falls heavily on smaller ethnic communities with corrupt police officers taking advantage of their situation. Further, the use of force and de-escalation policies undermines freedom and the right to use less force when handling criminals. This action implies that individuals arrested illegally have nowhere to report their complaint since they do not know who to approach in such matters. In most cases, </w:t>
      </w:r>
      <w:proofErr w:type="gramStart"/>
      <w:r w:rsidRPr="00734E74">
        <w:rPr>
          <w:color w:val="0E101A"/>
        </w:rPr>
        <w:t>harassment and the use of force are perpetuated by a whole department</w:t>
      </w:r>
      <w:proofErr w:type="gramEnd"/>
      <w:r w:rsidRPr="00734E74">
        <w:rPr>
          <w:color w:val="0E101A"/>
        </w:rPr>
        <w:t xml:space="preserve"> such that it is a norm, and no one cares about the same despite people suffering. Moreover, malpractice can lead to discrimination in recruitment where specific communities, for example, the aboriginals have minimal chances of getting into police academies.</w:t>
      </w:r>
    </w:p>
    <w:p w:rsidR="000D61DA" w:rsidRPr="00734E74" w:rsidRDefault="000D61DA">
      <w:pPr>
        <w:rPr>
          <w:rFonts w:ascii="Times New Roman" w:hAnsi="Times New Roman" w:cs="Times New Roman"/>
          <w:sz w:val="24"/>
          <w:szCs w:val="24"/>
        </w:rPr>
      </w:pPr>
      <w:r w:rsidRPr="00734E74">
        <w:rPr>
          <w:rFonts w:ascii="Times New Roman" w:hAnsi="Times New Roman" w:cs="Times New Roman"/>
          <w:sz w:val="24"/>
          <w:szCs w:val="24"/>
        </w:rPr>
        <w:br w:type="page"/>
      </w:r>
    </w:p>
    <w:p w:rsidR="00D742B9" w:rsidRPr="00734E74" w:rsidRDefault="00D742B9" w:rsidP="00410DC9">
      <w:pPr>
        <w:spacing w:after="0" w:line="480" w:lineRule="auto"/>
        <w:ind w:left="720" w:hanging="720"/>
        <w:jc w:val="center"/>
        <w:rPr>
          <w:rFonts w:ascii="Times New Roman" w:hAnsi="Times New Roman" w:cs="Times New Roman"/>
          <w:sz w:val="24"/>
          <w:szCs w:val="24"/>
        </w:rPr>
      </w:pPr>
      <w:r w:rsidRPr="00734E74">
        <w:rPr>
          <w:rFonts w:ascii="Times New Roman" w:hAnsi="Times New Roman" w:cs="Times New Roman"/>
          <w:sz w:val="24"/>
          <w:szCs w:val="24"/>
        </w:rPr>
        <w:lastRenderedPageBreak/>
        <w:t>References</w:t>
      </w:r>
    </w:p>
    <w:p w:rsidR="00831325" w:rsidRPr="00734E74" w:rsidRDefault="00D742B9" w:rsidP="00410DC9">
      <w:pPr>
        <w:spacing w:after="0" w:line="480" w:lineRule="auto"/>
        <w:ind w:left="720" w:hanging="720"/>
        <w:rPr>
          <w:rFonts w:ascii="Times New Roman" w:hAnsi="Times New Roman" w:cs="Times New Roman"/>
          <w:color w:val="222222"/>
          <w:sz w:val="24"/>
          <w:szCs w:val="24"/>
          <w:shd w:val="clear" w:color="auto" w:fill="FFFFFF"/>
        </w:rPr>
      </w:pPr>
      <w:r w:rsidRPr="00734E74">
        <w:rPr>
          <w:rFonts w:ascii="Times New Roman" w:hAnsi="Times New Roman" w:cs="Times New Roman"/>
          <w:color w:val="222222"/>
          <w:sz w:val="24"/>
          <w:szCs w:val="24"/>
          <w:shd w:val="clear" w:color="auto" w:fill="FFFFFF"/>
        </w:rPr>
        <w:t>Goldsmith, A., 2005. Police reform and the problem of trust.</w:t>
      </w:r>
      <w:r w:rsidR="00410DC9" w:rsidRPr="00734E74">
        <w:rPr>
          <w:rFonts w:ascii="Times New Roman" w:hAnsi="Times New Roman" w:cs="Times New Roman"/>
          <w:color w:val="222222"/>
          <w:sz w:val="24"/>
          <w:szCs w:val="24"/>
          <w:shd w:val="clear" w:color="auto" w:fill="FFFFFF"/>
        </w:rPr>
        <w:t xml:space="preserve"> </w:t>
      </w:r>
      <w:r w:rsidR="00410DC9" w:rsidRPr="00734E74">
        <w:rPr>
          <w:rFonts w:ascii="Times New Roman" w:hAnsi="Times New Roman" w:cs="Times New Roman"/>
          <w:i/>
          <w:iCs/>
          <w:color w:val="222222"/>
          <w:sz w:val="24"/>
          <w:szCs w:val="24"/>
          <w:shd w:val="clear" w:color="auto" w:fill="FFFFFF"/>
        </w:rPr>
        <w:t>Theoretical C</w:t>
      </w:r>
      <w:r w:rsidRPr="00734E74">
        <w:rPr>
          <w:rFonts w:ascii="Times New Roman" w:hAnsi="Times New Roman" w:cs="Times New Roman"/>
          <w:i/>
          <w:iCs/>
          <w:color w:val="222222"/>
          <w:sz w:val="24"/>
          <w:szCs w:val="24"/>
          <w:shd w:val="clear" w:color="auto" w:fill="FFFFFF"/>
        </w:rPr>
        <w:t>riminology</w:t>
      </w:r>
      <w:r w:rsidRPr="00734E74">
        <w:rPr>
          <w:rFonts w:ascii="Times New Roman" w:hAnsi="Times New Roman" w:cs="Times New Roman"/>
          <w:color w:val="222222"/>
          <w:sz w:val="24"/>
          <w:szCs w:val="24"/>
          <w:shd w:val="clear" w:color="auto" w:fill="FFFFFF"/>
        </w:rPr>
        <w:t>,</w:t>
      </w:r>
      <w:r w:rsidR="00410DC9" w:rsidRPr="00734E74">
        <w:rPr>
          <w:rFonts w:ascii="Times New Roman" w:hAnsi="Times New Roman" w:cs="Times New Roman"/>
          <w:color w:val="222222"/>
          <w:sz w:val="24"/>
          <w:szCs w:val="24"/>
          <w:shd w:val="clear" w:color="auto" w:fill="FFFFFF"/>
        </w:rPr>
        <w:t xml:space="preserve"> </w:t>
      </w:r>
      <w:r w:rsidRPr="00734E74">
        <w:rPr>
          <w:rFonts w:ascii="Times New Roman" w:hAnsi="Times New Roman" w:cs="Times New Roman"/>
          <w:b/>
          <w:iCs/>
          <w:color w:val="222222"/>
          <w:sz w:val="24"/>
          <w:szCs w:val="24"/>
          <w:shd w:val="clear" w:color="auto" w:fill="FFFFFF"/>
        </w:rPr>
        <w:t>9</w:t>
      </w:r>
      <w:r w:rsidRPr="00734E74">
        <w:rPr>
          <w:rFonts w:ascii="Times New Roman" w:hAnsi="Times New Roman" w:cs="Times New Roman"/>
          <w:color w:val="222222"/>
          <w:sz w:val="24"/>
          <w:szCs w:val="24"/>
          <w:shd w:val="clear" w:color="auto" w:fill="FFFFFF"/>
        </w:rPr>
        <w:t>(4), pp.</w:t>
      </w:r>
      <w:r w:rsidR="00410DC9" w:rsidRPr="00734E74">
        <w:rPr>
          <w:rFonts w:ascii="Times New Roman" w:hAnsi="Times New Roman" w:cs="Times New Roman"/>
          <w:color w:val="222222"/>
          <w:sz w:val="24"/>
          <w:szCs w:val="24"/>
          <w:shd w:val="clear" w:color="auto" w:fill="FFFFFF"/>
        </w:rPr>
        <w:t xml:space="preserve"> </w:t>
      </w:r>
      <w:r w:rsidRPr="00734E74">
        <w:rPr>
          <w:rFonts w:ascii="Times New Roman" w:hAnsi="Times New Roman" w:cs="Times New Roman"/>
          <w:color w:val="222222"/>
          <w:sz w:val="24"/>
          <w:szCs w:val="24"/>
          <w:shd w:val="clear" w:color="auto" w:fill="FFFFFF"/>
        </w:rPr>
        <w:t>443-470.</w:t>
      </w:r>
    </w:p>
    <w:p w:rsidR="00831325" w:rsidRPr="00734E74" w:rsidRDefault="00D742B9" w:rsidP="00410DC9">
      <w:pPr>
        <w:spacing w:after="0" w:line="480" w:lineRule="auto"/>
        <w:ind w:left="720" w:hanging="720"/>
        <w:rPr>
          <w:rFonts w:ascii="Times New Roman" w:hAnsi="Times New Roman" w:cs="Times New Roman"/>
          <w:color w:val="222222"/>
          <w:sz w:val="24"/>
          <w:szCs w:val="24"/>
          <w:shd w:val="clear" w:color="auto" w:fill="FFFFFF"/>
        </w:rPr>
      </w:pPr>
      <w:r w:rsidRPr="00734E74">
        <w:rPr>
          <w:rFonts w:ascii="Times New Roman" w:hAnsi="Times New Roman" w:cs="Times New Roman"/>
          <w:color w:val="222222"/>
          <w:sz w:val="24"/>
          <w:szCs w:val="24"/>
          <w:shd w:val="clear" w:color="auto" w:fill="FFFFFF"/>
        </w:rPr>
        <w:t>Murphy, P., Eckersley, P. and Ferry, L., 2017. Ac</w:t>
      </w:r>
      <w:r w:rsidR="00410DC9" w:rsidRPr="00734E74">
        <w:rPr>
          <w:rFonts w:ascii="Times New Roman" w:hAnsi="Times New Roman" w:cs="Times New Roman"/>
          <w:color w:val="222222"/>
          <w:sz w:val="24"/>
          <w:szCs w:val="24"/>
          <w:shd w:val="clear" w:color="auto" w:fill="FFFFFF"/>
        </w:rPr>
        <w:t>countability and transparency: p</w:t>
      </w:r>
      <w:r w:rsidRPr="00734E74">
        <w:rPr>
          <w:rFonts w:ascii="Times New Roman" w:hAnsi="Times New Roman" w:cs="Times New Roman"/>
          <w:color w:val="222222"/>
          <w:sz w:val="24"/>
          <w:szCs w:val="24"/>
          <w:shd w:val="clear" w:color="auto" w:fill="FFFFFF"/>
        </w:rPr>
        <w:t>olice forces in England and Wales.</w:t>
      </w:r>
      <w:r w:rsidR="00410DC9" w:rsidRPr="00734E74">
        <w:rPr>
          <w:rFonts w:ascii="Times New Roman" w:hAnsi="Times New Roman" w:cs="Times New Roman"/>
          <w:color w:val="222222"/>
          <w:sz w:val="24"/>
          <w:szCs w:val="24"/>
          <w:shd w:val="clear" w:color="auto" w:fill="FFFFFF"/>
        </w:rPr>
        <w:t xml:space="preserve"> </w:t>
      </w:r>
      <w:r w:rsidR="00410DC9" w:rsidRPr="00734E74">
        <w:rPr>
          <w:rFonts w:ascii="Times New Roman" w:hAnsi="Times New Roman" w:cs="Times New Roman"/>
          <w:i/>
          <w:iCs/>
          <w:color w:val="222222"/>
          <w:sz w:val="24"/>
          <w:szCs w:val="24"/>
          <w:shd w:val="clear" w:color="auto" w:fill="FFFFFF"/>
        </w:rPr>
        <w:t>Public P</w:t>
      </w:r>
      <w:r w:rsidRPr="00734E74">
        <w:rPr>
          <w:rFonts w:ascii="Times New Roman" w:hAnsi="Times New Roman" w:cs="Times New Roman"/>
          <w:i/>
          <w:iCs/>
          <w:color w:val="222222"/>
          <w:sz w:val="24"/>
          <w:szCs w:val="24"/>
          <w:shd w:val="clear" w:color="auto" w:fill="FFFFFF"/>
        </w:rPr>
        <w:t xml:space="preserve">olicy and </w:t>
      </w:r>
      <w:r w:rsidR="00410DC9" w:rsidRPr="00734E74">
        <w:rPr>
          <w:rFonts w:ascii="Times New Roman" w:hAnsi="Times New Roman" w:cs="Times New Roman"/>
          <w:i/>
          <w:iCs/>
          <w:color w:val="222222"/>
          <w:sz w:val="24"/>
          <w:szCs w:val="24"/>
          <w:shd w:val="clear" w:color="auto" w:fill="FFFFFF"/>
        </w:rPr>
        <w:t>A</w:t>
      </w:r>
      <w:r w:rsidRPr="00734E74">
        <w:rPr>
          <w:rFonts w:ascii="Times New Roman" w:hAnsi="Times New Roman" w:cs="Times New Roman"/>
          <w:i/>
          <w:iCs/>
          <w:color w:val="222222"/>
          <w:sz w:val="24"/>
          <w:szCs w:val="24"/>
          <w:shd w:val="clear" w:color="auto" w:fill="FFFFFF"/>
        </w:rPr>
        <w:t>dministration</w:t>
      </w:r>
      <w:r w:rsidRPr="00734E74">
        <w:rPr>
          <w:rFonts w:ascii="Times New Roman" w:hAnsi="Times New Roman" w:cs="Times New Roman"/>
          <w:color w:val="222222"/>
          <w:sz w:val="24"/>
          <w:szCs w:val="24"/>
          <w:shd w:val="clear" w:color="auto" w:fill="FFFFFF"/>
        </w:rPr>
        <w:t>,</w:t>
      </w:r>
      <w:r w:rsidR="00410DC9" w:rsidRPr="00734E74">
        <w:rPr>
          <w:rFonts w:ascii="Times New Roman" w:hAnsi="Times New Roman" w:cs="Times New Roman"/>
          <w:color w:val="222222"/>
          <w:sz w:val="24"/>
          <w:szCs w:val="24"/>
          <w:shd w:val="clear" w:color="auto" w:fill="FFFFFF"/>
        </w:rPr>
        <w:t xml:space="preserve"> </w:t>
      </w:r>
      <w:r w:rsidRPr="00734E74">
        <w:rPr>
          <w:rFonts w:ascii="Times New Roman" w:hAnsi="Times New Roman" w:cs="Times New Roman"/>
          <w:b/>
          <w:iCs/>
          <w:color w:val="222222"/>
          <w:sz w:val="24"/>
          <w:szCs w:val="24"/>
          <w:shd w:val="clear" w:color="auto" w:fill="FFFFFF"/>
        </w:rPr>
        <w:t>32</w:t>
      </w:r>
      <w:r w:rsidRPr="00734E74">
        <w:rPr>
          <w:rFonts w:ascii="Times New Roman" w:hAnsi="Times New Roman" w:cs="Times New Roman"/>
          <w:color w:val="222222"/>
          <w:sz w:val="24"/>
          <w:szCs w:val="24"/>
          <w:shd w:val="clear" w:color="auto" w:fill="FFFFFF"/>
        </w:rPr>
        <w:t>(3), pp.</w:t>
      </w:r>
      <w:r w:rsidR="00410DC9" w:rsidRPr="00734E74">
        <w:rPr>
          <w:rFonts w:ascii="Times New Roman" w:hAnsi="Times New Roman" w:cs="Times New Roman"/>
          <w:color w:val="222222"/>
          <w:sz w:val="24"/>
          <w:szCs w:val="24"/>
          <w:shd w:val="clear" w:color="auto" w:fill="FFFFFF"/>
        </w:rPr>
        <w:t xml:space="preserve"> </w:t>
      </w:r>
      <w:r w:rsidRPr="00734E74">
        <w:rPr>
          <w:rFonts w:ascii="Times New Roman" w:hAnsi="Times New Roman" w:cs="Times New Roman"/>
          <w:color w:val="222222"/>
          <w:sz w:val="24"/>
          <w:szCs w:val="24"/>
          <w:shd w:val="clear" w:color="auto" w:fill="FFFFFF"/>
        </w:rPr>
        <w:t>197-213.</w:t>
      </w:r>
    </w:p>
    <w:p w:rsidR="00D73FEF" w:rsidRPr="00734E74" w:rsidRDefault="00D742B9" w:rsidP="00410DC9">
      <w:pPr>
        <w:spacing w:after="0" w:line="480" w:lineRule="auto"/>
        <w:ind w:left="720" w:hanging="720"/>
        <w:rPr>
          <w:rFonts w:ascii="Times New Roman" w:hAnsi="Times New Roman" w:cs="Times New Roman"/>
          <w:color w:val="222222"/>
          <w:sz w:val="24"/>
          <w:szCs w:val="24"/>
          <w:shd w:val="clear" w:color="auto" w:fill="FFFFFF"/>
        </w:rPr>
      </w:pPr>
      <w:r w:rsidRPr="00734E74">
        <w:rPr>
          <w:rFonts w:ascii="Times New Roman" w:hAnsi="Times New Roman" w:cs="Times New Roman"/>
          <w:color w:val="222222"/>
          <w:sz w:val="24"/>
          <w:szCs w:val="24"/>
          <w:shd w:val="clear" w:color="auto" w:fill="FFFFFF"/>
        </w:rPr>
        <w:t xml:space="preserve">Walker, S., 2001. </w:t>
      </w:r>
      <w:r w:rsidRPr="00734E74">
        <w:rPr>
          <w:rFonts w:ascii="Times New Roman" w:hAnsi="Times New Roman" w:cs="Times New Roman"/>
          <w:i/>
          <w:color w:val="222222"/>
          <w:sz w:val="24"/>
          <w:szCs w:val="24"/>
          <w:shd w:val="clear" w:color="auto" w:fill="FFFFFF"/>
        </w:rPr>
        <w:t>Police accountability</w:t>
      </w:r>
      <w:r w:rsidR="004157F4" w:rsidRPr="00734E74">
        <w:rPr>
          <w:rFonts w:ascii="Times New Roman" w:hAnsi="Times New Roman" w:cs="Times New Roman"/>
          <w:i/>
          <w:color w:val="222222"/>
          <w:sz w:val="24"/>
          <w:szCs w:val="24"/>
          <w:shd w:val="clear" w:color="auto" w:fill="FFFFFF"/>
        </w:rPr>
        <w:t>: the role of citizen oversight</w:t>
      </w:r>
      <w:r w:rsidRPr="00734E74">
        <w:rPr>
          <w:rFonts w:ascii="Times New Roman" w:hAnsi="Times New Roman" w:cs="Times New Roman"/>
          <w:color w:val="222222"/>
          <w:sz w:val="24"/>
          <w:szCs w:val="24"/>
          <w:shd w:val="clear" w:color="auto" w:fill="FFFFFF"/>
        </w:rPr>
        <w:t>.</w:t>
      </w:r>
      <w:r w:rsidR="00410DC9" w:rsidRPr="00734E74">
        <w:rPr>
          <w:rFonts w:ascii="Times New Roman" w:hAnsi="Times New Roman" w:cs="Times New Roman"/>
          <w:color w:val="222222"/>
          <w:sz w:val="24"/>
          <w:szCs w:val="24"/>
          <w:shd w:val="clear" w:color="auto" w:fill="FFFFFF"/>
        </w:rPr>
        <w:t xml:space="preserve"> </w:t>
      </w:r>
      <w:r w:rsidRPr="00734E74">
        <w:rPr>
          <w:rFonts w:ascii="Times New Roman" w:hAnsi="Times New Roman" w:cs="Times New Roman"/>
          <w:iCs/>
          <w:color w:val="222222"/>
          <w:sz w:val="24"/>
          <w:szCs w:val="24"/>
          <w:shd w:val="clear" w:color="auto" w:fill="FFFFFF"/>
        </w:rPr>
        <w:t>Belmont, CA: Wadsworth</w:t>
      </w:r>
      <w:r w:rsidR="004157F4" w:rsidRPr="00734E74">
        <w:rPr>
          <w:rFonts w:ascii="Times New Roman" w:hAnsi="Times New Roman" w:cs="Times New Roman"/>
          <w:color w:val="222222"/>
          <w:sz w:val="24"/>
          <w:szCs w:val="24"/>
          <w:shd w:val="clear" w:color="auto" w:fill="FFFFFF"/>
        </w:rPr>
        <w:t>.</w:t>
      </w:r>
    </w:p>
    <w:p w:rsidR="00D73FEF" w:rsidRPr="00734E74" w:rsidRDefault="00D73FEF">
      <w:pPr>
        <w:rPr>
          <w:rFonts w:ascii="Times New Roman" w:hAnsi="Times New Roman" w:cs="Times New Roman"/>
          <w:color w:val="222222"/>
          <w:sz w:val="24"/>
          <w:szCs w:val="24"/>
          <w:shd w:val="clear" w:color="auto" w:fill="FFFFFF"/>
        </w:rPr>
      </w:pPr>
      <w:r w:rsidRPr="00734E74">
        <w:rPr>
          <w:rFonts w:ascii="Times New Roman" w:hAnsi="Times New Roman" w:cs="Times New Roman"/>
          <w:color w:val="222222"/>
          <w:sz w:val="24"/>
          <w:szCs w:val="24"/>
          <w:shd w:val="clear" w:color="auto" w:fill="FFFFFF"/>
        </w:rPr>
        <w:br w:type="page"/>
      </w:r>
    </w:p>
    <w:p w:rsidR="00D73FEF" w:rsidRPr="00734E74" w:rsidRDefault="00D73FEF" w:rsidP="00D73FEF">
      <w:pPr>
        <w:spacing w:after="0" w:line="480" w:lineRule="auto"/>
        <w:jc w:val="center"/>
        <w:rPr>
          <w:rFonts w:ascii="Times New Roman" w:hAnsi="Times New Roman" w:cs="Times New Roman"/>
          <w:b/>
          <w:sz w:val="24"/>
          <w:szCs w:val="24"/>
          <w:lang w:val="en-GB"/>
        </w:rPr>
      </w:pPr>
      <w:r w:rsidRPr="00734E74">
        <w:rPr>
          <w:rFonts w:ascii="Times New Roman" w:hAnsi="Times New Roman" w:cs="Times New Roman"/>
          <w:b/>
          <w:sz w:val="24"/>
          <w:szCs w:val="24"/>
          <w:lang w:val="en-GB"/>
        </w:rPr>
        <w:lastRenderedPageBreak/>
        <w:t>Youth Gangs</w:t>
      </w:r>
    </w:p>
    <w:p w:rsidR="00D73FEF" w:rsidRPr="00734E74" w:rsidRDefault="00D73FEF" w:rsidP="00D73FEF">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Introduction</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Over the last decade, youth gangs have received significant attention from the political class, media, and scholars. This attention has been attributed to the link between gang membership and violent criminal acts, including homicide, robbery, drugs, gun, and knife crime, which have been on the rise in the UK since 2014 and reaching the highest point in 2018 (</w:t>
      </w:r>
      <w:proofErr w:type="spellStart"/>
      <w:r w:rsidRPr="00734E74">
        <w:rPr>
          <w:rFonts w:ascii="Times New Roman" w:hAnsi="Times New Roman" w:cs="Times New Roman"/>
          <w:sz w:val="24"/>
          <w:szCs w:val="24"/>
          <w:lang w:val="en-GB"/>
        </w:rPr>
        <w:t>Densley</w:t>
      </w:r>
      <w:proofErr w:type="spellEnd"/>
      <w:r w:rsidRPr="00734E74">
        <w:rPr>
          <w:rFonts w:ascii="Times New Roman" w:hAnsi="Times New Roman" w:cs="Times New Roman"/>
          <w:sz w:val="24"/>
          <w:szCs w:val="24"/>
          <w:lang w:val="en-GB"/>
        </w:rPr>
        <w:t xml:space="preserve">, </w:t>
      </w:r>
      <w:proofErr w:type="spellStart"/>
      <w:r w:rsidRPr="00734E74">
        <w:rPr>
          <w:rFonts w:ascii="Times New Roman" w:hAnsi="Times New Roman" w:cs="Times New Roman"/>
          <w:sz w:val="24"/>
          <w:szCs w:val="24"/>
          <w:lang w:val="en-GB"/>
        </w:rPr>
        <w:t>Deuchar</w:t>
      </w:r>
      <w:proofErr w:type="spellEnd"/>
      <w:r w:rsidRPr="00734E74">
        <w:rPr>
          <w:rFonts w:ascii="Times New Roman" w:hAnsi="Times New Roman" w:cs="Times New Roman"/>
          <w:sz w:val="24"/>
          <w:szCs w:val="24"/>
          <w:lang w:val="en-GB"/>
        </w:rPr>
        <w:t xml:space="preserve">, and Harding, 2020). These trends are repugnant to the long-held view among British social scientists that, unlike the United States that had youth gangs, the UK had youth subcultures. Gang membership facilitates delinquency </w:t>
      </w:r>
      <w:proofErr w:type="gramStart"/>
      <w:r w:rsidRPr="00734E74">
        <w:rPr>
          <w:rFonts w:ascii="Times New Roman" w:hAnsi="Times New Roman" w:cs="Times New Roman"/>
          <w:sz w:val="24"/>
          <w:szCs w:val="24"/>
          <w:lang w:val="en-GB"/>
        </w:rPr>
        <w:t>above and beyond</w:t>
      </w:r>
      <w:proofErr w:type="gramEnd"/>
      <w:r w:rsidRPr="00734E74">
        <w:rPr>
          <w:rFonts w:ascii="Times New Roman" w:hAnsi="Times New Roman" w:cs="Times New Roman"/>
          <w:sz w:val="24"/>
          <w:szCs w:val="24"/>
          <w:lang w:val="en-GB"/>
        </w:rPr>
        <w:t xml:space="preserve"> individual-level characteristics; thus, there is an urgent need to understand the factors that motivate young people into gang culture to develop sustainable solutions.</w:t>
      </w:r>
    </w:p>
    <w:p w:rsidR="00D73FEF" w:rsidRPr="00734E74" w:rsidRDefault="00D73FEF" w:rsidP="00D73FEF">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Youth Gang Membership</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The increasing scholarship in youth gangs has established that gang membership is associated with various factors that increase one's vulnerability. Broadly, these predisposing factors can be categorised as push (individual factors that predispose an individual) and pull (external factors that motivate a person) (</w:t>
      </w:r>
      <w:proofErr w:type="spellStart"/>
      <w:r w:rsidRPr="00734E74">
        <w:rPr>
          <w:rFonts w:ascii="Times New Roman" w:hAnsi="Times New Roman" w:cs="Times New Roman"/>
          <w:sz w:val="24"/>
          <w:szCs w:val="24"/>
          <w:lang w:val="en-GB"/>
        </w:rPr>
        <w:t>Hesselink</w:t>
      </w:r>
      <w:proofErr w:type="spellEnd"/>
      <w:r w:rsidRPr="00734E74">
        <w:rPr>
          <w:rFonts w:ascii="Times New Roman" w:hAnsi="Times New Roman" w:cs="Times New Roman"/>
          <w:sz w:val="24"/>
          <w:szCs w:val="24"/>
          <w:lang w:val="en-GB"/>
        </w:rPr>
        <w:t xml:space="preserve"> and </w:t>
      </w:r>
      <w:proofErr w:type="spellStart"/>
      <w:r w:rsidRPr="00734E74">
        <w:rPr>
          <w:rFonts w:ascii="Times New Roman" w:hAnsi="Times New Roman" w:cs="Times New Roman"/>
          <w:sz w:val="24"/>
          <w:szCs w:val="24"/>
          <w:lang w:val="en-GB"/>
        </w:rPr>
        <w:t>Bougard</w:t>
      </w:r>
      <w:proofErr w:type="spellEnd"/>
      <w:r w:rsidRPr="00734E74">
        <w:rPr>
          <w:rFonts w:ascii="Times New Roman" w:hAnsi="Times New Roman" w:cs="Times New Roman"/>
          <w:sz w:val="24"/>
          <w:szCs w:val="24"/>
          <w:lang w:val="en-GB"/>
        </w:rPr>
        <w:t>, 2020). As such, individuals, families, schooling, peers, and community factors are associated with young people's involvement with gangs.</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The individual domain encompasses specific personal level aspects that put one at risk of joining a gang, including age, gender, previous offending, psychological issues, and drug history. The pathway to gang membership among youth is as early as three years when children begin exhibiting conduct problems; however, gang membership sets in during early adolescence. Youth with a history of offending, including drug use, are more likely to join gangs than those </w:t>
      </w:r>
      <w:r w:rsidRPr="00734E74">
        <w:rPr>
          <w:rFonts w:ascii="Times New Roman" w:hAnsi="Times New Roman" w:cs="Times New Roman"/>
          <w:sz w:val="24"/>
          <w:szCs w:val="24"/>
          <w:lang w:val="en-GB"/>
        </w:rPr>
        <w:lastRenderedPageBreak/>
        <w:t xml:space="preserve">without any offending record (Higginson et al., 2018). Traditionally, gangs have comprised of boys, but the composition is gradually shifting. According to </w:t>
      </w:r>
      <w:proofErr w:type="spellStart"/>
      <w:r w:rsidRPr="00734E74">
        <w:rPr>
          <w:rFonts w:ascii="Times New Roman" w:hAnsi="Times New Roman" w:cs="Times New Roman"/>
          <w:sz w:val="24"/>
          <w:szCs w:val="24"/>
          <w:lang w:val="en-GB"/>
        </w:rPr>
        <w:t>Auyong</w:t>
      </w:r>
      <w:proofErr w:type="spellEnd"/>
      <w:r w:rsidRPr="00734E74">
        <w:rPr>
          <w:rFonts w:ascii="Times New Roman" w:hAnsi="Times New Roman" w:cs="Times New Roman"/>
          <w:sz w:val="24"/>
          <w:szCs w:val="24"/>
          <w:lang w:val="en-GB"/>
        </w:rPr>
        <w:t>, Smith, and Ferguson (2018), some studies have found girls' entry to be 11 years, with recent surveys reporting substantial proportions in the US and Europe.</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The schooling domain presents school-related aspects that interact with other factors to push individuals into gangs. Findings from a recent study on risk factors of youth gang involvement indicate that lower levels of school education, expulsion, suspension, and low education attainment, coupled with antisocial behaviour, are factors that elevate the risk of involvement (</w:t>
      </w:r>
      <w:proofErr w:type="spellStart"/>
      <w:r w:rsidRPr="00734E74">
        <w:rPr>
          <w:rFonts w:ascii="Times New Roman" w:hAnsi="Times New Roman" w:cs="Times New Roman"/>
          <w:sz w:val="24"/>
          <w:szCs w:val="24"/>
          <w:lang w:val="en-GB"/>
        </w:rPr>
        <w:t>Hesselink</w:t>
      </w:r>
      <w:proofErr w:type="spellEnd"/>
      <w:r w:rsidRPr="00734E74">
        <w:rPr>
          <w:rFonts w:ascii="Times New Roman" w:hAnsi="Times New Roman" w:cs="Times New Roman"/>
          <w:sz w:val="24"/>
          <w:szCs w:val="24"/>
          <w:lang w:val="en-GB"/>
        </w:rPr>
        <w:t xml:space="preserve"> and </w:t>
      </w:r>
      <w:proofErr w:type="spellStart"/>
      <w:r w:rsidRPr="00734E74">
        <w:rPr>
          <w:rFonts w:ascii="Times New Roman" w:hAnsi="Times New Roman" w:cs="Times New Roman"/>
          <w:sz w:val="24"/>
          <w:szCs w:val="24"/>
          <w:lang w:val="en-GB"/>
        </w:rPr>
        <w:t>Bougard</w:t>
      </w:r>
      <w:proofErr w:type="spellEnd"/>
      <w:r w:rsidRPr="00734E74">
        <w:rPr>
          <w:rFonts w:ascii="Times New Roman" w:hAnsi="Times New Roman" w:cs="Times New Roman"/>
          <w:sz w:val="24"/>
          <w:szCs w:val="24"/>
          <w:lang w:val="en-GB"/>
        </w:rPr>
        <w:t>, 2020). Besides, a lack of commitment to education, hostility toward teachers, and low-quality schooling are significant push factors since they weaken student bonds and students' likelihood of spending more time without adult supervision. Higginson et al. (2018) further account that negative labelling from teachers that make young people unsafe and decrease attachment increase the risk of involvement.</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The family structure presents several factors that increase the likelihood of gang involvement. A large body of research finds that misbehaviour, association with delinquent groups, antisocial behaviours, and gang involvement are associated with dysfunctional family aspects, including drug use, absent fathers, early childrearing practices, and parents' involvement in gangs elevate young people's involvement (Higginson et al., 2018). According to </w:t>
      </w:r>
      <w:proofErr w:type="spellStart"/>
      <w:r w:rsidRPr="00734E74">
        <w:rPr>
          <w:rFonts w:ascii="Times New Roman" w:hAnsi="Times New Roman" w:cs="Times New Roman"/>
          <w:sz w:val="24"/>
          <w:szCs w:val="24"/>
          <w:lang w:val="en-GB"/>
        </w:rPr>
        <w:t>Hesselink</w:t>
      </w:r>
      <w:proofErr w:type="spellEnd"/>
      <w:r w:rsidRPr="00734E74">
        <w:rPr>
          <w:rFonts w:ascii="Times New Roman" w:hAnsi="Times New Roman" w:cs="Times New Roman"/>
          <w:sz w:val="24"/>
          <w:szCs w:val="24"/>
          <w:lang w:val="en-GB"/>
        </w:rPr>
        <w:t xml:space="preserve"> and </w:t>
      </w:r>
      <w:proofErr w:type="spellStart"/>
      <w:r w:rsidRPr="00734E74">
        <w:rPr>
          <w:rFonts w:ascii="Times New Roman" w:hAnsi="Times New Roman" w:cs="Times New Roman"/>
          <w:sz w:val="24"/>
          <w:szCs w:val="24"/>
          <w:lang w:val="en-GB"/>
        </w:rPr>
        <w:t>Bougard</w:t>
      </w:r>
      <w:proofErr w:type="spellEnd"/>
      <w:r w:rsidRPr="00734E74">
        <w:rPr>
          <w:rFonts w:ascii="Times New Roman" w:hAnsi="Times New Roman" w:cs="Times New Roman"/>
          <w:sz w:val="24"/>
          <w:szCs w:val="24"/>
          <w:lang w:val="en-GB"/>
        </w:rPr>
        <w:t xml:space="preserve"> (2020), a lack of maternal support and poor relationship with parents leads to a negative self-concept, making young people at risk of joining gangs. Therefore, family disorganisation may make youth to seek compensatory attention. Besides, gangs are more likely to target individuals from poor backgrounds by selling them an illusion of a transformed lifestyle and improved living conditions; thus, poverty increases vulnerability to gangs.</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lastRenderedPageBreak/>
        <w:t xml:space="preserve">Peers influence gang membership in a variety of ways. There is consistency in research showing that association with delinquent peers increases the risk of delinquency; thus, young people with peers in gangs are more likely to </w:t>
      </w:r>
      <w:proofErr w:type="gramStart"/>
      <w:r w:rsidRPr="00734E74">
        <w:rPr>
          <w:rFonts w:ascii="Times New Roman" w:hAnsi="Times New Roman" w:cs="Times New Roman"/>
          <w:sz w:val="24"/>
          <w:szCs w:val="24"/>
          <w:lang w:val="en-GB"/>
        </w:rPr>
        <w:t>be pulled</w:t>
      </w:r>
      <w:proofErr w:type="gramEnd"/>
      <w:r w:rsidRPr="00734E74">
        <w:rPr>
          <w:rFonts w:ascii="Times New Roman" w:hAnsi="Times New Roman" w:cs="Times New Roman"/>
          <w:sz w:val="24"/>
          <w:szCs w:val="24"/>
          <w:lang w:val="en-GB"/>
        </w:rPr>
        <w:t xml:space="preserve"> into similar gangs. This view holds, given the evidence supporting peers' influence on individuals' social life (</w:t>
      </w:r>
      <w:proofErr w:type="spellStart"/>
      <w:r w:rsidRPr="00734E74">
        <w:rPr>
          <w:rFonts w:ascii="Times New Roman" w:hAnsi="Times New Roman" w:cs="Times New Roman"/>
          <w:sz w:val="24"/>
          <w:szCs w:val="24"/>
          <w:lang w:val="en-GB"/>
        </w:rPr>
        <w:t>Auyong</w:t>
      </w:r>
      <w:proofErr w:type="spellEnd"/>
      <w:r w:rsidRPr="00734E74">
        <w:rPr>
          <w:rFonts w:ascii="Times New Roman" w:hAnsi="Times New Roman" w:cs="Times New Roman"/>
          <w:sz w:val="24"/>
          <w:szCs w:val="24"/>
          <w:lang w:val="en-GB"/>
        </w:rPr>
        <w:t>, Smith, and Ferguson, 2018). Besides, another perspective to peer influence is the discord among pro-social peers, triggering the development of antisocial behaviour and eventually involvement with gangs where one is accepted.</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Communities are associated with factors that increase vulnerability to gangs. The community domain comprises the neighbourhood's social and structural aspects, including crime rates, firearms, safety, neighbourhood disorganisation, low access to resources, and access to drugs, among others (Higginson et al., 2018). Given the high insecurity rates in these areas, young people </w:t>
      </w:r>
      <w:proofErr w:type="gramStart"/>
      <w:r w:rsidRPr="00734E74">
        <w:rPr>
          <w:rFonts w:ascii="Times New Roman" w:hAnsi="Times New Roman" w:cs="Times New Roman"/>
          <w:sz w:val="24"/>
          <w:szCs w:val="24"/>
          <w:lang w:val="en-GB"/>
        </w:rPr>
        <w:t>may be drawn</w:t>
      </w:r>
      <w:proofErr w:type="gramEnd"/>
      <w:r w:rsidRPr="00734E74">
        <w:rPr>
          <w:rFonts w:ascii="Times New Roman" w:hAnsi="Times New Roman" w:cs="Times New Roman"/>
          <w:sz w:val="24"/>
          <w:szCs w:val="24"/>
          <w:lang w:val="en-GB"/>
        </w:rPr>
        <w:t xml:space="preserve"> into gangs to seek protection (</w:t>
      </w:r>
      <w:proofErr w:type="spellStart"/>
      <w:r w:rsidRPr="00734E74">
        <w:rPr>
          <w:rFonts w:ascii="Times New Roman" w:hAnsi="Times New Roman" w:cs="Times New Roman"/>
          <w:sz w:val="24"/>
          <w:szCs w:val="24"/>
          <w:lang w:val="en-GB"/>
        </w:rPr>
        <w:t>Auyong</w:t>
      </w:r>
      <w:proofErr w:type="spellEnd"/>
      <w:r w:rsidRPr="00734E74">
        <w:rPr>
          <w:rFonts w:ascii="Times New Roman" w:hAnsi="Times New Roman" w:cs="Times New Roman"/>
          <w:sz w:val="24"/>
          <w:szCs w:val="24"/>
          <w:lang w:val="en-GB"/>
        </w:rPr>
        <w:t>, Smith, and Ferguson, 2018). Therefore, gangs are more likely to target neighbourhoods where most people are vulnerable, making it easier for youths to join in seeking security and protection from rival gangs.</w:t>
      </w:r>
    </w:p>
    <w:p w:rsidR="00D73FEF" w:rsidRPr="00734E74" w:rsidRDefault="00D73FEF" w:rsidP="00D73FEF">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Theories of Victimology</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Several theoretical perspectives </w:t>
      </w:r>
      <w:proofErr w:type="gramStart"/>
      <w:r w:rsidRPr="00734E74">
        <w:rPr>
          <w:rFonts w:ascii="Times New Roman" w:hAnsi="Times New Roman" w:cs="Times New Roman"/>
          <w:sz w:val="24"/>
          <w:szCs w:val="24"/>
          <w:lang w:val="en-GB"/>
        </w:rPr>
        <w:t>have been used</w:t>
      </w:r>
      <w:proofErr w:type="gramEnd"/>
      <w:r w:rsidRPr="00734E74">
        <w:rPr>
          <w:rFonts w:ascii="Times New Roman" w:hAnsi="Times New Roman" w:cs="Times New Roman"/>
          <w:sz w:val="24"/>
          <w:szCs w:val="24"/>
          <w:lang w:val="en-GB"/>
        </w:rPr>
        <w:t xml:space="preserve"> to explain why some individuals experience high crime victimisation than others. Victim precipitation theories posit that individuals at risk of victimisation possess characteristics or engage in actions that make them partially responsible for harm, including criminal history and engaging in coercive acts. Exposure and opportunity theories posit that structural contexts, such as school, family, neighbourhood, and peer groups, coupled with individual vulnerability like a lack of guardianship and limited job opportunities, elevate victimisation risk (</w:t>
      </w:r>
      <w:proofErr w:type="spellStart"/>
      <w:r w:rsidRPr="00734E74">
        <w:rPr>
          <w:rFonts w:ascii="Times New Roman" w:hAnsi="Times New Roman" w:cs="Times New Roman"/>
          <w:sz w:val="24"/>
          <w:szCs w:val="24"/>
          <w:lang w:val="en-GB"/>
        </w:rPr>
        <w:t>Zaykowski</w:t>
      </w:r>
      <w:proofErr w:type="spellEnd"/>
      <w:r w:rsidRPr="00734E74">
        <w:rPr>
          <w:rFonts w:ascii="Times New Roman" w:hAnsi="Times New Roman" w:cs="Times New Roman"/>
          <w:sz w:val="24"/>
          <w:szCs w:val="24"/>
          <w:lang w:val="en-GB"/>
        </w:rPr>
        <w:t xml:space="preserve"> and Campagna, 2014).</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lastRenderedPageBreak/>
        <w:t xml:space="preserve">Social learning and cultural theories are applicable in examining victimisation, with theorists positing that victimisation is a process by which values, norms, and behaviours </w:t>
      </w:r>
      <w:proofErr w:type="gramStart"/>
      <w:r w:rsidRPr="00734E74">
        <w:rPr>
          <w:rFonts w:ascii="Times New Roman" w:hAnsi="Times New Roman" w:cs="Times New Roman"/>
          <w:sz w:val="24"/>
          <w:szCs w:val="24"/>
          <w:lang w:val="en-GB"/>
        </w:rPr>
        <w:t>are spread</w:t>
      </w:r>
      <w:proofErr w:type="gramEnd"/>
      <w:r w:rsidRPr="00734E74">
        <w:rPr>
          <w:rFonts w:ascii="Times New Roman" w:hAnsi="Times New Roman" w:cs="Times New Roman"/>
          <w:sz w:val="24"/>
          <w:szCs w:val="24"/>
          <w:lang w:val="en-GB"/>
        </w:rPr>
        <w:t xml:space="preserve"> via interactions among victims and offenders, family, peers, and society. Generally, victims and offenders may hold the view that crime or violence is appropriate in some circumstances (</w:t>
      </w:r>
      <w:proofErr w:type="spellStart"/>
      <w:r w:rsidRPr="00734E74">
        <w:rPr>
          <w:rFonts w:ascii="Times New Roman" w:hAnsi="Times New Roman" w:cs="Times New Roman"/>
          <w:sz w:val="24"/>
          <w:szCs w:val="24"/>
          <w:lang w:val="en-GB"/>
        </w:rPr>
        <w:t>Zaykowski</w:t>
      </w:r>
      <w:proofErr w:type="spellEnd"/>
      <w:r w:rsidRPr="00734E74">
        <w:rPr>
          <w:rFonts w:ascii="Times New Roman" w:hAnsi="Times New Roman" w:cs="Times New Roman"/>
          <w:sz w:val="24"/>
          <w:szCs w:val="24"/>
          <w:lang w:val="en-GB"/>
        </w:rPr>
        <w:t xml:space="preserve"> and Campagna, 2014). The authors also examine victimisation from the perspective of control theories, where the propensity to crime </w:t>
      </w:r>
      <w:proofErr w:type="gramStart"/>
      <w:r w:rsidRPr="00734E74">
        <w:rPr>
          <w:rFonts w:ascii="Times New Roman" w:hAnsi="Times New Roman" w:cs="Times New Roman"/>
          <w:sz w:val="24"/>
          <w:szCs w:val="24"/>
          <w:lang w:val="en-GB"/>
        </w:rPr>
        <w:t>is seen</w:t>
      </w:r>
      <w:proofErr w:type="gramEnd"/>
      <w:r w:rsidRPr="00734E74">
        <w:rPr>
          <w:rFonts w:ascii="Times New Roman" w:hAnsi="Times New Roman" w:cs="Times New Roman"/>
          <w:sz w:val="24"/>
          <w:szCs w:val="24"/>
          <w:lang w:val="en-GB"/>
        </w:rPr>
        <w:t xml:space="preserve"> as a product of an individual's conformity to societal norms. How individuals </w:t>
      </w:r>
      <w:proofErr w:type="gramStart"/>
      <w:r w:rsidRPr="00734E74">
        <w:rPr>
          <w:rFonts w:ascii="Times New Roman" w:hAnsi="Times New Roman" w:cs="Times New Roman"/>
          <w:sz w:val="24"/>
          <w:szCs w:val="24"/>
          <w:lang w:val="en-GB"/>
        </w:rPr>
        <w:t>are raised</w:t>
      </w:r>
      <w:proofErr w:type="gramEnd"/>
      <w:r w:rsidRPr="00734E74">
        <w:rPr>
          <w:rFonts w:ascii="Times New Roman" w:hAnsi="Times New Roman" w:cs="Times New Roman"/>
          <w:sz w:val="24"/>
          <w:szCs w:val="24"/>
          <w:lang w:val="en-GB"/>
        </w:rPr>
        <w:t xml:space="preserve"> determines self-control levels; thus, individuals with low self-control are more likely to be victimised through the mediating role of engaging in risky behaviours.</w:t>
      </w:r>
    </w:p>
    <w:p w:rsidR="00D73FEF" w:rsidRPr="00734E74" w:rsidRDefault="00D73FEF" w:rsidP="00D73FEF">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Conclusion</w:t>
      </w:r>
    </w:p>
    <w:p w:rsidR="00D73FEF" w:rsidRPr="00734E74" w:rsidRDefault="00D73FEF" w:rsidP="00D73FEF">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There has been a rising trend of youth gangs in the recent past, leading to increased criminal activities like knife and gun crimes. The proliferation of youth gangs </w:t>
      </w:r>
      <w:proofErr w:type="gramStart"/>
      <w:r w:rsidRPr="00734E74">
        <w:rPr>
          <w:rFonts w:ascii="Times New Roman" w:hAnsi="Times New Roman" w:cs="Times New Roman"/>
          <w:sz w:val="24"/>
          <w:szCs w:val="24"/>
          <w:lang w:val="en-GB"/>
        </w:rPr>
        <w:t>has been attributed</w:t>
      </w:r>
      <w:proofErr w:type="gramEnd"/>
      <w:r w:rsidRPr="00734E74">
        <w:rPr>
          <w:rFonts w:ascii="Times New Roman" w:hAnsi="Times New Roman" w:cs="Times New Roman"/>
          <w:sz w:val="24"/>
          <w:szCs w:val="24"/>
          <w:lang w:val="en-GB"/>
        </w:rPr>
        <w:t xml:space="preserve"> to push and pull factors that elevate an individual's risk of gang membership. These factors fall into individuals, families, peers, schooling, and community domains. Some aspects, like poverty and neighbourhood characteristics, elevate gang membership vulnerability. Several theories </w:t>
      </w:r>
      <w:proofErr w:type="gramStart"/>
      <w:r w:rsidRPr="00734E74">
        <w:rPr>
          <w:rFonts w:ascii="Times New Roman" w:hAnsi="Times New Roman" w:cs="Times New Roman"/>
          <w:sz w:val="24"/>
          <w:szCs w:val="24"/>
          <w:lang w:val="en-GB"/>
        </w:rPr>
        <w:t>have been put</w:t>
      </w:r>
      <w:proofErr w:type="gramEnd"/>
      <w:r w:rsidRPr="00734E74">
        <w:rPr>
          <w:rFonts w:ascii="Times New Roman" w:hAnsi="Times New Roman" w:cs="Times New Roman"/>
          <w:sz w:val="24"/>
          <w:szCs w:val="24"/>
          <w:lang w:val="en-GB"/>
        </w:rPr>
        <w:t xml:space="preserve"> forward to explain the risk of victimisation, including victim precipitation, social learning and cultural, exposure and opportunity, and control theories.</w:t>
      </w:r>
      <w:r w:rsidRPr="00734E74">
        <w:rPr>
          <w:rFonts w:ascii="Times New Roman" w:hAnsi="Times New Roman" w:cs="Times New Roman"/>
          <w:sz w:val="24"/>
          <w:szCs w:val="24"/>
          <w:lang w:val="en-GB"/>
        </w:rPr>
        <w:br w:type="page"/>
      </w:r>
    </w:p>
    <w:p w:rsidR="00D73FEF" w:rsidRPr="00734E74" w:rsidRDefault="00D73FEF" w:rsidP="00D73FEF">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lastRenderedPageBreak/>
        <w:t>References</w:t>
      </w:r>
    </w:p>
    <w:p w:rsidR="00D73FEF" w:rsidRPr="00734E74" w:rsidRDefault="00D73FEF" w:rsidP="00D73FEF">
      <w:pPr>
        <w:spacing w:after="0" w:line="480" w:lineRule="auto"/>
        <w:ind w:left="720" w:hanging="720"/>
        <w:rPr>
          <w:rFonts w:ascii="Times New Roman" w:hAnsi="Times New Roman" w:cs="Times New Roman"/>
          <w:sz w:val="24"/>
          <w:szCs w:val="24"/>
          <w:lang w:val="en-GB"/>
        </w:rPr>
      </w:pPr>
      <w:proofErr w:type="spellStart"/>
      <w:r w:rsidRPr="00734E74">
        <w:rPr>
          <w:rFonts w:ascii="Times New Roman" w:hAnsi="Times New Roman" w:cs="Times New Roman"/>
          <w:sz w:val="24"/>
          <w:szCs w:val="24"/>
          <w:lang w:val="en-GB"/>
        </w:rPr>
        <w:t>Auyong</w:t>
      </w:r>
      <w:proofErr w:type="spellEnd"/>
      <w:r w:rsidRPr="00734E74">
        <w:rPr>
          <w:rFonts w:ascii="Times New Roman" w:hAnsi="Times New Roman" w:cs="Times New Roman"/>
          <w:sz w:val="24"/>
          <w:szCs w:val="24"/>
          <w:lang w:val="en-GB"/>
        </w:rPr>
        <w:t xml:space="preserve">, Z., Smith, S., and Ferguson, C., 2018. Girls in gangs: exploring risk in a British youth context. </w:t>
      </w:r>
      <w:r w:rsidRPr="00734E74">
        <w:rPr>
          <w:rFonts w:ascii="Times New Roman" w:hAnsi="Times New Roman" w:cs="Times New Roman"/>
          <w:i/>
          <w:iCs/>
          <w:sz w:val="24"/>
          <w:szCs w:val="24"/>
          <w:lang w:val="en-GB"/>
        </w:rPr>
        <w:t>Crime &amp; Delinquency</w:t>
      </w:r>
      <w:r w:rsidRPr="00734E74">
        <w:rPr>
          <w:rFonts w:ascii="Times New Roman" w:hAnsi="Times New Roman" w:cs="Times New Roman"/>
          <w:sz w:val="24"/>
          <w:szCs w:val="24"/>
          <w:lang w:val="en-GB"/>
        </w:rPr>
        <w:t xml:space="preserve">, </w:t>
      </w:r>
      <w:r w:rsidRPr="00734E74">
        <w:rPr>
          <w:rFonts w:ascii="Times New Roman" w:hAnsi="Times New Roman" w:cs="Times New Roman"/>
          <w:b/>
          <w:bCs/>
          <w:sz w:val="24"/>
          <w:szCs w:val="24"/>
          <w:lang w:val="en-GB"/>
        </w:rPr>
        <w:t>64</w:t>
      </w:r>
      <w:r w:rsidRPr="00734E74">
        <w:rPr>
          <w:rFonts w:ascii="Times New Roman" w:hAnsi="Times New Roman" w:cs="Times New Roman"/>
          <w:sz w:val="24"/>
          <w:szCs w:val="24"/>
          <w:lang w:val="en-GB"/>
        </w:rPr>
        <w:t>(13), pp.1698-1717.</w:t>
      </w:r>
    </w:p>
    <w:p w:rsidR="00D73FEF" w:rsidRPr="00734E74" w:rsidRDefault="00D73FEF" w:rsidP="00D73FEF">
      <w:pPr>
        <w:spacing w:after="0" w:line="480" w:lineRule="auto"/>
        <w:ind w:left="720" w:hanging="720"/>
        <w:rPr>
          <w:rFonts w:ascii="Times New Roman" w:hAnsi="Times New Roman" w:cs="Times New Roman"/>
          <w:sz w:val="24"/>
          <w:szCs w:val="24"/>
          <w:lang w:val="en-GB"/>
        </w:rPr>
      </w:pPr>
      <w:proofErr w:type="spellStart"/>
      <w:r w:rsidRPr="00734E74">
        <w:rPr>
          <w:rFonts w:ascii="Times New Roman" w:hAnsi="Times New Roman" w:cs="Times New Roman"/>
          <w:sz w:val="24"/>
          <w:szCs w:val="24"/>
          <w:lang w:val="en-GB"/>
        </w:rPr>
        <w:t>Densley</w:t>
      </w:r>
      <w:proofErr w:type="spellEnd"/>
      <w:r w:rsidRPr="00734E74">
        <w:rPr>
          <w:rFonts w:ascii="Times New Roman" w:hAnsi="Times New Roman" w:cs="Times New Roman"/>
          <w:sz w:val="24"/>
          <w:szCs w:val="24"/>
          <w:lang w:val="en-GB"/>
        </w:rPr>
        <w:t xml:space="preserve">, J., </w:t>
      </w:r>
      <w:proofErr w:type="spellStart"/>
      <w:r w:rsidRPr="00734E74">
        <w:rPr>
          <w:rFonts w:ascii="Times New Roman" w:hAnsi="Times New Roman" w:cs="Times New Roman"/>
          <w:sz w:val="24"/>
          <w:szCs w:val="24"/>
          <w:lang w:val="en-GB"/>
        </w:rPr>
        <w:t>Deuchar</w:t>
      </w:r>
      <w:proofErr w:type="spellEnd"/>
      <w:r w:rsidRPr="00734E74">
        <w:rPr>
          <w:rFonts w:ascii="Times New Roman" w:hAnsi="Times New Roman" w:cs="Times New Roman"/>
          <w:sz w:val="24"/>
          <w:szCs w:val="24"/>
          <w:lang w:val="en-GB"/>
        </w:rPr>
        <w:t xml:space="preserve">, R., and Harding, S., 2020. An introduction to gangs and serious youth violence in the United Kingdom. </w:t>
      </w:r>
      <w:r w:rsidRPr="00734E74">
        <w:rPr>
          <w:rFonts w:ascii="Times New Roman" w:hAnsi="Times New Roman" w:cs="Times New Roman"/>
          <w:i/>
          <w:iCs/>
          <w:sz w:val="24"/>
          <w:szCs w:val="24"/>
          <w:lang w:val="en-GB"/>
        </w:rPr>
        <w:t>Youth Justice</w:t>
      </w:r>
      <w:r w:rsidRPr="00734E74">
        <w:rPr>
          <w:rFonts w:ascii="Times New Roman" w:hAnsi="Times New Roman" w:cs="Times New Roman"/>
          <w:sz w:val="24"/>
          <w:szCs w:val="24"/>
          <w:lang w:val="en-GB"/>
        </w:rPr>
        <w:t xml:space="preserve">, </w:t>
      </w:r>
      <w:r w:rsidRPr="00734E74">
        <w:rPr>
          <w:rFonts w:ascii="Times New Roman" w:hAnsi="Times New Roman" w:cs="Times New Roman"/>
          <w:b/>
          <w:bCs/>
          <w:sz w:val="24"/>
          <w:szCs w:val="24"/>
          <w:lang w:val="en-GB"/>
        </w:rPr>
        <w:t>20</w:t>
      </w:r>
      <w:r w:rsidRPr="00734E74">
        <w:rPr>
          <w:rFonts w:ascii="Times New Roman" w:hAnsi="Times New Roman" w:cs="Times New Roman"/>
          <w:sz w:val="24"/>
          <w:szCs w:val="24"/>
          <w:lang w:val="en-GB"/>
        </w:rPr>
        <w:t>(1-2), pp.3-10.</w:t>
      </w:r>
    </w:p>
    <w:p w:rsidR="00D73FEF" w:rsidRPr="00734E74" w:rsidRDefault="00D73FEF" w:rsidP="00D73FEF">
      <w:pPr>
        <w:spacing w:after="0" w:line="480" w:lineRule="auto"/>
        <w:ind w:left="720" w:hanging="720"/>
        <w:rPr>
          <w:rFonts w:ascii="Times New Roman" w:hAnsi="Times New Roman" w:cs="Times New Roman"/>
          <w:sz w:val="24"/>
          <w:szCs w:val="24"/>
          <w:lang w:val="en-GB"/>
        </w:rPr>
      </w:pPr>
      <w:proofErr w:type="spellStart"/>
      <w:r w:rsidRPr="00734E74">
        <w:rPr>
          <w:rFonts w:ascii="Times New Roman" w:hAnsi="Times New Roman" w:cs="Times New Roman"/>
          <w:sz w:val="24"/>
          <w:szCs w:val="24"/>
          <w:lang w:val="en-GB"/>
        </w:rPr>
        <w:t>Hesselink</w:t>
      </w:r>
      <w:proofErr w:type="spellEnd"/>
      <w:r w:rsidRPr="00734E74">
        <w:rPr>
          <w:rFonts w:ascii="Times New Roman" w:hAnsi="Times New Roman" w:cs="Times New Roman"/>
          <w:sz w:val="24"/>
          <w:szCs w:val="24"/>
          <w:lang w:val="en-GB"/>
        </w:rPr>
        <w:t xml:space="preserve">, A. and </w:t>
      </w:r>
      <w:proofErr w:type="spellStart"/>
      <w:r w:rsidRPr="00734E74">
        <w:rPr>
          <w:rFonts w:ascii="Times New Roman" w:hAnsi="Times New Roman" w:cs="Times New Roman"/>
          <w:sz w:val="24"/>
          <w:szCs w:val="24"/>
          <w:lang w:val="en-GB"/>
        </w:rPr>
        <w:t>Bougard</w:t>
      </w:r>
      <w:proofErr w:type="spellEnd"/>
      <w:r w:rsidRPr="00734E74">
        <w:rPr>
          <w:rFonts w:ascii="Times New Roman" w:hAnsi="Times New Roman" w:cs="Times New Roman"/>
          <w:sz w:val="24"/>
          <w:szCs w:val="24"/>
          <w:lang w:val="en-GB"/>
        </w:rPr>
        <w:t>, N., 2020. Risk factors associated with youth gang involvement: an exploratory criminological case study analysis. </w:t>
      </w:r>
      <w:r w:rsidRPr="00734E74">
        <w:rPr>
          <w:rFonts w:ascii="Times New Roman" w:hAnsi="Times New Roman" w:cs="Times New Roman"/>
          <w:i/>
          <w:iCs/>
          <w:sz w:val="24"/>
          <w:szCs w:val="24"/>
          <w:lang w:val="en-GB"/>
        </w:rPr>
        <w:t>Journal of Psychology in Africa</w:t>
      </w:r>
      <w:r w:rsidRPr="00734E74">
        <w:rPr>
          <w:rFonts w:ascii="Times New Roman" w:hAnsi="Times New Roman" w:cs="Times New Roman"/>
          <w:sz w:val="24"/>
          <w:szCs w:val="24"/>
          <w:lang w:val="en-GB"/>
        </w:rPr>
        <w:t xml:space="preserve">, </w:t>
      </w:r>
      <w:r w:rsidRPr="00734E74">
        <w:rPr>
          <w:rFonts w:ascii="Times New Roman" w:hAnsi="Times New Roman" w:cs="Times New Roman"/>
          <w:b/>
          <w:bCs/>
          <w:sz w:val="24"/>
          <w:szCs w:val="24"/>
          <w:lang w:val="en-GB"/>
        </w:rPr>
        <w:t>30</w:t>
      </w:r>
      <w:r w:rsidRPr="00734E74">
        <w:rPr>
          <w:rFonts w:ascii="Times New Roman" w:hAnsi="Times New Roman" w:cs="Times New Roman"/>
          <w:sz w:val="24"/>
          <w:szCs w:val="24"/>
          <w:lang w:val="en-GB"/>
        </w:rPr>
        <w:t>(5), pp.459-465.</w:t>
      </w:r>
    </w:p>
    <w:p w:rsidR="00D73FEF" w:rsidRPr="00734E74" w:rsidRDefault="00D73FEF" w:rsidP="00D73FEF">
      <w:pPr>
        <w:spacing w:after="0" w:line="480" w:lineRule="auto"/>
        <w:ind w:left="720" w:hanging="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Higginson, A., </w:t>
      </w:r>
      <w:proofErr w:type="spellStart"/>
      <w:r w:rsidRPr="00734E74">
        <w:rPr>
          <w:rFonts w:ascii="Times New Roman" w:hAnsi="Times New Roman" w:cs="Times New Roman"/>
          <w:sz w:val="24"/>
          <w:szCs w:val="24"/>
          <w:lang w:val="en-GB"/>
        </w:rPr>
        <w:t>Benier</w:t>
      </w:r>
      <w:proofErr w:type="spellEnd"/>
      <w:r w:rsidRPr="00734E74">
        <w:rPr>
          <w:rFonts w:ascii="Times New Roman" w:hAnsi="Times New Roman" w:cs="Times New Roman"/>
          <w:sz w:val="24"/>
          <w:szCs w:val="24"/>
          <w:lang w:val="en-GB"/>
        </w:rPr>
        <w:t xml:space="preserve">, K., </w:t>
      </w:r>
      <w:proofErr w:type="spellStart"/>
      <w:r w:rsidRPr="00734E74">
        <w:rPr>
          <w:rFonts w:ascii="Times New Roman" w:hAnsi="Times New Roman" w:cs="Times New Roman"/>
          <w:sz w:val="24"/>
          <w:szCs w:val="24"/>
          <w:lang w:val="en-GB"/>
        </w:rPr>
        <w:t>Shenderovich</w:t>
      </w:r>
      <w:proofErr w:type="spellEnd"/>
      <w:r w:rsidRPr="00734E74">
        <w:rPr>
          <w:rFonts w:ascii="Times New Roman" w:hAnsi="Times New Roman" w:cs="Times New Roman"/>
          <w:sz w:val="24"/>
          <w:szCs w:val="24"/>
          <w:lang w:val="en-GB"/>
        </w:rPr>
        <w:t xml:space="preserve">, Y., Bedford, L., Mazerolle, L., and Murray, J., 2018. Factors associated with youth gang membership in low‐ and middle‐income countries: a systematic review. </w:t>
      </w:r>
      <w:r w:rsidRPr="00734E74">
        <w:rPr>
          <w:rFonts w:ascii="Times New Roman" w:hAnsi="Times New Roman" w:cs="Times New Roman"/>
          <w:i/>
          <w:iCs/>
          <w:sz w:val="24"/>
          <w:szCs w:val="24"/>
          <w:lang w:val="en-GB"/>
        </w:rPr>
        <w:t>Campbell Systematic Reviews</w:t>
      </w:r>
      <w:r w:rsidRPr="00734E74">
        <w:rPr>
          <w:rFonts w:ascii="Times New Roman" w:hAnsi="Times New Roman" w:cs="Times New Roman"/>
          <w:sz w:val="24"/>
          <w:szCs w:val="24"/>
          <w:lang w:val="en-GB"/>
        </w:rPr>
        <w:t xml:space="preserve">, </w:t>
      </w:r>
      <w:r w:rsidRPr="00734E74">
        <w:rPr>
          <w:rFonts w:ascii="Times New Roman" w:hAnsi="Times New Roman" w:cs="Times New Roman"/>
          <w:b/>
          <w:bCs/>
          <w:sz w:val="24"/>
          <w:szCs w:val="24"/>
          <w:lang w:val="en-GB"/>
        </w:rPr>
        <w:t>14</w:t>
      </w:r>
      <w:r w:rsidRPr="00734E74">
        <w:rPr>
          <w:rFonts w:ascii="Times New Roman" w:hAnsi="Times New Roman" w:cs="Times New Roman"/>
          <w:sz w:val="24"/>
          <w:szCs w:val="24"/>
          <w:lang w:val="en-GB"/>
        </w:rPr>
        <w:t>(1), pp.1-128.</w:t>
      </w:r>
    </w:p>
    <w:p w:rsidR="00D73FEF" w:rsidRPr="00734E74" w:rsidRDefault="00D73FEF" w:rsidP="00D73FEF">
      <w:pPr>
        <w:spacing w:after="0" w:line="480" w:lineRule="auto"/>
        <w:ind w:left="720" w:hanging="720"/>
        <w:rPr>
          <w:rFonts w:ascii="Times New Roman" w:hAnsi="Times New Roman" w:cs="Times New Roman"/>
          <w:sz w:val="24"/>
          <w:szCs w:val="24"/>
          <w:lang w:val="en-GB"/>
        </w:rPr>
      </w:pPr>
      <w:proofErr w:type="spellStart"/>
      <w:r w:rsidRPr="00734E74">
        <w:rPr>
          <w:rFonts w:ascii="Times New Roman" w:hAnsi="Times New Roman" w:cs="Times New Roman"/>
          <w:sz w:val="24"/>
          <w:szCs w:val="24"/>
          <w:lang w:val="en-GB"/>
        </w:rPr>
        <w:t>Zaykowski</w:t>
      </w:r>
      <w:proofErr w:type="spellEnd"/>
      <w:r w:rsidRPr="00734E74">
        <w:rPr>
          <w:rFonts w:ascii="Times New Roman" w:hAnsi="Times New Roman" w:cs="Times New Roman"/>
          <w:sz w:val="24"/>
          <w:szCs w:val="24"/>
          <w:lang w:val="en-GB"/>
        </w:rPr>
        <w:t>, H. and Campagna, L., 2014. Teaching theories of victimology. </w:t>
      </w:r>
      <w:r w:rsidRPr="00734E74">
        <w:rPr>
          <w:rFonts w:ascii="Times New Roman" w:hAnsi="Times New Roman" w:cs="Times New Roman"/>
          <w:i/>
          <w:iCs/>
          <w:sz w:val="24"/>
          <w:szCs w:val="24"/>
          <w:lang w:val="en-GB"/>
        </w:rPr>
        <w:t>Journal of Criminal Justice Education</w:t>
      </w:r>
      <w:r w:rsidRPr="00734E74">
        <w:rPr>
          <w:rFonts w:ascii="Times New Roman" w:hAnsi="Times New Roman" w:cs="Times New Roman"/>
          <w:sz w:val="24"/>
          <w:szCs w:val="24"/>
          <w:lang w:val="en-GB"/>
        </w:rPr>
        <w:t xml:space="preserve">, </w:t>
      </w:r>
      <w:r w:rsidRPr="00734E74">
        <w:rPr>
          <w:rFonts w:ascii="Times New Roman" w:hAnsi="Times New Roman" w:cs="Times New Roman"/>
          <w:b/>
          <w:bCs/>
          <w:sz w:val="24"/>
          <w:szCs w:val="24"/>
          <w:lang w:val="en-GB"/>
        </w:rPr>
        <w:t>25</w:t>
      </w:r>
      <w:r w:rsidRPr="00734E74">
        <w:rPr>
          <w:rFonts w:ascii="Times New Roman" w:hAnsi="Times New Roman" w:cs="Times New Roman"/>
          <w:sz w:val="24"/>
          <w:szCs w:val="24"/>
          <w:lang w:val="en-GB"/>
        </w:rPr>
        <w:t>(4), pp.452-467.</w:t>
      </w:r>
    </w:p>
    <w:p w:rsidR="00734E74" w:rsidRPr="00734E74" w:rsidRDefault="00734E74" w:rsidP="00D73FEF">
      <w:pPr>
        <w:spacing w:after="0" w:line="480" w:lineRule="auto"/>
        <w:ind w:left="720" w:hanging="720"/>
        <w:rPr>
          <w:rFonts w:ascii="Times New Roman" w:hAnsi="Times New Roman" w:cs="Times New Roman"/>
          <w:sz w:val="24"/>
          <w:szCs w:val="24"/>
          <w:lang w:val="en-GB"/>
        </w:rPr>
      </w:pPr>
    </w:p>
    <w:p w:rsidR="00734E74" w:rsidRPr="00734E74" w:rsidRDefault="00734E74">
      <w:pPr>
        <w:rPr>
          <w:rFonts w:ascii="Times New Roman" w:hAnsi="Times New Roman" w:cs="Times New Roman"/>
          <w:sz w:val="24"/>
          <w:szCs w:val="24"/>
          <w:lang w:val="en-GB"/>
        </w:rPr>
      </w:pPr>
      <w:r w:rsidRPr="00734E74">
        <w:rPr>
          <w:rFonts w:ascii="Times New Roman" w:hAnsi="Times New Roman" w:cs="Times New Roman"/>
          <w:sz w:val="24"/>
          <w:szCs w:val="24"/>
          <w:lang w:val="en-GB"/>
        </w:rPr>
        <w:br w:type="page"/>
      </w:r>
    </w:p>
    <w:p w:rsidR="00734E74" w:rsidRPr="00734E74" w:rsidRDefault="00734E74" w:rsidP="00734E74">
      <w:pPr>
        <w:spacing w:after="0" w:line="480" w:lineRule="auto"/>
        <w:jc w:val="center"/>
        <w:rPr>
          <w:rFonts w:ascii="Times New Roman" w:hAnsi="Times New Roman" w:cs="Times New Roman"/>
          <w:b/>
          <w:sz w:val="24"/>
          <w:szCs w:val="24"/>
          <w:lang w:val="en-GB"/>
        </w:rPr>
      </w:pPr>
      <w:r w:rsidRPr="00734E74">
        <w:rPr>
          <w:rFonts w:ascii="Times New Roman" w:hAnsi="Times New Roman" w:cs="Times New Roman"/>
          <w:b/>
          <w:sz w:val="24"/>
          <w:szCs w:val="24"/>
          <w:lang w:val="en-GB"/>
        </w:rPr>
        <w:lastRenderedPageBreak/>
        <w:t>Ethics in Policing</w:t>
      </w:r>
    </w:p>
    <w:p w:rsidR="00734E74" w:rsidRPr="00734E74" w:rsidRDefault="00734E74" w:rsidP="00734E74">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Introduction</w:t>
      </w:r>
    </w:p>
    <w:p w:rsidR="00734E74" w:rsidRPr="00734E74" w:rsidRDefault="00734E74" w:rsidP="00734E74">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Several ethical issues and dilemmas are bound to arise in policing. These issues are even higher in diverse communities where the publics differ by ethical standards, norms, and values, leading to dissimilar expectations that may hinder effective service delivery. </w:t>
      </w:r>
      <w:proofErr w:type="gramStart"/>
      <w:r w:rsidRPr="00734E74">
        <w:rPr>
          <w:rFonts w:ascii="Times New Roman" w:hAnsi="Times New Roman" w:cs="Times New Roman"/>
          <w:sz w:val="24"/>
          <w:szCs w:val="24"/>
          <w:lang w:val="en-GB"/>
        </w:rPr>
        <w:t>These</w:t>
      </w:r>
      <w:proofErr w:type="gramEnd"/>
      <w:r w:rsidRPr="00734E74">
        <w:rPr>
          <w:rFonts w:ascii="Times New Roman" w:hAnsi="Times New Roman" w:cs="Times New Roman"/>
          <w:sz w:val="24"/>
          <w:szCs w:val="24"/>
          <w:lang w:val="en-GB"/>
        </w:rPr>
        <w:t xml:space="preserve"> diverse expectations that may conflict sometimes underscore the fact that achieving good police-civilian relations in multicultural communities is not easy (Cox, Massey, </w:t>
      </w:r>
      <w:proofErr w:type="spellStart"/>
      <w:r w:rsidRPr="00734E74">
        <w:rPr>
          <w:rFonts w:ascii="Times New Roman" w:hAnsi="Times New Roman" w:cs="Times New Roman"/>
          <w:sz w:val="24"/>
          <w:szCs w:val="24"/>
          <w:lang w:val="en-GB"/>
        </w:rPr>
        <w:t>Koski</w:t>
      </w:r>
      <w:proofErr w:type="spellEnd"/>
      <w:r w:rsidRPr="00734E74">
        <w:rPr>
          <w:rFonts w:ascii="Times New Roman" w:hAnsi="Times New Roman" w:cs="Times New Roman"/>
          <w:sz w:val="24"/>
          <w:szCs w:val="24"/>
          <w:lang w:val="en-GB"/>
        </w:rPr>
        <w:t xml:space="preserve">, and Fitch, 2019). Given the diversity in ethics, norms, and values, police must rely on partnerships with communities and a positive public image to improve effectiveness in service delivery. However, it is </w:t>
      </w:r>
      <w:proofErr w:type="gramStart"/>
      <w:r w:rsidRPr="00734E74">
        <w:rPr>
          <w:rFonts w:ascii="Times New Roman" w:hAnsi="Times New Roman" w:cs="Times New Roman"/>
          <w:sz w:val="24"/>
          <w:szCs w:val="24"/>
          <w:lang w:val="en-GB"/>
        </w:rPr>
        <w:t>not uncommon</w:t>
      </w:r>
      <w:proofErr w:type="gramEnd"/>
      <w:r w:rsidRPr="00734E74">
        <w:rPr>
          <w:rFonts w:ascii="Times New Roman" w:hAnsi="Times New Roman" w:cs="Times New Roman"/>
          <w:sz w:val="24"/>
          <w:szCs w:val="24"/>
          <w:lang w:val="en-GB"/>
        </w:rPr>
        <w:t xml:space="preserve"> that where policing methods and procedures fail to meet the community expectations, police legitimacy is undermined, resulting in the loss of trust and confidence. This paper examines the impact of diversity in values, norms, and ethics on policing and the significance of effective communication when working with diverse communities.</w:t>
      </w:r>
    </w:p>
    <w:p w:rsidR="00734E74" w:rsidRPr="00734E74" w:rsidRDefault="00734E74" w:rsidP="00734E74">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Policing in Diverse Communities</w:t>
      </w:r>
    </w:p>
    <w:p w:rsidR="00734E74" w:rsidRPr="00734E74" w:rsidRDefault="00734E74" w:rsidP="00734E74">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One of the most notable outcomes of police-civilian encounters is conflicts due to the lack of homogeneity in norms, values, and ethical standards. The police as public servants do not deal with a single homogeneous group but several publics that </w:t>
      </w:r>
      <w:proofErr w:type="gramStart"/>
      <w:r w:rsidRPr="00734E74">
        <w:rPr>
          <w:rFonts w:ascii="Times New Roman" w:hAnsi="Times New Roman" w:cs="Times New Roman"/>
          <w:sz w:val="24"/>
          <w:szCs w:val="24"/>
          <w:lang w:val="en-GB"/>
        </w:rPr>
        <w:t>can be identified</w:t>
      </w:r>
      <w:proofErr w:type="gramEnd"/>
      <w:r w:rsidRPr="00734E74">
        <w:rPr>
          <w:rFonts w:ascii="Times New Roman" w:hAnsi="Times New Roman" w:cs="Times New Roman"/>
          <w:sz w:val="24"/>
          <w:szCs w:val="24"/>
          <w:lang w:val="en-GB"/>
        </w:rPr>
        <w:t xml:space="preserve"> by race, gender, religion, geography, and the degree of abiding by the law. Given this diversity, expectations differ substantially, resulting in conflicts during police encounters. According to Cox, Massey, </w:t>
      </w:r>
      <w:proofErr w:type="spellStart"/>
      <w:r w:rsidRPr="00734E74">
        <w:rPr>
          <w:rFonts w:ascii="Times New Roman" w:hAnsi="Times New Roman" w:cs="Times New Roman"/>
          <w:sz w:val="24"/>
          <w:szCs w:val="24"/>
          <w:lang w:val="en-GB"/>
        </w:rPr>
        <w:t>Koski</w:t>
      </w:r>
      <w:proofErr w:type="spellEnd"/>
      <w:r w:rsidRPr="00734E74">
        <w:rPr>
          <w:rFonts w:ascii="Times New Roman" w:hAnsi="Times New Roman" w:cs="Times New Roman"/>
          <w:sz w:val="24"/>
          <w:szCs w:val="24"/>
          <w:lang w:val="en-GB"/>
        </w:rPr>
        <w:t>, and Fitch (2019), in big multi-ethnic democracies, values like democratic decision-making, individual liberties, and tolerance to diversity underpin conflicts between police and citizens, which can be healthy within some limits. However, the conflicts become unhealthy when sustained against a particular subgroup.</w:t>
      </w:r>
    </w:p>
    <w:p w:rsidR="00734E74" w:rsidRPr="00734E74" w:rsidRDefault="00734E74" w:rsidP="00734E74">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lastRenderedPageBreak/>
        <w:t xml:space="preserve">The complex community expectations shape implicit and explicit bias law enforcement officers have toward some population groups, which affects policing methods and procedures. Misunderstanding and prejudice in society and law enforcement adversely affect police-public relations; thus, when citizens are reluctant to call for help or provide pertinent information that can avert crime, it creates barriers that hinder effective policing (Cox, Massey, </w:t>
      </w:r>
      <w:proofErr w:type="spellStart"/>
      <w:r w:rsidRPr="00734E74">
        <w:rPr>
          <w:rFonts w:ascii="Times New Roman" w:hAnsi="Times New Roman" w:cs="Times New Roman"/>
          <w:sz w:val="24"/>
          <w:szCs w:val="24"/>
          <w:lang w:val="en-GB"/>
        </w:rPr>
        <w:t>Koski</w:t>
      </w:r>
      <w:proofErr w:type="spellEnd"/>
      <w:r w:rsidRPr="00734E74">
        <w:rPr>
          <w:rFonts w:ascii="Times New Roman" w:hAnsi="Times New Roman" w:cs="Times New Roman"/>
          <w:sz w:val="24"/>
          <w:szCs w:val="24"/>
          <w:lang w:val="en-GB"/>
        </w:rPr>
        <w:t>, and Fitch, 2019). For instance, even though profiling is a legitimate tool that can deter crime, the failure to build profiles based on intelligence or lack of detailed information can result in discriminatory categorisation that disenfranchises particular communities (EU Agency for Fundamental Rights, 2010). According to Miles-Johnson (2019), there is a greater need to recruit police officers that reflect the diverse demographics they serve as the initial step to changing police relations with a multicultural society. Diversity in the police force integrates lived experience to the police force, increasing the possibility of collaborative policing.</w:t>
      </w:r>
    </w:p>
    <w:p w:rsidR="00734E74" w:rsidRPr="00734E74" w:rsidRDefault="00734E74" w:rsidP="00734E74">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Community values and norms are associated with specific expectations even the police must conform to, failure to which interactions that hinder effective policing ensue. Some policing procedures, such as profiling, use of force, and high police presence in some neighbourhoods, may be considered offensive to human dignity because they ignore the view that individuals are different, which impinges on the relationship between officers and communities, thereby creating mistrust (EU Agency for Fundamental Rights, 2010). The resulting resentment </w:t>
      </w:r>
      <w:proofErr w:type="gramStart"/>
      <w:r w:rsidRPr="00734E74">
        <w:rPr>
          <w:rFonts w:ascii="Times New Roman" w:hAnsi="Times New Roman" w:cs="Times New Roman"/>
          <w:sz w:val="24"/>
          <w:szCs w:val="24"/>
          <w:lang w:val="en-GB"/>
        </w:rPr>
        <w:t>has been cited</w:t>
      </w:r>
      <w:proofErr w:type="gramEnd"/>
      <w:r w:rsidRPr="00734E74">
        <w:rPr>
          <w:rFonts w:ascii="Times New Roman" w:hAnsi="Times New Roman" w:cs="Times New Roman"/>
          <w:sz w:val="24"/>
          <w:szCs w:val="24"/>
          <w:lang w:val="en-GB"/>
        </w:rPr>
        <w:t xml:space="preserve"> as the leading reason why several policing methods fail or prove counterproductive. According to Cox, Massey, </w:t>
      </w:r>
      <w:proofErr w:type="spellStart"/>
      <w:r w:rsidRPr="00734E74">
        <w:rPr>
          <w:rFonts w:ascii="Times New Roman" w:hAnsi="Times New Roman" w:cs="Times New Roman"/>
          <w:sz w:val="24"/>
          <w:szCs w:val="24"/>
          <w:lang w:val="en-GB"/>
        </w:rPr>
        <w:t>Koski</w:t>
      </w:r>
      <w:proofErr w:type="spellEnd"/>
      <w:r w:rsidRPr="00734E74">
        <w:rPr>
          <w:rFonts w:ascii="Times New Roman" w:hAnsi="Times New Roman" w:cs="Times New Roman"/>
          <w:sz w:val="24"/>
          <w:szCs w:val="24"/>
          <w:lang w:val="en-GB"/>
        </w:rPr>
        <w:t xml:space="preserve">, and Fitch (2019), negative attitudes toward law enforcement officers affect arrest outcomes. Consequently, police conduct or methods perceived as offensive due to the failure to meet community expectations may not only </w:t>
      </w:r>
      <w:r w:rsidRPr="00734E74">
        <w:rPr>
          <w:rFonts w:ascii="Times New Roman" w:hAnsi="Times New Roman" w:cs="Times New Roman"/>
          <w:sz w:val="24"/>
          <w:szCs w:val="24"/>
          <w:lang w:val="en-GB"/>
        </w:rPr>
        <w:lastRenderedPageBreak/>
        <w:t>be counterproductive but also endanger the safety of officers during encounters. However, some of these negative encounters shape the shift in focus to more sustainable solutions.</w:t>
      </w:r>
    </w:p>
    <w:p w:rsidR="00734E74" w:rsidRPr="00734E74" w:rsidRDefault="00734E74" w:rsidP="00734E74">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Diversity in values, norms, and ethical standards has also been instrumental in changing communities' policing methods. Different population groups have dissimilar social problems and security issues, forcing the police to abandon the narrow emphasis on law enforcement and take up broader roles in addressing social issues (Cox, Massey, </w:t>
      </w:r>
      <w:proofErr w:type="spellStart"/>
      <w:r w:rsidRPr="00734E74">
        <w:rPr>
          <w:rFonts w:ascii="Times New Roman" w:hAnsi="Times New Roman" w:cs="Times New Roman"/>
          <w:sz w:val="24"/>
          <w:szCs w:val="24"/>
          <w:lang w:val="en-GB"/>
        </w:rPr>
        <w:t>Koski</w:t>
      </w:r>
      <w:proofErr w:type="spellEnd"/>
      <w:r w:rsidRPr="00734E74">
        <w:rPr>
          <w:rFonts w:ascii="Times New Roman" w:hAnsi="Times New Roman" w:cs="Times New Roman"/>
          <w:sz w:val="24"/>
          <w:szCs w:val="24"/>
          <w:lang w:val="en-GB"/>
        </w:rPr>
        <w:t xml:space="preserve">, and Fitch, 2019). This view implies that community expectations alter how police respond to behaviours that </w:t>
      </w:r>
      <w:proofErr w:type="gramStart"/>
      <w:r w:rsidRPr="00734E74">
        <w:rPr>
          <w:rFonts w:ascii="Times New Roman" w:hAnsi="Times New Roman" w:cs="Times New Roman"/>
          <w:sz w:val="24"/>
          <w:szCs w:val="24"/>
          <w:lang w:val="en-GB"/>
        </w:rPr>
        <w:t>were traditionally seen</w:t>
      </w:r>
      <w:proofErr w:type="gramEnd"/>
      <w:r w:rsidRPr="00734E74">
        <w:rPr>
          <w:rFonts w:ascii="Times New Roman" w:hAnsi="Times New Roman" w:cs="Times New Roman"/>
          <w:sz w:val="24"/>
          <w:szCs w:val="24"/>
          <w:lang w:val="en-GB"/>
        </w:rPr>
        <w:t xml:space="preserve"> as offensive. For instance, through community policing, police actions must reflect community values that incorporate the principles of natural justice (Coon, 2016). Taking up roles in addressing broader social problems increases police legitimacy; however, the structural scepticism toward police, particularly from minority communities, limit gains in policing.</w:t>
      </w:r>
    </w:p>
    <w:p w:rsidR="00734E74" w:rsidRPr="00734E74" w:rsidRDefault="00734E74" w:rsidP="00734E74">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Significance of Effective Communication</w:t>
      </w:r>
    </w:p>
    <w:p w:rsidR="00734E74" w:rsidRPr="00734E74" w:rsidRDefault="00734E74" w:rsidP="00734E74">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Effective communication is critical for police working with diverse communities, especially in public relations. Policies supporting policing in diverse communities are more likely to be successful when the target people have sufficient information and constant communication to provide the required feedback (Cox, Massey, </w:t>
      </w:r>
      <w:proofErr w:type="spellStart"/>
      <w:r w:rsidRPr="00734E74">
        <w:rPr>
          <w:rFonts w:ascii="Times New Roman" w:hAnsi="Times New Roman" w:cs="Times New Roman"/>
          <w:sz w:val="24"/>
          <w:szCs w:val="24"/>
          <w:lang w:val="en-GB"/>
        </w:rPr>
        <w:t>Koski</w:t>
      </w:r>
      <w:proofErr w:type="spellEnd"/>
      <w:r w:rsidRPr="00734E74">
        <w:rPr>
          <w:rFonts w:ascii="Times New Roman" w:hAnsi="Times New Roman" w:cs="Times New Roman"/>
          <w:sz w:val="24"/>
          <w:szCs w:val="24"/>
          <w:lang w:val="en-GB"/>
        </w:rPr>
        <w:t>, and Fitch, 2019). Feedback is critical to gauge policy effectiveness. Miles-Johnson (2019) account that officers must be equipped with intercultural communication skills to form relationships with diverse people and engage more professionally in policing. Therefore, effective communication minimises unnecessary tension and misconduct that can jeopardise policing practices.</w:t>
      </w:r>
    </w:p>
    <w:p w:rsidR="00734E74" w:rsidRPr="00734E74" w:rsidRDefault="00734E74" w:rsidP="00734E74">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 xml:space="preserve">Communication can also be crucial in shaping the outcome of police encounters and general policing practices, given the influence on people’s perceptions. Officers with </w:t>
      </w:r>
      <w:r w:rsidRPr="00734E74">
        <w:rPr>
          <w:rFonts w:ascii="Times New Roman" w:hAnsi="Times New Roman" w:cs="Times New Roman"/>
          <w:sz w:val="24"/>
          <w:szCs w:val="24"/>
          <w:lang w:val="en-GB"/>
        </w:rPr>
        <w:lastRenderedPageBreak/>
        <w:t xml:space="preserve">intercultural communication skills are more likely to be successive in encounters because of knowledge in language and mannerisms (Coon, 2016). Besides, Cox, Massey, </w:t>
      </w:r>
      <w:proofErr w:type="spellStart"/>
      <w:r w:rsidRPr="00734E74">
        <w:rPr>
          <w:rFonts w:ascii="Times New Roman" w:hAnsi="Times New Roman" w:cs="Times New Roman"/>
          <w:sz w:val="24"/>
          <w:szCs w:val="24"/>
          <w:lang w:val="en-GB"/>
        </w:rPr>
        <w:t>Koski</w:t>
      </w:r>
      <w:proofErr w:type="spellEnd"/>
      <w:r w:rsidRPr="00734E74">
        <w:rPr>
          <w:rFonts w:ascii="Times New Roman" w:hAnsi="Times New Roman" w:cs="Times New Roman"/>
          <w:sz w:val="24"/>
          <w:szCs w:val="24"/>
          <w:lang w:val="en-GB"/>
        </w:rPr>
        <w:t>, and Fitch (2019) account that some dangerous situations are best defused through communication as opposed to the use of strength. Emphasising communication and analytical skills from the onset of police training helps in reasoning and finding solutions to problems during policing (Miles-Johnson, 2019). As such, effective communication is critical in the de-escalation of conflicts that may occur during police encounters.</w:t>
      </w:r>
    </w:p>
    <w:p w:rsidR="00734E74" w:rsidRPr="00734E74" w:rsidRDefault="00734E74" w:rsidP="00734E74">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t>Conclusion</w:t>
      </w:r>
    </w:p>
    <w:p w:rsidR="00734E74" w:rsidRPr="00734E74" w:rsidRDefault="00734E74" w:rsidP="00734E74">
      <w:pPr>
        <w:spacing w:after="0" w:line="480" w:lineRule="auto"/>
        <w:ind w:firstLine="720"/>
        <w:rPr>
          <w:rFonts w:ascii="Times New Roman" w:hAnsi="Times New Roman" w:cs="Times New Roman"/>
          <w:sz w:val="24"/>
          <w:szCs w:val="24"/>
          <w:lang w:val="en-GB"/>
        </w:rPr>
      </w:pPr>
      <w:r w:rsidRPr="00734E74">
        <w:rPr>
          <w:rFonts w:ascii="Times New Roman" w:hAnsi="Times New Roman" w:cs="Times New Roman"/>
          <w:sz w:val="24"/>
          <w:szCs w:val="24"/>
          <w:lang w:val="en-GB"/>
        </w:rPr>
        <w:t>Diversity in communities is associated with dissimilar values, ethics, and norms that present different expectations to law enforcement agencies. Given that police must seek legitimacy from the public, these expectations impact policing in different ways, including a shift toward solving broader social problems, adopting methods or procedures that may be counterproductive, conflicts during police encounters, and creating barriers that hinder effective policing. In part, effective communication helps in alleviating some unwanted effects of police-civilian interactions in multicultural settings.</w:t>
      </w:r>
      <w:r w:rsidRPr="00734E74">
        <w:rPr>
          <w:rFonts w:ascii="Times New Roman" w:hAnsi="Times New Roman" w:cs="Times New Roman"/>
          <w:sz w:val="24"/>
          <w:szCs w:val="24"/>
          <w:lang w:val="en-GB"/>
        </w:rPr>
        <w:br w:type="page"/>
      </w:r>
    </w:p>
    <w:p w:rsidR="00734E74" w:rsidRPr="00734E74" w:rsidRDefault="00734E74" w:rsidP="00734E74">
      <w:pPr>
        <w:spacing w:after="0" w:line="480" w:lineRule="auto"/>
        <w:jc w:val="center"/>
        <w:rPr>
          <w:rFonts w:ascii="Times New Roman" w:hAnsi="Times New Roman" w:cs="Times New Roman"/>
          <w:sz w:val="24"/>
          <w:szCs w:val="24"/>
          <w:lang w:val="en-GB"/>
        </w:rPr>
      </w:pPr>
      <w:r w:rsidRPr="00734E74">
        <w:rPr>
          <w:rFonts w:ascii="Times New Roman" w:hAnsi="Times New Roman" w:cs="Times New Roman"/>
          <w:sz w:val="24"/>
          <w:szCs w:val="24"/>
          <w:lang w:val="en-GB"/>
        </w:rPr>
        <w:lastRenderedPageBreak/>
        <w:t>References</w:t>
      </w:r>
    </w:p>
    <w:p w:rsidR="00734E74" w:rsidRPr="00734E74" w:rsidRDefault="00734E74" w:rsidP="00734E74">
      <w:pPr>
        <w:spacing w:after="0" w:line="480" w:lineRule="auto"/>
        <w:ind w:left="720" w:hanging="720"/>
        <w:rPr>
          <w:rFonts w:ascii="Times New Roman" w:hAnsi="Times New Roman" w:cs="Times New Roman"/>
          <w:sz w:val="24"/>
          <w:szCs w:val="24"/>
        </w:rPr>
      </w:pPr>
      <w:r w:rsidRPr="00734E74">
        <w:rPr>
          <w:rFonts w:ascii="Times New Roman" w:hAnsi="Times New Roman" w:cs="Times New Roman"/>
          <w:sz w:val="24"/>
          <w:szCs w:val="24"/>
        </w:rPr>
        <w:t>Coon, J., 2016. Police officers’ attitudes toward diversity issues. </w:t>
      </w:r>
      <w:r w:rsidRPr="00734E74">
        <w:rPr>
          <w:rFonts w:ascii="Times New Roman" w:hAnsi="Times New Roman" w:cs="Times New Roman"/>
          <w:i/>
          <w:iCs/>
          <w:sz w:val="24"/>
          <w:szCs w:val="24"/>
        </w:rPr>
        <w:t>International Journal of Police Science &amp; Management</w:t>
      </w:r>
      <w:r w:rsidRPr="00734E74">
        <w:rPr>
          <w:rFonts w:ascii="Times New Roman" w:hAnsi="Times New Roman" w:cs="Times New Roman"/>
          <w:sz w:val="24"/>
          <w:szCs w:val="24"/>
        </w:rPr>
        <w:t xml:space="preserve">, </w:t>
      </w:r>
      <w:r w:rsidRPr="00734E74">
        <w:rPr>
          <w:rFonts w:ascii="Times New Roman" w:hAnsi="Times New Roman" w:cs="Times New Roman"/>
          <w:b/>
          <w:bCs/>
          <w:sz w:val="24"/>
          <w:szCs w:val="24"/>
        </w:rPr>
        <w:t>18</w:t>
      </w:r>
      <w:r w:rsidRPr="00734E74">
        <w:rPr>
          <w:rFonts w:ascii="Times New Roman" w:hAnsi="Times New Roman" w:cs="Times New Roman"/>
          <w:sz w:val="24"/>
          <w:szCs w:val="24"/>
        </w:rPr>
        <w:t>(2), pp.115-125.</w:t>
      </w:r>
    </w:p>
    <w:p w:rsidR="00734E74" w:rsidRPr="00734E74" w:rsidRDefault="00734E74" w:rsidP="00734E74">
      <w:pPr>
        <w:spacing w:after="0" w:line="480" w:lineRule="auto"/>
        <w:ind w:left="720" w:hanging="720"/>
        <w:rPr>
          <w:rFonts w:ascii="Times New Roman" w:hAnsi="Times New Roman" w:cs="Times New Roman"/>
          <w:sz w:val="24"/>
          <w:szCs w:val="24"/>
        </w:rPr>
      </w:pPr>
      <w:r w:rsidRPr="00734E74">
        <w:rPr>
          <w:rFonts w:ascii="Times New Roman" w:hAnsi="Times New Roman" w:cs="Times New Roman"/>
          <w:sz w:val="24"/>
          <w:szCs w:val="24"/>
        </w:rPr>
        <w:t xml:space="preserve">Cox, S., Massey, D., </w:t>
      </w:r>
      <w:proofErr w:type="spellStart"/>
      <w:r w:rsidRPr="00734E74">
        <w:rPr>
          <w:rFonts w:ascii="Times New Roman" w:hAnsi="Times New Roman" w:cs="Times New Roman"/>
          <w:sz w:val="24"/>
          <w:szCs w:val="24"/>
        </w:rPr>
        <w:t>Koski</w:t>
      </w:r>
      <w:proofErr w:type="spellEnd"/>
      <w:r w:rsidRPr="00734E74">
        <w:rPr>
          <w:rFonts w:ascii="Times New Roman" w:hAnsi="Times New Roman" w:cs="Times New Roman"/>
          <w:sz w:val="24"/>
          <w:szCs w:val="24"/>
        </w:rPr>
        <w:t xml:space="preserve">, C., and Fitch, B., 2019. </w:t>
      </w:r>
      <w:r w:rsidRPr="00734E74">
        <w:rPr>
          <w:rFonts w:ascii="Times New Roman" w:hAnsi="Times New Roman" w:cs="Times New Roman"/>
          <w:i/>
          <w:iCs/>
          <w:sz w:val="24"/>
          <w:szCs w:val="24"/>
        </w:rPr>
        <w:t>Introduction to policing</w:t>
      </w:r>
      <w:r w:rsidRPr="00734E74">
        <w:rPr>
          <w:rFonts w:ascii="Times New Roman" w:hAnsi="Times New Roman" w:cs="Times New Roman"/>
          <w:sz w:val="24"/>
          <w:szCs w:val="24"/>
        </w:rPr>
        <w:t xml:space="preserve">. </w:t>
      </w:r>
      <w:proofErr w:type="gramStart"/>
      <w:r w:rsidRPr="00734E74">
        <w:rPr>
          <w:rFonts w:ascii="Times New Roman" w:hAnsi="Times New Roman" w:cs="Times New Roman"/>
          <w:sz w:val="24"/>
          <w:szCs w:val="24"/>
        </w:rPr>
        <w:t>4th</w:t>
      </w:r>
      <w:proofErr w:type="gramEnd"/>
      <w:r w:rsidRPr="00734E74">
        <w:rPr>
          <w:rFonts w:ascii="Times New Roman" w:hAnsi="Times New Roman" w:cs="Times New Roman"/>
          <w:sz w:val="24"/>
          <w:szCs w:val="24"/>
        </w:rPr>
        <w:t xml:space="preserve"> ed. Los Angeles: SAGE Publications.</w:t>
      </w:r>
    </w:p>
    <w:p w:rsidR="00734E74" w:rsidRPr="00734E74" w:rsidRDefault="00734E74" w:rsidP="00734E74">
      <w:pPr>
        <w:spacing w:after="0" w:line="480" w:lineRule="auto"/>
        <w:ind w:left="720" w:hanging="720"/>
        <w:rPr>
          <w:rFonts w:ascii="Times New Roman" w:hAnsi="Times New Roman" w:cs="Times New Roman"/>
          <w:sz w:val="24"/>
          <w:szCs w:val="24"/>
        </w:rPr>
      </w:pPr>
      <w:r w:rsidRPr="00734E74">
        <w:rPr>
          <w:rFonts w:ascii="Times New Roman" w:hAnsi="Times New Roman" w:cs="Times New Roman"/>
          <w:sz w:val="24"/>
          <w:szCs w:val="24"/>
        </w:rPr>
        <w:t>EU Agency for Fundamental Rights, 2010. </w:t>
      </w:r>
      <w:r w:rsidRPr="00734E74">
        <w:rPr>
          <w:rFonts w:ascii="Times New Roman" w:hAnsi="Times New Roman" w:cs="Times New Roman"/>
          <w:i/>
          <w:iCs/>
          <w:sz w:val="24"/>
          <w:szCs w:val="24"/>
        </w:rPr>
        <w:t>Towards more effective policing: understanding and preventing discriminatory ethnic profiling</w:t>
      </w:r>
      <w:r w:rsidRPr="00734E74">
        <w:rPr>
          <w:rFonts w:ascii="Times New Roman" w:hAnsi="Times New Roman" w:cs="Times New Roman"/>
          <w:sz w:val="24"/>
          <w:szCs w:val="24"/>
        </w:rPr>
        <w:t>. Luxembourg: Publications Office of the European Union.</w:t>
      </w:r>
    </w:p>
    <w:p w:rsidR="00734E74" w:rsidRPr="00734E74" w:rsidRDefault="00734E74" w:rsidP="00734E74">
      <w:pPr>
        <w:spacing w:after="0" w:line="480" w:lineRule="auto"/>
        <w:ind w:left="720" w:hanging="720"/>
        <w:rPr>
          <w:rFonts w:ascii="Times New Roman" w:hAnsi="Times New Roman" w:cs="Times New Roman"/>
          <w:sz w:val="24"/>
          <w:szCs w:val="24"/>
          <w:lang w:val="en-GB"/>
        </w:rPr>
      </w:pPr>
      <w:r w:rsidRPr="00734E74">
        <w:rPr>
          <w:rFonts w:ascii="Times New Roman" w:hAnsi="Times New Roman" w:cs="Times New Roman"/>
          <w:sz w:val="24"/>
          <w:szCs w:val="24"/>
        </w:rPr>
        <w:t>Miles-Johnson, T., 2019. Policing diverse people: how occupational attitudes and background characteristics shape police recruits’ perceptions. </w:t>
      </w:r>
      <w:r w:rsidRPr="00734E74">
        <w:rPr>
          <w:rFonts w:ascii="Times New Roman" w:hAnsi="Times New Roman" w:cs="Times New Roman"/>
          <w:i/>
          <w:iCs/>
          <w:sz w:val="24"/>
          <w:szCs w:val="24"/>
        </w:rPr>
        <w:t>SAGE Open</w:t>
      </w:r>
      <w:r w:rsidRPr="00734E74">
        <w:rPr>
          <w:rFonts w:ascii="Times New Roman" w:hAnsi="Times New Roman" w:cs="Times New Roman"/>
          <w:sz w:val="24"/>
          <w:szCs w:val="24"/>
        </w:rPr>
        <w:t xml:space="preserve">, </w:t>
      </w:r>
      <w:r w:rsidRPr="00734E74">
        <w:rPr>
          <w:rFonts w:ascii="Times New Roman" w:hAnsi="Times New Roman" w:cs="Times New Roman"/>
          <w:b/>
          <w:bCs/>
          <w:sz w:val="24"/>
          <w:szCs w:val="24"/>
        </w:rPr>
        <w:t>9</w:t>
      </w:r>
      <w:r w:rsidRPr="00734E74">
        <w:rPr>
          <w:rFonts w:ascii="Times New Roman" w:hAnsi="Times New Roman" w:cs="Times New Roman"/>
          <w:sz w:val="24"/>
          <w:szCs w:val="24"/>
        </w:rPr>
        <w:t>(3).</w:t>
      </w:r>
    </w:p>
    <w:p w:rsidR="00734E74" w:rsidRPr="008A1CAA" w:rsidRDefault="00734E74" w:rsidP="00D73FEF">
      <w:pPr>
        <w:spacing w:after="0" w:line="480" w:lineRule="auto"/>
        <w:ind w:left="720" w:hanging="720"/>
        <w:rPr>
          <w:lang w:val="en-GB"/>
        </w:rPr>
      </w:pPr>
    </w:p>
    <w:p w:rsidR="00D742B9" w:rsidRPr="00410DC9" w:rsidRDefault="00D742B9" w:rsidP="00410DC9">
      <w:pPr>
        <w:spacing w:after="0" w:line="480" w:lineRule="auto"/>
        <w:ind w:left="720" w:hanging="720"/>
        <w:rPr>
          <w:rFonts w:ascii="Times New Roman" w:hAnsi="Times New Roman" w:cs="Times New Roman"/>
          <w:color w:val="222222"/>
          <w:sz w:val="24"/>
          <w:szCs w:val="24"/>
          <w:shd w:val="clear" w:color="auto" w:fill="FFFFFF"/>
        </w:rPr>
      </w:pPr>
    </w:p>
    <w:sectPr w:rsidR="00D742B9" w:rsidRPr="00410DC9" w:rsidSect="006B5D82">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6C7D" w:rsidRDefault="00496C7D" w:rsidP="00D742B9">
      <w:pPr>
        <w:spacing w:after="0" w:line="240" w:lineRule="auto"/>
      </w:pPr>
      <w:r>
        <w:separator/>
      </w:r>
    </w:p>
  </w:endnote>
  <w:endnote w:type="continuationSeparator" w:id="0">
    <w:p w:rsidR="00496C7D" w:rsidRDefault="00496C7D" w:rsidP="00D74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C7D" w:rsidRDefault="00496C7D" w:rsidP="006B5D82">
    <w:pPr>
      <w:pStyle w:val="Footer"/>
      <w:rPr>
        <w:color w:val="000000"/>
        <w:sz w:val="17"/>
      </w:rPr>
    </w:pPr>
    <w:bookmarkStart w:id="3" w:name="TITUS1FooterEvenPages"/>
    <w:r w:rsidRPr="006B5D82">
      <w:rPr>
        <w:color w:val="000000"/>
        <w:sz w:val="17"/>
      </w:rPr>
      <w:t> </w:t>
    </w:r>
  </w:p>
  <w:bookmarkEnd w:id="3"/>
  <w:p w:rsidR="00496C7D" w:rsidRDefault="00496C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C7D" w:rsidRDefault="00496C7D" w:rsidP="006B5D82">
    <w:pPr>
      <w:pStyle w:val="Footer"/>
      <w:rPr>
        <w:color w:val="000000"/>
        <w:sz w:val="17"/>
      </w:rPr>
    </w:pPr>
    <w:bookmarkStart w:id="4" w:name="TITUS1FooterPrimary"/>
    <w:r w:rsidRPr="006B5D82">
      <w:rPr>
        <w:color w:val="000000"/>
        <w:sz w:val="17"/>
      </w:rPr>
      <w:t> </w:t>
    </w:r>
  </w:p>
  <w:bookmarkEnd w:id="4"/>
  <w:p w:rsidR="00496C7D" w:rsidRDefault="00496C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C7D" w:rsidRDefault="00496C7D" w:rsidP="006B5D82">
    <w:pPr>
      <w:pStyle w:val="Footer"/>
      <w:rPr>
        <w:color w:val="000000"/>
        <w:sz w:val="17"/>
      </w:rPr>
    </w:pPr>
    <w:bookmarkStart w:id="5" w:name="TITUS1FooterFirstPage"/>
    <w:r w:rsidRPr="006B5D82">
      <w:rPr>
        <w:color w:val="000000"/>
        <w:sz w:val="17"/>
      </w:rPr>
      <w:t> </w:t>
    </w:r>
  </w:p>
  <w:bookmarkEnd w:id="5"/>
  <w:p w:rsidR="00496C7D" w:rsidRDefault="00496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6C7D" w:rsidRDefault="00496C7D" w:rsidP="00D742B9">
      <w:pPr>
        <w:spacing w:after="0" w:line="240" w:lineRule="auto"/>
      </w:pPr>
      <w:r>
        <w:separator/>
      </w:r>
    </w:p>
  </w:footnote>
  <w:footnote w:type="continuationSeparator" w:id="0">
    <w:p w:rsidR="00496C7D" w:rsidRDefault="00496C7D" w:rsidP="00D74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C7D" w:rsidRDefault="00496C7D" w:rsidP="006B5D82">
    <w:pPr>
      <w:pStyle w:val="Header"/>
      <w:rPr>
        <w:rFonts w:ascii="Times New Roman" w:hAnsi="Times New Roman" w:cs="Times New Roman"/>
        <w:color w:val="000000"/>
        <w:sz w:val="17"/>
        <w:szCs w:val="24"/>
      </w:rPr>
    </w:pPr>
    <w:bookmarkStart w:id="1" w:name="TITUS1HeaderEvenPages"/>
    <w:r w:rsidRPr="006B5D82">
      <w:rPr>
        <w:rFonts w:ascii="Times New Roman" w:hAnsi="Times New Roman" w:cs="Times New Roman"/>
        <w:color w:val="000000"/>
        <w:sz w:val="17"/>
        <w:szCs w:val="24"/>
      </w:rPr>
      <w:t> </w:t>
    </w:r>
  </w:p>
  <w:bookmarkEnd w:id="1"/>
  <w:p w:rsidR="00496C7D" w:rsidRDefault="00496C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C7D" w:rsidRDefault="00496C7D" w:rsidP="006B5D82">
    <w:pPr>
      <w:pStyle w:val="Header"/>
      <w:rPr>
        <w:rFonts w:ascii="Times New Roman" w:hAnsi="Times New Roman" w:cs="Times New Roman"/>
        <w:color w:val="000000"/>
        <w:sz w:val="17"/>
        <w:szCs w:val="24"/>
      </w:rPr>
    </w:pPr>
    <w:bookmarkStart w:id="2" w:name="TITUS1HeaderPrimary"/>
    <w:r w:rsidRPr="006B5D82">
      <w:rPr>
        <w:rFonts w:ascii="Times New Roman" w:hAnsi="Times New Roman" w:cs="Times New Roman"/>
        <w:color w:val="000000"/>
        <w:sz w:val="17"/>
        <w:szCs w:val="24"/>
      </w:rPr>
      <w:t> </w:t>
    </w:r>
  </w:p>
  <w:bookmarkEnd w:id="2"/>
  <w:p w:rsidR="00496C7D" w:rsidRPr="00410DC9" w:rsidRDefault="00496C7D" w:rsidP="00410DC9">
    <w:pPr>
      <w:pStyle w:val="Header"/>
      <w:jc w:val="right"/>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C7D" w:rsidRDefault="00496C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0756"/>
    <w:rsid w:val="00007EED"/>
    <w:rsid w:val="000127C5"/>
    <w:rsid w:val="00026365"/>
    <w:rsid w:val="000A08C6"/>
    <w:rsid w:val="000D61DA"/>
    <w:rsid w:val="001535BA"/>
    <w:rsid w:val="00176228"/>
    <w:rsid w:val="001A0FDA"/>
    <w:rsid w:val="001B57CD"/>
    <w:rsid w:val="0024602F"/>
    <w:rsid w:val="0028578E"/>
    <w:rsid w:val="002B48D2"/>
    <w:rsid w:val="00306E65"/>
    <w:rsid w:val="00325F92"/>
    <w:rsid w:val="00340756"/>
    <w:rsid w:val="00356F50"/>
    <w:rsid w:val="00357201"/>
    <w:rsid w:val="003739C0"/>
    <w:rsid w:val="003A1DF5"/>
    <w:rsid w:val="003C0AC6"/>
    <w:rsid w:val="003F3BCB"/>
    <w:rsid w:val="004056E0"/>
    <w:rsid w:val="00410DC9"/>
    <w:rsid w:val="004157F4"/>
    <w:rsid w:val="00496C7D"/>
    <w:rsid w:val="004A1E41"/>
    <w:rsid w:val="004D635B"/>
    <w:rsid w:val="004E6086"/>
    <w:rsid w:val="00501C88"/>
    <w:rsid w:val="00540976"/>
    <w:rsid w:val="00575A22"/>
    <w:rsid w:val="00577901"/>
    <w:rsid w:val="0062019E"/>
    <w:rsid w:val="00677494"/>
    <w:rsid w:val="0068640E"/>
    <w:rsid w:val="00694EF2"/>
    <w:rsid w:val="006B4C22"/>
    <w:rsid w:val="006B5D82"/>
    <w:rsid w:val="006B7796"/>
    <w:rsid w:val="00734E74"/>
    <w:rsid w:val="007D63B5"/>
    <w:rsid w:val="00831325"/>
    <w:rsid w:val="008A1A2B"/>
    <w:rsid w:val="008C1EA0"/>
    <w:rsid w:val="008D41D0"/>
    <w:rsid w:val="009C17EC"/>
    <w:rsid w:val="00A36E36"/>
    <w:rsid w:val="00A519C4"/>
    <w:rsid w:val="00A53645"/>
    <w:rsid w:val="00A60592"/>
    <w:rsid w:val="00B047FC"/>
    <w:rsid w:val="00BC36A3"/>
    <w:rsid w:val="00BE0759"/>
    <w:rsid w:val="00D30A09"/>
    <w:rsid w:val="00D73FEF"/>
    <w:rsid w:val="00D742B9"/>
    <w:rsid w:val="00DA6575"/>
    <w:rsid w:val="00E0081C"/>
    <w:rsid w:val="00EF7616"/>
    <w:rsid w:val="00F80756"/>
    <w:rsid w:val="00FA4782"/>
    <w:rsid w:val="00FF68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73B9B67"/>
  <w15:docId w15:val="{7E55A8AA-E5E9-A44D-BCF7-6F34BD006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6E6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06E65"/>
    <w:rPr>
      <w:b/>
      <w:bCs/>
    </w:rPr>
  </w:style>
  <w:style w:type="paragraph" w:styleId="Header">
    <w:name w:val="header"/>
    <w:basedOn w:val="Normal"/>
    <w:link w:val="HeaderChar"/>
    <w:uiPriority w:val="99"/>
    <w:unhideWhenUsed/>
    <w:rsid w:val="00D742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42B9"/>
  </w:style>
  <w:style w:type="paragraph" w:styleId="Footer">
    <w:name w:val="footer"/>
    <w:basedOn w:val="Normal"/>
    <w:link w:val="FooterChar"/>
    <w:uiPriority w:val="99"/>
    <w:unhideWhenUsed/>
    <w:rsid w:val="00D742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42B9"/>
  </w:style>
  <w:style w:type="paragraph" w:customStyle="1" w:styleId="Default">
    <w:name w:val="Default"/>
    <w:rsid w:val="000D61DA"/>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6B5D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5D82"/>
    <w:rPr>
      <w:rFonts w:ascii="Segoe UI" w:hAnsi="Segoe UI" w:cs="Segoe UI"/>
      <w:sz w:val="18"/>
      <w:szCs w:val="18"/>
    </w:rPr>
  </w:style>
  <w:style w:type="character" w:styleId="Hyperlink">
    <w:name w:val="Hyperlink"/>
    <w:basedOn w:val="DefaultParagraphFont"/>
    <w:uiPriority w:val="99"/>
    <w:unhideWhenUsed/>
    <w:rsid w:val="00496C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189279">
      <w:bodyDiv w:val="1"/>
      <w:marLeft w:val="0"/>
      <w:marRight w:val="0"/>
      <w:marTop w:val="0"/>
      <w:marBottom w:val="0"/>
      <w:divBdr>
        <w:top w:val="none" w:sz="0" w:space="0" w:color="auto"/>
        <w:left w:val="none" w:sz="0" w:space="0" w:color="auto"/>
        <w:bottom w:val="none" w:sz="0" w:space="0" w:color="auto"/>
        <w:right w:val="none" w:sz="0" w:space="0" w:color="auto"/>
      </w:divBdr>
    </w:div>
    <w:div w:id="148832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PIJPSM-07-2018-0105"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177/0032258X19841409"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186/s40163-018-0087-3"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13B32-B6F4-471C-A33F-6895D604D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4737</Words>
  <Characters>27006</Characters>
  <Application>Microsoft Office Word</Application>
  <DocSecurity>0</DocSecurity>
  <Lines>225</Lines>
  <Paragraphs>63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31680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Jones,Adrian swp6561</dc:creator>
  <cp:lastModifiedBy>Jones,Adrian swp6561</cp:lastModifiedBy>
  <cp:revision>2</cp:revision>
  <cp:lastPrinted>2021-01-13T08:27:00Z</cp:lastPrinted>
  <dcterms:created xsi:type="dcterms:W3CDTF">2021-02-07T00:18:00Z</dcterms:created>
  <dcterms:modified xsi:type="dcterms:W3CDTF">2021-02-07T00:18:00Z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887e4660-4ace-4d49-9487-c4be8afa4e74</vt:lpwstr>
  </property>
  <property fmtid="{D5CDD505-2E9C-101B-9397-08002B2CF9AE}" pid="3" name="Classification">
    <vt:lpwstr>OFFICIAL</vt:lpwstr>
  </property>
  <property fmtid="{D5CDD505-2E9C-101B-9397-08002B2CF9AE}" pid="4" name="Visibility">
    <vt:lpwstr>NOT VISIBLE</vt:lpwstr>
  </property>
</Properties>
</file>