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E45" w:rsidRDefault="001B0E45" w:rsidP="001B0E45">
      <w:pPr>
        <w:jc w:val="right"/>
        <w:rPr>
          <w:rFonts w:ascii="Arial" w:hAnsi="Arial" w:cs="Arial"/>
          <w:b/>
          <w:bCs/>
          <w:color w:val="000000" w:themeColor="text1"/>
        </w:rPr>
      </w:pPr>
      <w:r>
        <w:rPr>
          <w:rFonts w:ascii="Arial" w:hAnsi="Arial" w:cs="Arial"/>
          <w:b/>
          <w:bCs/>
          <w:noProof/>
          <w:color w:val="000000" w:themeColor="text1"/>
        </w:rPr>
        <w:drawing>
          <wp:inline distT="0" distB="0" distL="0" distR="0" wp14:anchorId="25BB4685" wp14:editId="1C8D25D3">
            <wp:extent cx="2857500" cy="1276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ales-TSD-1-300x134.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276350"/>
                    </a:xfrm>
                    <a:prstGeom prst="rect">
                      <a:avLst/>
                    </a:prstGeom>
                  </pic:spPr>
                </pic:pic>
              </a:graphicData>
            </a:graphic>
          </wp:inline>
        </w:drawing>
      </w:r>
    </w:p>
    <w:p w:rsidR="001B0E45" w:rsidRDefault="001B0E45" w:rsidP="001B0E45">
      <w:pPr>
        <w:rPr>
          <w:rFonts w:ascii="Arial" w:hAnsi="Arial" w:cs="Arial"/>
          <w:b/>
          <w:bCs/>
          <w:color w:val="000000" w:themeColor="text1"/>
        </w:rPr>
      </w:pPr>
    </w:p>
    <w:p w:rsidR="001B0E45" w:rsidRDefault="001B0E45" w:rsidP="001B0E45">
      <w:pPr>
        <w:rPr>
          <w:rFonts w:ascii="Arial" w:hAnsi="Arial" w:cs="Arial"/>
          <w:b/>
          <w:bCs/>
          <w:color w:val="000000" w:themeColor="text1"/>
        </w:rPr>
      </w:pPr>
    </w:p>
    <w:p w:rsidR="001B0E45" w:rsidRDefault="001B0E45" w:rsidP="001B0E45">
      <w:pPr>
        <w:rPr>
          <w:rFonts w:ascii="Arial" w:hAnsi="Arial" w:cs="Arial"/>
          <w:b/>
          <w:bCs/>
          <w:color w:val="000000" w:themeColor="text1"/>
        </w:rPr>
      </w:pPr>
    </w:p>
    <w:p w:rsidR="001B0E45" w:rsidRPr="00D32C39" w:rsidRDefault="001B0E45" w:rsidP="001B0E45">
      <w:pPr>
        <w:ind w:left="4320" w:hanging="2880"/>
        <w:rPr>
          <w:rFonts w:ascii="Arial" w:hAnsi="Arial" w:cs="Arial"/>
          <w:b/>
        </w:rPr>
      </w:pPr>
      <w:r w:rsidRPr="00D32C39">
        <w:rPr>
          <w:rFonts w:ascii="Arial" w:hAnsi="Arial" w:cs="Arial"/>
          <w:b/>
          <w:bCs/>
          <w:color w:val="000000" w:themeColor="text1"/>
        </w:rPr>
        <w:t xml:space="preserve">Assignment Title: </w:t>
      </w:r>
      <w:r w:rsidRPr="00D32C39">
        <w:rPr>
          <w:rFonts w:ascii="Arial" w:hAnsi="Arial" w:cs="Arial"/>
          <w:b/>
          <w:bCs/>
          <w:color w:val="000000" w:themeColor="text1"/>
        </w:rPr>
        <w:tab/>
      </w:r>
      <w:r w:rsidRPr="00785B6A">
        <w:rPr>
          <w:rFonts w:ascii="Arial" w:hAnsi="Arial" w:cs="Arial"/>
          <w:b/>
          <w:bCs/>
          <w:color w:val="000000" w:themeColor="text1"/>
        </w:rPr>
        <w:t>Promoting Equality and Diversity in the Legal Profession: A Comprehensive Analysis of Legal Frameworks and Regulatory Initiatives</w:t>
      </w:r>
    </w:p>
    <w:p w:rsidR="001B0E45" w:rsidRPr="00D32C39" w:rsidRDefault="001B0E45" w:rsidP="001B0E45">
      <w:pPr>
        <w:ind w:left="4320" w:hanging="2880"/>
        <w:rPr>
          <w:rFonts w:ascii="Arial" w:hAnsi="Arial" w:cs="Arial"/>
          <w:color w:val="000000" w:themeColor="text1"/>
        </w:rPr>
      </w:pPr>
      <w:r w:rsidRPr="00D32C39">
        <w:rPr>
          <w:rFonts w:ascii="Arial" w:hAnsi="Arial" w:cs="Arial"/>
          <w:b/>
          <w:bCs/>
          <w:color w:val="000000" w:themeColor="text1"/>
        </w:rPr>
        <w:t xml:space="preserve">Module Name: </w:t>
      </w:r>
      <w:r w:rsidRPr="00D32C39">
        <w:rPr>
          <w:rFonts w:ascii="Arial" w:hAnsi="Arial" w:cs="Arial"/>
          <w:b/>
          <w:bCs/>
          <w:color w:val="000000" w:themeColor="text1"/>
        </w:rPr>
        <w:tab/>
      </w:r>
      <w:r w:rsidRPr="001C757D">
        <w:rPr>
          <w:rFonts w:ascii="Arial" w:hAnsi="Arial" w:cs="Arial"/>
          <w:b/>
          <w:bCs/>
          <w:color w:val="000000" w:themeColor="text1"/>
        </w:rPr>
        <w:t>Principles of Professional Legal Practice</w:t>
      </w:r>
    </w:p>
    <w:p w:rsidR="001B0E45" w:rsidRPr="00D32C39" w:rsidRDefault="001B0E45" w:rsidP="001B0E45">
      <w:pPr>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r>
      <w:r w:rsidRPr="001C757D">
        <w:rPr>
          <w:rFonts w:ascii="Arial" w:hAnsi="Arial" w:cs="Arial"/>
          <w:b/>
          <w:bCs/>
          <w:color w:val="000000" w:themeColor="text1"/>
        </w:rPr>
        <w:t>BMLW4001</w:t>
      </w:r>
    </w:p>
    <w:p w:rsidR="001B0E45" w:rsidRPr="00D32C39" w:rsidRDefault="001B0E45" w:rsidP="001B0E45">
      <w:pPr>
        <w:ind w:left="4320" w:hanging="2880"/>
        <w:rPr>
          <w:rFonts w:ascii="Arial" w:hAnsi="Arial" w:cs="Arial"/>
          <w:color w:val="000000" w:themeColor="text1"/>
        </w:rPr>
      </w:pPr>
      <w:r w:rsidRPr="00D32C39">
        <w:rPr>
          <w:rFonts w:ascii="Arial" w:hAnsi="Arial" w:cs="Arial"/>
          <w:b/>
          <w:bCs/>
          <w:color w:val="000000" w:themeColor="text1"/>
        </w:rPr>
        <w:t>Program of Study:</w:t>
      </w:r>
      <w:r w:rsidRPr="00D32C39">
        <w:rPr>
          <w:rFonts w:ascii="Arial" w:hAnsi="Arial" w:cs="Arial"/>
          <w:b/>
          <w:bCs/>
          <w:color w:val="000000" w:themeColor="text1"/>
        </w:rPr>
        <w:tab/>
      </w:r>
      <w:r w:rsidRPr="001C757D">
        <w:rPr>
          <w:rFonts w:ascii="Arial" w:hAnsi="Arial" w:cs="Arial"/>
          <w:b/>
          <w:bCs/>
          <w:color w:val="000000" w:themeColor="text1"/>
        </w:rPr>
        <w:t>Law and Legal Practice</w:t>
      </w:r>
    </w:p>
    <w:p w:rsidR="001B0E45" w:rsidRPr="00D32C39" w:rsidRDefault="001B0E45" w:rsidP="001B0E45">
      <w:pPr>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 xml:space="preserve">Ali </w:t>
      </w:r>
      <w:proofErr w:type="spellStart"/>
      <w:r>
        <w:rPr>
          <w:rFonts w:ascii="Arial" w:hAnsi="Arial" w:cs="Arial"/>
          <w:b/>
          <w:bCs/>
          <w:color w:val="000000" w:themeColor="text1"/>
        </w:rPr>
        <w:t>Fayyaz</w:t>
      </w:r>
      <w:proofErr w:type="spellEnd"/>
    </w:p>
    <w:p w:rsidR="001B0E45" w:rsidRDefault="001B0E45" w:rsidP="001B0E45">
      <w:pPr>
        <w:ind w:left="1440"/>
        <w:rPr>
          <w:rFonts w:ascii="Arial" w:hAnsi="Arial" w:cs="Arial"/>
          <w:color w:val="000000" w:themeColor="text1"/>
        </w:rPr>
      </w:pPr>
      <w:r>
        <w:rPr>
          <w:rFonts w:ascii="Arial" w:hAnsi="Arial" w:cs="Arial"/>
          <w:b/>
          <w:bCs/>
          <w:color w:val="000000" w:themeColor="text1"/>
        </w:rPr>
        <w:t xml:space="preserve">Student ID #: </w:t>
      </w:r>
      <w:r>
        <w:rPr>
          <w:rFonts w:ascii="Arial" w:hAnsi="Arial" w:cs="Arial"/>
          <w:b/>
          <w:bCs/>
          <w:color w:val="000000" w:themeColor="text1"/>
        </w:rPr>
        <w:tab/>
      </w:r>
      <w:r>
        <w:rPr>
          <w:rFonts w:ascii="Arial" w:hAnsi="Arial" w:cs="Arial"/>
          <w:b/>
          <w:bCs/>
          <w:color w:val="000000" w:themeColor="text1"/>
        </w:rPr>
        <w:tab/>
        <w:t>2243570</w:t>
      </w:r>
    </w:p>
    <w:p w:rsidR="001B0E45" w:rsidRPr="00CD4CDD" w:rsidRDefault="001B0E45" w:rsidP="001B0E45">
      <w:pPr>
        <w:ind w:left="1440"/>
        <w:rPr>
          <w:rFonts w:ascii="Arial" w:hAnsi="Arial" w:cs="Arial"/>
          <w:color w:val="000000" w:themeColor="text1"/>
        </w:rPr>
      </w:pPr>
      <w:r w:rsidRPr="00D32C39">
        <w:rPr>
          <w:rFonts w:ascii="Arial" w:hAnsi="Arial" w:cs="Arial"/>
          <w:b/>
          <w:bCs/>
          <w:color w:val="000000" w:themeColor="text1"/>
        </w:rPr>
        <w:t xml:space="preserve">Lecturer Name: </w:t>
      </w:r>
      <w:r w:rsidRPr="00D32C39">
        <w:rPr>
          <w:rFonts w:ascii="Arial" w:hAnsi="Arial" w:cs="Arial"/>
          <w:b/>
          <w:bCs/>
          <w:color w:val="000000" w:themeColor="text1"/>
        </w:rPr>
        <w:tab/>
      </w:r>
      <w:r w:rsidRPr="00D32C39">
        <w:rPr>
          <w:rFonts w:ascii="Arial" w:hAnsi="Arial" w:cs="Arial"/>
          <w:b/>
          <w:bCs/>
          <w:color w:val="000000" w:themeColor="text1"/>
        </w:rPr>
        <w:tab/>
      </w:r>
      <w:r w:rsidR="005A265B">
        <w:rPr>
          <w:rFonts w:ascii="Arial" w:hAnsi="Arial" w:cs="Arial"/>
          <w:b/>
          <w:bCs/>
          <w:color w:val="000000" w:themeColor="text1"/>
        </w:rPr>
        <w:t>Ms</w:t>
      </w:r>
      <w:bookmarkStart w:id="0" w:name="_GoBack"/>
      <w:bookmarkEnd w:id="0"/>
      <w:r>
        <w:rPr>
          <w:rFonts w:ascii="Arial" w:hAnsi="Arial" w:cs="Arial"/>
          <w:b/>
          <w:bCs/>
          <w:color w:val="000000" w:themeColor="text1"/>
        </w:rPr>
        <w:t xml:space="preserve">. </w:t>
      </w:r>
      <w:r w:rsidR="005A265B">
        <w:rPr>
          <w:rFonts w:ascii="Arial" w:hAnsi="Arial" w:cs="Arial"/>
          <w:b/>
          <w:sz w:val="22"/>
        </w:rPr>
        <w:t>Ellie Brown</w:t>
      </w:r>
    </w:p>
    <w:p w:rsidR="005E24F9" w:rsidRDefault="005E24F9">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sdt>
      <w:sdtPr>
        <w:rPr>
          <w:rFonts w:asciiTheme="minorHAnsi" w:eastAsiaTheme="minorHAnsi" w:hAnsiTheme="minorHAnsi" w:cstheme="minorBidi"/>
          <w:color w:val="auto"/>
          <w:sz w:val="24"/>
          <w:szCs w:val="22"/>
        </w:rPr>
        <w:id w:val="862098211"/>
        <w:docPartObj>
          <w:docPartGallery w:val="Table of Contents"/>
          <w:docPartUnique/>
        </w:docPartObj>
      </w:sdtPr>
      <w:sdtEndPr>
        <w:rPr>
          <w:b/>
          <w:bCs/>
          <w:noProof/>
        </w:rPr>
      </w:sdtEndPr>
      <w:sdtContent>
        <w:p w:rsidR="00785B6A" w:rsidRDefault="00785B6A">
          <w:pPr>
            <w:pStyle w:val="TOCHeading"/>
          </w:pPr>
          <w:r>
            <w:t>Table of Contents</w:t>
          </w:r>
        </w:p>
        <w:p w:rsidR="00785B6A" w:rsidRDefault="00785B6A">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52874612" w:history="1">
            <w:r w:rsidRPr="00F83738">
              <w:rPr>
                <w:rStyle w:val="Hyperlink"/>
                <w:noProof/>
              </w:rPr>
              <w:t>Introduction</w:t>
            </w:r>
            <w:r>
              <w:rPr>
                <w:noProof/>
                <w:webHidden/>
              </w:rPr>
              <w:tab/>
            </w:r>
            <w:r>
              <w:rPr>
                <w:noProof/>
                <w:webHidden/>
              </w:rPr>
              <w:fldChar w:fldCharType="begin"/>
            </w:r>
            <w:r>
              <w:rPr>
                <w:noProof/>
                <w:webHidden/>
              </w:rPr>
              <w:instrText xml:space="preserve"> PAGEREF _Toc152874612 \h </w:instrText>
            </w:r>
            <w:r>
              <w:rPr>
                <w:noProof/>
                <w:webHidden/>
              </w:rPr>
            </w:r>
            <w:r>
              <w:rPr>
                <w:noProof/>
                <w:webHidden/>
              </w:rPr>
              <w:fldChar w:fldCharType="separate"/>
            </w:r>
            <w:r>
              <w:rPr>
                <w:noProof/>
                <w:webHidden/>
              </w:rPr>
              <w:t>3</w:t>
            </w:r>
            <w:r>
              <w:rPr>
                <w:noProof/>
                <w:webHidden/>
              </w:rPr>
              <w:fldChar w:fldCharType="end"/>
            </w:r>
          </w:hyperlink>
        </w:p>
        <w:p w:rsidR="00785B6A" w:rsidRDefault="00D46E7C">
          <w:pPr>
            <w:pStyle w:val="TOC1"/>
            <w:tabs>
              <w:tab w:val="right" w:leader="dot" w:pos="9350"/>
            </w:tabs>
            <w:rPr>
              <w:rFonts w:eastAsiaTheme="minorEastAsia"/>
              <w:noProof/>
              <w:sz w:val="22"/>
            </w:rPr>
          </w:pPr>
          <w:hyperlink w:anchor="_Toc152874613" w:history="1">
            <w:r w:rsidR="00785B6A" w:rsidRPr="00F83738">
              <w:rPr>
                <w:rStyle w:val="Hyperlink"/>
                <w:noProof/>
              </w:rPr>
              <w:t>Legal Frameworks: The Foundation for Equality and Diversity</w:t>
            </w:r>
            <w:r w:rsidR="00785B6A">
              <w:rPr>
                <w:noProof/>
                <w:webHidden/>
              </w:rPr>
              <w:tab/>
            </w:r>
            <w:r w:rsidR="00785B6A">
              <w:rPr>
                <w:noProof/>
                <w:webHidden/>
              </w:rPr>
              <w:fldChar w:fldCharType="begin"/>
            </w:r>
            <w:r w:rsidR="00785B6A">
              <w:rPr>
                <w:noProof/>
                <w:webHidden/>
              </w:rPr>
              <w:instrText xml:space="preserve"> PAGEREF _Toc152874613 \h </w:instrText>
            </w:r>
            <w:r w:rsidR="00785B6A">
              <w:rPr>
                <w:noProof/>
                <w:webHidden/>
              </w:rPr>
            </w:r>
            <w:r w:rsidR="00785B6A">
              <w:rPr>
                <w:noProof/>
                <w:webHidden/>
              </w:rPr>
              <w:fldChar w:fldCharType="separate"/>
            </w:r>
            <w:r w:rsidR="00785B6A">
              <w:rPr>
                <w:noProof/>
                <w:webHidden/>
              </w:rPr>
              <w:t>3</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14" w:history="1">
            <w:r w:rsidR="00785B6A" w:rsidRPr="00F83738">
              <w:rPr>
                <w:rStyle w:val="Hyperlink"/>
                <w:noProof/>
              </w:rPr>
              <w:t>The Legal Services Act 2007</w:t>
            </w:r>
            <w:r w:rsidR="00785B6A">
              <w:rPr>
                <w:noProof/>
                <w:webHidden/>
              </w:rPr>
              <w:tab/>
            </w:r>
            <w:r w:rsidR="00785B6A">
              <w:rPr>
                <w:noProof/>
                <w:webHidden/>
              </w:rPr>
              <w:fldChar w:fldCharType="begin"/>
            </w:r>
            <w:r w:rsidR="00785B6A">
              <w:rPr>
                <w:noProof/>
                <w:webHidden/>
              </w:rPr>
              <w:instrText xml:space="preserve"> PAGEREF _Toc152874614 \h </w:instrText>
            </w:r>
            <w:r w:rsidR="00785B6A">
              <w:rPr>
                <w:noProof/>
                <w:webHidden/>
              </w:rPr>
            </w:r>
            <w:r w:rsidR="00785B6A">
              <w:rPr>
                <w:noProof/>
                <w:webHidden/>
              </w:rPr>
              <w:fldChar w:fldCharType="separate"/>
            </w:r>
            <w:r w:rsidR="00785B6A">
              <w:rPr>
                <w:noProof/>
                <w:webHidden/>
              </w:rPr>
              <w:t>3</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15" w:history="1">
            <w:r w:rsidR="00785B6A" w:rsidRPr="00F83738">
              <w:rPr>
                <w:rStyle w:val="Hyperlink"/>
                <w:noProof/>
              </w:rPr>
              <w:t>The Equality Act 2010</w:t>
            </w:r>
            <w:r w:rsidR="00785B6A">
              <w:rPr>
                <w:noProof/>
                <w:webHidden/>
              </w:rPr>
              <w:tab/>
            </w:r>
            <w:r w:rsidR="00785B6A">
              <w:rPr>
                <w:noProof/>
                <w:webHidden/>
              </w:rPr>
              <w:fldChar w:fldCharType="begin"/>
            </w:r>
            <w:r w:rsidR="00785B6A">
              <w:rPr>
                <w:noProof/>
                <w:webHidden/>
              </w:rPr>
              <w:instrText xml:space="preserve"> PAGEREF _Toc152874615 \h </w:instrText>
            </w:r>
            <w:r w:rsidR="00785B6A">
              <w:rPr>
                <w:noProof/>
                <w:webHidden/>
              </w:rPr>
            </w:r>
            <w:r w:rsidR="00785B6A">
              <w:rPr>
                <w:noProof/>
                <w:webHidden/>
              </w:rPr>
              <w:fldChar w:fldCharType="separate"/>
            </w:r>
            <w:r w:rsidR="00785B6A">
              <w:rPr>
                <w:noProof/>
                <w:webHidden/>
              </w:rPr>
              <w:t>3</w:t>
            </w:r>
            <w:r w:rsidR="00785B6A">
              <w:rPr>
                <w:noProof/>
                <w:webHidden/>
              </w:rPr>
              <w:fldChar w:fldCharType="end"/>
            </w:r>
          </w:hyperlink>
        </w:p>
        <w:p w:rsidR="00785B6A" w:rsidRDefault="00D46E7C">
          <w:pPr>
            <w:pStyle w:val="TOC1"/>
            <w:tabs>
              <w:tab w:val="right" w:leader="dot" w:pos="9350"/>
            </w:tabs>
            <w:rPr>
              <w:rFonts w:eastAsiaTheme="minorEastAsia"/>
              <w:noProof/>
              <w:sz w:val="22"/>
            </w:rPr>
          </w:pPr>
          <w:hyperlink w:anchor="_Toc152874616" w:history="1">
            <w:r w:rsidR="00785B6A" w:rsidRPr="00F83738">
              <w:rPr>
                <w:rStyle w:val="Hyperlink"/>
                <w:noProof/>
              </w:rPr>
              <w:t>Regulatory Codes of Conduct: Setting Standards for Equality and Diversity</w:t>
            </w:r>
            <w:r w:rsidR="00785B6A">
              <w:rPr>
                <w:noProof/>
                <w:webHidden/>
              </w:rPr>
              <w:tab/>
            </w:r>
            <w:r w:rsidR="00785B6A">
              <w:rPr>
                <w:noProof/>
                <w:webHidden/>
              </w:rPr>
              <w:fldChar w:fldCharType="begin"/>
            </w:r>
            <w:r w:rsidR="00785B6A">
              <w:rPr>
                <w:noProof/>
                <w:webHidden/>
              </w:rPr>
              <w:instrText xml:space="preserve"> PAGEREF _Toc152874616 \h </w:instrText>
            </w:r>
            <w:r w:rsidR="00785B6A">
              <w:rPr>
                <w:noProof/>
                <w:webHidden/>
              </w:rPr>
            </w:r>
            <w:r w:rsidR="00785B6A">
              <w:rPr>
                <w:noProof/>
                <w:webHidden/>
              </w:rPr>
              <w:fldChar w:fldCharType="separate"/>
            </w:r>
            <w:r w:rsidR="00785B6A">
              <w:rPr>
                <w:noProof/>
                <w:webHidden/>
              </w:rPr>
              <w:t>4</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17" w:history="1">
            <w:r w:rsidR="00785B6A" w:rsidRPr="00F83738">
              <w:rPr>
                <w:rStyle w:val="Hyperlink"/>
                <w:noProof/>
              </w:rPr>
              <w:t>SRA Code of Conduct</w:t>
            </w:r>
            <w:r w:rsidR="00785B6A">
              <w:rPr>
                <w:noProof/>
                <w:webHidden/>
              </w:rPr>
              <w:tab/>
            </w:r>
            <w:r w:rsidR="00785B6A">
              <w:rPr>
                <w:noProof/>
                <w:webHidden/>
              </w:rPr>
              <w:fldChar w:fldCharType="begin"/>
            </w:r>
            <w:r w:rsidR="00785B6A">
              <w:rPr>
                <w:noProof/>
                <w:webHidden/>
              </w:rPr>
              <w:instrText xml:space="preserve"> PAGEREF _Toc152874617 \h </w:instrText>
            </w:r>
            <w:r w:rsidR="00785B6A">
              <w:rPr>
                <w:noProof/>
                <w:webHidden/>
              </w:rPr>
            </w:r>
            <w:r w:rsidR="00785B6A">
              <w:rPr>
                <w:noProof/>
                <w:webHidden/>
              </w:rPr>
              <w:fldChar w:fldCharType="separate"/>
            </w:r>
            <w:r w:rsidR="00785B6A">
              <w:rPr>
                <w:noProof/>
                <w:webHidden/>
              </w:rPr>
              <w:t>4</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18" w:history="1">
            <w:r w:rsidR="00785B6A" w:rsidRPr="00F83738">
              <w:rPr>
                <w:rStyle w:val="Hyperlink"/>
                <w:noProof/>
              </w:rPr>
              <w:t>BSB Handbook</w:t>
            </w:r>
            <w:r w:rsidR="00785B6A">
              <w:rPr>
                <w:noProof/>
                <w:webHidden/>
              </w:rPr>
              <w:tab/>
            </w:r>
            <w:r w:rsidR="00785B6A">
              <w:rPr>
                <w:noProof/>
                <w:webHidden/>
              </w:rPr>
              <w:fldChar w:fldCharType="begin"/>
            </w:r>
            <w:r w:rsidR="00785B6A">
              <w:rPr>
                <w:noProof/>
                <w:webHidden/>
              </w:rPr>
              <w:instrText xml:space="preserve"> PAGEREF _Toc152874618 \h </w:instrText>
            </w:r>
            <w:r w:rsidR="00785B6A">
              <w:rPr>
                <w:noProof/>
                <w:webHidden/>
              </w:rPr>
            </w:r>
            <w:r w:rsidR="00785B6A">
              <w:rPr>
                <w:noProof/>
                <w:webHidden/>
              </w:rPr>
              <w:fldChar w:fldCharType="separate"/>
            </w:r>
            <w:r w:rsidR="00785B6A">
              <w:rPr>
                <w:noProof/>
                <w:webHidden/>
              </w:rPr>
              <w:t>4</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19" w:history="1">
            <w:r w:rsidR="00785B6A" w:rsidRPr="00F83738">
              <w:rPr>
                <w:rStyle w:val="Hyperlink"/>
                <w:noProof/>
              </w:rPr>
              <w:t>CILEX Code of Conduct</w:t>
            </w:r>
            <w:r w:rsidR="00785B6A">
              <w:rPr>
                <w:noProof/>
                <w:webHidden/>
              </w:rPr>
              <w:tab/>
            </w:r>
            <w:r w:rsidR="00785B6A">
              <w:rPr>
                <w:noProof/>
                <w:webHidden/>
              </w:rPr>
              <w:fldChar w:fldCharType="begin"/>
            </w:r>
            <w:r w:rsidR="00785B6A">
              <w:rPr>
                <w:noProof/>
                <w:webHidden/>
              </w:rPr>
              <w:instrText xml:space="preserve"> PAGEREF _Toc152874619 \h </w:instrText>
            </w:r>
            <w:r w:rsidR="00785B6A">
              <w:rPr>
                <w:noProof/>
                <w:webHidden/>
              </w:rPr>
            </w:r>
            <w:r w:rsidR="00785B6A">
              <w:rPr>
                <w:noProof/>
                <w:webHidden/>
              </w:rPr>
              <w:fldChar w:fldCharType="separate"/>
            </w:r>
            <w:r w:rsidR="00785B6A">
              <w:rPr>
                <w:noProof/>
                <w:webHidden/>
              </w:rPr>
              <w:t>5</w:t>
            </w:r>
            <w:r w:rsidR="00785B6A">
              <w:rPr>
                <w:noProof/>
                <w:webHidden/>
              </w:rPr>
              <w:fldChar w:fldCharType="end"/>
            </w:r>
          </w:hyperlink>
        </w:p>
        <w:p w:rsidR="00785B6A" w:rsidRDefault="00D46E7C">
          <w:pPr>
            <w:pStyle w:val="TOC1"/>
            <w:tabs>
              <w:tab w:val="right" w:leader="dot" w:pos="9350"/>
            </w:tabs>
            <w:rPr>
              <w:rFonts w:eastAsiaTheme="minorEastAsia"/>
              <w:noProof/>
              <w:sz w:val="22"/>
            </w:rPr>
          </w:pPr>
          <w:hyperlink w:anchor="_Toc152874620" w:history="1">
            <w:r w:rsidR="00785B6A" w:rsidRPr="00F83738">
              <w:rPr>
                <w:rStyle w:val="Hyperlink"/>
                <w:noProof/>
              </w:rPr>
              <w:t>Initiatives and Best Practices</w:t>
            </w:r>
            <w:r w:rsidR="00785B6A">
              <w:rPr>
                <w:noProof/>
                <w:webHidden/>
              </w:rPr>
              <w:tab/>
            </w:r>
            <w:r w:rsidR="00785B6A">
              <w:rPr>
                <w:noProof/>
                <w:webHidden/>
              </w:rPr>
              <w:fldChar w:fldCharType="begin"/>
            </w:r>
            <w:r w:rsidR="00785B6A">
              <w:rPr>
                <w:noProof/>
                <w:webHidden/>
              </w:rPr>
              <w:instrText xml:space="preserve"> PAGEREF _Toc152874620 \h </w:instrText>
            </w:r>
            <w:r w:rsidR="00785B6A">
              <w:rPr>
                <w:noProof/>
                <w:webHidden/>
              </w:rPr>
            </w:r>
            <w:r w:rsidR="00785B6A">
              <w:rPr>
                <w:noProof/>
                <w:webHidden/>
              </w:rPr>
              <w:fldChar w:fldCharType="separate"/>
            </w:r>
            <w:r w:rsidR="00785B6A">
              <w:rPr>
                <w:noProof/>
                <w:webHidden/>
              </w:rPr>
              <w:t>5</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21" w:history="1">
            <w:r w:rsidR="00785B6A" w:rsidRPr="00F83738">
              <w:rPr>
                <w:rStyle w:val="Hyperlink"/>
                <w:noProof/>
              </w:rPr>
              <w:t>Diversity and Inclusion Policies</w:t>
            </w:r>
            <w:r w:rsidR="00785B6A">
              <w:rPr>
                <w:noProof/>
                <w:webHidden/>
              </w:rPr>
              <w:tab/>
            </w:r>
            <w:r w:rsidR="00785B6A">
              <w:rPr>
                <w:noProof/>
                <w:webHidden/>
              </w:rPr>
              <w:fldChar w:fldCharType="begin"/>
            </w:r>
            <w:r w:rsidR="00785B6A">
              <w:rPr>
                <w:noProof/>
                <w:webHidden/>
              </w:rPr>
              <w:instrText xml:space="preserve"> PAGEREF _Toc152874621 \h </w:instrText>
            </w:r>
            <w:r w:rsidR="00785B6A">
              <w:rPr>
                <w:noProof/>
                <w:webHidden/>
              </w:rPr>
            </w:r>
            <w:r w:rsidR="00785B6A">
              <w:rPr>
                <w:noProof/>
                <w:webHidden/>
              </w:rPr>
              <w:fldChar w:fldCharType="separate"/>
            </w:r>
            <w:r w:rsidR="00785B6A">
              <w:rPr>
                <w:noProof/>
                <w:webHidden/>
              </w:rPr>
              <w:t>5</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22" w:history="1">
            <w:r w:rsidR="00785B6A" w:rsidRPr="00F83738">
              <w:rPr>
                <w:rStyle w:val="Hyperlink"/>
                <w:noProof/>
              </w:rPr>
              <w:t>Reporting and Monitoring</w:t>
            </w:r>
            <w:r w:rsidR="00785B6A">
              <w:rPr>
                <w:noProof/>
                <w:webHidden/>
              </w:rPr>
              <w:tab/>
            </w:r>
            <w:r w:rsidR="00785B6A">
              <w:rPr>
                <w:noProof/>
                <w:webHidden/>
              </w:rPr>
              <w:fldChar w:fldCharType="begin"/>
            </w:r>
            <w:r w:rsidR="00785B6A">
              <w:rPr>
                <w:noProof/>
                <w:webHidden/>
              </w:rPr>
              <w:instrText xml:space="preserve"> PAGEREF _Toc152874622 \h </w:instrText>
            </w:r>
            <w:r w:rsidR="00785B6A">
              <w:rPr>
                <w:noProof/>
                <w:webHidden/>
              </w:rPr>
            </w:r>
            <w:r w:rsidR="00785B6A">
              <w:rPr>
                <w:noProof/>
                <w:webHidden/>
              </w:rPr>
              <w:fldChar w:fldCharType="separate"/>
            </w:r>
            <w:r w:rsidR="00785B6A">
              <w:rPr>
                <w:noProof/>
                <w:webHidden/>
              </w:rPr>
              <w:t>6</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23" w:history="1">
            <w:r w:rsidR="00785B6A" w:rsidRPr="00F83738">
              <w:rPr>
                <w:rStyle w:val="Hyperlink"/>
                <w:noProof/>
              </w:rPr>
              <w:t>Training and Awareness Programs</w:t>
            </w:r>
            <w:r w:rsidR="00785B6A">
              <w:rPr>
                <w:noProof/>
                <w:webHidden/>
              </w:rPr>
              <w:tab/>
            </w:r>
            <w:r w:rsidR="00785B6A">
              <w:rPr>
                <w:noProof/>
                <w:webHidden/>
              </w:rPr>
              <w:fldChar w:fldCharType="begin"/>
            </w:r>
            <w:r w:rsidR="00785B6A">
              <w:rPr>
                <w:noProof/>
                <w:webHidden/>
              </w:rPr>
              <w:instrText xml:space="preserve"> PAGEREF _Toc152874623 \h </w:instrText>
            </w:r>
            <w:r w:rsidR="00785B6A">
              <w:rPr>
                <w:noProof/>
                <w:webHidden/>
              </w:rPr>
            </w:r>
            <w:r w:rsidR="00785B6A">
              <w:rPr>
                <w:noProof/>
                <w:webHidden/>
              </w:rPr>
              <w:fldChar w:fldCharType="separate"/>
            </w:r>
            <w:r w:rsidR="00785B6A">
              <w:rPr>
                <w:noProof/>
                <w:webHidden/>
              </w:rPr>
              <w:t>6</w:t>
            </w:r>
            <w:r w:rsidR="00785B6A">
              <w:rPr>
                <w:noProof/>
                <w:webHidden/>
              </w:rPr>
              <w:fldChar w:fldCharType="end"/>
            </w:r>
          </w:hyperlink>
        </w:p>
        <w:p w:rsidR="00785B6A" w:rsidRDefault="00D46E7C">
          <w:pPr>
            <w:pStyle w:val="TOC1"/>
            <w:tabs>
              <w:tab w:val="right" w:leader="dot" w:pos="9350"/>
            </w:tabs>
            <w:rPr>
              <w:rFonts w:eastAsiaTheme="minorEastAsia"/>
              <w:noProof/>
              <w:sz w:val="22"/>
            </w:rPr>
          </w:pPr>
          <w:hyperlink w:anchor="_Toc152874624" w:history="1">
            <w:r w:rsidR="00785B6A" w:rsidRPr="00F83738">
              <w:rPr>
                <w:rStyle w:val="Hyperlink"/>
                <w:noProof/>
              </w:rPr>
              <w:t>Challenges and Future Considerations</w:t>
            </w:r>
            <w:r w:rsidR="00785B6A">
              <w:rPr>
                <w:noProof/>
                <w:webHidden/>
              </w:rPr>
              <w:tab/>
            </w:r>
            <w:r w:rsidR="00785B6A">
              <w:rPr>
                <w:noProof/>
                <w:webHidden/>
              </w:rPr>
              <w:fldChar w:fldCharType="begin"/>
            </w:r>
            <w:r w:rsidR="00785B6A">
              <w:rPr>
                <w:noProof/>
                <w:webHidden/>
              </w:rPr>
              <w:instrText xml:space="preserve"> PAGEREF _Toc152874624 \h </w:instrText>
            </w:r>
            <w:r w:rsidR="00785B6A">
              <w:rPr>
                <w:noProof/>
                <w:webHidden/>
              </w:rPr>
            </w:r>
            <w:r w:rsidR="00785B6A">
              <w:rPr>
                <w:noProof/>
                <w:webHidden/>
              </w:rPr>
              <w:fldChar w:fldCharType="separate"/>
            </w:r>
            <w:r w:rsidR="00785B6A">
              <w:rPr>
                <w:noProof/>
                <w:webHidden/>
              </w:rPr>
              <w:t>7</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25" w:history="1">
            <w:r w:rsidR="00785B6A" w:rsidRPr="00F83738">
              <w:rPr>
                <w:rStyle w:val="Hyperlink"/>
                <w:noProof/>
              </w:rPr>
              <w:t>Underrepresentation in Leadership Roles</w:t>
            </w:r>
            <w:r w:rsidR="00785B6A">
              <w:rPr>
                <w:noProof/>
                <w:webHidden/>
              </w:rPr>
              <w:tab/>
            </w:r>
            <w:r w:rsidR="00785B6A">
              <w:rPr>
                <w:noProof/>
                <w:webHidden/>
              </w:rPr>
              <w:fldChar w:fldCharType="begin"/>
            </w:r>
            <w:r w:rsidR="00785B6A">
              <w:rPr>
                <w:noProof/>
                <w:webHidden/>
              </w:rPr>
              <w:instrText xml:space="preserve"> PAGEREF _Toc152874625 \h </w:instrText>
            </w:r>
            <w:r w:rsidR="00785B6A">
              <w:rPr>
                <w:noProof/>
                <w:webHidden/>
              </w:rPr>
            </w:r>
            <w:r w:rsidR="00785B6A">
              <w:rPr>
                <w:noProof/>
                <w:webHidden/>
              </w:rPr>
              <w:fldChar w:fldCharType="separate"/>
            </w:r>
            <w:r w:rsidR="00785B6A">
              <w:rPr>
                <w:noProof/>
                <w:webHidden/>
              </w:rPr>
              <w:t>7</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26" w:history="1">
            <w:r w:rsidR="00785B6A" w:rsidRPr="00F83738">
              <w:rPr>
                <w:rStyle w:val="Hyperlink"/>
                <w:noProof/>
              </w:rPr>
              <w:t>Intersectionality</w:t>
            </w:r>
            <w:r w:rsidR="00785B6A">
              <w:rPr>
                <w:noProof/>
                <w:webHidden/>
              </w:rPr>
              <w:tab/>
            </w:r>
            <w:r w:rsidR="00785B6A">
              <w:rPr>
                <w:noProof/>
                <w:webHidden/>
              </w:rPr>
              <w:fldChar w:fldCharType="begin"/>
            </w:r>
            <w:r w:rsidR="00785B6A">
              <w:rPr>
                <w:noProof/>
                <w:webHidden/>
              </w:rPr>
              <w:instrText xml:space="preserve"> PAGEREF _Toc152874626 \h </w:instrText>
            </w:r>
            <w:r w:rsidR="00785B6A">
              <w:rPr>
                <w:noProof/>
                <w:webHidden/>
              </w:rPr>
            </w:r>
            <w:r w:rsidR="00785B6A">
              <w:rPr>
                <w:noProof/>
                <w:webHidden/>
              </w:rPr>
              <w:fldChar w:fldCharType="separate"/>
            </w:r>
            <w:r w:rsidR="00785B6A">
              <w:rPr>
                <w:noProof/>
                <w:webHidden/>
              </w:rPr>
              <w:t>7</w:t>
            </w:r>
            <w:r w:rsidR="00785B6A">
              <w:rPr>
                <w:noProof/>
                <w:webHidden/>
              </w:rPr>
              <w:fldChar w:fldCharType="end"/>
            </w:r>
          </w:hyperlink>
        </w:p>
        <w:p w:rsidR="00785B6A" w:rsidRDefault="00D46E7C">
          <w:pPr>
            <w:pStyle w:val="TOC2"/>
            <w:tabs>
              <w:tab w:val="right" w:leader="dot" w:pos="9350"/>
            </w:tabs>
            <w:rPr>
              <w:rFonts w:eastAsiaTheme="minorEastAsia"/>
              <w:noProof/>
              <w:sz w:val="22"/>
            </w:rPr>
          </w:pPr>
          <w:hyperlink w:anchor="_Toc152874627" w:history="1">
            <w:r w:rsidR="00785B6A" w:rsidRPr="00F83738">
              <w:rPr>
                <w:rStyle w:val="Hyperlink"/>
                <w:noProof/>
              </w:rPr>
              <w:t>Changing Organizational Culture</w:t>
            </w:r>
            <w:r w:rsidR="00785B6A">
              <w:rPr>
                <w:noProof/>
                <w:webHidden/>
              </w:rPr>
              <w:tab/>
            </w:r>
            <w:r w:rsidR="00785B6A">
              <w:rPr>
                <w:noProof/>
                <w:webHidden/>
              </w:rPr>
              <w:fldChar w:fldCharType="begin"/>
            </w:r>
            <w:r w:rsidR="00785B6A">
              <w:rPr>
                <w:noProof/>
                <w:webHidden/>
              </w:rPr>
              <w:instrText xml:space="preserve"> PAGEREF _Toc152874627 \h </w:instrText>
            </w:r>
            <w:r w:rsidR="00785B6A">
              <w:rPr>
                <w:noProof/>
                <w:webHidden/>
              </w:rPr>
            </w:r>
            <w:r w:rsidR="00785B6A">
              <w:rPr>
                <w:noProof/>
                <w:webHidden/>
              </w:rPr>
              <w:fldChar w:fldCharType="separate"/>
            </w:r>
            <w:r w:rsidR="00785B6A">
              <w:rPr>
                <w:noProof/>
                <w:webHidden/>
              </w:rPr>
              <w:t>7</w:t>
            </w:r>
            <w:r w:rsidR="00785B6A">
              <w:rPr>
                <w:noProof/>
                <w:webHidden/>
              </w:rPr>
              <w:fldChar w:fldCharType="end"/>
            </w:r>
          </w:hyperlink>
        </w:p>
        <w:p w:rsidR="00785B6A" w:rsidRDefault="00D46E7C">
          <w:pPr>
            <w:pStyle w:val="TOC1"/>
            <w:tabs>
              <w:tab w:val="right" w:leader="dot" w:pos="9350"/>
            </w:tabs>
            <w:rPr>
              <w:rFonts w:eastAsiaTheme="minorEastAsia"/>
              <w:noProof/>
              <w:sz w:val="22"/>
            </w:rPr>
          </w:pPr>
          <w:hyperlink w:anchor="_Toc152874628" w:history="1">
            <w:r w:rsidR="00785B6A" w:rsidRPr="00F83738">
              <w:rPr>
                <w:rStyle w:val="Hyperlink"/>
                <w:noProof/>
              </w:rPr>
              <w:t>Conclusion</w:t>
            </w:r>
            <w:r w:rsidR="00785B6A">
              <w:rPr>
                <w:noProof/>
                <w:webHidden/>
              </w:rPr>
              <w:tab/>
            </w:r>
            <w:r w:rsidR="00785B6A">
              <w:rPr>
                <w:noProof/>
                <w:webHidden/>
              </w:rPr>
              <w:fldChar w:fldCharType="begin"/>
            </w:r>
            <w:r w:rsidR="00785B6A">
              <w:rPr>
                <w:noProof/>
                <w:webHidden/>
              </w:rPr>
              <w:instrText xml:space="preserve"> PAGEREF _Toc152874628 \h </w:instrText>
            </w:r>
            <w:r w:rsidR="00785B6A">
              <w:rPr>
                <w:noProof/>
                <w:webHidden/>
              </w:rPr>
            </w:r>
            <w:r w:rsidR="00785B6A">
              <w:rPr>
                <w:noProof/>
                <w:webHidden/>
              </w:rPr>
              <w:fldChar w:fldCharType="separate"/>
            </w:r>
            <w:r w:rsidR="00785B6A">
              <w:rPr>
                <w:noProof/>
                <w:webHidden/>
              </w:rPr>
              <w:t>8</w:t>
            </w:r>
            <w:r w:rsidR="00785B6A">
              <w:rPr>
                <w:noProof/>
                <w:webHidden/>
              </w:rPr>
              <w:fldChar w:fldCharType="end"/>
            </w:r>
          </w:hyperlink>
        </w:p>
        <w:p w:rsidR="00785B6A" w:rsidRDefault="00D46E7C">
          <w:pPr>
            <w:pStyle w:val="TOC1"/>
            <w:tabs>
              <w:tab w:val="right" w:leader="dot" w:pos="9350"/>
            </w:tabs>
            <w:rPr>
              <w:rFonts w:eastAsiaTheme="minorEastAsia"/>
              <w:noProof/>
              <w:sz w:val="22"/>
            </w:rPr>
          </w:pPr>
          <w:hyperlink w:anchor="_Toc152874629" w:history="1">
            <w:r w:rsidR="00785B6A" w:rsidRPr="00F83738">
              <w:rPr>
                <w:rStyle w:val="Hyperlink"/>
                <w:noProof/>
              </w:rPr>
              <w:t>References</w:t>
            </w:r>
            <w:r w:rsidR="00785B6A">
              <w:rPr>
                <w:noProof/>
                <w:webHidden/>
              </w:rPr>
              <w:tab/>
            </w:r>
            <w:r w:rsidR="00785B6A">
              <w:rPr>
                <w:noProof/>
                <w:webHidden/>
              </w:rPr>
              <w:fldChar w:fldCharType="begin"/>
            </w:r>
            <w:r w:rsidR="00785B6A">
              <w:rPr>
                <w:noProof/>
                <w:webHidden/>
              </w:rPr>
              <w:instrText xml:space="preserve"> PAGEREF _Toc152874629 \h </w:instrText>
            </w:r>
            <w:r w:rsidR="00785B6A">
              <w:rPr>
                <w:noProof/>
                <w:webHidden/>
              </w:rPr>
            </w:r>
            <w:r w:rsidR="00785B6A">
              <w:rPr>
                <w:noProof/>
                <w:webHidden/>
              </w:rPr>
              <w:fldChar w:fldCharType="separate"/>
            </w:r>
            <w:r w:rsidR="00785B6A">
              <w:rPr>
                <w:noProof/>
                <w:webHidden/>
              </w:rPr>
              <w:t>9</w:t>
            </w:r>
            <w:r w:rsidR="00785B6A">
              <w:rPr>
                <w:noProof/>
                <w:webHidden/>
              </w:rPr>
              <w:fldChar w:fldCharType="end"/>
            </w:r>
          </w:hyperlink>
        </w:p>
        <w:p w:rsidR="00785B6A" w:rsidRDefault="00785B6A">
          <w:r>
            <w:rPr>
              <w:b/>
              <w:bCs/>
              <w:noProof/>
            </w:rPr>
            <w:fldChar w:fldCharType="end"/>
          </w:r>
        </w:p>
      </w:sdtContent>
    </w:sdt>
    <w:p w:rsidR="005E24F9" w:rsidRDefault="005E24F9">
      <w:pPr>
        <w:spacing w:line="259" w:lineRule="auto"/>
        <w:jc w:val="left"/>
        <w:rPr>
          <w:rFonts w:eastAsiaTheme="majorEastAsia" w:cstheme="majorBidi"/>
          <w:b/>
          <w:sz w:val="32"/>
          <w:szCs w:val="32"/>
        </w:rPr>
      </w:pPr>
      <w:r>
        <w:br w:type="page"/>
      </w:r>
    </w:p>
    <w:p w:rsidR="00F23A01" w:rsidRDefault="00F23A01" w:rsidP="00F23A01">
      <w:pPr>
        <w:pStyle w:val="Heading1"/>
      </w:pPr>
      <w:bookmarkStart w:id="1" w:name="_Toc152776151"/>
      <w:bookmarkStart w:id="2" w:name="_Toc152874612"/>
      <w:r>
        <w:lastRenderedPageBreak/>
        <w:t>Introduction</w:t>
      </w:r>
      <w:bookmarkEnd w:id="1"/>
      <w:bookmarkEnd w:id="2"/>
    </w:p>
    <w:p w:rsidR="00F23A01" w:rsidRDefault="00F23A01" w:rsidP="00F23A01">
      <w:r>
        <w:t>The legal profession plays a pivotal role in upholding justice and ensuring the rule of law. In recent years, there has been an increasing recognition of the importance of promoting equality and diversity within the legal sector. This essay explores how individuals working in the legal profession and regulatory bodies, such as the Solicitors Regulation Authority (SRA), Bar Standards Board (BSB), and CILEX Regulation, contribute to fostering equality and diversity. The analysis will delve into key legislative frameworks, including the Legal Services Act 2007 and the Equality Act 2010, as well as specific codes of conduct such as the SRA Code of Conduct, CILEX Code of Conduct, and the BSB Handbook</w:t>
      </w:r>
      <w:r w:rsidR="005E5251">
        <w:t xml:space="preserve"> </w:t>
      </w:r>
      <w:r w:rsidR="001B0E45" w:rsidRPr="005E5251">
        <w:rPr>
          <w:noProof/>
        </w:rPr>
        <w:t>(Armour, 2020)</w:t>
      </w:r>
      <w:r>
        <w:t>.</w:t>
      </w:r>
    </w:p>
    <w:p w:rsidR="00F23A01" w:rsidRDefault="00F23A01" w:rsidP="00F23A01">
      <w:pPr>
        <w:pStyle w:val="Heading1"/>
      </w:pPr>
      <w:bookmarkStart w:id="3" w:name="_Toc152776152"/>
      <w:bookmarkStart w:id="4" w:name="_Toc152874613"/>
      <w:r>
        <w:t>Legal Frameworks: The Foundation for Equality and Diversity</w:t>
      </w:r>
      <w:bookmarkEnd w:id="3"/>
      <w:bookmarkEnd w:id="4"/>
    </w:p>
    <w:p w:rsidR="00F23A01" w:rsidRPr="001B0E45" w:rsidRDefault="00F23A01" w:rsidP="001B0E45">
      <w:pPr>
        <w:pStyle w:val="Heading2"/>
      </w:pPr>
      <w:bookmarkStart w:id="5" w:name="_Toc152776153"/>
      <w:bookmarkStart w:id="6" w:name="_Toc152874614"/>
      <w:r w:rsidRPr="001B0E45">
        <w:t>The Legal Services Act 2007</w:t>
      </w:r>
      <w:bookmarkEnd w:id="5"/>
      <w:bookmarkEnd w:id="6"/>
    </w:p>
    <w:p w:rsidR="00F23A01" w:rsidRDefault="00F23A01" w:rsidP="00F23A01">
      <w:r>
        <w:t>The Legal Services Act 2007 is a landmark piece of legislation that reformed the legal services market in England and Wales. While its primary aim was to enhance competition and increase consumer choice, it also played a significant role in promoting equality and diversity within the legal profession. The Act established the Legal Services Board (LSB) as an overarching regulatory body with the responsibility to oversee frontline regulators, including the SRA, BSB, and CILEX Regulation</w:t>
      </w:r>
      <w:r w:rsidR="00325FD6">
        <w:t xml:space="preserve"> </w:t>
      </w:r>
      <w:r w:rsidR="001B0E45" w:rsidRPr="00325FD6">
        <w:rPr>
          <w:noProof/>
        </w:rPr>
        <w:t>(Blackwell, 2019)</w:t>
      </w:r>
      <w:r>
        <w:t>.</w:t>
      </w:r>
    </w:p>
    <w:p w:rsidR="00F23A01" w:rsidRDefault="00F23A01" w:rsidP="00F23A01">
      <w:r>
        <w:t>Under the Legal Services Act, regulatory bodies are required to have regard to the regulatory objectives outlined in Section 1. These objectives include, among others, protecting and promoting the public interest, supporting the constitutional principle of the rule of law, and promoting access to justice. By emphasizing these principles, the Act sets the stage for regulatory bodies to actively engage in initiatives that foster equality and diversity.</w:t>
      </w:r>
    </w:p>
    <w:p w:rsidR="00F23A01" w:rsidRDefault="00F23A01" w:rsidP="00F23A01">
      <w:pPr>
        <w:pStyle w:val="Heading2"/>
      </w:pPr>
      <w:bookmarkStart w:id="7" w:name="_Toc152776154"/>
      <w:bookmarkStart w:id="8" w:name="_Toc152874615"/>
      <w:r>
        <w:t>The Equality Act 2010</w:t>
      </w:r>
      <w:bookmarkEnd w:id="7"/>
      <w:bookmarkEnd w:id="8"/>
    </w:p>
    <w:p w:rsidR="00F23A01" w:rsidRDefault="00F23A01" w:rsidP="00F23A01">
      <w:r>
        <w:t xml:space="preserve">The Equality Act 2010 is a comprehensive piece of legislation that consolidates and strengthens previous anti-discrimination laws in the United Kingdom. It covers a wide range of characteristics, including age, disability, gender reassignment, marriage and civil partnership, pregnancy and maternity, race, religion or belief, sex, and sexual orientation. The Act provides a robust legal </w:t>
      </w:r>
      <w:r>
        <w:lastRenderedPageBreak/>
        <w:t>framework for promoting equality and tackling discrimination across various sectors, including the legal profession</w:t>
      </w:r>
      <w:r w:rsidR="00325FD6">
        <w:t xml:space="preserve"> </w:t>
      </w:r>
      <w:r w:rsidR="001B0E45" w:rsidRPr="00325FD6">
        <w:rPr>
          <w:noProof/>
        </w:rPr>
        <w:t>(Boon, 2011)</w:t>
      </w:r>
      <w:r>
        <w:t>.</w:t>
      </w:r>
    </w:p>
    <w:p w:rsidR="00F23A01" w:rsidRDefault="00F23A01" w:rsidP="00F23A01">
      <w:r>
        <w:t>In the context of the legal profession, the Equality Act 2010 has a direct impact on recruitment practices, workplace culture, and the provision of legal services. Regulatory bodies, law firms, and individual legal professionals must comply with the Act's provisions to ensure a fair and inclusive environment. This includes promoting equal opportunities, preventing discrimination, and fostering a diverse workforce that reflects the wider community.</w:t>
      </w:r>
    </w:p>
    <w:p w:rsidR="00F23A01" w:rsidRDefault="00F23A01" w:rsidP="00F23A01">
      <w:pPr>
        <w:pStyle w:val="Heading1"/>
      </w:pPr>
      <w:bookmarkStart w:id="9" w:name="_Toc152776155"/>
      <w:bookmarkStart w:id="10" w:name="_Toc152874616"/>
      <w:r>
        <w:t>Regulatory Codes of Conduct: Setting Standards for Equality and Diversity</w:t>
      </w:r>
      <w:bookmarkEnd w:id="9"/>
      <w:bookmarkEnd w:id="10"/>
    </w:p>
    <w:p w:rsidR="00F23A01" w:rsidRDefault="00F23A01" w:rsidP="00F23A01">
      <w:pPr>
        <w:pStyle w:val="Heading2"/>
      </w:pPr>
      <w:bookmarkStart w:id="11" w:name="_Toc152776156"/>
      <w:bookmarkStart w:id="12" w:name="_Toc152874617"/>
      <w:r>
        <w:t>SRA Code of Conduct</w:t>
      </w:r>
      <w:bookmarkEnd w:id="11"/>
      <w:bookmarkEnd w:id="12"/>
    </w:p>
    <w:p w:rsidR="00F23A01" w:rsidRDefault="00F23A01" w:rsidP="00F23A01">
      <w:r>
        <w:t>The Solicitors Regulation Authority (SRA) is the regulatory body responsible for overseeing solicitors and law firms in England and Wales. The SRA Code of Conduct sets out the ethical standards and professional requirements that solicitors must adhere to in their practice. The Code includes specific provisions related to equality, diversity, and inclusion</w:t>
      </w:r>
      <w:r w:rsidR="00325FD6">
        <w:t xml:space="preserve"> </w:t>
      </w:r>
      <w:r w:rsidR="001B0E45" w:rsidRPr="00325FD6">
        <w:rPr>
          <w:noProof/>
        </w:rPr>
        <w:t>(Butler, 2016)</w:t>
      </w:r>
      <w:r>
        <w:t>.</w:t>
      </w:r>
    </w:p>
    <w:p w:rsidR="00F23A01" w:rsidRDefault="00F23A01" w:rsidP="00F23A01">
      <w:r>
        <w:t>For instance, Principle 9 of the SRA Code of Conduct states that solicitors must run their business or carry out their role in the business in a way that encourages equality of opportunity and respect for diversity. This principle is underpinned by detailed outcomes and indicative behaviors that guide solicitors on how to achieve these objectives in practical terms. By incorporating these requirements into their daily practices, solicitors contribute to a legal profession that is more representative and inclusive.</w:t>
      </w:r>
    </w:p>
    <w:p w:rsidR="00F23A01" w:rsidRDefault="00F23A01" w:rsidP="00F23A01">
      <w:pPr>
        <w:pStyle w:val="Heading2"/>
      </w:pPr>
      <w:bookmarkStart w:id="13" w:name="_Toc152776157"/>
      <w:bookmarkStart w:id="14" w:name="_Toc152874618"/>
      <w:r>
        <w:t>BSB Handbook</w:t>
      </w:r>
      <w:bookmarkEnd w:id="13"/>
      <w:bookmarkEnd w:id="14"/>
    </w:p>
    <w:p w:rsidR="00F23A01" w:rsidRDefault="00F23A01" w:rsidP="00F23A01">
      <w:r>
        <w:t>The Bar Standards Board (BSB) is the regulatory body overseeing barristers in England and Wales. The BSB Handbook sets out the rules and guidance that barristers must follow in their professional conduct. Like the SRA Code of Conduct, the BSB Handbook includes provisions that address equality and diversity issues</w:t>
      </w:r>
      <w:r w:rsidR="00325FD6">
        <w:t xml:space="preserve"> </w:t>
      </w:r>
      <w:r w:rsidR="001B0E45" w:rsidRPr="00325FD6">
        <w:rPr>
          <w:noProof/>
        </w:rPr>
        <w:t>(Stephen, 2008)</w:t>
      </w:r>
      <w:r>
        <w:t>.</w:t>
      </w:r>
    </w:p>
    <w:p w:rsidR="00F23A01" w:rsidRDefault="00F23A01" w:rsidP="00F23A01"/>
    <w:p w:rsidR="00F23A01" w:rsidRDefault="00F23A01" w:rsidP="00F23A01">
      <w:r>
        <w:lastRenderedPageBreak/>
        <w:t>The Equality and Diversity Rules of the BSB Handbook require barristers to eliminate discrimination, harassment, victimization, and any other conduct that is prohibited by the Equality Act 2010. Barristers are also expected to promote equality of opportunity and diversity within their practices. This includes fostering a working environment that is free from discrimination and actively promoting equal access to the legal profession.</w:t>
      </w:r>
    </w:p>
    <w:p w:rsidR="00F23A01" w:rsidRDefault="00F23A01" w:rsidP="00F23A01">
      <w:pPr>
        <w:pStyle w:val="Heading2"/>
      </w:pPr>
      <w:bookmarkStart w:id="15" w:name="_Toc152776158"/>
      <w:bookmarkStart w:id="16" w:name="_Toc152874619"/>
      <w:r>
        <w:t>CILEX Code of Conduct</w:t>
      </w:r>
      <w:bookmarkEnd w:id="15"/>
      <w:bookmarkEnd w:id="16"/>
    </w:p>
    <w:p w:rsidR="00F23A01" w:rsidRDefault="00F23A01" w:rsidP="00F23A01">
      <w:r>
        <w:t>The Chartered Institute of Legal Executives (CILEX) is another regulatory body overseeing legal professionals in England and Wales. The CILEX Code of Conduct establishes the ethical principles and standards that legal executives and practitioners must adhere to in their practice</w:t>
      </w:r>
      <w:r w:rsidR="00325FD6">
        <w:t xml:space="preserve"> </w:t>
      </w:r>
      <w:r w:rsidR="001B0E45" w:rsidRPr="00325FD6">
        <w:rPr>
          <w:noProof/>
        </w:rPr>
        <w:t>(Wadham, 2010)</w:t>
      </w:r>
      <w:r>
        <w:t>.</w:t>
      </w:r>
    </w:p>
    <w:p w:rsidR="00F23A01" w:rsidRDefault="00F23A01" w:rsidP="00F23A01">
      <w:r>
        <w:t>Similar to the SRA and BSB, CILEX incorporates provisions related to equality and diversity within its Code of Conduct. Legal professionals regulated by CILEX are expected to promote equality and diversity both in their workplaces and in the provision of legal services. The Code encourages an inclusive approach to client care, ensuring that legal services are accessible and tailored to the diverse needs of clients.</w:t>
      </w:r>
    </w:p>
    <w:p w:rsidR="00F23A01" w:rsidRDefault="00F23A01" w:rsidP="00F23A01">
      <w:pPr>
        <w:pStyle w:val="Heading1"/>
      </w:pPr>
      <w:bookmarkStart w:id="17" w:name="_Toc152776159"/>
      <w:bookmarkStart w:id="18" w:name="_Toc152874620"/>
      <w:r>
        <w:t>Initiatives and Best Practices</w:t>
      </w:r>
      <w:bookmarkEnd w:id="17"/>
      <w:bookmarkEnd w:id="18"/>
    </w:p>
    <w:p w:rsidR="00F23A01" w:rsidRDefault="00F23A01" w:rsidP="00F23A01">
      <w:r>
        <w:t>Beyond the statutory and regulatory frameworks, there are additional initiatives and best practices that legal professionals and regulatory bodies can ad</w:t>
      </w:r>
      <w:r w:rsidR="00C859E4">
        <w:t>a</w:t>
      </w:r>
      <w:r>
        <w:t>pt to further promote equality and diversity in the legal profession.</w:t>
      </w:r>
    </w:p>
    <w:p w:rsidR="00A42581" w:rsidRDefault="00F23A01" w:rsidP="00A42581">
      <w:pPr>
        <w:pStyle w:val="Heading2"/>
      </w:pPr>
      <w:bookmarkStart w:id="19" w:name="_Toc152776160"/>
      <w:bookmarkStart w:id="20" w:name="_Toc152874621"/>
      <w:r>
        <w:t>Diversity and Inclusion Policies</w:t>
      </w:r>
      <w:bookmarkEnd w:id="19"/>
      <w:bookmarkEnd w:id="20"/>
    </w:p>
    <w:p w:rsidR="00F23A01" w:rsidRDefault="00A42581" w:rsidP="00A42581">
      <w:r>
        <w:t>Numerous law firms and legal entities have implemented robust diversity and inclusion policies, surpassing basic legal compliance. These initiatives are designed to proactively tackle equality and diversity concerns within the legal profession. Going beyond the minimum requirements, these policies articulate precise actions to foster a diverse workforce and cultivate an inclusive workplace culture</w:t>
      </w:r>
      <w:r w:rsidR="00325FD6">
        <w:t xml:space="preserve"> </w:t>
      </w:r>
      <w:r w:rsidR="001B0E45" w:rsidRPr="00325FD6">
        <w:rPr>
          <w:noProof/>
        </w:rPr>
        <w:t>(Wadham, 2010)</w:t>
      </w:r>
      <w:r>
        <w:t xml:space="preserve">. Strategies may involve targeted recruitment efforts aimed at underrepresented groups, the establishment of mentoring programs, and the implementation of training sessions addressing unconscious bias. By adopting these comprehensive measures, </w:t>
      </w:r>
      <w:r>
        <w:lastRenderedPageBreak/>
        <w:t>legal organizations aim to not only meet regulatory standards but also actively contribute to the creation of an equitable and inclusive legal environment.</w:t>
      </w:r>
    </w:p>
    <w:p w:rsidR="00F23A01" w:rsidRDefault="00F23A01" w:rsidP="00F23A01">
      <w:pPr>
        <w:pStyle w:val="Heading2"/>
      </w:pPr>
      <w:bookmarkStart w:id="21" w:name="_Toc152776161"/>
      <w:bookmarkStart w:id="22" w:name="_Toc152874622"/>
      <w:r>
        <w:t>Reporting and Monitoring</w:t>
      </w:r>
      <w:bookmarkEnd w:id="21"/>
      <w:bookmarkEnd w:id="22"/>
    </w:p>
    <w:p w:rsidR="00F23A01" w:rsidRDefault="009F5AA4" w:rsidP="00F23A01">
      <w:r w:rsidRPr="009F5AA4">
        <w:t>Transparent reporting and robust monitoring mechanisms play a pivotal role in evaluating advancements towards equality and diversity. Legal entities and professionals frequently face mandates from regulatory bodies to furnish diversity data, facilitating trend</w:t>
      </w:r>
      <w:r w:rsidR="00C859E4">
        <w:t>ing</w:t>
      </w:r>
      <w:r w:rsidRPr="009F5AA4">
        <w:t xml:space="preserve"> analysis and pinpointing avenues for enhancement. The disclosure of such information fosters accountability, compelling organizations to proactively rectify any identified disparities</w:t>
      </w:r>
      <w:r w:rsidR="00325FD6">
        <w:t xml:space="preserve"> </w:t>
      </w:r>
      <w:r w:rsidR="001B0E45" w:rsidRPr="00325FD6">
        <w:rPr>
          <w:noProof/>
        </w:rPr>
        <w:t>(Armour, 2020)</w:t>
      </w:r>
      <w:r w:rsidRPr="009F5AA4">
        <w:t>. By adhering to effective reporting practices, the legal sector not only meets regulatory obligations but also actively engages in a continuous improvement cycle, ensuring that diversity and equality are not just acknowledged but actively pursued. This commitment to transparency ultimately strengthens the fabric of inclusivity, fostering a culture where diversity is not just a goal but an integral part of organizational ethos and success.</w:t>
      </w:r>
    </w:p>
    <w:p w:rsidR="00F23A01" w:rsidRDefault="00F23A01" w:rsidP="00F23A01">
      <w:pPr>
        <w:pStyle w:val="Heading2"/>
      </w:pPr>
      <w:bookmarkStart w:id="23" w:name="_Toc152776162"/>
      <w:bookmarkStart w:id="24" w:name="_Toc152874623"/>
      <w:r>
        <w:t>Training and Awareness Programs</w:t>
      </w:r>
      <w:bookmarkEnd w:id="23"/>
      <w:bookmarkEnd w:id="24"/>
    </w:p>
    <w:p w:rsidR="00F23A01" w:rsidRDefault="009F5AA4" w:rsidP="00F23A01">
      <w:r>
        <w:t>Educational initiatives and awareness programs are pivotal in cultivating a culture of equality and diversity, especially within the legal profession. Training legal professionals on topics like unconscious bias, cultural competence, and inclusive leadership is essential for fostering a more inclusive environment. By providing individuals with the necessary knowledge and skills to navigate diverse settings, the legal field can significantly contribute to creating a welcoming space for everyone</w:t>
      </w:r>
      <w:r w:rsidR="00325FD6">
        <w:t xml:space="preserve"> </w:t>
      </w:r>
      <w:r w:rsidR="001B0E45" w:rsidRPr="00325FD6">
        <w:rPr>
          <w:noProof/>
        </w:rPr>
        <w:t>(Blackwell, 2019)</w:t>
      </w:r>
      <w:r>
        <w:t>. This proactive approach not only enhances professional relationships but also strengthens the foundation of a fair and just legal system. Ultimately, prioritizing education in these areas ensures that legal professionals are better equipped to address the complexities of an increasingly diverse society, promoting equity and understanding in the pursuit of justice</w:t>
      </w:r>
      <w:r w:rsidR="00F23A01">
        <w:t>.</w:t>
      </w:r>
    </w:p>
    <w:p w:rsidR="00F23A01" w:rsidRDefault="00F23A01" w:rsidP="00F23A01">
      <w:pPr>
        <w:pStyle w:val="Heading1"/>
      </w:pPr>
      <w:bookmarkStart w:id="25" w:name="_Toc152776163"/>
      <w:bookmarkStart w:id="26" w:name="_Toc152874624"/>
      <w:r>
        <w:lastRenderedPageBreak/>
        <w:t>Challenges and Future Considerations</w:t>
      </w:r>
      <w:bookmarkEnd w:id="25"/>
      <w:bookmarkEnd w:id="26"/>
    </w:p>
    <w:p w:rsidR="00F23A01" w:rsidRDefault="00F23A01" w:rsidP="00F23A01">
      <w:r>
        <w:t>While significant progress has been made in promoting equality and diversity in the legal profession, challenges persist, and there is still work to be done. Some of the key challenges include:</w:t>
      </w:r>
    </w:p>
    <w:p w:rsidR="00F23A01" w:rsidRDefault="00F23A01" w:rsidP="00F23A01">
      <w:pPr>
        <w:pStyle w:val="Heading2"/>
      </w:pPr>
      <w:bookmarkStart w:id="27" w:name="_Toc152776164"/>
      <w:bookmarkStart w:id="28" w:name="_Toc152874625"/>
      <w:r>
        <w:t>Underrepresentation in Leadership Roles</w:t>
      </w:r>
      <w:bookmarkEnd w:id="27"/>
      <w:bookmarkEnd w:id="28"/>
    </w:p>
    <w:p w:rsidR="00F23A01" w:rsidRDefault="009F5AA4" w:rsidP="00F23A01">
      <w:r w:rsidRPr="009F5AA4">
        <w:t>In striving to enhance diversity within the legal profession, significant disparities persist in the representation of certain groups in leadership positions. Overcoming these challenges necessitates dismantling barriers to advancement and fostering inclusivity at the pinnacle of the legal hierarchy. A genuine commitment to diversity at the highest levels is indispensable for cultivating a legal sector that authentically mirrors the multifaceted composition of society. By addressing these disparities and promoting equitable opportunities, the legal profession can evolve into a more representative and inclusive field, fostering a culture that values the varied perspectives and experiences of i</w:t>
      </w:r>
      <w:r>
        <w:t>ndividuals from all backgrounds</w:t>
      </w:r>
      <w:r w:rsidR="00325FD6">
        <w:t xml:space="preserve"> </w:t>
      </w:r>
      <w:r w:rsidR="001B0E45" w:rsidRPr="00325FD6">
        <w:rPr>
          <w:noProof/>
        </w:rPr>
        <w:t>(Boon, 2011)</w:t>
      </w:r>
      <w:r w:rsidR="00F23A01">
        <w:t>.</w:t>
      </w:r>
    </w:p>
    <w:p w:rsidR="00F23A01" w:rsidRDefault="00F23A01" w:rsidP="00F23A01">
      <w:pPr>
        <w:pStyle w:val="Heading2"/>
      </w:pPr>
      <w:bookmarkStart w:id="29" w:name="_Toc152776165"/>
      <w:bookmarkStart w:id="30" w:name="_Toc152874626"/>
      <w:r>
        <w:t>Intersectionality</w:t>
      </w:r>
      <w:bookmarkEnd w:id="29"/>
      <w:bookmarkEnd w:id="30"/>
    </w:p>
    <w:p w:rsidR="00F23A01" w:rsidRDefault="00F23A01" w:rsidP="00F23A01">
      <w:r>
        <w:t>Navigating the intersectionality of race, gender, and disability introduces distinctive challenges, demanding nuanced and customized strategies. Regulatory bodies and legal entities face the imperative of comprehending the intricate interplay among diverse factors. Effective initiatives must be crafted to specifically cater to the unique needs of individuals navigating the convergence of multiple identities. Recognizing the complexity of these intersections becomes paramount for fostering inclusivity and dismantling systemic barriers. Tailoring approaches to the multifaceted nature of identity ensures a more equitable and just legal landscape, acknowledging the diverse experiences and challenges faced by individuals with intersecting characteristics</w:t>
      </w:r>
      <w:r w:rsidR="00325FD6">
        <w:t xml:space="preserve"> </w:t>
      </w:r>
      <w:r w:rsidR="001B0E45" w:rsidRPr="00325FD6">
        <w:rPr>
          <w:noProof/>
        </w:rPr>
        <w:t>(Butler, 2016)</w:t>
      </w:r>
      <w:r>
        <w:t>.</w:t>
      </w:r>
    </w:p>
    <w:p w:rsidR="00F23A01" w:rsidRDefault="00F23A01" w:rsidP="00F23A01">
      <w:pPr>
        <w:pStyle w:val="Heading2"/>
      </w:pPr>
      <w:bookmarkStart w:id="31" w:name="_Toc152776166"/>
      <w:bookmarkStart w:id="32" w:name="_Toc152874627"/>
      <w:r>
        <w:t>Changing Organizational Culture</w:t>
      </w:r>
      <w:bookmarkEnd w:id="31"/>
      <w:bookmarkEnd w:id="32"/>
    </w:p>
    <w:p w:rsidR="00261BDA" w:rsidRDefault="00F23A01" w:rsidP="00F23A01">
      <w:r w:rsidRPr="00F23A01">
        <w:t xml:space="preserve">Promoting equality and diversity extends beyond mere compliance, necessitating a profound transformation in organizational culture. While achieving this cultural shift can pose challenges, it is indispensable for creating enduring change. This involves not only adhering to regulations </w:t>
      </w:r>
      <w:r w:rsidRPr="00F23A01">
        <w:lastRenderedPageBreak/>
        <w:t>but also confronting deeply rooted attitudes, nurturing a sense of belonging, and participating in continuous dialogues on diversity and inclusion. A proactive approach to challenging biases and fostering inclusivity is vital, fostering an environment where all individuals feel valued. By prioritizing this cultural evolution, institutions can build a foundation for sustainable and meaningful advancements in equality and diversity, transcending token gestures to create a truly inclusive and equitable workplace</w:t>
      </w:r>
      <w:r w:rsidR="00325FD6">
        <w:t xml:space="preserve"> </w:t>
      </w:r>
      <w:r w:rsidR="001B0E45" w:rsidRPr="00325FD6">
        <w:rPr>
          <w:noProof/>
        </w:rPr>
        <w:t>(Stephen, 2008)</w:t>
      </w:r>
      <w:r w:rsidRPr="00F23A01">
        <w:t>.</w:t>
      </w:r>
    </w:p>
    <w:p w:rsidR="00563BF5" w:rsidRDefault="00563BF5" w:rsidP="00563BF5">
      <w:pPr>
        <w:pStyle w:val="Heading1"/>
      </w:pPr>
      <w:bookmarkStart w:id="33" w:name="_Toc152776167"/>
      <w:bookmarkStart w:id="34" w:name="_Toc152874628"/>
      <w:r>
        <w:t>Conclusion</w:t>
      </w:r>
      <w:bookmarkEnd w:id="33"/>
      <w:bookmarkEnd w:id="34"/>
    </w:p>
    <w:p w:rsidR="005E5251" w:rsidRDefault="00563BF5" w:rsidP="00F23A01">
      <w:r w:rsidRPr="00563BF5">
        <w:t>In conclusion, the legal profession's commitment to equality and diversity is evident through legislative frameworks, regulatory codes, and proactive initiatives. The Legal Services Act 2007 and the Equality Act 2010 provide a solid foundation, mandating regulatory bodies to prioritize public interest, access to justice, and diversity. The SRA Code of Conduct, BSB Handbook, and CILEX Code of Conduct establish ethical standards, ensuring solicitors, barristers, and legal executives actively contribute to equality and diversity. Beyond compliance, legal entities adopt inclusive policies, transparent reporting, and training programs, fostering a culture of continuous improvement</w:t>
      </w:r>
      <w:r w:rsidR="00325FD6">
        <w:t xml:space="preserve"> </w:t>
      </w:r>
      <w:sdt>
        <w:sdtPr>
          <w:id w:val="-1211723980"/>
          <w:citation/>
        </w:sdtPr>
        <w:sdtEndPr/>
        <w:sdtContent>
          <w:r w:rsidR="00325FD6">
            <w:fldChar w:fldCharType="begin"/>
          </w:r>
          <w:r w:rsidR="00325FD6">
            <w:instrText xml:space="preserve"> CITATION Joh20 \l 1033 </w:instrText>
          </w:r>
          <w:r w:rsidR="00325FD6">
            <w:fldChar w:fldCharType="separate"/>
          </w:r>
          <w:r w:rsidR="00325FD6" w:rsidRPr="00325FD6">
            <w:rPr>
              <w:noProof/>
            </w:rPr>
            <w:t>(Armour, 2020)</w:t>
          </w:r>
          <w:r w:rsidR="00325FD6">
            <w:fldChar w:fldCharType="end"/>
          </w:r>
        </w:sdtContent>
      </w:sdt>
      <w:r w:rsidRPr="00563BF5">
        <w:t>. However, challenges persist, such as underrepresentation in leadership, intersectionality complexities, and the need for transformative cultural shifts. Overcoming these challenges requires sustained commitment, tailored strategies, and a collective effort to create a legal profession that authentically reflects and embraces diversity.</w:t>
      </w:r>
    </w:p>
    <w:p w:rsidR="005E5251" w:rsidRDefault="005E5251" w:rsidP="005E5251">
      <w:r>
        <w:br w:type="page"/>
      </w:r>
    </w:p>
    <w:bookmarkStart w:id="35" w:name="_Toc152874629" w:displacedByCustomXml="next"/>
    <w:sdt>
      <w:sdtPr>
        <w:rPr>
          <w:rFonts w:eastAsiaTheme="minorHAnsi" w:cstheme="minorBidi"/>
          <w:b w:val="0"/>
          <w:sz w:val="24"/>
          <w:szCs w:val="22"/>
        </w:rPr>
        <w:id w:val="-871846160"/>
        <w:docPartObj>
          <w:docPartGallery w:val="Bibliographies"/>
          <w:docPartUnique/>
        </w:docPartObj>
      </w:sdtPr>
      <w:sdtEndPr/>
      <w:sdtContent>
        <w:p w:rsidR="005E5251" w:rsidRDefault="005E5251">
          <w:pPr>
            <w:pStyle w:val="Heading1"/>
          </w:pPr>
          <w:r>
            <w:t>References</w:t>
          </w:r>
          <w:bookmarkEnd w:id="35"/>
        </w:p>
        <w:p w:rsidR="005E5251" w:rsidRDefault="00C859E4" w:rsidP="005E5251">
          <w:pPr>
            <w:pStyle w:val="Bibliography"/>
            <w:rPr>
              <w:noProof/>
              <w:szCs w:val="24"/>
            </w:rPr>
          </w:pPr>
          <w:r>
            <w:rPr>
              <w:noProof/>
            </w:rPr>
            <w:t>Armour, J.,</w:t>
          </w:r>
          <w:r w:rsidR="005E5251">
            <w:rPr>
              <w:noProof/>
            </w:rPr>
            <w:t xml:space="preserve"> </w:t>
          </w:r>
          <w:r>
            <w:rPr>
              <w:noProof/>
            </w:rPr>
            <w:t>and Sako, M. (</w:t>
          </w:r>
          <w:r w:rsidR="005E5251">
            <w:rPr>
              <w:noProof/>
            </w:rPr>
            <w:t>2020</w:t>
          </w:r>
          <w:r>
            <w:rPr>
              <w:noProof/>
            </w:rPr>
            <w:t>)</w:t>
          </w:r>
          <w:r w:rsidR="005E5251">
            <w:rPr>
              <w:noProof/>
            </w:rPr>
            <w:t>. AI-enabled business models in legal services: from traditional law firms to n</w:t>
          </w:r>
          <w:r>
            <w:rPr>
              <w:noProof/>
            </w:rPr>
            <w:t>ext-generation law companies?</w:t>
          </w:r>
          <w:r w:rsidR="005E5251">
            <w:rPr>
              <w:noProof/>
            </w:rPr>
            <w:t xml:space="preserve"> </w:t>
          </w:r>
          <w:r w:rsidR="005E5251">
            <w:rPr>
              <w:i/>
              <w:iCs/>
              <w:noProof/>
            </w:rPr>
            <w:t xml:space="preserve">Journal of Professions and Organization, </w:t>
          </w:r>
          <w:r w:rsidR="005E5251">
            <w:rPr>
              <w:noProof/>
            </w:rPr>
            <w:t>7(1), pp. 27-46.</w:t>
          </w:r>
          <w:r>
            <w:rPr>
              <w:noProof/>
            </w:rPr>
            <w:t xml:space="preserve"> </w:t>
          </w:r>
        </w:p>
        <w:p w:rsidR="005E5251" w:rsidRDefault="005E5251" w:rsidP="005E5251">
          <w:pPr>
            <w:pStyle w:val="Bibliography"/>
            <w:rPr>
              <w:noProof/>
            </w:rPr>
          </w:pPr>
          <w:r>
            <w:rPr>
              <w:noProof/>
            </w:rPr>
            <w:t xml:space="preserve">Blackwell, M., </w:t>
          </w:r>
          <w:r w:rsidR="007B3595">
            <w:rPr>
              <w:noProof/>
            </w:rPr>
            <w:t>(</w:t>
          </w:r>
          <w:r>
            <w:rPr>
              <w:noProof/>
            </w:rPr>
            <w:t>2019</w:t>
          </w:r>
          <w:r w:rsidR="007B3595">
            <w:rPr>
              <w:noProof/>
            </w:rPr>
            <w:t>)</w:t>
          </w:r>
          <w:r>
            <w:rPr>
              <w:noProof/>
            </w:rPr>
            <w:t xml:space="preserve">. Conduct Unbefitting: Solicitors, the SRA and Tax Avoidance. </w:t>
          </w:r>
          <w:r>
            <w:rPr>
              <w:i/>
              <w:iCs/>
              <w:noProof/>
            </w:rPr>
            <w:t xml:space="preserve">British Tax Review , </w:t>
          </w:r>
          <w:r>
            <w:rPr>
              <w:noProof/>
            </w:rPr>
            <w:t>Volume 1, pp. 31-54.</w:t>
          </w:r>
        </w:p>
        <w:p w:rsidR="009465F2" w:rsidRDefault="005E5251" w:rsidP="009465F2">
          <w:pPr>
            <w:numPr>
              <w:ilvl w:val="0"/>
              <w:numId w:val="1"/>
            </w:numPr>
            <w:spacing w:beforeAutospacing="1" w:after="0" w:afterAutospacing="1"/>
            <w:ind w:left="0"/>
            <w:jc w:val="left"/>
            <w:rPr>
              <w:rFonts w:ascii="Arial" w:hAnsi="Arial" w:cs="Arial"/>
              <w:color w:val="333333"/>
              <w:sz w:val="20"/>
              <w:szCs w:val="20"/>
            </w:rPr>
          </w:pPr>
          <w:r>
            <w:rPr>
              <w:noProof/>
            </w:rPr>
            <w:t xml:space="preserve">Boon, A., </w:t>
          </w:r>
          <w:r w:rsidR="007B3595">
            <w:rPr>
              <w:noProof/>
            </w:rPr>
            <w:t>(</w:t>
          </w:r>
          <w:r>
            <w:rPr>
              <w:noProof/>
            </w:rPr>
            <w:t>2011</w:t>
          </w:r>
          <w:r w:rsidR="007B3595">
            <w:rPr>
              <w:noProof/>
            </w:rPr>
            <w:t>)</w:t>
          </w:r>
          <w:r>
            <w:rPr>
              <w:noProof/>
            </w:rPr>
            <w:t xml:space="preserve">. Professionalism under the Legal Services Act 2007. </w:t>
          </w:r>
          <w:r>
            <w:rPr>
              <w:i/>
              <w:iCs/>
              <w:noProof/>
            </w:rPr>
            <w:t xml:space="preserve">International Journal of the Legal Profession , </w:t>
          </w:r>
          <w:r>
            <w:rPr>
              <w:noProof/>
            </w:rPr>
            <w:t>17(3), pp. 195-232.</w:t>
          </w:r>
          <w:r w:rsidR="009465F2">
            <w:rPr>
              <w:noProof/>
            </w:rPr>
            <w:t xml:space="preserve"> </w:t>
          </w:r>
        </w:p>
        <w:p w:rsidR="005E5251" w:rsidRDefault="009465F2" w:rsidP="005E5251">
          <w:pPr>
            <w:pStyle w:val="Bibliography"/>
            <w:rPr>
              <w:noProof/>
            </w:rPr>
          </w:pPr>
          <w:r>
            <w:rPr>
              <w:noProof/>
            </w:rPr>
            <w:t>Butler, M.</w:t>
          </w:r>
          <w:r w:rsidR="005E5251">
            <w:rPr>
              <w:noProof/>
            </w:rPr>
            <w:t xml:space="preserve"> </w:t>
          </w:r>
          <w:r>
            <w:rPr>
              <w:noProof/>
            </w:rPr>
            <w:t>(</w:t>
          </w:r>
          <w:r w:rsidR="005E5251">
            <w:rPr>
              <w:noProof/>
            </w:rPr>
            <w:t>2016</w:t>
          </w:r>
          <w:r>
            <w:rPr>
              <w:noProof/>
            </w:rPr>
            <w:t>)</w:t>
          </w:r>
          <w:r w:rsidR="005E5251">
            <w:rPr>
              <w:noProof/>
            </w:rPr>
            <w:t xml:space="preserve">. </w:t>
          </w:r>
          <w:r w:rsidR="005E5251">
            <w:rPr>
              <w:i/>
              <w:iCs/>
              <w:noProof/>
            </w:rPr>
            <w:t xml:space="preserve">Equality and Anti-Discrimination Law: The Equality Act 2010. </w:t>
          </w:r>
          <w:r w:rsidR="005E5251">
            <w:rPr>
              <w:noProof/>
            </w:rPr>
            <w:t>1 ed. London: Spiramus Press Ltd.</w:t>
          </w:r>
        </w:p>
        <w:p w:rsidR="005E5251" w:rsidRDefault="009465F2" w:rsidP="005E5251">
          <w:pPr>
            <w:pStyle w:val="Bibliography"/>
            <w:rPr>
              <w:noProof/>
            </w:rPr>
          </w:pPr>
          <w:r>
            <w:rPr>
              <w:noProof/>
            </w:rPr>
            <w:t>Stephen, F. H.</w:t>
          </w:r>
          <w:r w:rsidR="005E5251">
            <w:rPr>
              <w:noProof/>
            </w:rPr>
            <w:t xml:space="preserve"> </w:t>
          </w:r>
          <w:r>
            <w:rPr>
              <w:noProof/>
            </w:rPr>
            <w:t>(</w:t>
          </w:r>
          <w:r w:rsidR="005E5251">
            <w:rPr>
              <w:noProof/>
            </w:rPr>
            <w:t>2008</w:t>
          </w:r>
          <w:r>
            <w:rPr>
              <w:noProof/>
            </w:rPr>
            <w:t>)</w:t>
          </w:r>
          <w:r w:rsidR="005E5251">
            <w:rPr>
              <w:noProof/>
            </w:rPr>
            <w:t xml:space="preserve">. Regulation of the Legal Professions or Regulation of Markets for Legal Services: Potential Implications of the Legal Services Act 2007. </w:t>
          </w:r>
          <w:r w:rsidR="005E5251">
            <w:rPr>
              <w:i/>
              <w:iCs/>
              <w:noProof/>
            </w:rPr>
            <w:t xml:space="preserve">European Business Law Review , </w:t>
          </w:r>
          <w:r w:rsidR="005E5251">
            <w:rPr>
              <w:noProof/>
            </w:rPr>
            <w:t>19(6), p. 1129 – 1139.</w:t>
          </w:r>
        </w:p>
        <w:p w:rsidR="005E5251" w:rsidRDefault="005E5251" w:rsidP="005E5251">
          <w:pPr>
            <w:pStyle w:val="Bibliography"/>
            <w:rPr>
              <w:noProof/>
            </w:rPr>
          </w:pPr>
          <w:r>
            <w:rPr>
              <w:noProof/>
            </w:rPr>
            <w:t xml:space="preserve">Wadham, J., </w:t>
          </w:r>
          <w:r w:rsidR="001B0C13">
            <w:rPr>
              <w:noProof/>
            </w:rPr>
            <w:t>Ruebain, D., Robinson, A., and Uppal, S. (</w:t>
          </w:r>
          <w:r>
            <w:rPr>
              <w:noProof/>
            </w:rPr>
            <w:t>2010</w:t>
          </w:r>
          <w:r w:rsidR="001B0C13">
            <w:rPr>
              <w:noProof/>
            </w:rPr>
            <w:t>)</w:t>
          </w:r>
          <w:r>
            <w:rPr>
              <w:noProof/>
            </w:rPr>
            <w:t xml:space="preserve">. </w:t>
          </w:r>
          <w:r>
            <w:rPr>
              <w:i/>
              <w:iCs/>
              <w:noProof/>
            </w:rPr>
            <w:t xml:space="preserve">Blackstone's Guide to the Equality Act 2010. </w:t>
          </w:r>
          <w:r>
            <w:rPr>
              <w:noProof/>
            </w:rPr>
            <w:t>1 ed.</w:t>
          </w:r>
          <w:r w:rsidR="001B0C13">
            <w:rPr>
              <w:noProof/>
            </w:rPr>
            <w:t>USA: Oxford University Press</w:t>
          </w:r>
          <w:r>
            <w:rPr>
              <w:noProof/>
            </w:rPr>
            <w:t>.</w:t>
          </w:r>
        </w:p>
        <w:p w:rsidR="005E5251" w:rsidRDefault="00D46E7C" w:rsidP="005E5251"/>
      </w:sdtContent>
    </w:sdt>
    <w:p w:rsidR="00563BF5" w:rsidRDefault="00563BF5" w:rsidP="00F23A01"/>
    <w:sectPr w:rsidR="00563BF5" w:rsidSect="00785B6A">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E7C" w:rsidRDefault="00D46E7C" w:rsidP="00785B6A">
      <w:pPr>
        <w:spacing w:after="0" w:line="240" w:lineRule="auto"/>
      </w:pPr>
      <w:r>
        <w:separator/>
      </w:r>
    </w:p>
  </w:endnote>
  <w:endnote w:type="continuationSeparator" w:id="0">
    <w:p w:rsidR="00D46E7C" w:rsidRDefault="00D46E7C" w:rsidP="00785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E7C" w:rsidRDefault="00D46E7C" w:rsidP="00785B6A">
      <w:pPr>
        <w:spacing w:after="0" w:line="240" w:lineRule="auto"/>
      </w:pPr>
      <w:r>
        <w:separator/>
      </w:r>
    </w:p>
  </w:footnote>
  <w:footnote w:type="continuationSeparator" w:id="0">
    <w:p w:rsidR="00D46E7C" w:rsidRDefault="00D46E7C" w:rsidP="00785B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850531"/>
      <w:docPartObj>
        <w:docPartGallery w:val="Page Numbers (Top of Page)"/>
        <w:docPartUnique/>
      </w:docPartObj>
    </w:sdtPr>
    <w:sdtEndPr>
      <w:rPr>
        <w:noProof/>
      </w:rPr>
    </w:sdtEndPr>
    <w:sdtContent>
      <w:p w:rsidR="00785B6A" w:rsidRDefault="00785B6A">
        <w:pPr>
          <w:pStyle w:val="Header"/>
          <w:jc w:val="right"/>
        </w:pPr>
        <w:r>
          <w:fldChar w:fldCharType="begin"/>
        </w:r>
        <w:r>
          <w:instrText xml:space="preserve"> PAGE   \* MERGEFORMAT </w:instrText>
        </w:r>
        <w:r>
          <w:fldChar w:fldCharType="separate"/>
        </w:r>
        <w:r w:rsidR="005A265B">
          <w:rPr>
            <w:noProof/>
          </w:rPr>
          <w:t>9</w:t>
        </w:r>
        <w:r>
          <w:rPr>
            <w:noProof/>
          </w:rPr>
          <w:fldChar w:fldCharType="end"/>
        </w:r>
      </w:p>
    </w:sdtContent>
  </w:sdt>
  <w:p w:rsidR="00785B6A" w:rsidRDefault="00785B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274B59"/>
    <w:multiLevelType w:val="multilevel"/>
    <w:tmpl w:val="9162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A01"/>
    <w:rsid w:val="0001602A"/>
    <w:rsid w:val="000C1E0B"/>
    <w:rsid w:val="001B0C13"/>
    <w:rsid w:val="001B0E45"/>
    <w:rsid w:val="00202740"/>
    <w:rsid w:val="002C3F57"/>
    <w:rsid w:val="00314423"/>
    <w:rsid w:val="00325FD6"/>
    <w:rsid w:val="003806AA"/>
    <w:rsid w:val="00563BF5"/>
    <w:rsid w:val="005A265B"/>
    <w:rsid w:val="005E24F9"/>
    <w:rsid w:val="005E5251"/>
    <w:rsid w:val="00785B6A"/>
    <w:rsid w:val="007B3595"/>
    <w:rsid w:val="00817A7B"/>
    <w:rsid w:val="009465F2"/>
    <w:rsid w:val="00984602"/>
    <w:rsid w:val="009F5AA4"/>
    <w:rsid w:val="00A42581"/>
    <w:rsid w:val="00B64F29"/>
    <w:rsid w:val="00C832EE"/>
    <w:rsid w:val="00C859E4"/>
    <w:rsid w:val="00D46E7C"/>
    <w:rsid w:val="00E94F4A"/>
    <w:rsid w:val="00F23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203737-AC1E-4028-BBB4-441649FF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A7B"/>
    <w:pPr>
      <w:spacing w:line="360" w:lineRule="auto"/>
      <w:jc w:val="both"/>
    </w:pPr>
    <w:rPr>
      <w:sz w:val="24"/>
    </w:rPr>
  </w:style>
  <w:style w:type="paragraph" w:styleId="Heading1">
    <w:name w:val="heading 1"/>
    <w:basedOn w:val="Normal"/>
    <w:next w:val="Normal"/>
    <w:link w:val="Heading1Char"/>
    <w:autoRedefine/>
    <w:uiPriority w:val="9"/>
    <w:qFormat/>
    <w:rsid w:val="000C1E0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B0E45"/>
    <w:pPr>
      <w:keepNext/>
      <w:keepLines/>
      <w:spacing w:before="40" w:after="0"/>
      <w:outlineLvl w:val="1"/>
    </w:pPr>
    <w:rPr>
      <w:rFonts w:eastAsiaTheme="majorEastAsia" w:cs="Segoe UI"/>
      <w:b/>
      <w:color w:val="000000" w:themeColor="text1"/>
      <w:sz w:val="28"/>
      <w:szCs w:val="26"/>
      <w:bdr w:val="single" w:sz="2" w:space="0" w:color="D9D9E3" w:frame="1"/>
    </w:rPr>
  </w:style>
  <w:style w:type="paragraph" w:styleId="Heading3">
    <w:name w:val="heading 3"/>
    <w:basedOn w:val="Normal"/>
    <w:next w:val="Normal"/>
    <w:link w:val="Heading3Char"/>
    <w:autoRedefine/>
    <w:uiPriority w:val="9"/>
    <w:semiHidden/>
    <w:unhideWhenUsed/>
    <w:qFormat/>
    <w:rsid w:val="003806AA"/>
    <w:pPr>
      <w:keepNext/>
      <w:keepLines/>
      <w:spacing w:before="280" w:after="24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E0B"/>
    <w:rPr>
      <w:rFonts w:eastAsiaTheme="majorEastAsia" w:cstheme="majorBidi"/>
      <w:b/>
      <w:sz w:val="32"/>
      <w:szCs w:val="32"/>
    </w:rPr>
  </w:style>
  <w:style w:type="character" w:customStyle="1" w:styleId="Heading2Char">
    <w:name w:val="Heading 2 Char"/>
    <w:basedOn w:val="DefaultParagraphFont"/>
    <w:link w:val="Heading2"/>
    <w:uiPriority w:val="9"/>
    <w:rsid w:val="001B0E45"/>
    <w:rPr>
      <w:rFonts w:eastAsiaTheme="majorEastAsia" w:cs="Segoe UI"/>
      <w:b/>
      <w:color w:val="000000" w:themeColor="text1"/>
      <w:sz w:val="28"/>
      <w:szCs w:val="26"/>
      <w:bdr w:val="single" w:sz="2" w:space="0" w:color="D9D9E3" w:frame="1"/>
    </w:rPr>
  </w:style>
  <w:style w:type="character" w:customStyle="1" w:styleId="Heading3Char">
    <w:name w:val="Heading 3 Char"/>
    <w:basedOn w:val="DefaultParagraphFont"/>
    <w:link w:val="Heading3"/>
    <w:uiPriority w:val="9"/>
    <w:semiHidden/>
    <w:rsid w:val="003806AA"/>
    <w:rPr>
      <w:rFonts w:eastAsiaTheme="majorEastAsia" w:cstheme="majorBidi"/>
      <w:b/>
      <w:sz w:val="26"/>
      <w:szCs w:val="24"/>
    </w:rPr>
  </w:style>
  <w:style w:type="paragraph" w:styleId="Title">
    <w:name w:val="Title"/>
    <w:basedOn w:val="Normal"/>
    <w:next w:val="Normal"/>
    <w:link w:val="TitleChar"/>
    <w:uiPriority w:val="10"/>
    <w:qFormat/>
    <w:rsid w:val="00F23A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A0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E24F9"/>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E24F9"/>
    <w:pPr>
      <w:spacing w:after="100"/>
    </w:pPr>
  </w:style>
  <w:style w:type="paragraph" w:styleId="TOC2">
    <w:name w:val="toc 2"/>
    <w:basedOn w:val="Normal"/>
    <w:next w:val="Normal"/>
    <w:autoRedefine/>
    <w:uiPriority w:val="39"/>
    <w:unhideWhenUsed/>
    <w:rsid w:val="005E24F9"/>
    <w:pPr>
      <w:spacing w:after="100"/>
      <w:ind w:left="240"/>
    </w:pPr>
  </w:style>
  <w:style w:type="character" w:styleId="Hyperlink">
    <w:name w:val="Hyperlink"/>
    <w:basedOn w:val="DefaultParagraphFont"/>
    <w:uiPriority w:val="99"/>
    <w:unhideWhenUsed/>
    <w:rsid w:val="005E24F9"/>
    <w:rPr>
      <w:color w:val="0563C1" w:themeColor="hyperlink"/>
      <w:u w:val="single"/>
    </w:rPr>
  </w:style>
  <w:style w:type="paragraph" w:styleId="Bibliography">
    <w:name w:val="Bibliography"/>
    <w:basedOn w:val="Normal"/>
    <w:next w:val="Normal"/>
    <w:uiPriority w:val="37"/>
    <w:unhideWhenUsed/>
    <w:rsid w:val="005E5251"/>
  </w:style>
  <w:style w:type="paragraph" w:styleId="Header">
    <w:name w:val="header"/>
    <w:basedOn w:val="Normal"/>
    <w:link w:val="HeaderChar"/>
    <w:uiPriority w:val="99"/>
    <w:unhideWhenUsed/>
    <w:rsid w:val="00785B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B6A"/>
    <w:rPr>
      <w:sz w:val="24"/>
    </w:rPr>
  </w:style>
  <w:style w:type="paragraph" w:styleId="Footer">
    <w:name w:val="footer"/>
    <w:basedOn w:val="Normal"/>
    <w:link w:val="FooterChar"/>
    <w:uiPriority w:val="99"/>
    <w:unhideWhenUsed/>
    <w:rsid w:val="00785B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B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89594">
      <w:bodyDiv w:val="1"/>
      <w:marLeft w:val="0"/>
      <w:marRight w:val="0"/>
      <w:marTop w:val="0"/>
      <w:marBottom w:val="0"/>
      <w:divBdr>
        <w:top w:val="none" w:sz="0" w:space="0" w:color="auto"/>
        <w:left w:val="none" w:sz="0" w:space="0" w:color="auto"/>
        <w:bottom w:val="none" w:sz="0" w:space="0" w:color="auto"/>
        <w:right w:val="none" w:sz="0" w:space="0" w:color="auto"/>
      </w:divBdr>
    </w:div>
    <w:div w:id="69734117">
      <w:bodyDiv w:val="1"/>
      <w:marLeft w:val="0"/>
      <w:marRight w:val="0"/>
      <w:marTop w:val="0"/>
      <w:marBottom w:val="0"/>
      <w:divBdr>
        <w:top w:val="none" w:sz="0" w:space="0" w:color="auto"/>
        <w:left w:val="none" w:sz="0" w:space="0" w:color="auto"/>
        <w:bottom w:val="none" w:sz="0" w:space="0" w:color="auto"/>
        <w:right w:val="none" w:sz="0" w:space="0" w:color="auto"/>
      </w:divBdr>
    </w:div>
    <w:div w:id="120659220">
      <w:bodyDiv w:val="1"/>
      <w:marLeft w:val="0"/>
      <w:marRight w:val="0"/>
      <w:marTop w:val="0"/>
      <w:marBottom w:val="0"/>
      <w:divBdr>
        <w:top w:val="none" w:sz="0" w:space="0" w:color="auto"/>
        <w:left w:val="none" w:sz="0" w:space="0" w:color="auto"/>
        <w:bottom w:val="none" w:sz="0" w:space="0" w:color="auto"/>
        <w:right w:val="none" w:sz="0" w:space="0" w:color="auto"/>
      </w:divBdr>
    </w:div>
    <w:div w:id="189995153">
      <w:bodyDiv w:val="1"/>
      <w:marLeft w:val="0"/>
      <w:marRight w:val="0"/>
      <w:marTop w:val="0"/>
      <w:marBottom w:val="0"/>
      <w:divBdr>
        <w:top w:val="none" w:sz="0" w:space="0" w:color="auto"/>
        <w:left w:val="none" w:sz="0" w:space="0" w:color="auto"/>
        <w:bottom w:val="none" w:sz="0" w:space="0" w:color="auto"/>
        <w:right w:val="none" w:sz="0" w:space="0" w:color="auto"/>
      </w:divBdr>
    </w:div>
    <w:div w:id="305820935">
      <w:bodyDiv w:val="1"/>
      <w:marLeft w:val="0"/>
      <w:marRight w:val="0"/>
      <w:marTop w:val="0"/>
      <w:marBottom w:val="0"/>
      <w:divBdr>
        <w:top w:val="none" w:sz="0" w:space="0" w:color="auto"/>
        <w:left w:val="none" w:sz="0" w:space="0" w:color="auto"/>
        <w:bottom w:val="none" w:sz="0" w:space="0" w:color="auto"/>
        <w:right w:val="none" w:sz="0" w:space="0" w:color="auto"/>
      </w:divBdr>
    </w:div>
    <w:div w:id="628583884">
      <w:bodyDiv w:val="1"/>
      <w:marLeft w:val="0"/>
      <w:marRight w:val="0"/>
      <w:marTop w:val="0"/>
      <w:marBottom w:val="0"/>
      <w:divBdr>
        <w:top w:val="none" w:sz="0" w:space="0" w:color="auto"/>
        <w:left w:val="none" w:sz="0" w:space="0" w:color="auto"/>
        <w:bottom w:val="none" w:sz="0" w:space="0" w:color="auto"/>
        <w:right w:val="none" w:sz="0" w:space="0" w:color="auto"/>
      </w:divBdr>
    </w:div>
    <w:div w:id="823396277">
      <w:bodyDiv w:val="1"/>
      <w:marLeft w:val="0"/>
      <w:marRight w:val="0"/>
      <w:marTop w:val="0"/>
      <w:marBottom w:val="0"/>
      <w:divBdr>
        <w:top w:val="none" w:sz="0" w:space="0" w:color="auto"/>
        <w:left w:val="none" w:sz="0" w:space="0" w:color="auto"/>
        <w:bottom w:val="none" w:sz="0" w:space="0" w:color="auto"/>
        <w:right w:val="none" w:sz="0" w:space="0" w:color="auto"/>
      </w:divBdr>
    </w:div>
    <w:div w:id="993684950">
      <w:bodyDiv w:val="1"/>
      <w:marLeft w:val="0"/>
      <w:marRight w:val="0"/>
      <w:marTop w:val="0"/>
      <w:marBottom w:val="0"/>
      <w:divBdr>
        <w:top w:val="none" w:sz="0" w:space="0" w:color="auto"/>
        <w:left w:val="none" w:sz="0" w:space="0" w:color="auto"/>
        <w:bottom w:val="none" w:sz="0" w:space="0" w:color="auto"/>
        <w:right w:val="none" w:sz="0" w:space="0" w:color="auto"/>
      </w:divBdr>
    </w:div>
    <w:div w:id="1087075063">
      <w:bodyDiv w:val="1"/>
      <w:marLeft w:val="0"/>
      <w:marRight w:val="0"/>
      <w:marTop w:val="0"/>
      <w:marBottom w:val="0"/>
      <w:divBdr>
        <w:top w:val="none" w:sz="0" w:space="0" w:color="auto"/>
        <w:left w:val="none" w:sz="0" w:space="0" w:color="auto"/>
        <w:bottom w:val="none" w:sz="0" w:space="0" w:color="auto"/>
        <w:right w:val="none" w:sz="0" w:space="0" w:color="auto"/>
      </w:divBdr>
    </w:div>
    <w:div w:id="1181091216">
      <w:bodyDiv w:val="1"/>
      <w:marLeft w:val="0"/>
      <w:marRight w:val="0"/>
      <w:marTop w:val="0"/>
      <w:marBottom w:val="0"/>
      <w:divBdr>
        <w:top w:val="none" w:sz="0" w:space="0" w:color="auto"/>
        <w:left w:val="none" w:sz="0" w:space="0" w:color="auto"/>
        <w:bottom w:val="none" w:sz="0" w:space="0" w:color="auto"/>
        <w:right w:val="none" w:sz="0" w:space="0" w:color="auto"/>
      </w:divBdr>
    </w:div>
    <w:div w:id="1247500431">
      <w:bodyDiv w:val="1"/>
      <w:marLeft w:val="0"/>
      <w:marRight w:val="0"/>
      <w:marTop w:val="0"/>
      <w:marBottom w:val="0"/>
      <w:divBdr>
        <w:top w:val="none" w:sz="0" w:space="0" w:color="auto"/>
        <w:left w:val="none" w:sz="0" w:space="0" w:color="auto"/>
        <w:bottom w:val="none" w:sz="0" w:space="0" w:color="auto"/>
        <w:right w:val="none" w:sz="0" w:space="0" w:color="auto"/>
      </w:divBdr>
    </w:div>
    <w:div w:id="1468547461">
      <w:bodyDiv w:val="1"/>
      <w:marLeft w:val="0"/>
      <w:marRight w:val="0"/>
      <w:marTop w:val="0"/>
      <w:marBottom w:val="0"/>
      <w:divBdr>
        <w:top w:val="none" w:sz="0" w:space="0" w:color="auto"/>
        <w:left w:val="none" w:sz="0" w:space="0" w:color="auto"/>
        <w:bottom w:val="none" w:sz="0" w:space="0" w:color="auto"/>
        <w:right w:val="none" w:sz="0" w:space="0" w:color="auto"/>
      </w:divBdr>
    </w:div>
    <w:div w:id="1790390216">
      <w:bodyDiv w:val="1"/>
      <w:marLeft w:val="0"/>
      <w:marRight w:val="0"/>
      <w:marTop w:val="0"/>
      <w:marBottom w:val="0"/>
      <w:divBdr>
        <w:top w:val="none" w:sz="0" w:space="0" w:color="auto"/>
        <w:left w:val="none" w:sz="0" w:space="0" w:color="auto"/>
        <w:bottom w:val="none" w:sz="0" w:space="0" w:color="auto"/>
        <w:right w:val="none" w:sz="0" w:space="0" w:color="auto"/>
      </w:divBdr>
    </w:div>
    <w:div w:id="1974361148">
      <w:bodyDiv w:val="1"/>
      <w:marLeft w:val="0"/>
      <w:marRight w:val="0"/>
      <w:marTop w:val="0"/>
      <w:marBottom w:val="0"/>
      <w:divBdr>
        <w:top w:val="none" w:sz="0" w:space="0" w:color="auto"/>
        <w:left w:val="none" w:sz="0" w:space="0" w:color="auto"/>
        <w:bottom w:val="none" w:sz="0" w:space="0" w:color="auto"/>
        <w:right w:val="none" w:sz="0" w:space="0" w:color="auto"/>
      </w:divBdr>
    </w:div>
    <w:div w:id="198811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And11</b:Tag>
    <b:SourceType>JournalArticle</b:SourceType>
    <b:Guid>{6D984466-DAD5-4695-A8D6-5E8F53848247}</b:Guid>
    <b:Author>
      <b:Author>
        <b:NameList>
          <b:Person>
            <b:Last>Boon</b:Last>
            <b:First>Andrew</b:First>
          </b:Person>
        </b:NameList>
      </b:Author>
    </b:Author>
    <b:Title>Professionalism under the Legal Services Act 2007</b:Title>
    <b:JournalName>International Journal of the Legal Profession </b:JournalName>
    <b:Year>2011</b:Year>
    <b:Pages>195-232 </b:Pages>
    <b:Volume>17</b:Volume>
    <b:Issue>3</b:Issue>
    <b:RefOrder>3</b:RefOrder>
  </b:Source>
  <b:Source>
    <b:Tag>Fra08</b:Tag>
    <b:SourceType>JournalArticle</b:SourceType>
    <b:Guid>{9D8BEB42-C06A-4C78-A6A8-54118E0CA4E7}</b:Guid>
    <b:Author>
      <b:Author>
        <b:NameList>
          <b:Person>
            <b:Last>Stephen</b:Last>
            <b:First>Frank</b:First>
            <b:Middle>H.</b:Middle>
          </b:Person>
        </b:NameList>
      </b:Author>
    </b:Author>
    <b:Title>Regulation of the Legal Professions or Regulation of Markets for Legal Services: Potential Implications of the Legal Services Act 2007</b:Title>
    <b:JournalName>European Business Law Review </b:JournalName>
    <b:Year>2008</b:Year>
    <b:Pages>1129 – 1139</b:Pages>
    <b:Volume>19</b:Volume>
    <b:Issue>6</b:Issue>
    <b:RefOrder>5</b:RefOrder>
  </b:Source>
  <b:Source>
    <b:Tag>Joh20</b:Tag>
    <b:SourceType>JournalArticle</b:SourceType>
    <b:Guid>{9DA517D4-C042-4B50-A644-1AFCF06278F2}</b:Guid>
    <b:Author>
      <b:Author>
        <b:NameList>
          <b:Person>
            <b:Last>Armour</b:Last>
            <b:First>John</b:First>
          </b:Person>
        </b:NameList>
      </b:Author>
    </b:Author>
    <b:Title>AI-enabled business models in legal services: from traditional law firms to next-generation law companies? </b:Title>
    <b:JournalName>Journal of Professions and Organization</b:JournalName>
    <b:Year>2020</b:Year>
    <b:Pages>27-46</b:Pages>
    <b:Volume>7</b:Volume>
    <b:Issue>1</b:Issue>
    <b:RefOrder>1</b:RefOrder>
  </b:Source>
  <b:Source>
    <b:Tag>Joh10</b:Tag>
    <b:SourceType>Book</b:SourceType>
    <b:Guid>{30C5EF52-F407-4F07-8511-D3A408FA25E1}</b:Guid>
    <b:Title>Blackstone's Guide to the Equality Act 2010</b:Title>
    <b:Year>2010</b:Year>
    <b:Author>
      <b:Author>
        <b:NameList>
          <b:Person>
            <b:Last>Wadham</b:Last>
            <b:First>John</b:First>
          </b:Person>
        </b:NameList>
      </b:Author>
    </b:Author>
    <b:City>Oxford</b:City>
    <b:Publisher>Orford</b:Publisher>
    <b:Edition>1</b:Edition>
    <b:RefOrder>6</b:RefOrder>
  </b:Source>
  <b:Source>
    <b:Tag>Mar16</b:Tag>
    <b:SourceType>Book</b:SourceType>
    <b:Guid>{A66F0314-E7CC-44FE-9741-BE70348E6831}</b:Guid>
    <b:Author>
      <b:Author>
        <b:NameList>
          <b:Person>
            <b:Last>Butler</b:Last>
            <b:First>Mark</b:First>
          </b:Person>
        </b:NameList>
      </b:Author>
    </b:Author>
    <b:Title>Equality and Anti-Discrimination Law: The Equality Act 2010</b:Title>
    <b:Year>2016</b:Year>
    <b:City>London</b:City>
    <b:Publisher>Spiramus Press Ltd</b:Publisher>
    <b:Edition>1</b:Edition>
    <b:RefOrder>4</b:RefOrder>
  </b:Source>
  <b:Source>
    <b:Tag>Mic19</b:Tag>
    <b:SourceType>JournalArticle</b:SourceType>
    <b:Guid>{AA3DCB22-BF46-4A0B-B122-17795A3CC337}</b:Guid>
    <b:Title>Conduct Unbefitting: Solicitors, the SRA and Tax Avoidance</b:Title>
    <b:Year>2019</b:Year>
    <b:Author>
      <b:Author>
        <b:NameList>
          <b:Person>
            <b:Last>Blackwell</b:Last>
            <b:First>Michael</b:First>
          </b:Person>
        </b:NameList>
      </b:Author>
    </b:Author>
    <b:JournalName>British Tax Review </b:JournalName>
    <b:Pages>31-54</b:Pages>
    <b:Volume>1</b:Volume>
    <b:RefOrder>2</b:RefOrder>
  </b:Source>
</b:Sources>
</file>

<file path=customXml/itemProps1.xml><?xml version="1.0" encoding="utf-8"?>
<ds:datastoreItem xmlns:ds="http://schemas.openxmlformats.org/officeDocument/2006/customXml" ds:itemID="{49E2711F-5516-49DC-87DB-E0B473857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9</Pages>
  <Words>2243</Words>
  <Characters>12787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Fayyaz</dc:creator>
  <cp:keywords/>
  <dc:description/>
  <cp:lastModifiedBy>Dell</cp:lastModifiedBy>
  <cp:revision>11</cp:revision>
  <dcterms:created xsi:type="dcterms:W3CDTF">2023-12-06T09:37:00Z</dcterms:created>
  <dcterms:modified xsi:type="dcterms:W3CDTF">2023-12-08T15:50:00Z</dcterms:modified>
</cp:coreProperties>
</file>