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8C79D" w14:textId="3A9A2A52" w:rsidR="00AA6316" w:rsidRPr="003C6781" w:rsidRDefault="003C6781" w:rsidP="003C678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C6781">
        <w:rPr>
          <w:rFonts w:ascii="Arial" w:hAnsi="Arial" w:cs="Arial"/>
          <w:sz w:val="24"/>
          <w:szCs w:val="24"/>
          <w:u w:val="single"/>
        </w:rPr>
        <w:t>References</w:t>
      </w:r>
    </w:p>
    <w:p w14:paraId="5E69764D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Berk, L. E. (2012) </w:t>
      </w:r>
      <w:r w:rsidRPr="00E75867">
        <w:rPr>
          <w:rFonts w:ascii="Arial" w:hAnsi="Arial" w:cs="Arial"/>
          <w:i/>
          <w:sz w:val="24"/>
          <w:szCs w:val="24"/>
        </w:rPr>
        <w:t>Child Development</w:t>
      </w:r>
      <w:r w:rsidRPr="00E75867">
        <w:rPr>
          <w:rFonts w:ascii="Arial" w:hAnsi="Arial" w:cs="Arial"/>
          <w:sz w:val="24"/>
          <w:szCs w:val="24"/>
        </w:rPr>
        <w:t>. (9</w:t>
      </w:r>
      <w:r w:rsidRPr="00E75867">
        <w:rPr>
          <w:rFonts w:ascii="Arial" w:hAnsi="Arial" w:cs="Arial"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sz w:val="24"/>
          <w:szCs w:val="24"/>
        </w:rPr>
        <w:t xml:space="preserve"> ed). Boston: </w:t>
      </w:r>
      <w:proofErr w:type="spellStart"/>
      <w:r w:rsidRPr="00E75867">
        <w:rPr>
          <w:rFonts w:ascii="Arial" w:hAnsi="Arial" w:cs="Arial"/>
          <w:sz w:val="24"/>
          <w:szCs w:val="24"/>
        </w:rPr>
        <w:t>Allyn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 and Bacon.</w:t>
      </w:r>
    </w:p>
    <w:p w14:paraId="0EEC63AF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Blackwell, S. (2015) </w:t>
      </w:r>
      <w:r w:rsidRPr="00E75867">
        <w:rPr>
          <w:rFonts w:ascii="Arial" w:hAnsi="Arial" w:cs="Arial"/>
          <w:bCs/>
          <w:i/>
          <w:sz w:val="24"/>
          <w:szCs w:val="24"/>
        </w:rPr>
        <w:t>Impacts of Long-Term Forest School Programmes on Children’s Resilience, Confidence and Wellbeing.</w:t>
      </w:r>
      <w:r w:rsidRPr="00E75867">
        <w:rPr>
          <w:rFonts w:ascii="Arial" w:hAnsi="Arial" w:cs="Arial"/>
          <w:bCs/>
          <w:sz w:val="24"/>
          <w:szCs w:val="24"/>
        </w:rPr>
        <w:t xml:space="preserve"> Available at:</w:t>
      </w:r>
      <w:r w:rsidRPr="00E75867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E75867">
          <w:rPr>
            <w:rStyle w:val="Hyperlink"/>
            <w:rFonts w:ascii="Arial" w:hAnsi="Arial" w:cs="Arial"/>
            <w:sz w:val="24"/>
            <w:szCs w:val="24"/>
          </w:rPr>
          <w:t>http://shu.academia.edu/sarahblackwell</w:t>
        </w:r>
      </w:hyperlink>
      <w:r w:rsidRPr="00E75867">
        <w:rPr>
          <w:rFonts w:ascii="Arial" w:hAnsi="Arial" w:cs="Arial"/>
          <w:sz w:val="24"/>
          <w:szCs w:val="24"/>
        </w:rPr>
        <w:t xml:space="preserve"> (Accessed: 15</w:t>
      </w:r>
      <w:r w:rsidRPr="00E75867">
        <w:rPr>
          <w:rFonts w:ascii="Arial" w:hAnsi="Arial" w:cs="Arial"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sz w:val="24"/>
          <w:szCs w:val="24"/>
        </w:rPr>
        <w:t xml:space="preserve"> March 2019).</w:t>
      </w:r>
    </w:p>
    <w:p w14:paraId="1DB8DFC8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Bryman, A. (2016) </w:t>
      </w:r>
      <w:r w:rsidRPr="00E75867">
        <w:rPr>
          <w:rFonts w:ascii="Arial" w:hAnsi="Arial" w:cs="Arial"/>
          <w:i/>
          <w:sz w:val="24"/>
          <w:szCs w:val="24"/>
        </w:rPr>
        <w:t xml:space="preserve">Social Research Methods. </w:t>
      </w:r>
      <w:r w:rsidRPr="00E75867">
        <w:rPr>
          <w:rFonts w:ascii="Arial" w:hAnsi="Arial" w:cs="Arial"/>
          <w:sz w:val="24"/>
          <w:szCs w:val="24"/>
        </w:rPr>
        <w:t>5</w:t>
      </w:r>
      <w:r w:rsidRPr="00E75867">
        <w:rPr>
          <w:rFonts w:ascii="Arial" w:hAnsi="Arial" w:cs="Arial"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sz w:val="24"/>
          <w:szCs w:val="24"/>
        </w:rPr>
        <w:t xml:space="preserve"> ed. Oxford: Oxford University Press.</w:t>
      </w:r>
      <w:bookmarkStart w:id="0" w:name="_GoBack"/>
      <w:bookmarkEnd w:id="0"/>
    </w:p>
    <w:p w14:paraId="586DBFC4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75867">
        <w:rPr>
          <w:rFonts w:ascii="Arial" w:hAnsi="Arial" w:cs="Arial"/>
          <w:bCs/>
          <w:sz w:val="24"/>
          <w:szCs w:val="24"/>
        </w:rPr>
        <w:t xml:space="preserve">Callan, S. and Reed, M. (2011) </w:t>
      </w:r>
      <w:r w:rsidRPr="00E75867">
        <w:rPr>
          <w:rFonts w:ascii="Arial" w:hAnsi="Arial" w:cs="Arial"/>
          <w:bCs/>
          <w:i/>
          <w:sz w:val="24"/>
          <w:szCs w:val="24"/>
        </w:rPr>
        <w:t xml:space="preserve">Work-based Research in the Early Years. </w:t>
      </w:r>
      <w:r w:rsidRPr="00E75867">
        <w:rPr>
          <w:rFonts w:ascii="Arial" w:hAnsi="Arial" w:cs="Arial"/>
          <w:bCs/>
          <w:sz w:val="24"/>
          <w:szCs w:val="24"/>
        </w:rPr>
        <w:t>London: SAGE Publications Ltd.</w:t>
      </w:r>
    </w:p>
    <w:p w14:paraId="0562A051" w14:textId="74EFE8EB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>Clark, A. and Moss, P. (2011) </w:t>
      </w:r>
      <w:r w:rsidRPr="00E75867">
        <w:rPr>
          <w:rFonts w:ascii="Arial" w:hAnsi="Arial" w:cs="Arial"/>
          <w:i/>
          <w:iCs/>
          <w:sz w:val="24"/>
          <w:szCs w:val="24"/>
        </w:rPr>
        <w:t>Listening to young children the Mosaic approach.</w:t>
      </w:r>
      <w:r w:rsidRPr="00E75867">
        <w:rPr>
          <w:rFonts w:ascii="Arial" w:hAnsi="Arial" w:cs="Arial"/>
          <w:sz w:val="24"/>
          <w:szCs w:val="24"/>
        </w:rPr>
        <w:t> 2</w:t>
      </w:r>
      <w:r w:rsidRPr="00E75867">
        <w:rPr>
          <w:rFonts w:ascii="Arial" w:hAnsi="Arial" w:cs="Arial"/>
          <w:sz w:val="24"/>
          <w:szCs w:val="24"/>
          <w:vertAlign w:val="superscript"/>
        </w:rPr>
        <w:t>nd</w:t>
      </w:r>
      <w:r w:rsidRPr="00E75867">
        <w:rPr>
          <w:rFonts w:ascii="Arial" w:hAnsi="Arial" w:cs="Arial"/>
          <w:sz w:val="24"/>
          <w:szCs w:val="24"/>
        </w:rPr>
        <w:t xml:space="preserve"> ed. London: NBC (National Children's Bureau).</w:t>
      </w:r>
    </w:p>
    <w:p w14:paraId="33ACFC4C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75867">
        <w:rPr>
          <w:rFonts w:ascii="Arial" w:hAnsi="Arial" w:cs="Arial"/>
          <w:bCs/>
          <w:sz w:val="24"/>
          <w:szCs w:val="24"/>
        </w:rPr>
        <w:t>Costley, C., Elliott, G. and Gibbs, P. (2010) </w:t>
      </w:r>
      <w:r w:rsidRPr="00E75867">
        <w:rPr>
          <w:rFonts w:ascii="Arial" w:hAnsi="Arial" w:cs="Arial"/>
          <w:bCs/>
          <w:i/>
          <w:iCs/>
          <w:sz w:val="24"/>
          <w:szCs w:val="24"/>
        </w:rPr>
        <w:t>Doing Work Based Research: approaches to enquiry for insider-researchers</w:t>
      </w:r>
      <w:r w:rsidRPr="00E75867">
        <w:rPr>
          <w:rFonts w:ascii="Arial" w:hAnsi="Arial" w:cs="Arial"/>
          <w:bCs/>
          <w:sz w:val="24"/>
          <w:szCs w:val="24"/>
        </w:rPr>
        <w:t>. Los Angeles: Sage.</w:t>
      </w:r>
    </w:p>
    <w:p w14:paraId="0E57C448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Creswell, J. W. (2009) </w:t>
      </w:r>
      <w:r w:rsidRPr="00E75867">
        <w:rPr>
          <w:rFonts w:ascii="Arial" w:hAnsi="Arial" w:cs="Arial"/>
          <w:i/>
          <w:sz w:val="24"/>
          <w:szCs w:val="24"/>
        </w:rPr>
        <w:t xml:space="preserve">Research Design: Qualitative, Quantitative and Mixed Methods Approaches. </w:t>
      </w:r>
      <w:r w:rsidRPr="00E75867">
        <w:rPr>
          <w:rFonts w:ascii="Arial" w:hAnsi="Arial" w:cs="Arial"/>
          <w:sz w:val="24"/>
          <w:szCs w:val="24"/>
        </w:rPr>
        <w:t>London: SAGE Publications Ltd.</w:t>
      </w:r>
    </w:p>
    <w:p w14:paraId="5811BB5F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Curriculum for Wales. (2015) </w:t>
      </w:r>
      <w:r w:rsidRPr="00E75867">
        <w:rPr>
          <w:rFonts w:ascii="Arial" w:hAnsi="Arial" w:cs="Arial"/>
          <w:i/>
          <w:sz w:val="24"/>
          <w:szCs w:val="24"/>
        </w:rPr>
        <w:t xml:space="preserve">Foundation Phase Framework. </w:t>
      </w:r>
      <w:r w:rsidRPr="00E75867">
        <w:rPr>
          <w:rFonts w:ascii="Arial" w:hAnsi="Arial" w:cs="Arial"/>
          <w:sz w:val="24"/>
          <w:szCs w:val="24"/>
        </w:rPr>
        <w:t>Cardiff: Welsh Government.</w:t>
      </w:r>
    </w:p>
    <w:p w14:paraId="3B4E14B6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Denscombe, M. (2014) </w:t>
      </w:r>
      <w:r w:rsidRPr="00E75867">
        <w:rPr>
          <w:rFonts w:ascii="Arial" w:hAnsi="Arial" w:cs="Arial"/>
          <w:i/>
          <w:sz w:val="24"/>
          <w:szCs w:val="24"/>
        </w:rPr>
        <w:t xml:space="preserve">The Good Research Guide: For small-scale social research projects. </w:t>
      </w:r>
      <w:r w:rsidRPr="00E75867">
        <w:rPr>
          <w:rFonts w:ascii="Arial" w:hAnsi="Arial" w:cs="Arial"/>
          <w:sz w:val="24"/>
          <w:szCs w:val="24"/>
        </w:rPr>
        <w:t>5</w:t>
      </w:r>
      <w:r w:rsidRPr="00E75867">
        <w:rPr>
          <w:rFonts w:ascii="Arial" w:hAnsi="Arial" w:cs="Arial"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sz w:val="24"/>
          <w:szCs w:val="24"/>
        </w:rPr>
        <w:t xml:space="preserve"> ed. Berkshire: Open University Press.</w:t>
      </w:r>
    </w:p>
    <w:p w14:paraId="3D7D64DB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Department for Education. (2018) </w:t>
      </w:r>
      <w:r w:rsidRPr="00E75867">
        <w:rPr>
          <w:rFonts w:ascii="Arial" w:hAnsi="Arial" w:cs="Arial"/>
          <w:bCs/>
          <w:i/>
          <w:sz w:val="24"/>
          <w:szCs w:val="24"/>
        </w:rPr>
        <w:t xml:space="preserve">Health and safety: responsibilities and duties for schools. </w:t>
      </w:r>
      <w:r w:rsidRPr="00E75867">
        <w:rPr>
          <w:rFonts w:ascii="Arial" w:hAnsi="Arial" w:cs="Arial"/>
          <w:bCs/>
          <w:sz w:val="24"/>
          <w:szCs w:val="24"/>
        </w:rPr>
        <w:t xml:space="preserve">Available at: </w:t>
      </w:r>
      <w:hyperlink r:id="rId8" w:history="1">
        <w:r w:rsidRPr="00E75867">
          <w:rPr>
            <w:rStyle w:val="Hyperlink"/>
            <w:rFonts w:ascii="Arial" w:hAnsi="Arial" w:cs="Arial"/>
            <w:bCs/>
            <w:sz w:val="24"/>
            <w:szCs w:val="24"/>
          </w:rPr>
          <w:t>https://www.gov.uk/government/publications/health-and-safety-advice-for-schools/responsibilities-and-duties-for-schools</w:t>
        </w:r>
      </w:hyperlink>
      <w:r w:rsidRPr="00E75867">
        <w:rPr>
          <w:rFonts w:ascii="Arial" w:hAnsi="Arial" w:cs="Arial"/>
          <w:bCs/>
          <w:sz w:val="24"/>
          <w:szCs w:val="24"/>
        </w:rPr>
        <w:t xml:space="preserve"> (Accessed: 14</w:t>
      </w:r>
      <w:r w:rsidRPr="00E75867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bCs/>
          <w:sz w:val="24"/>
          <w:szCs w:val="24"/>
        </w:rPr>
        <w:t xml:space="preserve"> February 2019).</w:t>
      </w:r>
    </w:p>
    <w:p w14:paraId="0E92FE21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Dillon, J. and I. Dickie. (2012) </w:t>
      </w:r>
      <w:r w:rsidRPr="00E75867">
        <w:rPr>
          <w:rFonts w:ascii="Arial" w:hAnsi="Arial" w:cs="Arial"/>
          <w:i/>
          <w:sz w:val="24"/>
          <w:szCs w:val="24"/>
        </w:rPr>
        <w:t>Learning in the Natural Environment: Review of Social and Economic Benefits and Barriers.</w:t>
      </w:r>
      <w:r w:rsidRPr="00E75867">
        <w:rPr>
          <w:rFonts w:ascii="Arial" w:hAnsi="Arial" w:cs="Arial"/>
          <w:sz w:val="24"/>
          <w:szCs w:val="24"/>
        </w:rPr>
        <w:t xml:space="preserve"> Natural England Commissioned Reports, Number 092.</w:t>
      </w:r>
    </w:p>
    <w:p w14:paraId="382BDFED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Early Learning HQ. (2019) </w:t>
      </w:r>
      <w:proofErr w:type="spellStart"/>
      <w:r w:rsidRPr="00E75867">
        <w:rPr>
          <w:rFonts w:ascii="Arial" w:hAnsi="Arial" w:cs="Arial"/>
          <w:i/>
          <w:sz w:val="24"/>
          <w:szCs w:val="24"/>
        </w:rPr>
        <w:t>Ferre</w:t>
      </w:r>
      <w:proofErr w:type="spellEnd"/>
      <w:r w:rsidRPr="00E7586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E75867">
        <w:rPr>
          <w:rFonts w:ascii="Arial" w:hAnsi="Arial" w:cs="Arial"/>
          <w:i/>
          <w:sz w:val="24"/>
          <w:szCs w:val="24"/>
        </w:rPr>
        <w:t>Laevers</w:t>
      </w:r>
      <w:proofErr w:type="spellEnd"/>
      <w:r w:rsidRPr="00E75867">
        <w:rPr>
          <w:rFonts w:ascii="Arial" w:hAnsi="Arial" w:cs="Arial"/>
          <w:i/>
          <w:sz w:val="24"/>
          <w:szCs w:val="24"/>
        </w:rPr>
        <w:t xml:space="preserve"> emotional well-being and involvement scales. </w:t>
      </w:r>
      <w:r w:rsidRPr="00E75867">
        <w:rPr>
          <w:rFonts w:ascii="Arial" w:hAnsi="Arial" w:cs="Arial"/>
          <w:sz w:val="24"/>
          <w:szCs w:val="24"/>
        </w:rPr>
        <w:t>Available at: ‘</w:t>
      </w:r>
      <w:hyperlink r:id="rId9" w:history="1">
        <w:r w:rsidRPr="00E75867">
          <w:rPr>
            <w:rStyle w:val="Hyperlink"/>
            <w:rFonts w:ascii="Arial" w:hAnsi="Arial" w:cs="Arial"/>
            <w:sz w:val="24"/>
            <w:szCs w:val="24"/>
          </w:rPr>
          <w:t>https://www.earlylearninghq.org.uk/earlylearninghq-blog/the-leuven-well-being-and-involvement-scales/</w:t>
        </w:r>
      </w:hyperlink>
      <w:r w:rsidRPr="00E75867">
        <w:rPr>
          <w:rFonts w:ascii="Arial" w:hAnsi="Arial" w:cs="Arial"/>
          <w:sz w:val="24"/>
          <w:szCs w:val="24"/>
        </w:rPr>
        <w:t xml:space="preserve"> (Accessed: 3</w:t>
      </w:r>
      <w:r w:rsidRPr="00E75867">
        <w:rPr>
          <w:rFonts w:ascii="Arial" w:hAnsi="Arial" w:cs="Arial"/>
          <w:sz w:val="24"/>
          <w:szCs w:val="24"/>
          <w:vertAlign w:val="superscript"/>
        </w:rPr>
        <w:t>rd</w:t>
      </w:r>
      <w:r w:rsidRPr="00E75867">
        <w:rPr>
          <w:rFonts w:ascii="Arial" w:hAnsi="Arial" w:cs="Arial"/>
          <w:sz w:val="24"/>
          <w:szCs w:val="24"/>
        </w:rPr>
        <w:t xml:space="preserve"> April 2019).</w:t>
      </w:r>
    </w:p>
    <w:p w14:paraId="063A59D3" w14:textId="5DB32012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5867">
        <w:rPr>
          <w:rFonts w:ascii="Arial" w:hAnsi="Arial" w:cs="Arial"/>
          <w:sz w:val="24"/>
          <w:szCs w:val="24"/>
        </w:rPr>
        <w:lastRenderedPageBreak/>
        <w:t>Evalued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. (2006) </w:t>
      </w:r>
      <w:r w:rsidRPr="00E75867">
        <w:rPr>
          <w:rFonts w:ascii="Arial" w:hAnsi="Arial" w:cs="Arial"/>
          <w:i/>
          <w:sz w:val="24"/>
          <w:szCs w:val="24"/>
        </w:rPr>
        <w:t xml:space="preserve">Focus Groups. </w:t>
      </w:r>
      <w:r w:rsidRPr="00E75867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E75867">
          <w:rPr>
            <w:rStyle w:val="Hyperlink"/>
            <w:rFonts w:ascii="Arial" w:hAnsi="Arial" w:cs="Arial"/>
            <w:sz w:val="24"/>
            <w:szCs w:val="24"/>
          </w:rPr>
          <w:t>http://www.evalued.bcu.ac.uk/tutorial/4b.htm</w:t>
        </w:r>
      </w:hyperlink>
      <w:r w:rsidRPr="00E75867">
        <w:rPr>
          <w:rFonts w:ascii="Arial" w:hAnsi="Arial" w:cs="Arial"/>
          <w:sz w:val="24"/>
          <w:szCs w:val="24"/>
        </w:rPr>
        <w:t xml:space="preserve"> (Accessed:</w:t>
      </w:r>
      <w:r w:rsidR="00D24ABE">
        <w:rPr>
          <w:rFonts w:ascii="Arial" w:hAnsi="Arial" w:cs="Arial"/>
          <w:sz w:val="24"/>
          <w:szCs w:val="24"/>
        </w:rPr>
        <w:t xml:space="preserve"> 23</w:t>
      </w:r>
      <w:r w:rsidR="00D24ABE" w:rsidRPr="00D24ABE">
        <w:rPr>
          <w:rFonts w:ascii="Arial" w:hAnsi="Arial" w:cs="Arial"/>
          <w:sz w:val="24"/>
          <w:szCs w:val="24"/>
          <w:vertAlign w:val="superscript"/>
        </w:rPr>
        <w:t>rd</w:t>
      </w:r>
      <w:r w:rsidR="00D24ABE">
        <w:rPr>
          <w:rFonts w:ascii="Arial" w:hAnsi="Arial" w:cs="Arial"/>
          <w:sz w:val="24"/>
          <w:szCs w:val="24"/>
        </w:rPr>
        <w:t xml:space="preserve"> March 2019</w:t>
      </w:r>
      <w:r w:rsidRPr="00E75867">
        <w:rPr>
          <w:rFonts w:ascii="Arial" w:hAnsi="Arial" w:cs="Arial"/>
          <w:sz w:val="24"/>
          <w:szCs w:val="24"/>
        </w:rPr>
        <w:t>).</w:t>
      </w:r>
    </w:p>
    <w:p w14:paraId="07949526" w14:textId="1C75CB20" w:rsidR="00E75867" w:rsidRPr="00E75867" w:rsidRDefault="00E75867" w:rsidP="00E75867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>Forest School Association. (2017).</w:t>
      </w:r>
      <w:r w:rsidRPr="00E75867">
        <w:rPr>
          <w:rFonts w:ascii="Arial" w:hAnsi="Arial" w:cs="Arial"/>
          <w:i/>
          <w:sz w:val="24"/>
          <w:szCs w:val="24"/>
        </w:rPr>
        <w:t xml:space="preserve"> Full principles and criteria for good practice.</w:t>
      </w:r>
      <w:r w:rsidRPr="00E75867">
        <w:rPr>
          <w:rFonts w:ascii="Arial" w:hAnsi="Arial" w:cs="Arial"/>
          <w:sz w:val="24"/>
          <w:szCs w:val="24"/>
        </w:rPr>
        <w:t xml:space="preserve"> </w:t>
      </w:r>
      <w:r w:rsidR="00CE0F84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A300CE" w:rsidRPr="00AF3185">
          <w:rPr>
            <w:rStyle w:val="Hyperlink"/>
            <w:rFonts w:ascii="Arial" w:hAnsi="Arial" w:cs="Arial"/>
            <w:sz w:val="24"/>
            <w:szCs w:val="24"/>
          </w:rPr>
          <w:t>http://www.forestschoolassociation.org/full-principles-and-criteria-for-good-practice/</w:t>
        </w:r>
      </w:hyperlink>
      <w:r w:rsidRPr="00E75867">
        <w:rPr>
          <w:rFonts w:ascii="Arial" w:hAnsi="Arial" w:cs="Arial"/>
          <w:sz w:val="24"/>
          <w:szCs w:val="24"/>
        </w:rPr>
        <w:t xml:space="preserve"> (Accessed: 6</w:t>
      </w:r>
      <w:r w:rsidRPr="00E75867">
        <w:rPr>
          <w:rFonts w:ascii="Arial" w:hAnsi="Arial" w:cs="Arial"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sz w:val="24"/>
          <w:szCs w:val="24"/>
        </w:rPr>
        <w:t xml:space="preserve"> April 2019).</w:t>
      </w:r>
    </w:p>
    <w:p w14:paraId="6A2A8DB2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75867">
        <w:rPr>
          <w:rFonts w:ascii="Arial" w:hAnsi="Arial" w:cs="Arial"/>
          <w:bCs/>
          <w:sz w:val="24"/>
          <w:szCs w:val="24"/>
        </w:rPr>
        <w:t xml:space="preserve">Foucault, M. (1977) </w:t>
      </w:r>
      <w:r w:rsidRPr="00E75867">
        <w:rPr>
          <w:rFonts w:ascii="Arial" w:hAnsi="Arial" w:cs="Arial"/>
          <w:bCs/>
          <w:i/>
          <w:sz w:val="24"/>
          <w:szCs w:val="24"/>
        </w:rPr>
        <w:t>Discipline and punish: the birth of prison</w:t>
      </w:r>
      <w:r w:rsidRPr="00E75867">
        <w:rPr>
          <w:rFonts w:ascii="Arial" w:hAnsi="Arial" w:cs="Arial"/>
          <w:bCs/>
          <w:sz w:val="24"/>
          <w:szCs w:val="24"/>
        </w:rPr>
        <w:t>. London: Penguin Books.</w:t>
      </w:r>
    </w:p>
    <w:p w14:paraId="7D8ADD05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Garrick, R. (2011) </w:t>
      </w:r>
      <w:r w:rsidRPr="00E75867">
        <w:rPr>
          <w:rFonts w:ascii="Arial" w:hAnsi="Arial" w:cs="Arial"/>
          <w:i/>
          <w:sz w:val="24"/>
          <w:szCs w:val="24"/>
        </w:rPr>
        <w:t xml:space="preserve">Playing Outdoors in the Early Years. </w:t>
      </w:r>
      <w:r w:rsidRPr="00E75867">
        <w:rPr>
          <w:rFonts w:ascii="Arial" w:hAnsi="Arial" w:cs="Arial"/>
          <w:sz w:val="24"/>
          <w:szCs w:val="24"/>
        </w:rPr>
        <w:t>2</w:t>
      </w:r>
      <w:r w:rsidRPr="00E75867">
        <w:rPr>
          <w:rFonts w:ascii="Arial" w:hAnsi="Arial" w:cs="Arial"/>
          <w:sz w:val="24"/>
          <w:szCs w:val="24"/>
          <w:vertAlign w:val="superscript"/>
        </w:rPr>
        <w:t>nd</w:t>
      </w:r>
      <w:r w:rsidRPr="00E75867">
        <w:rPr>
          <w:rFonts w:ascii="Arial" w:hAnsi="Arial" w:cs="Arial"/>
          <w:sz w:val="24"/>
          <w:szCs w:val="24"/>
        </w:rPr>
        <w:t xml:space="preserve"> ed. London: Continuum International Publishing Group.</w:t>
      </w:r>
    </w:p>
    <w:p w14:paraId="534E1694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Gill, T. (2009) </w:t>
      </w:r>
      <w:r w:rsidRPr="00E75867">
        <w:rPr>
          <w:rFonts w:ascii="Arial" w:hAnsi="Arial" w:cs="Arial"/>
          <w:i/>
          <w:sz w:val="24"/>
          <w:szCs w:val="24"/>
        </w:rPr>
        <w:t xml:space="preserve">No Fear: Growing up in a risk averse society. </w:t>
      </w:r>
      <w:r w:rsidRPr="00E75867">
        <w:rPr>
          <w:rFonts w:ascii="Arial" w:hAnsi="Arial" w:cs="Arial"/>
          <w:sz w:val="24"/>
          <w:szCs w:val="24"/>
        </w:rPr>
        <w:t xml:space="preserve">London: </w:t>
      </w:r>
      <w:proofErr w:type="spellStart"/>
      <w:r w:rsidRPr="00E75867">
        <w:rPr>
          <w:rFonts w:ascii="Arial" w:hAnsi="Arial" w:cs="Arial"/>
          <w:sz w:val="24"/>
          <w:szCs w:val="24"/>
        </w:rPr>
        <w:t>Calouste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5867">
        <w:rPr>
          <w:rFonts w:ascii="Arial" w:hAnsi="Arial" w:cs="Arial"/>
          <w:sz w:val="24"/>
          <w:szCs w:val="24"/>
        </w:rPr>
        <w:t>Gulbenkian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 Foundation.</w:t>
      </w:r>
    </w:p>
    <w:p w14:paraId="75C51F14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Harris, F. (2015) ‘The nature of learning at forest school: practitioners' perspectives’, </w:t>
      </w:r>
      <w:r w:rsidRPr="00E75867">
        <w:rPr>
          <w:rFonts w:ascii="Arial" w:hAnsi="Arial" w:cs="Arial"/>
          <w:i/>
          <w:sz w:val="24"/>
          <w:szCs w:val="24"/>
        </w:rPr>
        <w:t>Education 3-13,</w:t>
      </w:r>
      <w:r w:rsidRPr="00E75867">
        <w:rPr>
          <w:rFonts w:ascii="Arial" w:hAnsi="Arial" w:cs="Arial"/>
          <w:sz w:val="24"/>
          <w:szCs w:val="24"/>
        </w:rPr>
        <w:t xml:space="preserve"> DOI: 10.1080/03004279.2015.1078833.</w:t>
      </w:r>
    </w:p>
    <w:p w14:paraId="26463103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Knight, S. (2013) </w:t>
      </w:r>
      <w:r w:rsidRPr="00E75867">
        <w:rPr>
          <w:rFonts w:ascii="Arial" w:hAnsi="Arial" w:cs="Arial"/>
          <w:i/>
          <w:sz w:val="24"/>
          <w:szCs w:val="24"/>
        </w:rPr>
        <w:t xml:space="preserve">Risk and Adventure in Early Years Outdoor Play: Learning from Forest Schools. </w:t>
      </w:r>
      <w:r w:rsidRPr="00E75867">
        <w:rPr>
          <w:rFonts w:ascii="Arial" w:hAnsi="Arial" w:cs="Arial"/>
          <w:sz w:val="24"/>
          <w:szCs w:val="24"/>
        </w:rPr>
        <w:t>London: SAGE Publications Ltd.</w:t>
      </w:r>
    </w:p>
    <w:p w14:paraId="6DD3058C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5867">
        <w:rPr>
          <w:rFonts w:ascii="Arial" w:hAnsi="Arial" w:cs="Arial"/>
          <w:sz w:val="24"/>
          <w:szCs w:val="24"/>
        </w:rPr>
        <w:t>Laevers</w:t>
      </w:r>
      <w:proofErr w:type="spellEnd"/>
      <w:r w:rsidRPr="00E75867">
        <w:rPr>
          <w:rFonts w:ascii="Arial" w:hAnsi="Arial" w:cs="Arial"/>
          <w:sz w:val="24"/>
          <w:szCs w:val="24"/>
        </w:rPr>
        <w:t>, F. and Centre for Experiential Education. (2008) </w:t>
      </w:r>
      <w:r w:rsidRPr="00E75867">
        <w:rPr>
          <w:rFonts w:ascii="Arial" w:hAnsi="Arial" w:cs="Arial"/>
          <w:i/>
          <w:iCs/>
          <w:sz w:val="24"/>
          <w:szCs w:val="24"/>
        </w:rPr>
        <w:t>The Leuven involvement scale for young children: LIS-YC (3-</w:t>
      </w:r>
      <w:proofErr w:type="gramStart"/>
      <w:r w:rsidRPr="00E75867">
        <w:rPr>
          <w:rFonts w:ascii="Arial" w:hAnsi="Arial" w:cs="Arial"/>
          <w:i/>
          <w:iCs/>
          <w:sz w:val="24"/>
          <w:szCs w:val="24"/>
        </w:rPr>
        <w:t>6 year</w:t>
      </w:r>
      <w:proofErr w:type="gramEnd"/>
      <w:r w:rsidRPr="00E75867">
        <w:rPr>
          <w:rFonts w:ascii="Arial" w:hAnsi="Arial" w:cs="Arial"/>
          <w:i/>
          <w:iCs/>
          <w:sz w:val="24"/>
          <w:szCs w:val="24"/>
        </w:rPr>
        <w:t xml:space="preserve"> olds)</w:t>
      </w:r>
      <w:r w:rsidRPr="00E75867">
        <w:rPr>
          <w:rFonts w:ascii="Arial" w:hAnsi="Arial" w:cs="Arial"/>
          <w:sz w:val="24"/>
          <w:szCs w:val="24"/>
        </w:rPr>
        <w:t>.</w:t>
      </w:r>
    </w:p>
    <w:p w14:paraId="5388B44F" w14:textId="6DFE5B52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5867">
        <w:rPr>
          <w:rFonts w:ascii="Arial" w:hAnsi="Arial" w:cs="Arial"/>
          <w:sz w:val="24"/>
          <w:szCs w:val="24"/>
        </w:rPr>
        <w:t>Louv</w:t>
      </w:r>
      <w:proofErr w:type="spellEnd"/>
      <w:r w:rsidRPr="00E75867">
        <w:rPr>
          <w:rFonts w:ascii="Arial" w:hAnsi="Arial" w:cs="Arial"/>
          <w:sz w:val="24"/>
          <w:szCs w:val="24"/>
        </w:rPr>
        <w:t>, R. (2013) </w:t>
      </w:r>
      <w:r w:rsidRPr="00E75867">
        <w:rPr>
          <w:rFonts w:ascii="Arial" w:hAnsi="Arial" w:cs="Arial"/>
          <w:i/>
          <w:iCs/>
          <w:sz w:val="24"/>
          <w:szCs w:val="24"/>
        </w:rPr>
        <w:t>Last Child in the Woods</w:t>
      </w:r>
      <w:r w:rsidR="00A300CE">
        <w:rPr>
          <w:rFonts w:ascii="Arial" w:hAnsi="Arial" w:cs="Arial"/>
          <w:i/>
          <w:iCs/>
          <w:sz w:val="24"/>
          <w:szCs w:val="24"/>
        </w:rPr>
        <w:t>:</w:t>
      </w:r>
      <w:r w:rsidRPr="00E75867">
        <w:rPr>
          <w:rFonts w:ascii="Arial" w:hAnsi="Arial" w:cs="Arial"/>
          <w:i/>
          <w:iCs/>
          <w:sz w:val="24"/>
          <w:szCs w:val="24"/>
        </w:rPr>
        <w:t xml:space="preserve"> Saving our Children from Nature-Deficit Disorder</w:t>
      </w:r>
      <w:r w:rsidRPr="00E75867">
        <w:rPr>
          <w:rFonts w:ascii="Arial" w:hAnsi="Arial" w:cs="Arial"/>
          <w:sz w:val="24"/>
          <w:szCs w:val="24"/>
        </w:rPr>
        <w:t>. New York: Atlantic Books Ltd.</w:t>
      </w:r>
    </w:p>
    <w:p w14:paraId="3E7A1CA2" w14:textId="3CF7D2A6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Lundy, L. (2011) ‘Working </w:t>
      </w:r>
      <w:r w:rsidR="00A300CE" w:rsidRPr="00E75867">
        <w:rPr>
          <w:rFonts w:ascii="Arial" w:hAnsi="Arial" w:cs="Arial"/>
          <w:sz w:val="24"/>
          <w:szCs w:val="24"/>
        </w:rPr>
        <w:t>with</w:t>
      </w:r>
      <w:r w:rsidRPr="00E75867">
        <w:rPr>
          <w:rFonts w:ascii="Arial" w:hAnsi="Arial" w:cs="Arial"/>
          <w:sz w:val="24"/>
          <w:szCs w:val="24"/>
        </w:rPr>
        <w:t xml:space="preserve"> Young Children as Co-Researchers: An Approach Informed by the United Nations Convention on the Rights of the Child’, </w:t>
      </w:r>
      <w:r w:rsidRPr="00E75867">
        <w:rPr>
          <w:rFonts w:ascii="Arial" w:hAnsi="Arial" w:cs="Arial"/>
          <w:i/>
          <w:iCs/>
          <w:sz w:val="24"/>
          <w:szCs w:val="24"/>
        </w:rPr>
        <w:t>Early Education &amp; Development</w:t>
      </w:r>
      <w:r w:rsidRPr="00E75867">
        <w:rPr>
          <w:rFonts w:ascii="Arial" w:hAnsi="Arial" w:cs="Arial"/>
          <w:sz w:val="24"/>
          <w:szCs w:val="24"/>
        </w:rPr>
        <w:t>, 22(5), pp.714–737.</w:t>
      </w:r>
    </w:p>
    <w:p w14:paraId="6DA935D6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5867">
        <w:rPr>
          <w:rFonts w:ascii="Arial" w:hAnsi="Arial" w:cs="Arial"/>
          <w:sz w:val="24"/>
          <w:szCs w:val="24"/>
        </w:rPr>
        <w:t>MacNaughton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, G. (2005) </w:t>
      </w:r>
      <w:r w:rsidRPr="00E75867">
        <w:rPr>
          <w:rFonts w:ascii="Arial" w:hAnsi="Arial" w:cs="Arial"/>
          <w:i/>
          <w:sz w:val="24"/>
          <w:szCs w:val="24"/>
        </w:rPr>
        <w:t>Doing Foucault in early childhood studies: applying post structural ideas.</w:t>
      </w:r>
      <w:r w:rsidRPr="00E75867">
        <w:rPr>
          <w:rFonts w:ascii="Arial" w:hAnsi="Arial" w:cs="Arial"/>
          <w:sz w:val="24"/>
          <w:szCs w:val="24"/>
        </w:rPr>
        <w:t xml:space="preserve"> London: Routledge.</w:t>
      </w:r>
    </w:p>
    <w:p w14:paraId="0F833B6C" w14:textId="79E5EF01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Maynard, T. (2007) ‘Encounters with Forest School and Foucault: a risky business?’, </w:t>
      </w:r>
      <w:r w:rsidRPr="00E75867">
        <w:rPr>
          <w:rFonts w:ascii="Arial" w:hAnsi="Arial" w:cs="Arial"/>
          <w:i/>
          <w:sz w:val="24"/>
          <w:szCs w:val="24"/>
        </w:rPr>
        <w:t>Education 3–13</w:t>
      </w:r>
      <w:r w:rsidRPr="00E75867">
        <w:rPr>
          <w:rFonts w:ascii="Arial" w:hAnsi="Arial" w:cs="Arial"/>
          <w:sz w:val="24"/>
          <w:szCs w:val="24"/>
        </w:rPr>
        <w:t>, 35(4), pp.379-391. Accessed: 20</w:t>
      </w:r>
      <w:r w:rsidRPr="00E75867">
        <w:rPr>
          <w:rFonts w:ascii="Arial" w:hAnsi="Arial" w:cs="Arial"/>
          <w:sz w:val="24"/>
          <w:szCs w:val="24"/>
          <w:vertAlign w:val="superscript"/>
        </w:rPr>
        <w:t>th</w:t>
      </w:r>
      <w:r w:rsidRPr="00E75867">
        <w:rPr>
          <w:rFonts w:ascii="Arial" w:hAnsi="Arial" w:cs="Arial"/>
          <w:sz w:val="24"/>
          <w:szCs w:val="24"/>
        </w:rPr>
        <w:t xml:space="preserve"> January 2019. DOI: 10.1080/03004270701602640.</w:t>
      </w:r>
    </w:p>
    <w:p w14:paraId="388B4845" w14:textId="293E7039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McCree, M. and Cree, J. (2017) ‘Forest School: Core principles in changing times’, in Waite, S. (ed.) </w:t>
      </w:r>
      <w:r w:rsidRPr="00E75867">
        <w:rPr>
          <w:rFonts w:ascii="Arial" w:hAnsi="Arial" w:cs="Arial"/>
          <w:i/>
          <w:sz w:val="24"/>
          <w:szCs w:val="24"/>
        </w:rPr>
        <w:t>Children Learning Outside the Classroom from birth to eleven.</w:t>
      </w:r>
      <w:r w:rsidRPr="00E75867">
        <w:rPr>
          <w:rFonts w:ascii="Arial" w:hAnsi="Arial" w:cs="Arial"/>
          <w:sz w:val="24"/>
          <w:szCs w:val="24"/>
        </w:rPr>
        <w:t xml:space="preserve"> 2</w:t>
      </w:r>
      <w:r w:rsidRPr="00E75867">
        <w:rPr>
          <w:rFonts w:ascii="Arial" w:hAnsi="Arial" w:cs="Arial"/>
          <w:sz w:val="24"/>
          <w:szCs w:val="24"/>
          <w:vertAlign w:val="superscript"/>
        </w:rPr>
        <w:t>nd</w:t>
      </w:r>
      <w:r w:rsidRPr="00E75867">
        <w:rPr>
          <w:rFonts w:ascii="Arial" w:hAnsi="Arial" w:cs="Arial"/>
          <w:sz w:val="24"/>
          <w:szCs w:val="24"/>
        </w:rPr>
        <w:t xml:space="preserve"> </w:t>
      </w:r>
      <w:r w:rsidR="003A65D5">
        <w:rPr>
          <w:rFonts w:ascii="Arial" w:hAnsi="Arial" w:cs="Arial"/>
          <w:sz w:val="24"/>
          <w:szCs w:val="24"/>
        </w:rPr>
        <w:t>e</w:t>
      </w:r>
      <w:r w:rsidRPr="00E75867">
        <w:rPr>
          <w:rFonts w:ascii="Arial" w:hAnsi="Arial" w:cs="Arial"/>
          <w:sz w:val="24"/>
          <w:szCs w:val="24"/>
        </w:rPr>
        <w:t>d. London: Sage, pp.222-232.</w:t>
      </w:r>
    </w:p>
    <w:p w14:paraId="52605515" w14:textId="2CA3B74B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lastRenderedPageBreak/>
        <w:t xml:space="preserve">Pellegrini, A. D. (2015) ‘Rough and Tumble Play from Childhood Through Adolescence: Differing Perspectives’, in </w:t>
      </w:r>
      <w:proofErr w:type="spellStart"/>
      <w:r w:rsidRPr="00E75867">
        <w:rPr>
          <w:rFonts w:ascii="Arial" w:hAnsi="Arial" w:cs="Arial"/>
          <w:sz w:val="24"/>
          <w:szCs w:val="24"/>
        </w:rPr>
        <w:t>Fromberg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, D. P. and Bergen, D. (ed.) </w:t>
      </w:r>
      <w:r w:rsidRPr="00E75867">
        <w:rPr>
          <w:rFonts w:ascii="Arial" w:hAnsi="Arial" w:cs="Arial"/>
          <w:i/>
          <w:sz w:val="24"/>
          <w:szCs w:val="24"/>
        </w:rPr>
        <w:t xml:space="preserve">Play from Birth to Twelve: Contexts, Perspectives and Meanings. </w:t>
      </w:r>
      <w:r w:rsidRPr="00E75867">
        <w:rPr>
          <w:rFonts w:ascii="Arial" w:hAnsi="Arial" w:cs="Arial"/>
          <w:sz w:val="24"/>
          <w:szCs w:val="24"/>
        </w:rPr>
        <w:t>3</w:t>
      </w:r>
      <w:r w:rsidRPr="00E75867">
        <w:rPr>
          <w:rFonts w:ascii="Arial" w:hAnsi="Arial" w:cs="Arial"/>
          <w:sz w:val="24"/>
          <w:szCs w:val="24"/>
          <w:vertAlign w:val="superscript"/>
        </w:rPr>
        <w:t>rd</w:t>
      </w:r>
      <w:r w:rsidRPr="00E75867">
        <w:rPr>
          <w:rFonts w:ascii="Arial" w:hAnsi="Arial" w:cs="Arial"/>
          <w:sz w:val="24"/>
          <w:szCs w:val="24"/>
        </w:rPr>
        <w:t xml:space="preserve"> </w:t>
      </w:r>
      <w:r w:rsidR="0055771C">
        <w:rPr>
          <w:rFonts w:ascii="Arial" w:hAnsi="Arial" w:cs="Arial"/>
          <w:sz w:val="24"/>
          <w:szCs w:val="24"/>
        </w:rPr>
        <w:t>e</w:t>
      </w:r>
      <w:r w:rsidRPr="00E75867">
        <w:rPr>
          <w:rFonts w:ascii="Arial" w:hAnsi="Arial" w:cs="Arial"/>
          <w:sz w:val="24"/>
          <w:szCs w:val="24"/>
        </w:rPr>
        <w:t>d. Oxon: Routledge, pp.143-150.</w:t>
      </w:r>
    </w:p>
    <w:p w14:paraId="54ACF48C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Robinson, M. (2014) </w:t>
      </w:r>
      <w:r w:rsidRPr="00E75867">
        <w:rPr>
          <w:rFonts w:ascii="Arial" w:hAnsi="Arial" w:cs="Arial"/>
          <w:i/>
          <w:sz w:val="24"/>
          <w:szCs w:val="24"/>
        </w:rPr>
        <w:t xml:space="preserve">The Feeling Child: Laying the foundations of confidence and resilience. </w:t>
      </w:r>
      <w:r w:rsidRPr="00E75867">
        <w:rPr>
          <w:rFonts w:ascii="Arial" w:hAnsi="Arial" w:cs="Arial"/>
          <w:sz w:val="24"/>
          <w:szCs w:val="24"/>
        </w:rPr>
        <w:t>Oxon: Routledge.</w:t>
      </w:r>
    </w:p>
    <w:p w14:paraId="0A2E8A9C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5867">
        <w:rPr>
          <w:rFonts w:ascii="Arial" w:hAnsi="Arial" w:cs="Arial"/>
          <w:sz w:val="24"/>
          <w:szCs w:val="24"/>
        </w:rPr>
        <w:t>Ryff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, C. D. (1989) ‘Happiness Is Everything, or Is It? Explorations on the Meaning of Psychological Well-Being’, </w:t>
      </w:r>
      <w:r w:rsidRPr="00E75867">
        <w:rPr>
          <w:rFonts w:ascii="Arial" w:hAnsi="Arial" w:cs="Arial"/>
          <w:i/>
          <w:sz w:val="24"/>
          <w:szCs w:val="24"/>
        </w:rPr>
        <w:t xml:space="preserve">Journal of Personality and Social Psychology, </w:t>
      </w:r>
      <w:r w:rsidRPr="00E75867">
        <w:rPr>
          <w:rFonts w:ascii="Arial" w:hAnsi="Arial" w:cs="Arial"/>
          <w:sz w:val="24"/>
          <w:szCs w:val="24"/>
        </w:rPr>
        <w:t>57(6), pp.1069-1081.</w:t>
      </w:r>
    </w:p>
    <w:p w14:paraId="36883DCB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5867">
        <w:rPr>
          <w:rFonts w:ascii="Arial" w:hAnsi="Arial" w:cs="Arial"/>
          <w:sz w:val="24"/>
          <w:szCs w:val="24"/>
        </w:rPr>
        <w:t>Sandseter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, E. B. H. (2010) </w:t>
      </w:r>
      <w:proofErr w:type="spellStart"/>
      <w:r w:rsidRPr="00E75867">
        <w:rPr>
          <w:rFonts w:ascii="Arial" w:hAnsi="Arial" w:cs="Arial"/>
          <w:i/>
          <w:sz w:val="24"/>
          <w:szCs w:val="24"/>
        </w:rPr>
        <w:t>Scaryfunny</w:t>
      </w:r>
      <w:proofErr w:type="spellEnd"/>
      <w:r w:rsidRPr="00E75867">
        <w:rPr>
          <w:rFonts w:ascii="Arial" w:hAnsi="Arial" w:cs="Arial"/>
          <w:i/>
          <w:sz w:val="24"/>
          <w:szCs w:val="24"/>
        </w:rPr>
        <w:t xml:space="preserve">: A Qualitative Study of Risky Play Among Preschool Children. </w:t>
      </w:r>
      <w:r w:rsidRPr="00E75867">
        <w:rPr>
          <w:rFonts w:ascii="Arial" w:hAnsi="Arial" w:cs="Arial"/>
          <w:sz w:val="24"/>
          <w:szCs w:val="24"/>
        </w:rPr>
        <w:t>PhD Thesis.</w:t>
      </w:r>
      <w:r w:rsidRPr="00E75867">
        <w:rPr>
          <w:rFonts w:ascii="Arial" w:hAnsi="Arial" w:cs="Arial"/>
          <w:i/>
          <w:sz w:val="24"/>
          <w:szCs w:val="24"/>
        </w:rPr>
        <w:t xml:space="preserve"> </w:t>
      </w:r>
      <w:r w:rsidRPr="00E75867">
        <w:rPr>
          <w:rFonts w:ascii="Arial" w:hAnsi="Arial" w:cs="Arial"/>
          <w:sz w:val="24"/>
          <w:szCs w:val="24"/>
        </w:rPr>
        <w:t>Norwegian University of Science and Technology.</w:t>
      </w:r>
    </w:p>
    <w:p w14:paraId="23B7544A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Scott, J. (2014) </w:t>
      </w:r>
      <w:r w:rsidRPr="00E75867">
        <w:rPr>
          <w:rFonts w:ascii="Arial" w:hAnsi="Arial" w:cs="Arial"/>
          <w:i/>
          <w:sz w:val="24"/>
          <w:szCs w:val="24"/>
        </w:rPr>
        <w:t xml:space="preserve">Oxford Dictionary of Sociology. </w:t>
      </w:r>
      <w:r w:rsidRPr="00E75867">
        <w:rPr>
          <w:rFonts w:ascii="Arial" w:hAnsi="Arial" w:cs="Arial"/>
          <w:sz w:val="24"/>
          <w:szCs w:val="24"/>
        </w:rPr>
        <w:t>Oxford: Oxford University Press.</w:t>
      </w:r>
    </w:p>
    <w:p w14:paraId="4B294F8F" w14:textId="1584F701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Stan, I. and </w:t>
      </w:r>
      <w:proofErr w:type="spellStart"/>
      <w:r w:rsidRPr="00E75867">
        <w:rPr>
          <w:rFonts w:ascii="Arial" w:hAnsi="Arial" w:cs="Arial"/>
          <w:sz w:val="24"/>
          <w:szCs w:val="24"/>
        </w:rPr>
        <w:t>Humberstone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, B. (2011) ‘An ethnography of the outdoor classroom – how teachers manage risk in the outdoors’, </w:t>
      </w:r>
      <w:r w:rsidRPr="00E75867">
        <w:rPr>
          <w:rFonts w:ascii="Arial" w:hAnsi="Arial" w:cs="Arial"/>
          <w:i/>
          <w:sz w:val="24"/>
          <w:szCs w:val="24"/>
        </w:rPr>
        <w:t xml:space="preserve">Ethnography and Education, </w:t>
      </w:r>
      <w:r w:rsidRPr="00E75867">
        <w:rPr>
          <w:rFonts w:ascii="Arial" w:hAnsi="Arial" w:cs="Arial"/>
          <w:sz w:val="24"/>
          <w:szCs w:val="24"/>
        </w:rPr>
        <w:t>6(2), pp.213-228.</w:t>
      </w:r>
    </w:p>
    <w:p w14:paraId="0ADDEF07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>UNICEF UK. (1990) </w:t>
      </w:r>
      <w:r w:rsidRPr="00E75867">
        <w:rPr>
          <w:rFonts w:ascii="Arial" w:hAnsi="Arial" w:cs="Arial"/>
          <w:i/>
          <w:iCs/>
          <w:sz w:val="24"/>
          <w:szCs w:val="24"/>
        </w:rPr>
        <w:t>The United Nations Convention on the Rights of the Child. </w:t>
      </w:r>
      <w:r w:rsidRPr="00E75867">
        <w:rPr>
          <w:rFonts w:ascii="Arial" w:hAnsi="Arial" w:cs="Arial"/>
          <w:sz w:val="24"/>
          <w:szCs w:val="24"/>
        </w:rPr>
        <w:t>London: UNICEF. </w:t>
      </w:r>
    </w:p>
    <w:p w14:paraId="7F279D5B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 xml:space="preserve">Waite, S. and Goodenough, A. (2018) ‘What is different about Forest School? Creating a space for an alternative pedagogy in England’, </w:t>
      </w:r>
      <w:r w:rsidRPr="00E75867">
        <w:rPr>
          <w:rFonts w:ascii="Arial" w:hAnsi="Arial" w:cs="Arial"/>
          <w:i/>
          <w:sz w:val="24"/>
          <w:szCs w:val="24"/>
        </w:rPr>
        <w:t xml:space="preserve">Journal of Outdoor and Environmental Education, </w:t>
      </w:r>
      <w:r w:rsidRPr="00E75867">
        <w:rPr>
          <w:rFonts w:ascii="Arial" w:hAnsi="Arial" w:cs="Arial"/>
          <w:sz w:val="24"/>
          <w:szCs w:val="24"/>
        </w:rPr>
        <w:t>21, pp.25-44.</w:t>
      </w:r>
    </w:p>
    <w:p w14:paraId="2DCCA6A5" w14:textId="77777777" w:rsidR="00E75867" w:rsidRPr="00E75867" w:rsidRDefault="00E75867" w:rsidP="00E758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5867">
        <w:rPr>
          <w:rFonts w:ascii="Arial" w:hAnsi="Arial" w:cs="Arial"/>
          <w:sz w:val="24"/>
          <w:szCs w:val="24"/>
        </w:rPr>
        <w:t>Williams-</w:t>
      </w:r>
      <w:proofErr w:type="spellStart"/>
      <w:r w:rsidRPr="00E75867">
        <w:rPr>
          <w:rFonts w:ascii="Arial" w:hAnsi="Arial" w:cs="Arial"/>
          <w:sz w:val="24"/>
          <w:szCs w:val="24"/>
        </w:rPr>
        <w:t>Siegfredsen</w:t>
      </w:r>
      <w:proofErr w:type="spellEnd"/>
      <w:r w:rsidRPr="00E75867">
        <w:rPr>
          <w:rFonts w:ascii="Arial" w:hAnsi="Arial" w:cs="Arial"/>
          <w:sz w:val="24"/>
          <w:szCs w:val="24"/>
        </w:rPr>
        <w:t xml:space="preserve">, J. (2012) </w:t>
      </w:r>
      <w:r w:rsidRPr="00E75867">
        <w:rPr>
          <w:rFonts w:ascii="Arial" w:hAnsi="Arial" w:cs="Arial"/>
          <w:i/>
          <w:sz w:val="24"/>
          <w:szCs w:val="24"/>
        </w:rPr>
        <w:t xml:space="preserve">Understanding the Danish Forest School Approach: Early Years Education in Practice. </w:t>
      </w:r>
      <w:r w:rsidRPr="00E75867">
        <w:rPr>
          <w:rFonts w:ascii="Arial" w:hAnsi="Arial" w:cs="Arial"/>
          <w:sz w:val="24"/>
          <w:szCs w:val="24"/>
        </w:rPr>
        <w:t>Oxon: Routledge.</w:t>
      </w:r>
    </w:p>
    <w:sectPr w:rsidR="00E75867" w:rsidRPr="00E75867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92D3E3" w14:textId="77777777" w:rsidR="0053776D" w:rsidRDefault="0053776D" w:rsidP="000F5F5B">
      <w:pPr>
        <w:spacing w:after="0" w:line="240" w:lineRule="auto"/>
      </w:pPr>
      <w:r>
        <w:separator/>
      </w:r>
    </w:p>
  </w:endnote>
  <w:endnote w:type="continuationSeparator" w:id="0">
    <w:p w14:paraId="4F0491C5" w14:textId="77777777" w:rsidR="0053776D" w:rsidRDefault="0053776D" w:rsidP="000F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75436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BCAEEF" w14:textId="250344E4" w:rsidR="00303058" w:rsidRDefault="003030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08045" w14:textId="77777777" w:rsidR="000F5F5B" w:rsidRDefault="000F5F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D6A64" w14:textId="77777777" w:rsidR="0053776D" w:rsidRDefault="0053776D" w:rsidP="000F5F5B">
      <w:pPr>
        <w:spacing w:after="0" w:line="240" w:lineRule="auto"/>
      </w:pPr>
      <w:r>
        <w:separator/>
      </w:r>
    </w:p>
  </w:footnote>
  <w:footnote w:type="continuationSeparator" w:id="0">
    <w:p w14:paraId="7BC20DC4" w14:textId="77777777" w:rsidR="0053776D" w:rsidRDefault="0053776D" w:rsidP="000F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41322" w14:textId="3AF1380A" w:rsidR="00303058" w:rsidRDefault="00303058">
    <w:pPr>
      <w:pStyle w:val="Header"/>
    </w:pPr>
    <w:r>
      <w:t>EAER7002; 1501950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6A47"/>
    <w:multiLevelType w:val="hybridMultilevel"/>
    <w:tmpl w:val="1194D6A4"/>
    <w:lvl w:ilvl="0" w:tplc="F71A2C4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20218"/>
    <w:multiLevelType w:val="hybridMultilevel"/>
    <w:tmpl w:val="E85A7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AFF"/>
    <w:multiLevelType w:val="hybridMultilevel"/>
    <w:tmpl w:val="E85A7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C3488"/>
    <w:multiLevelType w:val="hybridMultilevel"/>
    <w:tmpl w:val="E85A7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A754B"/>
    <w:multiLevelType w:val="hybridMultilevel"/>
    <w:tmpl w:val="E85A7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4051B"/>
    <w:multiLevelType w:val="hybridMultilevel"/>
    <w:tmpl w:val="E85A7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8C"/>
    <w:rsid w:val="00010E8B"/>
    <w:rsid w:val="00047A40"/>
    <w:rsid w:val="0005078D"/>
    <w:rsid w:val="00062A27"/>
    <w:rsid w:val="00084A63"/>
    <w:rsid w:val="00095AD4"/>
    <w:rsid w:val="000C5A96"/>
    <w:rsid w:val="000E519E"/>
    <w:rsid w:val="000E7BAF"/>
    <w:rsid w:val="000F5F5B"/>
    <w:rsid w:val="00161635"/>
    <w:rsid w:val="0017448C"/>
    <w:rsid w:val="001768BC"/>
    <w:rsid w:val="001C7AD8"/>
    <w:rsid w:val="001D2FF2"/>
    <w:rsid w:val="001D50A3"/>
    <w:rsid w:val="001D53DE"/>
    <w:rsid w:val="001E2941"/>
    <w:rsid w:val="001F6734"/>
    <w:rsid w:val="00223FAC"/>
    <w:rsid w:val="00260C8E"/>
    <w:rsid w:val="00271AA0"/>
    <w:rsid w:val="002723A2"/>
    <w:rsid w:val="002B501D"/>
    <w:rsid w:val="002F07C7"/>
    <w:rsid w:val="00303058"/>
    <w:rsid w:val="00315C4B"/>
    <w:rsid w:val="00327BC9"/>
    <w:rsid w:val="00336CA3"/>
    <w:rsid w:val="0035453E"/>
    <w:rsid w:val="00357CAC"/>
    <w:rsid w:val="003A65D5"/>
    <w:rsid w:val="003C1445"/>
    <w:rsid w:val="003C3E50"/>
    <w:rsid w:val="003C6781"/>
    <w:rsid w:val="003C76D9"/>
    <w:rsid w:val="003E2107"/>
    <w:rsid w:val="00407BC7"/>
    <w:rsid w:val="00412ECC"/>
    <w:rsid w:val="004524BE"/>
    <w:rsid w:val="0046247A"/>
    <w:rsid w:val="00477C1D"/>
    <w:rsid w:val="00483658"/>
    <w:rsid w:val="004B0A1C"/>
    <w:rsid w:val="004B386D"/>
    <w:rsid w:val="004D2E1C"/>
    <w:rsid w:val="004F69D1"/>
    <w:rsid w:val="0050027C"/>
    <w:rsid w:val="0053776D"/>
    <w:rsid w:val="00553B17"/>
    <w:rsid w:val="0055771C"/>
    <w:rsid w:val="00561F02"/>
    <w:rsid w:val="005C7473"/>
    <w:rsid w:val="005D7EAD"/>
    <w:rsid w:val="005E2FF4"/>
    <w:rsid w:val="00635DFB"/>
    <w:rsid w:val="00654102"/>
    <w:rsid w:val="00664014"/>
    <w:rsid w:val="006660D3"/>
    <w:rsid w:val="00676DA4"/>
    <w:rsid w:val="006A11F8"/>
    <w:rsid w:val="006A51F7"/>
    <w:rsid w:val="006B6C05"/>
    <w:rsid w:val="006F054A"/>
    <w:rsid w:val="00712860"/>
    <w:rsid w:val="00741F5B"/>
    <w:rsid w:val="007811B8"/>
    <w:rsid w:val="00790B96"/>
    <w:rsid w:val="00795316"/>
    <w:rsid w:val="007D3F7C"/>
    <w:rsid w:val="00813338"/>
    <w:rsid w:val="00820032"/>
    <w:rsid w:val="008B16B0"/>
    <w:rsid w:val="008B503C"/>
    <w:rsid w:val="008D14E9"/>
    <w:rsid w:val="008D3C70"/>
    <w:rsid w:val="008E318C"/>
    <w:rsid w:val="00917D12"/>
    <w:rsid w:val="00920A68"/>
    <w:rsid w:val="00924128"/>
    <w:rsid w:val="00937FDD"/>
    <w:rsid w:val="009666F4"/>
    <w:rsid w:val="009C1207"/>
    <w:rsid w:val="009D1C07"/>
    <w:rsid w:val="009D5E7C"/>
    <w:rsid w:val="00A04357"/>
    <w:rsid w:val="00A300CE"/>
    <w:rsid w:val="00A528AC"/>
    <w:rsid w:val="00A57959"/>
    <w:rsid w:val="00A74C56"/>
    <w:rsid w:val="00AF6CB9"/>
    <w:rsid w:val="00B05506"/>
    <w:rsid w:val="00B111D4"/>
    <w:rsid w:val="00B221A6"/>
    <w:rsid w:val="00B312FB"/>
    <w:rsid w:val="00B64968"/>
    <w:rsid w:val="00BB62C9"/>
    <w:rsid w:val="00BB667A"/>
    <w:rsid w:val="00BC01FE"/>
    <w:rsid w:val="00BD23BD"/>
    <w:rsid w:val="00BE3B61"/>
    <w:rsid w:val="00BF1A00"/>
    <w:rsid w:val="00BF2538"/>
    <w:rsid w:val="00C67808"/>
    <w:rsid w:val="00CC57AE"/>
    <w:rsid w:val="00CD0CDC"/>
    <w:rsid w:val="00CE0F84"/>
    <w:rsid w:val="00D24ABE"/>
    <w:rsid w:val="00D37131"/>
    <w:rsid w:val="00D47AC6"/>
    <w:rsid w:val="00D82A27"/>
    <w:rsid w:val="00DA7447"/>
    <w:rsid w:val="00DB12C0"/>
    <w:rsid w:val="00DE3394"/>
    <w:rsid w:val="00DF1BC7"/>
    <w:rsid w:val="00E030C9"/>
    <w:rsid w:val="00E14814"/>
    <w:rsid w:val="00E168BA"/>
    <w:rsid w:val="00E519F9"/>
    <w:rsid w:val="00E75867"/>
    <w:rsid w:val="00E919C7"/>
    <w:rsid w:val="00E942DE"/>
    <w:rsid w:val="00EA313B"/>
    <w:rsid w:val="00EB120F"/>
    <w:rsid w:val="00EB18B6"/>
    <w:rsid w:val="00EC397E"/>
    <w:rsid w:val="00F037E4"/>
    <w:rsid w:val="00F252E9"/>
    <w:rsid w:val="00F8562E"/>
    <w:rsid w:val="00FC46F3"/>
    <w:rsid w:val="00FC77DB"/>
    <w:rsid w:val="00FE32C1"/>
    <w:rsid w:val="00FE723C"/>
    <w:rsid w:val="00FF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6A7E7"/>
  <w15:chartTrackingRefBased/>
  <w15:docId w15:val="{FF43CCA6-BB61-4CD0-BD8F-C74283913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A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F31E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1E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27B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5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F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F5B"/>
  </w:style>
  <w:style w:type="paragraph" w:styleId="Footer">
    <w:name w:val="footer"/>
    <w:basedOn w:val="Normal"/>
    <w:link w:val="FooterChar"/>
    <w:uiPriority w:val="99"/>
    <w:unhideWhenUsed/>
    <w:rsid w:val="000F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9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health-and-safety-advice-for-schools/responsibilities-and-duties-for-school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hu.academia.edu/sarahblackwel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orestschoolassociation.org/full-principles-and-criteria-for-good-practice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valued.bcu.ac.uk/tutorial/4b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arlylearninghq.org.uk/earlylearninghq-blog/the-leuven-well-being-and-involvement-scale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Phillips</dc:creator>
  <cp:keywords/>
  <dc:description/>
  <cp:lastModifiedBy>Anwen Phillips</cp:lastModifiedBy>
  <cp:revision>131</cp:revision>
  <cp:lastPrinted>2019-04-11T12:49:00Z</cp:lastPrinted>
  <dcterms:created xsi:type="dcterms:W3CDTF">2019-04-02T10:23:00Z</dcterms:created>
  <dcterms:modified xsi:type="dcterms:W3CDTF">2019-04-11T13:06:00Z</dcterms:modified>
</cp:coreProperties>
</file>