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FB0DE" w14:textId="77777777" w:rsidR="00ED2BE7" w:rsidRDefault="00134EBE">
      <w:pPr>
        <w:spacing w:before="0" w:after="0"/>
        <w:jc w:val="right"/>
        <w:rPr>
          <w:rFonts w:ascii="Times New Roman" w:eastAsia="Times New Roman" w:hAnsi="Times New Roman" w:cs="Times New Roman"/>
          <w:b/>
          <w:color w:val="000000"/>
        </w:rPr>
      </w:pPr>
      <w:r>
        <w:rPr>
          <w:rFonts w:ascii="Times New Roman" w:eastAsia="Times New Roman" w:hAnsi="Times New Roman" w:cs="Times New Roman"/>
          <w:b/>
          <w:noProof/>
          <w:color w:val="000000"/>
        </w:rPr>
        <w:drawing>
          <wp:inline distT="0" distB="0" distL="0" distR="0" wp14:anchorId="01B660D9" wp14:editId="4CAE1ADB">
            <wp:extent cx="2781300" cy="1041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81300" cy="1041400"/>
                    </a:xfrm>
                    <a:prstGeom prst="rect">
                      <a:avLst/>
                    </a:prstGeom>
                    <a:ln/>
                  </pic:spPr>
                </pic:pic>
              </a:graphicData>
            </a:graphic>
          </wp:inline>
        </w:drawing>
      </w:r>
    </w:p>
    <w:p w14:paraId="03E0E522" w14:textId="77777777" w:rsidR="00ED2BE7" w:rsidRDefault="00ED2BE7">
      <w:pPr>
        <w:spacing w:before="0" w:after="0"/>
        <w:jc w:val="center"/>
        <w:rPr>
          <w:rFonts w:ascii="Times New Roman" w:eastAsia="Times New Roman" w:hAnsi="Times New Roman" w:cs="Times New Roman"/>
          <w:b/>
          <w:color w:val="000000"/>
        </w:rPr>
      </w:pPr>
    </w:p>
    <w:p w14:paraId="65C2EA78" w14:textId="77777777" w:rsidR="00ED2BE7" w:rsidRDefault="00ED2BE7">
      <w:pPr>
        <w:spacing w:before="0" w:after="0"/>
        <w:jc w:val="center"/>
        <w:rPr>
          <w:rFonts w:ascii="Times New Roman" w:eastAsia="Times New Roman" w:hAnsi="Times New Roman" w:cs="Times New Roman"/>
          <w:b/>
          <w:color w:val="000000"/>
        </w:rPr>
      </w:pPr>
    </w:p>
    <w:p w14:paraId="01A9E260" w14:textId="77777777" w:rsidR="00ED2BE7" w:rsidRDefault="00ED2BE7">
      <w:pPr>
        <w:spacing w:before="0" w:after="0"/>
        <w:jc w:val="center"/>
        <w:rPr>
          <w:rFonts w:ascii="Times New Roman" w:eastAsia="Times New Roman" w:hAnsi="Times New Roman" w:cs="Times New Roman"/>
          <w:b/>
          <w:color w:val="000000"/>
        </w:rPr>
      </w:pPr>
    </w:p>
    <w:p w14:paraId="6D5E3C1D" w14:textId="77777777" w:rsidR="00ED2BE7" w:rsidRDefault="00ED2BE7">
      <w:pPr>
        <w:spacing w:before="0" w:after="0"/>
        <w:jc w:val="center"/>
        <w:rPr>
          <w:rFonts w:ascii="Times New Roman" w:eastAsia="Times New Roman" w:hAnsi="Times New Roman" w:cs="Times New Roman"/>
          <w:b/>
          <w:color w:val="000000"/>
          <w:sz w:val="32"/>
          <w:szCs w:val="32"/>
        </w:rPr>
      </w:pPr>
    </w:p>
    <w:p w14:paraId="53350A10" w14:textId="77777777" w:rsidR="00ED2BE7" w:rsidRDefault="00134EBE">
      <w:pPr>
        <w:spacing w:before="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Program Name :- MBA International Business</w:t>
      </w:r>
    </w:p>
    <w:p w14:paraId="34CFF1D6" w14:textId="77777777" w:rsidR="00ED2BE7" w:rsidRDefault="00ED2BE7">
      <w:pPr>
        <w:spacing w:before="0" w:after="0"/>
        <w:jc w:val="center"/>
        <w:rPr>
          <w:rFonts w:ascii="Times New Roman" w:eastAsia="Times New Roman" w:hAnsi="Times New Roman" w:cs="Times New Roman"/>
          <w:b/>
          <w:color w:val="000000"/>
          <w:sz w:val="32"/>
          <w:szCs w:val="32"/>
        </w:rPr>
      </w:pPr>
    </w:p>
    <w:p w14:paraId="287D7968" w14:textId="77777777" w:rsidR="00ED2BE7" w:rsidRDefault="00134EBE">
      <w:pPr>
        <w:spacing w:before="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 :- Purval Pankajbhai Patel</w:t>
      </w:r>
    </w:p>
    <w:p w14:paraId="70A75C60" w14:textId="77777777" w:rsidR="00ED2BE7" w:rsidRDefault="00ED2BE7">
      <w:pPr>
        <w:spacing w:before="0" w:after="0"/>
        <w:jc w:val="center"/>
        <w:rPr>
          <w:rFonts w:ascii="Times New Roman" w:eastAsia="Times New Roman" w:hAnsi="Times New Roman" w:cs="Times New Roman"/>
          <w:b/>
          <w:color w:val="000000"/>
          <w:sz w:val="32"/>
          <w:szCs w:val="32"/>
        </w:rPr>
      </w:pPr>
    </w:p>
    <w:p w14:paraId="5F8FC7A8" w14:textId="77777777" w:rsidR="00ED2BE7" w:rsidRDefault="00134EBE">
      <w:pPr>
        <w:spacing w:before="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Lecture Name :- Haoran Liu</w:t>
      </w:r>
    </w:p>
    <w:p w14:paraId="29EB70BE" w14:textId="77777777" w:rsidR="00ED2BE7" w:rsidRDefault="00ED2BE7">
      <w:pPr>
        <w:spacing w:before="0" w:after="0"/>
        <w:jc w:val="center"/>
        <w:rPr>
          <w:rFonts w:ascii="Times New Roman" w:eastAsia="Times New Roman" w:hAnsi="Times New Roman" w:cs="Times New Roman"/>
          <w:b/>
          <w:color w:val="000000"/>
          <w:sz w:val="32"/>
          <w:szCs w:val="32"/>
        </w:rPr>
      </w:pPr>
    </w:p>
    <w:p w14:paraId="4850F467" w14:textId="77777777" w:rsidR="00ED2BE7" w:rsidRDefault="00134EBE">
      <w:pPr>
        <w:spacing w:before="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ID :- 2423414 </w:t>
      </w:r>
    </w:p>
    <w:p w14:paraId="64BCE2EA" w14:textId="77777777" w:rsidR="00ED2BE7" w:rsidRDefault="00ED2BE7">
      <w:pPr>
        <w:spacing w:before="0" w:after="0"/>
        <w:jc w:val="center"/>
        <w:rPr>
          <w:rFonts w:ascii="Times New Roman" w:eastAsia="Times New Roman" w:hAnsi="Times New Roman" w:cs="Times New Roman"/>
          <w:b/>
          <w:color w:val="000000"/>
          <w:sz w:val="32"/>
          <w:szCs w:val="32"/>
        </w:rPr>
      </w:pPr>
    </w:p>
    <w:p w14:paraId="3D5A207F" w14:textId="77777777" w:rsidR="00ED2BE7" w:rsidRDefault="00134EBE">
      <w:pPr>
        <w:spacing w:before="0"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Name: Marketing Management</w:t>
      </w:r>
    </w:p>
    <w:p w14:paraId="459D7AC8" w14:textId="77777777" w:rsidR="00ED2BE7" w:rsidRDefault="00ED2BE7">
      <w:pPr>
        <w:spacing w:before="0" w:after="0"/>
        <w:jc w:val="center"/>
        <w:rPr>
          <w:rFonts w:ascii="Times New Roman" w:eastAsia="Times New Roman" w:hAnsi="Times New Roman" w:cs="Times New Roman"/>
          <w:b/>
          <w:color w:val="000000"/>
          <w:sz w:val="32"/>
          <w:szCs w:val="32"/>
        </w:rPr>
      </w:pPr>
    </w:p>
    <w:p w14:paraId="457C31E8" w14:textId="77777777" w:rsidR="00ED2BE7" w:rsidRDefault="00134EBE">
      <w:pPr>
        <w:spacing w:before="0" w:after="0"/>
        <w:jc w:val="center"/>
        <w:rPr>
          <w:rFonts w:ascii="Times New Roman" w:eastAsia="Times New Roman" w:hAnsi="Times New Roman" w:cs="Times New Roman"/>
        </w:rPr>
      </w:pPr>
      <w:r>
        <w:rPr>
          <w:rFonts w:ascii="Times New Roman" w:eastAsia="Times New Roman" w:hAnsi="Times New Roman" w:cs="Times New Roman"/>
          <w:b/>
          <w:color w:val="000000"/>
          <w:sz w:val="32"/>
          <w:szCs w:val="32"/>
        </w:rPr>
        <w:t>Module Code: LCMB7024</w:t>
      </w:r>
    </w:p>
    <w:p w14:paraId="489376A9" w14:textId="77777777" w:rsidR="00ED2BE7" w:rsidRDefault="00134EBE">
      <w:pPr>
        <w:ind w:left="3280" w:right="3280"/>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5C3C0204" w14:textId="77777777" w:rsidR="00ED2BE7" w:rsidRDefault="00ED2BE7">
      <w:pPr>
        <w:jc w:val="both"/>
        <w:rPr>
          <w:rFonts w:ascii="Times New Roman" w:eastAsia="Times New Roman" w:hAnsi="Times New Roman" w:cs="Times New Roman"/>
        </w:rPr>
      </w:pPr>
    </w:p>
    <w:p w14:paraId="05263E61" w14:textId="77777777" w:rsidR="00ED2BE7" w:rsidRDefault="00ED2BE7">
      <w:pPr>
        <w:jc w:val="both"/>
        <w:rPr>
          <w:rFonts w:ascii="Times New Roman" w:eastAsia="Times New Roman" w:hAnsi="Times New Roman" w:cs="Times New Roman"/>
        </w:rPr>
      </w:pPr>
    </w:p>
    <w:p w14:paraId="2733CA6F" w14:textId="77777777" w:rsidR="00ED2BE7" w:rsidRDefault="00134EBE">
      <w:pPr>
        <w:jc w:val="both"/>
        <w:rPr>
          <w:rFonts w:ascii="Times New Roman" w:eastAsia="Times New Roman" w:hAnsi="Times New Roman" w:cs="Times New Roman"/>
        </w:rPr>
      </w:pPr>
      <w:r>
        <w:br w:type="page"/>
      </w:r>
    </w:p>
    <w:p w14:paraId="08E9CAD6" w14:textId="77777777" w:rsidR="00ED2BE7" w:rsidRDefault="00134EBE">
      <w:pPr>
        <w:spacing w:before="160" w:after="240"/>
        <w:jc w:val="both"/>
        <w:rPr>
          <w:rFonts w:ascii="Times New Roman" w:eastAsia="Times New Roman" w:hAnsi="Times New Roman" w:cs="Times New Roman"/>
        </w:rPr>
      </w:pPr>
      <w:r>
        <w:rPr>
          <w:rFonts w:ascii="Times New Roman" w:eastAsia="Times New Roman" w:hAnsi="Times New Roman" w:cs="Times New Roman"/>
          <w:b/>
        </w:rPr>
        <w:lastRenderedPageBreak/>
        <w:t>Table of Contents</w:t>
      </w:r>
      <w:r>
        <w:rPr>
          <w:rFonts w:ascii="Times New Roman" w:eastAsia="Times New Roman" w:hAnsi="Times New Roman" w:cs="Times New Roman"/>
        </w:rPr>
        <w:t xml:space="preserve"> </w:t>
      </w:r>
    </w:p>
    <w:sdt>
      <w:sdtPr>
        <w:id w:val="-679579815"/>
        <w:docPartObj>
          <w:docPartGallery w:val="Table of Contents"/>
          <w:docPartUnique/>
        </w:docPartObj>
      </w:sdtPr>
      <w:sdtEndPr/>
      <w:sdtContent>
        <w:p w14:paraId="0C17244D"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r>
            <w:fldChar w:fldCharType="begin"/>
          </w:r>
          <w:r>
            <w:instrText xml:space="preserve"> TOC \h \u \z \t "Heading 1,1,Heading 2,2,Heading 3,3,Heading 4,4,Heading 5,5,Heading 6,6,"</w:instrText>
          </w:r>
          <w:r>
            <w:fldChar w:fldCharType="separate"/>
          </w:r>
          <w:hyperlink w:anchor="_heading=h.kccg8hd16z0x">
            <w:r>
              <w:rPr>
                <w:rFonts w:ascii="Times New Roman" w:eastAsia="Times New Roman" w:hAnsi="Times New Roman" w:cs="Times New Roman"/>
              </w:rPr>
              <w:t>Introduction</w:t>
            </w:r>
            <w:r>
              <w:rPr>
                <w:rFonts w:ascii="Times New Roman" w:eastAsia="Times New Roman" w:hAnsi="Times New Roman" w:cs="Times New Roman"/>
              </w:rPr>
              <w:tab/>
              <w:t>3</w:t>
            </w:r>
          </w:hyperlink>
        </w:p>
        <w:p w14:paraId="6ED8460F"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hyperlink w:anchor="_heading=h.9uds5b8o6jaf">
            <w:r>
              <w:rPr>
                <w:rFonts w:ascii="Times New Roman" w:eastAsia="Times New Roman" w:hAnsi="Times New Roman" w:cs="Times New Roman"/>
              </w:rPr>
              <w:t>Advantages of being a pioneer company</w:t>
            </w:r>
            <w:r>
              <w:rPr>
                <w:rFonts w:ascii="Times New Roman" w:eastAsia="Times New Roman" w:hAnsi="Times New Roman" w:cs="Times New Roman"/>
              </w:rPr>
              <w:tab/>
              <w:t>3</w:t>
            </w:r>
          </w:hyperlink>
        </w:p>
        <w:p w14:paraId="7A048E1A"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hyperlink w:anchor="_heading=h.85ik41txvimd">
            <w:r>
              <w:rPr>
                <w:rFonts w:ascii="Times New Roman" w:eastAsia="Times New Roman" w:hAnsi="Times New Roman" w:cs="Times New Roman"/>
              </w:rPr>
              <w:t>Advantages of being a follower company</w:t>
            </w:r>
            <w:r>
              <w:rPr>
                <w:rFonts w:ascii="Times New Roman" w:eastAsia="Times New Roman" w:hAnsi="Times New Roman" w:cs="Times New Roman"/>
              </w:rPr>
              <w:tab/>
              <w:t>4</w:t>
            </w:r>
          </w:hyperlink>
        </w:p>
        <w:p w14:paraId="1BCC87CA"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hyperlink w:anchor="_heading=h.a0rcypt4af0k">
            <w:r>
              <w:rPr>
                <w:rFonts w:ascii="Times New Roman" w:eastAsia="Times New Roman" w:hAnsi="Times New Roman" w:cs="Times New Roman"/>
              </w:rPr>
              <w:t>PLC Strategies in the Growth and Maturity Stages</w:t>
            </w:r>
            <w:r>
              <w:rPr>
                <w:rFonts w:ascii="Times New Roman" w:eastAsia="Times New Roman" w:hAnsi="Times New Roman" w:cs="Times New Roman"/>
              </w:rPr>
              <w:tab/>
              <w:t>6</w:t>
            </w:r>
          </w:hyperlink>
        </w:p>
        <w:p w14:paraId="10820C1B"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hyperlink w:anchor="_heading=h.o1byceagett5">
            <w:r>
              <w:rPr>
                <w:rFonts w:ascii="Times New Roman" w:eastAsia="Times New Roman" w:hAnsi="Times New Roman" w:cs="Times New Roman"/>
              </w:rPr>
              <w:t>Conclusion</w:t>
            </w:r>
            <w:r>
              <w:rPr>
                <w:rFonts w:ascii="Times New Roman" w:eastAsia="Times New Roman" w:hAnsi="Times New Roman" w:cs="Times New Roman"/>
              </w:rPr>
              <w:tab/>
              <w:t>9</w:t>
            </w:r>
          </w:hyperlink>
        </w:p>
        <w:p w14:paraId="6817125E" w14:textId="77777777" w:rsidR="00ED2BE7" w:rsidRDefault="00134EBE">
          <w:pPr>
            <w:pBdr>
              <w:top w:val="nil"/>
              <w:left w:val="nil"/>
              <w:bottom w:val="nil"/>
              <w:right w:val="nil"/>
              <w:between w:val="nil"/>
            </w:pBdr>
            <w:tabs>
              <w:tab w:val="right" w:leader="dot" w:pos="9019"/>
            </w:tabs>
            <w:spacing w:after="100"/>
            <w:jc w:val="both"/>
            <w:rPr>
              <w:rFonts w:ascii="Times New Roman" w:eastAsia="Times New Roman" w:hAnsi="Times New Roman" w:cs="Times New Roman"/>
            </w:rPr>
          </w:pPr>
          <w:hyperlink w:anchor="_heading=h.j9rx7yqo8tit">
            <w:r>
              <w:rPr>
                <w:rFonts w:ascii="Times New Roman" w:eastAsia="Times New Roman" w:hAnsi="Times New Roman" w:cs="Times New Roman"/>
              </w:rPr>
              <w:t>References</w:t>
            </w:r>
            <w:r>
              <w:rPr>
                <w:rFonts w:ascii="Times New Roman" w:eastAsia="Times New Roman" w:hAnsi="Times New Roman" w:cs="Times New Roman"/>
              </w:rPr>
              <w:tab/>
              <w:t>10</w:t>
            </w:r>
          </w:hyperlink>
        </w:p>
        <w:p w14:paraId="58288094" w14:textId="77777777" w:rsidR="00ED2BE7" w:rsidRDefault="00134EBE">
          <w:pPr>
            <w:widowControl w:val="0"/>
            <w:tabs>
              <w:tab w:val="right" w:pos="12000"/>
            </w:tabs>
            <w:spacing w:before="60" w:after="0" w:line="480" w:lineRule="auto"/>
            <w:jc w:val="both"/>
            <w:rPr>
              <w:rFonts w:ascii="Times New Roman" w:eastAsia="Times New Roman" w:hAnsi="Times New Roman" w:cs="Times New Roman"/>
              <w:color w:val="000000"/>
            </w:rPr>
          </w:pPr>
          <w:r>
            <w:fldChar w:fldCharType="end"/>
          </w:r>
        </w:p>
      </w:sdtContent>
    </w:sdt>
    <w:p w14:paraId="24D9A534" w14:textId="77777777" w:rsidR="00ED2BE7" w:rsidRDefault="00ED2BE7">
      <w:pPr>
        <w:spacing w:before="160" w:after="240"/>
        <w:jc w:val="both"/>
        <w:rPr>
          <w:rFonts w:ascii="Times New Roman" w:eastAsia="Times New Roman" w:hAnsi="Times New Roman" w:cs="Times New Roman"/>
        </w:rPr>
      </w:pPr>
    </w:p>
    <w:p w14:paraId="4CA383E5" w14:textId="77777777" w:rsidR="00ED2BE7" w:rsidRDefault="00ED2BE7">
      <w:pPr>
        <w:spacing w:before="160" w:after="240"/>
        <w:jc w:val="both"/>
        <w:rPr>
          <w:rFonts w:ascii="Times New Roman" w:eastAsia="Times New Roman" w:hAnsi="Times New Roman" w:cs="Times New Roman"/>
        </w:rPr>
      </w:pPr>
    </w:p>
    <w:p w14:paraId="3807D763" w14:textId="77777777" w:rsidR="00ED2BE7" w:rsidRDefault="00ED2BE7">
      <w:pPr>
        <w:spacing w:before="160" w:after="240"/>
        <w:jc w:val="both"/>
        <w:rPr>
          <w:rFonts w:ascii="Times New Roman" w:eastAsia="Times New Roman" w:hAnsi="Times New Roman" w:cs="Times New Roman"/>
        </w:rPr>
      </w:pPr>
    </w:p>
    <w:p w14:paraId="1FDEB9B9" w14:textId="77777777" w:rsidR="00ED2BE7" w:rsidRDefault="00134EBE">
      <w:pPr>
        <w:spacing w:before="160" w:after="240"/>
        <w:jc w:val="both"/>
        <w:rPr>
          <w:rFonts w:ascii="Times New Roman" w:eastAsia="Times New Roman" w:hAnsi="Times New Roman" w:cs="Times New Roman"/>
        </w:rPr>
      </w:pPr>
      <w:r>
        <w:br w:type="page"/>
      </w:r>
    </w:p>
    <w:p w14:paraId="3E87AFFF" w14:textId="77777777" w:rsidR="00ED2BE7" w:rsidRDefault="00134EBE">
      <w:pPr>
        <w:pStyle w:val="Heading1"/>
        <w:spacing w:before="160" w:after="240"/>
        <w:rPr>
          <w:b/>
        </w:rPr>
      </w:pPr>
      <w:bookmarkStart w:id="0" w:name="_heading=h.kccg8hd16z0x" w:colFirst="0" w:colLast="0"/>
      <w:bookmarkEnd w:id="0"/>
      <w:r>
        <w:rPr>
          <w:b/>
        </w:rPr>
        <w:lastRenderedPageBreak/>
        <w:t xml:space="preserve">Introduction </w:t>
      </w:r>
    </w:p>
    <w:p w14:paraId="76778F8B"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In the business world, many companies want to make a mark of their own. But only those organisations can survive the competitive market who became the first movers (Ortt and Kamp, 2022). These first mover companies are known as “pioneer companies”. Pioneer companies are the first to enter a market with a new product, service, or technology. Meanwhile, companies that try to build their market reach based on pioneer companies are known as “follower companies”  (Ortt and Kamp, 2022). Follower companies later, </w:t>
      </w:r>
      <w:r>
        <w:rPr>
          <w:rFonts w:ascii="Times New Roman" w:eastAsia="Times New Roman" w:hAnsi="Times New Roman" w:cs="Times New Roman"/>
        </w:rPr>
        <w:t>often building on the pioneers' innovations. These organisations often develop similar products or services by adapting existing technologies (Niehoff, 2022). Product life cycle (PLC) describes the stages a product goes through from introduction to decline, including development, growth, maturity, and eventual obsolescence, influencing marketing strategies and sales (Niehoff, 2022). This essay will try to explain and navigate the advantages of being a pioneer company and a follower company. Later on, it wil</w:t>
      </w:r>
      <w:r>
        <w:rPr>
          <w:rFonts w:ascii="Times New Roman" w:eastAsia="Times New Roman" w:hAnsi="Times New Roman" w:cs="Times New Roman"/>
        </w:rPr>
        <w:t xml:space="preserve">l also focus and try to encapsulate the PLC strategies in the growth and maturity stages. All this information will be backed by several examples to provide a precise and concise understanding of the topic of marketing management. </w:t>
      </w:r>
    </w:p>
    <w:p w14:paraId="63CAB364" w14:textId="77777777" w:rsidR="00ED2BE7" w:rsidRDefault="00134EBE">
      <w:pPr>
        <w:pStyle w:val="Heading1"/>
        <w:spacing w:before="120" w:after="240"/>
        <w:rPr>
          <w:color w:val="000000"/>
        </w:rPr>
      </w:pPr>
      <w:bookmarkStart w:id="1" w:name="_heading=h.9uds5b8o6jaf" w:colFirst="0" w:colLast="0"/>
      <w:bookmarkEnd w:id="1"/>
      <w:r>
        <w:rPr>
          <w:b/>
        </w:rPr>
        <w:t>Advantages of being a pioneer company</w:t>
      </w:r>
      <w:r>
        <w:t xml:space="preserve"> </w:t>
      </w:r>
    </w:p>
    <w:p w14:paraId="7250F2BE"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A firm which was among the first to launch an unfamiliar service, good, or innovation into an industry is known as a pioneer company. A pioneer company possesses the market leadership traits, adaptability, and visionary and risk-taking qualities (Quignard, 2020). In addition to creating customer loyalty and establishing standards in the marketplace, it also acquires the market earlier than rivals do. Pioneer companies help build and foster a positive company culture with better employee experience and boost</w:t>
      </w:r>
      <w:r>
        <w:rPr>
          <w:rFonts w:ascii="Times New Roman" w:eastAsia="Times New Roman" w:hAnsi="Times New Roman" w:cs="Times New Roman"/>
        </w:rPr>
        <w:t xml:space="preserve"> retention with more engaged employees (Coelho, 2021). The advantages of being a pioneer company include the First-Mover Advantage as before rivals, pioneering businesses may build a strong brand and devoted clientele. Anticipated its bagless technological advances, for instance, Dyson transformed hoover cleaners and established a commanding market share in the UK, anticipated 2022 sales of £6.5 billion (Quignard, 2020). In addition to this, Technological Leadership helps the organisations that are first to</w:t>
      </w:r>
      <w:r>
        <w:rPr>
          <w:rFonts w:ascii="Times New Roman" w:eastAsia="Times New Roman" w:hAnsi="Times New Roman" w:cs="Times New Roman"/>
        </w:rPr>
        <w:t xml:space="preserve"> trademark their discoveries, which makes it more difficult for rivals to copy them. The UK-based semiconductors business ARM Holdings invented environmentally friendly microchip architectures and rose to prominence in the portable processing industry. The technology it developed is found in more than 95% of cell phones worldwide (Ashton, 2023). Similarly, the Higher Profit Margins navigate the inventiveness, along with an absence of rivalries, and innovators can impose higher costs. Renowned for its </w:t>
      </w:r>
      <w:r>
        <w:rPr>
          <w:rFonts w:ascii="Times New Roman" w:eastAsia="Times New Roman" w:hAnsi="Times New Roman" w:cs="Times New Roman"/>
        </w:rPr>
        <w:lastRenderedPageBreak/>
        <w:t>aerona</w:t>
      </w:r>
      <w:r>
        <w:rPr>
          <w:rFonts w:ascii="Times New Roman" w:eastAsia="Times New Roman" w:hAnsi="Times New Roman" w:cs="Times New Roman"/>
        </w:rPr>
        <w:t>utical expertise, Rolls-Royce became a pioneer in the development of engines for jet aircraft and continues to operate a profitable defence while commercial aeroplane industry, with £18.3 billion in sales in 2023 (Genchi, 2024).</w:t>
      </w:r>
    </w:p>
    <w:p w14:paraId="267D670D"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On the other hand, there are certain disadvantages of being a Pioneer Company, like High R&amp;D Costs &amp; Risk of Failure. Pioneers or Entrepreneurs spend a lot of money on Research and Development (R&amp;D), which might result in large damages if their invention doesn't work out. For example, Sinclair Research sold the ZX Spectrum computer in 1986 after failing to keep it relevant in the business because of budgetary constraints (O’Regan, 2021). Competitors Can Learn &amp; Improve help the latecomers can improve and po</w:t>
      </w:r>
      <w:r>
        <w:rPr>
          <w:rFonts w:ascii="Times New Roman" w:eastAsia="Times New Roman" w:hAnsi="Times New Roman" w:cs="Times New Roman"/>
        </w:rPr>
        <w:t xml:space="preserve">lish the pioneer's concept. Because of its superior business backing and promotion, VHS (JVC's format) eventually overtook Betamax, the initial video format created by Sony. This suggests that innovators' initial concepts should be improved (McKenna and Egan, 2024). For example, JVC's VHS eventually won because of excellent advertising campaigns as well as widespread commercial support, while Sony's Betamax became a popular early video format. This demonstrates the ability of effective placement to surpass </w:t>
      </w:r>
      <w:r>
        <w:rPr>
          <w:rFonts w:ascii="Times New Roman" w:eastAsia="Times New Roman" w:hAnsi="Times New Roman" w:cs="Times New Roman"/>
        </w:rPr>
        <w:t>initial invention  (Coelho, 2021).</w:t>
      </w:r>
    </w:p>
    <w:p w14:paraId="33E71326"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Low-power applications, outstanding durability semiconductor technology was invented by ARM Holdings (Pioneer in Semiconductor Industry), which began operations in Cambridge in 1990. It grants licensing to businesses like Samsung, Qualcomm, and Apple for their inventions (Coyle and Mandys, 2024). By 2023, ARM processors will power more than 250 billion smartphones and bring in $2.7 billion annually. Its invention of efficient CPUs transformed ubiquitous along with mobile computer technology and established </w:t>
      </w:r>
      <w:r>
        <w:rPr>
          <w:rFonts w:ascii="Times New Roman" w:eastAsia="Times New Roman" w:hAnsi="Times New Roman" w:cs="Times New Roman"/>
        </w:rPr>
        <w:t xml:space="preserve">its dominance in the world market (Coyle and Mandys, 2024). ARM Holdings is diversifying towards the fields of edge computing, including artificial intelligence, along with possessing leading CPU expertise. With partners releasing more than 15 billion semiconductors annually, ARM's manufacturing methodology could power more than 95% of mobile processors by 2023 (McKenzie, 2021). </w:t>
      </w:r>
    </w:p>
    <w:p w14:paraId="42D65FD6" w14:textId="77777777" w:rsidR="00ED2BE7" w:rsidRDefault="00134EBE">
      <w:pPr>
        <w:pStyle w:val="Heading1"/>
        <w:spacing w:before="100" w:after="240"/>
      </w:pPr>
      <w:bookmarkStart w:id="2" w:name="_heading=h.85ik41txvimd" w:colFirst="0" w:colLast="0"/>
      <w:bookmarkEnd w:id="2"/>
      <w:r>
        <w:rPr>
          <w:b/>
        </w:rPr>
        <w:t>Advantages of being a follower company</w:t>
      </w:r>
      <w:r>
        <w:t xml:space="preserve"> </w:t>
      </w:r>
    </w:p>
    <w:p w14:paraId="35277613"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A follower firm is an enterprise which absorbs and simplifies the inventions, merchandise, and even company approaches of pioneering companies as opposed to spearheading through development (Pinto </w:t>
      </w:r>
      <w:r>
        <w:rPr>
          <w:rFonts w:ascii="Times New Roman" w:eastAsia="Times New Roman" w:hAnsi="Times New Roman" w:cs="Times New Roman"/>
          <w:i/>
        </w:rPr>
        <w:t>et al.,</w:t>
      </w:r>
      <w:r>
        <w:rPr>
          <w:rFonts w:ascii="Times New Roman" w:eastAsia="Times New Roman" w:hAnsi="Times New Roman" w:cs="Times New Roman"/>
        </w:rPr>
        <w:t xml:space="preserve"> 2023). Follower companies leverage established patterns to increase effectiveness while cutting expenditures, along with minimising the initial stages' unpredictability, rather than accepting the consequences of establishing a first mover. The advantages of being a follower company, like Lower Risk &amp; Costs, expensive costs of research </w:t>
      </w:r>
      <w:r>
        <w:rPr>
          <w:rFonts w:ascii="Times New Roman" w:eastAsia="Times New Roman" w:hAnsi="Times New Roman" w:cs="Times New Roman"/>
        </w:rPr>
        <w:lastRenderedPageBreak/>
        <w:t>and development (R&amp;D), and the uncertainty surrounding customer acceptance, are avoided by follower enterprises. After Tesco and Asda, for instance, Aldi in the UK emb</w:t>
      </w:r>
      <w:r>
        <w:rPr>
          <w:rFonts w:ascii="Times New Roman" w:eastAsia="Times New Roman" w:hAnsi="Times New Roman" w:cs="Times New Roman"/>
        </w:rPr>
        <w:t>raced the cheap shopping concept as well as improved both its effectiveness and affordable prices (Spanjaard and Freeman, 2023). Even Improved Market Understanding evaluates pioneers' positive and negative aspects, businesses improve their offerings to more effectively satisfy consumers. Through studying BT's marketing methods, Sky, a telecom firm located in the UK, enhanced its multimedia along with internet offerings (Court of Appeal, 2021). Faster Time to Profitability the businesses frequently become pr</w:t>
      </w:r>
      <w:r>
        <w:rPr>
          <w:rFonts w:ascii="Times New Roman" w:eastAsia="Times New Roman" w:hAnsi="Times New Roman" w:cs="Times New Roman"/>
        </w:rPr>
        <w:t>ofitable more quickly given that they penetrate a marketplace that already exists. Despite entering the UK later than Aldi, Lidl, a direct rival, swiftly increased the volume of its market, employing competitive price plus localisation tactics (Severino, 2024).</w:t>
      </w:r>
    </w:p>
    <w:p w14:paraId="45E98EDE" w14:textId="77777777" w:rsidR="00ED2BE7" w:rsidRDefault="00134EBE">
      <w:pPr>
        <w:spacing w:before="240"/>
        <w:jc w:val="both"/>
        <w:rPr>
          <w:rFonts w:ascii="Times New Roman" w:eastAsia="Times New Roman" w:hAnsi="Times New Roman" w:cs="Times New Roman"/>
        </w:rPr>
      </w:pPr>
      <w:r>
        <w:rPr>
          <w:rFonts w:ascii="Times New Roman" w:eastAsia="Times New Roman" w:hAnsi="Times New Roman" w:cs="Times New Roman"/>
        </w:rPr>
        <w:t>On the other hand, there are certain disadvantages of being a follower company such as Brand Perception and Market Differentiation. It might be difficult for follower businesses to have a unique sense of identity. For instance, within the UK telecommunication market, O2 is up against intense rivalry from early entrants, including Vodafone (Genakos et al., 2021). Dependence on Market Leaders UK-based low-cost airline Jet2 adopts Ryanair's lowering expenses strategy and nevertheless struggles to set itself ap</w:t>
      </w:r>
      <w:r>
        <w:rPr>
          <w:rFonts w:ascii="Times New Roman" w:eastAsia="Times New Roman" w:hAnsi="Times New Roman" w:cs="Times New Roman"/>
        </w:rPr>
        <w:t>art from the competition (El-Kady, 2021).</w:t>
      </w:r>
      <w:r>
        <w:rPr>
          <w:rFonts w:ascii="Times New Roman" w:eastAsia="Times New Roman" w:hAnsi="Times New Roman" w:cs="Times New Roman"/>
        </w:rPr>
        <w:br/>
        <w:t>Following Aldi's idea to establish a cheap grocery store, Lidl UK joined the UK market in 1994. It made use of rapid expansion, cost-effective processes, and successful supply chain administration (Meale, 2024). By 2023, Lidl UK will have more than 960 locations and a 7.6% market share. With its emphasis on high-quality private-label goods, competitive prices, and highly effective transportation, Lidl has quickly established its products among a formidable following</w:t>
      </w:r>
      <w:r>
        <w:rPr>
          <w:rFonts w:ascii="Times New Roman" w:eastAsia="Times New Roman" w:hAnsi="Times New Roman" w:cs="Times New Roman"/>
        </w:rPr>
        <w:t xml:space="preserve"> (Holleman, 2022). Since private-label goods make up more than 80% of Lidl UK's sales as of 2023, the company can keep prices affordable while upholding its commitment to excellence (Kheterpal, 2024). To lower expenses related to overhead, the business also makes investments in effective supply chain management, which includes regional transportation hubs as well as immediate manufacturer connections (Meale, 2024). </w:t>
      </w:r>
    </w:p>
    <w:p w14:paraId="2C1ABDEE" w14:textId="77777777" w:rsidR="00ED2BE7" w:rsidRDefault="00134EBE">
      <w:pPr>
        <w:pStyle w:val="Heading1"/>
        <w:spacing w:before="240" w:after="240"/>
      </w:pPr>
      <w:bookmarkStart w:id="3" w:name="_heading=h.a0rcypt4af0k" w:colFirst="0" w:colLast="0"/>
      <w:bookmarkEnd w:id="3"/>
      <w:r>
        <w:rPr>
          <w:b/>
        </w:rPr>
        <w:t xml:space="preserve">PLC Strategies in the Growth and Maturity Stages </w:t>
      </w:r>
    </w:p>
    <w:p w14:paraId="18F520CA"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The commercial theory known as the Product Life Cycle (PLC) outlines the phases that something passes through different phases or stages during launch to eventual decline. It is divided into four major phases: Introduction, when the good is introduced alongside inadequate sales along with elevated advertisements the expenses (CFI, 2025). Growth, when popularity </w:t>
      </w:r>
      <w:r>
        <w:rPr>
          <w:rFonts w:ascii="Times New Roman" w:eastAsia="Times New Roman" w:hAnsi="Times New Roman" w:cs="Times New Roman"/>
        </w:rPr>
        <w:lastRenderedPageBreak/>
        <w:t xml:space="preserve">rises and profits while revenue growth rise because its due date. This stage sets the product’s growth at a definite rate before it reaches the maturity stage. Maturity occurs when revenue is at its highest, rivalry escalates, and businesses concentrate on distinguishing characteristics. Decline, when sales fall because of market exhaustion either evolving customer tastes, which frequently results in discontinuing or resurgence. </w:t>
      </w:r>
    </w:p>
    <w:p w14:paraId="0EF7AA3F"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b/>
        </w:rPr>
        <w:t>Product Life Cycle (PLC) Strategies for Pioneer and Follower Companies</w:t>
      </w:r>
      <w:r>
        <w:rPr>
          <w:rFonts w:ascii="Times New Roman" w:eastAsia="Times New Roman" w:hAnsi="Times New Roman" w:cs="Times New Roman"/>
        </w:rPr>
        <w:t xml:space="preserve"> </w:t>
      </w:r>
    </w:p>
    <w:p w14:paraId="4E4AE397"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The Product Life Cycle (PLC) stages are shaped through pioneer companies' introduction of novel merchandise, which generate preliminary competitive attention along with generating customer demands (Iveson </w:t>
      </w:r>
      <w:r>
        <w:rPr>
          <w:rFonts w:ascii="Times New Roman" w:eastAsia="Times New Roman" w:hAnsi="Times New Roman" w:cs="Times New Roman"/>
          <w:i/>
        </w:rPr>
        <w:t>et al.,</w:t>
      </w:r>
      <w:r>
        <w:rPr>
          <w:rFonts w:ascii="Times New Roman" w:eastAsia="Times New Roman" w:hAnsi="Times New Roman" w:cs="Times New Roman"/>
        </w:rPr>
        <w:t xml:space="preserve"> 2022). Whenever competition penetrates the marketplace, they frequently go through periods of tremendous development accompanied by maturity. Usually entering during the developmental or maturation stages, follower companies provide comparable or enhanced offerings. They can take advantage of the market understanding along with inclinations already in place, building on the foundation established by pioneers (Harvard Business School Publishing, 2025). Both kinds of businesses encourage imaginative t</w:t>
      </w:r>
      <w:r>
        <w:rPr>
          <w:rFonts w:ascii="Times New Roman" w:eastAsia="Times New Roman" w:hAnsi="Times New Roman" w:cs="Times New Roman"/>
        </w:rPr>
        <w:t>hinking, lower prices, and improve goods' excellence to create a dynamic marketplace, which eventually benefits customers by giving them more alternatives and technological breakthroughs.</w:t>
      </w:r>
    </w:p>
    <w:p w14:paraId="2A09F43E"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br/>
        <w:t xml:space="preserve">Through the introduction of unusual goods, pioneering businesses, also known as first movers, significantly influence the market's patterns. Organisations concentrate on maintaining their technological edge, including expanding their customer base throughout the growth stage of the Product Life Cycle (PLC) (Harvard Business School Publishing, 2025). Two key strategies used in this phase are the Market Expansion Strategy and Confrontation Strategy. Market Expansion Strategy entails increasing the clientele </w:t>
      </w:r>
      <w:r>
        <w:rPr>
          <w:rFonts w:ascii="Times New Roman" w:eastAsia="Times New Roman" w:hAnsi="Times New Roman" w:cs="Times New Roman"/>
        </w:rPr>
        <w:t xml:space="preserve">by branching out according to location, addressing diverse markets, or reaching out to emerging populations. For instance, Tesla's client base increased dramatically once it entered the general marketplace through the Model 3, having previously catered mostly to luxury item buyers (Abdelazim, 2022). In 2018, Tesla sold over 145,000 Model 3s in the first twelve months of manufacturing, having made up 60% of total Tesla automobile revenue in that year. In the same way, Dyson first sold the vacuums it made in </w:t>
      </w:r>
      <w:r>
        <w:rPr>
          <w:rFonts w:ascii="Times New Roman" w:eastAsia="Times New Roman" w:hAnsi="Times New Roman" w:cs="Times New Roman"/>
        </w:rPr>
        <w:t xml:space="preserve">high-end markets while branching out to more affordable markets with a wider selection of merchandise options. Dyson gained a sizable market share by first concentrating on high-end Hoover cleaners (Han </w:t>
      </w:r>
      <w:r>
        <w:rPr>
          <w:rFonts w:ascii="Times New Roman" w:eastAsia="Times New Roman" w:hAnsi="Times New Roman" w:cs="Times New Roman"/>
          <w:i/>
        </w:rPr>
        <w:t>et al.,</w:t>
      </w:r>
      <w:r>
        <w:rPr>
          <w:rFonts w:ascii="Times New Roman" w:eastAsia="Times New Roman" w:hAnsi="Times New Roman" w:cs="Times New Roman"/>
        </w:rPr>
        <w:t xml:space="preserve"> 2024). By 2023, they had increased the accessibility of their brands as well as reached greater numbers of consumers by adding more affordable choices to their lineup. On the contrary, the Confrontation Strategy uses aggressive advertising, </w:t>
      </w:r>
      <w:r>
        <w:rPr>
          <w:rFonts w:ascii="Times New Roman" w:eastAsia="Times New Roman" w:hAnsi="Times New Roman" w:cs="Times New Roman"/>
        </w:rPr>
        <w:lastRenderedPageBreak/>
        <w:t xml:space="preserve">an attractive price, or superior quality products to combat </w:t>
      </w:r>
      <w:r>
        <w:rPr>
          <w:rFonts w:ascii="Times New Roman" w:eastAsia="Times New Roman" w:hAnsi="Times New Roman" w:cs="Times New Roman"/>
        </w:rPr>
        <w:t xml:space="preserve">competitors. For example, Apple keeps improving the capabilities of the iPhone to beat rivals, including Samsung and keep customers (Ounpipat, 2025). Apple continuously improves the functions of the iPhone, emphasising new developments like sophisticated cameras along with software. Apple dominated the U.S. smartphone industry in 2022, controlling 47% of the market at that time, compared to Samsung's 28% share (Ounpipat, 2025). </w:t>
      </w:r>
    </w:p>
    <w:p w14:paraId="5AEBC6F0"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Attack approaches for Follower Companies include methodical programs created to accomplish particular goals in times of confrontation. To succeed, they include assessing an individual's positive and negative aspects, using strategic moves, plus adjusting towards the behaviours of rivals (Tatam </w:t>
      </w:r>
      <w:r>
        <w:rPr>
          <w:rFonts w:ascii="Times New Roman" w:eastAsia="Times New Roman" w:hAnsi="Times New Roman" w:cs="Times New Roman"/>
          <w:i/>
        </w:rPr>
        <w:t>et al.,</w:t>
      </w:r>
      <w:r>
        <w:rPr>
          <w:rFonts w:ascii="Times New Roman" w:eastAsia="Times New Roman" w:hAnsi="Times New Roman" w:cs="Times New Roman"/>
        </w:rPr>
        <w:t xml:space="preserve"> 2021). Follower companies in the growth stage of the Product Life Cycle (PLC) use the Leapfrog Strategy and Encirclement Strategy to challenge the dominant players through offering enhanced goods, focussing on unexplored markets, or producing new ideas. The Leapfrog Strategy involves surpassing pioneers by adopting advanced technology, improved features, or innovative business models to offer better value to customers (Tatam </w:t>
      </w:r>
      <w:r>
        <w:rPr>
          <w:rFonts w:ascii="Times New Roman" w:eastAsia="Times New Roman" w:hAnsi="Times New Roman" w:cs="Times New Roman"/>
          <w:i/>
        </w:rPr>
        <w:t>et al.,</w:t>
      </w:r>
      <w:r>
        <w:rPr>
          <w:rFonts w:ascii="Times New Roman" w:eastAsia="Times New Roman" w:hAnsi="Times New Roman" w:cs="Times New Roman"/>
        </w:rPr>
        <w:t xml:space="preserve"> 2021). Huawei (Smartphones &amp; Telecommunications), after entering th</w:t>
      </w:r>
      <w:r>
        <w:rPr>
          <w:rFonts w:ascii="Times New Roman" w:eastAsia="Times New Roman" w:hAnsi="Times New Roman" w:cs="Times New Roman"/>
        </w:rPr>
        <w:t xml:space="preserve">e mobile device industry as an adversary of both Apple and Samsung, outperformed rivals through the development of 5G technology before its rivals (Tatam </w:t>
      </w:r>
      <w:r>
        <w:rPr>
          <w:rFonts w:ascii="Times New Roman" w:eastAsia="Times New Roman" w:hAnsi="Times New Roman" w:cs="Times New Roman"/>
          <w:i/>
        </w:rPr>
        <w:t>et al.,</w:t>
      </w:r>
      <w:r>
        <w:rPr>
          <w:rFonts w:ascii="Times New Roman" w:eastAsia="Times New Roman" w:hAnsi="Times New Roman" w:cs="Times New Roman"/>
        </w:rPr>
        <w:t xml:space="preserve"> 2021). Huawei attracted users searching for innovative offerings by making significant investments in research and development, introducing outstanding durability in photographic equipment, AI-driven applications, and excellent connection (Craig </w:t>
      </w:r>
      <w:r>
        <w:rPr>
          <w:rFonts w:ascii="Times New Roman" w:eastAsia="Times New Roman" w:hAnsi="Times New Roman" w:cs="Times New Roman"/>
          <w:i/>
        </w:rPr>
        <w:t>et al.,</w:t>
      </w:r>
      <w:r>
        <w:rPr>
          <w:rFonts w:ascii="Times New Roman" w:eastAsia="Times New Roman" w:hAnsi="Times New Roman" w:cs="Times New Roman"/>
        </w:rPr>
        <w:t xml:space="preserve"> 2021). TikTok's particular method guaranteed personalised involvement, which contributed to its </w:t>
      </w:r>
      <w:r>
        <w:rPr>
          <w:rFonts w:ascii="Times New Roman" w:eastAsia="Times New Roman" w:hAnsi="Times New Roman" w:cs="Times New Roman"/>
        </w:rPr>
        <w:t xml:space="preserve">swift, meteoric rise among Gen Z users (Tatam </w:t>
      </w:r>
      <w:r>
        <w:rPr>
          <w:rFonts w:ascii="Times New Roman" w:eastAsia="Times New Roman" w:hAnsi="Times New Roman" w:cs="Times New Roman"/>
          <w:i/>
        </w:rPr>
        <w:t>et al.,</w:t>
      </w:r>
      <w:r>
        <w:rPr>
          <w:rFonts w:ascii="Times New Roman" w:eastAsia="Times New Roman" w:hAnsi="Times New Roman" w:cs="Times New Roman"/>
        </w:rPr>
        <w:t xml:space="preserve"> 2021). By 2023, TikTok had over 1 billion active users, exceeding numerous established social network sites within advancement  (Craig </w:t>
      </w:r>
      <w:r>
        <w:rPr>
          <w:rFonts w:ascii="Times New Roman" w:eastAsia="Times New Roman" w:hAnsi="Times New Roman" w:cs="Times New Roman"/>
          <w:i/>
        </w:rPr>
        <w:t>et al.,</w:t>
      </w:r>
      <w:r>
        <w:rPr>
          <w:rFonts w:ascii="Times New Roman" w:eastAsia="Times New Roman" w:hAnsi="Times New Roman" w:cs="Times New Roman"/>
        </w:rPr>
        <w:t xml:space="preserve"> 2021). TikTok, an admirer of Instagram and YouTube, jumped ahead of more conventional social networking sites by concentrating on the brief form, driven by artificial intelligence material suggestions from others. </w:t>
      </w:r>
      <w:r>
        <w:rPr>
          <w:rFonts w:ascii="Times New Roman" w:eastAsia="Times New Roman" w:hAnsi="Times New Roman" w:cs="Times New Roman"/>
          <w:color w:val="222222"/>
        </w:rPr>
        <w:t xml:space="preserve">The Encirclement Strategy </w:t>
      </w:r>
      <w:r>
        <w:rPr>
          <w:rFonts w:ascii="Times New Roman" w:eastAsia="Times New Roman" w:hAnsi="Times New Roman" w:cs="Times New Roman"/>
        </w:rPr>
        <w:t>involves attacking a pioneer company on multiple fronts by offering a wider</w:t>
      </w:r>
      <w:r>
        <w:rPr>
          <w:rFonts w:ascii="Times New Roman" w:eastAsia="Times New Roman" w:hAnsi="Times New Roman" w:cs="Times New Roman"/>
        </w:rPr>
        <w:t xml:space="preserve"> variety of products, targeting diverse customer segments, or bundling additional services. By providing a large assortment of businesses and rapid clothing, while directly with consumers, ASOS (E-Commerce &amp; Fashion Retail) surrounded conventional fashion stores like H&amp;M along with Zara. ASOS, in contrast to its rivals, concentrated only on digital retail, offering a smooth online buying process that included immediate shipment along with customised suggestions (Cumming </w:t>
      </w:r>
      <w:r>
        <w:rPr>
          <w:rFonts w:ascii="Times New Roman" w:eastAsia="Times New Roman" w:hAnsi="Times New Roman" w:cs="Times New Roman"/>
          <w:i/>
        </w:rPr>
        <w:t>et al.,</w:t>
      </w:r>
      <w:r>
        <w:rPr>
          <w:rFonts w:ascii="Times New Roman" w:eastAsia="Times New Roman" w:hAnsi="Times New Roman" w:cs="Times New Roman"/>
        </w:rPr>
        <w:t xml:space="preserve"> 2022). This contributed to AS</w:t>
      </w:r>
      <w:r>
        <w:rPr>
          <w:rFonts w:ascii="Times New Roman" w:eastAsia="Times New Roman" w:hAnsi="Times New Roman" w:cs="Times New Roman"/>
        </w:rPr>
        <w:t xml:space="preserve">OS's dominance in UK digital clothes stores. </w:t>
      </w:r>
    </w:p>
    <w:p w14:paraId="223BCBEB"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During the maturity stage of the Product Life Cycle (PLC), both pioneer and follower companies face intense competition, market saturation, and slower growth. To sustain profitability and market share, they implement an Increased Penetration Strategy (attracting new customers in existing markets) and an Extended Use Strategy (encouraging more frequent or diverse usage of their products) (Vendrell-Herrero, </w:t>
      </w:r>
      <w:r>
        <w:rPr>
          <w:rFonts w:ascii="Times New Roman" w:eastAsia="Times New Roman" w:hAnsi="Times New Roman" w:cs="Times New Roman"/>
          <w:i/>
        </w:rPr>
        <w:t>et al.,</w:t>
      </w:r>
      <w:r>
        <w:rPr>
          <w:rFonts w:ascii="Times New Roman" w:eastAsia="Times New Roman" w:hAnsi="Times New Roman" w:cs="Times New Roman"/>
        </w:rPr>
        <w:t xml:space="preserve"> 2022). An Increased Penetration Strategy involves capturing a larger portion of the existing market by expanding distribution, adjusting pricing, or intensifying marketing efforts. Greggs (Pioneer – Bakery &amp; Fast Food Industry) through extending the locations of its stores outside the main thoroughfares into transportation hotspots, including runways and convenience stores, the well-known UK bread business Greggs was able to boost its penetration of the market (Vendrell-Herrero, </w:t>
      </w:r>
      <w:r>
        <w:rPr>
          <w:rFonts w:ascii="Times New Roman" w:eastAsia="Times New Roman" w:hAnsi="Times New Roman" w:cs="Times New Roman"/>
          <w:i/>
        </w:rPr>
        <w:t>et al.,</w:t>
      </w:r>
      <w:r>
        <w:rPr>
          <w:rFonts w:ascii="Times New Roman" w:eastAsia="Times New Roman" w:hAnsi="Times New Roman" w:cs="Times New Roman"/>
        </w:rPr>
        <w:t xml:space="preserve"> 2022). Anoth</w:t>
      </w:r>
      <w:r>
        <w:rPr>
          <w:rFonts w:ascii="Times New Roman" w:eastAsia="Times New Roman" w:hAnsi="Times New Roman" w:cs="Times New Roman"/>
        </w:rPr>
        <w:t xml:space="preserve">er example is Virgin Media (Follower – Telecom &amp; Broadband Industry) expanded its market share after BT's hegemony within the United Kingdom telecommunication market by providing rapid connectivity fibre internet alongside combining back there, adaptable, as well television channels at affordable prices (Udokporo </w:t>
      </w:r>
      <w:r>
        <w:rPr>
          <w:rFonts w:ascii="Times New Roman" w:eastAsia="Times New Roman" w:hAnsi="Times New Roman" w:cs="Times New Roman"/>
          <w:i/>
        </w:rPr>
        <w:t>et al.,</w:t>
      </w:r>
      <w:r>
        <w:rPr>
          <w:rFonts w:ascii="Times New Roman" w:eastAsia="Times New Roman" w:hAnsi="Times New Roman" w:cs="Times New Roman"/>
        </w:rPr>
        <w:t xml:space="preserve"> 2021). To draw in additional consumers, the program additionally brought open to change, no-contract internet choices while extended into underdeveloped rural regions. The Extended Use Stra</w:t>
      </w:r>
      <w:r>
        <w:rPr>
          <w:rFonts w:ascii="Times New Roman" w:eastAsia="Times New Roman" w:hAnsi="Times New Roman" w:cs="Times New Roman"/>
        </w:rPr>
        <w:t xml:space="preserve">tegy encourages customers to use products more frequently or find new applications to maintain demand. Weetabix (Follower – Cereal &amp; Breakfast Industry)  UK-based cereal company increased consumption of its items by encouraging consumers to use their cereal in fruit smoothies, baked goods, and nutritious refreshments, among other methods (Udokporo </w:t>
      </w:r>
      <w:r>
        <w:rPr>
          <w:rFonts w:ascii="Times New Roman" w:eastAsia="Times New Roman" w:hAnsi="Times New Roman" w:cs="Times New Roman"/>
          <w:i/>
        </w:rPr>
        <w:t>et al.,</w:t>
      </w:r>
      <w:r>
        <w:rPr>
          <w:rFonts w:ascii="Times New Roman" w:eastAsia="Times New Roman" w:hAnsi="Times New Roman" w:cs="Times New Roman"/>
        </w:rPr>
        <w:t xml:space="preserve"> 2021). To accommodate varying customer tastes and maintain interest in the established morning cereal sector, they additionally launched new flavours alon</w:t>
      </w:r>
      <w:r>
        <w:rPr>
          <w:rFonts w:ascii="Times New Roman" w:eastAsia="Times New Roman" w:hAnsi="Times New Roman" w:cs="Times New Roman"/>
        </w:rPr>
        <w:t>gside container forms.</w:t>
      </w:r>
    </w:p>
    <w:p w14:paraId="6B0AAAF8"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Whenever revenues diminish as a result of competitor oversupply, technology breakthroughs, or shifting consumer tastes, the Product Life Cycle (PLC) enters the decline stage. Though the following firms might reorganise or quit, pioneer companies frequently find it difficult to maintain competitiveness (Mousavi </w:t>
      </w:r>
      <w:r>
        <w:rPr>
          <w:rFonts w:ascii="Times New Roman" w:eastAsia="Times New Roman" w:hAnsi="Times New Roman" w:cs="Times New Roman"/>
          <w:i/>
        </w:rPr>
        <w:t>et al.,</w:t>
      </w:r>
      <w:r>
        <w:rPr>
          <w:rFonts w:ascii="Times New Roman" w:eastAsia="Times New Roman" w:hAnsi="Times New Roman" w:cs="Times New Roman"/>
        </w:rPr>
        <w:t xml:space="preserve"> 2022). For instance, BlackBerry (a pioneer in the smartphone industry) had to shift its focus to cryptography when touchscreen handsets about Apple and Samsung supplanted QWERTY keyboard devices. At the same time, media streaming services like Spotify and Netflix caused a decline in CD and DVD sales for HMV (Follower – Music Retail Industry), which resulted in the closure of several stores (Mousavi </w:t>
      </w:r>
      <w:r>
        <w:rPr>
          <w:rFonts w:ascii="Times New Roman" w:eastAsia="Times New Roman" w:hAnsi="Times New Roman" w:cs="Times New Roman"/>
          <w:i/>
        </w:rPr>
        <w:t>et al.,</w:t>
      </w:r>
      <w:r>
        <w:rPr>
          <w:rFonts w:ascii="Times New Roman" w:eastAsia="Times New Roman" w:hAnsi="Times New Roman" w:cs="Times New Roman"/>
        </w:rPr>
        <w:t xml:space="preserve"> 2022). While some businesses are phasing out unproductive items, others redefine, reduce costs</w:t>
      </w:r>
      <w:r>
        <w:rPr>
          <w:rFonts w:ascii="Times New Roman" w:eastAsia="Times New Roman" w:hAnsi="Times New Roman" w:cs="Times New Roman"/>
        </w:rPr>
        <w:t>, or seek specific audiences to prolong the lifespan of goods.</w:t>
      </w:r>
    </w:p>
    <w:p w14:paraId="134DD991"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Product Life Cycle (PLC) model helps businesses plan marketing strategies, allocate resources, and anticipate market changes (Shakouhi </w:t>
      </w:r>
      <w:r>
        <w:rPr>
          <w:rFonts w:ascii="Times New Roman" w:eastAsia="Times New Roman" w:hAnsi="Times New Roman" w:cs="Times New Roman"/>
          <w:i/>
        </w:rPr>
        <w:t>et al.,</w:t>
      </w:r>
      <w:r>
        <w:rPr>
          <w:rFonts w:ascii="Times New Roman" w:eastAsia="Times New Roman" w:hAnsi="Times New Roman" w:cs="Times New Roman"/>
        </w:rPr>
        <w:t xml:space="preserve"> 2023). Advantages include improved </w:t>
      </w:r>
      <w:r>
        <w:rPr>
          <w:rFonts w:ascii="Times New Roman" w:eastAsia="Times New Roman" w:hAnsi="Times New Roman" w:cs="Times New Roman"/>
        </w:rPr>
        <w:lastRenderedPageBreak/>
        <w:t xml:space="preserve">forecasting, better decision-making, and identifying when to innovate or exit a market. For example, Dyson continuously innovates to avoid product decline, introducing cordless vacuum cleaners and beauty technology. However, the model has disadvantages, such as unpredictability, as external factors like economic shifts and consumer trends can accelerate or delay life cycle stages (Shakouhi </w:t>
      </w:r>
      <w:r>
        <w:rPr>
          <w:rFonts w:ascii="Times New Roman" w:eastAsia="Times New Roman" w:hAnsi="Times New Roman" w:cs="Times New Roman"/>
          <w:i/>
        </w:rPr>
        <w:t>et al.,</w:t>
      </w:r>
      <w:r>
        <w:rPr>
          <w:rFonts w:ascii="Times New Roman" w:eastAsia="Times New Roman" w:hAnsi="Times New Roman" w:cs="Times New Roman"/>
        </w:rPr>
        <w:t xml:space="preserve"> 2023). Additionally, not all products follow a clear PLC, such as lu</w:t>
      </w:r>
      <w:r>
        <w:rPr>
          <w:rFonts w:ascii="Times New Roman" w:eastAsia="Times New Roman" w:hAnsi="Times New Roman" w:cs="Times New Roman"/>
        </w:rPr>
        <w:t>xury brands like Rolex, which maintain consistent demand without decline. Despite limitations, the PLC remains a useful strategic tool for managing product portfolios.</w:t>
      </w:r>
    </w:p>
    <w:p w14:paraId="2CA051B0" w14:textId="77777777" w:rsidR="00ED2BE7" w:rsidRDefault="00134EBE">
      <w:pPr>
        <w:pStyle w:val="Heading1"/>
        <w:spacing w:before="240" w:after="240"/>
      </w:pPr>
      <w:bookmarkStart w:id="4" w:name="_heading=h.o1byceagett5" w:colFirst="0" w:colLast="0"/>
      <w:bookmarkEnd w:id="4"/>
      <w:r>
        <w:rPr>
          <w:b/>
        </w:rPr>
        <w:t xml:space="preserve">Conclusion </w:t>
      </w:r>
    </w:p>
    <w:p w14:paraId="1D6AA7C1"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 xml:space="preserve">Businesses must comprehend the advantages and disadvantages of the pioneer and follower companies, Product Life Cycle (PLC) to optimise profitability and maintain a sustainable market. While follower firms adjust and compete by differentiating themselves, pioneer businesses concentrate on development through renewal. While failure to adapt results in decline, strategies such as market growth, prolonged usage, and innovation can extend a product's life cycle. The PLC is not absolute, though; some goods skip </w:t>
      </w:r>
      <w:r>
        <w:rPr>
          <w:rFonts w:ascii="Times New Roman" w:eastAsia="Times New Roman" w:hAnsi="Times New Roman" w:cs="Times New Roman"/>
        </w:rPr>
        <w:t>phases because of disruptive innovations, whereas other products stay in adulthood perpetually. To stay competitive, successful companies constantly track market changes, make R&amp;D investments, and modify their marketing plans. Businesses in dynamic sectors can increase lifespan and competitiveness by proactively using PLC principles.</w:t>
      </w:r>
    </w:p>
    <w:p w14:paraId="1FB25049" w14:textId="77777777" w:rsidR="00ED2BE7" w:rsidRDefault="00134EBE">
      <w:pPr>
        <w:pStyle w:val="Heading1"/>
        <w:rPr>
          <w:b/>
        </w:rPr>
      </w:pPr>
      <w:bookmarkStart w:id="5" w:name="_heading=h.j9rx7yqo8tit" w:colFirst="0" w:colLast="0"/>
      <w:bookmarkEnd w:id="5"/>
      <w:r>
        <w:rPr>
          <w:b/>
        </w:rPr>
        <w:t xml:space="preserve">References </w:t>
      </w:r>
    </w:p>
    <w:p w14:paraId="16BECAB4"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Abdelazim, Z., 2022. Business Strategy-Automotive Business Case-Tesla. </w:t>
      </w:r>
      <w:r>
        <w:rPr>
          <w:rFonts w:ascii="Times New Roman" w:eastAsia="Times New Roman" w:hAnsi="Times New Roman" w:cs="Times New Roman"/>
          <w:i/>
        </w:rPr>
        <w:t>Available at SSRN 4453857</w:t>
      </w:r>
      <w:r>
        <w:rPr>
          <w:rFonts w:ascii="Times New Roman" w:eastAsia="Times New Roman" w:hAnsi="Times New Roman" w:cs="Times New Roman"/>
        </w:rPr>
        <w:t>.</w:t>
      </w:r>
    </w:p>
    <w:p w14:paraId="30730820"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 xml:space="preserve">Ashton, J., 2023. </w:t>
      </w:r>
      <w:r>
        <w:rPr>
          <w:rFonts w:ascii="Times New Roman" w:eastAsia="Times New Roman" w:hAnsi="Times New Roman" w:cs="Times New Roman"/>
          <w:i/>
        </w:rPr>
        <w:t>The Everything Blueprint: The Microchip Design that Changed the World</w:t>
      </w:r>
      <w:r>
        <w:rPr>
          <w:rFonts w:ascii="Times New Roman" w:eastAsia="Times New Roman" w:hAnsi="Times New Roman" w:cs="Times New Roman"/>
        </w:rPr>
        <w:t>. Hachette UK.</w:t>
      </w:r>
    </w:p>
    <w:p w14:paraId="480B77F6"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CFI., (2025). </w:t>
      </w:r>
      <w:r>
        <w:rPr>
          <w:rFonts w:ascii="Times New Roman" w:eastAsia="Times New Roman" w:hAnsi="Times New Roman" w:cs="Times New Roman"/>
          <w:i/>
        </w:rPr>
        <w:t>Product Life Cycle.</w:t>
      </w:r>
      <w:r>
        <w:rPr>
          <w:rFonts w:ascii="Times New Roman" w:eastAsia="Times New Roman" w:hAnsi="Times New Roman" w:cs="Times New Roman"/>
        </w:rPr>
        <w:t xml:space="preserve"> Available at: </w:t>
      </w:r>
      <w:hyperlink r:id="rId8">
        <w:r>
          <w:rPr>
            <w:rFonts w:ascii="Times New Roman" w:eastAsia="Times New Roman" w:hAnsi="Times New Roman" w:cs="Times New Roman"/>
            <w:color w:val="1155CC"/>
            <w:u w:val="single"/>
          </w:rPr>
          <w:t>https://corporatefinanceinstitute.com/resources/management/product-life-cycle/</w:t>
        </w:r>
      </w:hyperlink>
      <w:r>
        <w:rPr>
          <w:rFonts w:ascii="Times New Roman" w:eastAsia="Times New Roman" w:hAnsi="Times New Roman" w:cs="Times New Roman"/>
        </w:rPr>
        <w:t xml:space="preserve"> [Accessed on: 27.03.2025]</w:t>
      </w:r>
    </w:p>
    <w:p w14:paraId="7B05E504"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 xml:space="preserve">Coelho, J., 2021. </w:t>
      </w:r>
      <w:r>
        <w:rPr>
          <w:rFonts w:ascii="Times New Roman" w:eastAsia="Times New Roman" w:hAnsi="Times New Roman" w:cs="Times New Roman"/>
          <w:i/>
        </w:rPr>
        <w:t>BT Fostering the Change in the British Telecom Industry</w:t>
      </w:r>
      <w:r>
        <w:rPr>
          <w:rFonts w:ascii="Times New Roman" w:eastAsia="Times New Roman" w:hAnsi="Times New Roman" w:cs="Times New Roman"/>
        </w:rPr>
        <w:t xml:space="preserve"> (Master's thesis, Universidade NOVA de Lisboa (Portugal)).</w:t>
      </w:r>
    </w:p>
    <w:p w14:paraId="2C2FC3B0"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Court of Appeal, 2021. SKY LTD (FORMERLY SKY PLC) v SKYKICK UK LTD. </w:t>
      </w:r>
      <w:r>
        <w:rPr>
          <w:rFonts w:ascii="Times New Roman" w:eastAsia="Times New Roman" w:hAnsi="Times New Roman" w:cs="Times New Roman"/>
          <w:i/>
        </w:rPr>
        <w:t>Reports of Patent, Design and Trademark Cases</w:t>
      </w:r>
      <w:r>
        <w:rPr>
          <w:rFonts w:ascii="Times New Roman" w:eastAsia="Times New Roman" w:hAnsi="Times New Roman" w:cs="Times New Roman"/>
        </w:rPr>
        <w:t xml:space="preserve">, </w:t>
      </w:r>
      <w:r>
        <w:rPr>
          <w:rFonts w:ascii="Times New Roman" w:eastAsia="Times New Roman" w:hAnsi="Times New Roman" w:cs="Times New Roman"/>
          <w:i/>
        </w:rPr>
        <w:t>138</w:t>
      </w:r>
      <w:r>
        <w:rPr>
          <w:rFonts w:ascii="Times New Roman" w:eastAsia="Times New Roman" w:hAnsi="Times New Roman" w:cs="Times New Roman"/>
        </w:rPr>
        <w:t>(10), pp.779-826.</w:t>
      </w:r>
    </w:p>
    <w:p w14:paraId="3F730CBB"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lastRenderedPageBreak/>
        <w:t>Coyle, D. and Mandys, F., 2024. Competitiveness, productivity and innovation in the UK’s computing sector.</w:t>
      </w:r>
    </w:p>
    <w:p w14:paraId="3BBC3AF3"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Craig, D., Lin, J., Cunningham, S., Craig, D., Lin, J. and Cunningham, S., 2021. Platforms. </w:t>
      </w:r>
      <w:r>
        <w:rPr>
          <w:rFonts w:ascii="Times New Roman" w:eastAsia="Times New Roman" w:hAnsi="Times New Roman" w:cs="Times New Roman"/>
          <w:i/>
        </w:rPr>
        <w:t>Wanghong as Social Media Entertainment in China</w:t>
      </w:r>
      <w:r>
        <w:rPr>
          <w:rFonts w:ascii="Times New Roman" w:eastAsia="Times New Roman" w:hAnsi="Times New Roman" w:cs="Times New Roman"/>
        </w:rPr>
        <w:t>, pp.59-103.</w:t>
      </w:r>
    </w:p>
    <w:p w14:paraId="3F2E4E06"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Cumming, D., Johan, S., Khan, Z. and Meyer, M., 2022. E-Commerce Policy and International Business. Guest Editors’ Introduction.</w:t>
      </w:r>
    </w:p>
    <w:p w14:paraId="6E741C89"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El-Kady, S., 2021. </w:t>
      </w:r>
      <w:r>
        <w:rPr>
          <w:rFonts w:ascii="Times New Roman" w:eastAsia="Times New Roman" w:hAnsi="Times New Roman" w:cs="Times New Roman"/>
          <w:i/>
        </w:rPr>
        <w:t>Faculty Dean. Prof. Dr. Soha Abd El-Wahab</w:t>
      </w:r>
      <w:r>
        <w:rPr>
          <w:rFonts w:ascii="Times New Roman" w:eastAsia="Times New Roman" w:hAnsi="Times New Roman" w:cs="Times New Roman"/>
        </w:rPr>
        <w:t xml:space="preserve"> (Doctoral dissertation, Helwan University).</w:t>
      </w:r>
    </w:p>
    <w:p w14:paraId="7777A43C"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Genakos, C., Kretschmer, T. and Nicolle, A., 2021. Strategic confusopoly: evidence from the UK mobile market.</w:t>
      </w:r>
    </w:p>
    <w:p w14:paraId="43E4845D"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 xml:space="preserve">Genchi, G., 2024. Aircraft Engines. In </w:t>
      </w:r>
      <w:r>
        <w:rPr>
          <w:rFonts w:ascii="Times New Roman" w:eastAsia="Times New Roman" w:hAnsi="Times New Roman" w:cs="Times New Roman"/>
          <w:i/>
        </w:rPr>
        <w:t>The Museum of Engines and Mechanisms of the University of Palermo: The Collection Catalogue</w:t>
      </w:r>
      <w:r>
        <w:rPr>
          <w:rFonts w:ascii="Times New Roman" w:eastAsia="Times New Roman" w:hAnsi="Times New Roman" w:cs="Times New Roman"/>
        </w:rPr>
        <w:t xml:space="preserve"> (pp. 59-141). Cham: Springer Nature Switzerland.</w:t>
      </w:r>
    </w:p>
    <w:p w14:paraId="30B6B349"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Han, X., Liu, W. and Jiang, T., 2024. Practising future‐making: Anticipation and translocal politics of Tesla's Gigafactory in Shanghai as assemblage. </w:t>
      </w:r>
      <w:r>
        <w:rPr>
          <w:rFonts w:ascii="Times New Roman" w:eastAsia="Times New Roman" w:hAnsi="Times New Roman" w:cs="Times New Roman"/>
          <w:i/>
        </w:rPr>
        <w:t>Transactions of the Institute of British Geographers</w:t>
      </w:r>
      <w:r>
        <w:rPr>
          <w:rFonts w:ascii="Times New Roman" w:eastAsia="Times New Roman" w:hAnsi="Times New Roman" w:cs="Times New Roman"/>
        </w:rPr>
        <w:t xml:space="preserve">, </w:t>
      </w:r>
      <w:r>
        <w:rPr>
          <w:rFonts w:ascii="Times New Roman" w:eastAsia="Times New Roman" w:hAnsi="Times New Roman" w:cs="Times New Roman"/>
          <w:i/>
        </w:rPr>
        <w:t>49</w:t>
      </w:r>
      <w:r>
        <w:rPr>
          <w:rFonts w:ascii="Times New Roman" w:eastAsia="Times New Roman" w:hAnsi="Times New Roman" w:cs="Times New Roman"/>
        </w:rPr>
        <w:t>(2), p.e12645.</w:t>
      </w:r>
    </w:p>
    <w:p w14:paraId="6C08C6A4"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Harvard Business School Publishing., 2025. </w:t>
      </w:r>
      <w:r>
        <w:rPr>
          <w:rFonts w:ascii="Times New Roman" w:eastAsia="Times New Roman" w:hAnsi="Times New Roman" w:cs="Times New Roman"/>
          <w:i/>
        </w:rPr>
        <w:t>Exploit the Product Life Cycle.</w:t>
      </w:r>
      <w:r>
        <w:rPr>
          <w:rFonts w:ascii="Times New Roman" w:eastAsia="Times New Roman" w:hAnsi="Times New Roman" w:cs="Times New Roman"/>
        </w:rPr>
        <w:t xml:space="preserve"> Available at: </w:t>
      </w:r>
      <w:hyperlink r:id="rId9">
        <w:r>
          <w:rPr>
            <w:rFonts w:ascii="Times New Roman" w:eastAsia="Times New Roman" w:hAnsi="Times New Roman" w:cs="Times New Roman"/>
            <w:color w:val="1155CC"/>
            <w:u w:val="single"/>
          </w:rPr>
          <w:t>https://hbr.org/1965/11/exploit-the-product-life-cycle</w:t>
        </w:r>
      </w:hyperlink>
      <w:r>
        <w:rPr>
          <w:rFonts w:ascii="Times New Roman" w:eastAsia="Times New Roman" w:hAnsi="Times New Roman" w:cs="Times New Roman"/>
        </w:rPr>
        <w:t xml:space="preserve"> [Accessed at:  27.03.2025]</w:t>
      </w:r>
    </w:p>
    <w:p w14:paraId="27B97A97"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Holleman, E.W., 2022. </w:t>
      </w:r>
      <w:r>
        <w:rPr>
          <w:rFonts w:ascii="Times New Roman" w:eastAsia="Times New Roman" w:hAnsi="Times New Roman" w:cs="Times New Roman"/>
          <w:i/>
        </w:rPr>
        <w:t>Silent Retail Killer: 10 Survival Strategies for Bricks Grocers to Compete with Clicks Grocers</w:t>
      </w:r>
      <w:r>
        <w:rPr>
          <w:rFonts w:ascii="Times New Roman" w:eastAsia="Times New Roman" w:hAnsi="Times New Roman" w:cs="Times New Roman"/>
        </w:rPr>
        <w:t>. Dorrance Publishing.</w:t>
      </w:r>
    </w:p>
    <w:p w14:paraId="11A0B3D2"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Iveson, A., Hultman, M. and Davvetas, V., 2022. The product life cycle revisited: an integrative review and research agenda. </w:t>
      </w:r>
      <w:r>
        <w:rPr>
          <w:rFonts w:ascii="Times New Roman" w:eastAsia="Times New Roman" w:hAnsi="Times New Roman" w:cs="Times New Roman"/>
          <w:i/>
        </w:rPr>
        <w:t>European Journal of Marketing</w:t>
      </w:r>
      <w:r>
        <w:rPr>
          <w:rFonts w:ascii="Times New Roman" w:eastAsia="Times New Roman" w:hAnsi="Times New Roman" w:cs="Times New Roman"/>
        </w:rPr>
        <w:t xml:space="preserve">, </w:t>
      </w:r>
      <w:r>
        <w:rPr>
          <w:rFonts w:ascii="Times New Roman" w:eastAsia="Times New Roman" w:hAnsi="Times New Roman" w:cs="Times New Roman"/>
          <w:i/>
        </w:rPr>
        <w:t>56</w:t>
      </w:r>
      <w:r>
        <w:rPr>
          <w:rFonts w:ascii="Times New Roman" w:eastAsia="Times New Roman" w:hAnsi="Times New Roman" w:cs="Times New Roman"/>
        </w:rPr>
        <w:t>(2), pp.467-499.</w:t>
      </w:r>
    </w:p>
    <w:p w14:paraId="5D1F4545" w14:textId="77777777" w:rsidR="00ED2BE7" w:rsidRDefault="00134EBE">
      <w:pPr>
        <w:spacing w:before="240" w:after="240"/>
        <w:jc w:val="both"/>
        <w:rPr>
          <w:rFonts w:ascii="Times New Roman" w:eastAsia="Times New Roman" w:hAnsi="Times New Roman" w:cs="Times New Roman"/>
          <w:i/>
        </w:rPr>
      </w:pPr>
      <w:r>
        <w:rPr>
          <w:rFonts w:ascii="Times New Roman" w:eastAsia="Times New Roman" w:hAnsi="Times New Roman" w:cs="Times New Roman"/>
        </w:rPr>
        <w:t xml:space="preserve">Kheterpal, P., 2024. </w:t>
      </w:r>
      <w:r>
        <w:rPr>
          <w:rFonts w:ascii="Times New Roman" w:eastAsia="Times New Roman" w:hAnsi="Times New Roman" w:cs="Times New Roman"/>
          <w:i/>
        </w:rPr>
        <w:t>FUTURE OF FINANCE IS INCLUSIVE-GROWING NEED FOR FINANCIAL ORGANISATIONS TO DESIGN AND DEVELOP FOR DIVERSITY.</w:t>
      </w:r>
    </w:p>
    <w:p w14:paraId="13B15AEF"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McKenna, M. and Egan, K., 2024. Don't be afraid, it's only a business exhibition catalogue.</w:t>
      </w:r>
    </w:p>
    <w:p w14:paraId="15FA47C3"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McKenzie, J., 2021. Licensing Arm. Physics World, 34(5), p.21.</w:t>
      </w:r>
    </w:p>
    <w:p w14:paraId="3D9FBB83"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 xml:space="preserve">Meale, D., 2024. Round-up of UK trademark disputes 2023. </w:t>
      </w:r>
      <w:r>
        <w:rPr>
          <w:rFonts w:ascii="Times New Roman" w:eastAsia="Times New Roman" w:hAnsi="Times New Roman" w:cs="Times New Roman"/>
          <w:i/>
        </w:rPr>
        <w:t>Journal Of Intellectual Property Law and Practice</w:t>
      </w:r>
      <w:r>
        <w:rPr>
          <w:rFonts w:ascii="Times New Roman" w:eastAsia="Times New Roman" w:hAnsi="Times New Roman" w:cs="Times New Roman"/>
        </w:rPr>
        <w:t xml:space="preserve">, </w:t>
      </w:r>
      <w:r>
        <w:rPr>
          <w:rFonts w:ascii="Times New Roman" w:eastAsia="Times New Roman" w:hAnsi="Times New Roman" w:cs="Times New Roman"/>
          <w:i/>
        </w:rPr>
        <w:t>19</w:t>
      </w:r>
      <w:r>
        <w:rPr>
          <w:rFonts w:ascii="Times New Roman" w:eastAsia="Times New Roman" w:hAnsi="Times New Roman" w:cs="Times New Roman"/>
        </w:rPr>
        <w:t>(5), pp.432-438.</w:t>
      </w:r>
    </w:p>
    <w:p w14:paraId="33E968DB" w14:textId="77777777" w:rsidR="00ED2BE7" w:rsidRDefault="00134EBE">
      <w:pPr>
        <w:spacing w:before="120" w:after="24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Mousavi, A., Mohammadzadeh, M. and Zare, H., 2022. Developing a system dynamic model for product life cycle management of generic pharmaceutical products: its relationship with open innovation. </w:t>
      </w:r>
      <w:r>
        <w:rPr>
          <w:rFonts w:ascii="Times New Roman" w:eastAsia="Times New Roman" w:hAnsi="Times New Roman" w:cs="Times New Roman"/>
          <w:i/>
          <w:color w:val="222222"/>
        </w:rPr>
        <w:t>Journal of Open Innovation: Technology, Market, and Complexity</w:t>
      </w:r>
      <w:r>
        <w:rPr>
          <w:rFonts w:ascii="Times New Roman" w:eastAsia="Times New Roman" w:hAnsi="Times New Roman" w:cs="Times New Roman"/>
          <w:color w:val="222222"/>
        </w:rPr>
        <w:t xml:space="preserve">, </w:t>
      </w:r>
      <w:r>
        <w:rPr>
          <w:rFonts w:ascii="Times New Roman" w:eastAsia="Times New Roman" w:hAnsi="Times New Roman" w:cs="Times New Roman"/>
          <w:i/>
          <w:color w:val="222222"/>
        </w:rPr>
        <w:t>8</w:t>
      </w:r>
      <w:r>
        <w:rPr>
          <w:rFonts w:ascii="Times New Roman" w:eastAsia="Times New Roman" w:hAnsi="Times New Roman" w:cs="Times New Roman"/>
          <w:color w:val="222222"/>
        </w:rPr>
        <w:t>(1), p.14.</w:t>
      </w:r>
    </w:p>
    <w:p w14:paraId="1C68725A" w14:textId="77777777" w:rsidR="00ED2BE7" w:rsidRDefault="00134EBE">
      <w:pPr>
        <w:spacing w:before="120" w:after="240"/>
        <w:jc w:val="both"/>
        <w:rPr>
          <w:rFonts w:ascii="Times New Roman" w:eastAsia="Times New Roman" w:hAnsi="Times New Roman" w:cs="Times New Roman"/>
        </w:rPr>
      </w:pPr>
      <w:r>
        <w:rPr>
          <w:rFonts w:ascii="Times New Roman" w:eastAsia="Times New Roman" w:hAnsi="Times New Roman" w:cs="Times New Roman"/>
        </w:rPr>
        <w:t xml:space="preserve">Niehoff, S., 2022. Aligning digitalisation and sustainable development? Evidence from the analysis of worldviews in sustainability reports. </w:t>
      </w:r>
      <w:r>
        <w:rPr>
          <w:rFonts w:ascii="Times New Roman" w:eastAsia="Times New Roman" w:hAnsi="Times New Roman" w:cs="Times New Roman"/>
          <w:i/>
        </w:rPr>
        <w:t>Business strategy and the environment, 31</w:t>
      </w:r>
      <w:r>
        <w:rPr>
          <w:rFonts w:ascii="Times New Roman" w:eastAsia="Times New Roman" w:hAnsi="Times New Roman" w:cs="Times New Roman"/>
        </w:rPr>
        <w:t>(5), pp.2546-2567.</w:t>
      </w:r>
    </w:p>
    <w:p w14:paraId="6DF7A389" w14:textId="77777777" w:rsidR="00ED2BE7" w:rsidRDefault="00134EBE">
      <w:pPr>
        <w:spacing w:before="100" w:after="240"/>
        <w:jc w:val="both"/>
        <w:rPr>
          <w:rFonts w:ascii="Times New Roman" w:eastAsia="Times New Roman" w:hAnsi="Times New Roman" w:cs="Times New Roman"/>
        </w:rPr>
      </w:pPr>
      <w:r>
        <w:rPr>
          <w:rFonts w:ascii="Times New Roman" w:eastAsia="Times New Roman" w:hAnsi="Times New Roman" w:cs="Times New Roman"/>
        </w:rPr>
        <w:t xml:space="preserve">O’Regan, G., 2021. Home Computers. In </w:t>
      </w:r>
      <w:r>
        <w:rPr>
          <w:rFonts w:ascii="Times New Roman" w:eastAsia="Times New Roman" w:hAnsi="Times New Roman" w:cs="Times New Roman"/>
          <w:i/>
        </w:rPr>
        <w:t>A Brief History of Computing</w:t>
      </w:r>
      <w:r>
        <w:rPr>
          <w:rFonts w:ascii="Times New Roman" w:eastAsia="Times New Roman" w:hAnsi="Times New Roman" w:cs="Times New Roman"/>
        </w:rPr>
        <w:t xml:space="preserve"> (pp. 119-136). Cham: Springer International Publishing.</w:t>
      </w:r>
    </w:p>
    <w:p w14:paraId="5049AB7D" w14:textId="77777777" w:rsidR="00ED2BE7" w:rsidRDefault="00134EBE">
      <w:pPr>
        <w:spacing w:before="120" w:after="240"/>
        <w:jc w:val="both"/>
        <w:rPr>
          <w:rFonts w:ascii="Times New Roman" w:eastAsia="Times New Roman" w:hAnsi="Times New Roman" w:cs="Times New Roman"/>
        </w:rPr>
      </w:pPr>
      <w:r>
        <w:rPr>
          <w:rFonts w:ascii="Times New Roman" w:eastAsia="Times New Roman" w:hAnsi="Times New Roman" w:cs="Times New Roman"/>
        </w:rPr>
        <w:t xml:space="preserve">Ortt, J.R. and Kamp, L.M., 2022. A technological innovation system framework to formulate niche introduction strategies for companies before large-scale diffusion. </w:t>
      </w:r>
      <w:r>
        <w:rPr>
          <w:rFonts w:ascii="Times New Roman" w:eastAsia="Times New Roman" w:hAnsi="Times New Roman" w:cs="Times New Roman"/>
          <w:i/>
        </w:rPr>
        <w:t>Technological Forecasting and Social Change, 180</w:t>
      </w:r>
      <w:r>
        <w:rPr>
          <w:rFonts w:ascii="Times New Roman" w:eastAsia="Times New Roman" w:hAnsi="Times New Roman" w:cs="Times New Roman"/>
        </w:rPr>
        <w:t>, p.121671.</w:t>
      </w:r>
    </w:p>
    <w:p w14:paraId="3544C9D4"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Ounpipat, N., 2025, February. REFLECTION AS A COMPETITIVE FACTOR IN COMPANY ADVERTISING AND PR STRATEGIES. In </w:t>
      </w:r>
      <w:r>
        <w:rPr>
          <w:rFonts w:ascii="Times New Roman" w:eastAsia="Times New Roman" w:hAnsi="Times New Roman" w:cs="Times New Roman"/>
          <w:i/>
        </w:rPr>
        <w:t>International Conference" Actual economy: local solutions for global challenges"</w:t>
      </w:r>
      <w:r>
        <w:rPr>
          <w:rFonts w:ascii="Times New Roman" w:eastAsia="Times New Roman" w:hAnsi="Times New Roman" w:cs="Times New Roman"/>
        </w:rPr>
        <w:t xml:space="preserve"> (pp. 308-313).</w:t>
      </w:r>
    </w:p>
    <w:p w14:paraId="2AFFA7AD"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Pinto, H., Guerreiro, J.A. and Fernández-Esquinas, M., 2023. Sources of knowledge in the firm: a review on influential, internal and contextual factors in innovation dynamics. </w:t>
      </w:r>
      <w:r>
        <w:rPr>
          <w:rFonts w:ascii="Times New Roman" w:eastAsia="Times New Roman" w:hAnsi="Times New Roman" w:cs="Times New Roman"/>
          <w:i/>
        </w:rPr>
        <w:t>SN Business &amp; Economics</w:t>
      </w:r>
      <w:r>
        <w:rPr>
          <w:rFonts w:ascii="Times New Roman" w:eastAsia="Times New Roman" w:hAnsi="Times New Roman" w:cs="Times New Roman"/>
        </w:rPr>
        <w:t xml:space="preserve">, </w:t>
      </w:r>
      <w:r>
        <w:rPr>
          <w:rFonts w:ascii="Times New Roman" w:eastAsia="Times New Roman" w:hAnsi="Times New Roman" w:cs="Times New Roman"/>
          <w:i/>
        </w:rPr>
        <w:t>3</w:t>
      </w:r>
      <w:r>
        <w:rPr>
          <w:rFonts w:ascii="Times New Roman" w:eastAsia="Times New Roman" w:hAnsi="Times New Roman" w:cs="Times New Roman"/>
        </w:rPr>
        <w:t>(2), p.57.</w:t>
      </w:r>
    </w:p>
    <w:p w14:paraId="2CD073A3" w14:textId="77777777" w:rsidR="00ED2BE7" w:rsidRDefault="00134EBE">
      <w:pPr>
        <w:jc w:val="both"/>
        <w:rPr>
          <w:rFonts w:ascii="Times New Roman" w:eastAsia="Times New Roman" w:hAnsi="Times New Roman" w:cs="Times New Roman"/>
        </w:rPr>
      </w:pPr>
      <w:r>
        <w:rPr>
          <w:rFonts w:ascii="Times New Roman" w:eastAsia="Times New Roman" w:hAnsi="Times New Roman" w:cs="Times New Roman"/>
        </w:rPr>
        <w:t>Quignard, G., (2020). Developing a Brand Identity Strategy: the case of Pioneer Association Ry.</w:t>
      </w:r>
    </w:p>
    <w:p w14:paraId="53F0FB3F"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Severino, J., 2024. </w:t>
      </w:r>
      <w:r>
        <w:rPr>
          <w:rFonts w:ascii="Times New Roman" w:eastAsia="Times New Roman" w:hAnsi="Times New Roman" w:cs="Times New Roman"/>
          <w:i/>
        </w:rPr>
        <w:t>Navigating the Local Landscape: Strategies and Challenges for Innovative Entrepreneurs Upholding Regional Identity</w:t>
      </w:r>
      <w:r>
        <w:rPr>
          <w:rFonts w:ascii="Times New Roman" w:eastAsia="Times New Roman" w:hAnsi="Times New Roman" w:cs="Times New Roman"/>
        </w:rPr>
        <w:t xml:space="preserve"> (Master's thesis, Universidade Catolica Portuguesa (Portugal).</w:t>
      </w:r>
    </w:p>
    <w:p w14:paraId="5EE38138" w14:textId="77777777" w:rsidR="00ED2BE7" w:rsidRDefault="00134EBE">
      <w:pPr>
        <w:spacing w:before="120" w:after="24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Shakouhi, F., Tavakkoli-Moghaddam, R., Baboli, A. and Bozorgi-Amiri, A., 2023. A competitive pharmaceutical supply chain under the marketing mix strategies and product life cycle with a fuzzy stochastic demand. </w:t>
      </w:r>
      <w:r>
        <w:rPr>
          <w:rFonts w:ascii="Times New Roman" w:eastAsia="Times New Roman" w:hAnsi="Times New Roman" w:cs="Times New Roman"/>
          <w:i/>
          <w:color w:val="222222"/>
        </w:rPr>
        <w:t>Annals of Operations Research</w:t>
      </w:r>
      <w:r>
        <w:rPr>
          <w:rFonts w:ascii="Times New Roman" w:eastAsia="Times New Roman" w:hAnsi="Times New Roman" w:cs="Times New Roman"/>
          <w:color w:val="222222"/>
        </w:rPr>
        <w:t xml:space="preserve">, </w:t>
      </w:r>
      <w:r>
        <w:rPr>
          <w:rFonts w:ascii="Times New Roman" w:eastAsia="Times New Roman" w:hAnsi="Times New Roman" w:cs="Times New Roman"/>
          <w:i/>
          <w:color w:val="222222"/>
        </w:rPr>
        <w:t>324</w:t>
      </w:r>
      <w:r>
        <w:rPr>
          <w:rFonts w:ascii="Times New Roman" w:eastAsia="Times New Roman" w:hAnsi="Times New Roman" w:cs="Times New Roman"/>
          <w:color w:val="222222"/>
        </w:rPr>
        <w:t>(1), pp.1369-1397.</w:t>
      </w:r>
    </w:p>
    <w:p w14:paraId="58E1194F"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Spanjaard, D. and Freeman, L., 2023. Supermarket tribes and the temple of Aldi: A comparison between the UK and Australia. </w:t>
      </w:r>
      <w:r>
        <w:rPr>
          <w:rFonts w:ascii="Times New Roman" w:eastAsia="Times New Roman" w:hAnsi="Times New Roman" w:cs="Times New Roman"/>
          <w:i/>
        </w:rPr>
        <w:t>Journal of Consumer Culture</w:t>
      </w:r>
      <w:r>
        <w:rPr>
          <w:rFonts w:ascii="Times New Roman" w:eastAsia="Times New Roman" w:hAnsi="Times New Roman" w:cs="Times New Roman"/>
        </w:rPr>
        <w:t xml:space="preserve">, </w:t>
      </w:r>
      <w:r>
        <w:rPr>
          <w:rFonts w:ascii="Times New Roman" w:eastAsia="Times New Roman" w:hAnsi="Times New Roman" w:cs="Times New Roman"/>
          <w:i/>
        </w:rPr>
        <w:t>23</w:t>
      </w:r>
      <w:r>
        <w:rPr>
          <w:rFonts w:ascii="Times New Roman" w:eastAsia="Times New Roman" w:hAnsi="Times New Roman" w:cs="Times New Roman"/>
        </w:rPr>
        <w:t>(1), pp.3-26.</w:t>
      </w:r>
    </w:p>
    <w:p w14:paraId="4E94CEFB" w14:textId="77777777" w:rsidR="00ED2BE7" w:rsidRDefault="00134EBE">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 xml:space="preserve">Tatam, M., Shanmugam, B., Azam, S. and Kannoorpatti, K., 2021. A review of threat modelling approaches for APT-style attacks. </w:t>
      </w:r>
      <w:r>
        <w:rPr>
          <w:rFonts w:ascii="Times New Roman" w:eastAsia="Times New Roman" w:hAnsi="Times New Roman" w:cs="Times New Roman"/>
          <w:i/>
        </w:rPr>
        <w:t>Heliyon</w:t>
      </w:r>
      <w:r>
        <w:rPr>
          <w:rFonts w:ascii="Times New Roman" w:eastAsia="Times New Roman" w:hAnsi="Times New Roman" w:cs="Times New Roman"/>
        </w:rPr>
        <w:t xml:space="preserve">, </w:t>
      </w:r>
      <w:r>
        <w:rPr>
          <w:rFonts w:ascii="Times New Roman" w:eastAsia="Times New Roman" w:hAnsi="Times New Roman" w:cs="Times New Roman"/>
          <w:i/>
        </w:rPr>
        <w:t>7</w:t>
      </w:r>
      <w:r>
        <w:rPr>
          <w:rFonts w:ascii="Times New Roman" w:eastAsia="Times New Roman" w:hAnsi="Times New Roman" w:cs="Times New Roman"/>
        </w:rPr>
        <w:t>(1).</w:t>
      </w:r>
    </w:p>
    <w:p w14:paraId="3DD54083" w14:textId="77777777" w:rsidR="00ED2BE7" w:rsidRDefault="00134EBE">
      <w:pPr>
        <w:spacing w:before="120" w:after="24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Udokporo, C., Anosike, A. and Lim, M., 2021. A decision-support framework for Lean, Agile and Green practices in product life cycle stages. </w:t>
      </w:r>
      <w:r>
        <w:rPr>
          <w:rFonts w:ascii="Times New Roman" w:eastAsia="Times New Roman" w:hAnsi="Times New Roman" w:cs="Times New Roman"/>
          <w:i/>
          <w:color w:val="222222"/>
        </w:rPr>
        <w:t>Production Planning &amp; Control</w:t>
      </w:r>
      <w:r>
        <w:rPr>
          <w:rFonts w:ascii="Times New Roman" w:eastAsia="Times New Roman" w:hAnsi="Times New Roman" w:cs="Times New Roman"/>
          <w:color w:val="222222"/>
        </w:rPr>
        <w:t xml:space="preserve">, </w:t>
      </w:r>
      <w:r>
        <w:rPr>
          <w:rFonts w:ascii="Times New Roman" w:eastAsia="Times New Roman" w:hAnsi="Times New Roman" w:cs="Times New Roman"/>
          <w:i/>
          <w:color w:val="222222"/>
        </w:rPr>
        <w:t>32</w:t>
      </w:r>
      <w:r>
        <w:rPr>
          <w:rFonts w:ascii="Times New Roman" w:eastAsia="Times New Roman" w:hAnsi="Times New Roman" w:cs="Times New Roman"/>
          <w:color w:val="222222"/>
        </w:rPr>
        <w:t>(10), pp.789-810.</w:t>
      </w:r>
    </w:p>
    <w:p w14:paraId="3918A673" w14:textId="77777777" w:rsidR="00ED2BE7" w:rsidRDefault="00134EBE">
      <w:pPr>
        <w:spacing w:before="120" w:after="24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Vendrell-Herrero, F., Gomes, E., Opazo-Basaez, M. and Bustinza, O.F., 2022. Knowledge acquisition throughout the lifecycle: product and industry learning frameworks. </w:t>
      </w:r>
      <w:r>
        <w:rPr>
          <w:rFonts w:ascii="Times New Roman" w:eastAsia="Times New Roman" w:hAnsi="Times New Roman" w:cs="Times New Roman"/>
          <w:i/>
          <w:color w:val="222222"/>
        </w:rPr>
        <w:t>Journal of Knowledge Management</w:t>
      </w:r>
      <w:r>
        <w:rPr>
          <w:rFonts w:ascii="Times New Roman" w:eastAsia="Times New Roman" w:hAnsi="Times New Roman" w:cs="Times New Roman"/>
          <w:color w:val="222222"/>
        </w:rPr>
        <w:t xml:space="preserve">, </w:t>
      </w:r>
      <w:r>
        <w:rPr>
          <w:rFonts w:ascii="Times New Roman" w:eastAsia="Times New Roman" w:hAnsi="Times New Roman" w:cs="Times New Roman"/>
          <w:i/>
          <w:color w:val="222222"/>
        </w:rPr>
        <w:t>26</w:t>
      </w:r>
      <w:r>
        <w:rPr>
          <w:rFonts w:ascii="Times New Roman" w:eastAsia="Times New Roman" w:hAnsi="Times New Roman" w:cs="Times New Roman"/>
          <w:color w:val="222222"/>
        </w:rPr>
        <w:t>(6), pp.1633-1647.</w:t>
      </w:r>
    </w:p>
    <w:sectPr w:rsidR="00ED2BE7">
      <w:footerReference w:type="defaul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26391" w14:textId="77777777" w:rsidR="00134EBE" w:rsidRDefault="00134EBE">
      <w:pPr>
        <w:spacing w:before="0" w:after="0" w:line="240" w:lineRule="auto"/>
      </w:pPr>
      <w:r>
        <w:separator/>
      </w:r>
    </w:p>
  </w:endnote>
  <w:endnote w:type="continuationSeparator" w:id="0">
    <w:p w14:paraId="5501148B" w14:textId="77777777" w:rsidR="00134EBE" w:rsidRDefault="00134E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35D9E" w14:textId="77777777" w:rsidR="00ED2BE7" w:rsidRDefault="00134EBE">
    <w:pPr>
      <w:pBdr>
        <w:top w:val="nil"/>
        <w:left w:val="nil"/>
        <w:bottom w:val="nil"/>
        <w:right w:val="nil"/>
        <w:between w:val="nil"/>
      </w:pBdr>
      <w:tabs>
        <w:tab w:val="center" w:pos="4513"/>
        <w:tab w:val="right" w:pos="9026"/>
      </w:tabs>
      <w:spacing w:before="0" w:after="0" w:line="240" w:lineRule="auto"/>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2</w:t>
    </w:r>
    <w:r>
      <w:rPr>
        <w:rFonts w:ascii="Times New Roman" w:eastAsia="Times New Roman" w:hAnsi="Times New Roman" w:cs="Times New Roman"/>
      </w:rPr>
      <w:fldChar w:fldCharType="end"/>
    </w:r>
  </w:p>
  <w:p w14:paraId="0C8B734F" w14:textId="77777777" w:rsidR="00ED2BE7" w:rsidRDefault="00ED2BE7">
    <w:pPr>
      <w:pBdr>
        <w:top w:val="nil"/>
        <w:left w:val="nil"/>
        <w:bottom w:val="nil"/>
        <w:right w:val="nil"/>
        <w:between w:val="nil"/>
      </w:pBdr>
      <w:tabs>
        <w:tab w:val="center" w:pos="4513"/>
        <w:tab w:val="right" w:pos="9026"/>
      </w:tabs>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1D2F" w14:textId="77777777" w:rsidR="00134EBE" w:rsidRDefault="00134EBE">
      <w:pPr>
        <w:spacing w:before="0" w:after="0" w:line="240" w:lineRule="auto"/>
      </w:pPr>
      <w:r>
        <w:separator/>
      </w:r>
    </w:p>
  </w:footnote>
  <w:footnote w:type="continuationSeparator" w:id="0">
    <w:p w14:paraId="7F6B872B" w14:textId="77777777" w:rsidR="00134EBE" w:rsidRDefault="00134EB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E7"/>
    <w:rsid w:val="00134EBE"/>
    <w:rsid w:val="00C33A85"/>
    <w:rsid w:val="00ED2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CF6464"/>
  <w15:docId w15:val="{F6CDD31C-AF9E-2B47-8109-EDD81163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color w:val="434343"/>
        <w:sz w:val="24"/>
        <w:szCs w:val="24"/>
        <w:highlight w:val="white"/>
        <w:lang w:val="en-GB" w:eastAsia="en-GB" w:bidi="ar-SA"/>
      </w:rPr>
    </w:rPrDefault>
    <w:pPrDefault>
      <w:pPr>
        <w:spacing w:before="280" w:after="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zh-CN"/>
    </w:rPr>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outlineLvl w:val="2"/>
    </w:pPr>
    <w:rPr>
      <w:sz w:val="28"/>
      <w:szCs w:val="2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TableNormal1">
    <w:name w:val="Table Normal1"/>
    <w:tblPr>
      <w:tblCellMar>
        <w:top w:w="0" w:type="dxa"/>
        <w:left w:w="0" w:type="dxa"/>
        <w:bottom w:w="0" w:type="dxa"/>
        <w:right w:w="0" w:type="dxa"/>
      </w:tblCellMar>
    </w:tblPr>
  </w:style>
  <w:style w:type="paragraph" w:styleId="TOC1">
    <w:name w:val="toc 1"/>
    <w:basedOn w:val="Normal"/>
    <w:next w:val="Normal"/>
    <w:autoRedefine/>
    <w:uiPriority w:val="39"/>
    <w:rsid w:val="00073D77"/>
    <w:pPr>
      <w:spacing w:after="100"/>
    </w:pPr>
    <w:rPr>
      <w:szCs w:val="21"/>
    </w:rPr>
  </w:style>
  <w:style w:type="character" w:styleId="Hyperlink">
    <w:name w:val="Hyperlink"/>
    <w:basedOn w:val="DefaultParagraphFont"/>
    <w:uiPriority w:val="99"/>
    <w:unhideWhenUsed/>
    <w:rsid w:val="00073D77"/>
    <w:rPr>
      <w:color w:val="0000FF" w:themeColor="hyperlink"/>
      <w:u w:val="single"/>
    </w:rPr>
  </w:style>
  <w:style w:type="paragraph" w:styleId="Header">
    <w:name w:val="header"/>
    <w:basedOn w:val="Normal"/>
    <w:link w:val="HeaderChar"/>
    <w:rsid w:val="00073D77"/>
    <w:pPr>
      <w:tabs>
        <w:tab w:val="center" w:pos="4513"/>
        <w:tab w:val="right" w:pos="9026"/>
      </w:tabs>
      <w:spacing w:before="0" w:after="0" w:line="240" w:lineRule="auto"/>
    </w:pPr>
    <w:rPr>
      <w:szCs w:val="21"/>
    </w:rPr>
  </w:style>
  <w:style w:type="character" w:customStyle="1" w:styleId="HeaderChar">
    <w:name w:val="Header Char"/>
    <w:basedOn w:val="DefaultParagraphFont"/>
    <w:link w:val="Header"/>
    <w:rsid w:val="00073D77"/>
    <w:rPr>
      <w:color w:val="434343"/>
      <w:sz w:val="24"/>
      <w:szCs w:val="21"/>
      <w:highlight w:val="white"/>
      <w:lang w:val="zh-CN"/>
    </w:rPr>
  </w:style>
  <w:style w:type="paragraph" w:styleId="Footer">
    <w:name w:val="footer"/>
    <w:basedOn w:val="Normal"/>
    <w:link w:val="FooterChar"/>
    <w:uiPriority w:val="99"/>
    <w:rsid w:val="00073D77"/>
    <w:pPr>
      <w:tabs>
        <w:tab w:val="center" w:pos="4513"/>
        <w:tab w:val="right" w:pos="9026"/>
      </w:tabs>
      <w:spacing w:before="0" w:after="0" w:line="240" w:lineRule="auto"/>
    </w:pPr>
    <w:rPr>
      <w:szCs w:val="21"/>
    </w:rPr>
  </w:style>
  <w:style w:type="character" w:customStyle="1" w:styleId="FooterChar">
    <w:name w:val="Footer Char"/>
    <w:basedOn w:val="DefaultParagraphFont"/>
    <w:link w:val="Footer"/>
    <w:uiPriority w:val="99"/>
    <w:rsid w:val="00073D77"/>
    <w:rPr>
      <w:color w:val="434343"/>
      <w:sz w:val="24"/>
      <w:szCs w:val="21"/>
      <w:highlight w:val="white"/>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management/product-life-cycle/"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hbr.org/1965/11/exploit-the-product-life-cyc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uS9uT/qUf22+5C1bGYfI/n+gIg==">CgMxLjAyDmgua2NjZzhoZDE2ejB4Mg5oLjl1ZHM1YjhvNmphZjIOaC44NWlrNDF0eHZpbWQyDmguYTByY3lwdDRhZjBrMg5oLm8xYnljZWFnZXR0NTIOaC5qOXJ4N3lxbzh0aXQ4AHIhMS04SS1CYzJocWl3MXE2ZjJSblJyQUszQ0xzYkxLZldC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3687</Words>
  <Characters>21017</Characters>
  <Application>Microsoft Office Word</Application>
  <DocSecurity>0</DocSecurity>
  <Lines>175</Lines>
  <Paragraphs>49</Paragraphs>
  <ScaleCrop>false</ScaleCrop>
  <Company/>
  <LinksUpToDate>false</LinksUpToDate>
  <CharactersWithSpaces>24655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PURVAL PATEL</cp:lastModifiedBy>
  <cp:revision>2</cp:revision>
  <dcterms:created xsi:type="dcterms:W3CDTF">2025-03-27T23:47:00Z</dcterms:created>
  <dcterms:modified xsi:type="dcterms:W3CDTF">2025-03-27T23:47:00Z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DE0DF84D4D2442EDB7C6435B2FB0E923_12</vt:lpwstr>
  </property>
</Properties>
</file>