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keepNext w:val="0"/>
        <w:keepLines w:val="0"/>
        <w:spacing w:after="200" w:before="28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Research Proposal</w:t>
      </w:r>
    </w:p>
    <w:p w:rsidR="00000000" w:rsidDel="00000000" w:rsidP="00000000" w:rsidRDefault="00000000" w:rsidRPr="00000000" w14:paraId="00000002">
      <w:pPr>
        <w:keepNext w:val="0"/>
        <w:keepLines w:val="0"/>
        <w:spacing w:after="200" w:before="28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keepNext w:val="0"/>
        <w:keepLines w:val="0"/>
        <w:spacing w:after="200" w:before="28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4">
      <w:pPr>
        <w:keepNext w:val="0"/>
        <w:keepLines w:val="0"/>
        <w:spacing w:after="200" w:before="28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keepNext w:val="0"/>
        <w:keepLines w:val="0"/>
        <w:spacing w:after="200" w:before="28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6">
      <w:pPr>
        <w:spacing w:after="200" w:before="240" w:line="360" w:lineRule="auto"/>
        <w:jc w:val="cente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Impact of Digital Banking Features on Consumer Retention in Monzo Bank: Analyzing the Mediating Role of Customer Experience</w:t>
      </w:r>
    </w:p>
    <w:p w:rsidR="00000000" w:rsidDel="00000000" w:rsidP="00000000" w:rsidRDefault="00000000" w:rsidRPr="00000000" w14:paraId="00000007">
      <w:pPr>
        <w:keepNext w:val="0"/>
        <w:keepLines w:val="0"/>
        <w:spacing w:after="200" w:before="240" w:line="360" w:lineRule="auto"/>
        <w:jc w:val="center"/>
        <w:rPr>
          <w:rFonts w:ascii="Times New Roman" w:cs="Times New Roman" w:eastAsia="Times New Roman" w:hAnsi="Times New Roman"/>
        </w:rPr>
        <w:sectPr>
          <w:pgSz w:h="16838" w:w="11906"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8">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09">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recent years, the banking industry has been increasingly disrupted by rapid technology innovation and the growth of digital-only financial services (Sharma, 2024). Monzo Bank Limited  is one such key player in this transformation that revolutionized banking by introducing a fully digital a mobile bank that has made its mark on the industry in 2015 by launching a fully digital bank in the UK providing easy, customer-friendly banking services to the modern consumer (Arun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2023; Monzo, 2025). This kind of banking activity provided exclusively via digital interface has been defined as Neo-banks which is mainly used as an umbrella term for such banking activity (Bhatnagr and Rajesh, 2023). Such banking has quickly gained popularity in recent years as stated by Stobdan and Kumar (2023), between 2018 and 2022 the transaction value of neo-banks surged from $0.45 trillion to $3.21 trillion, while the global user base expanded significantly from 32.61 million to 188.4 million during the same period.</w:t>
      </w:r>
    </w:p>
    <w:p w:rsidR="00000000" w:rsidDel="00000000" w:rsidP="00000000" w:rsidRDefault="00000000" w:rsidRPr="00000000" w14:paraId="0000000A">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regular banks already enjoy long relationships with their people, along with physical branches where they can meet their clients, neo-banks like Monzo have no choice but to build their entire business around technological innovation and the customer experience to stand out from the crowd and build consumer loyalty (Bhatnagr and Rajesh, 2023; Stobdan and Kumar, 2023). The ability of Monzo to sustain its customer base depends on the effectiveness of its banking features, which include mobile app functionality, accessibility of financial services, and quality of customer support, all of which contribute to shaping the overall customer experience. Given the competitiveness of the industry and the new challenges posed by digital banks which make customer retention a critical component for Monzo as the company’s mobile application is the main point of contact for its clients and not any physical location (Patov, 2024; Sultana and Faisal, 2025). Moreover, a</w:t>
      </w:r>
      <w:r w:rsidDel="00000000" w:rsidR="00000000" w:rsidRPr="00000000">
        <w:rPr>
          <w:rFonts w:ascii="Times New Roman" w:cs="Times New Roman" w:eastAsia="Times New Roman" w:hAnsi="Times New Roman"/>
          <w:rtl w:val="0"/>
        </w:rPr>
        <w:t xml:space="preserve">s competition intensifies within the financial technology (fintech) sector, customers have an increasing number of choices, making it imperative for digital banks to create compelling experiences that enhance satisfaction and long-term engagement.  </w:t>
      </w:r>
    </w:p>
    <w:p w:rsidR="00000000" w:rsidDel="00000000" w:rsidP="00000000" w:rsidRDefault="00000000" w:rsidRPr="00000000" w14:paraId="0000000B">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study aims to explore how Monzo’s digital banking features influence customer retention while examining the mediating role of customer experience in this relationship. The exploration of these factors are relevant because of the style of consumer-engagement Neo-banks like Mozo have developed which is entirely dependent on digital interface and decentralized to a certain extent due to not having any physical location for consumers to receive services from. The findings of this research will provide valuable insights for both academia and industry professionals by offering a deeper understanding of how fintech firms can refine their service offerings to improve customer loyalty. In addition to that, this study is of personal interest to me as someone aiming to pursue a career in the ever evolving and dynamic world of fintech, wishing to work for companies like Monzo.  </w:t>
      </w:r>
    </w:p>
    <w:p w:rsidR="00000000" w:rsidDel="00000000" w:rsidP="00000000" w:rsidRDefault="00000000" w:rsidRPr="00000000" w14:paraId="0000000C">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Aims</w:t>
      </w:r>
    </w:p>
    <w:p w:rsidR="00000000" w:rsidDel="00000000" w:rsidP="00000000" w:rsidRDefault="00000000" w:rsidRPr="00000000" w14:paraId="0000000D">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primary aim of this research is to investigate the extent to which Monzo’s digital banking features contribute to consumer retention and whether customer experience mediates this relationship. Customer experience encompasses a wide range of factors which is based around the features provided by the mobile application which includes ease of use, personalization, security, and satisfaction with digital banking services (Pires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2024; Sultana and Faisal, 2025). Given the growing body of literature highlighting the role of customer experience in shaping consumer loyalty in various industries, this study specifically seeks to determine whether it acts as an intermediary factor between Monzo’s digital banking features and retention outcomes and its relevance in the financial technology industry. A comprehensive examination of these relationships is crucial not only from an academic perspective but also for practical implications in digital banking management. Moreover, the study will review existing literature on digital banking, customer experience, and retention theories to establish a theoretical framework that supports empirical analysis. The findings will be instrumental for Monzo and similar fintech firms in understanding factors that lead to consumer retention with only having digital platforms as touchpoints for its customer base.</w:t>
      </w:r>
    </w:p>
    <w:p w:rsidR="00000000" w:rsidDel="00000000" w:rsidP="00000000" w:rsidRDefault="00000000" w:rsidRPr="00000000" w14:paraId="0000000E">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Objectives</w:t>
      </w:r>
    </w:p>
    <w:p w:rsidR="00000000" w:rsidDel="00000000" w:rsidP="00000000" w:rsidRDefault="00000000" w:rsidRPr="00000000" w14:paraId="0000000F">
      <w:pPr>
        <w:numPr>
          <w:ilvl w:val="0"/>
          <w:numId w:val="1"/>
        </w:numPr>
        <w:spacing w:after="200" w:before="24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examine the impact of digital banking features on consumer retention in Monzo Bank.</w:t>
      </w:r>
    </w:p>
    <w:p w:rsidR="00000000" w:rsidDel="00000000" w:rsidP="00000000" w:rsidRDefault="00000000" w:rsidRPr="00000000" w14:paraId="00000010">
      <w:pPr>
        <w:numPr>
          <w:ilvl w:val="0"/>
          <w:numId w:val="1"/>
        </w:numPr>
        <w:spacing w:after="200" w:before="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analyze the mediating role of customer experience in the relationship between digital banking features and consumer retention.</w:t>
      </w:r>
    </w:p>
    <w:p w:rsidR="00000000" w:rsidDel="00000000" w:rsidP="00000000" w:rsidRDefault="00000000" w:rsidRPr="00000000" w14:paraId="00000011">
      <w:pPr>
        <w:numPr>
          <w:ilvl w:val="0"/>
          <w:numId w:val="1"/>
        </w:numPr>
        <w:spacing w:after="200" w:before="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assess the extent to which customer experience enhances or weakens the effect of digital banking features on consumer retention.</w:t>
      </w:r>
    </w:p>
    <w:p w:rsidR="00000000" w:rsidDel="00000000" w:rsidP="00000000" w:rsidRDefault="00000000" w:rsidRPr="00000000" w14:paraId="00000012">
      <w:pPr>
        <w:numPr>
          <w:ilvl w:val="0"/>
          <w:numId w:val="1"/>
        </w:numPr>
        <w:spacing w:after="200" w:before="24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provide recommendations for Monzo Bank on improving digital banking features to optimize customer experience and retention.</w:t>
      </w:r>
    </w:p>
    <w:p w:rsidR="00000000" w:rsidDel="00000000" w:rsidP="00000000" w:rsidRDefault="00000000" w:rsidRPr="00000000" w14:paraId="00000013">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Research Questions</w:t>
      </w:r>
    </w:p>
    <w:p w:rsidR="00000000" w:rsidDel="00000000" w:rsidP="00000000" w:rsidRDefault="00000000" w:rsidRPr="00000000" w14:paraId="00000014">
      <w:pPr>
        <w:numPr>
          <w:ilvl w:val="0"/>
          <w:numId w:val="2"/>
        </w:numPr>
        <w:spacing w:after="200" w:before="24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digital banking features influence consumer retention in Monzo Bank?</w:t>
      </w:r>
    </w:p>
    <w:p w:rsidR="00000000" w:rsidDel="00000000" w:rsidP="00000000" w:rsidRDefault="00000000" w:rsidRPr="00000000" w14:paraId="00000015">
      <w:pPr>
        <w:numPr>
          <w:ilvl w:val="0"/>
          <w:numId w:val="2"/>
        </w:numPr>
        <w:spacing w:after="200" w:before="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the mediating role of customer experience in the relationship between digital banking features and consumer retention?</w:t>
      </w:r>
    </w:p>
    <w:p w:rsidR="00000000" w:rsidDel="00000000" w:rsidP="00000000" w:rsidRDefault="00000000" w:rsidRPr="00000000" w14:paraId="00000016">
      <w:pPr>
        <w:numPr>
          <w:ilvl w:val="0"/>
          <w:numId w:val="2"/>
        </w:numPr>
        <w:spacing w:after="200" w:before="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what extent does customer experience enhance or diminish the effect of digital banking features on consumer retention?</w:t>
      </w:r>
    </w:p>
    <w:p w:rsidR="00000000" w:rsidDel="00000000" w:rsidP="00000000" w:rsidRDefault="00000000" w:rsidRPr="00000000" w14:paraId="00000017">
      <w:pPr>
        <w:numPr>
          <w:ilvl w:val="0"/>
          <w:numId w:val="2"/>
        </w:numPr>
        <w:spacing w:after="200" w:before="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can Monzo Bank improve its digital banking features to strengthen customer experience and retention?</w:t>
      </w:r>
    </w:p>
    <w:p w:rsidR="00000000" w:rsidDel="00000000" w:rsidP="00000000" w:rsidRDefault="00000000" w:rsidRPr="00000000" w14:paraId="00000018">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Methodology</w:t>
      </w:r>
    </w:p>
    <w:p w:rsidR="00000000" w:rsidDel="00000000" w:rsidP="00000000" w:rsidRDefault="00000000" w:rsidRPr="00000000" w14:paraId="00000019">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study will implement a quantitative survey-based approach using structured responses from questionnaires that facilitate objective analysis and generalizability to a broader population of Monzo’s customers.  </w:t>
      </w:r>
      <w:r w:rsidDel="00000000" w:rsidR="00000000" w:rsidRPr="00000000">
        <w:rPr>
          <w:rFonts w:ascii="Times New Roman" w:cs="Times New Roman" w:eastAsia="Times New Roman" w:hAnsi="Times New Roman"/>
          <w:rtl w:val="0"/>
        </w:rPr>
        <w:t xml:space="preserve">The  quantitative approach has been chosen for this study as it fits well with the research requirements while it also enables statistical analysis to identify relationships between the focal variables like digital banking features, customer experience, and customer retention (Lim, 2024). This methodology has been adopted by following similar previous studies on customer retention and digital banking which have successfully utilized quantitative methodologies to derive insights into user behavior and service satisfaction (Windasari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2022; Jahan and Shahria, 2021). </w:t>
      </w:r>
    </w:p>
    <w:p w:rsidR="00000000" w:rsidDel="00000000" w:rsidP="00000000" w:rsidRDefault="00000000" w:rsidRPr="00000000" w14:paraId="0000001A">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survey will consist of Likert-scale questions to assess perceptions of Monzo’s banking features which include app usability, security, personalization, and customer support. Additionally, respondents will be asked to evaluate their overall customer experience and retention likelihood. The survey design will ensure that responses reflect a diverse range of demographics, capturing perspectives across different age groups, income levels, and professional backgrounds (Windasari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2022). The aim of data collection for the study is to collect responses from 300 Monzo customers who have actively used the bank’s services for at least six months via an online survey. This sample size is sufficient for conducting regression analysis and structural equation modeling (SEM), which will allow for a comprehensive assessment of direct and indirect relationships among the study variables (Egala, Boateng and Mensah, 2021). For data analysis, regression analysis will be employed to test the relationship between Monzo’s banking features and customer retention. However, SEM will be utilized to examine the mediating effect of customer experience as SEM is particularly suitable for this study since it allows for the testing of complex variable interactions, offering deeper insights into how digital banking features influence customer loyalty through the intermediary role of customer experience (Nusair and Hua, 2009). Additionally, descriptive statistics will be used to summarize respondent characteristics and general trends, including the most commonly used banking features and overall satisfaction levels.</w:t>
      </w:r>
    </w:p>
    <w:p w:rsidR="00000000" w:rsidDel="00000000" w:rsidP="00000000" w:rsidRDefault="00000000" w:rsidRPr="00000000" w14:paraId="0000001B">
      <w:pPr>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Literature Review</w:t>
      </w:r>
    </w:p>
    <w:p w:rsidR="00000000" w:rsidDel="00000000" w:rsidP="00000000" w:rsidRDefault="00000000" w:rsidRPr="00000000" w14:paraId="0000001C">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increasing adoption of digital banking has transformed customer expectations, making retention a critical challenge for financial institutions and digital service providers (Stobdan and Kumar, 2023). Traditional banking research has long established that customer retention is influenced by factors such as trust, service quality, and customer satisfaction, which together contribute to long-term loyalty (Inkumsah, 2013; Mahfouz, Fayez and ElSamadicy, 2025). However, the rise of digital-only banks such as Monzo has disrupted the industry and has introduced new variables to consumer retention for digital only interfaces. These particularly revolve around digital banking features and customer experience both of which play a significant role in determining customer retention in a digital banking context. Unlike traditional banks, which rely on physical branches and personalized human interactions, digital banks depend entirely on their technological offerings and the overall digital experience they provide to maintain consumer loyalty (Amiri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2023; Mogaji, 2023). Therefore, understanding  the interplay of digital banking features customer experience in retention of consumers is crucial for both academic research and industry practice.  </w:t>
      </w:r>
    </w:p>
    <w:p w:rsidR="00000000" w:rsidDel="00000000" w:rsidP="00000000" w:rsidRDefault="00000000" w:rsidRPr="00000000" w14:paraId="0000001D">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banking features, particularly those embedded in mobile applications play a crucial role in influencing customer experience. Prior research suggests that app usability, functionality, and security are among the key factors influencing whether customers continue using digital banking services (Sultana and Faisal, 2025). Monzo has gained significant traction among users due to its highly user-centric design, which includes intuitive navigation, instant transaction notifications, and budgeting tools. Usability is particularly important in ensuring long-term engagement, as research shows that digital banking customers tend to remain loyal when they encounter minimal friction in their banking interactions. A study by Jahan and Shahria (2021) states that a highly usable digital banking platform reduces frustration and enhances user experience which in turn limits the possibility of customers looking to switch to competitors. Monzo’s mobile app which is used to deliver its banking services integrates user-friendly features aimed to enhance the customer experience along with having advanced security measures such as multi-factor authentication, biometric verification, and real-time fraud detection, all of which enhance customer trust (Patov, 2024; Monzo, 2025). In addition to that research by Almaiah et al. (2022) indicates that perceived security is among the key features in digital banking that directly influences consumer trust and potentially strengthens customer retention. Beyond the aspects of usability and security, personalization plays a crucial role in customer retention in digital banks as well as other digital-only services (Tyrväinen, Karjaluoto and Saarijärvi, 2020). Study by Walls (2024)  suggests that AI-driven financial insights and tailored spending reports significantly improves customer engagement. According to Patov (2024), Monzo enhances this experience by offering categorized spending notifications and custom savings goals, fostering a stronger connection between customers and the brand. This overall aligns with the findings of Pires et al. (2024), who argue that customer experience is shaped not only by ease of use but also by emotional connection and responsiveness to individual needs. Vargo and Lusch’s (2004) Service-Dominant Logic further supports this perspective, emphasizing that value creation in services depends on customer engagement and perception, rather than just the features a company provides.</w:t>
      </w:r>
    </w:p>
    <w:p w:rsidR="00000000" w:rsidDel="00000000" w:rsidP="00000000" w:rsidRDefault="00000000" w:rsidRPr="00000000" w14:paraId="0000001E">
      <w:pPr>
        <w:spacing w:after="200" w:before="24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Despite the growing body of research on customer retention in traditional banking, there remains a significant gap in understanding how digital banking features and its interplay with customer experience leading to customer retention. While existing studies have examined individual digital banking features such as security and usability, few have comprehensively analyzed their interconnected impact on customer retention, particularly within digital-only banks (Mahfouz, Fayez and ElSamadicy, 2025; Mogaji, 2023). Additionally, there is limited empirical evidence assessing whether customer experience serves as a mediating factor in this context. Given Monzo’s strong reliance on customer engagement through its digital platform, this study seeks to provide a more nuanced understanding of how its banking features influence consumer loyalty. The findings of this study will not only contribute to existing academic literature but will also provide practical insights for digital banks aiming to improve retention strategies in an increasingly competitive market.</w:t>
      </w:r>
    </w:p>
    <w:p w:rsidR="00000000" w:rsidDel="00000000" w:rsidP="00000000" w:rsidRDefault="00000000" w:rsidRPr="00000000" w14:paraId="00000020">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Limitations</w:t>
      </w:r>
    </w:p>
    <w:p w:rsidR="00000000" w:rsidDel="00000000" w:rsidP="00000000" w:rsidRDefault="00000000" w:rsidRPr="00000000" w14:paraId="00000021">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this research aims to provide valuable insights into the role of digital banking features in customer retention there remain a few key limitations to the study. One key limitation is the study’s exclusive focus on Monzo Bank which may limit the generalizability of findings to other digital banks or traditional financial institutions. Since Monzo operates within a distinct business model emphasizing digital-first engagement and community-driven banking, the findings may not be directly applicable to banks with hybrid or traditional structures. Another limitation relates to the sample size and demographic composition. Although 300 respondents provide a statistically viable sample for analysis, certain user segments, such as older customers or individuals with minimal digital banking experience, may be underrepresented which could lead to an incomplete understanding of how different customer groups interact with Monzo’s banking features. Additionally, self-reported survey data may be subject to response bias, where participants provide socially desirable answers rather than reflecting their actual experiences (Lavrakas, 2008). While efforts will be made to mitigate this issue by incorporating consistency checks and follow-up questions to ensure response reliability,there still remains the possibility of lack of authenticity in some responses.</w:t>
      </w:r>
    </w:p>
    <w:p w:rsidR="00000000" w:rsidDel="00000000" w:rsidP="00000000" w:rsidRDefault="00000000" w:rsidRPr="00000000" w14:paraId="00000022">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Moreover, the study employs a cross-sectional research design that helps to  capture data at a single point in time. This approach does not account for potential shifts in customer behavior or retention patterns over time. A longitudinal study would provide a more comprehensive view of how digital banking features and customer experience influence retention in the long term. Lastly, this research focuses exclusively on digital customer interactions, omitting potential offline factors that could influence retention, such as brand reputation or external financial market trends.</w:t>
      </w:r>
    </w:p>
    <w:p w:rsidR="00000000" w:rsidDel="00000000" w:rsidP="00000000" w:rsidRDefault="00000000" w:rsidRPr="00000000" w14:paraId="00000023">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Ethical Considerations</w:t>
      </w:r>
    </w:p>
    <w:p w:rsidR="00000000" w:rsidDel="00000000" w:rsidP="00000000" w:rsidRDefault="00000000" w:rsidRPr="00000000" w14:paraId="00000024">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study aims to adhere to strict ethical guidelines to ensure participant confidentiality and data integrity during the data collection and analysis processes. Moreover , all respondents will be fully informed about the research objectives, and explicit informed consent will be obtained before participation in the survey. In addition to that, participants will be further assured that their responses will remain confidential, and their personal data will not be shared with third parties while respondents will also have the option to withdraw from the study at any stage without any consequences.</w:t>
      </w:r>
    </w:p>
    <w:p w:rsidR="00000000" w:rsidDel="00000000" w:rsidP="00000000" w:rsidRDefault="00000000" w:rsidRPr="00000000" w14:paraId="00000025">
      <w:pPr>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Timeline </w:t>
      </w:r>
    </w:p>
    <w:p w:rsidR="00000000" w:rsidDel="00000000" w:rsidP="00000000" w:rsidRDefault="00000000" w:rsidRPr="00000000" w14:paraId="00000026">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is expected to take five weeks to complete and consists of a series of tasks that must be completed systematically, as each task often depends on the previous one. The following  Gantt chart has been created to outline these tasks in sequential order based on their importance in the study. This chart also provides a clear overview of how the tasks will be executed and the time required for each.</w:t>
      </w:r>
    </w:p>
    <w:tbl>
      <w:tblPr>
        <w:tblStyle w:val="Table1"/>
        <w:tblW w:w="96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00"/>
        <w:gridCol w:w="1335"/>
        <w:gridCol w:w="1320"/>
        <w:gridCol w:w="1320"/>
        <w:gridCol w:w="1320"/>
        <w:gridCol w:w="1350"/>
        <w:tblGridChange w:id="0">
          <w:tblGrid>
            <w:gridCol w:w="3000"/>
            <w:gridCol w:w="1335"/>
            <w:gridCol w:w="1320"/>
            <w:gridCol w:w="1320"/>
            <w:gridCol w:w="1320"/>
            <w:gridCol w:w="1350"/>
          </w:tblGrid>
        </w:tblGridChange>
      </w:tblGrid>
      <w:tr>
        <w:trPr>
          <w:cantSplit w:val="0"/>
          <w:trHeight w:val="315" w:hRule="atLeast"/>
          <w:tblHeader w:val="0"/>
        </w:trPr>
        <w:tc>
          <w:tcPr>
            <w:tcBorders>
              <w:top w:color="284e3f"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27">
            <w:pPr>
              <w:widowControl w:val="0"/>
              <w:jc w:val="center"/>
              <w:rPr>
                <w:sz w:val="20"/>
                <w:szCs w:val="20"/>
              </w:rPr>
            </w:pPr>
            <w:r w:rsidDel="00000000" w:rsidR="00000000" w:rsidRPr="00000000">
              <w:rPr>
                <w:rFonts w:ascii="Roboto" w:cs="Roboto" w:eastAsia="Roboto" w:hAnsi="Roboto"/>
                <w:b w:val="1"/>
                <w:color w:val="ffffff"/>
                <w:sz w:val="20"/>
                <w:szCs w:val="20"/>
                <w:rtl w:val="0"/>
              </w:rPr>
              <w:t xml:space="preserve">Task</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28">
            <w:pPr>
              <w:widowControl w:val="0"/>
              <w:jc w:val="center"/>
              <w:rPr>
                <w:sz w:val="20"/>
                <w:szCs w:val="20"/>
              </w:rPr>
            </w:pPr>
            <w:r w:rsidDel="00000000" w:rsidR="00000000" w:rsidRPr="00000000">
              <w:rPr>
                <w:rFonts w:ascii="Roboto" w:cs="Roboto" w:eastAsia="Roboto" w:hAnsi="Roboto"/>
                <w:b w:val="1"/>
                <w:color w:val="ffffff"/>
                <w:sz w:val="20"/>
                <w:szCs w:val="20"/>
                <w:rtl w:val="0"/>
              </w:rPr>
              <w:t xml:space="preserve">Week 1</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29">
            <w:pPr>
              <w:widowControl w:val="0"/>
              <w:jc w:val="center"/>
              <w:rPr>
                <w:sz w:val="20"/>
                <w:szCs w:val="20"/>
              </w:rPr>
            </w:pPr>
            <w:r w:rsidDel="00000000" w:rsidR="00000000" w:rsidRPr="00000000">
              <w:rPr>
                <w:rFonts w:ascii="Roboto" w:cs="Roboto" w:eastAsia="Roboto" w:hAnsi="Roboto"/>
                <w:b w:val="1"/>
                <w:color w:val="ffffff"/>
                <w:sz w:val="20"/>
                <w:szCs w:val="20"/>
                <w:rtl w:val="0"/>
              </w:rPr>
              <w:t xml:space="preserve">Week 2</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2A">
            <w:pPr>
              <w:widowControl w:val="0"/>
              <w:jc w:val="center"/>
              <w:rPr>
                <w:sz w:val="20"/>
                <w:szCs w:val="20"/>
              </w:rPr>
            </w:pPr>
            <w:r w:rsidDel="00000000" w:rsidR="00000000" w:rsidRPr="00000000">
              <w:rPr>
                <w:rFonts w:ascii="Roboto" w:cs="Roboto" w:eastAsia="Roboto" w:hAnsi="Roboto"/>
                <w:b w:val="1"/>
                <w:color w:val="ffffff"/>
                <w:sz w:val="20"/>
                <w:szCs w:val="20"/>
                <w:rtl w:val="0"/>
              </w:rPr>
              <w:t xml:space="preserve">Week 3</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2B">
            <w:pPr>
              <w:widowControl w:val="0"/>
              <w:jc w:val="center"/>
              <w:rPr>
                <w:sz w:val="20"/>
                <w:szCs w:val="20"/>
              </w:rPr>
            </w:pPr>
            <w:r w:rsidDel="00000000" w:rsidR="00000000" w:rsidRPr="00000000">
              <w:rPr>
                <w:rFonts w:ascii="Roboto" w:cs="Roboto" w:eastAsia="Roboto" w:hAnsi="Roboto"/>
                <w:b w:val="1"/>
                <w:color w:val="ffffff"/>
                <w:sz w:val="20"/>
                <w:szCs w:val="20"/>
                <w:rtl w:val="0"/>
              </w:rPr>
              <w:t xml:space="preserve">Week 4</w:t>
            </w:r>
            <w:r w:rsidDel="00000000" w:rsidR="00000000" w:rsidRPr="00000000">
              <w:rPr>
                <w:rtl w:val="0"/>
              </w:rPr>
            </w:r>
          </w:p>
        </w:tc>
        <w:tc>
          <w:tcPr>
            <w:tcBorders>
              <w:top w:color="284e3f"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2C">
            <w:pPr>
              <w:widowControl w:val="0"/>
              <w:jc w:val="center"/>
              <w:rPr>
                <w:sz w:val="20"/>
                <w:szCs w:val="20"/>
              </w:rPr>
            </w:pPr>
            <w:r w:rsidDel="00000000" w:rsidR="00000000" w:rsidRPr="00000000">
              <w:rPr>
                <w:rFonts w:ascii="Roboto" w:cs="Roboto" w:eastAsia="Roboto" w:hAnsi="Roboto"/>
                <w:b w:val="1"/>
                <w:color w:val="ffffff"/>
                <w:sz w:val="20"/>
                <w:szCs w:val="20"/>
                <w:rtl w:val="0"/>
              </w:rPr>
              <w:t xml:space="preserve">Week 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fffff" w:space="0" w:sz="18" w:val="single"/>
              <w:right w:color="46bdc6"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2D">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Background Research</w:t>
            </w: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2E">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2F">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0">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1">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2">
            <w:pPr>
              <w:widowControl w:val="0"/>
              <w:rPr>
                <w:sz w:val="20"/>
                <w:szCs w:val="20"/>
              </w:rPr>
            </w:pPr>
            <w:r w:rsidDel="00000000" w:rsidR="00000000" w:rsidRPr="00000000">
              <w:rPr>
                <w:rtl w:val="0"/>
              </w:rPr>
            </w:r>
          </w:p>
        </w:tc>
      </w:tr>
      <w:tr>
        <w:trPr>
          <w:cantSplit w:val="0"/>
          <w:trHeight w:val="345" w:hRule="atLeast"/>
          <w:tblHeader w:val="0"/>
        </w:trPr>
        <w:tc>
          <w:tcPr>
            <w:tcBorders>
              <w:top w:color="cccccc" w:space="0" w:sz="6" w:val="single"/>
              <w:left w:color="284e3f" w:space="0" w:sz="6" w:val="single"/>
              <w:bottom w:color="ffffff" w:space="0" w:sz="18" w:val="single"/>
              <w:right w:color="46bdc6"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33">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Literature Review</w:t>
            </w: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34">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35">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36">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37">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38">
            <w:pPr>
              <w:widowControl w:val="0"/>
              <w:rPr>
                <w:sz w:val="20"/>
                <w:szCs w:val="20"/>
              </w:rPr>
            </w:pPr>
            <w:r w:rsidDel="00000000" w:rsidR="00000000" w:rsidRPr="00000000">
              <w:rPr>
                <w:rtl w:val="0"/>
              </w:rPr>
            </w:r>
          </w:p>
        </w:tc>
      </w:tr>
      <w:tr>
        <w:trPr>
          <w:cantSplit w:val="0"/>
          <w:trHeight w:val="345" w:hRule="atLeast"/>
          <w:tblHeader w:val="0"/>
        </w:trPr>
        <w:tc>
          <w:tcPr>
            <w:tcBorders>
              <w:top w:color="cccccc" w:space="0" w:sz="6" w:val="single"/>
              <w:left w:color="284e3f"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9">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Survey Design and Pilot</w:t>
            </w: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A">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3B">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C">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D">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3E">
            <w:pPr>
              <w:widowControl w:val="0"/>
              <w:rPr>
                <w:sz w:val="20"/>
                <w:szCs w:val="20"/>
              </w:rPr>
            </w:pPr>
            <w:r w:rsidDel="00000000" w:rsidR="00000000" w:rsidRPr="00000000">
              <w:rPr>
                <w:rtl w:val="0"/>
              </w:rPr>
            </w:r>
          </w:p>
        </w:tc>
      </w:tr>
      <w:tr>
        <w:trPr>
          <w:cantSplit w:val="0"/>
          <w:trHeight w:val="345" w:hRule="atLeast"/>
          <w:tblHeader w:val="0"/>
        </w:trPr>
        <w:tc>
          <w:tcPr>
            <w:tcBorders>
              <w:top w:color="cccccc" w:space="0" w:sz="6" w:val="single"/>
              <w:left w:color="284e3f"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3F">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Data Collection (Survey)</w:t>
            </w: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0">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1">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42">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3">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4">
            <w:pPr>
              <w:widowControl w:val="0"/>
              <w:rPr>
                <w:sz w:val="20"/>
                <w:szCs w:val="20"/>
              </w:rPr>
            </w:pPr>
            <w:r w:rsidDel="00000000" w:rsidR="00000000" w:rsidRPr="00000000">
              <w:rPr>
                <w:rtl w:val="0"/>
              </w:rPr>
            </w:r>
          </w:p>
        </w:tc>
      </w:tr>
      <w:tr>
        <w:trPr>
          <w:cantSplit w:val="0"/>
          <w:trHeight w:val="345" w:hRule="atLeast"/>
          <w:tblHeader w:val="0"/>
        </w:trPr>
        <w:tc>
          <w:tcPr>
            <w:tcBorders>
              <w:top w:color="cccccc" w:space="0" w:sz="6" w:val="single"/>
              <w:left w:color="284e3f"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45">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Data Analysis</w:t>
            </w: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46">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47">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48">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49">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4A">
            <w:pPr>
              <w:widowControl w:val="0"/>
              <w:rPr>
                <w:sz w:val="20"/>
                <w:szCs w:val="20"/>
              </w:rPr>
            </w:pPr>
            <w:r w:rsidDel="00000000" w:rsidR="00000000" w:rsidRPr="00000000">
              <w:rPr>
                <w:rtl w:val="0"/>
              </w:rPr>
            </w:r>
          </w:p>
        </w:tc>
      </w:tr>
      <w:tr>
        <w:trPr>
          <w:cantSplit w:val="0"/>
          <w:trHeight w:val="405" w:hRule="atLeast"/>
          <w:tblHeader w:val="0"/>
        </w:trPr>
        <w:tc>
          <w:tcPr>
            <w:tcBorders>
              <w:top w:color="cccccc" w:space="0" w:sz="6" w:val="single"/>
              <w:left w:color="284e3f"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B">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Writing Methodology &amp; Introduction</w:t>
            </w: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C">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D">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4E">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4F">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50">
            <w:pPr>
              <w:widowControl w:val="0"/>
              <w:rPr>
                <w:sz w:val="20"/>
                <w:szCs w:val="20"/>
              </w:rPr>
            </w:pPr>
            <w:r w:rsidDel="00000000" w:rsidR="00000000" w:rsidRPr="00000000">
              <w:rPr>
                <w:rtl w:val="0"/>
              </w:rPr>
            </w:r>
          </w:p>
        </w:tc>
      </w:tr>
      <w:tr>
        <w:trPr>
          <w:cantSplit w:val="0"/>
          <w:trHeight w:val="345" w:hRule="atLeast"/>
          <w:tblHeader w:val="0"/>
        </w:trPr>
        <w:tc>
          <w:tcPr>
            <w:tcBorders>
              <w:top w:color="cccccc" w:space="0" w:sz="6" w:val="single"/>
              <w:left w:color="284e3f"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51">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Writing Final Chapters</w:t>
            </w: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52">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53">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54">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55">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56">
            <w:pPr>
              <w:widowControl w:val="0"/>
              <w:rPr>
                <w:sz w:val="20"/>
                <w:szCs w:val="20"/>
              </w:rPr>
            </w:pPr>
            <w:r w:rsidDel="00000000" w:rsidR="00000000" w:rsidRPr="00000000">
              <w:rPr>
                <w:rtl w:val="0"/>
              </w:rPr>
            </w:r>
          </w:p>
        </w:tc>
      </w:tr>
      <w:tr>
        <w:trPr>
          <w:cantSplit w:val="0"/>
          <w:trHeight w:val="345" w:hRule="atLeast"/>
          <w:tblHeader w:val="0"/>
        </w:trPr>
        <w:tc>
          <w:tcPr>
            <w:tcBorders>
              <w:top w:color="cccccc" w:space="0" w:sz="6" w:val="single"/>
              <w:left w:color="284e3f"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57">
            <w:pPr>
              <w:widowControl w:val="0"/>
              <w:rPr>
                <w:sz w:val="16"/>
                <w:szCs w:val="16"/>
              </w:rPr>
            </w:pPr>
            <w:r w:rsidDel="00000000" w:rsidR="00000000" w:rsidRPr="00000000">
              <w:rPr>
                <w:rFonts w:ascii="Helvetica Neue" w:cs="Helvetica Neue" w:eastAsia="Helvetica Neue" w:hAnsi="Helvetica Neue"/>
                <w:b w:val="1"/>
                <w:color w:val="434343"/>
                <w:sz w:val="16"/>
                <w:szCs w:val="16"/>
                <w:rtl w:val="0"/>
              </w:rPr>
              <w:t xml:space="preserve">Submission</w:t>
            </w: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58">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59">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f8f9fa"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5A">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46bdc6" w:space="0" w:sz="6"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05B">
            <w:pPr>
              <w:widowControl w:val="0"/>
              <w:rPr>
                <w:sz w:val="20"/>
                <w:szCs w:val="20"/>
              </w:rPr>
            </w:pPr>
            <w:r w:rsidDel="00000000" w:rsidR="00000000" w:rsidRPr="00000000">
              <w:rPr>
                <w:rtl w:val="0"/>
              </w:rPr>
            </w:r>
          </w:p>
        </w:tc>
        <w:tc>
          <w:tcPr>
            <w:tcBorders>
              <w:top w:color="cccccc" w:space="0" w:sz="6" w:val="single"/>
              <w:left w:color="cccccc" w:space="0" w:sz="6" w:val="single"/>
              <w:bottom w:color="ffffff" w:space="0" w:sz="18" w:val="single"/>
              <w:right w:color="284e3f" w:space="0" w:sz="6" w:val="single"/>
            </w:tcBorders>
            <w:shd w:fill="46bdc6" w:val="clear"/>
            <w:tcMar>
              <w:top w:w="40.0" w:type="dxa"/>
              <w:left w:w="120.0" w:type="dxa"/>
              <w:bottom w:w="40.0" w:type="dxa"/>
              <w:right w:w="120.0" w:type="dxa"/>
            </w:tcMar>
            <w:vAlign w:val="center"/>
          </w:tcPr>
          <w:p w:rsidR="00000000" w:rsidDel="00000000" w:rsidP="00000000" w:rsidRDefault="00000000" w:rsidRPr="00000000" w14:paraId="0000005C">
            <w:pPr>
              <w:widowControl w:val="0"/>
              <w:rPr>
                <w:sz w:val="20"/>
                <w:szCs w:val="20"/>
              </w:rPr>
            </w:pPr>
            <w:r w:rsidDel="00000000" w:rsidR="00000000" w:rsidRPr="00000000">
              <w:rPr>
                <w:rtl w:val="0"/>
              </w:rPr>
            </w:r>
          </w:p>
        </w:tc>
      </w:tr>
    </w:tbl>
    <w:p w:rsidR="00000000" w:rsidDel="00000000" w:rsidP="00000000" w:rsidRDefault="00000000" w:rsidRPr="00000000" w14:paraId="0000005D">
      <w:pPr>
        <w:keepNext w:val="0"/>
        <w:keepLines w:val="0"/>
        <w:spacing w:after="20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Conclusion</w:t>
      </w:r>
    </w:p>
    <w:p w:rsidR="00000000" w:rsidDel="00000000" w:rsidP="00000000" w:rsidRDefault="00000000" w:rsidRPr="00000000" w14:paraId="0000005E">
      <w:pPr>
        <w:spacing w:after="20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research aims to address a crucial gap in understanding how digital banking features paired with customer experience impact customer retention within the context of Monzo Bank. By analyzing these factors, the study seeks to provide both theoretical and practical insights into optimizing customer loyalty strategies in the digital banking sector. As banking evolves into the fully digital set-ups with competition intensifying within the fintech landscape, the findings of this study will be valuable for Monzo and similar digital banks in refining their service offerings, enhancing user experience, and fostering long-term customer engagement. In addition to making contributions to academia, this study is of particular interest to me as I intend to build a career in the fintech industry aiming to work for companies like Monzo. This study will help me get a better understanding of the company, the industry it operates in and how it interacts with its customers to pursue higher retention and growth.     </w:t>
      </w:r>
    </w:p>
    <w:p w:rsidR="00000000" w:rsidDel="00000000" w:rsidP="00000000" w:rsidRDefault="00000000" w:rsidRPr="00000000" w14:paraId="0000005F">
      <w:pPr>
        <w:spacing w:after="20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References</w:t>
      </w:r>
    </w:p>
    <w:p w:rsidR="00000000" w:rsidDel="00000000" w:rsidP="00000000" w:rsidRDefault="00000000" w:rsidRPr="00000000" w14:paraId="00000060">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Almaiah, M.A.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'Investigating the Effect of Perceived Security, Perceived Trust, and Information Quality on Mobile Payment Usage through Near-Field Communication (NFC) in Saudi Arabia,' </w:t>
      </w:r>
      <w:r w:rsidDel="00000000" w:rsidR="00000000" w:rsidRPr="00000000">
        <w:rPr>
          <w:rFonts w:ascii="Times New Roman" w:cs="Times New Roman" w:eastAsia="Times New Roman" w:hAnsi="Times New Roman"/>
          <w:i w:val="1"/>
          <w:sz w:val="24"/>
          <w:szCs w:val="24"/>
          <w:rtl w:val="0"/>
        </w:rPr>
        <w:t xml:space="preserve">Electronics</w:t>
      </w:r>
      <w:r w:rsidDel="00000000" w:rsidR="00000000" w:rsidRPr="00000000">
        <w:rPr>
          <w:rFonts w:ascii="Times New Roman" w:cs="Times New Roman" w:eastAsia="Times New Roman" w:hAnsi="Times New Roman"/>
          <w:sz w:val="24"/>
          <w:szCs w:val="24"/>
          <w:rtl w:val="0"/>
        </w:rPr>
        <w:t xml:space="preserve">, 11(23), p. 3926. https://doi.org/10.3390/electronics11233926.</w:t>
      </w:r>
    </w:p>
    <w:p w:rsidR="00000000" w:rsidDel="00000000" w:rsidP="00000000" w:rsidRDefault="00000000" w:rsidRPr="00000000" w14:paraId="00000061">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Amiri,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(2023) 'Evaluation of Digital Banking Implementation Indicators and Models in the context of Industry 4.0: A Fuzzy Group MCDM approach,' </w:t>
      </w:r>
      <w:r w:rsidDel="00000000" w:rsidR="00000000" w:rsidRPr="00000000">
        <w:rPr>
          <w:rFonts w:ascii="Times New Roman" w:cs="Times New Roman" w:eastAsia="Times New Roman" w:hAnsi="Times New Roman"/>
          <w:i w:val="1"/>
          <w:sz w:val="24"/>
          <w:szCs w:val="24"/>
          <w:rtl w:val="0"/>
        </w:rPr>
        <w:t xml:space="preserve">Axioms</w:t>
      </w:r>
      <w:r w:rsidDel="00000000" w:rsidR="00000000" w:rsidRPr="00000000">
        <w:rPr>
          <w:rFonts w:ascii="Times New Roman" w:cs="Times New Roman" w:eastAsia="Times New Roman" w:hAnsi="Times New Roman"/>
          <w:sz w:val="24"/>
          <w:szCs w:val="24"/>
          <w:rtl w:val="0"/>
        </w:rPr>
        <w:t xml:space="preserve">, 12(6), p. 516. https://doi.org/10.3390/axioms12060516.</w:t>
      </w:r>
    </w:p>
    <w:p w:rsidR="00000000" w:rsidDel="00000000" w:rsidP="00000000" w:rsidRDefault="00000000" w:rsidRPr="00000000" w14:paraId="00000062">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Arun, 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(2023) 'Impact of Neo-Banks (Digital Banks) India -UK comparison,' </w:t>
      </w:r>
      <w:r w:rsidDel="00000000" w:rsidR="00000000" w:rsidRPr="00000000">
        <w:rPr>
          <w:rFonts w:ascii="Times New Roman" w:cs="Times New Roman" w:eastAsia="Times New Roman" w:hAnsi="Times New Roman"/>
          <w:i w:val="1"/>
          <w:sz w:val="24"/>
          <w:szCs w:val="24"/>
          <w:rtl w:val="0"/>
        </w:rPr>
        <w:t xml:space="preserve">SSRN Electronic Journal</w:t>
      </w:r>
      <w:r w:rsidDel="00000000" w:rsidR="00000000" w:rsidRPr="00000000">
        <w:rPr>
          <w:rFonts w:ascii="Times New Roman" w:cs="Times New Roman" w:eastAsia="Times New Roman" w:hAnsi="Times New Roman"/>
          <w:sz w:val="24"/>
          <w:szCs w:val="24"/>
          <w:rtl w:val="0"/>
        </w:rPr>
        <w:t xml:space="preserve"> [Preprint]. https://doi.org/10.2139/ssrn.4452179.</w:t>
      </w:r>
    </w:p>
    <w:p w:rsidR="00000000" w:rsidDel="00000000" w:rsidP="00000000" w:rsidRDefault="00000000" w:rsidRPr="00000000" w14:paraId="00000063">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Bhatnagr, P. and Rajesh, A. (2023) 'Neobanking adoption – An integrated UTAUT-3, perceived risk and recommendation model,' </w:t>
      </w:r>
      <w:r w:rsidDel="00000000" w:rsidR="00000000" w:rsidRPr="00000000">
        <w:rPr>
          <w:rFonts w:ascii="Times New Roman" w:cs="Times New Roman" w:eastAsia="Times New Roman" w:hAnsi="Times New Roman"/>
          <w:i w:val="1"/>
          <w:sz w:val="24"/>
          <w:szCs w:val="24"/>
          <w:rtl w:val="0"/>
        </w:rPr>
        <w:t xml:space="preserve">South Asian Journal of Marketing</w:t>
      </w:r>
      <w:r w:rsidDel="00000000" w:rsidR="00000000" w:rsidRPr="00000000">
        <w:rPr>
          <w:rFonts w:ascii="Times New Roman" w:cs="Times New Roman" w:eastAsia="Times New Roman" w:hAnsi="Times New Roman"/>
          <w:sz w:val="24"/>
          <w:szCs w:val="24"/>
          <w:rtl w:val="0"/>
        </w:rPr>
        <w:t xml:space="preserve">, 5(2), pp. 93–112. https://doi.org/10.1108/sajm-06-2022-0040.</w:t>
      </w:r>
    </w:p>
    <w:p w:rsidR="00000000" w:rsidDel="00000000" w:rsidP="00000000" w:rsidRDefault="00000000" w:rsidRPr="00000000" w14:paraId="00000064">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Egala, S.B., Boateng, D. and Mensah, S.A. (2021) 'To leave or retain? An interplay between quality digital banking services and customer satisfaction,' </w:t>
      </w:r>
      <w:r w:rsidDel="00000000" w:rsidR="00000000" w:rsidRPr="00000000">
        <w:rPr>
          <w:rFonts w:ascii="Times New Roman" w:cs="Times New Roman" w:eastAsia="Times New Roman" w:hAnsi="Times New Roman"/>
          <w:i w:val="1"/>
          <w:sz w:val="24"/>
          <w:szCs w:val="24"/>
          <w:rtl w:val="0"/>
        </w:rPr>
        <w:t xml:space="preserve">International Journal of Bank Marketing</w:t>
      </w:r>
      <w:r w:rsidDel="00000000" w:rsidR="00000000" w:rsidRPr="00000000">
        <w:rPr>
          <w:rFonts w:ascii="Times New Roman" w:cs="Times New Roman" w:eastAsia="Times New Roman" w:hAnsi="Times New Roman"/>
          <w:sz w:val="24"/>
          <w:szCs w:val="24"/>
          <w:rtl w:val="0"/>
        </w:rPr>
        <w:t xml:space="preserve">, 39(7), pp. 1420–1445. https://doi.org/10.1108/ijbm-02-2021-0072.</w:t>
      </w:r>
    </w:p>
    <w:p w:rsidR="00000000" w:rsidDel="00000000" w:rsidP="00000000" w:rsidRDefault="00000000" w:rsidRPr="00000000" w14:paraId="00000065">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Inkumsah, W.A. (2013) 'Factors that impacted customer retention of banks. A study of recently acquired banks in the UPSA area of Madina, Accra (Specifically Access Bank).,' </w:t>
      </w:r>
      <w:r w:rsidDel="00000000" w:rsidR="00000000" w:rsidRPr="00000000">
        <w:rPr>
          <w:rFonts w:ascii="Times New Roman" w:cs="Times New Roman" w:eastAsia="Times New Roman" w:hAnsi="Times New Roman"/>
          <w:i w:val="1"/>
          <w:sz w:val="24"/>
          <w:szCs w:val="24"/>
          <w:rtl w:val="0"/>
        </w:rPr>
        <w:t xml:space="preserve">Journal of Marketing and Consumer Research</w:t>
      </w:r>
      <w:r w:rsidDel="00000000" w:rsidR="00000000" w:rsidRPr="00000000">
        <w:rPr>
          <w:rFonts w:ascii="Times New Roman" w:cs="Times New Roman" w:eastAsia="Times New Roman" w:hAnsi="Times New Roman"/>
          <w:sz w:val="24"/>
          <w:szCs w:val="24"/>
          <w:rtl w:val="0"/>
        </w:rPr>
        <w:t xml:space="preserve">, 1, pp. 88–103. https://www.iiste.org/Journals/index.php/JMCR/article/download/9229/9438.</w:t>
      </w:r>
    </w:p>
    <w:p w:rsidR="00000000" w:rsidDel="00000000" w:rsidP="00000000" w:rsidRDefault="00000000" w:rsidRPr="00000000" w14:paraId="00000066">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Jahan, N. and Shahria, G. (2021) 'Factors effecting customer satisfaction of mobile banking in Bangladesh: a study on young users’ perspective,' </w:t>
      </w:r>
      <w:r w:rsidDel="00000000" w:rsidR="00000000" w:rsidRPr="00000000">
        <w:rPr>
          <w:rFonts w:ascii="Times New Roman" w:cs="Times New Roman" w:eastAsia="Times New Roman" w:hAnsi="Times New Roman"/>
          <w:i w:val="1"/>
          <w:sz w:val="24"/>
          <w:szCs w:val="24"/>
          <w:rtl w:val="0"/>
        </w:rPr>
        <w:t xml:space="preserve">South Asian Journal of Marketing</w:t>
      </w:r>
      <w:r w:rsidDel="00000000" w:rsidR="00000000" w:rsidRPr="00000000">
        <w:rPr>
          <w:rFonts w:ascii="Times New Roman" w:cs="Times New Roman" w:eastAsia="Times New Roman" w:hAnsi="Times New Roman"/>
          <w:sz w:val="24"/>
          <w:szCs w:val="24"/>
          <w:rtl w:val="0"/>
        </w:rPr>
        <w:t xml:space="preserve">, 3(1), pp. 60–76. https://doi.org/10.1108/sajm-02-2021-0018.</w:t>
      </w:r>
    </w:p>
    <w:p w:rsidR="00000000" w:rsidDel="00000000" w:rsidP="00000000" w:rsidRDefault="00000000" w:rsidRPr="00000000" w14:paraId="00000067">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Lavrakas, P. (2008) </w:t>
      </w:r>
      <w:r w:rsidDel="00000000" w:rsidR="00000000" w:rsidRPr="00000000">
        <w:rPr>
          <w:rFonts w:ascii="Times New Roman" w:cs="Times New Roman" w:eastAsia="Times New Roman" w:hAnsi="Times New Roman"/>
          <w:i w:val="1"/>
          <w:sz w:val="24"/>
          <w:szCs w:val="24"/>
          <w:rtl w:val="0"/>
        </w:rPr>
        <w:t xml:space="preserve">Encyclopedia of Survey Research Methods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SAGE Publications, Inc. eBooks</w:t>
      </w:r>
      <w:r w:rsidDel="00000000" w:rsidR="00000000" w:rsidRPr="00000000">
        <w:rPr>
          <w:rFonts w:ascii="Times New Roman" w:cs="Times New Roman" w:eastAsia="Times New Roman" w:hAnsi="Times New Roman"/>
          <w:sz w:val="24"/>
          <w:szCs w:val="24"/>
          <w:rtl w:val="0"/>
        </w:rPr>
        <w:t xml:space="preserve">. https://doi.org/10.4135/9781412963947.</w:t>
      </w:r>
    </w:p>
    <w:p w:rsidR="00000000" w:rsidDel="00000000" w:rsidP="00000000" w:rsidRDefault="00000000" w:rsidRPr="00000000" w14:paraId="00000068">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 W.M. (2024) 'What is quantitative research? An overview and guidelines,' </w:t>
      </w:r>
      <w:r w:rsidDel="00000000" w:rsidR="00000000" w:rsidRPr="00000000">
        <w:rPr>
          <w:rFonts w:ascii="Times New Roman" w:cs="Times New Roman" w:eastAsia="Times New Roman" w:hAnsi="Times New Roman"/>
          <w:i w:val="1"/>
          <w:sz w:val="24"/>
          <w:szCs w:val="24"/>
          <w:rtl w:val="0"/>
        </w:rPr>
        <w:t xml:space="preserve">Australasian Marketing Journal (AMJ)</w:t>
      </w:r>
      <w:r w:rsidDel="00000000" w:rsidR="00000000" w:rsidRPr="00000000">
        <w:rPr>
          <w:rFonts w:ascii="Times New Roman" w:cs="Times New Roman" w:eastAsia="Times New Roman" w:hAnsi="Times New Roman"/>
          <w:sz w:val="24"/>
          <w:szCs w:val="24"/>
          <w:rtl w:val="0"/>
        </w:rPr>
        <w:t xml:space="preserve"> [Preprint]. https://doi.org/10.1177/14413582241264622.</w:t>
      </w:r>
    </w:p>
    <w:p w:rsidR="00000000" w:rsidDel="00000000" w:rsidP="00000000" w:rsidRDefault="00000000" w:rsidRPr="00000000" w14:paraId="00000069">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Mahfouz, M.R., Fayez, M. and ElSamadicy, A.M. (2025) 'Investigation of factors that affecting on customer loyalty in banking sector in Egypt,' </w:t>
      </w:r>
      <w:r w:rsidDel="00000000" w:rsidR="00000000" w:rsidRPr="00000000">
        <w:rPr>
          <w:rFonts w:ascii="Times New Roman" w:cs="Times New Roman" w:eastAsia="Times New Roman" w:hAnsi="Times New Roman"/>
          <w:i w:val="1"/>
          <w:sz w:val="24"/>
          <w:szCs w:val="24"/>
          <w:rtl w:val="0"/>
        </w:rPr>
        <w:t xml:space="preserve">OALib</w:t>
      </w:r>
      <w:r w:rsidDel="00000000" w:rsidR="00000000" w:rsidRPr="00000000">
        <w:rPr>
          <w:rFonts w:ascii="Times New Roman" w:cs="Times New Roman" w:eastAsia="Times New Roman" w:hAnsi="Times New Roman"/>
          <w:sz w:val="24"/>
          <w:szCs w:val="24"/>
          <w:rtl w:val="0"/>
        </w:rPr>
        <w:t xml:space="preserve">, 12(02), pp. 1–21. https://doi.org/10.4236/oalib.1112891.</w:t>
      </w:r>
    </w:p>
    <w:p w:rsidR="00000000" w:rsidDel="00000000" w:rsidP="00000000" w:rsidRDefault="00000000" w:rsidRPr="00000000" w14:paraId="0000006A">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Mogaji, E. (2023) 'Redefining banks in the digital era: a typology of banks and their research, managerial and policy implications,' </w:t>
      </w:r>
      <w:r w:rsidDel="00000000" w:rsidR="00000000" w:rsidRPr="00000000">
        <w:rPr>
          <w:rFonts w:ascii="Times New Roman" w:cs="Times New Roman" w:eastAsia="Times New Roman" w:hAnsi="Times New Roman"/>
          <w:i w:val="1"/>
          <w:sz w:val="24"/>
          <w:szCs w:val="24"/>
          <w:rtl w:val="0"/>
        </w:rPr>
        <w:t xml:space="preserve">International Journal of Bank Marketing</w:t>
      </w:r>
      <w:r w:rsidDel="00000000" w:rsidR="00000000" w:rsidRPr="00000000">
        <w:rPr>
          <w:rFonts w:ascii="Times New Roman" w:cs="Times New Roman" w:eastAsia="Times New Roman" w:hAnsi="Times New Roman"/>
          <w:sz w:val="24"/>
          <w:szCs w:val="24"/>
          <w:rtl w:val="0"/>
        </w:rPr>
        <w:t xml:space="preserve">, 41(7), pp. 1899–1918. https://doi.org/10.1108/ijbm-06-2023-0333.</w:t>
      </w:r>
    </w:p>
    <w:p w:rsidR="00000000" w:rsidDel="00000000" w:rsidP="00000000" w:rsidRDefault="00000000" w:rsidRPr="00000000" w14:paraId="0000006B">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Monzo (2025) </w:t>
      </w:r>
      <w:r w:rsidDel="00000000" w:rsidR="00000000" w:rsidRPr="00000000">
        <w:rPr>
          <w:rFonts w:ascii="Times New Roman" w:cs="Times New Roman" w:eastAsia="Times New Roman" w:hAnsi="Times New Roman"/>
          <w:i w:val="1"/>
          <w:sz w:val="24"/>
          <w:szCs w:val="24"/>
          <w:rtl w:val="0"/>
        </w:rPr>
        <w:t xml:space="preserve">About Monzo</w:t>
      </w:r>
      <w:r w:rsidDel="00000000" w:rsidR="00000000" w:rsidRPr="00000000">
        <w:rPr>
          <w:rFonts w:ascii="Times New Roman" w:cs="Times New Roman" w:eastAsia="Times New Roman" w:hAnsi="Times New Roman"/>
          <w:sz w:val="24"/>
          <w:szCs w:val="24"/>
          <w:rtl w:val="0"/>
        </w:rPr>
        <w:t xml:space="preserve">. https://monzo.com/about.</w:t>
      </w:r>
    </w:p>
    <w:p w:rsidR="00000000" w:rsidDel="00000000" w:rsidP="00000000" w:rsidRDefault="00000000" w:rsidRPr="00000000" w14:paraId="0000006C">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Nusair, K. and Hua, N. (2009) 'Comparative assessment of structural equation modeling and multiple regression research methodologies: E-commerce context,' </w:t>
      </w:r>
      <w:r w:rsidDel="00000000" w:rsidR="00000000" w:rsidRPr="00000000">
        <w:rPr>
          <w:rFonts w:ascii="Times New Roman" w:cs="Times New Roman" w:eastAsia="Times New Roman" w:hAnsi="Times New Roman"/>
          <w:i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31(3), pp. 314–324. https://doi.org/10.1016/j.tourman.2009.03.010.</w:t>
      </w:r>
    </w:p>
    <w:p w:rsidR="00000000" w:rsidDel="00000000" w:rsidP="00000000" w:rsidRDefault="00000000" w:rsidRPr="00000000" w14:paraId="0000006D">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Patov, A. (2024) </w:t>
      </w:r>
      <w:r w:rsidDel="00000000" w:rsidR="00000000" w:rsidRPr="00000000">
        <w:rPr>
          <w:rFonts w:ascii="Times New Roman" w:cs="Times New Roman" w:eastAsia="Times New Roman" w:hAnsi="Times New Roman"/>
          <w:i w:val="1"/>
          <w:sz w:val="24"/>
          <w:szCs w:val="24"/>
          <w:rtl w:val="0"/>
        </w:rPr>
        <w:t xml:space="preserve">How Monzo Enhances Customer Experience (CX) with Community-Driven Banking and Real-Time Financial Tools</w:t>
      </w:r>
      <w:r w:rsidDel="00000000" w:rsidR="00000000" w:rsidRPr="00000000">
        <w:rPr>
          <w:rFonts w:ascii="Times New Roman" w:cs="Times New Roman" w:eastAsia="Times New Roman" w:hAnsi="Times New Roman"/>
          <w:sz w:val="24"/>
          <w:szCs w:val="24"/>
          <w:rtl w:val="0"/>
        </w:rPr>
        <w:t xml:space="preserve">. https://www.renascence.io/journal/how-monzo-enhances-customer-experience-cx-with-community-driven-banking-and-real-time-financial-tools.</w:t>
      </w:r>
    </w:p>
    <w:p w:rsidR="00000000" w:rsidDel="00000000" w:rsidP="00000000" w:rsidRDefault="00000000" w:rsidRPr="00000000" w14:paraId="0000006E">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Pires, P.B.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'A Conceptual Approach to Understanding the Customer Experience in E-Commerce: An Empirical study,' </w:t>
      </w:r>
      <w:r w:rsidDel="00000000" w:rsidR="00000000" w:rsidRPr="00000000">
        <w:rPr>
          <w:rFonts w:ascii="Times New Roman" w:cs="Times New Roman" w:eastAsia="Times New Roman" w:hAnsi="Times New Roman"/>
          <w:i w:val="1"/>
          <w:sz w:val="24"/>
          <w:szCs w:val="24"/>
          <w:rtl w:val="0"/>
        </w:rPr>
        <w:t xml:space="preserve">Journal of Theoretical and Applied Electronic Commerce Research</w:t>
      </w:r>
      <w:r w:rsidDel="00000000" w:rsidR="00000000" w:rsidRPr="00000000">
        <w:rPr>
          <w:rFonts w:ascii="Times New Roman" w:cs="Times New Roman" w:eastAsia="Times New Roman" w:hAnsi="Times New Roman"/>
          <w:sz w:val="24"/>
          <w:szCs w:val="24"/>
          <w:rtl w:val="0"/>
        </w:rPr>
        <w:t xml:space="preserve">, 19(3), pp. 1943–1983. https://doi.org/10.3390/jtaer19030096.</w:t>
      </w:r>
    </w:p>
    <w:p w:rsidR="00000000" w:rsidDel="00000000" w:rsidP="00000000" w:rsidRDefault="00000000" w:rsidRPr="00000000" w14:paraId="0000006F">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Sharma, S. (2024) 'Digital Disruption in Banking: A Comparative analysis of neo banks and traditional Institutions,' </w:t>
      </w:r>
      <w:r w:rsidDel="00000000" w:rsidR="00000000" w:rsidRPr="00000000">
        <w:rPr>
          <w:rFonts w:ascii="Times New Roman" w:cs="Times New Roman" w:eastAsia="Times New Roman" w:hAnsi="Times New Roman"/>
          <w:i w:val="1"/>
          <w:sz w:val="24"/>
          <w:szCs w:val="24"/>
          <w:rtl w:val="0"/>
        </w:rPr>
        <w:t xml:space="preserve">International Journal of Management and Development Studies</w:t>
      </w:r>
      <w:r w:rsidDel="00000000" w:rsidR="00000000" w:rsidRPr="00000000">
        <w:rPr>
          <w:rFonts w:ascii="Times New Roman" w:cs="Times New Roman" w:eastAsia="Times New Roman" w:hAnsi="Times New Roman"/>
          <w:sz w:val="24"/>
          <w:szCs w:val="24"/>
          <w:rtl w:val="0"/>
        </w:rPr>
        <w:t xml:space="preserve">, 13(3), pp. 01–12. https://doi.org/10.53983/ijmds.v13n3.001.</w:t>
      </w:r>
    </w:p>
    <w:p w:rsidR="00000000" w:rsidDel="00000000" w:rsidP="00000000" w:rsidRDefault="00000000" w:rsidRPr="00000000" w14:paraId="00000070">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Stobdan and Kumar (2023) </w:t>
      </w:r>
      <w:r w:rsidDel="00000000" w:rsidR="00000000" w:rsidRPr="00000000">
        <w:rPr>
          <w:rFonts w:ascii="Times New Roman" w:cs="Times New Roman" w:eastAsia="Times New Roman" w:hAnsi="Times New Roman"/>
          <w:i w:val="1"/>
          <w:sz w:val="24"/>
          <w:szCs w:val="24"/>
          <w:rtl w:val="0"/>
        </w:rPr>
        <w:t xml:space="preserve">NeoBanks: Future Prospects, Challenges and Strategies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iibf.org.in</w:t>
      </w:r>
      <w:r w:rsidDel="00000000" w:rsidR="00000000" w:rsidRPr="00000000">
        <w:rPr>
          <w:rFonts w:ascii="Times New Roman" w:cs="Times New Roman" w:eastAsia="Times New Roman" w:hAnsi="Times New Roman"/>
          <w:sz w:val="24"/>
          <w:szCs w:val="24"/>
          <w:rtl w:val="0"/>
        </w:rPr>
        <w:t xml:space="preserve">. INDIAN INSTITUTE OF BANKING &amp; FINANCE (IIBF).</w:t>
      </w:r>
    </w:p>
    <w:p w:rsidR="00000000" w:rsidDel="00000000" w:rsidP="00000000" w:rsidRDefault="00000000" w:rsidRPr="00000000" w14:paraId="00000071">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Sultana, R. and Faisal, N.A. (2025) 'The role of Digital banking features in Bank selection An analysis of customer preferences for online and mobile banking,' </w:t>
      </w:r>
      <w:r w:rsidDel="00000000" w:rsidR="00000000" w:rsidRPr="00000000">
        <w:rPr>
          <w:rFonts w:ascii="Times New Roman" w:cs="Times New Roman" w:eastAsia="Times New Roman" w:hAnsi="Times New Roman"/>
          <w:i w:val="1"/>
          <w:sz w:val="24"/>
          <w:szCs w:val="24"/>
          <w:rtl w:val="0"/>
        </w:rPr>
        <w:t xml:space="preserve">SSRN Electronic Journal</w:t>
      </w:r>
      <w:r w:rsidDel="00000000" w:rsidR="00000000" w:rsidRPr="00000000">
        <w:rPr>
          <w:rFonts w:ascii="Times New Roman" w:cs="Times New Roman" w:eastAsia="Times New Roman" w:hAnsi="Times New Roman"/>
          <w:sz w:val="24"/>
          <w:szCs w:val="24"/>
          <w:rtl w:val="0"/>
        </w:rPr>
        <w:t xml:space="preserve"> [Preprint]. https://doi.org/10.2139/ssrn.5049165.</w:t>
      </w:r>
    </w:p>
    <w:p w:rsidR="00000000" w:rsidDel="00000000" w:rsidP="00000000" w:rsidRDefault="00000000" w:rsidRPr="00000000" w14:paraId="00000072">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Tyrväinen, O., Karjaluoto, H. and Saarijärvi, H. (2020) 'Personalization and hedonic motivation in creating customer experiences and loyalty in omnichannel retail,' </w:t>
      </w:r>
      <w:r w:rsidDel="00000000" w:rsidR="00000000" w:rsidRPr="00000000">
        <w:rPr>
          <w:rFonts w:ascii="Times New Roman" w:cs="Times New Roman" w:eastAsia="Times New Roman" w:hAnsi="Times New Roman"/>
          <w:i w:val="1"/>
          <w:sz w:val="24"/>
          <w:szCs w:val="24"/>
          <w:rtl w:val="0"/>
        </w:rPr>
        <w:t xml:space="preserve">Journal of Retailing and Consumer Services</w:t>
      </w:r>
      <w:r w:rsidDel="00000000" w:rsidR="00000000" w:rsidRPr="00000000">
        <w:rPr>
          <w:rFonts w:ascii="Times New Roman" w:cs="Times New Roman" w:eastAsia="Times New Roman" w:hAnsi="Times New Roman"/>
          <w:sz w:val="24"/>
          <w:szCs w:val="24"/>
          <w:rtl w:val="0"/>
        </w:rPr>
        <w:t xml:space="preserve">, 57, p. 102233. https://doi.org/10.1016/j.jretconser.2020.102233.</w:t>
      </w:r>
    </w:p>
    <w:p w:rsidR="00000000" w:rsidDel="00000000" w:rsidP="00000000" w:rsidRDefault="00000000" w:rsidRPr="00000000" w14:paraId="00000073">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Vargo, S.L. and Lusch, R.F. (2003) 'Evolving to a new dominant logic for marketing,' </w:t>
      </w:r>
      <w:r w:rsidDel="00000000" w:rsidR="00000000" w:rsidRPr="00000000">
        <w:rPr>
          <w:rFonts w:ascii="Times New Roman" w:cs="Times New Roman" w:eastAsia="Times New Roman" w:hAnsi="Times New Roman"/>
          <w:i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68(1), pp. 1–17. https://doi.org/10.1509/jmkg.68.1.1.24036.</w:t>
      </w:r>
    </w:p>
    <w:p w:rsidR="00000000" w:rsidDel="00000000" w:rsidP="00000000" w:rsidRDefault="00000000" w:rsidRPr="00000000" w14:paraId="00000074">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Walls, E.J. (2024) </w:t>
      </w:r>
      <w:r w:rsidDel="00000000" w:rsidR="00000000" w:rsidRPr="00000000">
        <w:rPr>
          <w:rFonts w:ascii="Times New Roman" w:cs="Times New Roman" w:eastAsia="Times New Roman" w:hAnsi="Times New Roman"/>
          <w:i w:val="1"/>
          <w:sz w:val="24"/>
          <w:szCs w:val="24"/>
          <w:rtl w:val="0"/>
        </w:rPr>
        <w:t xml:space="preserve">The Human Side of Digital Banking: Why Personalization is the Future of Customer Loyalty</w:t>
      </w:r>
      <w:r w:rsidDel="00000000" w:rsidR="00000000" w:rsidRPr="00000000">
        <w:rPr>
          <w:rFonts w:ascii="Times New Roman" w:cs="Times New Roman" w:eastAsia="Times New Roman" w:hAnsi="Times New Roman"/>
          <w:sz w:val="24"/>
          <w:szCs w:val="24"/>
          <w:rtl w:val="0"/>
        </w:rPr>
        <w:t xml:space="preserve">. https://www.linkedin.com/pulse/human-side-digital-banking-why-personalization-future-jarraux-walls-ufgge.</w:t>
      </w:r>
    </w:p>
    <w:p w:rsidR="00000000" w:rsidDel="00000000" w:rsidP="00000000" w:rsidRDefault="00000000" w:rsidRPr="00000000" w14:paraId="00000075">
      <w:pPr>
        <w:spacing w:after="20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Windasari, N.A.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'Digital-only banking experience: Insights from gen Y and gen Z,' </w:t>
      </w:r>
      <w:r w:rsidDel="00000000" w:rsidR="00000000" w:rsidRPr="00000000">
        <w:rPr>
          <w:rFonts w:ascii="Times New Roman" w:cs="Times New Roman" w:eastAsia="Times New Roman" w:hAnsi="Times New Roman"/>
          <w:i w:val="1"/>
          <w:sz w:val="24"/>
          <w:szCs w:val="24"/>
          <w:rtl w:val="0"/>
        </w:rPr>
        <w:t xml:space="preserve">Journal of Innovation &amp; Knowledge</w:t>
      </w:r>
      <w:r w:rsidDel="00000000" w:rsidR="00000000" w:rsidRPr="00000000">
        <w:rPr>
          <w:rFonts w:ascii="Times New Roman" w:cs="Times New Roman" w:eastAsia="Times New Roman" w:hAnsi="Times New Roman"/>
          <w:sz w:val="24"/>
          <w:szCs w:val="24"/>
          <w:rtl w:val="0"/>
        </w:rPr>
        <w:t xml:space="preserve">, 7(2), p. 100170. https://doi.org/10.1016/j.jik.2022.100170.</w:t>
      </w:r>
    </w:p>
    <w:p w:rsidR="00000000" w:rsidDel="00000000" w:rsidP="00000000" w:rsidRDefault="00000000" w:rsidRPr="00000000" w14:paraId="00000076">
      <w:pPr>
        <w:spacing w:after="200" w:line="276"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after="200" w:line="360" w:lineRule="auto"/>
        <w:jc w:val="both"/>
        <w:rPr>
          <w:rFonts w:ascii="Times New Roman" w:cs="Times New Roman" w:eastAsia="Times New Roman" w:hAnsi="Times New Roman"/>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