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theme/themeOverride1.xml" ContentType="application/vnd.openxmlformats-officedocument.themeOverride+xml"/>
  <Override PartName="/word/charts/chart2.xml" ContentType="application/vnd.openxmlformats-officedocument.drawingml.chart+xml"/>
  <Override PartName="/word/charts/style2.xml" ContentType="application/vnd.ms-office.chartstyle+xml"/>
  <Override PartName="/word/charts/colors2.xml" ContentType="application/vnd.ms-office.chartcolorstyle+xml"/>
  <Override PartName="/word/theme/themeOverride2.xml" ContentType="application/vnd.openxmlformats-officedocument.themeOverride+xml"/>
  <Override PartName="/word/charts/chart3.xml" ContentType="application/vnd.openxmlformats-officedocument.drawingml.chart+xml"/>
  <Override PartName="/word/charts/style3.xml" ContentType="application/vnd.ms-office.chartstyle+xml"/>
  <Override PartName="/word/charts/colors3.xml" ContentType="application/vnd.ms-office.chartcolorstyle+xml"/>
  <Override PartName="/word/theme/themeOverride3.xml" ContentType="application/vnd.openxmlformats-officedocument.themeOverride+xml"/>
  <Override PartName="/word/charts/chart4.xml" ContentType="application/vnd.openxmlformats-officedocument.drawingml.chart+xml"/>
  <Override PartName="/word/charts/style4.xml" ContentType="application/vnd.ms-office.chartstyle+xml"/>
  <Override PartName="/word/charts/colors4.xml" ContentType="application/vnd.ms-office.chartcolorstyle+xml"/>
  <Override PartName="/word/theme/themeOverride4.xml" ContentType="application/vnd.openxmlformats-officedocument.themeOverride+xml"/>
  <Override PartName="/word/charts/chart5.xml" ContentType="application/vnd.openxmlformats-officedocument.drawingml.chart+xml"/>
  <Override PartName="/word/charts/style5.xml" ContentType="application/vnd.ms-office.chartstyle+xml"/>
  <Override PartName="/word/charts/colors5.xml" ContentType="application/vnd.ms-office.chartcolorstyle+xml"/>
  <Override PartName="/word/theme/themeOverride5.xml" ContentType="application/vnd.openxmlformats-officedocument.themeOverride+xml"/>
  <Override PartName="/word/charts/chart6.xml" ContentType="application/vnd.openxmlformats-officedocument.drawingml.chart+xml"/>
  <Override PartName="/word/charts/style6.xml" ContentType="application/vnd.ms-office.chartstyle+xml"/>
  <Override PartName="/word/charts/colors6.xml" ContentType="application/vnd.ms-office.chartcolorstyle+xml"/>
  <Override PartName="/word/theme/themeOverride6.xml" ContentType="application/vnd.openxmlformats-officedocument.themeOverride+xml"/>
  <Override PartName="/word/charts/chart7.xml" ContentType="application/vnd.openxmlformats-officedocument.drawingml.chart+xml"/>
  <Override PartName="/word/charts/style7.xml" ContentType="application/vnd.ms-office.chartstyle+xml"/>
  <Override PartName="/word/charts/colors7.xml" ContentType="application/vnd.ms-office.chartcolorstyle+xml"/>
  <Override PartName="/word/theme/themeOverride7.xml" ContentType="application/vnd.openxmlformats-officedocument.themeOverride+xml"/>
  <Override PartName="/word/charts/chart8.xml" ContentType="application/vnd.openxmlformats-officedocument.drawingml.chart+xml"/>
  <Override PartName="/word/charts/style8.xml" ContentType="application/vnd.ms-office.chartstyle+xml"/>
  <Override PartName="/word/charts/colors8.xml" ContentType="application/vnd.ms-office.chartcolorstyle+xml"/>
  <Override PartName="/word/theme/themeOverride8.xml" ContentType="application/vnd.openxmlformats-officedocument.themeOverride+xml"/>
  <Override PartName="/word/charts/chart9.xml" ContentType="application/vnd.openxmlformats-officedocument.drawingml.chart+xml"/>
  <Override PartName="/word/charts/style9.xml" ContentType="application/vnd.ms-office.chartstyle+xml"/>
  <Override PartName="/word/charts/colors9.xml" ContentType="application/vnd.ms-office.chartcolorstyle+xml"/>
  <Override PartName="/word/theme/themeOverride9.xml" ContentType="application/vnd.openxmlformats-officedocument.themeOverride+xml"/>
  <Override PartName="/word/charts/chart10.xml" ContentType="application/vnd.openxmlformats-officedocument.drawingml.chart+xml"/>
  <Override PartName="/word/charts/style10.xml" ContentType="application/vnd.ms-office.chartstyle+xml"/>
  <Override PartName="/word/charts/colors10.xml" ContentType="application/vnd.ms-office.chartcolorstyle+xml"/>
  <Override PartName="/word/theme/themeOverride10.xml" ContentType="application/vnd.openxmlformats-officedocument.themeOverride+xml"/>
  <Override PartName="/word/charts/chart11.xml" ContentType="application/vnd.openxmlformats-officedocument.drawingml.chart+xml"/>
  <Override PartName="/word/charts/style11.xml" ContentType="application/vnd.ms-office.chartstyle+xml"/>
  <Override PartName="/word/charts/colors11.xml" ContentType="application/vnd.ms-office.chartcolorstyle+xml"/>
  <Override PartName="/word/theme/themeOverride11.xml" ContentType="application/vnd.openxmlformats-officedocument.themeOverride+xml"/>
  <Override PartName="/word/charts/chart12.xml" ContentType="application/vnd.openxmlformats-officedocument.drawingml.chart+xml"/>
  <Override PartName="/word/charts/style12.xml" ContentType="application/vnd.ms-office.chartstyle+xml"/>
  <Override PartName="/word/charts/colors12.xml" ContentType="application/vnd.ms-office.chartcolorstyle+xml"/>
  <Override PartName="/word/theme/themeOverride12.xml" ContentType="application/vnd.openxmlformats-officedocument.themeOverride+xml"/>
  <Override PartName="/word/charts/chart13.xml" ContentType="application/vnd.openxmlformats-officedocument.drawingml.chart+xml"/>
  <Override PartName="/word/charts/style13.xml" ContentType="application/vnd.ms-office.chartstyle+xml"/>
  <Override PartName="/word/charts/colors13.xml" ContentType="application/vnd.ms-office.chartcolorstyle+xml"/>
  <Override PartName="/word/theme/themeOverride13.xml" ContentType="application/vnd.openxmlformats-officedocument.themeOverride+xml"/>
  <Override PartName="/word/charts/chart14.xml" ContentType="application/vnd.openxmlformats-officedocument.drawingml.chart+xml"/>
  <Override PartName="/word/charts/style14.xml" ContentType="application/vnd.ms-office.chartstyle+xml"/>
  <Override PartName="/word/charts/colors14.xml" ContentType="application/vnd.ms-office.chartcolorstyle+xml"/>
  <Override PartName="/word/theme/themeOverride14.xml" ContentType="application/vnd.openxmlformats-officedocument.themeOverride+xml"/>
  <Override PartName="/word/charts/chart15.xml" ContentType="application/vnd.openxmlformats-officedocument.drawingml.chart+xml"/>
  <Override PartName="/word/charts/style15.xml" ContentType="application/vnd.ms-office.chartstyle+xml"/>
  <Override PartName="/word/charts/colors15.xml" ContentType="application/vnd.ms-office.chartcolorstyle+xml"/>
  <Override PartName="/word/theme/themeOverride15.xml" ContentType="application/vnd.openxmlformats-officedocument.themeOverride+xml"/>
  <Override PartName="/word/charts/chart16.xml" ContentType="application/vnd.openxmlformats-officedocument.drawingml.chart+xml"/>
  <Override PartName="/word/charts/style16.xml" ContentType="application/vnd.ms-office.chartstyle+xml"/>
  <Override PartName="/word/charts/colors16.xml" ContentType="application/vnd.ms-office.chartcolorstyle+xml"/>
  <Override PartName="/word/theme/themeOverride16.xml" ContentType="application/vnd.openxmlformats-officedocument.themeOverride+xml"/>
  <Override PartName="/word/charts/chart17.xml" ContentType="application/vnd.openxmlformats-officedocument.drawingml.chart+xml"/>
  <Override PartName="/word/charts/style17.xml" ContentType="application/vnd.ms-office.chartstyle+xml"/>
  <Override PartName="/word/charts/colors17.xml" ContentType="application/vnd.ms-office.chartcolorstyle+xml"/>
  <Override PartName="/word/theme/themeOverride17.xml" ContentType="application/vnd.openxmlformats-officedocument.themeOverride+xml"/>
  <Override PartName="/word/charts/chart18.xml" ContentType="application/vnd.openxmlformats-officedocument.drawingml.chart+xml"/>
  <Override PartName="/word/charts/style18.xml" ContentType="application/vnd.ms-office.chartstyle+xml"/>
  <Override PartName="/word/charts/colors18.xml" ContentType="application/vnd.ms-office.chartcolorstyle+xml"/>
  <Override PartName="/word/theme/themeOverride18.xml" ContentType="application/vnd.openxmlformats-officedocument.themeOverride+xml"/>
  <Override PartName="/word/charts/chart19.xml" ContentType="application/vnd.openxmlformats-officedocument.drawingml.chart+xml"/>
  <Override PartName="/word/charts/style19.xml" ContentType="application/vnd.ms-office.chartstyle+xml"/>
  <Override PartName="/word/charts/colors19.xml" ContentType="application/vnd.ms-office.chartcolorstyle+xml"/>
  <Override PartName="/word/theme/themeOverride19.xml" ContentType="application/vnd.openxmlformats-officedocument.themeOverride+xml"/>
  <Override PartName="/word/charts/chart20.xml" ContentType="application/vnd.openxmlformats-officedocument.drawingml.chart+xml"/>
  <Override PartName="/word/charts/style20.xml" ContentType="application/vnd.ms-office.chartstyle+xml"/>
  <Override PartName="/word/charts/colors20.xml" ContentType="application/vnd.ms-office.chartcolorstyle+xml"/>
  <Override PartName="/word/theme/themeOverride20.xml" ContentType="application/vnd.openxmlformats-officedocument.themeOverride+xml"/>
  <Override PartName="/word/charts/chart21.xml" ContentType="application/vnd.openxmlformats-officedocument.drawingml.chart+xml"/>
  <Override PartName="/word/charts/style21.xml" ContentType="application/vnd.ms-office.chartstyle+xml"/>
  <Override PartName="/word/charts/colors21.xml" ContentType="application/vnd.ms-office.chartcolorstyle+xml"/>
  <Override PartName="/word/theme/themeOverride21.xml" ContentType="application/vnd.openxmlformats-officedocument.themeOverride+xml"/>
  <Override PartName="/word/charts/chart22.xml" ContentType="application/vnd.openxmlformats-officedocument.drawingml.chart+xml"/>
  <Override PartName="/word/charts/style22.xml" ContentType="application/vnd.ms-office.chartstyle+xml"/>
  <Override PartName="/word/charts/colors22.xml" ContentType="application/vnd.ms-office.chartcolorstyle+xml"/>
  <Override PartName="/word/theme/themeOverride22.xml" ContentType="application/vnd.openxmlformats-officedocument.themeOverride+xml"/>
  <Override PartName="/word/charts/chart23.xml" ContentType="application/vnd.openxmlformats-officedocument.drawingml.chart+xml"/>
  <Override PartName="/word/charts/style23.xml" ContentType="application/vnd.ms-office.chartstyle+xml"/>
  <Override PartName="/word/charts/colors23.xml" ContentType="application/vnd.ms-office.chartcolorstyle+xml"/>
  <Override PartName="/word/theme/themeOverride23.xml" ContentType="application/vnd.openxmlformats-officedocument.themeOverride+xml"/>
  <Override PartName="/word/charts/chart24.xml" ContentType="application/vnd.openxmlformats-officedocument.drawingml.chart+xml"/>
  <Override PartName="/word/charts/style24.xml" ContentType="application/vnd.ms-office.chartstyle+xml"/>
  <Override PartName="/word/charts/colors24.xml" ContentType="application/vnd.ms-office.chartcolorstyle+xml"/>
  <Override PartName="/word/theme/themeOverride24.xml" ContentType="application/vnd.openxmlformats-officedocument.themeOverride+xml"/>
  <Override PartName="/word/charts/chart25.xml" ContentType="application/vnd.openxmlformats-officedocument.drawingml.chart+xml"/>
  <Override PartName="/word/charts/style25.xml" ContentType="application/vnd.ms-office.chartstyle+xml"/>
  <Override PartName="/word/charts/colors25.xml" ContentType="application/vnd.ms-office.chartcolorstyle+xml"/>
  <Override PartName="/word/theme/themeOverride25.xml" ContentType="application/vnd.openxmlformats-officedocument.themeOverride+xml"/>
  <Override PartName="/word/footer3.xml" ContentType="application/vnd.openxmlformats-officedocument.wordprocessingml.footer+xml"/>
  <Override PartName="/word/footer4.xml" ContentType="application/vnd.openxmlformats-officedocument.wordprocessingml.footer+xml"/>
  <Override PartName="/word/footer5.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D7C9FAB" w14:textId="69ABFD32" w:rsidR="00B01F7E" w:rsidRPr="00212580" w:rsidRDefault="00B01F7E" w:rsidP="00B01F7E">
      <w:pPr>
        <w:spacing w:after="0" w:line="240" w:lineRule="auto"/>
        <w:ind w:left="720"/>
        <w:jc w:val="both"/>
        <w:rPr>
          <w:rFonts w:ascii="Arial" w:hAnsi="Arial" w:cs="Arial"/>
          <w:spacing w:val="-2"/>
          <w:sz w:val="24"/>
          <w:szCs w:val="24"/>
        </w:rPr>
      </w:pPr>
    </w:p>
    <w:p w14:paraId="32830588" w14:textId="35CF8371" w:rsidR="00CF54AA" w:rsidRDefault="00F04256" w:rsidP="004C626C">
      <w:pPr>
        <w:jc w:val="center"/>
        <w:rPr>
          <w:rFonts w:cstheme="minorHAnsi"/>
          <w:b/>
          <w:bCs/>
          <w:sz w:val="44"/>
          <w:szCs w:val="44"/>
        </w:rPr>
      </w:pPr>
      <w:r>
        <w:rPr>
          <w:noProof/>
          <w:sz w:val="24"/>
          <w:szCs w:val="24"/>
        </w:rPr>
        <w:drawing>
          <wp:anchor distT="0" distB="0" distL="114300" distR="114300" simplePos="0" relativeHeight="251678747" behindDoc="0" locked="0" layoutInCell="1" allowOverlap="1" wp14:anchorId="468CDCBC" wp14:editId="7C626FF9">
            <wp:simplePos x="0" y="0"/>
            <wp:positionH relativeFrom="margin">
              <wp:align>center</wp:align>
            </wp:positionH>
            <wp:positionV relativeFrom="paragraph">
              <wp:posOffset>1394753</wp:posOffset>
            </wp:positionV>
            <wp:extent cx="4642338" cy="2579077"/>
            <wp:effectExtent l="0" t="0" r="0" b="0"/>
            <wp:wrapTopAndBottom/>
            <wp:docPr id="550627749" name="Picture 2" descr="A black and yellow logo&#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50627749" name="Picture 2" descr="A black and yellow logo&#10;&#10;Description automatically generated"/>
                    <pic:cNvPicPr/>
                  </pic:nvPicPr>
                  <pic:blipFill>
                    <a:blip r:embed="rId8">
                      <a:extLst>
                        <a:ext uri="{28A0092B-C50C-407E-A947-70E740481C1C}">
                          <a14:useLocalDpi xmlns:a14="http://schemas.microsoft.com/office/drawing/2010/main" val="0"/>
                        </a:ext>
                      </a:extLst>
                    </a:blip>
                    <a:stretch>
                      <a:fillRect/>
                    </a:stretch>
                  </pic:blipFill>
                  <pic:spPr>
                    <a:xfrm>
                      <a:off x="0" y="0"/>
                      <a:ext cx="4642338" cy="2579077"/>
                    </a:xfrm>
                    <a:prstGeom prst="rect">
                      <a:avLst/>
                    </a:prstGeom>
                  </pic:spPr>
                </pic:pic>
              </a:graphicData>
            </a:graphic>
            <wp14:sizeRelH relativeFrom="page">
              <wp14:pctWidth>0</wp14:pctWidth>
            </wp14:sizeRelH>
            <wp14:sizeRelV relativeFrom="page">
              <wp14:pctHeight>0</wp14:pctHeight>
            </wp14:sizeRelV>
          </wp:anchor>
        </w:drawing>
      </w:r>
      <w:r w:rsidR="000F2C99" w:rsidRPr="00D40AAE">
        <w:rPr>
          <w:rFonts w:cstheme="minorHAnsi"/>
          <w:b/>
          <w:bCs/>
          <w:sz w:val="44"/>
          <w:szCs w:val="44"/>
        </w:rPr>
        <w:t xml:space="preserve">Investigation into the </w:t>
      </w:r>
      <w:r w:rsidR="00CB2B45">
        <w:rPr>
          <w:rFonts w:cstheme="minorHAnsi"/>
          <w:b/>
          <w:bCs/>
          <w:sz w:val="44"/>
          <w:szCs w:val="44"/>
        </w:rPr>
        <w:t>E</w:t>
      </w:r>
      <w:r w:rsidR="000F2C99" w:rsidRPr="00D40AAE">
        <w:rPr>
          <w:rFonts w:cstheme="minorHAnsi"/>
          <w:b/>
          <w:bCs/>
          <w:sz w:val="44"/>
          <w:szCs w:val="44"/>
        </w:rPr>
        <w:t xml:space="preserve">ffects of </w:t>
      </w:r>
      <w:r w:rsidR="00B84784" w:rsidRPr="00D40AAE">
        <w:rPr>
          <w:rFonts w:cstheme="minorHAnsi"/>
          <w:b/>
          <w:bCs/>
          <w:sz w:val="44"/>
          <w:szCs w:val="44"/>
        </w:rPr>
        <w:t xml:space="preserve">the </w:t>
      </w:r>
      <w:r w:rsidR="000F2C99" w:rsidRPr="00D40AAE">
        <w:rPr>
          <w:rFonts w:cstheme="minorHAnsi"/>
          <w:b/>
          <w:bCs/>
          <w:sz w:val="44"/>
          <w:szCs w:val="44"/>
        </w:rPr>
        <w:t>COVID-19</w:t>
      </w:r>
      <w:r w:rsidR="00B84784" w:rsidRPr="00D40AAE">
        <w:rPr>
          <w:rFonts w:cstheme="minorHAnsi"/>
          <w:b/>
          <w:bCs/>
          <w:sz w:val="44"/>
          <w:szCs w:val="44"/>
        </w:rPr>
        <w:t xml:space="preserve"> </w:t>
      </w:r>
      <w:r w:rsidR="00827BFA">
        <w:rPr>
          <w:rFonts w:cstheme="minorHAnsi"/>
          <w:b/>
          <w:bCs/>
          <w:sz w:val="44"/>
          <w:szCs w:val="44"/>
        </w:rPr>
        <w:t>P</w:t>
      </w:r>
      <w:r w:rsidR="00B84784" w:rsidRPr="00D40AAE">
        <w:rPr>
          <w:rFonts w:cstheme="minorHAnsi"/>
          <w:b/>
          <w:bCs/>
          <w:sz w:val="44"/>
          <w:szCs w:val="44"/>
        </w:rPr>
        <w:t>andemic</w:t>
      </w:r>
      <w:r w:rsidR="000F2C99" w:rsidRPr="00D40AAE">
        <w:rPr>
          <w:rFonts w:cstheme="minorHAnsi"/>
          <w:b/>
          <w:bCs/>
          <w:sz w:val="44"/>
          <w:szCs w:val="44"/>
        </w:rPr>
        <w:t xml:space="preserve"> on UK </w:t>
      </w:r>
      <w:r w:rsidR="00CB2B45">
        <w:rPr>
          <w:rFonts w:cstheme="minorHAnsi"/>
          <w:b/>
          <w:bCs/>
          <w:sz w:val="44"/>
          <w:szCs w:val="44"/>
        </w:rPr>
        <w:t>F</w:t>
      </w:r>
      <w:r w:rsidR="000F2C99" w:rsidRPr="00D40AAE">
        <w:rPr>
          <w:rFonts w:cstheme="minorHAnsi"/>
          <w:b/>
          <w:bCs/>
          <w:sz w:val="44"/>
          <w:szCs w:val="44"/>
        </w:rPr>
        <w:t xml:space="preserve">ocused </w:t>
      </w:r>
      <w:r w:rsidR="00F077F0">
        <w:rPr>
          <w:rFonts w:cstheme="minorHAnsi"/>
          <w:b/>
          <w:bCs/>
          <w:sz w:val="44"/>
          <w:szCs w:val="44"/>
        </w:rPr>
        <w:t>I</w:t>
      </w:r>
      <w:r w:rsidR="000F2C99" w:rsidRPr="00D40AAE">
        <w:rPr>
          <w:rFonts w:cstheme="minorHAnsi"/>
          <w:b/>
          <w:bCs/>
          <w:sz w:val="44"/>
          <w:szCs w:val="44"/>
        </w:rPr>
        <w:t xml:space="preserve">ndustries </w:t>
      </w:r>
      <w:r w:rsidR="00CB2B45">
        <w:rPr>
          <w:rFonts w:cstheme="minorHAnsi"/>
          <w:b/>
          <w:bCs/>
          <w:sz w:val="44"/>
          <w:szCs w:val="44"/>
        </w:rPr>
        <w:t>F</w:t>
      </w:r>
      <w:r w:rsidR="000F2C99" w:rsidRPr="00D40AAE">
        <w:rPr>
          <w:rFonts w:cstheme="minorHAnsi"/>
          <w:b/>
          <w:bCs/>
          <w:sz w:val="44"/>
          <w:szCs w:val="44"/>
        </w:rPr>
        <w:t xml:space="preserve">inancial </w:t>
      </w:r>
      <w:r w:rsidR="00CB2B45">
        <w:rPr>
          <w:rFonts w:cstheme="minorHAnsi"/>
          <w:b/>
          <w:bCs/>
          <w:sz w:val="44"/>
          <w:szCs w:val="44"/>
        </w:rPr>
        <w:t>P</w:t>
      </w:r>
      <w:r w:rsidR="00F077F0">
        <w:rPr>
          <w:rFonts w:cstheme="minorHAnsi"/>
          <w:b/>
          <w:bCs/>
          <w:sz w:val="44"/>
          <w:szCs w:val="44"/>
        </w:rPr>
        <w:t>er</w:t>
      </w:r>
      <w:r w:rsidR="000F2C99" w:rsidRPr="00D40AAE">
        <w:rPr>
          <w:rFonts w:cstheme="minorHAnsi"/>
          <w:b/>
          <w:bCs/>
          <w:sz w:val="44"/>
          <w:szCs w:val="44"/>
        </w:rPr>
        <w:t>formance</w:t>
      </w:r>
    </w:p>
    <w:p w14:paraId="4D083773" w14:textId="46CB6E8E" w:rsidR="00B84784" w:rsidRDefault="00B84784" w:rsidP="006E7670">
      <w:pPr>
        <w:rPr>
          <w:sz w:val="24"/>
          <w:szCs w:val="24"/>
        </w:rPr>
      </w:pPr>
    </w:p>
    <w:p w14:paraId="03FE8F64" w14:textId="4452CF68" w:rsidR="00B84784" w:rsidRPr="00F077F0" w:rsidRDefault="00D40AAE" w:rsidP="000402CF">
      <w:pPr>
        <w:jc w:val="center"/>
        <w:rPr>
          <w:b/>
          <w:bCs/>
          <w:sz w:val="28"/>
          <w:szCs w:val="28"/>
        </w:rPr>
      </w:pPr>
      <w:r w:rsidRPr="00F077F0">
        <w:rPr>
          <w:b/>
          <w:bCs/>
          <w:sz w:val="28"/>
          <w:szCs w:val="28"/>
        </w:rPr>
        <w:t>By</w:t>
      </w:r>
    </w:p>
    <w:p w14:paraId="296AF2A5" w14:textId="450A30DA" w:rsidR="00C56D67" w:rsidRPr="00F077F0" w:rsidRDefault="000F2C99" w:rsidP="000402CF">
      <w:pPr>
        <w:jc w:val="center"/>
        <w:rPr>
          <w:b/>
          <w:bCs/>
          <w:sz w:val="28"/>
          <w:szCs w:val="28"/>
        </w:rPr>
      </w:pPr>
      <w:r w:rsidRPr="00F077F0">
        <w:rPr>
          <w:b/>
          <w:bCs/>
          <w:sz w:val="28"/>
          <w:szCs w:val="28"/>
        </w:rPr>
        <w:t>Adam Vance Fetherstonhaugh</w:t>
      </w:r>
      <w:r w:rsidR="009940DB" w:rsidRPr="00F077F0">
        <w:rPr>
          <w:b/>
          <w:bCs/>
          <w:sz w:val="28"/>
          <w:szCs w:val="28"/>
        </w:rPr>
        <w:t xml:space="preserve"> BSc (Hons). MSc.</w:t>
      </w:r>
    </w:p>
    <w:p w14:paraId="09C867C2" w14:textId="77777777" w:rsidR="009940DB" w:rsidRPr="00D40AAE" w:rsidRDefault="009940DB" w:rsidP="000402CF">
      <w:pPr>
        <w:jc w:val="center"/>
        <w:rPr>
          <w:sz w:val="28"/>
          <w:szCs w:val="28"/>
        </w:rPr>
      </w:pPr>
    </w:p>
    <w:p w14:paraId="2A72761F" w14:textId="6BA932A8" w:rsidR="009940DB" w:rsidRPr="00D40AAE" w:rsidRDefault="00FB5882" w:rsidP="000402CF">
      <w:pPr>
        <w:jc w:val="center"/>
        <w:rPr>
          <w:i/>
          <w:iCs/>
          <w:sz w:val="28"/>
          <w:szCs w:val="28"/>
        </w:rPr>
      </w:pPr>
      <w:r w:rsidRPr="00D40AAE">
        <w:rPr>
          <w:i/>
          <w:iCs/>
          <w:sz w:val="28"/>
          <w:szCs w:val="28"/>
        </w:rPr>
        <w:t>A thesis submitted</w:t>
      </w:r>
      <w:r w:rsidR="00D4336E" w:rsidRPr="00D40AAE">
        <w:rPr>
          <w:i/>
          <w:iCs/>
          <w:sz w:val="28"/>
          <w:szCs w:val="28"/>
        </w:rPr>
        <w:t xml:space="preserve"> to the University of Wales Trinity S</w:t>
      </w:r>
      <w:r w:rsidR="00BA6C83">
        <w:rPr>
          <w:i/>
          <w:iCs/>
          <w:sz w:val="28"/>
          <w:szCs w:val="28"/>
        </w:rPr>
        <w:t>aint</w:t>
      </w:r>
      <w:r w:rsidR="00D4336E" w:rsidRPr="00D40AAE">
        <w:rPr>
          <w:i/>
          <w:iCs/>
          <w:sz w:val="28"/>
          <w:szCs w:val="28"/>
        </w:rPr>
        <w:t xml:space="preserve"> David</w:t>
      </w:r>
      <w:r w:rsidR="00184425" w:rsidRPr="00D40AAE">
        <w:rPr>
          <w:i/>
          <w:iCs/>
          <w:sz w:val="28"/>
          <w:szCs w:val="28"/>
        </w:rPr>
        <w:t xml:space="preserve"> in partial fulfilment</w:t>
      </w:r>
      <w:r w:rsidR="00D40AAE" w:rsidRPr="00D40AAE">
        <w:rPr>
          <w:i/>
          <w:iCs/>
          <w:sz w:val="28"/>
          <w:szCs w:val="28"/>
        </w:rPr>
        <w:t xml:space="preserve"> of the requirements</w:t>
      </w:r>
      <w:r w:rsidRPr="00D40AAE">
        <w:rPr>
          <w:i/>
          <w:iCs/>
          <w:sz w:val="28"/>
          <w:szCs w:val="28"/>
        </w:rPr>
        <w:t xml:space="preserve"> for the degree of</w:t>
      </w:r>
      <w:r w:rsidR="00D40AAE" w:rsidRPr="00D40AAE">
        <w:rPr>
          <w:i/>
          <w:iCs/>
          <w:sz w:val="28"/>
          <w:szCs w:val="28"/>
        </w:rPr>
        <w:t>:</w:t>
      </w:r>
    </w:p>
    <w:p w14:paraId="3E91B507" w14:textId="46BE1CFB" w:rsidR="00FB5882" w:rsidRPr="00D40AAE" w:rsidRDefault="00FB5882" w:rsidP="000402CF">
      <w:pPr>
        <w:jc w:val="center"/>
        <w:rPr>
          <w:i/>
          <w:iCs/>
          <w:sz w:val="28"/>
          <w:szCs w:val="28"/>
        </w:rPr>
      </w:pPr>
      <w:r w:rsidRPr="00D40AAE">
        <w:rPr>
          <w:i/>
          <w:iCs/>
          <w:sz w:val="28"/>
          <w:szCs w:val="28"/>
        </w:rPr>
        <w:t xml:space="preserve">Master of </w:t>
      </w:r>
      <w:r w:rsidR="00F763B0" w:rsidRPr="00D40AAE">
        <w:rPr>
          <w:i/>
          <w:iCs/>
          <w:sz w:val="28"/>
          <w:szCs w:val="28"/>
        </w:rPr>
        <w:t>Business Administration</w:t>
      </w:r>
    </w:p>
    <w:p w14:paraId="133E8FBD" w14:textId="31989147" w:rsidR="000402CF" w:rsidRPr="00D40AAE" w:rsidRDefault="000402CF" w:rsidP="000402CF">
      <w:pPr>
        <w:jc w:val="center"/>
        <w:rPr>
          <w:i/>
          <w:iCs/>
          <w:sz w:val="28"/>
          <w:szCs w:val="28"/>
        </w:rPr>
      </w:pPr>
      <w:r w:rsidRPr="00D40AAE">
        <w:rPr>
          <w:i/>
          <w:iCs/>
          <w:sz w:val="28"/>
          <w:szCs w:val="28"/>
        </w:rPr>
        <w:t>July 2023</w:t>
      </w:r>
    </w:p>
    <w:p w14:paraId="7F758CDB" w14:textId="77777777" w:rsidR="00CF54AA" w:rsidRDefault="00CF54AA" w:rsidP="000402CF">
      <w:pPr>
        <w:jc w:val="center"/>
        <w:rPr>
          <w:i/>
          <w:iCs/>
          <w:sz w:val="28"/>
          <w:szCs w:val="28"/>
        </w:rPr>
      </w:pPr>
    </w:p>
    <w:p w14:paraId="3794285C" w14:textId="77777777" w:rsidR="00F04256" w:rsidRPr="00D40AAE" w:rsidRDefault="00F04256" w:rsidP="000402CF">
      <w:pPr>
        <w:jc w:val="center"/>
        <w:rPr>
          <w:i/>
          <w:iCs/>
          <w:sz w:val="28"/>
          <w:szCs w:val="28"/>
        </w:rPr>
      </w:pPr>
    </w:p>
    <w:p w14:paraId="431CB8F0" w14:textId="4C99153E" w:rsidR="00F763B0" w:rsidRDefault="00F763B0" w:rsidP="000402CF">
      <w:pPr>
        <w:jc w:val="center"/>
        <w:rPr>
          <w:sz w:val="28"/>
          <w:szCs w:val="28"/>
        </w:rPr>
      </w:pPr>
      <w:r w:rsidRPr="00D40AAE">
        <w:rPr>
          <w:sz w:val="28"/>
          <w:szCs w:val="28"/>
        </w:rPr>
        <w:t>Supervising Professor:</w:t>
      </w:r>
      <w:r w:rsidR="000402CF" w:rsidRPr="00D40AAE">
        <w:rPr>
          <w:sz w:val="28"/>
          <w:szCs w:val="28"/>
        </w:rPr>
        <w:t xml:space="preserve"> Rois</w:t>
      </w:r>
      <w:r w:rsidR="00CF54AA" w:rsidRPr="00D40AAE">
        <w:rPr>
          <w:sz w:val="28"/>
          <w:szCs w:val="28"/>
        </w:rPr>
        <w:t>in Mullins</w:t>
      </w:r>
    </w:p>
    <w:p w14:paraId="5496437F" w14:textId="489A639A" w:rsidR="00F04256" w:rsidRPr="00F04256" w:rsidRDefault="00F04256" w:rsidP="000402CF">
      <w:pPr>
        <w:jc w:val="center"/>
        <w:rPr>
          <w:sz w:val="16"/>
          <w:szCs w:val="16"/>
        </w:rPr>
      </w:pPr>
      <w:r w:rsidRPr="00F04256">
        <w:rPr>
          <w:sz w:val="16"/>
          <w:szCs w:val="16"/>
        </w:rPr>
        <w:t>Word Count:</w:t>
      </w:r>
      <w:r>
        <w:rPr>
          <w:sz w:val="16"/>
          <w:szCs w:val="16"/>
        </w:rPr>
        <w:t xml:space="preserve"> </w:t>
      </w:r>
      <w:r w:rsidR="0050234B">
        <w:rPr>
          <w:sz w:val="16"/>
          <w:szCs w:val="16"/>
        </w:rPr>
        <w:t>15,582</w:t>
      </w:r>
    </w:p>
    <w:p w14:paraId="06EB6DAD" w14:textId="54F0873A" w:rsidR="00692D1F" w:rsidRPr="004F3ED3" w:rsidRDefault="004F3ED3" w:rsidP="004F3ED3">
      <w:pPr>
        <w:pStyle w:val="Heading1"/>
        <w:rPr>
          <w:color w:val="FFFFFF" w:themeColor="background1"/>
          <w:sz w:val="10"/>
          <w:szCs w:val="10"/>
        </w:rPr>
      </w:pPr>
      <w:bookmarkStart w:id="0" w:name="_Toc141646683"/>
      <w:r w:rsidRPr="004F3ED3">
        <w:rPr>
          <w:color w:val="FFFFFF" w:themeColor="background1"/>
          <w:sz w:val="10"/>
          <w:szCs w:val="10"/>
        </w:rPr>
        <w:t>Declaration and Statements</w:t>
      </w:r>
      <w:bookmarkEnd w:id="0"/>
    </w:p>
    <w:p w14:paraId="483932B2" w14:textId="4C74DD93" w:rsidR="00F86E76" w:rsidRDefault="00804BD6">
      <w:pPr>
        <w:rPr>
          <w:rFonts w:eastAsia="Times New Roman" w:cs="Times New Roman"/>
          <w:b/>
          <w:bCs/>
          <w:kern w:val="36"/>
          <w:sz w:val="24"/>
          <w:szCs w:val="24"/>
          <w:lang w:eastAsia="en-GB"/>
        </w:rPr>
      </w:pPr>
      <w:r w:rsidRPr="00804BD6">
        <w:rPr>
          <w:noProof/>
          <w:szCs w:val="24"/>
        </w:rPr>
        <w:lastRenderedPageBreak/>
        <w:drawing>
          <wp:anchor distT="0" distB="0" distL="114300" distR="114300" simplePos="0" relativeHeight="251679771" behindDoc="0" locked="0" layoutInCell="1" allowOverlap="1" wp14:anchorId="491AE7AC" wp14:editId="0FA10EAC">
            <wp:simplePos x="0" y="0"/>
            <wp:positionH relativeFrom="margin">
              <wp:posOffset>-366395</wp:posOffset>
            </wp:positionH>
            <wp:positionV relativeFrom="paragraph">
              <wp:posOffset>-366151</wp:posOffset>
            </wp:positionV>
            <wp:extent cx="6464300" cy="7490460"/>
            <wp:effectExtent l="0" t="0" r="0" b="0"/>
            <wp:wrapTopAndBottom/>
            <wp:docPr id="152052916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20529169" name=""/>
                    <pic:cNvPicPr/>
                  </pic:nvPicPr>
                  <pic:blipFill>
                    <a:blip r:embed="rId9" cstate="print">
                      <a:extLst>
                        <a:ext uri="{28A0092B-C50C-407E-A947-70E740481C1C}">
                          <a14:useLocalDpi xmlns:a14="http://schemas.microsoft.com/office/drawing/2010/main" val="0"/>
                        </a:ext>
                      </a:extLst>
                    </a:blip>
                    <a:stretch>
                      <a:fillRect/>
                    </a:stretch>
                  </pic:blipFill>
                  <pic:spPr>
                    <a:xfrm>
                      <a:off x="0" y="0"/>
                      <a:ext cx="6464300" cy="7490460"/>
                    </a:xfrm>
                    <a:prstGeom prst="rect">
                      <a:avLst/>
                    </a:prstGeom>
                  </pic:spPr>
                </pic:pic>
              </a:graphicData>
            </a:graphic>
            <wp14:sizeRelH relativeFrom="page">
              <wp14:pctWidth>0</wp14:pctWidth>
            </wp14:sizeRelH>
            <wp14:sizeRelV relativeFrom="page">
              <wp14:pctHeight>0</wp14:pctHeight>
            </wp14:sizeRelV>
          </wp:anchor>
        </w:drawing>
      </w:r>
      <w:r w:rsidR="00F86E76">
        <w:rPr>
          <w:szCs w:val="24"/>
        </w:rPr>
        <w:br w:type="page"/>
      </w:r>
    </w:p>
    <w:p w14:paraId="10DB4624" w14:textId="06823696" w:rsidR="001B61F5" w:rsidRPr="00212580" w:rsidRDefault="00CE5C03" w:rsidP="00201C5A">
      <w:pPr>
        <w:pStyle w:val="Heading1"/>
        <w:jc w:val="center"/>
        <w:rPr>
          <w:szCs w:val="24"/>
        </w:rPr>
      </w:pPr>
      <w:bookmarkStart w:id="1" w:name="_Toc141646684"/>
      <w:r w:rsidRPr="00212580">
        <w:rPr>
          <w:szCs w:val="24"/>
        </w:rPr>
        <w:lastRenderedPageBreak/>
        <w:t>Acknowledgements</w:t>
      </w:r>
      <w:bookmarkEnd w:id="1"/>
    </w:p>
    <w:p w14:paraId="20AE5CA3" w14:textId="2E4CCC4D" w:rsidR="00F16256" w:rsidRDefault="003E0373" w:rsidP="00982AFD">
      <w:pPr>
        <w:spacing w:line="360" w:lineRule="auto"/>
        <w:jc w:val="both"/>
        <w:rPr>
          <w:rFonts w:cstheme="minorHAnsi"/>
          <w:bCs/>
          <w:sz w:val="24"/>
          <w:szCs w:val="24"/>
        </w:rPr>
      </w:pPr>
      <w:r w:rsidRPr="003E0373">
        <w:rPr>
          <w:rFonts w:cstheme="minorHAnsi"/>
          <w:bCs/>
          <w:sz w:val="24"/>
          <w:szCs w:val="24"/>
        </w:rPr>
        <w:t>Firstly</w:t>
      </w:r>
      <w:r>
        <w:rPr>
          <w:rFonts w:cstheme="minorHAnsi"/>
          <w:bCs/>
          <w:sz w:val="24"/>
          <w:szCs w:val="24"/>
        </w:rPr>
        <w:t>, I would like to thank my supervisor Roisin for her insight and guidance throughout this thesis process and for putting up with delays, travel and difficult time differences that came up!</w:t>
      </w:r>
    </w:p>
    <w:p w14:paraId="03864E80" w14:textId="73EC28F2" w:rsidR="003E0373" w:rsidRDefault="003E0373" w:rsidP="00982AFD">
      <w:pPr>
        <w:spacing w:line="360" w:lineRule="auto"/>
        <w:jc w:val="both"/>
        <w:rPr>
          <w:rFonts w:cstheme="minorHAnsi"/>
          <w:bCs/>
          <w:sz w:val="24"/>
          <w:szCs w:val="24"/>
        </w:rPr>
      </w:pPr>
      <w:r>
        <w:rPr>
          <w:rFonts w:cstheme="minorHAnsi"/>
          <w:bCs/>
          <w:sz w:val="24"/>
          <w:szCs w:val="24"/>
        </w:rPr>
        <w:t xml:space="preserve">I </w:t>
      </w:r>
      <w:r w:rsidR="00EF3E6A">
        <w:rPr>
          <w:rFonts w:cstheme="minorHAnsi"/>
          <w:bCs/>
          <w:sz w:val="24"/>
          <w:szCs w:val="24"/>
        </w:rPr>
        <w:t>must</w:t>
      </w:r>
      <w:r>
        <w:rPr>
          <w:rFonts w:cstheme="minorHAnsi"/>
          <w:bCs/>
          <w:sz w:val="24"/>
          <w:szCs w:val="24"/>
        </w:rPr>
        <w:t xml:space="preserve"> thank my family for the unwavering support, and humour that it’s taken to keep me sane throughout this MBA study period. It definitely has not been an easy few years to undertake a multi-year study and they have been fantastic in helping get me through physically and emotionally.</w:t>
      </w:r>
      <w:r w:rsidR="00EF3E6A">
        <w:rPr>
          <w:rFonts w:cstheme="minorHAnsi"/>
          <w:bCs/>
          <w:sz w:val="24"/>
          <w:szCs w:val="24"/>
        </w:rPr>
        <w:t xml:space="preserve"> Mum, Dad, Craig, Sarah, Christian and Faith….</w:t>
      </w:r>
      <w:r>
        <w:rPr>
          <w:rFonts w:cstheme="minorHAnsi"/>
          <w:bCs/>
          <w:sz w:val="24"/>
          <w:szCs w:val="24"/>
        </w:rPr>
        <w:t>I promise this is the last one!</w:t>
      </w:r>
    </w:p>
    <w:p w14:paraId="0C1E7AAD" w14:textId="38F1C3DC" w:rsidR="00EA7422" w:rsidRDefault="00703A29" w:rsidP="00982AFD">
      <w:pPr>
        <w:spacing w:line="360" w:lineRule="auto"/>
        <w:jc w:val="both"/>
        <w:rPr>
          <w:rFonts w:cstheme="minorHAnsi"/>
          <w:bCs/>
          <w:sz w:val="24"/>
          <w:szCs w:val="24"/>
        </w:rPr>
      </w:pPr>
      <w:r>
        <w:rPr>
          <w:rFonts w:cstheme="minorHAnsi"/>
          <w:bCs/>
          <w:sz w:val="24"/>
          <w:szCs w:val="24"/>
        </w:rPr>
        <w:t>Ross – I wouldn’t have made it through this without someone who thinks the same way I do! Thank you for the focus and the distractions when they were needed. I owe you</w:t>
      </w:r>
      <w:r w:rsidR="00E76336">
        <w:rPr>
          <w:rFonts w:cstheme="minorHAnsi"/>
          <w:bCs/>
          <w:sz w:val="24"/>
          <w:szCs w:val="24"/>
        </w:rPr>
        <w:t xml:space="preserve"> – we’ll get you through yours now. </w:t>
      </w:r>
    </w:p>
    <w:p w14:paraId="43C375C5" w14:textId="5FC6F786" w:rsidR="008C376E" w:rsidRDefault="003E0373" w:rsidP="00982AFD">
      <w:pPr>
        <w:spacing w:line="360" w:lineRule="auto"/>
        <w:jc w:val="both"/>
        <w:rPr>
          <w:rFonts w:cstheme="minorHAnsi"/>
          <w:bCs/>
          <w:sz w:val="24"/>
          <w:szCs w:val="24"/>
        </w:rPr>
      </w:pPr>
      <w:r>
        <w:rPr>
          <w:rFonts w:cstheme="minorHAnsi"/>
          <w:bCs/>
          <w:sz w:val="24"/>
          <w:szCs w:val="24"/>
        </w:rPr>
        <w:t>A professional thank you must go out to a few people. Firstly, to everyone at Parcelforce Worldwide who pushed me towards the idea of an MBA study and being willing to find ways to support me during the early process</w:t>
      </w:r>
      <w:r w:rsidR="008C376E">
        <w:rPr>
          <w:rFonts w:cstheme="minorHAnsi"/>
          <w:bCs/>
          <w:sz w:val="24"/>
          <w:szCs w:val="24"/>
        </w:rPr>
        <w:t xml:space="preserve"> – Conor, Mervyn</w:t>
      </w:r>
      <w:r w:rsidR="00A85E73">
        <w:rPr>
          <w:rFonts w:cstheme="minorHAnsi"/>
          <w:bCs/>
          <w:sz w:val="24"/>
          <w:szCs w:val="24"/>
        </w:rPr>
        <w:t>, Sean</w:t>
      </w:r>
      <w:r w:rsidR="008C376E">
        <w:rPr>
          <w:rFonts w:cstheme="minorHAnsi"/>
          <w:bCs/>
          <w:sz w:val="24"/>
          <w:szCs w:val="24"/>
        </w:rPr>
        <w:t xml:space="preserve"> and Alison in particular</w:t>
      </w:r>
      <w:r>
        <w:rPr>
          <w:rFonts w:cstheme="minorHAnsi"/>
          <w:bCs/>
          <w:sz w:val="24"/>
          <w:szCs w:val="24"/>
        </w:rPr>
        <w:t>. Secondly to the Board of Directors at Gateway to Khmer, for giving me the opportunity to put the study into practise, and their Chairman</w:t>
      </w:r>
      <w:r w:rsidR="009938F8">
        <w:rPr>
          <w:rFonts w:cstheme="minorHAnsi"/>
          <w:bCs/>
          <w:sz w:val="24"/>
          <w:szCs w:val="24"/>
        </w:rPr>
        <w:t>,</w:t>
      </w:r>
      <w:r>
        <w:rPr>
          <w:rFonts w:cstheme="minorHAnsi"/>
          <w:bCs/>
          <w:sz w:val="24"/>
          <w:szCs w:val="24"/>
        </w:rPr>
        <w:t xml:space="preserve"> Chris Smith for supporting me through the stress and being a </w:t>
      </w:r>
      <w:r w:rsidR="005802FE">
        <w:rPr>
          <w:rFonts w:cstheme="minorHAnsi"/>
          <w:bCs/>
          <w:sz w:val="24"/>
          <w:szCs w:val="24"/>
        </w:rPr>
        <w:t xml:space="preserve">personal </w:t>
      </w:r>
      <w:r>
        <w:rPr>
          <w:rFonts w:cstheme="minorHAnsi"/>
          <w:bCs/>
          <w:sz w:val="24"/>
          <w:szCs w:val="24"/>
        </w:rPr>
        <w:t xml:space="preserve">mentor. A particular thank you goes to Louise Wallis, for keeping me (somewhat) sane for 2 years, being an ear for </w:t>
      </w:r>
      <w:r w:rsidR="008C376E">
        <w:rPr>
          <w:rFonts w:cstheme="minorHAnsi"/>
          <w:bCs/>
          <w:sz w:val="24"/>
          <w:szCs w:val="24"/>
        </w:rPr>
        <w:t xml:space="preserve">ideas, a friend to vent to and for making sure I remembered to eat during the 100-hour weeks! Lastly, a thank you to Deborah, for taking a chance and for generously giving me the support and space while asking nothing in return to see this thesis through. </w:t>
      </w:r>
    </w:p>
    <w:p w14:paraId="4AE69BBE" w14:textId="7B0C7573" w:rsidR="008C376E" w:rsidRPr="003E0373" w:rsidRDefault="008C376E" w:rsidP="00982AFD">
      <w:pPr>
        <w:spacing w:line="360" w:lineRule="auto"/>
        <w:jc w:val="both"/>
        <w:rPr>
          <w:rFonts w:cstheme="minorHAnsi"/>
          <w:bCs/>
          <w:sz w:val="24"/>
          <w:szCs w:val="24"/>
        </w:rPr>
      </w:pPr>
      <w:r>
        <w:rPr>
          <w:rFonts w:cstheme="minorHAnsi"/>
          <w:bCs/>
          <w:sz w:val="24"/>
          <w:szCs w:val="24"/>
        </w:rPr>
        <w:t xml:space="preserve">There are too many friends to list everyone on here supported and put up with the ‘absentee’ friend over the past 4 years, some are: Matthew and Melissa, Dave, Michelle, Alison, Yong, Heidi, Jenny and Chris, Gregory, Sean, Geraldine, Jacinta, Izzy and Joy. </w:t>
      </w:r>
    </w:p>
    <w:p w14:paraId="5C248BB7" w14:textId="77777777" w:rsidR="0051419A" w:rsidRPr="00212580" w:rsidRDefault="0051419A" w:rsidP="00615060">
      <w:pPr>
        <w:pStyle w:val="Heading1"/>
        <w:spacing w:line="360" w:lineRule="auto"/>
        <w:jc w:val="both"/>
        <w:rPr>
          <w:rFonts w:cstheme="minorHAnsi"/>
          <w:b w:val="0"/>
          <w:szCs w:val="24"/>
        </w:rPr>
      </w:pPr>
    </w:p>
    <w:p w14:paraId="0110D5A8" w14:textId="77777777" w:rsidR="00054909" w:rsidRPr="00212580" w:rsidRDefault="00054909" w:rsidP="00982317">
      <w:pPr>
        <w:spacing w:line="360" w:lineRule="auto"/>
        <w:jc w:val="both"/>
        <w:rPr>
          <w:sz w:val="24"/>
          <w:szCs w:val="24"/>
        </w:rPr>
      </w:pPr>
    </w:p>
    <w:p w14:paraId="7DE15044" w14:textId="77777777" w:rsidR="00CE5C03" w:rsidRPr="00212580" w:rsidRDefault="001B61F5" w:rsidP="00982317">
      <w:pPr>
        <w:spacing w:line="360" w:lineRule="auto"/>
        <w:jc w:val="both"/>
        <w:rPr>
          <w:sz w:val="24"/>
          <w:szCs w:val="24"/>
        </w:rPr>
      </w:pPr>
      <w:r w:rsidRPr="00212580">
        <w:rPr>
          <w:sz w:val="24"/>
          <w:szCs w:val="24"/>
        </w:rPr>
        <w:br w:type="page"/>
      </w:r>
    </w:p>
    <w:p w14:paraId="47D1306C" w14:textId="77777777" w:rsidR="001B61F5" w:rsidRPr="00212580" w:rsidRDefault="00CE5C03" w:rsidP="00201C5A">
      <w:pPr>
        <w:pStyle w:val="Heading1"/>
        <w:jc w:val="center"/>
        <w:rPr>
          <w:szCs w:val="24"/>
        </w:rPr>
      </w:pPr>
      <w:bookmarkStart w:id="2" w:name="_Toc141646685"/>
      <w:r w:rsidRPr="00212580">
        <w:rPr>
          <w:szCs w:val="24"/>
        </w:rPr>
        <w:lastRenderedPageBreak/>
        <w:t>Table of Contents</w:t>
      </w:r>
      <w:bookmarkEnd w:id="2"/>
    </w:p>
    <w:sdt>
      <w:sdtPr>
        <w:rPr>
          <w:rFonts w:asciiTheme="minorHAnsi" w:eastAsiaTheme="minorHAnsi" w:hAnsiTheme="minorHAnsi" w:cstheme="minorBidi"/>
          <w:b w:val="0"/>
          <w:bCs w:val="0"/>
          <w:color w:val="auto"/>
          <w:sz w:val="24"/>
          <w:szCs w:val="24"/>
          <w:lang w:val="en-GB"/>
        </w:rPr>
        <w:id w:val="60369696"/>
        <w:docPartObj>
          <w:docPartGallery w:val="Table of Contents"/>
          <w:docPartUnique/>
        </w:docPartObj>
      </w:sdtPr>
      <w:sdtContent>
        <w:p w14:paraId="3F3B7E05" w14:textId="77777777" w:rsidR="006F03CC" w:rsidRPr="00212580" w:rsidRDefault="006F03CC">
          <w:pPr>
            <w:pStyle w:val="TOCHeading"/>
            <w:rPr>
              <w:sz w:val="24"/>
              <w:szCs w:val="24"/>
            </w:rPr>
          </w:pPr>
        </w:p>
        <w:p w14:paraId="1F39E83D" w14:textId="521F2DB1" w:rsidR="0025052F" w:rsidRDefault="00BA781A">
          <w:pPr>
            <w:pStyle w:val="TOC1"/>
            <w:rPr>
              <w:rFonts w:eastAsiaTheme="minorEastAsia"/>
              <w:b w:val="0"/>
              <w:noProof/>
              <w:kern w:val="2"/>
              <w:sz w:val="24"/>
              <w:szCs w:val="24"/>
              <w:lang w:eastAsia="en-GB"/>
              <w14:ligatures w14:val="standardContextual"/>
            </w:rPr>
          </w:pPr>
          <w:r w:rsidRPr="00BC038D">
            <w:rPr>
              <w:sz w:val="24"/>
              <w:szCs w:val="24"/>
            </w:rPr>
            <w:fldChar w:fldCharType="begin"/>
          </w:r>
          <w:r w:rsidR="006F03CC" w:rsidRPr="00BC038D">
            <w:rPr>
              <w:sz w:val="24"/>
              <w:szCs w:val="24"/>
            </w:rPr>
            <w:instrText xml:space="preserve"> TOC \o "1-3" \h \z \u </w:instrText>
          </w:r>
          <w:r w:rsidRPr="00BC038D">
            <w:rPr>
              <w:sz w:val="24"/>
              <w:szCs w:val="24"/>
            </w:rPr>
            <w:fldChar w:fldCharType="separate"/>
          </w:r>
          <w:hyperlink w:anchor="_Toc141646683" w:history="1">
            <w:r w:rsidR="0025052F" w:rsidRPr="00270E73">
              <w:rPr>
                <w:rStyle w:val="Hyperlink"/>
                <w:noProof/>
              </w:rPr>
              <w:t>Declaration and Statements</w:t>
            </w:r>
            <w:r w:rsidR="0025052F">
              <w:rPr>
                <w:noProof/>
                <w:webHidden/>
              </w:rPr>
              <w:tab/>
            </w:r>
            <w:r w:rsidR="0025052F">
              <w:rPr>
                <w:noProof/>
                <w:webHidden/>
              </w:rPr>
              <w:fldChar w:fldCharType="begin"/>
            </w:r>
            <w:r w:rsidR="0025052F">
              <w:rPr>
                <w:noProof/>
                <w:webHidden/>
              </w:rPr>
              <w:instrText xml:space="preserve"> PAGEREF _Toc141646683 \h </w:instrText>
            </w:r>
            <w:r w:rsidR="0025052F">
              <w:rPr>
                <w:noProof/>
                <w:webHidden/>
              </w:rPr>
            </w:r>
            <w:r w:rsidR="0025052F">
              <w:rPr>
                <w:noProof/>
                <w:webHidden/>
              </w:rPr>
              <w:fldChar w:fldCharType="separate"/>
            </w:r>
            <w:r w:rsidR="0025052F">
              <w:rPr>
                <w:noProof/>
                <w:webHidden/>
              </w:rPr>
              <w:t>i</w:t>
            </w:r>
            <w:r w:rsidR="0025052F">
              <w:rPr>
                <w:noProof/>
                <w:webHidden/>
              </w:rPr>
              <w:fldChar w:fldCharType="end"/>
            </w:r>
          </w:hyperlink>
        </w:p>
        <w:p w14:paraId="0B8F2F60" w14:textId="7E64F4DA" w:rsidR="0025052F" w:rsidRDefault="0025052F">
          <w:pPr>
            <w:pStyle w:val="TOC1"/>
            <w:rPr>
              <w:rFonts w:eastAsiaTheme="minorEastAsia"/>
              <w:b w:val="0"/>
              <w:noProof/>
              <w:kern w:val="2"/>
              <w:sz w:val="24"/>
              <w:szCs w:val="24"/>
              <w:lang w:eastAsia="en-GB"/>
              <w14:ligatures w14:val="standardContextual"/>
            </w:rPr>
          </w:pPr>
          <w:hyperlink w:anchor="_Toc141646684" w:history="1">
            <w:r w:rsidRPr="00270E73">
              <w:rPr>
                <w:rStyle w:val="Hyperlink"/>
                <w:noProof/>
              </w:rPr>
              <w:t>Acknowledgements</w:t>
            </w:r>
            <w:r>
              <w:rPr>
                <w:noProof/>
                <w:webHidden/>
              </w:rPr>
              <w:tab/>
            </w:r>
            <w:r>
              <w:rPr>
                <w:noProof/>
                <w:webHidden/>
              </w:rPr>
              <w:fldChar w:fldCharType="begin"/>
            </w:r>
            <w:r>
              <w:rPr>
                <w:noProof/>
                <w:webHidden/>
              </w:rPr>
              <w:instrText xml:space="preserve"> PAGEREF _Toc141646684 \h </w:instrText>
            </w:r>
            <w:r>
              <w:rPr>
                <w:noProof/>
                <w:webHidden/>
              </w:rPr>
            </w:r>
            <w:r>
              <w:rPr>
                <w:noProof/>
                <w:webHidden/>
              </w:rPr>
              <w:fldChar w:fldCharType="separate"/>
            </w:r>
            <w:r>
              <w:rPr>
                <w:noProof/>
                <w:webHidden/>
              </w:rPr>
              <w:t>iii</w:t>
            </w:r>
            <w:r>
              <w:rPr>
                <w:noProof/>
                <w:webHidden/>
              </w:rPr>
              <w:fldChar w:fldCharType="end"/>
            </w:r>
          </w:hyperlink>
        </w:p>
        <w:p w14:paraId="0F1926BB" w14:textId="6B582E80" w:rsidR="0025052F" w:rsidRDefault="0025052F">
          <w:pPr>
            <w:pStyle w:val="TOC1"/>
            <w:rPr>
              <w:rFonts w:eastAsiaTheme="minorEastAsia"/>
              <w:b w:val="0"/>
              <w:noProof/>
              <w:kern w:val="2"/>
              <w:sz w:val="24"/>
              <w:szCs w:val="24"/>
              <w:lang w:eastAsia="en-GB"/>
              <w14:ligatures w14:val="standardContextual"/>
            </w:rPr>
          </w:pPr>
          <w:hyperlink w:anchor="_Toc141646685" w:history="1">
            <w:r w:rsidRPr="00270E73">
              <w:rPr>
                <w:rStyle w:val="Hyperlink"/>
                <w:noProof/>
              </w:rPr>
              <w:t>Table of Contents</w:t>
            </w:r>
            <w:r>
              <w:rPr>
                <w:noProof/>
                <w:webHidden/>
              </w:rPr>
              <w:tab/>
            </w:r>
            <w:r>
              <w:rPr>
                <w:noProof/>
                <w:webHidden/>
              </w:rPr>
              <w:fldChar w:fldCharType="begin"/>
            </w:r>
            <w:r>
              <w:rPr>
                <w:noProof/>
                <w:webHidden/>
              </w:rPr>
              <w:instrText xml:space="preserve"> PAGEREF _Toc141646685 \h </w:instrText>
            </w:r>
            <w:r>
              <w:rPr>
                <w:noProof/>
                <w:webHidden/>
              </w:rPr>
            </w:r>
            <w:r>
              <w:rPr>
                <w:noProof/>
                <w:webHidden/>
              </w:rPr>
              <w:fldChar w:fldCharType="separate"/>
            </w:r>
            <w:r>
              <w:rPr>
                <w:noProof/>
                <w:webHidden/>
              </w:rPr>
              <w:t>iv</w:t>
            </w:r>
            <w:r>
              <w:rPr>
                <w:noProof/>
                <w:webHidden/>
              </w:rPr>
              <w:fldChar w:fldCharType="end"/>
            </w:r>
          </w:hyperlink>
        </w:p>
        <w:p w14:paraId="52EF97E5" w14:textId="39429850" w:rsidR="0025052F" w:rsidRDefault="0025052F">
          <w:pPr>
            <w:pStyle w:val="TOC1"/>
            <w:rPr>
              <w:rFonts w:eastAsiaTheme="minorEastAsia"/>
              <w:b w:val="0"/>
              <w:noProof/>
              <w:kern w:val="2"/>
              <w:sz w:val="24"/>
              <w:szCs w:val="24"/>
              <w:lang w:eastAsia="en-GB"/>
              <w14:ligatures w14:val="standardContextual"/>
            </w:rPr>
          </w:pPr>
          <w:hyperlink w:anchor="_Toc141646686" w:history="1">
            <w:r w:rsidRPr="00270E73">
              <w:rPr>
                <w:rStyle w:val="Hyperlink"/>
                <w:noProof/>
              </w:rPr>
              <w:t>Index of Figures</w:t>
            </w:r>
            <w:r>
              <w:rPr>
                <w:noProof/>
                <w:webHidden/>
              </w:rPr>
              <w:tab/>
            </w:r>
            <w:r>
              <w:rPr>
                <w:noProof/>
                <w:webHidden/>
              </w:rPr>
              <w:fldChar w:fldCharType="begin"/>
            </w:r>
            <w:r>
              <w:rPr>
                <w:noProof/>
                <w:webHidden/>
              </w:rPr>
              <w:instrText xml:space="preserve"> PAGEREF _Toc141646686 \h </w:instrText>
            </w:r>
            <w:r>
              <w:rPr>
                <w:noProof/>
                <w:webHidden/>
              </w:rPr>
            </w:r>
            <w:r>
              <w:rPr>
                <w:noProof/>
                <w:webHidden/>
              </w:rPr>
              <w:fldChar w:fldCharType="separate"/>
            </w:r>
            <w:r>
              <w:rPr>
                <w:noProof/>
                <w:webHidden/>
              </w:rPr>
              <w:t>vii</w:t>
            </w:r>
            <w:r>
              <w:rPr>
                <w:noProof/>
                <w:webHidden/>
              </w:rPr>
              <w:fldChar w:fldCharType="end"/>
            </w:r>
          </w:hyperlink>
        </w:p>
        <w:p w14:paraId="4CA2FC5D" w14:textId="4D619CBD" w:rsidR="0025052F" w:rsidRDefault="0025052F">
          <w:pPr>
            <w:pStyle w:val="TOC1"/>
            <w:rPr>
              <w:rFonts w:eastAsiaTheme="minorEastAsia"/>
              <w:b w:val="0"/>
              <w:noProof/>
              <w:kern w:val="2"/>
              <w:sz w:val="24"/>
              <w:szCs w:val="24"/>
              <w:lang w:eastAsia="en-GB"/>
              <w14:ligatures w14:val="standardContextual"/>
            </w:rPr>
          </w:pPr>
          <w:hyperlink w:anchor="_Toc141646687" w:history="1">
            <w:r w:rsidRPr="00270E73">
              <w:rPr>
                <w:rStyle w:val="Hyperlink"/>
                <w:noProof/>
              </w:rPr>
              <w:t>Index of Tables</w:t>
            </w:r>
            <w:r>
              <w:rPr>
                <w:noProof/>
                <w:webHidden/>
              </w:rPr>
              <w:tab/>
            </w:r>
            <w:r>
              <w:rPr>
                <w:noProof/>
                <w:webHidden/>
              </w:rPr>
              <w:fldChar w:fldCharType="begin"/>
            </w:r>
            <w:r>
              <w:rPr>
                <w:noProof/>
                <w:webHidden/>
              </w:rPr>
              <w:instrText xml:space="preserve"> PAGEREF _Toc141646687 \h </w:instrText>
            </w:r>
            <w:r>
              <w:rPr>
                <w:noProof/>
                <w:webHidden/>
              </w:rPr>
            </w:r>
            <w:r>
              <w:rPr>
                <w:noProof/>
                <w:webHidden/>
              </w:rPr>
              <w:fldChar w:fldCharType="separate"/>
            </w:r>
            <w:r>
              <w:rPr>
                <w:noProof/>
                <w:webHidden/>
              </w:rPr>
              <w:t>ix</w:t>
            </w:r>
            <w:r>
              <w:rPr>
                <w:noProof/>
                <w:webHidden/>
              </w:rPr>
              <w:fldChar w:fldCharType="end"/>
            </w:r>
          </w:hyperlink>
        </w:p>
        <w:p w14:paraId="23B86343" w14:textId="544593D4" w:rsidR="0025052F" w:rsidRDefault="0025052F">
          <w:pPr>
            <w:pStyle w:val="TOC1"/>
            <w:rPr>
              <w:rFonts w:eastAsiaTheme="minorEastAsia"/>
              <w:b w:val="0"/>
              <w:noProof/>
              <w:kern w:val="2"/>
              <w:sz w:val="24"/>
              <w:szCs w:val="24"/>
              <w:lang w:eastAsia="en-GB"/>
              <w14:ligatures w14:val="standardContextual"/>
            </w:rPr>
          </w:pPr>
          <w:hyperlink w:anchor="_Toc141646688" w:history="1">
            <w:r w:rsidRPr="00270E73">
              <w:rPr>
                <w:rStyle w:val="Hyperlink"/>
                <w:noProof/>
              </w:rPr>
              <w:t>Abstract</w:t>
            </w:r>
            <w:r>
              <w:rPr>
                <w:noProof/>
                <w:webHidden/>
              </w:rPr>
              <w:tab/>
            </w:r>
            <w:r>
              <w:rPr>
                <w:noProof/>
                <w:webHidden/>
              </w:rPr>
              <w:fldChar w:fldCharType="begin"/>
            </w:r>
            <w:r>
              <w:rPr>
                <w:noProof/>
                <w:webHidden/>
              </w:rPr>
              <w:instrText xml:space="preserve"> PAGEREF _Toc141646688 \h </w:instrText>
            </w:r>
            <w:r>
              <w:rPr>
                <w:noProof/>
                <w:webHidden/>
              </w:rPr>
            </w:r>
            <w:r>
              <w:rPr>
                <w:noProof/>
                <w:webHidden/>
              </w:rPr>
              <w:fldChar w:fldCharType="separate"/>
            </w:r>
            <w:r>
              <w:rPr>
                <w:noProof/>
                <w:webHidden/>
              </w:rPr>
              <w:t>1</w:t>
            </w:r>
            <w:r>
              <w:rPr>
                <w:noProof/>
                <w:webHidden/>
              </w:rPr>
              <w:fldChar w:fldCharType="end"/>
            </w:r>
          </w:hyperlink>
        </w:p>
        <w:p w14:paraId="73C4D542" w14:textId="6B006C0C" w:rsidR="0025052F" w:rsidRDefault="0025052F">
          <w:pPr>
            <w:pStyle w:val="TOC1"/>
            <w:tabs>
              <w:tab w:val="left" w:pos="440"/>
            </w:tabs>
            <w:rPr>
              <w:rFonts w:eastAsiaTheme="minorEastAsia"/>
              <w:b w:val="0"/>
              <w:noProof/>
              <w:kern w:val="2"/>
              <w:sz w:val="24"/>
              <w:szCs w:val="24"/>
              <w:lang w:eastAsia="en-GB"/>
              <w14:ligatures w14:val="standardContextual"/>
            </w:rPr>
          </w:pPr>
          <w:hyperlink w:anchor="_Toc141646689" w:history="1">
            <w:r w:rsidRPr="00270E73">
              <w:rPr>
                <w:rStyle w:val="Hyperlink"/>
                <w:noProof/>
              </w:rPr>
              <w:t>1.</w:t>
            </w:r>
            <w:r>
              <w:rPr>
                <w:rFonts w:eastAsiaTheme="minorEastAsia"/>
                <w:b w:val="0"/>
                <w:noProof/>
                <w:kern w:val="2"/>
                <w:sz w:val="24"/>
                <w:szCs w:val="24"/>
                <w:lang w:eastAsia="en-GB"/>
                <w14:ligatures w14:val="standardContextual"/>
              </w:rPr>
              <w:tab/>
            </w:r>
            <w:r w:rsidRPr="00270E73">
              <w:rPr>
                <w:rStyle w:val="Hyperlink"/>
                <w:noProof/>
              </w:rPr>
              <w:t>Introduction</w:t>
            </w:r>
            <w:r>
              <w:rPr>
                <w:noProof/>
                <w:webHidden/>
              </w:rPr>
              <w:tab/>
            </w:r>
            <w:r>
              <w:rPr>
                <w:noProof/>
                <w:webHidden/>
              </w:rPr>
              <w:fldChar w:fldCharType="begin"/>
            </w:r>
            <w:r>
              <w:rPr>
                <w:noProof/>
                <w:webHidden/>
              </w:rPr>
              <w:instrText xml:space="preserve"> PAGEREF _Toc141646689 \h </w:instrText>
            </w:r>
            <w:r>
              <w:rPr>
                <w:noProof/>
                <w:webHidden/>
              </w:rPr>
            </w:r>
            <w:r>
              <w:rPr>
                <w:noProof/>
                <w:webHidden/>
              </w:rPr>
              <w:fldChar w:fldCharType="separate"/>
            </w:r>
            <w:r>
              <w:rPr>
                <w:noProof/>
                <w:webHidden/>
              </w:rPr>
              <w:t>2</w:t>
            </w:r>
            <w:r>
              <w:rPr>
                <w:noProof/>
                <w:webHidden/>
              </w:rPr>
              <w:fldChar w:fldCharType="end"/>
            </w:r>
          </w:hyperlink>
        </w:p>
        <w:p w14:paraId="61362F99" w14:textId="3B4EDCFA" w:rsidR="0025052F" w:rsidRDefault="0025052F">
          <w:pPr>
            <w:pStyle w:val="TOC2"/>
            <w:tabs>
              <w:tab w:val="left" w:pos="960"/>
              <w:tab w:val="right" w:leader="dot" w:pos="9016"/>
            </w:tabs>
            <w:rPr>
              <w:noProof/>
              <w:kern w:val="2"/>
              <w:sz w:val="24"/>
              <w:szCs w:val="24"/>
              <w:lang w:val="en-GB" w:eastAsia="en-GB"/>
              <w14:ligatures w14:val="standardContextual"/>
            </w:rPr>
          </w:pPr>
          <w:hyperlink w:anchor="_Toc141646690" w:history="1">
            <w:r w:rsidRPr="00270E73">
              <w:rPr>
                <w:rStyle w:val="Hyperlink"/>
                <w:noProof/>
              </w:rPr>
              <w:t>1.1.</w:t>
            </w:r>
            <w:r>
              <w:rPr>
                <w:noProof/>
                <w:kern w:val="2"/>
                <w:sz w:val="24"/>
                <w:szCs w:val="24"/>
                <w:lang w:val="en-GB" w:eastAsia="en-GB"/>
                <w14:ligatures w14:val="standardContextual"/>
              </w:rPr>
              <w:tab/>
            </w:r>
            <w:r w:rsidRPr="00270E73">
              <w:rPr>
                <w:rStyle w:val="Hyperlink"/>
                <w:noProof/>
              </w:rPr>
              <w:t>Study Foundation</w:t>
            </w:r>
            <w:r>
              <w:rPr>
                <w:noProof/>
                <w:webHidden/>
              </w:rPr>
              <w:tab/>
            </w:r>
            <w:r>
              <w:rPr>
                <w:noProof/>
                <w:webHidden/>
              </w:rPr>
              <w:fldChar w:fldCharType="begin"/>
            </w:r>
            <w:r>
              <w:rPr>
                <w:noProof/>
                <w:webHidden/>
              </w:rPr>
              <w:instrText xml:space="preserve"> PAGEREF _Toc141646690 \h </w:instrText>
            </w:r>
            <w:r>
              <w:rPr>
                <w:noProof/>
                <w:webHidden/>
              </w:rPr>
            </w:r>
            <w:r>
              <w:rPr>
                <w:noProof/>
                <w:webHidden/>
              </w:rPr>
              <w:fldChar w:fldCharType="separate"/>
            </w:r>
            <w:r>
              <w:rPr>
                <w:noProof/>
                <w:webHidden/>
              </w:rPr>
              <w:t>2</w:t>
            </w:r>
            <w:r>
              <w:rPr>
                <w:noProof/>
                <w:webHidden/>
              </w:rPr>
              <w:fldChar w:fldCharType="end"/>
            </w:r>
          </w:hyperlink>
        </w:p>
        <w:p w14:paraId="76CCECB3" w14:textId="0579C8BF" w:rsidR="0025052F" w:rsidRDefault="0025052F">
          <w:pPr>
            <w:pStyle w:val="TOC2"/>
            <w:tabs>
              <w:tab w:val="left" w:pos="960"/>
              <w:tab w:val="right" w:leader="dot" w:pos="9016"/>
            </w:tabs>
            <w:rPr>
              <w:noProof/>
              <w:kern w:val="2"/>
              <w:sz w:val="24"/>
              <w:szCs w:val="24"/>
              <w:lang w:val="en-GB" w:eastAsia="en-GB"/>
              <w14:ligatures w14:val="standardContextual"/>
            </w:rPr>
          </w:pPr>
          <w:hyperlink w:anchor="_Toc141646691" w:history="1">
            <w:r w:rsidRPr="00270E73">
              <w:rPr>
                <w:rStyle w:val="Hyperlink"/>
                <w:noProof/>
              </w:rPr>
              <w:t>1.2.</w:t>
            </w:r>
            <w:r>
              <w:rPr>
                <w:noProof/>
                <w:kern w:val="2"/>
                <w:sz w:val="24"/>
                <w:szCs w:val="24"/>
                <w:lang w:val="en-GB" w:eastAsia="en-GB"/>
                <w14:ligatures w14:val="standardContextual"/>
              </w:rPr>
              <w:tab/>
            </w:r>
            <w:r w:rsidRPr="00270E73">
              <w:rPr>
                <w:rStyle w:val="Hyperlink"/>
                <w:noProof/>
              </w:rPr>
              <w:t>Research Question</w:t>
            </w:r>
            <w:r>
              <w:rPr>
                <w:noProof/>
                <w:webHidden/>
              </w:rPr>
              <w:tab/>
            </w:r>
            <w:r>
              <w:rPr>
                <w:noProof/>
                <w:webHidden/>
              </w:rPr>
              <w:fldChar w:fldCharType="begin"/>
            </w:r>
            <w:r>
              <w:rPr>
                <w:noProof/>
                <w:webHidden/>
              </w:rPr>
              <w:instrText xml:space="preserve"> PAGEREF _Toc141646691 \h </w:instrText>
            </w:r>
            <w:r>
              <w:rPr>
                <w:noProof/>
                <w:webHidden/>
              </w:rPr>
            </w:r>
            <w:r>
              <w:rPr>
                <w:noProof/>
                <w:webHidden/>
              </w:rPr>
              <w:fldChar w:fldCharType="separate"/>
            </w:r>
            <w:r>
              <w:rPr>
                <w:noProof/>
                <w:webHidden/>
              </w:rPr>
              <w:t>4</w:t>
            </w:r>
            <w:r>
              <w:rPr>
                <w:noProof/>
                <w:webHidden/>
              </w:rPr>
              <w:fldChar w:fldCharType="end"/>
            </w:r>
          </w:hyperlink>
        </w:p>
        <w:p w14:paraId="2EA1935A" w14:textId="553E1748" w:rsidR="0025052F" w:rsidRDefault="0025052F">
          <w:pPr>
            <w:pStyle w:val="TOC2"/>
            <w:tabs>
              <w:tab w:val="left" w:pos="960"/>
              <w:tab w:val="right" w:leader="dot" w:pos="9016"/>
            </w:tabs>
            <w:rPr>
              <w:noProof/>
              <w:kern w:val="2"/>
              <w:sz w:val="24"/>
              <w:szCs w:val="24"/>
              <w:lang w:val="en-GB" w:eastAsia="en-GB"/>
              <w14:ligatures w14:val="standardContextual"/>
            </w:rPr>
          </w:pPr>
          <w:hyperlink w:anchor="_Toc141646692" w:history="1">
            <w:r w:rsidRPr="00270E73">
              <w:rPr>
                <w:rStyle w:val="Hyperlink"/>
                <w:noProof/>
              </w:rPr>
              <w:t>1.3.</w:t>
            </w:r>
            <w:r>
              <w:rPr>
                <w:noProof/>
                <w:kern w:val="2"/>
                <w:sz w:val="24"/>
                <w:szCs w:val="24"/>
                <w:lang w:val="en-GB" w:eastAsia="en-GB"/>
                <w14:ligatures w14:val="standardContextual"/>
              </w:rPr>
              <w:tab/>
            </w:r>
            <w:r w:rsidRPr="00270E73">
              <w:rPr>
                <w:rStyle w:val="Hyperlink"/>
                <w:noProof/>
              </w:rPr>
              <w:t>Study Aim</w:t>
            </w:r>
            <w:r>
              <w:rPr>
                <w:noProof/>
                <w:webHidden/>
              </w:rPr>
              <w:tab/>
            </w:r>
            <w:r>
              <w:rPr>
                <w:noProof/>
                <w:webHidden/>
              </w:rPr>
              <w:fldChar w:fldCharType="begin"/>
            </w:r>
            <w:r>
              <w:rPr>
                <w:noProof/>
                <w:webHidden/>
              </w:rPr>
              <w:instrText xml:space="preserve"> PAGEREF _Toc141646692 \h </w:instrText>
            </w:r>
            <w:r>
              <w:rPr>
                <w:noProof/>
                <w:webHidden/>
              </w:rPr>
            </w:r>
            <w:r>
              <w:rPr>
                <w:noProof/>
                <w:webHidden/>
              </w:rPr>
              <w:fldChar w:fldCharType="separate"/>
            </w:r>
            <w:r>
              <w:rPr>
                <w:noProof/>
                <w:webHidden/>
              </w:rPr>
              <w:t>5</w:t>
            </w:r>
            <w:r>
              <w:rPr>
                <w:noProof/>
                <w:webHidden/>
              </w:rPr>
              <w:fldChar w:fldCharType="end"/>
            </w:r>
          </w:hyperlink>
        </w:p>
        <w:p w14:paraId="079EB4FF" w14:textId="7678C281" w:rsidR="0025052F" w:rsidRDefault="0025052F">
          <w:pPr>
            <w:pStyle w:val="TOC2"/>
            <w:tabs>
              <w:tab w:val="left" w:pos="960"/>
              <w:tab w:val="right" w:leader="dot" w:pos="9016"/>
            </w:tabs>
            <w:rPr>
              <w:noProof/>
              <w:kern w:val="2"/>
              <w:sz w:val="24"/>
              <w:szCs w:val="24"/>
              <w:lang w:val="en-GB" w:eastAsia="en-GB"/>
              <w14:ligatures w14:val="standardContextual"/>
            </w:rPr>
          </w:pPr>
          <w:hyperlink w:anchor="_Toc141646693" w:history="1">
            <w:r w:rsidRPr="00270E73">
              <w:rPr>
                <w:rStyle w:val="Hyperlink"/>
                <w:noProof/>
              </w:rPr>
              <w:t>1.4.</w:t>
            </w:r>
            <w:r>
              <w:rPr>
                <w:noProof/>
                <w:kern w:val="2"/>
                <w:sz w:val="24"/>
                <w:szCs w:val="24"/>
                <w:lang w:val="en-GB" w:eastAsia="en-GB"/>
                <w14:ligatures w14:val="standardContextual"/>
              </w:rPr>
              <w:tab/>
            </w:r>
            <w:r w:rsidRPr="00270E73">
              <w:rPr>
                <w:rStyle w:val="Hyperlink"/>
                <w:noProof/>
              </w:rPr>
              <w:t>Study Objectives</w:t>
            </w:r>
            <w:r>
              <w:rPr>
                <w:noProof/>
                <w:webHidden/>
              </w:rPr>
              <w:tab/>
            </w:r>
            <w:r>
              <w:rPr>
                <w:noProof/>
                <w:webHidden/>
              </w:rPr>
              <w:fldChar w:fldCharType="begin"/>
            </w:r>
            <w:r>
              <w:rPr>
                <w:noProof/>
                <w:webHidden/>
              </w:rPr>
              <w:instrText xml:space="preserve"> PAGEREF _Toc141646693 \h </w:instrText>
            </w:r>
            <w:r>
              <w:rPr>
                <w:noProof/>
                <w:webHidden/>
              </w:rPr>
            </w:r>
            <w:r>
              <w:rPr>
                <w:noProof/>
                <w:webHidden/>
              </w:rPr>
              <w:fldChar w:fldCharType="separate"/>
            </w:r>
            <w:r>
              <w:rPr>
                <w:noProof/>
                <w:webHidden/>
              </w:rPr>
              <w:t>5</w:t>
            </w:r>
            <w:r>
              <w:rPr>
                <w:noProof/>
                <w:webHidden/>
              </w:rPr>
              <w:fldChar w:fldCharType="end"/>
            </w:r>
          </w:hyperlink>
        </w:p>
        <w:p w14:paraId="6E92512F" w14:textId="1E5AE736" w:rsidR="0025052F" w:rsidRDefault="0025052F">
          <w:pPr>
            <w:pStyle w:val="TOC1"/>
            <w:tabs>
              <w:tab w:val="left" w:pos="440"/>
            </w:tabs>
            <w:rPr>
              <w:rFonts w:eastAsiaTheme="minorEastAsia"/>
              <w:b w:val="0"/>
              <w:noProof/>
              <w:kern w:val="2"/>
              <w:sz w:val="24"/>
              <w:szCs w:val="24"/>
              <w:lang w:eastAsia="en-GB"/>
              <w14:ligatures w14:val="standardContextual"/>
            </w:rPr>
          </w:pPr>
          <w:hyperlink w:anchor="_Toc141646694" w:history="1">
            <w:r w:rsidRPr="00270E73">
              <w:rPr>
                <w:rStyle w:val="Hyperlink"/>
                <w:noProof/>
              </w:rPr>
              <w:t>2.</w:t>
            </w:r>
            <w:r>
              <w:rPr>
                <w:rFonts w:eastAsiaTheme="minorEastAsia"/>
                <w:b w:val="0"/>
                <w:noProof/>
                <w:kern w:val="2"/>
                <w:sz w:val="24"/>
                <w:szCs w:val="24"/>
                <w:lang w:eastAsia="en-GB"/>
                <w14:ligatures w14:val="standardContextual"/>
              </w:rPr>
              <w:tab/>
            </w:r>
            <w:r w:rsidRPr="00270E73">
              <w:rPr>
                <w:rStyle w:val="Hyperlink"/>
                <w:noProof/>
              </w:rPr>
              <w:t>Literature Review</w:t>
            </w:r>
            <w:r>
              <w:rPr>
                <w:noProof/>
                <w:webHidden/>
              </w:rPr>
              <w:tab/>
            </w:r>
            <w:r>
              <w:rPr>
                <w:noProof/>
                <w:webHidden/>
              </w:rPr>
              <w:fldChar w:fldCharType="begin"/>
            </w:r>
            <w:r>
              <w:rPr>
                <w:noProof/>
                <w:webHidden/>
              </w:rPr>
              <w:instrText xml:space="preserve"> PAGEREF _Toc141646694 \h </w:instrText>
            </w:r>
            <w:r>
              <w:rPr>
                <w:noProof/>
                <w:webHidden/>
              </w:rPr>
            </w:r>
            <w:r>
              <w:rPr>
                <w:noProof/>
                <w:webHidden/>
              </w:rPr>
              <w:fldChar w:fldCharType="separate"/>
            </w:r>
            <w:r>
              <w:rPr>
                <w:noProof/>
                <w:webHidden/>
              </w:rPr>
              <w:t>6</w:t>
            </w:r>
            <w:r>
              <w:rPr>
                <w:noProof/>
                <w:webHidden/>
              </w:rPr>
              <w:fldChar w:fldCharType="end"/>
            </w:r>
          </w:hyperlink>
        </w:p>
        <w:p w14:paraId="7E415AE7" w14:textId="7C453D9B" w:rsidR="0025052F" w:rsidRDefault="0025052F">
          <w:pPr>
            <w:pStyle w:val="TOC2"/>
            <w:tabs>
              <w:tab w:val="left" w:pos="960"/>
              <w:tab w:val="right" w:leader="dot" w:pos="9016"/>
            </w:tabs>
            <w:rPr>
              <w:noProof/>
              <w:kern w:val="2"/>
              <w:sz w:val="24"/>
              <w:szCs w:val="24"/>
              <w:lang w:val="en-GB" w:eastAsia="en-GB"/>
              <w14:ligatures w14:val="standardContextual"/>
            </w:rPr>
          </w:pPr>
          <w:hyperlink w:anchor="_Toc141646695" w:history="1">
            <w:r w:rsidRPr="00270E73">
              <w:rPr>
                <w:rStyle w:val="Hyperlink"/>
                <w:noProof/>
              </w:rPr>
              <w:t>2.1.</w:t>
            </w:r>
            <w:r>
              <w:rPr>
                <w:noProof/>
                <w:kern w:val="2"/>
                <w:sz w:val="24"/>
                <w:szCs w:val="24"/>
                <w:lang w:val="en-GB" w:eastAsia="en-GB"/>
                <w14:ligatures w14:val="standardContextual"/>
              </w:rPr>
              <w:tab/>
            </w:r>
            <w:r w:rsidRPr="00270E73">
              <w:rPr>
                <w:rStyle w:val="Hyperlink"/>
                <w:noProof/>
              </w:rPr>
              <w:t>Impact of Economic Conditions on Stock Markets</w:t>
            </w:r>
            <w:r>
              <w:rPr>
                <w:noProof/>
                <w:webHidden/>
              </w:rPr>
              <w:tab/>
            </w:r>
            <w:r>
              <w:rPr>
                <w:noProof/>
                <w:webHidden/>
              </w:rPr>
              <w:fldChar w:fldCharType="begin"/>
            </w:r>
            <w:r>
              <w:rPr>
                <w:noProof/>
                <w:webHidden/>
              </w:rPr>
              <w:instrText xml:space="preserve"> PAGEREF _Toc141646695 \h </w:instrText>
            </w:r>
            <w:r>
              <w:rPr>
                <w:noProof/>
                <w:webHidden/>
              </w:rPr>
            </w:r>
            <w:r>
              <w:rPr>
                <w:noProof/>
                <w:webHidden/>
              </w:rPr>
              <w:fldChar w:fldCharType="separate"/>
            </w:r>
            <w:r>
              <w:rPr>
                <w:noProof/>
                <w:webHidden/>
              </w:rPr>
              <w:t>6</w:t>
            </w:r>
            <w:r>
              <w:rPr>
                <w:noProof/>
                <w:webHidden/>
              </w:rPr>
              <w:fldChar w:fldCharType="end"/>
            </w:r>
          </w:hyperlink>
        </w:p>
        <w:p w14:paraId="2C49403D" w14:textId="1C65280F" w:rsidR="0025052F" w:rsidRDefault="0025052F">
          <w:pPr>
            <w:pStyle w:val="TOC2"/>
            <w:tabs>
              <w:tab w:val="left" w:pos="960"/>
              <w:tab w:val="right" w:leader="dot" w:pos="9016"/>
            </w:tabs>
            <w:rPr>
              <w:noProof/>
              <w:kern w:val="2"/>
              <w:sz w:val="24"/>
              <w:szCs w:val="24"/>
              <w:lang w:val="en-GB" w:eastAsia="en-GB"/>
              <w14:ligatures w14:val="standardContextual"/>
            </w:rPr>
          </w:pPr>
          <w:hyperlink w:anchor="_Toc141646696" w:history="1">
            <w:r w:rsidRPr="00270E73">
              <w:rPr>
                <w:rStyle w:val="Hyperlink"/>
                <w:noProof/>
              </w:rPr>
              <w:t>2.2.</w:t>
            </w:r>
            <w:r>
              <w:rPr>
                <w:noProof/>
                <w:kern w:val="2"/>
                <w:sz w:val="24"/>
                <w:szCs w:val="24"/>
                <w:lang w:val="en-GB" w:eastAsia="en-GB"/>
                <w14:ligatures w14:val="standardContextual"/>
              </w:rPr>
              <w:tab/>
            </w:r>
            <w:r w:rsidRPr="00270E73">
              <w:rPr>
                <w:rStyle w:val="Hyperlink"/>
                <w:rFonts w:cstheme="minorHAnsi"/>
                <w:noProof/>
              </w:rPr>
              <w:t>Types of Financial Analysis</w:t>
            </w:r>
            <w:r>
              <w:rPr>
                <w:noProof/>
                <w:webHidden/>
              </w:rPr>
              <w:tab/>
            </w:r>
            <w:r>
              <w:rPr>
                <w:noProof/>
                <w:webHidden/>
              </w:rPr>
              <w:fldChar w:fldCharType="begin"/>
            </w:r>
            <w:r>
              <w:rPr>
                <w:noProof/>
                <w:webHidden/>
              </w:rPr>
              <w:instrText xml:space="preserve"> PAGEREF _Toc141646696 \h </w:instrText>
            </w:r>
            <w:r>
              <w:rPr>
                <w:noProof/>
                <w:webHidden/>
              </w:rPr>
            </w:r>
            <w:r>
              <w:rPr>
                <w:noProof/>
                <w:webHidden/>
              </w:rPr>
              <w:fldChar w:fldCharType="separate"/>
            </w:r>
            <w:r>
              <w:rPr>
                <w:noProof/>
                <w:webHidden/>
              </w:rPr>
              <w:t>7</w:t>
            </w:r>
            <w:r>
              <w:rPr>
                <w:noProof/>
                <w:webHidden/>
              </w:rPr>
              <w:fldChar w:fldCharType="end"/>
            </w:r>
          </w:hyperlink>
        </w:p>
        <w:p w14:paraId="1132226E" w14:textId="5D088090" w:rsidR="0025052F" w:rsidRDefault="0025052F">
          <w:pPr>
            <w:pStyle w:val="TOC2"/>
            <w:tabs>
              <w:tab w:val="left" w:pos="960"/>
              <w:tab w:val="right" w:leader="dot" w:pos="9016"/>
            </w:tabs>
            <w:rPr>
              <w:noProof/>
              <w:kern w:val="2"/>
              <w:sz w:val="24"/>
              <w:szCs w:val="24"/>
              <w:lang w:val="en-GB" w:eastAsia="en-GB"/>
              <w14:ligatures w14:val="standardContextual"/>
            </w:rPr>
          </w:pPr>
          <w:hyperlink w:anchor="_Toc141646697" w:history="1">
            <w:r w:rsidRPr="00270E73">
              <w:rPr>
                <w:rStyle w:val="Hyperlink"/>
                <w:noProof/>
              </w:rPr>
              <w:t>2.3.</w:t>
            </w:r>
            <w:r>
              <w:rPr>
                <w:noProof/>
                <w:kern w:val="2"/>
                <w:sz w:val="24"/>
                <w:szCs w:val="24"/>
                <w:lang w:val="en-GB" w:eastAsia="en-GB"/>
                <w14:ligatures w14:val="standardContextual"/>
              </w:rPr>
              <w:tab/>
            </w:r>
            <w:r w:rsidRPr="00270E73">
              <w:rPr>
                <w:rStyle w:val="Hyperlink"/>
                <w:noProof/>
              </w:rPr>
              <w:t>Financial Ratio Analysis</w:t>
            </w:r>
            <w:r>
              <w:rPr>
                <w:noProof/>
                <w:webHidden/>
              </w:rPr>
              <w:tab/>
            </w:r>
            <w:r>
              <w:rPr>
                <w:noProof/>
                <w:webHidden/>
              </w:rPr>
              <w:fldChar w:fldCharType="begin"/>
            </w:r>
            <w:r>
              <w:rPr>
                <w:noProof/>
                <w:webHidden/>
              </w:rPr>
              <w:instrText xml:space="preserve"> PAGEREF _Toc141646697 \h </w:instrText>
            </w:r>
            <w:r>
              <w:rPr>
                <w:noProof/>
                <w:webHidden/>
              </w:rPr>
            </w:r>
            <w:r>
              <w:rPr>
                <w:noProof/>
                <w:webHidden/>
              </w:rPr>
              <w:fldChar w:fldCharType="separate"/>
            </w:r>
            <w:r>
              <w:rPr>
                <w:noProof/>
                <w:webHidden/>
              </w:rPr>
              <w:t>8</w:t>
            </w:r>
            <w:r>
              <w:rPr>
                <w:noProof/>
                <w:webHidden/>
              </w:rPr>
              <w:fldChar w:fldCharType="end"/>
            </w:r>
          </w:hyperlink>
        </w:p>
        <w:p w14:paraId="4B5F8743" w14:textId="13F39A50" w:rsidR="0025052F" w:rsidRDefault="0025052F">
          <w:pPr>
            <w:pStyle w:val="TOC2"/>
            <w:tabs>
              <w:tab w:val="left" w:pos="960"/>
              <w:tab w:val="right" w:leader="dot" w:pos="9016"/>
            </w:tabs>
            <w:rPr>
              <w:noProof/>
              <w:kern w:val="2"/>
              <w:sz w:val="24"/>
              <w:szCs w:val="24"/>
              <w:lang w:val="en-GB" w:eastAsia="en-GB"/>
              <w14:ligatures w14:val="standardContextual"/>
            </w:rPr>
          </w:pPr>
          <w:hyperlink w:anchor="_Toc141646698" w:history="1">
            <w:r w:rsidRPr="00270E73">
              <w:rPr>
                <w:rStyle w:val="Hyperlink"/>
                <w:noProof/>
              </w:rPr>
              <w:t>2.4.</w:t>
            </w:r>
            <w:r>
              <w:rPr>
                <w:noProof/>
                <w:kern w:val="2"/>
                <w:sz w:val="24"/>
                <w:szCs w:val="24"/>
                <w:lang w:val="en-GB" w:eastAsia="en-GB"/>
                <w14:ligatures w14:val="standardContextual"/>
              </w:rPr>
              <w:tab/>
            </w:r>
            <w:r w:rsidRPr="00270E73">
              <w:rPr>
                <w:rStyle w:val="Hyperlink"/>
                <w:noProof/>
              </w:rPr>
              <w:t>Challenges in Financial Ratio Analysis</w:t>
            </w:r>
            <w:r>
              <w:rPr>
                <w:noProof/>
                <w:webHidden/>
              </w:rPr>
              <w:tab/>
            </w:r>
            <w:r>
              <w:rPr>
                <w:noProof/>
                <w:webHidden/>
              </w:rPr>
              <w:fldChar w:fldCharType="begin"/>
            </w:r>
            <w:r>
              <w:rPr>
                <w:noProof/>
                <w:webHidden/>
              </w:rPr>
              <w:instrText xml:space="preserve"> PAGEREF _Toc141646698 \h </w:instrText>
            </w:r>
            <w:r>
              <w:rPr>
                <w:noProof/>
                <w:webHidden/>
              </w:rPr>
            </w:r>
            <w:r>
              <w:rPr>
                <w:noProof/>
                <w:webHidden/>
              </w:rPr>
              <w:fldChar w:fldCharType="separate"/>
            </w:r>
            <w:r>
              <w:rPr>
                <w:noProof/>
                <w:webHidden/>
              </w:rPr>
              <w:t>11</w:t>
            </w:r>
            <w:r>
              <w:rPr>
                <w:noProof/>
                <w:webHidden/>
              </w:rPr>
              <w:fldChar w:fldCharType="end"/>
            </w:r>
          </w:hyperlink>
        </w:p>
        <w:p w14:paraId="2AD5031D" w14:textId="30744D3D" w:rsidR="0025052F" w:rsidRDefault="0025052F">
          <w:pPr>
            <w:pStyle w:val="TOC2"/>
            <w:tabs>
              <w:tab w:val="left" w:pos="960"/>
              <w:tab w:val="right" w:leader="dot" w:pos="9016"/>
            </w:tabs>
            <w:rPr>
              <w:noProof/>
              <w:kern w:val="2"/>
              <w:sz w:val="24"/>
              <w:szCs w:val="24"/>
              <w:lang w:val="en-GB" w:eastAsia="en-GB"/>
              <w14:ligatures w14:val="standardContextual"/>
            </w:rPr>
          </w:pPr>
          <w:hyperlink w:anchor="_Toc141646699" w:history="1">
            <w:r w:rsidRPr="00270E73">
              <w:rPr>
                <w:rStyle w:val="Hyperlink"/>
                <w:noProof/>
              </w:rPr>
              <w:t>2.5.</w:t>
            </w:r>
            <w:r>
              <w:rPr>
                <w:noProof/>
                <w:kern w:val="2"/>
                <w:sz w:val="24"/>
                <w:szCs w:val="24"/>
                <w:lang w:val="en-GB" w:eastAsia="en-GB"/>
                <w14:ligatures w14:val="standardContextual"/>
              </w:rPr>
              <w:tab/>
            </w:r>
            <w:r w:rsidRPr="00270E73">
              <w:rPr>
                <w:rStyle w:val="Hyperlink"/>
                <w:noProof/>
              </w:rPr>
              <w:t>Financial Modelling for Industry Analysis</w:t>
            </w:r>
            <w:r>
              <w:rPr>
                <w:noProof/>
                <w:webHidden/>
              </w:rPr>
              <w:tab/>
            </w:r>
            <w:r>
              <w:rPr>
                <w:noProof/>
                <w:webHidden/>
              </w:rPr>
              <w:fldChar w:fldCharType="begin"/>
            </w:r>
            <w:r>
              <w:rPr>
                <w:noProof/>
                <w:webHidden/>
              </w:rPr>
              <w:instrText xml:space="preserve"> PAGEREF _Toc141646699 \h </w:instrText>
            </w:r>
            <w:r>
              <w:rPr>
                <w:noProof/>
                <w:webHidden/>
              </w:rPr>
            </w:r>
            <w:r>
              <w:rPr>
                <w:noProof/>
                <w:webHidden/>
              </w:rPr>
              <w:fldChar w:fldCharType="separate"/>
            </w:r>
            <w:r>
              <w:rPr>
                <w:noProof/>
                <w:webHidden/>
              </w:rPr>
              <w:t>15</w:t>
            </w:r>
            <w:r>
              <w:rPr>
                <w:noProof/>
                <w:webHidden/>
              </w:rPr>
              <w:fldChar w:fldCharType="end"/>
            </w:r>
          </w:hyperlink>
        </w:p>
        <w:p w14:paraId="48E526FB" w14:textId="709A66E8" w:rsidR="0025052F" w:rsidRDefault="0025052F">
          <w:pPr>
            <w:pStyle w:val="TOC2"/>
            <w:tabs>
              <w:tab w:val="left" w:pos="960"/>
              <w:tab w:val="right" w:leader="dot" w:pos="9016"/>
            </w:tabs>
            <w:rPr>
              <w:noProof/>
              <w:kern w:val="2"/>
              <w:sz w:val="24"/>
              <w:szCs w:val="24"/>
              <w:lang w:val="en-GB" w:eastAsia="en-GB"/>
              <w14:ligatures w14:val="standardContextual"/>
            </w:rPr>
          </w:pPr>
          <w:hyperlink w:anchor="_Toc141646700" w:history="1">
            <w:r w:rsidRPr="00270E73">
              <w:rPr>
                <w:rStyle w:val="Hyperlink"/>
                <w:noProof/>
              </w:rPr>
              <w:t>2.6.</w:t>
            </w:r>
            <w:r>
              <w:rPr>
                <w:noProof/>
                <w:kern w:val="2"/>
                <w:sz w:val="24"/>
                <w:szCs w:val="24"/>
                <w:lang w:val="en-GB" w:eastAsia="en-GB"/>
                <w14:ligatures w14:val="standardContextual"/>
              </w:rPr>
              <w:tab/>
            </w:r>
            <w:r w:rsidRPr="00270E73">
              <w:rPr>
                <w:rStyle w:val="Hyperlink"/>
                <w:noProof/>
              </w:rPr>
              <w:t>‘Black Swan’ Impact Events</w:t>
            </w:r>
            <w:r>
              <w:rPr>
                <w:noProof/>
                <w:webHidden/>
              </w:rPr>
              <w:tab/>
            </w:r>
            <w:r>
              <w:rPr>
                <w:noProof/>
                <w:webHidden/>
              </w:rPr>
              <w:fldChar w:fldCharType="begin"/>
            </w:r>
            <w:r>
              <w:rPr>
                <w:noProof/>
                <w:webHidden/>
              </w:rPr>
              <w:instrText xml:space="preserve"> PAGEREF _Toc141646700 \h </w:instrText>
            </w:r>
            <w:r>
              <w:rPr>
                <w:noProof/>
                <w:webHidden/>
              </w:rPr>
            </w:r>
            <w:r>
              <w:rPr>
                <w:noProof/>
                <w:webHidden/>
              </w:rPr>
              <w:fldChar w:fldCharType="separate"/>
            </w:r>
            <w:r>
              <w:rPr>
                <w:noProof/>
                <w:webHidden/>
              </w:rPr>
              <w:t>15</w:t>
            </w:r>
            <w:r>
              <w:rPr>
                <w:noProof/>
                <w:webHidden/>
              </w:rPr>
              <w:fldChar w:fldCharType="end"/>
            </w:r>
          </w:hyperlink>
        </w:p>
        <w:p w14:paraId="1A1554E9" w14:textId="26ED0E69" w:rsidR="0025052F" w:rsidRDefault="0025052F">
          <w:pPr>
            <w:pStyle w:val="TOC1"/>
            <w:tabs>
              <w:tab w:val="left" w:pos="440"/>
            </w:tabs>
            <w:rPr>
              <w:rFonts w:eastAsiaTheme="minorEastAsia"/>
              <w:b w:val="0"/>
              <w:noProof/>
              <w:kern w:val="2"/>
              <w:sz w:val="24"/>
              <w:szCs w:val="24"/>
              <w:lang w:eastAsia="en-GB"/>
              <w14:ligatures w14:val="standardContextual"/>
            </w:rPr>
          </w:pPr>
          <w:hyperlink w:anchor="_Toc141646701" w:history="1">
            <w:r w:rsidRPr="00270E73">
              <w:rPr>
                <w:rStyle w:val="Hyperlink"/>
                <w:noProof/>
              </w:rPr>
              <w:t>3.</w:t>
            </w:r>
            <w:r>
              <w:rPr>
                <w:rFonts w:eastAsiaTheme="minorEastAsia"/>
                <w:b w:val="0"/>
                <w:noProof/>
                <w:kern w:val="2"/>
                <w:sz w:val="24"/>
                <w:szCs w:val="24"/>
                <w:lang w:eastAsia="en-GB"/>
                <w14:ligatures w14:val="standardContextual"/>
              </w:rPr>
              <w:tab/>
            </w:r>
            <w:r w:rsidRPr="00270E73">
              <w:rPr>
                <w:rStyle w:val="Hyperlink"/>
                <w:noProof/>
              </w:rPr>
              <w:t>Methodology</w:t>
            </w:r>
            <w:r>
              <w:rPr>
                <w:noProof/>
                <w:webHidden/>
              </w:rPr>
              <w:tab/>
            </w:r>
            <w:r>
              <w:rPr>
                <w:noProof/>
                <w:webHidden/>
              </w:rPr>
              <w:fldChar w:fldCharType="begin"/>
            </w:r>
            <w:r>
              <w:rPr>
                <w:noProof/>
                <w:webHidden/>
              </w:rPr>
              <w:instrText xml:space="preserve"> PAGEREF _Toc141646701 \h </w:instrText>
            </w:r>
            <w:r>
              <w:rPr>
                <w:noProof/>
                <w:webHidden/>
              </w:rPr>
            </w:r>
            <w:r>
              <w:rPr>
                <w:noProof/>
                <w:webHidden/>
              </w:rPr>
              <w:fldChar w:fldCharType="separate"/>
            </w:r>
            <w:r>
              <w:rPr>
                <w:noProof/>
                <w:webHidden/>
              </w:rPr>
              <w:t>17</w:t>
            </w:r>
            <w:r>
              <w:rPr>
                <w:noProof/>
                <w:webHidden/>
              </w:rPr>
              <w:fldChar w:fldCharType="end"/>
            </w:r>
          </w:hyperlink>
        </w:p>
        <w:p w14:paraId="3F672D6F" w14:textId="69BF071F" w:rsidR="0025052F" w:rsidRDefault="0025052F">
          <w:pPr>
            <w:pStyle w:val="TOC2"/>
            <w:tabs>
              <w:tab w:val="left" w:pos="960"/>
              <w:tab w:val="right" w:leader="dot" w:pos="9016"/>
            </w:tabs>
            <w:rPr>
              <w:noProof/>
              <w:kern w:val="2"/>
              <w:sz w:val="24"/>
              <w:szCs w:val="24"/>
              <w:lang w:val="en-GB" w:eastAsia="en-GB"/>
              <w14:ligatures w14:val="standardContextual"/>
            </w:rPr>
          </w:pPr>
          <w:hyperlink w:anchor="_Toc141646702" w:history="1">
            <w:r w:rsidRPr="00270E73">
              <w:rPr>
                <w:rStyle w:val="Hyperlink"/>
                <w:noProof/>
              </w:rPr>
              <w:t>3.1.</w:t>
            </w:r>
            <w:r>
              <w:rPr>
                <w:noProof/>
                <w:kern w:val="2"/>
                <w:sz w:val="24"/>
                <w:szCs w:val="24"/>
                <w:lang w:val="en-GB" w:eastAsia="en-GB"/>
                <w14:ligatures w14:val="standardContextual"/>
              </w:rPr>
              <w:tab/>
            </w:r>
            <w:r w:rsidRPr="00270E73">
              <w:rPr>
                <w:rStyle w:val="Hyperlink"/>
                <w:noProof/>
              </w:rPr>
              <w:t>Research Design</w:t>
            </w:r>
            <w:r>
              <w:rPr>
                <w:noProof/>
                <w:webHidden/>
              </w:rPr>
              <w:tab/>
            </w:r>
            <w:r>
              <w:rPr>
                <w:noProof/>
                <w:webHidden/>
              </w:rPr>
              <w:fldChar w:fldCharType="begin"/>
            </w:r>
            <w:r>
              <w:rPr>
                <w:noProof/>
                <w:webHidden/>
              </w:rPr>
              <w:instrText xml:space="preserve"> PAGEREF _Toc141646702 \h </w:instrText>
            </w:r>
            <w:r>
              <w:rPr>
                <w:noProof/>
                <w:webHidden/>
              </w:rPr>
            </w:r>
            <w:r>
              <w:rPr>
                <w:noProof/>
                <w:webHidden/>
              </w:rPr>
              <w:fldChar w:fldCharType="separate"/>
            </w:r>
            <w:r>
              <w:rPr>
                <w:noProof/>
                <w:webHidden/>
              </w:rPr>
              <w:t>17</w:t>
            </w:r>
            <w:r>
              <w:rPr>
                <w:noProof/>
                <w:webHidden/>
              </w:rPr>
              <w:fldChar w:fldCharType="end"/>
            </w:r>
          </w:hyperlink>
        </w:p>
        <w:p w14:paraId="7446DD67" w14:textId="3B0C22B9" w:rsidR="0025052F" w:rsidRDefault="0025052F">
          <w:pPr>
            <w:pStyle w:val="TOC2"/>
            <w:tabs>
              <w:tab w:val="left" w:pos="960"/>
              <w:tab w:val="right" w:leader="dot" w:pos="9016"/>
            </w:tabs>
            <w:rPr>
              <w:noProof/>
              <w:kern w:val="2"/>
              <w:sz w:val="24"/>
              <w:szCs w:val="24"/>
              <w:lang w:val="en-GB" w:eastAsia="en-GB"/>
              <w14:ligatures w14:val="standardContextual"/>
            </w:rPr>
          </w:pPr>
          <w:hyperlink w:anchor="_Toc141646703" w:history="1">
            <w:r w:rsidRPr="00270E73">
              <w:rPr>
                <w:rStyle w:val="Hyperlink"/>
                <w:noProof/>
              </w:rPr>
              <w:t>3.2.</w:t>
            </w:r>
            <w:r>
              <w:rPr>
                <w:noProof/>
                <w:kern w:val="2"/>
                <w:sz w:val="24"/>
                <w:szCs w:val="24"/>
                <w:lang w:val="en-GB" w:eastAsia="en-GB"/>
                <w14:ligatures w14:val="standardContextual"/>
              </w:rPr>
              <w:tab/>
            </w:r>
            <w:r w:rsidRPr="00270E73">
              <w:rPr>
                <w:rStyle w:val="Hyperlink"/>
                <w:noProof/>
              </w:rPr>
              <w:t>Data Collection</w:t>
            </w:r>
            <w:r>
              <w:rPr>
                <w:noProof/>
                <w:webHidden/>
              </w:rPr>
              <w:tab/>
            </w:r>
            <w:r>
              <w:rPr>
                <w:noProof/>
                <w:webHidden/>
              </w:rPr>
              <w:fldChar w:fldCharType="begin"/>
            </w:r>
            <w:r>
              <w:rPr>
                <w:noProof/>
                <w:webHidden/>
              </w:rPr>
              <w:instrText xml:space="preserve"> PAGEREF _Toc141646703 \h </w:instrText>
            </w:r>
            <w:r>
              <w:rPr>
                <w:noProof/>
                <w:webHidden/>
              </w:rPr>
            </w:r>
            <w:r>
              <w:rPr>
                <w:noProof/>
                <w:webHidden/>
              </w:rPr>
              <w:fldChar w:fldCharType="separate"/>
            </w:r>
            <w:r>
              <w:rPr>
                <w:noProof/>
                <w:webHidden/>
              </w:rPr>
              <w:t>18</w:t>
            </w:r>
            <w:r>
              <w:rPr>
                <w:noProof/>
                <w:webHidden/>
              </w:rPr>
              <w:fldChar w:fldCharType="end"/>
            </w:r>
          </w:hyperlink>
        </w:p>
        <w:p w14:paraId="5DA8AFB4" w14:textId="5C1C5D5D" w:rsidR="0025052F" w:rsidRDefault="0025052F">
          <w:pPr>
            <w:pStyle w:val="TOC3"/>
            <w:tabs>
              <w:tab w:val="left" w:pos="1200"/>
              <w:tab w:val="right" w:leader="dot" w:pos="9016"/>
            </w:tabs>
            <w:rPr>
              <w:noProof/>
              <w:kern w:val="2"/>
              <w:sz w:val="24"/>
              <w:szCs w:val="24"/>
              <w:lang w:val="en-GB" w:eastAsia="en-GB"/>
              <w14:ligatures w14:val="standardContextual"/>
            </w:rPr>
          </w:pPr>
          <w:hyperlink w:anchor="_Toc141646704" w:history="1">
            <w:r w:rsidRPr="00270E73">
              <w:rPr>
                <w:rStyle w:val="Hyperlink"/>
                <w:noProof/>
              </w:rPr>
              <w:t>3.2.1.</w:t>
            </w:r>
            <w:r>
              <w:rPr>
                <w:noProof/>
                <w:kern w:val="2"/>
                <w:sz w:val="24"/>
                <w:szCs w:val="24"/>
                <w:lang w:val="en-GB" w:eastAsia="en-GB"/>
                <w14:ligatures w14:val="standardContextual"/>
              </w:rPr>
              <w:tab/>
            </w:r>
            <w:r w:rsidRPr="00270E73">
              <w:rPr>
                <w:rStyle w:val="Hyperlink"/>
                <w:noProof/>
              </w:rPr>
              <w:t>Data Selection</w:t>
            </w:r>
            <w:r>
              <w:rPr>
                <w:noProof/>
                <w:webHidden/>
              </w:rPr>
              <w:tab/>
            </w:r>
            <w:r>
              <w:rPr>
                <w:noProof/>
                <w:webHidden/>
              </w:rPr>
              <w:fldChar w:fldCharType="begin"/>
            </w:r>
            <w:r>
              <w:rPr>
                <w:noProof/>
                <w:webHidden/>
              </w:rPr>
              <w:instrText xml:space="preserve"> PAGEREF _Toc141646704 \h </w:instrText>
            </w:r>
            <w:r>
              <w:rPr>
                <w:noProof/>
                <w:webHidden/>
              </w:rPr>
            </w:r>
            <w:r>
              <w:rPr>
                <w:noProof/>
                <w:webHidden/>
              </w:rPr>
              <w:fldChar w:fldCharType="separate"/>
            </w:r>
            <w:r>
              <w:rPr>
                <w:noProof/>
                <w:webHidden/>
              </w:rPr>
              <w:t>18</w:t>
            </w:r>
            <w:r>
              <w:rPr>
                <w:noProof/>
                <w:webHidden/>
              </w:rPr>
              <w:fldChar w:fldCharType="end"/>
            </w:r>
          </w:hyperlink>
        </w:p>
        <w:p w14:paraId="2B696CD3" w14:textId="776315C4" w:rsidR="0025052F" w:rsidRDefault="0025052F">
          <w:pPr>
            <w:pStyle w:val="TOC3"/>
            <w:tabs>
              <w:tab w:val="left" w:pos="1200"/>
              <w:tab w:val="right" w:leader="dot" w:pos="9016"/>
            </w:tabs>
            <w:rPr>
              <w:noProof/>
              <w:kern w:val="2"/>
              <w:sz w:val="24"/>
              <w:szCs w:val="24"/>
              <w:lang w:val="en-GB" w:eastAsia="en-GB"/>
              <w14:ligatures w14:val="standardContextual"/>
            </w:rPr>
          </w:pPr>
          <w:hyperlink w:anchor="_Toc141646705" w:history="1">
            <w:r w:rsidRPr="00270E73">
              <w:rPr>
                <w:rStyle w:val="Hyperlink"/>
                <w:noProof/>
              </w:rPr>
              <w:t>3.2.2.</w:t>
            </w:r>
            <w:r>
              <w:rPr>
                <w:noProof/>
                <w:kern w:val="2"/>
                <w:sz w:val="24"/>
                <w:szCs w:val="24"/>
                <w:lang w:val="en-GB" w:eastAsia="en-GB"/>
                <w14:ligatures w14:val="standardContextual"/>
              </w:rPr>
              <w:tab/>
            </w:r>
            <w:r w:rsidRPr="00270E73">
              <w:rPr>
                <w:rStyle w:val="Hyperlink"/>
                <w:noProof/>
              </w:rPr>
              <w:t>Financial Report Data Collection</w:t>
            </w:r>
            <w:r>
              <w:rPr>
                <w:noProof/>
                <w:webHidden/>
              </w:rPr>
              <w:tab/>
            </w:r>
            <w:r>
              <w:rPr>
                <w:noProof/>
                <w:webHidden/>
              </w:rPr>
              <w:fldChar w:fldCharType="begin"/>
            </w:r>
            <w:r>
              <w:rPr>
                <w:noProof/>
                <w:webHidden/>
              </w:rPr>
              <w:instrText xml:space="preserve"> PAGEREF _Toc141646705 \h </w:instrText>
            </w:r>
            <w:r>
              <w:rPr>
                <w:noProof/>
                <w:webHidden/>
              </w:rPr>
            </w:r>
            <w:r>
              <w:rPr>
                <w:noProof/>
                <w:webHidden/>
              </w:rPr>
              <w:fldChar w:fldCharType="separate"/>
            </w:r>
            <w:r>
              <w:rPr>
                <w:noProof/>
                <w:webHidden/>
              </w:rPr>
              <w:t>21</w:t>
            </w:r>
            <w:r>
              <w:rPr>
                <w:noProof/>
                <w:webHidden/>
              </w:rPr>
              <w:fldChar w:fldCharType="end"/>
            </w:r>
          </w:hyperlink>
        </w:p>
        <w:p w14:paraId="0680ABBB" w14:textId="6C700FAF" w:rsidR="0025052F" w:rsidRDefault="0025052F">
          <w:pPr>
            <w:pStyle w:val="TOC3"/>
            <w:tabs>
              <w:tab w:val="left" w:pos="1200"/>
              <w:tab w:val="right" w:leader="dot" w:pos="9016"/>
            </w:tabs>
            <w:rPr>
              <w:noProof/>
              <w:kern w:val="2"/>
              <w:sz w:val="24"/>
              <w:szCs w:val="24"/>
              <w:lang w:val="en-GB" w:eastAsia="en-GB"/>
              <w14:ligatures w14:val="standardContextual"/>
            </w:rPr>
          </w:pPr>
          <w:hyperlink w:anchor="_Toc141646706" w:history="1">
            <w:r w:rsidRPr="00270E73">
              <w:rPr>
                <w:rStyle w:val="Hyperlink"/>
                <w:noProof/>
              </w:rPr>
              <w:t>3.2.3.</w:t>
            </w:r>
            <w:r>
              <w:rPr>
                <w:noProof/>
                <w:kern w:val="2"/>
                <w:sz w:val="24"/>
                <w:szCs w:val="24"/>
                <w:lang w:val="en-GB" w:eastAsia="en-GB"/>
                <w14:ligatures w14:val="standardContextual"/>
              </w:rPr>
              <w:tab/>
            </w:r>
            <w:r w:rsidRPr="00270E73">
              <w:rPr>
                <w:rStyle w:val="Hyperlink"/>
                <w:noProof/>
              </w:rPr>
              <w:t>Financial Information Input Standardisation</w:t>
            </w:r>
            <w:r>
              <w:rPr>
                <w:noProof/>
                <w:webHidden/>
              </w:rPr>
              <w:tab/>
            </w:r>
            <w:r>
              <w:rPr>
                <w:noProof/>
                <w:webHidden/>
              </w:rPr>
              <w:fldChar w:fldCharType="begin"/>
            </w:r>
            <w:r>
              <w:rPr>
                <w:noProof/>
                <w:webHidden/>
              </w:rPr>
              <w:instrText xml:space="preserve"> PAGEREF _Toc141646706 \h </w:instrText>
            </w:r>
            <w:r>
              <w:rPr>
                <w:noProof/>
                <w:webHidden/>
              </w:rPr>
            </w:r>
            <w:r>
              <w:rPr>
                <w:noProof/>
                <w:webHidden/>
              </w:rPr>
              <w:fldChar w:fldCharType="separate"/>
            </w:r>
            <w:r>
              <w:rPr>
                <w:noProof/>
                <w:webHidden/>
              </w:rPr>
              <w:t>24</w:t>
            </w:r>
            <w:r>
              <w:rPr>
                <w:noProof/>
                <w:webHidden/>
              </w:rPr>
              <w:fldChar w:fldCharType="end"/>
            </w:r>
          </w:hyperlink>
        </w:p>
        <w:p w14:paraId="1148C694" w14:textId="32DD095C" w:rsidR="0025052F" w:rsidRDefault="0025052F">
          <w:pPr>
            <w:pStyle w:val="TOC3"/>
            <w:tabs>
              <w:tab w:val="left" w:pos="1200"/>
              <w:tab w:val="right" w:leader="dot" w:pos="9016"/>
            </w:tabs>
            <w:rPr>
              <w:noProof/>
              <w:kern w:val="2"/>
              <w:sz w:val="24"/>
              <w:szCs w:val="24"/>
              <w:lang w:val="en-GB" w:eastAsia="en-GB"/>
              <w14:ligatures w14:val="standardContextual"/>
            </w:rPr>
          </w:pPr>
          <w:hyperlink w:anchor="_Toc141646707" w:history="1">
            <w:r w:rsidRPr="00270E73">
              <w:rPr>
                <w:rStyle w:val="Hyperlink"/>
                <w:noProof/>
              </w:rPr>
              <w:t>3.2.4.</w:t>
            </w:r>
            <w:r>
              <w:rPr>
                <w:noProof/>
                <w:kern w:val="2"/>
                <w:sz w:val="24"/>
                <w:szCs w:val="24"/>
                <w:lang w:val="en-GB" w:eastAsia="en-GB"/>
                <w14:ligatures w14:val="standardContextual"/>
              </w:rPr>
              <w:tab/>
            </w:r>
            <w:r w:rsidRPr="00270E73">
              <w:rPr>
                <w:rStyle w:val="Hyperlink"/>
                <w:noProof/>
              </w:rPr>
              <w:t>Exchange Rate</w:t>
            </w:r>
            <w:r>
              <w:rPr>
                <w:noProof/>
                <w:webHidden/>
              </w:rPr>
              <w:tab/>
            </w:r>
            <w:r>
              <w:rPr>
                <w:noProof/>
                <w:webHidden/>
              </w:rPr>
              <w:fldChar w:fldCharType="begin"/>
            </w:r>
            <w:r>
              <w:rPr>
                <w:noProof/>
                <w:webHidden/>
              </w:rPr>
              <w:instrText xml:space="preserve"> PAGEREF _Toc141646707 \h </w:instrText>
            </w:r>
            <w:r>
              <w:rPr>
                <w:noProof/>
                <w:webHidden/>
              </w:rPr>
            </w:r>
            <w:r>
              <w:rPr>
                <w:noProof/>
                <w:webHidden/>
              </w:rPr>
              <w:fldChar w:fldCharType="separate"/>
            </w:r>
            <w:r>
              <w:rPr>
                <w:noProof/>
                <w:webHidden/>
              </w:rPr>
              <w:t>25</w:t>
            </w:r>
            <w:r>
              <w:rPr>
                <w:noProof/>
                <w:webHidden/>
              </w:rPr>
              <w:fldChar w:fldCharType="end"/>
            </w:r>
          </w:hyperlink>
        </w:p>
        <w:p w14:paraId="2FF6E499" w14:textId="7372424F" w:rsidR="0025052F" w:rsidRDefault="0025052F">
          <w:pPr>
            <w:pStyle w:val="TOC3"/>
            <w:tabs>
              <w:tab w:val="left" w:pos="1200"/>
              <w:tab w:val="right" w:leader="dot" w:pos="9016"/>
            </w:tabs>
            <w:rPr>
              <w:noProof/>
              <w:kern w:val="2"/>
              <w:sz w:val="24"/>
              <w:szCs w:val="24"/>
              <w:lang w:val="en-GB" w:eastAsia="en-GB"/>
              <w14:ligatures w14:val="standardContextual"/>
            </w:rPr>
          </w:pPr>
          <w:hyperlink w:anchor="_Toc141646708" w:history="1">
            <w:r w:rsidRPr="00270E73">
              <w:rPr>
                <w:rStyle w:val="Hyperlink"/>
                <w:noProof/>
              </w:rPr>
              <w:t>3.2.5.</w:t>
            </w:r>
            <w:r>
              <w:rPr>
                <w:noProof/>
                <w:kern w:val="2"/>
                <w:sz w:val="24"/>
                <w:szCs w:val="24"/>
                <w:lang w:val="en-GB" w:eastAsia="en-GB"/>
                <w14:ligatures w14:val="standardContextual"/>
              </w:rPr>
              <w:tab/>
            </w:r>
            <w:r w:rsidRPr="00270E73">
              <w:rPr>
                <w:rStyle w:val="Hyperlink"/>
                <w:noProof/>
              </w:rPr>
              <w:t>Market Share Price</w:t>
            </w:r>
            <w:r>
              <w:rPr>
                <w:noProof/>
                <w:webHidden/>
              </w:rPr>
              <w:tab/>
            </w:r>
            <w:r>
              <w:rPr>
                <w:noProof/>
                <w:webHidden/>
              </w:rPr>
              <w:fldChar w:fldCharType="begin"/>
            </w:r>
            <w:r>
              <w:rPr>
                <w:noProof/>
                <w:webHidden/>
              </w:rPr>
              <w:instrText xml:space="preserve"> PAGEREF _Toc141646708 \h </w:instrText>
            </w:r>
            <w:r>
              <w:rPr>
                <w:noProof/>
                <w:webHidden/>
              </w:rPr>
            </w:r>
            <w:r>
              <w:rPr>
                <w:noProof/>
                <w:webHidden/>
              </w:rPr>
              <w:fldChar w:fldCharType="separate"/>
            </w:r>
            <w:r>
              <w:rPr>
                <w:noProof/>
                <w:webHidden/>
              </w:rPr>
              <w:t>26</w:t>
            </w:r>
            <w:r>
              <w:rPr>
                <w:noProof/>
                <w:webHidden/>
              </w:rPr>
              <w:fldChar w:fldCharType="end"/>
            </w:r>
          </w:hyperlink>
        </w:p>
        <w:p w14:paraId="2DAC8A57" w14:textId="6123C167" w:rsidR="0025052F" w:rsidRDefault="0025052F">
          <w:pPr>
            <w:pStyle w:val="TOC3"/>
            <w:tabs>
              <w:tab w:val="left" w:pos="1200"/>
              <w:tab w:val="right" w:leader="dot" w:pos="9016"/>
            </w:tabs>
            <w:rPr>
              <w:noProof/>
              <w:kern w:val="2"/>
              <w:sz w:val="24"/>
              <w:szCs w:val="24"/>
              <w:lang w:val="en-GB" w:eastAsia="en-GB"/>
              <w14:ligatures w14:val="standardContextual"/>
            </w:rPr>
          </w:pPr>
          <w:hyperlink w:anchor="_Toc141646709" w:history="1">
            <w:r w:rsidRPr="00270E73">
              <w:rPr>
                <w:rStyle w:val="Hyperlink"/>
                <w:noProof/>
              </w:rPr>
              <w:t>3.2.6.</w:t>
            </w:r>
            <w:r>
              <w:rPr>
                <w:noProof/>
                <w:kern w:val="2"/>
                <w:sz w:val="24"/>
                <w:szCs w:val="24"/>
                <w:lang w:val="en-GB" w:eastAsia="en-GB"/>
                <w14:ligatures w14:val="standardContextual"/>
              </w:rPr>
              <w:tab/>
            </w:r>
            <w:r w:rsidRPr="00270E73">
              <w:rPr>
                <w:rStyle w:val="Hyperlink"/>
                <w:noProof/>
              </w:rPr>
              <w:t>FTSE 250 Index Performance</w:t>
            </w:r>
            <w:r>
              <w:rPr>
                <w:noProof/>
                <w:webHidden/>
              </w:rPr>
              <w:tab/>
            </w:r>
            <w:r>
              <w:rPr>
                <w:noProof/>
                <w:webHidden/>
              </w:rPr>
              <w:fldChar w:fldCharType="begin"/>
            </w:r>
            <w:r>
              <w:rPr>
                <w:noProof/>
                <w:webHidden/>
              </w:rPr>
              <w:instrText xml:space="preserve"> PAGEREF _Toc141646709 \h </w:instrText>
            </w:r>
            <w:r>
              <w:rPr>
                <w:noProof/>
                <w:webHidden/>
              </w:rPr>
            </w:r>
            <w:r>
              <w:rPr>
                <w:noProof/>
                <w:webHidden/>
              </w:rPr>
              <w:fldChar w:fldCharType="separate"/>
            </w:r>
            <w:r>
              <w:rPr>
                <w:noProof/>
                <w:webHidden/>
              </w:rPr>
              <w:t>26</w:t>
            </w:r>
            <w:r>
              <w:rPr>
                <w:noProof/>
                <w:webHidden/>
              </w:rPr>
              <w:fldChar w:fldCharType="end"/>
            </w:r>
          </w:hyperlink>
        </w:p>
        <w:p w14:paraId="4F43ED64" w14:textId="03A311CA" w:rsidR="0025052F" w:rsidRDefault="0025052F">
          <w:pPr>
            <w:pStyle w:val="TOC2"/>
            <w:tabs>
              <w:tab w:val="left" w:pos="960"/>
              <w:tab w:val="right" w:leader="dot" w:pos="9016"/>
            </w:tabs>
            <w:rPr>
              <w:noProof/>
              <w:kern w:val="2"/>
              <w:sz w:val="24"/>
              <w:szCs w:val="24"/>
              <w:lang w:val="en-GB" w:eastAsia="en-GB"/>
              <w14:ligatures w14:val="standardContextual"/>
            </w:rPr>
          </w:pPr>
          <w:hyperlink w:anchor="_Toc141646710" w:history="1">
            <w:r w:rsidRPr="00270E73">
              <w:rPr>
                <w:rStyle w:val="Hyperlink"/>
                <w:noProof/>
              </w:rPr>
              <w:t>3.3.</w:t>
            </w:r>
            <w:r>
              <w:rPr>
                <w:noProof/>
                <w:kern w:val="2"/>
                <w:sz w:val="24"/>
                <w:szCs w:val="24"/>
                <w:lang w:val="en-GB" w:eastAsia="en-GB"/>
                <w14:ligatures w14:val="standardContextual"/>
              </w:rPr>
              <w:tab/>
            </w:r>
            <w:r w:rsidRPr="00270E73">
              <w:rPr>
                <w:rStyle w:val="Hyperlink"/>
                <w:noProof/>
              </w:rPr>
              <w:t>Financial Ratio Analysis</w:t>
            </w:r>
            <w:r>
              <w:rPr>
                <w:noProof/>
                <w:webHidden/>
              </w:rPr>
              <w:tab/>
            </w:r>
            <w:r>
              <w:rPr>
                <w:noProof/>
                <w:webHidden/>
              </w:rPr>
              <w:fldChar w:fldCharType="begin"/>
            </w:r>
            <w:r>
              <w:rPr>
                <w:noProof/>
                <w:webHidden/>
              </w:rPr>
              <w:instrText xml:space="preserve"> PAGEREF _Toc141646710 \h </w:instrText>
            </w:r>
            <w:r>
              <w:rPr>
                <w:noProof/>
                <w:webHidden/>
              </w:rPr>
            </w:r>
            <w:r>
              <w:rPr>
                <w:noProof/>
                <w:webHidden/>
              </w:rPr>
              <w:fldChar w:fldCharType="separate"/>
            </w:r>
            <w:r>
              <w:rPr>
                <w:noProof/>
                <w:webHidden/>
              </w:rPr>
              <w:t>27</w:t>
            </w:r>
            <w:r>
              <w:rPr>
                <w:noProof/>
                <w:webHidden/>
              </w:rPr>
              <w:fldChar w:fldCharType="end"/>
            </w:r>
          </w:hyperlink>
        </w:p>
        <w:p w14:paraId="7BF70199" w14:textId="37BEC2F2" w:rsidR="0025052F" w:rsidRDefault="0025052F">
          <w:pPr>
            <w:pStyle w:val="TOC3"/>
            <w:tabs>
              <w:tab w:val="left" w:pos="1200"/>
              <w:tab w:val="right" w:leader="dot" w:pos="9016"/>
            </w:tabs>
            <w:rPr>
              <w:noProof/>
              <w:kern w:val="2"/>
              <w:sz w:val="24"/>
              <w:szCs w:val="24"/>
              <w:lang w:val="en-GB" w:eastAsia="en-GB"/>
              <w14:ligatures w14:val="standardContextual"/>
            </w:rPr>
          </w:pPr>
          <w:hyperlink w:anchor="_Toc141646711" w:history="1">
            <w:r w:rsidRPr="00270E73">
              <w:rPr>
                <w:rStyle w:val="Hyperlink"/>
                <w:noProof/>
              </w:rPr>
              <w:t>3.3.1.</w:t>
            </w:r>
            <w:r>
              <w:rPr>
                <w:noProof/>
                <w:kern w:val="2"/>
                <w:sz w:val="24"/>
                <w:szCs w:val="24"/>
                <w:lang w:val="en-GB" w:eastAsia="en-GB"/>
                <w14:ligatures w14:val="standardContextual"/>
              </w:rPr>
              <w:tab/>
            </w:r>
            <w:r w:rsidRPr="00270E73">
              <w:rPr>
                <w:rStyle w:val="Hyperlink"/>
                <w:noProof/>
              </w:rPr>
              <w:t>Financial Ratios</w:t>
            </w:r>
            <w:r>
              <w:rPr>
                <w:noProof/>
                <w:webHidden/>
              </w:rPr>
              <w:tab/>
            </w:r>
            <w:r>
              <w:rPr>
                <w:noProof/>
                <w:webHidden/>
              </w:rPr>
              <w:fldChar w:fldCharType="begin"/>
            </w:r>
            <w:r>
              <w:rPr>
                <w:noProof/>
                <w:webHidden/>
              </w:rPr>
              <w:instrText xml:space="preserve"> PAGEREF _Toc141646711 \h </w:instrText>
            </w:r>
            <w:r>
              <w:rPr>
                <w:noProof/>
                <w:webHidden/>
              </w:rPr>
            </w:r>
            <w:r>
              <w:rPr>
                <w:noProof/>
                <w:webHidden/>
              </w:rPr>
              <w:fldChar w:fldCharType="separate"/>
            </w:r>
            <w:r>
              <w:rPr>
                <w:noProof/>
                <w:webHidden/>
              </w:rPr>
              <w:t>27</w:t>
            </w:r>
            <w:r>
              <w:rPr>
                <w:noProof/>
                <w:webHidden/>
              </w:rPr>
              <w:fldChar w:fldCharType="end"/>
            </w:r>
          </w:hyperlink>
        </w:p>
        <w:p w14:paraId="4E05367A" w14:textId="27DDF515" w:rsidR="0025052F" w:rsidRDefault="0025052F">
          <w:pPr>
            <w:pStyle w:val="TOC3"/>
            <w:tabs>
              <w:tab w:val="left" w:pos="1200"/>
              <w:tab w:val="right" w:leader="dot" w:pos="9016"/>
            </w:tabs>
            <w:rPr>
              <w:noProof/>
              <w:kern w:val="2"/>
              <w:sz w:val="24"/>
              <w:szCs w:val="24"/>
              <w:lang w:val="en-GB" w:eastAsia="en-GB"/>
              <w14:ligatures w14:val="standardContextual"/>
            </w:rPr>
          </w:pPr>
          <w:hyperlink w:anchor="_Toc141646712" w:history="1">
            <w:r w:rsidRPr="00270E73">
              <w:rPr>
                <w:rStyle w:val="Hyperlink"/>
                <w:noProof/>
              </w:rPr>
              <w:t>3.3.2.</w:t>
            </w:r>
            <w:r>
              <w:rPr>
                <w:noProof/>
                <w:kern w:val="2"/>
                <w:sz w:val="24"/>
                <w:szCs w:val="24"/>
                <w:lang w:val="en-GB" w:eastAsia="en-GB"/>
                <w14:ligatures w14:val="standardContextual"/>
              </w:rPr>
              <w:tab/>
            </w:r>
            <w:r w:rsidRPr="00270E73">
              <w:rPr>
                <w:rStyle w:val="Hyperlink"/>
                <w:noProof/>
              </w:rPr>
              <w:t>Financial Ratios Processing</w:t>
            </w:r>
            <w:r>
              <w:rPr>
                <w:noProof/>
                <w:webHidden/>
              </w:rPr>
              <w:tab/>
            </w:r>
            <w:r>
              <w:rPr>
                <w:noProof/>
                <w:webHidden/>
              </w:rPr>
              <w:fldChar w:fldCharType="begin"/>
            </w:r>
            <w:r>
              <w:rPr>
                <w:noProof/>
                <w:webHidden/>
              </w:rPr>
              <w:instrText xml:space="preserve"> PAGEREF _Toc141646712 \h </w:instrText>
            </w:r>
            <w:r>
              <w:rPr>
                <w:noProof/>
                <w:webHidden/>
              </w:rPr>
            </w:r>
            <w:r>
              <w:rPr>
                <w:noProof/>
                <w:webHidden/>
              </w:rPr>
              <w:fldChar w:fldCharType="separate"/>
            </w:r>
            <w:r>
              <w:rPr>
                <w:noProof/>
                <w:webHidden/>
              </w:rPr>
              <w:t>28</w:t>
            </w:r>
            <w:r>
              <w:rPr>
                <w:noProof/>
                <w:webHidden/>
              </w:rPr>
              <w:fldChar w:fldCharType="end"/>
            </w:r>
          </w:hyperlink>
        </w:p>
        <w:p w14:paraId="3907D5BD" w14:textId="4EBF3D63" w:rsidR="0025052F" w:rsidRDefault="0025052F">
          <w:pPr>
            <w:pStyle w:val="TOC3"/>
            <w:tabs>
              <w:tab w:val="left" w:pos="1200"/>
              <w:tab w:val="right" w:leader="dot" w:pos="9016"/>
            </w:tabs>
            <w:rPr>
              <w:noProof/>
              <w:kern w:val="2"/>
              <w:sz w:val="24"/>
              <w:szCs w:val="24"/>
              <w:lang w:val="en-GB" w:eastAsia="en-GB"/>
              <w14:ligatures w14:val="standardContextual"/>
            </w:rPr>
          </w:pPr>
          <w:hyperlink w:anchor="_Toc141646713" w:history="1">
            <w:r w:rsidRPr="00270E73">
              <w:rPr>
                <w:rStyle w:val="Hyperlink"/>
                <w:noProof/>
              </w:rPr>
              <w:t>3.3.3.</w:t>
            </w:r>
            <w:r>
              <w:rPr>
                <w:noProof/>
                <w:kern w:val="2"/>
                <w:sz w:val="24"/>
                <w:szCs w:val="24"/>
                <w:lang w:val="en-GB" w:eastAsia="en-GB"/>
                <w14:ligatures w14:val="standardContextual"/>
              </w:rPr>
              <w:tab/>
            </w:r>
            <w:r w:rsidRPr="00270E73">
              <w:rPr>
                <w:rStyle w:val="Hyperlink"/>
                <w:noProof/>
              </w:rPr>
              <w:t>Effect of Inflation on Financial Ratio Analysis</w:t>
            </w:r>
            <w:r>
              <w:rPr>
                <w:noProof/>
                <w:webHidden/>
              </w:rPr>
              <w:tab/>
            </w:r>
            <w:r>
              <w:rPr>
                <w:noProof/>
                <w:webHidden/>
              </w:rPr>
              <w:fldChar w:fldCharType="begin"/>
            </w:r>
            <w:r>
              <w:rPr>
                <w:noProof/>
                <w:webHidden/>
              </w:rPr>
              <w:instrText xml:space="preserve"> PAGEREF _Toc141646713 \h </w:instrText>
            </w:r>
            <w:r>
              <w:rPr>
                <w:noProof/>
                <w:webHidden/>
              </w:rPr>
            </w:r>
            <w:r>
              <w:rPr>
                <w:noProof/>
                <w:webHidden/>
              </w:rPr>
              <w:fldChar w:fldCharType="separate"/>
            </w:r>
            <w:r>
              <w:rPr>
                <w:noProof/>
                <w:webHidden/>
              </w:rPr>
              <w:t>29</w:t>
            </w:r>
            <w:r>
              <w:rPr>
                <w:noProof/>
                <w:webHidden/>
              </w:rPr>
              <w:fldChar w:fldCharType="end"/>
            </w:r>
          </w:hyperlink>
        </w:p>
        <w:p w14:paraId="7C9F9151" w14:textId="33544B23" w:rsidR="0025052F" w:rsidRDefault="0025052F">
          <w:pPr>
            <w:pStyle w:val="TOC3"/>
            <w:tabs>
              <w:tab w:val="left" w:pos="1200"/>
              <w:tab w:val="right" w:leader="dot" w:pos="9016"/>
            </w:tabs>
            <w:rPr>
              <w:noProof/>
              <w:kern w:val="2"/>
              <w:sz w:val="24"/>
              <w:szCs w:val="24"/>
              <w:lang w:val="en-GB" w:eastAsia="en-GB"/>
              <w14:ligatures w14:val="standardContextual"/>
            </w:rPr>
          </w:pPr>
          <w:hyperlink w:anchor="_Toc141646714" w:history="1">
            <w:r w:rsidRPr="00270E73">
              <w:rPr>
                <w:rStyle w:val="Hyperlink"/>
                <w:noProof/>
              </w:rPr>
              <w:t>3.3.4.</w:t>
            </w:r>
            <w:r>
              <w:rPr>
                <w:noProof/>
                <w:kern w:val="2"/>
                <w:sz w:val="24"/>
                <w:szCs w:val="24"/>
                <w:lang w:val="en-GB" w:eastAsia="en-GB"/>
                <w14:ligatures w14:val="standardContextual"/>
              </w:rPr>
              <w:tab/>
            </w:r>
            <w:r w:rsidRPr="00270E73">
              <w:rPr>
                <w:rStyle w:val="Hyperlink"/>
                <w:noProof/>
              </w:rPr>
              <w:t>Financial Ratio Limitations</w:t>
            </w:r>
            <w:r>
              <w:rPr>
                <w:noProof/>
                <w:webHidden/>
              </w:rPr>
              <w:tab/>
            </w:r>
            <w:r>
              <w:rPr>
                <w:noProof/>
                <w:webHidden/>
              </w:rPr>
              <w:fldChar w:fldCharType="begin"/>
            </w:r>
            <w:r>
              <w:rPr>
                <w:noProof/>
                <w:webHidden/>
              </w:rPr>
              <w:instrText xml:space="preserve"> PAGEREF _Toc141646714 \h </w:instrText>
            </w:r>
            <w:r>
              <w:rPr>
                <w:noProof/>
                <w:webHidden/>
              </w:rPr>
            </w:r>
            <w:r>
              <w:rPr>
                <w:noProof/>
                <w:webHidden/>
              </w:rPr>
              <w:fldChar w:fldCharType="separate"/>
            </w:r>
            <w:r>
              <w:rPr>
                <w:noProof/>
                <w:webHidden/>
              </w:rPr>
              <w:t>30</w:t>
            </w:r>
            <w:r>
              <w:rPr>
                <w:noProof/>
                <w:webHidden/>
              </w:rPr>
              <w:fldChar w:fldCharType="end"/>
            </w:r>
          </w:hyperlink>
        </w:p>
        <w:p w14:paraId="1096D294" w14:textId="0C4B64E5" w:rsidR="0025052F" w:rsidRDefault="0025052F">
          <w:pPr>
            <w:pStyle w:val="TOC2"/>
            <w:tabs>
              <w:tab w:val="left" w:pos="960"/>
              <w:tab w:val="right" w:leader="dot" w:pos="9016"/>
            </w:tabs>
            <w:rPr>
              <w:noProof/>
              <w:kern w:val="2"/>
              <w:sz w:val="24"/>
              <w:szCs w:val="24"/>
              <w:lang w:val="en-GB" w:eastAsia="en-GB"/>
              <w14:ligatures w14:val="standardContextual"/>
            </w:rPr>
          </w:pPr>
          <w:hyperlink w:anchor="_Toc141646715" w:history="1">
            <w:r w:rsidRPr="00270E73">
              <w:rPr>
                <w:rStyle w:val="Hyperlink"/>
                <w:noProof/>
              </w:rPr>
              <w:t>3.4.</w:t>
            </w:r>
            <w:r>
              <w:rPr>
                <w:noProof/>
                <w:kern w:val="2"/>
                <w:sz w:val="24"/>
                <w:szCs w:val="24"/>
                <w:lang w:val="en-GB" w:eastAsia="en-GB"/>
                <w14:ligatures w14:val="standardContextual"/>
              </w:rPr>
              <w:tab/>
            </w:r>
            <w:r w:rsidRPr="00270E73">
              <w:rPr>
                <w:rStyle w:val="Hyperlink"/>
                <w:noProof/>
              </w:rPr>
              <w:t>Data Analysis</w:t>
            </w:r>
            <w:r>
              <w:rPr>
                <w:noProof/>
                <w:webHidden/>
              </w:rPr>
              <w:tab/>
            </w:r>
            <w:r>
              <w:rPr>
                <w:noProof/>
                <w:webHidden/>
              </w:rPr>
              <w:fldChar w:fldCharType="begin"/>
            </w:r>
            <w:r>
              <w:rPr>
                <w:noProof/>
                <w:webHidden/>
              </w:rPr>
              <w:instrText xml:space="preserve"> PAGEREF _Toc141646715 \h </w:instrText>
            </w:r>
            <w:r>
              <w:rPr>
                <w:noProof/>
                <w:webHidden/>
              </w:rPr>
            </w:r>
            <w:r>
              <w:rPr>
                <w:noProof/>
                <w:webHidden/>
              </w:rPr>
              <w:fldChar w:fldCharType="separate"/>
            </w:r>
            <w:r>
              <w:rPr>
                <w:noProof/>
                <w:webHidden/>
              </w:rPr>
              <w:t>31</w:t>
            </w:r>
            <w:r>
              <w:rPr>
                <w:noProof/>
                <w:webHidden/>
              </w:rPr>
              <w:fldChar w:fldCharType="end"/>
            </w:r>
          </w:hyperlink>
        </w:p>
        <w:p w14:paraId="05193EE0" w14:textId="441B2EC0" w:rsidR="0025052F" w:rsidRDefault="0025052F">
          <w:pPr>
            <w:pStyle w:val="TOC3"/>
            <w:tabs>
              <w:tab w:val="left" w:pos="1200"/>
              <w:tab w:val="right" w:leader="dot" w:pos="9016"/>
            </w:tabs>
            <w:rPr>
              <w:noProof/>
              <w:kern w:val="2"/>
              <w:sz w:val="24"/>
              <w:szCs w:val="24"/>
              <w:lang w:val="en-GB" w:eastAsia="en-GB"/>
              <w14:ligatures w14:val="standardContextual"/>
            </w:rPr>
          </w:pPr>
          <w:hyperlink w:anchor="_Toc141646716" w:history="1">
            <w:r w:rsidRPr="00270E73">
              <w:rPr>
                <w:rStyle w:val="Hyperlink"/>
                <w:noProof/>
              </w:rPr>
              <w:t>3.4.1.</w:t>
            </w:r>
            <w:r>
              <w:rPr>
                <w:noProof/>
                <w:kern w:val="2"/>
                <w:sz w:val="24"/>
                <w:szCs w:val="24"/>
                <w:lang w:val="en-GB" w:eastAsia="en-GB"/>
                <w14:ligatures w14:val="standardContextual"/>
              </w:rPr>
              <w:tab/>
            </w:r>
            <w:r w:rsidRPr="00270E73">
              <w:rPr>
                <w:rStyle w:val="Hyperlink"/>
                <w:noProof/>
              </w:rPr>
              <w:t>Company to Sector Analysis</w:t>
            </w:r>
            <w:r>
              <w:rPr>
                <w:noProof/>
                <w:webHidden/>
              </w:rPr>
              <w:tab/>
            </w:r>
            <w:r>
              <w:rPr>
                <w:noProof/>
                <w:webHidden/>
              </w:rPr>
              <w:fldChar w:fldCharType="begin"/>
            </w:r>
            <w:r>
              <w:rPr>
                <w:noProof/>
                <w:webHidden/>
              </w:rPr>
              <w:instrText xml:space="preserve"> PAGEREF _Toc141646716 \h </w:instrText>
            </w:r>
            <w:r>
              <w:rPr>
                <w:noProof/>
                <w:webHidden/>
              </w:rPr>
            </w:r>
            <w:r>
              <w:rPr>
                <w:noProof/>
                <w:webHidden/>
              </w:rPr>
              <w:fldChar w:fldCharType="separate"/>
            </w:r>
            <w:r>
              <w:rPr>
                <w:noProof/>
                <w:webHidden/>
              </w:rPr>
              <w:t>31</w:t>
            </w:r>
            <w:r>
              <w:rPr>
                <w:noProof/>
                <w:webHidden/>
              </w:rPr>
              <w:fldChar w:fldCharType="end"/>
            </w:r>
          </w:hyperlink>
        </w:p>
        <w:p w14:paraId="348DD950" w14:textId="06AB2D71" w:rsidR="0025052F" w:rsidRDefault="0025052F">
          <w:pPr>
            <w:pStyle w:val="TOC1"/>
            <w:tabs>
              <w:tab w:val="left" w:pos="440"/>
            </w:tabs>
            <w:rPr>
              <w:rFonts w:eastAsiaTheme="minorEastAsia"/>
              <w:b w:val="0"/>
              <w:noProof/>
              <w:kern w:val="2"/>
              <w:sz w:val="24"/>
              <w:szCs w:val="24"/>
              <w:lang w:eastAsia="en-GB"/>
              <w14:ligatures w14:val="standardContextual"/>
            </w:rPr>
          </w:pPr>
          <w:hyperlink w:anchor="_Toc141646717" w:history="1">
            <w:r w:rsidRPr="00270E73">
              <w:rPr>
                <w:rStyle w:val="Hyperlink"/>
                <w:noProof/>
              </w:rPr>
              <w:t>4.</w:t>
            </w:r>
            <w:r>
              <w:rPr>
                <w:rFonts w:eastAsiaTheme="minorEastAsia"/>
                <w:b w:val="0"/>
                <w:noProof/>
                <w:kern w:val="2"/>
                <w:sz w:val="24"/>
                <w:szCs w:val="24"/>
                <w:lang w:eastAsia="en-GB"/>
                <w14:ligatures w14:val="standardContextual"/>
              </w:rPr>
              <w:tab/>
            </w:r>
            <w:r w:rsidRPr="00270E73">
              <w:rPr>
                <w:rStyle w:val="Hyperlink"/>
                <w:noProof/>
              </w:rPr>
              <w:t>Results</w:t>
            </w:r>
            <w:r>
              <w:rPr>
                <w:noProof/>
                <w:webHidden/>
              </w:rPr>
              <w:tab/>
            </w:r>
            <w:r>
              <w:rPr>
                <w:noProof/>
                <w:webHidden/>
              </w:rPr>
              <w:fldChar w:fldCharType="begin"/>
            </w:r>
            <w:r>
              <w:rPr>
                <w:noProof/>
                <w:webHidden/>
              </w:rPr>
              <w:instrText xml:space="preserve"> PAGEREF _Toc141646717 \h </w:instrText>
            </w:r>
            <w:r>
              <w:rPr>
                <w:noProof/>
                <w:webHidden/>
              </w:rPr>
            </w:r>
            <w:r>
              <w:rPr>
                <w:noProof/>
                <w:webHidden/>
              </w:rPr>
              <w:fldChar w:fldCharType="separate"/>
            </w:r>
            <w:r>
              <w:rPr>
                <w:noProof/>
                <w:webHidden/>
              </w:rPr>
              <w:t>33</w:t>
            </w:r>
            <w:r>
              <w:rPr>
                <w:noProof/>
                <w:webHidden/>
              </w:rPr>
              <w:fldChar w:fldCharType="end"/>
            </w:r>
          </w:hyperlink>
        </w:p>
        <w:p w14:paraId="40D6A5E8" w14:textId="38E289E6" w:rsidR="0025052F" w:rsidRDefault="0025052F">
          <w:pPr>
            <w:pStyle w:val="TOC2"/>
            <w:tabs>
              <w:tab w:val="left" w:pos="960"/>
              <w:tab w:val="right" w:leader="dot" w:pos="9016"/>
            </w:tabs>
            <w:rPr>
              <w:noProof/>
              <w:kern w:val="2"/>
              <w:sz w:val="24"/>
              <w:szCs w:val="24"/>
              <w:lang w:val="en-GB" w:eastAsia="en-GB"/>
              <w14:ligatures w14:val="standardContextual"/>
            </w:rPr>
          </w:pPr>
          <w:hyperlink w:anchor="_Toc141646718" w:history="1">
            <w:r w:rsidRPr="00270E73">
              <w:rPr>
                <w:rStyle w:val="Hyperlink"/>
                <w:noProof/>
              </w:rPr>
              <w:t>4.1.</w:t>
            </w:r>
            <w:r>
              <w:rPr>
                <w:noProof/>
                <w:kern w:val="2"/>
                <w:sz w:val="24"/>
                <w:szCs w:val="24"/>
                <w:lang w:val="en-GB" w:eastAsia="en-GB"/>
                <w14:ligatures w14:val="standardContextual"/>
              </w:rPr>
              <w:tab/>
            </w:r>
            <w:r w:rsidRPr="00270E73">
              <w:rPr>
                <w:rStyle w:val="Hyperlink"/>
                <w:noProof/>
              </w:rPr>
              <w:t>FTSE 250 Index Stock Value 2019-2021</w:t>
            </w:r>
            <w:r>
              <w:rPr>
                <w:noProof/>
                <w:webHidden/>
              </w:rPr>
              <w:tab/>
            </w:r>
            <w:r>
              <w:rPr>
                <w:noProof/>
                <w:webHidden/>
              </w:rPr>
              <w:fldChar w:fldCharType="begin"/>
            </w:r>
            <w:r>
              <w:rPr>
                <w:noProof/>
                <w:webHidden/>
              </w:rPr>
              <w:instrText xml:space="preserve"> PAGEREF _Toc141646718 \h </w:instrText>
            </w:r>
            <w:r>
              <w:rPr>
                <w:noProof/>
                <w:webHidden/>
              </w:rPr>
            </w:r>
            <w:r>
              <w:rPr>
                <w:noProof/>
                <w:webHidden/>
              </w:rPr>
              <w:fldChar w:fldCharType="separate"/>
            </w:r>
            <w:r>
              <w:rPr>
                <w:noProof/>
                <w:webHidden/>
              </w:rPr>
              <w:t>33</w:t>
            </w:r>
            <w:r>
              <w:rPr>
                <w:noProof/>
                <w:webHidden/>
              </w:rPr>
              <w:fldChar w:fldCharType="end"/>
            </w:r>
          </w:hyperlink>
        </w:p>
        <w:p w14:paraId="05A798F1" w14:textId="76B336B6" w:rsidR="0025052F" w:rsidRDefault="0025052F">
          <w:pPr>
            <w:pStyle w:val="TOC2"/>
            <w:tabs>
              <w:tab w:val="left" w:pos="960"/>
              <w:tab w:val="right" w:leader="dot" w:pos="9016"/>
            </w:tabs>
            <w:rPr>
              <w:noProof/>
              <w:kern w:val="2"/>
              <w:sz w:val="24"/>
              <w:szCs w:val="24"/>
              <w:lang w:val="en-GB" w:eastAsia="en-GB"/>
              <w14:ligatures w14:val="standardContextual"/>
            </w:rPr>
          </w:pPr>
          <w:hyperlink w:anchor="_Toc141646719" w:history="1">
            <w:r w:rsidRPr="00270E73">
              <w:rPr>
                <w:rStyle w:val="Hyperlink"/>
                <w:noProof/>
              </w:rPr>
              <w:t>4.2.</w:t>
            </w:r>
            <w:r>
              <w:rPr>
                <w:noProof/>
                <w:kern w:val="2"/>
                <w:sz w:val="24"/>
                <w:szCs w:val="24"/>
                <w:lang w:val="en-GB" w:eastAsia="en-GB"/>
                <w14:ligatures w14:val="standardContextual"/>
              </w:rPr>
              <w:tab/>
            </w:r>
            <w:r w:rsidRPr="00270E73">
              <w:rPr>
                <w:rStyle w:val="Hyperlink"/>
                <w:noProof/>
              </w:rPr>
              <w:t>All Companies – Averages</w:t>
            </w:r>
            <w:r>
              <w:rPr>
                <w:noProof/>
                <w:webHidden/>
              </w:rPr>
              <w:tab/>
            </w:r>
            <w:r>
              <w:rPr>
                <w:noProof/>
                <w:webHidden/>
              </w:rPr>
              <w:fldChar w:fldCharType="begin"/>
            </w:r>
            <w:r>
              <w:rPr>
                <w:noProof/>
                <w:webHidden/>
              </w:rPr>
              <w:instrText xml:space="preserve"> PAGEREF _Toc141646719 \h </w:instrText>
            </w:r>
            <w:r>
              <w:rPr>
                <w:noProof/>
                <w:webHidden/>
              </w:rPr>
            </w:r>
            <w:r>
              <w:rPr>
                <w:noProof/>
                <w:webHidden/>
              </w:rPr>
              <w:fldChar w:fldCharType="separate"/>
            </w:r>
            <w:r>
              <w:rPr>
                <w:noProof/>
                <w:webHidden/>
              </w:rPr>
              <w:t>34</w:t>
            </w:r>
            <w:r>
              <w:rPr>
                <w:noProof/>
                <w:webHidden/>
              </w:rPr>
              <w:fldChar w:fldCharType="end"/>
            </w:r>
          </w:hyperlink>
        </w:p>
        <w:p w14:paraId="09A2F8FF" w14:textId="53573FCF" w:rsidR="0025052F" w:rsidRDefault="0025052F">
          <w:pPr>
            <w:pStyle w:val="TOC2"/>
            <w:tabs>
              <w:tab w:val="left" w:pos="960"/>
              <w:tab w:val="right" w:leader="dot" w:pos="9016"/>
            </w:tabs>
            <w:rPr>
              <w:noProof/>
              <w:kern w:val="2"/>
              <w:sz w:val="24"/>
              <w:szCs w:val="24"/>
              <w:lang w:val="en-GB" w:eastAsia="en-GB"/>
              <w14:ligatures w14:val="standardContextual"/>
            </w:rPr>
          </w:pPr>
          <w:hyperlink w:anchor="_Toc141646720" w:history="1">
            <w:r w:rsidRPr="00270E73">
              <w:rPr>
                <w:rStyle w:val="Hyperlink"/>
                <w:noProof/>
              </w:rPr>
              <w:t>4.3.</w:t>
            </w:r>
            <w:r>
              <w:rPr>
                <w:noProof/>
                <w:kern w:val="2"/>
                <w:sz w:val="24"/>
                <w:szCs w:val="24"/>
                <w:lang w:val="en-GB" w:eastAsia="en-GB"/>
                <w14:ligatures w14:val="standardContextual"/>
              </w:rPr>
              <w:tab/>
            </w:r>
            <w:r w:rsidRPr="00270E73">
              <w:rPr>
                <w:rStyle w:val="Hyperlink"/>
                <w:noProof/>
              </w:rPr>
              <w:t>Profitability</w:t>
            </w:r>
            <w:r>
              <w:rPr>
                <w:noProof/>
                <w:webHidden/>
              </w:rPr>
              <w:tab/>
            </w:r>
            <w:r>
              <w:rPr>
                <w:noProof/>
                <w:webHidden/>
              </w:rPr>
              <w:fldChar w:fldCharType="begin"/>
            </w:r>
            <w:r>
              <w:rPr>
                <w:noProof/>
                <w:webHidden/>
              </w:rPr>
              <w:instrText xml:space="preserve"> PAGEREF _Toc141646720 \h </w:instrText>
            </w:r>
            <w:r>
              <w:rPr>
                <w:noProof/>
                <w:webHidden/>
              </w:rPr>
            </w:r>
            <w:r>
              <w:rPr>
                <w:noProof/>
                <w:webHidden/>
              </w:rPr>
              <w:fldChar w:fldCharType="separate"/>
            </w:r>
            <w:r>
              <w:rPr>
                <w:noProof/>
                <w:webHidden/>
              </w:rPr>
              <w:t>36</w:t>
            </w:r>
            <w:r>
              <w:rPr>
                <w:noProof/>
                <w:webHidden/>
              </w:rPr>
              <w:fldChar w:fldCharType="end"/>
            </w:r>
          </w:hyperlink>
        </w:p>
        <w:p w14:paraId="4C36FEE4" w14:textId="2CB01324" w:rsidR="0025052F" w:rsidRDefault="0025052F">
          <w:pPr>
            <w:pStyle w:val="TOC3"/>
            <w:tabs>
              <w:tab w:val="left" w:pos="1200"/>
              <w:tab w:val="right" w:leader="dot" w:pos="9016"/>
            </w:tabs>
            <w:rPr>
              <w:noProof/>
              <w:kern w:val="2"/>
              <w:sz w:val="24"/>
              <w:szCs w:val="24"/>
              <w:lang w:val="en-GB" w:eastAsia="en-GB"/>
              <w14:ligatures w14:val="standardContextual"/>
            </w:rPr>
          </w:pPr>
          <w:hyperlink w:anchor="_Toc141646721" w:history="1">
            <w:r w:rsidRPr="00270E73">
              <w:rPr>
                <w:rStyle w:val="Hyperlink"/>
                <w:noProof/>
              </w:rPr>
              <w:t>4.3.1.</w:t>
            </w:r>
            <w:r>
              <w:rPr>
                <w:noProof/>
                <w:kern w:val="2"/>
                <w:sz w:val="24"/>
                <w:szCs w:val="24"/>
                <w:lang w:val="en-GB" w:eastAsia="en-GB"/>
                <w14:ligatures w14:val="standardContextual"/>
              </w:rPr>
              <w:tab/>
            </w:r>
            <w:r w:rsidRPr="00270E73">
              <w:rPr>
                <w:rStyle w:val="Hyperlink"/>
                <w:noProof/>
              </w:rPr>
              <w:t>Gross Margin</w:t>
            </w:r>
            <w:r>
              <w:rPr>
                <w:noProof/>
                <w:webHidden/>
              </w:rPr>
              <w:tab/>
            </w:r>
            <w:r>
              <w:rPr>
                <w:noProof/>
                <w:webHidden/>
              </w:rPr>
              <w:fldChar w:fldCharType="begin"/>
            </w:r>
            <w:r>
              <w:rPr>
                <w:noProof/>
                <w:webHidden/>
              </w:rPr>
              <w:instrText xml:space="preserve"> PAGEREF _Toc141646721 \h </w:instrText>
            </w:r>
            <w:r>
              <w:rPr>
                <w:noProof/>
                <w:webHidden/>
              </w:rPr>
            </w:r>
            <w:r>
              <w:rPr>
                <w:noProof/>
                <w:webHidden/>
              </w:rPr>
              <w:fldChar w:fldCharType="separate"/>
            </w:r>
            <w:r>
              <w:rPr>
                <w:noProof/>
                <w:webHidden/>
              </w:rPr>
              <w:t>36</w:t>
            </w:r>
            <w:r>
              <w:rPr>
                <w:noProof/>
                <w:webHidden/>
              </w:rPr>
              <w:fldChar w:fldCharType="end"/>
            </w:r>
          </w:hyperlink>
        </w:p>
        <w:p w14:paraId="74DD49C4" w14:textId="4EBF1872" w:rsidR="0025052F" w:rsidRDefault="0025052F">
          <w:pPr>
            <w:pStyle w:val="TOC3"/>
            <w:tabs>
              <w:tab w:val="left" w:pos="1200"/>
              <w:tab w:val="right" w:leader="dot" w:pos="9016"/>
            </w:tabs>
            <w:rPr>
              <w:noProof/>
              <w:kern w:val="2"/>
              <w:sz w:val="24"/>
              <w:szCs w:val="24"/>
              <w:lang w:val="en-GB" w:eastAsia="en-GB"/>
              <w14:ligatures w14:val="standardContextual"/>
            </w:rPr>
          </w:pPr>
          <w:hyperlink w:anchor="_Toc141646722" w:history="1">
            <w:r w:rsidRPr="00270E73">
              <w:rPr>
                <w:rStyle w:val="Hyperlink"/>
                <w:noProof/>
              </w:rPr>
              <w:t>4.3.2.</w:t>
            </w:r>
            <w:r>
              <w:rPr>
                <w:noProof/>
                <w:kern w:val="2"/>
                <w:sz w:val="24"/>
                <w:szCs w:val="24"/>
                <w:lang w:val="en-GB" w:eastAsia="en-GB"/>
                <w14:ligatures w14:val="standardContextual"/>
              </w:rPr>
              <w:tab/>
            </w:r>
            <w:r w:rsidRPr="00270E73">
              <w:rPr>
                <w:rStyle w:val="Hyperlink"/>
                <w:noProof/>
              </w:rPr>
              <w:t>Cost of Sales</w:t>
            </w:r>
            <w:r>
              <w:rPr>
                <w:noProof/>
                <w:webHidden/>
              </w:rPr>
              <w:tab/>
            </w:r>
            <w:r>
              <w:rPr>
                <w:noProof/>
                <w:webHidden/>
              </w:rPr>
              <w:fldChar w:fldCharType="begin"/>
            </w:r>
            <w:r>
              <w:rPr>
                <w:noProof/>
                <w:webHidden/>
              </w:rPr>
              <w:instrText xml:space="preserve"> PAGEREF _Toc141646722 \h </w:instrText>
            </w:r>
            <w:r>
              <w:rPr>
                <w:noProof/>
                <w:webHidden/>
              </w:rPr>
            </w:r>
            <w:r>
              <w:rPr>
                <w:noProof/>
                <w:webHidden/>
              </w:rPr>
              <w:fldChar w:fldCharType="separate"/>
            </w:r>
            <w:r>
              <w:rPr>
                <w:noProof/>
                <w:webHidden/>
              </w:rPr>
              <w:t>37</w:t>
            </w:r>
            <w:r>
              <w:rPr>
                <w:noProof/>
                <w:webHidden/>
              </w:rPr>
              <w:fldChar w:fldCharType="end"/>
            </w:r>
          </w:hyperlink>
        </w:p>
        <w:p w14:paraId="6863D558" w14:textId="0584999D" w:rsidR="0025052F" w:rsidRDefault="0025052F">
          <w:pPr>
            <w:pStyle w:val="TOC3"/>
            <w:tabs>
              <w:tab w:val="left" w:pos="1200"/>
              <w:tab w:val="right" w:leader="dot" w:pos="9016"/>
            </w:tabs>
            <w:rPr>
              <w:noProof/>
              <w:kern w:val="2"/>
              <w:sz w:val="24"/>
              <w:szCs w:val="24"/>
              <w:lang w:val="en-GB" w:eastAsia="en-GB"/>
              <w14:ligatures w14:val="standardContextual"/>
            </w:rPr>
          </w:pPr>
          <w:hyperlink w:anchor="_Toc141646723" w:history="1">
            <w:r w:rsidRPr="00270E73">
              <w:rPr>
                <w:rStyle w:val="Hyperlink"/>
                <w:noProof/>
              </w:rPr>
              <w:t>4.3.3.</w:t>
            </w:r>
            <w:r>
              <w:rPr>
                <w:noProof/>
                <w:kern w:val="2"/>
                <w:sz w:val="24"/>
                <w:szCs w:val="24"/>
                <w:lang w:val="en-GB" w:eastAsia="en-GB"/>
                <w14:ligatures w14:val="standardContextual"/>
              </w:rPr>
              <w:tab/>
            </w:r>
            <w:r w:rsidRPr="00270E73">
              <w:rPr>
                <w:rStyle w:val="Hyperlink"/>
                <w:noProof/>
              </w:rPr>
              <w:t>Tax</w:t>
            </w:r>
            <w:r>
              <w:rPr>
                <w:noProof/>
                <w:webHidden/>
              </w:rPr>
              <w:tab/>
            </w:r>
            <w:r>
              <w:rPr>
                <w:noProof/>
                <w:webHidden/>
              </w:rPr>
              <w:fldChar w:fldCharType="begin"/>
            </w:r>
            <w:r>
              <w:rPr>
                <w:noProof/>
                <w:webHidden/>
              </w:rPr>
              <w:instrText xml:space="preserve"> PAGEREF _Toc141646723 \h </w:instrText>
            </w:r>
            <w:r>
              <w:rPr>
                <w:noProof/>
                <w:webHidden/>
              </w:rPr>
            </w:r>
            <w:r>
              <w:rPr>
                <w:noProof/>
                <w:webHidden/>
              </w:rPr>
              <w:fldChar w:fldCharType="separate"/>
            </w:r>
            <w:r>
              <w:rPr>
                <w:noProof/>
                <w:webHidden/>
              </w:rPr>
              <w:t>39</w:t>
            </w:r>
            <w:r>
              <w:rPr>
                <w:noProof/>
                <w:webHidden/>
              </w:rPr>
              <w:fldChar w:fldCharType="end"/>
            </w:r>
          </w:hyperlink>
        </w:p>
        <w:p w14:paraId="58FC7572" w14:textId="3C5F9131" w:rsidR="0025052F" w:rsidRDefault="0025052F">
          <w:pPr>
            <w:pStyle w:val="TOC3"/>
            <w:tabs>
              <w:tab w:val="left" w:pos="1200"/>
              <w:tab w:val="right" w:leader="dot" w:pos="9016"/>
            </w:tabs>
            <w:rPr>
              <w:noProof/>
              <w:kern w:val="2"/>
              <w:sz w:val="24"/>
              <w:szCs w:val="24"/>
              <w:lang w:val="en-GB" w:eastAsia="en-GB"/>
              <w14:ligatures w14:val="standardContextual"/>
            </w:rPr>
          </w:pPr>
          <w:hyperlink w:anchor="_Toc141646724" w:history="1">
            <w:r w:rsidRPr="00270E73">
              <w:rPr>
                <w:rStyle w:val="Hyperlink"/>
                <w:noProof/>
              </w:rPr>
              <w:t>4.3.4.</w:t>
            </w:r>
            <w:r>
              <w:rPr>
                <w:noProof/>
                <w:kern w:val="2"/>
                <w:sz w:val="24"/>
                <w:szCs w:val="24"/>
                <w:lang w:val="en-GB" w:eastAsia="en-GB"/>
                <w14:ligatures w14:val="standardContextual"/>
              </w:rPr>
              <w:tab/>
            </w:r>
            <w:r w:rsidRPr="00270E73">
              <w:rPr>
                <w:rStyle w:val="Hyperlink"/>
                <w:noProof/>
              </w:rPr>
              <w:t>Operating Profit</w:t>
            </w:r>
            <w:r>
              <w:rPr>
                <w:noProof/>
                <w:webHidden/>
              </w:rPr>
              <w:tab/>
            </w:r>
            <w:r>
              <w:rPr>
                <w:noProof/>
                <w:webHidden/>
              </w:rPr>
              <w:fldChar w:fldCharType="begin"/>
            </w:r>
            <w:r>
              <w:rPr>
                <w:noProof/>
                <w:webHidden/>
              </w:rPr>
              <w:instrText xml:space="preserve"> PAGEREF _Toc141646724 \h </w:instrText>
            </w:r>
            <w:r>
              <w:rPr>
                <w:noProof/>
                <w:webHidden/>
              </w:rPr>
            </w:r>
            <w:r>
              <w:rPr>
                <w:noProof/>
                <w:webHidden/>
              </w:rPr>
              <w:fldChar w:fldCharType="separate"/>
            </w:r>
            <w:r>
              <w:rPr>
                <w:noProof/>
                <w:webHidden/>
              </w:rPr>
              <w:t>40</w:t>
            </w:r>
            <w:r>
              <w:rPr>
                <w:noProof/>
                <w:webHidden/>
              </w:rPr>
              <w:fldChar w:fldCharType="end"/>
            </w:r>
          </w:hyperlink>
        </w:p>
        <w:p w14:paraId="68328681" w14:textId="0D10BFF0" w:rsidR="0025052F" w:rsidRDefault="0025052F">
          <w:pPr>
            <w:pStyle w:val="TOC3"/>
            <w:tabs>
              <w:tab w:val="left" w:pos="1200"/>
              <w:tab w:val="right" w:leader="dot" w:pos="9016"/>
            </w:tabs>
            <w:rPr>
              <w:noProof/>
              <w:kern w:val="2"/>
              <w:sz w:val="24"/>
              <w:szCs w:val="24"/>
              <w:lang w:val="en-GB" w:eastAsia="en-GB"/>
              <w14:ligatures w14:val="standardContextual"/>
            </w:rPr>
          </w:pPr>
          <w:hyperlink w:anchor="_Toc141646725" w:history="1">
            <w:r w:rsidRPr="00270E73">
              <w:rPr>
                <w:rStyle w:val="Hyperlink"/>
                <w:noProof/>
              </w:rPr>
              <w:t>4.3.5.</w:t>
            </w:r>
            <w:r>
              <w:rPr>
                <w:noProof/>
                <w:kern w:val="2"/>
                <w:sz w:val="24"/>
                <w:szCs w:val="24"/>
                <w:lang w:val="en-GB" w:eastAsia="en-GB"/>
                <w14:ligatures w14:val="standardContextual"/>
              </w:rPr>
              <w:tab/>
            </w:r>
            <w:r w:rsidRPr="00270E73">
              <w:rPr>
                <w:rStyle w:val="Hyperlink"/>
                <w:noProof/>
              </w:rPr>
              <w:t>Net Profit</w:t>
            </w:r>
            <w:r>
              <w:rPr>
                <w:noProof/>
                <w:webHidden/>
              </w:rPr>
              <w:tab/>
            </w:r>
            <w:r>
              <w:rPr>
                <w:noProof/>
                <w:webHidden/>
              </w:rPr>
              <w:fldChar w:fldCharType="begin"/>
            </w:r>
            <w:r>
              <w:rPr>
                <w:noProof/>
                <w:webHidden/>
              </w:rPr>
              <w:instrText xml:space="preserve"> PAGEREF _Toc141646725 \h </w:instrText>
            </w:r>
            <w:r>
              <w:rPr>
                <w:noProof/>
                <w:webHidden/>
              </w:rPr>
            </w:r>
            <w:r>
              <w:rPr>
                <w:noProof/>
                <w:webHidden/>
              </w:rPr>
              <w:fldChar w:fldCharType="separate"/>
            </w:r>
            <w:r>
              <w:rPr>
                <w:noProof/>
                <w:webHidden/>
              </w:rPr>
              <w:t>42</w:t>
            </w:r>
            <w:r>
              <w:rPr>
                <w:noProof/>
                <w:webHidden/>
              </w:rPr>
              <w:fldChar w:fldCharType="end"/>
            </w:r>
          </w:hyperlink>
        </w:p>
        <w:p w14:paraId="755EF8DF" w14:textId="14BC05CD" w:rsidR="0025052F" w:rsidRDefault="0025052F">
          <w:pPr>
            <w:pStyle w:val="TOC3"/>
            <w:tabs>
              <w:tab w:val="left" w:pos="1200"/>
              <w:tab w:val="right" w:leader="dot" w:pos="9016"/>
            </w:tabs>
            <w:rPr>
              <w:noProof/>
              <w:kern w:val="2"/>
              <w:sz w:val="24"/>
              <w:szCs w:val="24"/>
              <w:lang w:val="en-GB" w:eastAsia="en-GB"/>
              <w14:ligatures w14:val="standardContextual"/>
            </w:rPr>
          </w:pPr>
          <w:hyperlink w:anchor="_Toc141646726" w:history="1">
            <w:r w:rsidRPr="00270E73">
              <w:rPr>
                <w:rStyle w:val="Hyperlink"/>
                <w:noProof/>
              </w:rPr>
              <w:t>4.3.6.</w:t>
            </w:r>
            <w:r>
              <w:rPr>
                <w:noProof/>
                <w:kern w:val="2"/>
                <w:sz w:val="24"/>
                <w:szCs w:val="24"/>
                <w:lang w:val="en-GB" w:eastAsia="en-GB"/>
                <w14:ligatures w14:val="standardContextual"/>
              </w:rPr>
              <w:tab/>
            </w:r>
            <w:r w:rsidRPr="00270E73">
              <w:rPr>
                <w:rStyle w:val="Hyperlink"/>
                <w:noProof/>
              </w:rPr>
              <w:t>Return on Capital Employed</w:t>
            </w:r>
            <w:r>
              <w:rPr>
                <w:noProof/>
                <w:webHidden/>
              </w:rPr>
              <w:tab/>
            </w:r>
            <w:r>
              <w:rPr>
                <w:noProof/>
                <w:webHidden/>
              </w:rPr>
              <w:fldChar w:fldCharType="begin"/>
            </w:r>
            <w:r>
              <w:rPr>
                <w:noProof/>
                <w:webHidden/>
              </w:rPr>
              <w:instrText xml:space="preserve"> PAGEREF _Toc141646726 \h </w:instrText>
            </w:r>
            <w:r>
              <w:rPr>
                <w:noProof/>
                <w:webHidden/>
              </w:rPr>
            </w:r>
            <w:r>
              <w:rPr>
                <w:noProof/>
                <w:webHidden/>
              </w:rPr>
              <w:fldChar w:fldCharType="separate"/>
            </w:r>
            <w:r>
              <w:rPr>
                <w:noProof/>
                <w:webHidden/>
              </w:rPr>
              <w:t>43</w:t>
            </w:r>
            <w:r>
              <w:rPr>
                <w:noProof/>
                <w:webHidden/>
              </w:rPr>
              <w:fldChar w:fldCharType="end"/>
            </w:r>
          </w:hyperlink>
        </w:p>
        <w:p w14:paraId="577E866F" w14:textId="51C74FCF" w:rsidR="0025052F" w:rsidRDefault="0025052F">
          <w:pPr>
            <w:pStyle w:val="TOC2"/>
            <w:tabs>
              <w:tab w:val="left" w:pos="960"/>
              <w:tab w:val="right" w:leader="dot" w:pos="9016"/>
            </w:tabs>
            <w:rPr>
              <w:noProof/>
              <w:kern w:val="2"/>
              <w:sz w:val="24"/>
              <w:szCs w:val="24"/>
              <w:lang w:val="en-GB" w:eastAsia="en-GB"/>
              <w14:ligatures w14:val="standardContextual"/>
            </w:rPr>
          </w:pPr>
          <w:hyperlink w:anchor="_Toc141646727" w:history="1">
            <w:r w:rsidRPr="00270E73">
              <w:rPr>
                <w:rStyle w:val="Hyperlink"/>
                <w:noProof/>
              </w:rPr>
              <w:t>4.4.</w:t>
            </w:r>
            <w:r>
              <w:rPr>
                <w:noProof/>
                <w:kern w:val="2"/>
                <w:sz w:val="24"/>
                <w:szCs w:val="24"/>
                <w:lang w:val="en-GB" w:eastAsia="en-GB"/>
                <w14:ligatures w14:val="standardContextual"/>
              </w:rPr>
              <w:tab/>
            </w:r>
            <w:r w:rsidRPr="00270E73">
              <w:rPr>
                <w:rStyle w:val="Hyperlink"/>
                <w:noProof/>
              </w:rPr>
              <w:t>Efficiency</w:t>
            </w:r>
            <w:r>
              <w:rPr>
                <w:noProof/>
                <w:webHidden/>
              </w:rPr>
              <w:tab/>
            </w:r>
            <w:r>
              <w:rPr>
                <w:noProof/>
                <w:webHidden/>
              </w:rPr>
              <w:fldChar w:fldCharType="begin"/>
            </w:r>
            <w:r>
              <w:rPr>
                <w:noProof/>
                <w:webHidden/>
              </w:rPr>
              <w:instrText xml:space="preserve"> PAGEREF _Toc141646727 \h </w:instrText>
            </w:r>
            <w:r>
              <w:rPr>
                <w:noProof/>
                <w:webHidden/>
              </w:rPr>
            </w:r>
            <w:r>
              <w:rPr>
                <w:noProof/>
                <w:webHidden/>
              </w:rPr>
              <w:fldChar w:fldCharType="separate"/>
            </w:r>
            <w:r>
              <w:rPr>
                <w:noProof/>
                <w:webHidden/>
              </w:rPr>
              <w:t>45</w:t>
            </w:r>
            <w:r>
              <w:rPr>
                <w:noProof/>
                <w:webHidden/>
              </w:rPr>
              <w:fldChar w:fldCharType="end"/>
            </w:r>
          </w:hyperlink>
        </w:p>
        <w:p w14:paraId="2BF84118" w14:textId="45C70164" w:rsidR="0025052F" w:rsidRDefault="0025052F">
          <w:pPr>
            <w:pStyle w:val="TOC3"/>
            <w:tabs>
              <w:tab w:val="left" w:pos="1200"/>
              <w:tab w:val="right" w:leader="dot" w:pos="9016"/>
            </w:tabs>
            <w:rPr>
              <w:noProof/>
              <w:kern w:val="2"/>
              <w:sz w:val="24"/>
              <w:szCs w:val="24"/>
              <w:lang w:val="en-GB" w:eastAsia="en-GB"/>
              <w14:ligatures w14:val="standardContextual"/>
            </w:rPr>
          </w:pPr>
          <w:hyperlink w:anchor="_Toc141646728" w:history="1">
            <w:r w:rsidRPr="00270E73">
              <w:rPr>
                <w:rStyle w:val="Hyperlink"/>
                <w:noProof/>
              </w:rPr>
              <w:t>4.4.1.</w:t>
            </w:r>
            <w:r>
              <w:rPr>
                <w:noProof/>
                <w:kern w:val="2"/>
                <w:sz w:val="24"/>
                <w:szCs w:val="24"/>
                <w:lang w:val="en-GB" w:eastAsia="en-GB"/>
                <w14:ligatures w14:val="standardContextual"/>
              </w:rPr>
              <w:tab/>
            </w:r>
            <w:r w:rsidRPr="00270E73">
              <w:rPr>
                <w:rStyle w:val="Hyperlink"/>
                <w:noProof/>
              </w:rPr>
              <w:t>Asset Turnover</w:t>
            </w:r>
            <w:r>
              <w:rPr>
                <w:noProof/>
                <w:webHidden/>
              </w:rPr>
              <w:tab/>
            </w:r>
            <w:r>
              <w:rPr>
                <w:noProof/>
                <w:webHidden/>
              </w:rPr>
              <w:fldChar w:fldCharType="begin"/>
            </w:r>
            <w:r>
              <w:rPr>
                <w:noProof/>
                <w:webHidden/>
              </w:rPr>
              <w:instrText xml:space="preserve"> PAGEREF _Toc141646728 \h </w:instrText>
            </w:r>
            <w:r>
              <w:rPr>
                <w:noProof/>
                <w:webHidden/>
              </w:rPr>
            </w:r>
            <w:r>
              <w:rPr>
                <w:noProof/>
                <w:webHidden/>
              </w:rPr>
              <w:fldChar w:fldCharType="separate"/>
            </w:r>
            <w:r>
              <w:rPr>
                <w:noProof/>
                <w:webHidden/>
              </w:rPr>
              <w:t>45</w:t>
            </w:r>
            <w:r>
              <w:rPr>
                <w:noProof/>
                <w:webHidden/>
              </w:rPr>
              <w:fldChar w:fldCharType="end"/>
            </w:r>
          </w:hyperlink>
        </w:p>
        <w:p w14:paraId="6DE5F75A" w14:textId="0B14D6F3" w:rsidR="0025052F" w:rsidRDefault="0025052F">
          <w:pPr>
            <w:pStyle w:val="TOC3"/>
            <w:tabs>
              <w:tab w:val="left" w:pos="1200"/>
              <w:tab w:val="right" w:leader="dot" w:pos="9016"/>
            </w:tabs>
            <w:rPr>
              <w:noProof/>
              <w:kern w:val="2"/>
              <w:sz w:val="24"/>
              <w:szCs w:val="24"/>
              <w:lang w:val="en-GB" w:eastAsia="en-GB"/>
              <w14:ligatures w14:val="standardContextual"/>
            </w:rPr>
          </w:pPr>
          <w:hyperlink w:anchor="_Toc141646729" w:history="1">
            <w:r w:rsidRPr="00270E73">
              <w:rPr>
                <w:rStyle w:val="Hyperlink"/>
                <w:noProof/>
              </w:rPr>
              <w:t>4.4.2.</w:t>
            </w:r>
            <w:r>
              <w:rPr>
                <w:noProof/>
                <w:kern w:val="2"/>
                <w:sz w:val="24"/>
                <w:szCs w:val="24"/>
                <w:lang w:val="en-GB" w:eastAsia="en-GB"/>
                <w14:ligatures w14:val="standardContextual"/>
              </w:rPr>
              <w:tab/>
            </w:r>
            <w:r w:rsidRPr="00270E73">
              <w:rPr>
                <w:rStyle w:val="Hyperlink"/>
                <w:noProof/>
              </w:rPr>
              <w:t>Return on Assets</w:t>
            </w:r>
            <w:r>
              <w:rPr>
                <w:noProof/>
                <w:webHidden/>
              </w:rPr>
              <w:tab/>
            </w:r>
            <w:r>
              <w:rPr>
                <w:noProof/>
                <w:webHidden/>
              </w:rPr>
              <w:fldChar w:fldCharType="begin"/>
            </w:r>
            <w:r>
              <w:rPr>
                <w:noProof/>
                <w:webHidden/>
              </w:rPr>
              <w:instrText xml:space="preserve"> PAGEREF _Toc141646729 \h </w:instrText>
            </w:r>
            <w:r>
              <w:rPr>
                <w:noProof/>
                <w:webHidden/>
              </w:rPr>
            </w:r>
            <w:r>
              <w:rPr>
                <w:noProof/>
                <w:webHidden/>
              </w:rPr>
              <w:fldChar w:fldCharType="separate"/>
            </w:r>
            <w:r>
              <w:rPr>
                <w:noProof/>
                <w:webHidden/>
              </w:rPr>
              <w:t>46</w:t>
            </w:r>
            <w:r>
              <w:rPr>
                <w:noProof/>
                <w:webHidden/>
              </w:rPr>
              <w:fldChar w:fldCharType="end"/>
            </w:r>
          </w:hyperlink>
        </w:p>
        <w:p w14:paraId="2A4F3C65" w14:textId="018AC661" w:rsidR="0025052F" w:rsidRDefault="0025052F">
          <w:pPr>
            <w:pStyle w:val="TOC3"/>
            <w:tabs>
              <w:tab w:val="left" w:pos="1200"/>
              <w:tab w:val="right" w:leader="dot" w:pos="9016"/>
            </w:tabs>
            <w:rPr>
              <w:noProof/>
              <w:kern w:val="2"/>
              <w:sz w:val="24"/>
              <w:szCs w:val="24"/>
              <w:lang w:val="en-GB" w:eastAsia="en-GB"/>
              <w14:ligatures w14:val="standardContextual"/>
            </w:rPr>
          </w:pPr>
          <w:hyperlink w:anchor="_Toc141646730" w:history="1">
            <w:r w:rsidRPr="00270E73">
              <w:rPr>
                <w:rStyle w:val="Hyperlink"/>
                <w:noProof/>
              </w:rPr>
              <w:t>4.4.3.</w:t>
            </w:r>
            <w:r>
              <w:rPr>
                <w:noProof/>
                <w:kern w:val="2"/>
                <w:sz w:val="24"/>
                <w:szCs w:val="24"/>
                <w:lang w:val="en-GB" w:eastAsia="en-GB"/>
                <w14:ligatures w14:val="standardContextual"/>
              </w:rPr>
              <w:tab/>
            </w:r>
            <w:r w:rsidRPr="00270E73">
              <w:rPr>
                <w:rStyle w:val="Hyperlink"/>
                <w:noProof/>
              </w:rPr>
              <w:t>Non-current Asset Productivity</w:t>
            </w:r>
            <w:r>
              <w:rPr>
                <w:noProof/>
                <w:webHidden/>
              </w:rPr>
              <w:tab/>
            </w:r>
            <w:r>
              <w:rPr>
                <w:noProof/>
                <w:webHidden/>
              </w:rPr>
              <w:fldChar w:fldCharType="begin"/>
            </w:r>
            <w:r>
              <w:rPr>
                <w:noProof/>
                <w:webHidden/>
              </w:rPr>
              <w:instrText xml:space="preserve"> PAGEREF _Toc141646730 \h </w:instrText>
            </w:r>
            <w:r>
              <w:rPr>
                <w:noProof/>
                <w:webHidden/>
              </w:rPr>
            </w:r>
            <w:r>
              <w:rPr>
                <w:noProof/>
                <w:webHidden/>
              </w:rPr>
              <w:fldChar w:fldCharType="separate"/>
            </w:r>
            <w:r>
              <w:rPr>
                <w:noProof/>
                <w:webHidden/>
              </w:rPr>
              <w:t>48</w:t>
            </w:r>
            <w:r>
              <w:rPr>
                <w:noProof/>
                <w:webHidden/>
              </w:rPr>
              <w:fldChar w:fldCharType="end"/>
            </w:r>
          </w:hyperlink>
        </w:p>
        <w:p w14:paraId="3CCCBC8B" w14:textId="63CFC1BB" w:rsidR="0025052F" w:rsidRDefault="0025052F">
          <w:pPr>
            <w:pStyle w:val="TOC3"/>
            <w:tabs>
              <w:tab w:val="left" w:pos="1200"/>
              <w:tab w:val="right" w:leader="dot" w:pos="9016"/>
            </w:tabs>
            <w:rPr>
              <w:noProof/>
              <w:kern w:val="2"/>
              <w:sz w:val="24"/>
              <w:szCs w:val="24"/>
              <w:lang w:val="en-GB" w:eastAsia="en-GB"/>
              <w14:ligatures w14:val="standardContextual"/>
            </w:rPr>
          </w:pPr>
          <w:hyperlink w:anchor="_Toc141646731" w:history="1">
            <w:r w:rsidRPr="00270E73">
              <w:rPr>
                <w:rStyle w:val="Hyperlink"/>
                <w:noProof/>
              </w:rPr>
              <w:t>4.4.4.</w:t>
            </w:r>
            <w:r>
              <w:rPr>
                <w:noProof/>
                <w:kern w:val="2"/>
                <w:sz w:val="24"/>
                <w:szCs w:val="24"/>
                <w:lang w:val="en-GB" w:eastAsia="en-GB"/>
                <w14:ligatures w14:val="standardContextual"/>
              </w:rPr>
              <w:tab/>
            </w:r>
            <w:r w:rsidRPr="00270E73">
              <w:rPr>
                <w:rStyle w:val="Hyperlink"/>
                <w:noProof/>
              </w:rPr>
              <w:t>Debtors (Receivables) Control</w:t>
            </w:r>
            <w:r>
              <w:rPr>
                <w:noProof/>
                <w:webHidden/>
              </w:rPr>
              <w:tab/>
            </w:r>
            <w:r>
              <w:rPr>
                <w:noProof/>
                <w:webHidden/>
              </w:rPr>
              <w:fldChar w:fldCharType="begin"/>
            </w:r>
            <w:r>
              <w:rPr>
                <w:noProof/>
                <w:webHidden/>
              </w:rPr>
              <w:instrText xml:space="preserve"> PAGEREF _Toc141646731 \h </w:instrText>
            </w:r>
            <w:r>
              <w:rPr>
                <w:noProof/>
                <w:webHidden/>
              </w:rPr>
            </w:r>
            <w:r>
              <w:rPr>
                <w:noProof/>
                <w:webHidden/>
              </w:rPr>
              <w:fldChar w:fldCharType="separate"/>
            </w:r>
            <w:r>
              <w:rPr>
                <w:noProof/>
                <w:webHidden/>
              </w:rPr>
              <w:t>49</w:t>
            </w:r>
            <w:r>
              <w:rPr>
                <w:noProof/>
                <w:webHidden/>
              </w:rPr>
              <w:fldChar w:fldCharType="end"/>
            </w:r>
          </w:hyperlink>
        </w:p>
        <w:p w14:paraId="1569EFC6" w14:textId="054DC298" w:rsidR="0025052F" w:rsidRDefault="0025052F">
          <w:pPr>
            <w:pStyle w:val="TOC3"/>
            <w:tabs>
              <w:tab w:val="left" w:pos="1200"/>
              <w:tab w:val="right" w:leader="dot" w:pos="9016"/>
            </w:tabs>
            <w:rPr>
              <w:noProof/>
              <w:kern w:val="2"/>
              <w:sz w:val="24"/>
              <w:szCs w:val="24"/>
              <w:lang w:val="en-GB" w:eastAsia="en-GB"/>
              <w14:ligatures w14:val="standardContextual"/>
            </w:rPr>
          </w:pPr>
          <w:hyperlink w:anchor="_Toc141646732" w:history="1">
            <w:r w:rsidRPr="00270E73">
              <w:rPr>
                <w:rStyle w:val="Hyperlink"/>
                <w:noProof/>
              </w:rPr>
              <w:t>4.4.5.</w:t>
            </w:r>
            <w:r>
              <w:rPr>
                <w:noProof/>
                <w:kern w:val="2"/>
                <w:sz w:val="24"/>
                <w:szCs w:val="24"/>
                <w:lang w:val="en-GB" w:eastAsia="en-GB"/>
                <w14:ligatures w14:val="standardContextual"/>
              </w:rPr>
              <w:tab/>
            </w:r>
            <w:r w:rsidRPr="00270E73">
              <w:rPr>
                <w:rStyle w:val="Hyperlink"/>
                <w:noProof/>
              </w:rPr>
              <w:t>Creditors (Payables) Control</w:t>
            </w:r>
            <w:r>
              <w:rPr>
                <w:noProof/>
                <w:webHidden/>
              </w:rPr>
              <w:tab/>
            </w:r>
            <w:r>
              <w:rPr>
                <w:noProof/>
                <w:webHidden/>
              </w:rPr>
              <w:fldChar w:fldCharType="begin"/>
            </w:r>
            <w:r>
              <w:rPr>
                <w:noProof/>
                <w:webHidden/>
              </w:rPr>
              <w:instrText xml:space="preserve"> PAGEREF _Toc141646732 \h </w:instrText>
            </w:r>
            <w:r>
              <w:rPr>
                <w:noProof/>
                <w:webHidden/>
              </w:rPr>
            </w:r>
            <w:r>
              <w:rPr>
                <w:noProof/>
                <w:webHidden/>
              </w:rPr>
              <w:fldChar w:fldCharType="separate"/>
            </w:r>
            <w:r>
              <w:rPr>
                <w:noProof/>
                <w:webHidden/>
              </w:rPr>
              <w:t>50</w:t>
            </w:r>
            <w:r>
              <w:rPr>
                <w:noProof/>
                <w:webHidden/>
              </w:rPr>
              <w:fldChar w:fldCharType="end"/>
            </w:r>
          </w:hyperlink>
        </w:p>
        <w:p w14:paraId="1C203927" w14:textId="6FBC02D6" w:rsidR="0025052F" w:rsidRDefault="0025052F">
          <w:pPr>
            <w:pStyle w:val="TOC3"/>
            <w:tabs>
              <w:tab w:val="left" w:pos="1200"/>
              <w:tab w:val="right" w:leader="dot" w:pos="9016"/>
            </w:tabs>
            <w:rPr>
              <w:noProof/>
              <w:kern w:val="2"/>
              <w:sz w:val="24"/>
              <w:szCs w:val="24"/>
              <w:lang w:val="en-GB" w:eastAsia="en-GB"/>
              <w14:ligatures w14:val="standardContextual"/>
            </w:rPr>
          </w:pPr>
          <w:hyperlink w:anchor="_Toc141646733" w:history="1">
            <w:r w:rsidRPr="00270E73">
              <w:rPr>
                <w:rStyle w:val="Hyperlink"/>
                <w:noProof/>
              </w:rPr>
              <w:t>4.4.6.</w:t>
            </w:r>
            <w:r>
              <w:rPr>
                <w:noProof/>
                <w:kern w:val="2"/>
                <w:sz w:val="24"/>
                <w:szCs w:val="24"/>
                <w:lang w:val="en-GB" w:eastAsia="en-GB"/>
                <w14:ligatures w14:val="standardContextual"/>
              </w:rPr>
              <w:tab/>
            </w:r>
            <w:r w:rsidRPr="00270E73">
              <w:rPr>
                <w:rStyle w:val="Hyperlink"/>
                <w:noProof/>
              </w:rPr>
              <w:t>Stock Turnover in Days</w:t>
            </w:r>
            <w:r>
              <w:rPr>
                <w:noProof/>
                <w:webHidden/>
              </w:rPr>
              <w:tab/>
            </w:r>
            <w:r>
              <w:rPr>
                <w:noProof/>
                <w:webHidden/>
              </w:rPr>
              <w:fldChar w:fldCharType="begin"/>
            </w:r>
            <w:r>
              <w:rPr>
                <w:noProof/>
                <w:webHidden/>
              </w:rPr>
              <w:instrText xml:space="preserve"> PAGEREF _Toc141646733 \h </w:instrText>
            </w:r>
            <w:r>
              <w:rPr>
                <w:noProof/>
                <w:webHidden/>
              </w:rPr>
            </w:r>
            <w:r>
              <w:rPr>
                <w:noProof/>
                <w:webHidden/>
              </w:rPr>
              <w:fldChar w:fldCharType="separate"/>
            </w:r>
            <w:r>
              <w:rPr>
                <w:noProof/>
                <w:webHidden/>
              </w:rPr>
              <w:t>52</w:t>
            </w:r>
            <w:r>
              <w:rPr>
                <w:noProof/>
                <w:webHidden/>
              </w:rPr>
              <w:fldChar w:fldCharType="end"/>
            </w:r>
          </w:hyperlink>
        </w:p>
        <w:p w14:paraId="1B3D45D1" w14:textId="1BB1EFB5" w:rsidR="0025052F" w:rsidRDefault="0025052F">
          <w:pPr>
            <w:pStyle w:val="TOC3"/>
            <w:tabs>
              <w:tab w:val="left" w:pos="1200"/>
              <w:tab w:val="right" w:leader="dot" w:pos="9016"/>
            </w:tabs>
            <w:rPr>
              <w:noProof/>
              <w:kern w:val="2"/>
              <w:sz w:val="24"/>
              <w:szCs w:val="24"/>
              <w:lang w:val="en-GB" w:eastAsia="en-GB"/>
              <w14:ligatures w14:val="standardContextual"/>
            </w:rPr>
          </w:pPr>
          <w:hyperlink w:anchor="_Toc141646734" w:history="1">
            <w:r w:rsidRPr="00270E73">
              <w:rPr>
                <w:rStyle w:val="Hyperlink"/>
                <w:noProof/>
              </w:rPr>
              <w:t>4.4.7.</w:t>
            </w:r>
            <w:r>
              <w:rPr>
                <w:noProof/>
                <w:kern w:val="2"/>
                <w:sz w:val="24"/>
                <w:szCs w:val="24"/>
                <w:lang w:val="en-GB" w:eastAsia="en-GB"/>
                <w14:ligatures w14:val="standardContextual"/>
              </w:rPr>
              <w:tab/>
            </w:r>
            <w:r w:rsidRPr="00270E73">
              <w:rPr>
                <w:rStyle w:val="Hyperlink"/>
                <w:noProof/>
              </w:rPr>
              <w:t>Capital Employed Turnover</w:t>
            </w:r>
            <w:r>
              <w:rPr>
                <w:noProof/>
                <w:webHidden/>
              </w:rPr>
              <w:tab/>
            </w:r>
            <w:r>
              <w:rPr>
                <w:noProof/>
                <w:webHidden/>
              </w:rPr>
              <w:fldChar w:fldCharType="begin"/>
            </w:r>
            <w:r>
              <w:rPr>
                <w:noProof/>
                <w:webHidden/>
              </w:rPr>
              <w:instrText xml:space="preserve"> PAGEREF _Toc141646734 \h </w:instrText>
            </w:r>
            <w:r>
              <w:rPr>
                <w:noProof/>
                <w:webHidden/>
              </w:rPr>
            </w:r>
            <w:r>
              <w:rPr>
                <w:noProof/>
                <w:webHidden/>
              </w:rPr>
              <w:fldChar w:fldCharType="separate"/>
            </w:r>
            <w:r>
              <w:rPr>
                <w:noProof/>
                <w:webHidden/>
              </w:rPr>
              <w:t>53</w:t>
            </w:r>
            <w:r>
              <w:rPr>
                <w:noProof/>
                <w:webHidden/>
              </w:rPr>
              <w:fldChar w:fldCharType="end"/>
            </w:r>
          </w:hyperlink>
        </w:p>
        <w:p w14:paraId="18AC22B1" w14:textId="4EC74306" w:rsidR="0025052F" w:rsidRDefault="0025052F">
          <w:pPr>
            <w:pStyle w:val="TOC2"/>
            <w:tabs>
              <w:tab w:val="left" w:pos="960"/>
              <w:tab w:val="right" w:leader="dot" w:pos="9016"/>
            </w:tabs>
            <w:rPr>
              <w:noProof/>
              <w:kern w:val="2"/>
              <w:sz w:val="24"/>
              <w:szCs w:val="24"/>
              <w:lang w:val="en-GB" w:eastAsia="en-GB"/>
              <w14:ligatures w14:val="standardContextual"/>
            </w:rPr>
          </w:pPr>
          <w:hyperlink w:anchor="_Toc141646735" w:history="1">
            <w:r w:rsidRPr="00270E73">
              <w:rPr>
                <w:rStyle w:val="Hyperlink"/>
                <w:noProof/>
              </w:rPr>
              <w:t>4.5.</w:t>
            </w:r>
            <w:r>
              <w:rPr>
                <w:noProof/>
                <w:kern w:val="2"/>
                <w:sz w:val="24"/>
                <w:szCs w:val="24"/>
                <w:lang w:val="en-GB" w:eastAsia="en-GB"/>
                <w14:ligatures w14:val="standardContextual"/>
              </w:rPr>
              <w:tab/>
            </w:r>
            <w:r w:rsidRPr="00270E73">
              <w:rPr>
                <w:rStyle w:val="Hyperlink"/>
                <w:noProof/>
              </w:rPr>
              <w:t>Liquidity</w:t>
            </w:r>
            <w:r>
              <w:rPr>
                <w:noProof/>
                <w:webHidden/>
              </w:rPr>
              <w:tab/>
            </w:r>
            <w:r>
              <w:rPr>
                <w:noProof/>
                <w:webHidden/>
              </w:rPr>
              <w:fldChar w:fldCharType="begin"/>
            </w:r>
            <w:r>
              <w:rPr>
                <w:noProof/>
                <w:webHidden/>
              </w:rPr>
              <w:instrText xml:space="preserve"> PAGEREF _Toc141646735 \h </w:instrText>
            </w:r>
            <w:r>
              <w:rPr>
                <w:noProof/>
                <w:webHidden/>
              </w:rPr>
            </w:r>
            <w:r>
              <w:rPr>
                <w:noProof/>
                <w:webHidden/>
              </w:rPr>
              <w:fldChar w:fldCharType="separate"/>
            </w:r>
            <w:r>
              <w:rPr>
                <w:noProof/>
                <w:webHidden/>
              </w:rPr>
              <w:t>55</w:t>
            </w:r>
            <w:r>
              <w:rPr>
                <w:noProof/>
                <w:webHidden/>
              </w:rPr>
              <w:fldChar w:fldCharType="end"/>
            </w:r>
          </w:hyperlink>
        </w:p>
        <w:p w14:paraId="1EBBA9E2" w14:textId="66D509D0" w:rsidR="0025052F" w:rsidRDefault="0025052F">
          <w:pPr>
            <w:pStyle w:val="TOC3"/>
            <w:tabs>
              <w:tab w:val="left" w:pos="1200"/>
              <w:tab w:val="right" w:leader="dot" w:pos="9016"/>
            </w:tabs>
            <w:rPr>
              <w:noProof/>
              <w:kern w:val="2"/>
              <w:sz w:val="24"/>
              <w:szCs w:val="24"/>
              <w:lang w:val="en-GB" w:eastAsia="en-GB"/>
              <w14:ligatures w14:val="standardContextual"/>
            </w:rPr>
          </w:pPr>
          <w:hyperlink w:anchor="_Toc141646736" w:history="1">
            <w:r w:rsidRPr="00270E73">
              <w:rPr>
                <w:rStyle w:val="Hyperlink"/>
                <w:noProof/>
              </w:rPr>
              <w:t>4.5.1.</w:t>
            </w:r>
            <w:r>
              <w:rPr>
                <w:noProof/>
                <w:kern w:val="2"/>
                <w:sz w:val="24"/>
                <w:szCs w:val="24"/>
                <w:lang w:val="en-GB" w:eastAsia="en-GB"/>
                <w14:ligatures w14:val="standardContextual"/>
              </w:rPr>
              <w:tab/>
            </w:r>
            <w:r w:rsidRPr="00270E73">
              <w:rPr>
                <w:rStyle w:val="Hyperlink"/>
                <w:noProof/>
              </w:rPr>
              <w:t>Current Ratio</w:t>
            </w:r>
            <w:r>
              <w:rPr>
                <w:noProof/>
                <w:webHidden/>
              </w:rPr>
              <w:tab/>
            </w:r>
            <w:r>
              <w:rPr>
                <w:noProof/>
                <w:webHidden/>
              </w:rPr>
              <w:fldChar w:fldCharType="begin"/>
            </w:r>
            <w:r>
              <w:rPr>
                <w:noProof/>
                <w:webHidden/>
              </w:rPr>
              <w:instrText xml:space="preserve"> PAGEREF _Toc141646736 \h </w:instrText>
            </w:r>
            <w:r>
              <w:rPr>
                <w:noProof/>
                <w:webHidden/>
              </w:rPr>
            </w:r>
            <w:r>
              <w:rPr>
                <w:noProof/>
                <w:webHidden/>
              </w:rPr>
              <w:fldChar w:fldCharType="separate"/>
            </w:r>
            <w:r>
              <w:rPr>
                <w:noProof/>
                <w:webHidden/>
              </w:rPr>
              <w:t>55</w:t>
            </w:r>
            <w:r>
              <w:rPr>
                <w:noProof/>
                <w:webHidden/>
              </w:rPr>
              <w:fldChar w:fldCharType="end"/>
            </w:r>
          </w:hyperlink>
        </w:p>
        <w:p w14:paraId="207104D1" w14:textId="3CFE4ACB" w:rsidR="0025052F" w:rsidRDefault="0025052F">
          <w:pPr>
            <w:pStyle w:val="TOC3"/>
            <w:tabs>
              <w:tab w:val="left" w:pos="1200"/>
              <w:tab w:val="right" w:leader="dot" w:pos="9016"/>
            </w:tabs>
            <w:rPr>
              <w:noProof/>
              <w:kern w:val="2"/>
              <w:sz w:val="24"/>
              <w:szCs w:val="24"/>
              <w:lang w:val="en-GB" w:eastAsia="en-GB"/>
              <w14:ligatures w14:val="standardContextual"/>
            </w:rPr>
          </w:pPr>
          <w:hyperlink w:anchor="_Toc141646737" w:history="1">
            <w:r w:rsidRPr="00270E73">
              <w:rPr>
                <w:rStyle w:val="Hyperlink"/>
                <w:noProof/>
              </w:rPr>
              <w:t>4.5.2.</w:t>
            </w:r>
            <w:r>
              <w:rPr>
                <w:noProof/>
                <w:kern w:val="2"/>
                <w:sz w:val="24"/>
                <w:szCs w:val="24"/>
                <w:lang w:val="en-GB" w:eastAsia="en-GB"/>
                <w14:ligatures w14:val="standardContextual"/>
              </w:rPr>
              <w:tab/>
            </w:r>
            <w:r w:rsidRPr="00270E73">
              <w:rPr>
                <w:rStyle w:val="Hyperlink"/>
                <w:noProof/>
              </w:rPr>
              <w:t>Quick Ratio (Acid Test)</w:t>
            </w:r>
            <w:r>
              <w:rPr>
                <w:noProof/>
                <w:webHidden/>
              </w:rPr>
              <w:tab/>
            </w:r>
            <w:r>
              <w:rPr>
                <w:noProof/>
                <w:webHidden/>
              </w:rPr>
              <w:fldChar w:fldCharType="begin"/>
            </w:r>
            <w:r>
              <w:rPr>
                <w:noProof/>
                <w:webHidden/>
              </w:rPr>
              <w:instrText xml:space="preserve"> PAGEREF _Toc141646737 \h </w:instrText>
            </w:r>
            <w:r>
              <w:rPr>
                <w:noProof/>
                <w:webHidden/>
              </w:rPr>
            </w:r>
            <w:r>
              <w:rPr>
                <w:noProof/>
                <w:webHidden/>
              </w:rPr>
              <w:fldChar w:fldCharType="separate"/>
            </w:r>
            <w:r>
              <w:rPr>
                <w:noProof/>
                <w:webHidden/>
              </w:rPr>
              <w:t>57</w:t>
            </w:r>
            <w:r>
              <w:rPr>
                <w:noProof/>
                <w:webHidden/>
              </w:rPr>
              <w:fldChar w:fldCharType="end"/>
            </w:r>
          </w:hyperlink>
        </w:p>
        <w:p w14:paraId="2AD284DE" w14:textId="2BC98AC1" w:rsidR="0025052F" w:rsidRDefault="0025052F">
          <w:pPr>
            <w:pStyle w:val="TOC2"/>
            <w:tabs>
              <w:tab w:val="left" w:pos="960"/>
              <w:tab w:val="right" w:leader="dot" w:pos="9016"/>
            </w:tabs>
            <w:rPr>
              <w:noProof/>
              <w:kern w:val="2"/>
              <w:sz w:val="24"/>
              <w:szCs w:val="24"/>
              <w:lang w:val="en-GB" w:eastAsia="en-GB"/>
              <w14:ligatures w14:val="standardContextual"/>
            </w:rPr>
          </w:pPr>
          <w:hyperlink w:anchor="_Toc141646738" w:history="1">
            <w:r w:rsidRPr="00270E73">
              <w:rPr>
                <w:rStyle w:val="Hyperlink"/>
                <w:noProof/>
              </w:rPr>
              <w:t>4.6.</w:t>
            </w:r>
            <w:r>
              <w:rPr>
                <w:noProof/>
                <w:kern w:val="2"/>
                <w:sz w:val="24"/>
                <w:szCs w:val="24"/>
                <w:lang w:val="en-GB" w:eastAsia="en-GB"/>
                <w14:ligatures w14:val="standardContextual"/>
              </w:rPr>
              <w:tab/>
            </w:r>
            <w:r w:rsidRPr="00270E73">
              <w:rPr>
                <w:rStyle w:val="Hyperlink"/>
                <w:noProof/>
              </w:rPr>
              <w:t>Investment</w:t>
            </w:r>
            <w:r>
              <w:rPr>
                <w:noProof/>
                <w:webHidden/>
              </w:rPr>
              <w:tab/>
            </w:r>
            <w:r>
              <w:rPr>
                <w:noProof/>
                <w:webHidden/>
              </w:rPr>
              <w:fldChar w:fldCharType="begin"/>
            </w:r>
            <w:r>
              <w:rPr>
                <w:noProof/>
                <w:webHidden/>
              </w:rPr>
              <w:instrText xml:space="preserve"> PAGEREF _Toc141646738 \h </w:instrText>
            </w:r>
            <w:r>
              <w:rPr>
                <w:noProof/>
                <w:webHidden/>
              </w:rPr>
            </w:r>
            <w:r>
              <w:rPr>
                <w:noProof/>
                <w:webHidden/>
              </w:rPr>
              <w:fldChar w:fldCharType="separate"/>
            </w:r>
            <w:r>
              <w:rPr>
                <w:noProof/>
                <w:webHidden/>
              </w:rPr>
              <w:t>59</w:t>
            </w:r>
            <w:r>
              <w:rPr>
                <w:noProof/>
                <w:webHidden/>
              </w:rPr>
              <w:fldChar w:fldCharType="end"/>
            </w:r>
          </w:hyperlink>
        </w:p>
        <w:p w14:paraId="6940024D" w14:textId="59C74E70" w:rsidR="0025052F" w:rsidRDefault="0025052F">
          <w:pPr>
            <w:pStyle w:val="TOC3"/>
            <w:tabs>
              <w:tab w:val="left" w:pos="1200"/>
              <w:tab w:val="right" w:leader="dot" w:pos="9016"/>
            </w:tabs>
            <w:rPr>
              <w:noProof/>
              <w:kern w:val="2"/>
              <w:sz w:val="24"/>
              <w:szCs w:val="24"/>
              <w:lang w:val="en-GB" w:eastAsia="en-GB"/>
              <w14:ligatures w14:val="standardContextual"/>
            </w:rPr>
          </w:pPr>
          <w:hyperlink w:anchor="_Toc141646739" w:history="1">
            <w:r w:rsidRPr="00270E73">
              <w:rPr>
                <w:rStyle w:val="Hyperlink"/>
                <w:noProof/>
              </w:rPr>
              <w:t>4.6.1.</w:t>
            </w:r>
            <w:r>
              <w:rPr>
                <w:noProof/>
                <w:kern w:val="2"/>
                <w:sz w:val="24"/>
                <w:szCs w:val="24"/>
                <w:lang w:val="en-GB" w:eastAsia="en-GB"/>
                <w14:ligatures w14:val="standardContextual"/>
              </w:rPr>
              <w:tab/>
            </w:r>
            <w:r w:rsidRPr="00270E73">
              <w:rPr>
                <w:rStyle w:val="Hyperlink"/>
                <w:noProof/>
              </w:rPr>
              <w:t>Revenue Per Share</w:t>
            </w:r>
            <w:r>
              <w:rPr>
                <w:noProof/>
                <w:webHidden/>
              </w:rPr>
              <w:tab/>
            </w:r>
            <w:r>
              <w:rPr>
                <w:noProof/>
                <w:webHidden/>
              </w:rPr>
              <w:fldChar w:fldCharType="begin"/>
            </w:r>
            <w:r>
              <w:rPr>
                <w:noProof/>
                <w:webHidden/>
              </w:rPr>
              <w:instrText xml:space="preserve"> PAGEREF _Toc141646739 \h </w:instrText>
            </w:r>
            <w:r>
              <w:rPr>
                <w:noProof/>
                <w:webHidden/>
              </w:rPr>
            </w:r>
            <w:r>
              <w:rPr>
                <w:noProof/>
                <w:webHidden/>
              </w:rPr>
              <w:fldChar w:fldCharType="separate"/>
            </w:r>
            <w:r>
              <w:rPr>
                <w:noProof/>
                <w:webHidden/>
              </w:rPr>
              <w:t>59</w:t>
            </w:r>
            <w:r>
              <w:rPr>
                <w:noProof/>
                <w:webHidden/>
              </w:rPr>
              <w:fldChar w:fldCharType="end"/>
            </w:r>
          </w:hyperlink>
        </w:p>
        <w:p w14:paraId="57A53304" w14:textId="4C1D8742" w:rsidR="0025052F" w:rsidRDefault="0025052F">
          <w:pPr>
            <w:pStyle w:val="TOC3"/>
            <w:tabs>
              <w:tab w:val="left" w:pos="1200"/>
              <w:tab w:val="right" w:leader="dot" w:pos="9016"/>
            </w:tabs>
            <w:rPr>
              <w:noProof/>
              <w:kern w:val="2"/>
              <w:sz w:val="24"/>
              <w:szCs w:val="24"/>
              <w:lang w:val="en-GB" w:eastAsia="en-GB"/>
              <w14:ligatures w14:val="standardContextual"/>
            </w:rPr>
          </w:pPr>
          <w:hyperlink w:anchor="_Toc141646740" w:history="1">
            <w:r w:rsidRPr="00270E73">
              <w:rPr>
                <w:rStyle w:val="Hyperlink"/>
                <w:noProof/>
              </w:rPr>
              <w:t>4.6.2.</w:t>
            </w:r>
            <w:r>
              <w:rPr>
                <w:noProof/>
                <w:kern w:val="2"/>
                <w:sz w:val="24"/>
                <w:szCs w:val="24"/>
                <w:lang w:val="en-GB" w:eastAsia="en-GB"/>
                <w14:ligatures w14:val="standardContextual"/>
              </w:rPr>
              <w:tab/>
            </w:r>
            <w:r w:rsidRPr="00270E73">
              <w:rPr>
                <w:rStyle w:val="Hyperlink"/>
                <w:noProof/>
              </w:rPr>
              <w:t>Earnings Per Share (EPS)</w:t>
            </w:r>
            <w:r>
              <w:rPr>
                <w:noProof/>
                <w:webHidden/>
              </w:rPr>
              <w:tab/>
            </w:r>
            <w:r>
              <w:rPr>
                <w:noProof/>
                <w:webHidden/>
              </w:rPr>
              <w:fldChar w:fldCharType="begin"/>
            </w:r>
            <w:r>
              <w:rPr>
                <w:noProof/>
                <w:webHidden/>
              </w:rPr>
              <w:instrText xml:space="preserve"> PAGEREF _Toc141646740 \h </w:instrText>
            </w:r>
            <w:r>
              <w:rPr>
                <w:noProof/>
                <w:webHidden/>
              </w:rPr>
            </w:r>
            <w:r>
              <w:rPr>
                <w:noProof/>
                <w:webHidden/>
              </w:rPr>
              <w:fldChar w:fldCharType="separate"/>
            </w:r>
            <w:r>
              <w:rPr>
                <w:noProof/>
                <w:webHidden/>
              </w:rPr>
              <w:t>60</w:t>
            </w:r>
            <w:r>
              <w:rPr>
                <w:noProof/>
                <w:webHidden/>
              </w:rPr>
              <w:fldChar w:fldCharType="end"/>
            </w:r>
          </w:hyperlink>
        </w:p>
        <w:p w14:paraId="77A301A2" w14:textId="6F5D13E2" w:rsidR="0025052F" w:rsidRDefault="0025052F">
          <w:pPr>
            <w:pStyle w:val="TOC3"/>
            <w:tabs>
              <w:tab w:val="left" w:pos="1200"/>
              <w:tab w:val="right" w:leader="dot" w:pos="9016"/>
            </w:tabs>
            <w:rPr>
              <w:noProof/>
              <w:kern w:val="2"/>
              <w:sz w:val="24"/>
              <w:szCs w:val="24"/>
              <w:lang w:val="en-GB" w:eastAsia="en-GB"/>
              <w14:ligatures w14:val="standardContextual"/>
            </w:rPr>
          </w:pPr>
          <w:hyperlink w:anchor="_Toc141646741" w:history="1">
            <w:r w:rsidRPr="00270E73">
              <w:rPr>
                <w:rStyle w:val="Hyperlink"/>
                <w:noProof/>
              </w:rPr>
              <w:t>4.6.3.</w:t>
            </w:r>
            <w:r>
              <w:rPr>
                <w:noProof/>
                <w:kern w:val="2"/>
                <w:sz w:val="24"/>
                <w:szCs w:val="24"/>
                <w:lang w:val="en-GB" w:eastAsia="en-GB"/>
                <w14:ligatures w14:val="standardContextual"/>
              </w:rPr>
              <w:tab/>
            </w:r>
            <w:r w:rsidRPr="00270E73">
              <w:rPr>
                <w:rStyle w:val="Hyperlink"/>
                <w:noProof/>
              </w:rPr>
              <w:t>Cash Per Share</w:t>
            </w:r>
            <w:r>
              <w:rPr>
                <w:noProof/>
                <w:webHidden/>
              </w:rPr>
              <w:tab/>
            </w:r>
            <w:r>
              <w:rPr>
                <w:noProof/>
                <w:webHidden/>
              </w:rPr>
              <w:fldChar w:fldCharType="begin"/>
            </w:r>
            <w:r>
              <w:rPr>
                <w:noProof/>
                <w:webHidden/>
              </w:rPr>
              <w:instrText xml:space="preserve"> PAGEREF _Toc141646741 \h </w:instrText>
            </w:r>
            <w:r>
              <w:rPr>
                <w:noProof/>
                <w:webHidden/>
              </w:rPr>
            </w:r>
            <w:r>
              <w:rPr>
                <w:noProof/>
                <w:webHidden/>
              </w:rPr>
              <w:fldChar w:fldCharType="separate"/>
            </w:r>
            <w:r>
              <w:rPr>
                <w:noProof/>
                <w:webHidden/>
              </w:rPr>
              <w:t>61</w:t>
            </w:r>
            <w:r>
              <w:rPr>
                <w:noProof/>
                <w:webHidden/>
              </w:rPr>
              <w:fldChar w:fldCharType="end"/>
            </w:r>
          </w:hyperlink>
        </w:p>
        <w:p w14:paraId="4382943E" w14:textId="6A202597" w:rsidR="0025052F" w:rsidRDefault="0025052F">
          <w:pPr>
            <w:pStyle w:val="TOC3"/>
            <w:tabs>
              <w:tab w:val="left" w:pos="1200"/>
              <w:tab w:val="right" w:leader="dot" w:pos="9016"/>
            </w:tabs>
            <w:rPr>
              <w:noProof/>
              <w:kern w:val="2"/>
              <w:sz w:val="24"/>
              <w:szCs w:val="24"/>
              <w:lang w:val="en-GB" w:eastAsia="en-GB"/>
              <w14:ligatures w14:val="standardContextual"/>
            </w:rPr>
          </w:pPr>
          <w:hyperlink w:anchor="_Toc141646742" w:history="1">
            <w:r w:rsidRPr="00270E73">
              <w:rPr>
                <w:rStyle w:val="Hyperlink"/>
                <w:noProof/>
              </w:rPr>
              <w:t>4.6.4.</w:t>
            </w:r>
            <w:r>
              <w:rPr>
                <w:noProof/>
                <w:kern w:val="2"/>
                <w:sz w:val="24"/>
                <w:szCs w:val="24"/>
                <w:lang w:val="en-GB" w:eastAsia="en-GB"/>
                <w14:ligatures w14:val="standardContextual"/>
              </w:rPr>
              <w:tab/>
            </w:r>
            <w:r w:rsidRPr="00270E73">
              <w:rPr>
                <w:rStyle w:val="Hyperlink"/>
                <w:noProof/>
              </w:rPr>
              <w:t>Interest Cover</w:t>
            </w:r>
            <w:r>
              <w:rPr>
                <w:noProof/>
                <w:webHidden/>
              </w:rPr>
              <w:tab/>
            </w:r>
            <w:r>
              <w:rPr>
                <w:noProof/>
                <w:webHidden/>
              </w:rPr>
              <w:fldChar w:fldCharType="begin"/>
            </w:r>
            <w:r>
              <w:rPr>
                <w:noProof/>
                <w:webHidden/>
              </w:rPr>
              <w:instrText xml:space="preserve"> PAGEREF _Toc141646742 \h </w:instrText>
            </w:r>
            <w:r>
              <w:rPr>
                <w:noProof/>
                <w:webHidden/>
              </w:rPr>
            </w:r>
            <w:r>
              <w:rPr>
                <w:noProof/>
                <w:webHidden/>
              </w:rPr>
              <w:fldChar w:fldCharType="separate"/>
            </w:r>
            <w:r>
              <w:rPr>
                <w:noProof/>
                <w:webHidden/>
              </w:rPr>
              <w:t>62</w:t>
            </w:r>
            <w:r>
              <w:rPr>
                <w:noProof/>
                <w:webHidden/>
              </w:rPr>
              <w:fldChar w:fldCharType="end"/>
            </w:r>
          </w:hyperlink>
        </w:p>
        <w:p w14:paraId="037DFA0D" w14:textId="6D09BB06" w:rsidR="0025052F" w:rsidRDefault="0025052F">
          <w:pPr>
            <w:pStyle w:val="TOC3"/>
            <w:tabs>
              <w:tab w:val="left" w:pos="1200"/>
              <w:tab w:val="right" w:leader="dot" w:pos="9016"/>
            </w:tabs>
            <w:rPr>
              <w:noProof/>
              <w:kern w:val="2"/>
              <w:sz w:val="24"/>
              <w:szCs w:val="24"/>
              <w:lang w:val="en-GB" w:eastAsia="en-GB"/>
              <w14:ligatures w14:val="standardContextual"/>
            </w:rPr>
          </w:pPr>
          <w:hyperlink w:anchor="_Toc141646743" w:history="1">
            <w:r w:rsidRPr="00270E73">
              <w:rPr>
                <w:rStyle w:val="Hyperlink"/>
                <w:noProof/>
              </w:rPr>
              <w:t>4.6.5.</w:t>
            </w:r>
            <w:r>
              <w:rPr>
                <w:noProof/>
                <w:kern w:val="2"/>
                <w:sz w:val="24"/>
                <w:szCs w:val="24"/>
                <w:lang w:val="en-GB" w:eastAsia="en-GB"/>
                <w14:ligatures w14:val="standardContextual"/>
              </w:rPr>
              <w:tab/>
            </w:r>
            <w:r w:rsidRPr="00270E73">
              <w:rPr>
                <w:rStyle w:val="Hyperlink"/>
                <w:noProof/>
              </w:rPr>
              <w:t>Dividend Cover</w:t>
            </w:r>
            <w:r>
              <w:rPr>
                <w:noProof/>
                <w:webHidden/>
              </w:rPr>
              <w:tab/>
            </w:r>
            <w:r>
              <w:rPr>
                <w:noProof/>
                <w:webHidden/>
              </w:rPr>
              <w:fldChar w:fldCharType="begin"/>
            </w:r>
            <w:r>
              <w:rPr>
                <w:noProof/>
                <w:webHidden/>
              </w:rPr>
              <w:instrText xml:space="preserve"> PAGEREF _Toc141646743 \h </w:instrText>
            </w:r>
            <w:r>
              <w:rPr>
                <w:noProof/>
                <w:webHidden/>
              </w:rPr>
            </w:r>
            <w:r>
              <w:rPr>
                <w:noProof/>
                <w:webHidden/>
              </w:rPr>
              <w:fldChar w:fldCharType="separate"/>
            </w:r>
            <w:r>
              <w:rPr>
                <w:noProof/>
                <w:webHidden/>
              </w:rPr>
              <w:t>63</w:t>
            </w:r>
            <w:r>
              <w:rPr>
                <w:noProof/>
                <w:webHidden/>
              </w:rPr>
              <w:fldChar w:fldCharType="end"/>
            </w:r>
          </w:hyperlink>
        </w:p>
        <w:p w14:paraId="12EE6AF0" w14:textId="6C9AF6A5" w:rsidR="0025052F" w:rsidRDefault="0025052F">
          <w:pPr>
            <w:pStyle w:val="TOC3"/>
            <w:tabs>
              <w:tab w:val="left" w:pos="1200"/>
              <w:tab w:val="right" w:leader="dot" w:pos="9016"/>
            </w:tabs>
            <w:rPr>
              <w:noProof/>
              <w:kern w:val="2"/>
              <w:sz w:val="24"/>
              <w:szCs w:val="24"/>
              <w:lang w:val="en-GB" w:eastAsia="en-GB"/>
              <w14:ligatures w14:val="standardContextual"/>
            </w:rPr>
          </w:pPr>
          <w:hyperlink w:anchor="_Toc141646744" w:history="1">
            <w:r w:rsidRPr="00270E73">
              <w:rPr>
                <w:rStyle w:val="Hyperlink"/>
                <w:noProof/>
              </w:rPr>
              <w:t>4.6.6.</w:t>
            </w:r>
            <w:r>
              <w:rPr>
                <w:noProof/>
                <w:kern w:val="2"/>
                <w:sz w:val="24"/>
                <w:szCs w:val="24"/>
                <w:lang w:val="en-GB" w:eastAsia="en-GB"/>
                <w14:ligatures w14:val="standardContextual"/>
              </w:rPr>
              <w:tab/>
            </w:r>
            <w:r w:rsidRPr="00270E73">
              <w:rPr>
                <w:rStyle w:val="Hyperlink"/>
                <w:noProof/>
              </w:rPr>
              <w:t>Dividend Yield</w:t>
            </w:r>
            <w:r>
              <w:rPr>
                <w:noProof/>
                <w:webHidden/>
              </w:rPr>
              <w:tab/>
            </w:r>
            <w:r>
              <w:rPr>
                <w:noProof/>
                <w:webHidden/>
              </w:rPr>
              <w:fldChar w:fldCharType="begin"/>
            </w:r>
            <w:r>
              <w:rPr>
                <w:noProof/>
                <w:webHidden/>
              </w:rPr>
              <w:instrText xml:space="preserve"> PAGEREF _Toc141646744 \h </w:instrText>
            </w:r>
            <w:r>
              <w:rPr>
                <w:noProof/>
                <w:webHidden/>
              </w:rPr>
            </w:r>
            <w:r>
              <w:rPr>
                <w:noProof/>
                <w:webHidden/>
              </w:rPr>
              <w:fldChar w:fldCharType="separate"/>
            </w:r>
            <w:r>
              <w:rPr>
                <w:noProof/>
                <w:webHidden/>
              </w:rPr>
              <w:t>64</w:t>
            </w:r>
            <w:r>
              <w:rPr>
                <w:noProof/>
                <w:webHidden/>
              </w:rPr>
              <w:fldChar w:fldCharType="end"/>
            </w:r>
          </w:hyperlink>
        </w:p>
        <w:p w14:paraId="5F894517" w14:textId="65F132E0" w:rsidR="0025052F" w:rsidRDefault="0025052F">
          <w:pPr>
            <w:pStyle w:val="TOC3"/>
            <w:tabs>
              <w:tab w:val="left" w:pos="1200"/>
              <w:tab w:val="right" w:leader="dot" w:pos="9016"/>
            </w:tabs>
            <w:rPr>
              <w:noProof/>
              <w:kern w:val="2"/>
              <w:sz w:val="24"/>
              <w:szCs w:val="24"/>
              <w:lang w:val="en-GB" w:eastAsia="en-GB"/>
              <w14:ligatures w14:val="standardContextual"/>
            </w:rPr>
          </w:pPr>
          <w:hyperlink w:anchor="_Toc141646745" w:history="1">
            <w:r w:rsidRPr="00270E73">
              <w:rPr>
                <w:rStyle w:val="Hyperlink"/>
                <w:noProof/>
              </w:rPr>
              <w:t>4.6.7.</w:t>
            </w:r>
            <w:r>
              <w:rPr>
                <w:noProof/>
                <w:kern w:val="2"/>
                <w:sz w:val="24"/>
                <w:szCs w:val="24"/>
                <w:lang w:val="en-GB" w:eastAsia="en-GB"/>
                <w14:ligatures w14:val="standardContextual"/>
              </w:rPr>
              <w:tab/>
            </w:r>
            <w:r w:rsidRPr="00270E73">
              <w:rPr>
                <w:rStyle w:val="Hyperlink"/>
                <w:noProof/>
              </w:rPr>
              <w:t>Return on Equity (ROE)</w:t>
            </w:r>
            <w:r>
              <w:rPr>
                <w:noProof/>
                <w:webHidden/>
              </w:rPr>
              <w:tab/>
            </w:r>
            <w:r>
              <w:rPr>
                <w:noProof/>
                <w:webHidden/>
              </w:rPr>
              <w:fldChar w:fldCharType="begin"/>
            </w:r>
            <w:r>
              <w:rPr>
                <w:noProof/>
                <w:webHidden/>
              </w:rPr>
              <w:instrText xml:space="preserve"> PAGEREF _Toc141646745 \h </w:instrText>
            </w:r>
            <w:r>
              <w:rPr>
                <w:noProof/>
                <w:webHidden/>
              </w:rPr>
            </w:r>
            <w:r>
              <w:rPr>
                <w:noProof/>
                <w:webHidden/>
              </w:rPr>
              <w:fldChar w:fldCharType="separate"/>
            </w:r>
            <w:r>
              <w:rPr>
                <w:noProof/>
                <w:webHidden/>
              </w:rPr>
              <w:t>65</w:t>
            </w:r>
            <w:r>
              <w:rPr>
                <w:noProof/>
                <w:webHidden/>
              </w:rPr>
              <w:fldChar w:fldCharType="end"/>
            </w:r>
          </w:hyperlink>
        </w:p>
        <w:p w14:paraId="302C5D45" w14:textId="21F31381" w:rsidR="0025052F" w:rsidRDefault="0025052F">
          <w:pPr>
            <w:pStyle w:val="TOC3"/>
            <w:tabs>
              <w:tab w:val="left" w:pos="1200"/>
              <w:tab w:val="right" w:leader="dot" w:pos="9016"/>
            </w:tabs>
            <w:rPr>
              <w:noProof/>
              <w:kern w:val="2"/>
              <w:sz w:val="24"/>
              <w:szCs w:val="24"/>
              <w:lang w:val="en-GB" w:eastAsia="en-GB"/>
              <w14:ligatures w14:val="standardContextual"/>
            </w:rPr>
          </w:pPr>
          <w:hyperlink w:anchor="_Toc141646746" w:history="1">
            <w:r w:rsidRPr="00270E73">
              <w:rPr>
                <w:rStyle w:val="Hyperlink"/>
                <w:noProof/>
              </w:rPr>
              <w:t>4.6.8.</w:t>
            </w:r>
            <w:r>
              <w:rPr>
                <w:noProof/>
                <w:kern w:val="2"/>
                <w:sz w:val="24"/>
                <w:szCs w:val="24"/>
                <w:lang w:val="en-GB" w:eastAsia="en-GB"/>
                <w14:ligatures w14:val="standardContextual"/>
              </w:rPr>
              <w:tab/>
            </w:r>
            <w:r w:rsidRPr="00270E73">
              <w:rPr>
                <w:rStyle w:val="Hyperlink"/>
                <w:noProof/>
              </w:rPr>
              <w:t>P/E Ratio</w:t>
            </w:r>
            <w:r>
              <w:rPr>
                <w:noProof/>
                <w:webHidden/>
              </w:rPr>
              <w:tab/>
            </w:r>
            <w:r>
              <w:rPr>
                <w:noProof/>
                <w:webHidden/>
              </w:rPr>
              <w:fldChar w:fldCharType="begin"/>
            </w:r>
            <w:r>
              <w:rPr>
                <w:noProof/>
                <w:webHidden/>
              </w:rPr>
              <w:instrText xml:space="preserve"> PAGEREF _Toc141646746 \h </w:instrText>
            </w:r>
            <w:r>
              <w:rPr>
                <w:noProof/>
                <w:webHidden/>
              </w:rPr>
            </w:r>
            <w:r>
              <w:rPr>
                <w:noProof/>
                <w:webHidden/>
              </w:rPr>
              <w:fldChar w:fldCharType="separate"/>
            </w:r>
            <w:r>
              <w:rPr>
                <w:noProof/>
                <w:webHidden/>
              </w:rPr>
              <w:t>67</w:t>
            </w:r>
            <w:r>
              <w:rPr>
                <w:noProof/>
                <w:webHidden/>
              </w:rPr>
              <w:fldChar w:fldCharType="end"/>
            </w:r>
          </w:hyperlink>
        </w:p>
        <w:p w14:paraId="3102F8B5" w14:textId="06BA9F56" w:rsidR="0025052F" w:rsidRDefault="0025052F">
          <w:pPr>
            <w:pStyle w:val="TOC3"/>
            <w:tabs>
              <w:tab w:val="left" w:pos="1200"/>
              <w:tab w:val="right" w:leader="dot" w:pos="9016"/>
            </w:tabs>
            <w:rPr>
              <w:noProof/>
              <w:kern w:val="2"/>
              <w:sz w:val="24"/>
              <w:szCs w:val="24"/>
              <w:lang w:val="en-GB" w:eastAsia="en-GB"/>
              <w14:ligatures w14:val="standardContextual"/>
            </w:rPr>
          </w:pPr>
          <w:hyperlink w:anchor="_Toc141646747" w:history="1">
            <w:r w:rsidRPr="00270E73">
              <w:rPr>
                <w:rStyle w:val="Hyperlink"/>
                <w:noProof/>
              </w:rPr>
              <w:t>4.6.9.</w:t>
            </w:r>
            <w:r>
              <w:rPr>
                <w:noProof/>
                <w:kern w:val="2"/>
                <w:sz w:val="24"/>
                <w:szCs w:val="24"/>
                <w:lang w:val="en-GB" w:eastAsia="en-GB"/>
                <w14:ligatures w14:val="standardContextual"/>
              </w:rPr>
              <w:tab/>
            </w:r>
            <w:r w:rsidRPr="00270E73">
              <w:rPr>
                <w:rStyle w:val="Hyperlink"/>
                <w:noProof/>
              </w:rPr>
              <w:t>Market Share Price</w:t>
            </w:r>
            <w:r>
              <w:rPr>
                <w:noProof/>
                <w:webHidden/>
              </w:rPr>
              <w:tab/>
            </w:r>
            <w:r>
              <w:rPr>
                <w:noProof/>
                <w:webHidden/>
              </w:rPr>
              <w:fldChar w:fldCharType="begin"/>
            </w:r>
            <w:r>
              <w:rPr>
                <w:noProof/>
                <w:webHidden/>
              </w:rPr>
              <w:instrText xml:space="preserve"> PAGEREF _Toc141646747 \h </w:instrText>
            </w:r>
            <w:r>
              <w:rPr>
                <w:noProof/>
                <w:webHidden/>
              </w:rPr>
            </w:r>
            <w:r>
              <w:rPr>
                <w:noProof/>
                <w:webHidden/>
              </w:rPr>
              <w:fldChar w:fldCharType="separate"/>
            </w:r>
            <w:r>
              <w:rPr>
                <w:noProof/>
                <w:webHidden/>
              </w:rPr>
              <w:t>68</w:t>
            </w:r>
            <w:r>
              <w:rPr>
                <w:noProof/>
                <w:webHidden/>
              </w:rPr>
              <w:fldChar w:fldCharType="end"/>
            </w:r>
          </w:hyperlink>
        </w:p>
        <w:p w14:paraId="5A0C0D05" w14:textId="267FC602" w:rsidR="0025052F" w:rsidRDefault="0025052F">
          <w:pPr>
            <w:pStyle w:val="TOC2"/>
            <w:tabs>
              <w:tab w:val="left" w:pos="960"/>
              <w:tab w:val="right" w:leader="dot" w:pos="9016"/>
            </w:tabs>
            <w:rPr>
              <w:noProof/>
              <w:kern w:val="2"/>
              <w:sz w:val="24"/>
              <w:szCs w:val="24"/>
              <w:lang w:val="en-GB" w:eastAsia="en-GB"/>
              <w14:ligatures w14:val="standardContextual"/>
            </w:rPr>
          </w:pPr>
          <w:hyperlink w:anchor="_Toc141646748" w:history="1">
            <w:r w:rsidRPr="00270E73">
              <w:rPr>
                <w:rStyle w:val="Hyperlink"/>
                <w:noProof/>
              </w:rPr>
              <w:t>4.7.</w:t>
            </w:r>
            <w:r>
              <w:rPr>
                <w:noProof/>
                <w:kern w:val="2"/>
                <w:sz w:val="24"/>
                <w:szCs w:val="24"/>
                <w:lang w:val="en-GB" w:eastAsia="en-GB"/>
                <w14:ligatures w14:val="standardContextual"/>
              </w:rPr>
              <w:tab/>
            </w:r>
            <w:r w:rsidRPr="00270E73">
              <w:rPr>
                <w:rStyle w:val="Hyperlink"/>
                <w:noProof/>
              </w:rPr>
              <w:t>Gearing</w:t>
            </w:r>
            <w:r>
              <w:rPr>
                <w:noProof/>
                <w:webHidden/>
              </w:rPr>
              <w:tab/>
            </w:r>
            <w:r>
              <w:rPr>
                <w:noProof/>
                <w:webHidden/>
              </w:rPr>
              <w:fldChar w:fldCharType="begin"/>
            </w:r>
            <w:r>
              <w:rPr>
                <w:noProof/>
                <w:webHidden/>
              </w:rPr>
              <w:instrText xml:space="preserve"> PAGEREF _Toc141646748 \h </w:instrText>
            </w:r>
            <w:r>
              <w:rPr>
                <w:noProof/>
                <w:webHidden/>
              </w:rPr>
            </w:r>
            <w:r>
              <w:rPr>
                <w:noProof/>
                <w:webHidden/>
              </w:rPr>
              <w:fldChar w:fldCharType="separate"/>
            </w:r>
            <w:r>
              <w:rPr>
                <w:noProof/>
                <w:webHidden/>
              </w:rPr>
              <w:t>69</w:t>
            </w:r>
            <w:r>
              <w:rPr>
                <w:noProof/>
                <w:webHidden/>
              </w:rPr>
              <w:fldChar w:fldCharType="end"/>
            </w:r>
          </w:hyperlink>
        </w:p>
        <w:p w14:paraId="1B5C6DC8" w14:textId="54C82AD6" w:rsidR="0025052F" w:rsidRDefault="0025052F">
          <w:pPr>
            <w:pStyle w:val="TOC3"/>
            <w:tabs>
              <w:tab w:val="left" w:pos="1200"/>
              <w:tab w:val="right" w:leader="dot" w:pos="9016"/>
            </w:tabs>
            <w:rPr>
              <w:noProof/>
              <w:kern w:val="2"/>
              <w:sz w:val="24"/>
              <w:szCs w:val="24"/>
              <w:lang w:val="en-GB" w:eastAsia="en-GB"/>
              <w14:ligatures w14:val="standardContextual"/>
            </w:rPr>
          </w:pPr>
          <w:hyperlink w:anchor="_Toc141646749" w:history="1">
            <w:r w:rsidRPr="00270E73">
              <w:rPr>
                <w:rStyle w:val="Hyperlink"/>
                <w:noProof/>
              </w:rPr>
              <w:t>4.7.1.</w:t>
            </w:r>
            <w:r>
              <w:rPr>
                <w:noProof/>
                <w:kern w:val="2"/>
                <w:sz w:val="24"/>
                <w:szCs w:val="24"/>
                <w:lang w:val="en-GB" w:eastAsia="en-GB"/>
                <w14:ligatures w14:val="standardContextual"/>
              </w:rPr>
              <w:tab/>
            </w:r>
            <w:r w:rsidRPr="00270E73">
              <w:rPr>
                <w:rStyle w:val="Hyperlink"/>
                <w:noProof/>
              </w:rPr>
              <w:t>Preferred Ratio</w:t>
            </w:r>
            <w:r>
              <w:rPr>
                <w:noProof/>
                <w:webHidden/>
              </w:rPr>
              <w:tab/>
            </w:r>
            <w:r>
              <w:rPr>
                <w:noProof/>
                <w:webHidden/>
              </w:rPr>
              <w:fldChar w:fldCharType="begin"/>
            </w:r>
            <w:r>
              <w:rPr>
                <w:noProof/>
                <w:webHidden/>
              </w:rPr>
              <w:instrText xml:space="preserve"> PAGEREF _Toc141646749 \h </w:instrText>
            </w:r>
            <w:r>
              <w:rPr>
                <w:noProof/>
                <w:webHidden/>
              </w:rPr>
            </w:r>
            <w:r>
              <w:rPr>
                <w:noProof/>
                <w:webHidden/>
              </w:rPr>
              <w:fldChar w:fldCharType="separate"/>
            </w:r>
            <w:r>
              <w:rPr>
                <w:noProof/>
                <w:webHidden/>
              </w:rPr>
              <w:t>69</w:t>
            </w:r>
            <w:r>
              <w:rPr>
                <w:noProof/>
                <w:webHidden/>
              </w:rPr>
              <w:fldChar w:fldCharType="end"/>
            </w:r>
          </w:hyperlink>
        </w:p>
        <w:p w14:paraId="43EC59E3" w14:textId="66B2AA72" w:rsidR="0025052F" w:rsidRDefault="0025052F">
          <w:pPr>
            <w:pStyle w:val="TOC2"/>
            <w:tabs>
              <w:tab w:val="left" w:pos="960"/>
              <w:tab w:val="right" w:leader="dot" w:pos="9016"/>
            </w:tabs>
            <w:rPr>
              <w:noProof/>
              <w:kern w:val="2"/>
              <w:sz w:val="24"/>
              <w:szCs w:val="24"/>
              <w:lang w:val="en-GB" w:eastAsia="en-GB"/>
              <w14:ligatures w14:val="standardContextual"/>
            </w:rPr>
          </w:pPr>
          <w:hyperlink w:anchor="_Toc141646750" w:history="1">
            <w:r w:rsidRPr="00270E73">
              <w:rPr>
                <w:rStyle w:val="Hyperlink"/>
                <w:noProof/>
              </w:rPr>
              <w:t>4.8.</w:t>
            </w:r>
            <w:r>
              <w:rPr>
                <w:noProof/>
                <w:kern w:val="2"/>
                <w:sz w:val="24"/>
                <w:szCs w:val="24"/>
                <w:lang w:val="en-GB" w:eastAsia="en-GB"/>
                <w14:ligatures w14:val="standardContextual"/>
              </w:rPr>
              <w:tab/>
            </w:r>
            <w:r w:rsidRPr="00270E73">
              <w:rPr>
                <w:rStyle w:val="Hyperlink"/>
                <w:noProof/>
              </w:rPr>
              <w:t>Summary of Results – (Table 6.)</w:t>
            </w:r>
            <w:r>
              <w:rPr>
                <w:noProof/>
                <w:webHidden/>
              </w:rPr>
              <w:tab/>
            </w:r>
            <w:r>
              <w:rPr>
                <w:noProof/>
                <w:webHidden/>
              </w:rPr>
              <w:fldChar w:fldCharType="begin"/>
            </w:r>
            <w:r>
              <w:rPr>
                <w:noProof/>
                <w:webHidden/>
              </w:rPr>
              <w:instrText xml:space="preserve"> PAGEREF _Toc141646750 \h </w:instrText>
            </w:r>
            <w:r>
              <w:rPr>
                <w:noProof/>
                <w:webHidden/>
              </w:rPr>
            </w:r>
            <w:r>
              <w:rPr>
                <w:noProof/>
                <w:webHidden/>
              </w:rPr>
              <w:fldChar w:fldCharType="separate"/>
            </w:r>
            <w:r>
              <w:rPr>
                <w:noProof/>
                <w:webHidden/>
              </w:rPr>
              <w:t>71</w:t>
            </w:r>
            <w:r>
              <w:rPr>
                <w:noProof/>
                <w:webHidden/>
              </w:rPr>
              <w:fldChar w:fldCharType="end"/>
            </w:r>
          </w:hyperlink>
        </w:p>
        <w:p w14:paraId="5D413733" w14:textId="13386DC2" w:rsidR="0025052F" w:rsidRDefault="0025052F">
          <w:pPr>
            <w:pStyle w:val="TOC2"/>
            <w:tabs>
              <w:tab w:val="left" w:pos="960"/>
              <w:tab w:val="right" w:leader="dot" w:pos="9016"/>
            </w:tabs>
            <w:rPr>
              <w:noProof/>
              <w:kern w:val="2"/>
              <w:sz w:val="24"/>
              <w:szCs w:val="24"/>
              <w:lang w:val="en-GB" w:eastAsia="en-GB"/>
              <w14:ligatures w14:val="standardContextual"/>
            </w:rPr>
          </w:pPr>
          <w:hyperlink w:anchor="_Toc141646751" w:history="1">
            <w:r w:rsidRPr="00270E73">
              <w:rPr>
                <w:rStyle w:val="Hyperlink"/>
                <w:noProof/>
              </w:rPr>
              <w:t>4.9.</w:t>
            </w:r>
            <w:r>
              <w:rPr>
                <w:noProof/>
                <w:kern w:val="2"/>
                <w:sz w:val="24"/>
                <w:szCs w:val="24"/>
                <w:lang w:val="en-GB" w:eastAsia="en-GB"/>
                <w14:ligatures w14:val="standardContextual"/>
              </w:rPr>
              <w:tab/>
            </w:r>
            <w:r w:rsidRPr="00270E73">
              <w:rPr>
                <w:rStyle w:val="Hyperlink"/>
                <w:noProof/>
              </w:rPr>
              <w:t>Summary of Sectors – (Table 7.)</w:t>
            </w:r>
            <w:r>
              <w:rPr>
                <w:noProof/>
                <w:webHidden/>
              </w:rPr>
              <w:tab/>
            </w:r>
            <w:r>
              <w:rPr>
                <w:noProof/>
                <w:webHidden/>
              </w:rPr>
              <w:fldChar w:fldCharType="begin"/>
            </w:r>
            <w:r>
              <w:rPr>
                <w:noProof/>
                <w:webHidden/>
              </w:rPr>
              <w:instrText xml:space="preserve"> PAGEREF _Toc141646751 \h </w:instrText>
            </w:r>
            <w:r>
              <w:rPr>
                <w:noProof/>
                <w:webHidden/>
              </w:rPr>
            </w:r>
            <w:r>
              <w:rPr>
                <w:noProof/>
                <w:webHidden/>
              </w:rPr>
              <w:fldChar w:fldCharType="separate"/>
            </w:r>
            <w:r>
              <w:rPr>
                <w:noProof/>
                <w:webHidden/>
              </w:rPr>
              <w:t>74</w:t>
            </w:r>
            <w:r>
              <w:rPr>
                <w:noProof/>
                <w:webHidden/>
              </w:rPr>
              <w:fldChar w:fldCharType="end"/>
            </w:r>
          </w:hyperlink>
        </w:p>
        <w:p w14:paraId="29EF8249" w14:textId="55B4B8B3" w:rsidR="0025052F" w:rsidRDefault="0025052F">
          <w:pPr>
            <w:pStyle w:val="TOC1"/>
            <w:tabs>
              <w:tab w:val="left" w:pos="440"/>
            </w:tabs>
            <w:rPr>
              <w:rFonts w:eastAsiaTheme="minorEastAsia"/>
              <w:b w:val="0"/>
              <w:noProof/>
              <w:kern w:val="2"/>
              <w:sz w:val="24"/>
              <w:szCs w:val="24"/>
              <w:lang w:eastAsia="en-GB"/>
              <w14:ligatures w14:val="standardContextual"/>
            </w:rPr>
          </w:pPr>
          <w:hyperlink w:anchor="_Toc141646752" w:history="1">
            <w:r w:rsidRPr="00270E73">
              <w:rPr>
                <w:rStyle w:val="Hyperlink"/>
                <w:noProof/>
              </w:rPr>
              <w:t>5.</w:t>
            </w:r>
            <w:r>
              <w:rPr>
                <w:rFonts w:eastAsiaTheme="minorEastAsia"/>
                <w:b w:val="0"/>
                <w:noProof/>
                <w:kern w:val="2"/>
                <w:sz w:val="24"/>
                <w:szCs w:val="24"/>
                <w:lang w:eastAsia="en-GB"/>
                <w14:ligatures w14:val="standardContextual"/>
              </w:rPr>
              <w:tab/>
            </w:r>
            <w:r w:rsidRPr="00270E73">
              <w:rPr>
                <w:rStyle w:val="Hyperlink"/>
                <w:noProof/>
              </w:rPr>
              <w:t>Discussion</w:t>
            </w:r>
            <w:r>
              <w:rPr>
                <w:noProof/>
                <w:webHidden/>
              </w:rPr>
              <w:tab/>
            </w:r>
            <w:r>
              <w:rPr>
                <w:noProof/>
                <w:webHidden/>
              </w:rPr>
              <w:fldChar w:fldCharType="begin"/>
            </w:r>
            <w:r>
              <w:rPr>
                <w:noProof/>
                <w:webHidden/>
              </w:rPr>
              <w:instrText xml:space="preserve"> PAGEREF _Toc141646752 \h </w:instrText>
            </w:r>
            <w:r>
              <w:rPr>
                <w:noProof/>
                <w:webHidden/>
              </w:rPr>
            </w:r>
            <w:r>
              <w:rPr>
                <w:noProof/>
                <w:webHidden/>
              </w:rPr>
              <w:fldChar w:fldCharType="separate"/>
            </w:r>
            <w:r>
              <w:rPr>
                <w:noProof/>
                <w:webHidden/>
              </w:rPr>
              <w:t>77</w:t>
            </w:r>
            <w:r>
              <w:rPr>
                <w:noProof/>
                <w:webHidden/>
              </w:rPr>
              <w:fldChar w:fldCharType="end"/>
            </w:r>
          </w:hyperlink>
        </w:p>
        <w:p w14:paraId="6465ED6E" w14:textId="739982D2" w:rsidR="0025052F" w:rsidRDefault="0025052F">
          <w:pPr>
            <w:pStyle w:val="TOC2"/>
            <w:tabs>
              <w:tab w:val="left" w:pos="960"/>
              <w:tab w:val="right" w:leader="dot" w:pos="9016"/>
            </w:tabs>
            <w:rPr>
              <w:noProof/>
              <w:kern w:val="2"/>
              <w:sz w:val="24"/>
              <w:szCs w:val="24"/>
              <w:lang w:val="en-GB" w:eastAsia="en-GB"/>
              <w14:ligatures w14:val="standardContextual"/>
            </w:rPr>
          </w:pPr>
          <w:hyperlink w:anchor="_Toc141646753" w:history="1">
            <w:r w:rsidRPr="00270E73">
              <w:rPr>
                <w:rStyle w:val="Hyperlink"/>
                <w:noProof/>
              </w:rPr>
              <w:t>5.1.</w:t>
            </w:r>
            <w:r>
              <w:rPr>
                <w:noProof/>
                <w:kern w:val="2"/>
                <w:sz w:val="24"/>
                <w:szCs w:val="24"/>
                <w:lang w:val="en-GB" w:eastAsia="en-GB"/>
                <w14:ligatures w14:val="standardContextual"/>
              </w:rPr>
              <w:tab/>
            </w:r>
            <w:r w:rsidRPr="00270E73">
              <w:rPr>
                <w:rStyle w:val="Hyperlink"/>
                <w:noProof/>
              </w:rPr>
              <w:t>Key findings – Overall FTSE 250 Indexed Companies</w:t>
            </w:r>
            <w:r>
              <w:rPr>
                <w:noProof/>
                <w:webHidden/>
              </w:rPr>
              <w:tab/>
            </w:r>
            <w:r>
              <w:rPr>
                <w:noProof/>
                <w:webHidden/>
              </w:rPr>
              <w:fldChar w:fldCharType="begin"/>
            </w:r>
            <w:r>
              <w:rPr>
                <w:noProof/>
                <w:webHidden/>
              </w:rPr>
              <w:instrText xml:space="preserve"> PAGEREF _Toc141646753 \h </w:instrText>
            </w:r>
            <w:r>
              <w:rPr>
                <w:noProof/>
                <w:webHidden/>
              </w:rPr>
            </w:r>
            <w:r>
              <w:rPr>
                <w:noProof/>
                <w:webHidden/>
              </w:rPr>
              <w:fldChar w:fldCharType="separate"/>
            </w:r>
            <w:r>
              <w:rPr>
                <w:noProof/>
                <w:webHidden/>
              </w:rPr>
              <w:t>77</w:t>
            </w:r>
            <w:r>
              <w:rPr>
                <w:noProof/>
                <w:webHidden/>
              </w:rPr>
              <w:fldChar w:fldCharType="end"/>
            </w:r>
          </w:hyperlink>
        </w:p>
        <w:p w14:paraId="355276AB" w14:textId="423A66D4" w:rsidR="0025052F" w:rsidRDefault="0025052F">
          <w:pPr>
            <w:pStyle w:val="TOC2"/>
            <w:tabs>
              <w:tab w:val="left" w:pos="960"/>
              <w:tab w:val="right" w:leader="dot" w:pos="9016"/>
            </w:tabs>
            <w:rPr>
              <w:noProof/>
              <w:kern w:val="2"/>
              <w:sz w:val="24"/>
              <w:szCs w:val="24"/>
              <w:lang w:val="en-GB" w:eastAsia="en-GB"/>
              <w14:ligatures w14:val="standardContextual"/>
            </w:rPr>
          </w:pPr>
          <w:hyperlink w:anchor="_Toc141646754" w:history="1">
            <w:r w:rsidRPr="00270E73">
              <w:rPr>
                <w:rStyle w:val="Hyperlink"/>
                <w:noProof/>
              </w:rPr>
              <w:t>5.2.</w:t>
            </w:r>
            <w:r>
              <w:rPr>
                <w:noProof/>
                <w:kern w:val="2"/>
                <w:sz w:val="24"/>
                <w:szCs w:val="24"/>
                <w:lang w:val="en-GB" w:eastAsia="en-GB"/>
                <w14:ligatures w14:val="standardContextual"/>
              </w:rPr>
              <w:tab/>
            </w:r>
            <w:r w:rsidRPr="00270E73">
              <w:rPr>
                <w:rStyle w:val="Hyperlink"/>
                <w:noProof/>
              </w:rPr>
              <w:t>Effects of the COVID-19 Pandemic on industry sectors in the UK</w:t>
            </w:r>
            <w:r>
              <w:rPr>
                <w:noProof/>
                <w:webHidden/>
              </w:rPr>
              <w:tab/>
            </w:r>
            <w:r>
              <w:rPr>
                <w:noProof/>
                <w:webHidden/>
              </w:rPr>
              <w:fldChar w:fldCharType="begin"/>
            </w:r>
            <w:r>
              <w:rPr>
                <w:noProof/>
                <w:webHidden/>
              </w:rPr>
              <w:instrText xml:space="preserve"> PAGEREF _Toc141646754 \h </w:instrText>
            </w:r>
            <w:r>
              <w:rPr>
                <w:noProof/>
                <w:webHidden/>
              </w:rPr>
            </w:r>
            <w:r>
              <w:rPr>
                <w:noProof/>
                <w:webHidden/>
              </w:rPr>
              <w:fldChar w:fldCharType="separate"/>
            </w:r>
            <w:r>
              <w:rPr>
                <w:noProof/>
                <w:webHidden/>
              </w:rPr>
              <w:t>78</w:t>
            </w:r>
            <w:r>
              <w:rPr>
                <w:noProof/>
                <w:webHidden/>
              </w:rPr>
              <w:fldChar w:fldCharType="end"/>
            </w:r>
          </w:hyperlink>
        </w:p>
        <w:p w14:paraId="379F5291" w14:textId="4D27EA91" w:rsidR="0025052F" w:rsidRDefault="0025052F">
          <w:pPr>
            <w:pStyle w:val="TOC2"/>
            <w:tabs>
              <w:tab w:val="left" w:pos="960"/>
              <w:tab w:val="right" w:leader="dot" w:pos="9016"/>
            </w:tabs>
            <w:rPr>
              <w:noProof/>
              <w:kern w:val="2"/>
              <w:sz w:val="24"/>
              <w:szCs w:val="24"/>
              <w:lang w:val="en-GB" w:eastAsia="en-GB"/>
              <w14:ligatures w14:val="standardContextual"/>
            </w:rPr>
          </w:pPr>
          <w:hyperlink w:anchor="_Toc141646755" w:history="1">
            <w:r w:rsidRPr="00270E73">
              <w:rPr>
                <w:rStyle w:val="Hyperlink"/>
                <w:noProof/>
              </w:rPr>
              <w:t>5.3.</w:t>
            </w:r>
            <w:r>
              <w:rPr>
                <w:noProof/>
                <w:kern w:val="2"/>
                <w:sz w:val="24"/>
                <w:szCs w:val="24"/>
                <w:lang w:val="en-GB" w:eastAsia="en-GB"/>
                <w14:ligatures w14:val="standardContextual"/>
              </w:rPr>
              <w:tab/>
            </w:r>
            <w:r w:rsidRPr="00270E73">
              <w:rPr>
                <w:rStyle w:val="Hyperlink"/>
                <w:noProof/>
              </w:rPr>
              <w:t>Limitations</w:t>
            </w:r>
            <w:r>
              <w:rPr>
                <w:noProof/>
                <w:webHidden/>
              </w:rPr>
              <w:tab/>
            </w:r>
            <w:r>
              <w:rPr>
                <w:noProof/>
                <w:webHidden/>
              </w:rPr>
              <w:fldChar w:fldCharType="begin"/>
            </w:r>
            <w:r>
              <w:rPr>
                <w:noProof/>
                <w:webHidden/>
              </w:rPr>
              <w:instrText xml:space="preserve"> PAGEREF _Toc141646755 \h </w:instrText>
            </w:r>
            <w:r>
              <w:rPr>
                <w:noProof/>
                <w:webHidden/>
              </w:rPr>
            </w:r>
            <w:r>
              <w:rPr>
                <w:noProof/>
                <w:webHidden/>
              </w:rPr>
              <w:fldChar w:fldCharType="separate"/>
            </w:r>
            <w:r>
              <w:rPr>
                <w:noProof/>
                <w:webHidden/>
              </w:rPr>
              <w:t>81</w:t>
            </w:r>
            <w:r>
              <w:rPr>
                <w:noProof/>
                <w:webHidden/>
              </w:rPr>
              <w:fldChar w:fldCharType="end"/>
            </w:r>
          </w:hyperlink>
        </w:p>
        <w:p w14:paraId="762F5359" w14:textId="73AB7335" w:rsidR="0025052F" w:rsidRDefault="0025052F">
          <w:pPr>
            <w:pStyle w:val="TOC1"/>
            <w:tabs>
              <w:tab w:val="left" w:pos="440"/>
            </w:tabs>
            <w:rPr>
              <w:rFonts w:eastAsiaTheme="minorEastAsia"/>
              <w:b w:val="0"/>
              <w:noProof/>
              <w:kern w:val="2"/>
              <w:sz w:val="24"/>
              <w:szCs w:val="24"/>
              <w:lang w:eastAsia="en-GB"/>
              <w14:ligatures w14:val="standardContextual"/>
            </w:rPr>
          </w:pPr>
          <w:hyperlink w:anchor="_Toc141646756" w:history="1">
            <w:r w:rsidRPr="00270E73">
              <w:rPr>
                <w:rStyle w:val="Hyperlink"/>
                <w:noProof/>
              </w:rPr>
              <w:t>6.</w:t>
            </w:r>
            <w:r>
              <w:rPr>
                <w:rFonts w:eastAsiaTheme="minorEastAsia"/>
                <w:b w:val="0"/>
                <w:noProof/>
                <w:kern w:val="2"/>
                <w:sz w:val="24"/>
                <w:szCs w:val="24"/>
                <w:lang w:eastAsia="en-GB"/>
                <w14:ligatures w14:val="standardContextual"/>
              </w:rPr>
              <w:tab/>
            </w:r>
            <w:r w:rsidRPr="00270E73">
              <w:rPr>
                <w:rStyle w:val="Hyperlink"/>
                <w:noProof/>
              </w:rPr>
              <w:t>Conclusions</w:t>
            </w:r>
            <w:r>
              <w:rPr>
                <w:noProof/>
                <w:webHidden/>
              </w:rPr>
              <w:tab/>
            </w:r>
            <w:r>
              <w:rPr>
                <w:noProof/>
                <w:webHidden/>
              </w:rPr>
              <w:fldChar w:fldCharType="begin"/>
            </w:r>
            <w:r>
              <w:rPr>
                <w:noProof/>
                <w:webHidden/>
              </w:rPr>
              <w:instrText xml:space="preserve"> PAGEREF _Toc141646756 \h </w:instrText>
            </w:r>
            <w:r>
              <w:rPr>
                <w:noProof/>
                <w:webHidden/>
              </w:rPr>
            </w:r>
            <w:r>
              <w:rPr>
                <w:noProof/>
                <w:webHidden/>
              </w:rPr>
              <w:fldChar w:fldCharType="separate"/>
            </w:r>
            <w:r>
              <w:rPr>
                <w:noProof/>
                <w:webHidden/>
              </w:rPr>
              <w:t>84</w:t>
            </w:r>
            <w:r>
              <w:rPr>
                <w:noProof/>
                <w:webHidden/>
              </w:rPr>
              <w:fldChar w:fldCharType="end"/>
            </w:r>
          </w:hyperlink>
        </w:p>
        <w:p w14:paraId="109D72E6" w14:textId="03E26C15" w:rsidR="0025052F" w:rsidRDefault="0025052F">
          <w:pPr>
            <w:pStyle w:val="TOC1"/>
            <w:tabs>
              <w:tab w:val="left" w:pos="440"/>
            </w:tabs>
            <w:rPr>
              <w:rFonts w:eastAsiaTheme="minorEastAsia"/>
              <w:b w:val="0"/>
              <w:noProof/>
              <w:kern w:val="2"/>
              <w:sz w:val="24"/>
              <w:szCs w:val="24"/>
              <w:lang w:eastAsia="en-GB"/>
              <w14:ligatures w14:val="standardContextual"/>
            </w:rPr>
          </w:pPr>
          <w:hyperlink w:anchor="_Toc141646757" w:history="1">
            <w:r w:rsidRPr="00270E73">
              <w:rPr>
                <w:rStyle w:val="Hyperlink"/>
                <w:noProof/>
              </w:rPr>
              <w:t>7.</w:t>
            </w:r>
            <w:r>
              <w:rPr>
                <w:rFonts w:eastAsiaTheme="minorEastAsia"/>
                <w:b w:val="0"/>
                <w:noProof/>
                <w:kern w:val="2"/>
                <w:sz w:val="24"/>
                <w:szCs w:val="24"/>
                <w:lang w:eastAsia="en-GB"/>
                <w14:ligatures w14:val="standardContextual"/>
              </w:rPr>
              <w:tab/>
            </w:r>
            <w:r w:rsidRPr="00270E73">
              <w:rPr>
                <w:rStyle w:val="Hyperlink"/>
                <w:noProof/>
              </w:rPr>
              <w:t>References</w:t>
            </w:r>
            <w:r>
              <w:rPr>
                <w:noProof/>
                <w:webHidden/>
              </w:rPr>
              <w:tab/>
            </w:r>
            <w:r>
              <w:rPr>
                <w:noProof/>
                <w:webHidden/>
              </w:rPr>
              <w:fldChar w:fldCharType="begin"/>
            </w:r>
            <w:r>
              <w:rPr>
                <w:noProof/>
                <w:webHidden/>
              </w:rPr>
              <w:instrText xml:space="preserve"> PAGEREF _Toc141646757 \h </w:instrText>
            </w:r>
            <w:r>
              <w:rPr>
                <w:noProof/>
                <w:webHidden/>
              </w:rPr>
            </w:r>
            <w:r>
              <w:rPr>
                <w:noProof/>
                <w:webHidden/>
              </w:rPr>
              <w:fldChar w:fldCharType="separate"/>
            </w:r>
            <w:r>
              <w:rPr>
                <w:noProof/>
                <w:webHidden/>
              </w:rPr>
              <w:t>86</w:t>
            </w:r>
            <w:r>
              <w:rPr>
                <w:noProof/>
                <w:webHidden/>
              </w:rPr>
              <w:fldChar w:fldCharType="end"/>
            </w:r>
          </w:hyperlink>
        </w:p>
        <w:p w14:paraId="034D94E2" w14:textId="77FE2561" w:rsidR="0025052F" w:rsidRDefault="0025052F">
          <w:pPr>
            <w:pStyle w:val="TOC1"/>
            <w:tabs>
              <w:tab w:val="left" w:pos="440"/>
            </w:tabs>
            <w:rPr>
              <w:rFonts w:eastAsiaTheme="minorEastAsia"/>
              <w:b w:val="0"/>
              <w:noProof/>
              <w:kern w:val="2"/>
              <w:sz w:val="24"/>
              <w:szCs w:val="24"/>
              <w:lang w:eastAsia="en-GB"/>
              <w14:ligatures w14:val="standardContextual"/>
            </w:rPr>
          </w:pPr>
          <w:hyperlink w:anchor="_Toc141646758" w:history="1">
            <w:r w:rsidRPr="00270E73">
              <w:rPr>
                <w:rStyle w:val="Hyperlink"/>
                <w:noProof/>
              </w:rPr>
              <w:t>8.</w:t>
            </w:r>
            <w:r>
              <w:rPr>
                <w:rFonts w:eastAsiaTheme="minorEastAsia"/>
                <w:b w:val="0"/>
                <w:noProof/>
                <w:kern w:val="2"/>
                <w:sz w:val="24"/>
                <w:szCs w:val="24"/>
                <w:lang w:eastAsia="en-GB"/>
                <w14:ligatures w14:val="standardContextual"/>
              </w:rPr>
              <w:tab/>
            </w:r>
            <w:r w:rsidRPr="00270E73">
              <w:rPr>
                <w:rStyle w:val="Hyperlink"/>
                <w:noProof/>
              </w:rPr>
              <w:t>Appendices</w:t>
            </w:r>
            <w:r>
              <w:rPr>
                <w:noProof/>
                <w:webHidden/>
              </w:rPr>
              <w:tab/>
            </w:r>
            <w:r>
              <w:rPr>
                <w:noProof/>
                <w:webHidden/>
              </w:rPr>
              <w:fldChar w:fldCharType="begin"/>
            </w:r>
            <w:r>
              <w:rPr>
                <w:noProof/>
                <w:webHidden/>
              </w:rPr>
              <w:instrText xml:space="preserve"> PAGEREF _Toc141646758 \h </w:instrText>
            </w:r>
            <w:r>
              <w:rPr>
                <w:noProof/>
                <w:webHidden/>
              </w:rPr>
            </w:r>
            <w:r>
              <w:rPr>
                <w:noProof/>
                <w:webHidden/>
              </w:rPr>
              <w:fldChar w:fldCharType="separate"/>
            </w:r>
            <w:r>
              <w:rPr>
                <w:noProof/>
                <w:webHidden/>
              </w:rPr>
              <w:t>99</w:t>
            </w:r>
            <w:r>
              <w:rPr>
                <w:noProof/>
                <w:webHidden/>
              </w:rPr>
              <w:fldChar w:fldCharType="end"/>
            </w:r>
          </w:hyperlink>
        </w:p>
        <w:p w14:paraId="525565D6" w14:textId="56C1BC2C" w:rsidR="0025052F" w:rsidRDefault="0025052F">
          <w:pPr>
            <w:pStyle w:val="TOC2"/>
            <w:tabs>
              <w:tab w:val="left" w:pos="960"/>
              <w:tab w:val="right" w:leader="dot" w:pos="9016"/>
            </w:tabs>
            <w:rPr>
              <w:noProof/>
              <w:kern w:val="2"/>
              <w:sz w:val="24"/>
              <w:szCs w:val="24"/>
              <w:lang w:val="en-GB" w:eastAsia="en-GB"/>
              <w14:ligatures w14:val="standardContextual"/>
            </w:rPr>
          </w:pPr>
          <w:hyperlink w:anchor="_Toc141646759" w:history="1">
            <w:r w:rsidRPr="00270E73">
              <w:rPr>
                <w:rStyle w:val="Hyperlink"/>
                <w:noProof/>
              </w:rPr>
              <w:t>8.1.</w:t>
            </w:r>
            <w:r>
              <w:rPr>
                <w:noProof/>
                <w:kern w:val="2"/>
                <w:sz w:val="24"/>
                <w:szCs w:val="24"/>
                <w:lang w:val="en-GB" w:eastAsia="en-GB"/>
                <w14:ligatures w14:val="standardContextual"/>
              </w:rPr>
              <w:tab/>
            </w:r>
            <w:r w:rsidRPr="00270E73">
              <w:rPr>
                <w:rStyle w:val="Hyperlink"/>
                <w:noProof/>
              </w:rPr>
              <w:t>Example Financial Input Statement Microsoft Excel Spreadsheet</w:t>
            </w:r>
            <w:r>
              <w:rPr>
                <w:noProof/>
                <w:webHidden/>
              </w:rPr>
              <w:tab/>
            </w:r>
            <w:r>
              <w:rPr>
                <w:noProof/>
                <w:webHidden/>
              </w:rPr>
              <w:fldChar w:fldCharType="begin"/>
            </w:r>
            <w:r>
              <w:rPr>
                <w:noProof/>
                <w:webHidden/>
              </w:rPr>
              <w:instrText xml:space="preserve"> PAGEREF _Toc141646759 \h </w:instrText>
            </w:r>
            <w:r>
              <w:rPr>
                <w:noProof/>
                <w:webHidden/>
              </w:rPr>
            </w:r>
            <w:r>
              <w:rPr>
                <w:noProof/>
                <w:webHidden/>
              </w:rPr>
              <w:fldChar w:fldCharType="separate"/>
            </w:r>
            <w:r>
              <w:rPr>
                <w:noProof/>
                <w:webHidden/>
              </w:rPr>
              <w:t>100</w:t>
            </w:r>
            <w:r>
              <w:rPr>
                <w:noProof/>
                <w:webHidden/>
              </w:rPr>
              <w:fldChar w:fldCharType="end"/>
            </w:r>
          </w:hyperlink>
        </w:p>
        <w:p w14:paraId="3130A461" w14:textId="2A07E0CE" w:rsidR="0025052F" w:rsidRDefault="0025052F">
          <w:pPr>
            <w:pStyle w:val="TOC2"/>
            <w:tabs>
              <w:tab w:val="left" w:pos="960"/>
              <w:tab w:val="right" w:leader="dot" w:pos="9016"/>
            </w:tabs>
            <w:rPr>
              <w:noProof/>
              <w:kern w:val="2"/>
              <w:sz w:val="24"/>
              <w:szCs w:val="24"/>
              <w:lang w:val="en-GB" w:eastAsia="en-GB"/>
              <w14:ligatures w14:val="standardContextual"/>
            </w:rPr>
          </w:pPr>
          <w:hyperlink w:anchor="_Toc141646760" w:history="1">
            <w:r w:rsidRPr="00270E73">
              <w:rPr>
                <w:rStyle w:val="Hyperlink"/>
                <w:noProof/>
              </w:rPr>
              <w:t>8.2.</w:t>
            </w:r>
            <w:r>
              <w:rPr>
                <w:noProof/>
                <w:kern w:val="2"/>
                <w:sz w:val="24"/>
                <w:szCs w:val="24"/>
                <w:lang w:val="en-GB" w:eastAsia="en-GB"/>
                <w14:ligatures w14:val="standardContextual"/>
              </w:rPr>
              <w:tab/>
            </w:r>
            <w:r w:rsidRPr="00270E73">
              <w:rPr>
                <w:rStyle w:val="Hyperlink"/>
                <w:noProof/>
              </w:rPr>
              <w:t>Sample Published Annual Report Financial Statements</w:t>
            </w:r>
            <w:r>
              <w:rPr>
                <w:noProof/>
                <w:webHidden/>
              </w:rPr>
              <w:tab/>
            </w:r>
            <w:r>
              <w:rPr>
                <w:noProof/>
                <w:webHidden/>
              </w:rPr>
              <w:fldChar w:fldCharType="begin"/>
            </w:r>
            <w:r>
              <w:rPr>
                <w:noProof/>
                <w:webHidden/>
              </w:rPr>
              <w:instrText xml:space="preserve"> PAGEREF _Toc141646760 \h </w:instrText>
            </w:r>
            <w:r>
              <w:rPr>
                <w:noProof/>
                <w:webHidden/>
              </w:rPr>
            </w:r>
            <w:r>
              <w:rPr>
                <w:noProof/>
                <w:webHidden/>
              </w:rPr>
              <w:fldChar w:fldCharType="separate"/>
            </w:r>
            <w:r>
              <w:rPr>
                <w:noProof/>
                <w:webHidden/>
              </w:rPr>
              <w:t>103</w:t>
            </w:r>
            <w:r>
              <w:rPr>
                <w:noProof/>
                <w:webHidden/>
              </w:rPr>
              <w:fldChar w:fldCharType="end"/>
            </w:r>
          </w:hyperlink>
        </w:p>
        <w:p w14:paraId="321EDB5B" w14:textId="20AFBBE6" w:rsidR="0025052F" w:rsidRDefault="0025052F">
          <w:pPr>
            <w:pStyle w:val="TOC2"/>
            <w:tabs>
              <w:tab w:val="left" w:pos="960"/>
              <w:tab w:val="right" w:leader="dot" w:pos="9016"/>
            </w:tabs>
            <w:rPr>
              <w:noProof/>
              <w:kern w:val="2"/>
              <w:sz w:val="24"/>
              <w:szCs w:val="24"/>
              <w:lang w:val="en-GB" w:eastAsia="en-GB"/>
              <w14:ligatures w14:val="standardContextual"/>
            </w:rPr>
          </w:pPr>
          <w:hyperlink w:anchor="_Toc141646761" w:history="1">
            <w:r w:rsidRPr="00270E73">
              <w:rPr>
                <w:rStyle w:val="Hyperlink"/>
                <w:noProof/>
              </w:rPr>
              <w:t>8.3.</w:t>
            </w:r>
            <w:r>
              <w:rPr>
                <w:noProof/>
                <w:kern w:val="2"/>
                <w:sz w:val="24"/>
                <w:szCs w:val="24"/>
                <w:lang w:val="en-GB" w:eastAsia="en-GB"/>
                <w14:ligatures w14:val="standardContextual"/>
              </w:rPr>
              <w:tab/>
            </w:r>
            <w:r w:rsidRPr="00270E73">
              <w:rPr>
                <w:rStyle w:val="Hyperlink"/>
                <w:noProof/>
              </w:rPr>
              <w:t>Financial Ratios</w:t>
            </w:r>
            <w:r>
              <w:rPr>
                <w:noProof/>
                <w:webHidden/>
              </w:rPr>
              <w:tab/>
            </w:r>
            <w:r>
              <w:rPr>
                <w:noProof/>
                <w:webHidden/>
              </w:rPr>
              <w:fldChar w:fldCharType="begin"/>
            </w:r>
            <w:r>
              <w:rPr>
                <w:noProof/>
                <w:webHidden/>
              </w:rPr>
              <w:instrText xml:space="preserve"> PAGEREF _Toc141646761 \h </w:instrText>
            </w:r>
            <w:r>
              <w:rPr>
                <w:noProof/>
                <w:webHidden/>
              </w:rPr>
            </w:r>
            <w:r>
              <w:rPr>
                <w:noProof/>
                <w:webHidden/>
              </w:rPr>
              <w:fldChar w:fldCharType="separate"/>
            </w:r>
            <w:r>
              <w:rPr>
                <w:noProof/>
                <w:webHidden/>
              </w:rPr>
              <w:t>106</w:t>
            </w:r>
            <w:r>
              <w:rPr>
                <w:noProof/>
                <w:webHidden/>
              </w:rPr>
              <w:fldChar w:fldCharType="end"/>
            </w:r>
          </w:hyperlink>
        </w:p>
        <w:p w14:paraId="64D1FBC9" w14:textId="57975722" w:rsidR="0025052F" w:rsidRDefault="0025052F">
          <w:pPr>
            <w:pStyle w:val="TOC2"/>
            <w:tabs>
              <w:tab w:val="left" w:pos="960"/>
              <w:tab w:val="right" w:leader="dot" w:pos="9016"/>
            </w:tabs>
            <w:rPr>
              <w:noProof/>
              <w:kern w:val="2"/>
              <w:sz w:val="24"/>
              <w:szCs w:val="24"/>
              <w:lang w:val="en-GB" w:eastAsia="en-GB"/>
              <w14:ligatures w14:val="standardContextual"/>
            </w:rPr>
          </w:pPr>
          <w:hyperlink w:anchor="_Toc141646762" w:history="1">
            <w:r w:rsidRPr="00270E73">
              <w:rPr>
                <w:rStyle w:val="Hyperlink"/>
                <w:noProof/>
              </w:rPr>
              <w:t>8.4.</w:t>
            </w:r>
            <w:r>
              <w:rPr>
                <w:noProof/>
                <w:kern w:val="2"/>
                <w:sz w:val="24"/>
                <w:szCs w:val="24"/>
                <w:lang w:val="en-GB" w:eastAsia="en-GB"/>
                <w14:ligatures w14:val="standardContextual"/>
              </w:rPr>
              <w:tab/>
            </w:r>
            <w:r w:rsidRPr="00270E73">
              <w:rPr>
                <w:rStyle w:val="Hyperlink"/>
                <w:noProof/>
              </w:rPr>
              <w:t>Example Financial Ratio Output Microsoft Excel Spreadsheet</w:t>
            </w:r>
            <w:r>
              <w:rPr>
                <w:noProof/>
                <w:webHidden/>
              </w:rPr>
              <w:tab/>
            </w:r>
            <w:r>
              <w:rPr>
                <w:noProof/>
                <w:webHidden/>
              </w:rPr>
              <w:fldChar w:fldCharType="begin"/>
            </w:r>
            <w:r>
              <w:rPr>
                <w:noProof/>
                <w:webHidden/>
              </w:rPr>
              <w:instrText xml:space="preserve"> PAGEREF _Toc141646762 \h </w:instrText>
            </w:r>
            <w:r>
              <w:rPr>
                <w:noProof/>
                <w:webHidden/>
              </w:rPr>
            </w:r>
            <w:r>
              <w:rPr>
                <w:noProof/>
                <w:webHidden/>
              </w:rPr>
              <w:fldChar w:fldCharType="separate"/>
            </w:r>
            <w:r>
              <w:rPr>
                <w:noProof/>
                <w:webHidden/>
              </w:rPr>
              <w:t>108</w:t>
            </w:r>
            <w:r>
              <w:rPr>
                <w:noProof/>
                <w:webHidden/>
              </w:rPr>
              <w:fldChar w:fldCharType="end"/>
            </w:r>
          </w:hyperlink>
        </w:p>
        <w:p w14:paraId="66B54408" w14:textId="623C2224" w:rsidR="0025052F" w:rsidRDefault="0025052F">
          <w:pPr>
            <w:pStyle w:val="TOC2"/>
            <w:tabs>
              <w:tab w:val="left" w:pos="960"/>
              <w:tab w:val="right" w:leader="dot" w:pos="9016"/>
            </w:tabs>
            <w:rPr>
              <w:noProof/>
              <w:kern w:val="2"/>
              <w:sz w:val="24"/>
              <w:szCs w:val="24"/>
              <w:lang w:val="en-GB" w:eastAsia="en-GB"/>
              <w14:ligatures w14:val="standardContextual"/>
            </w:rPr>
          </w:pPr>
          <w:hyperlink w:anchor="_Toc141646763" w:history="1">
            <w:r w:rsidRPr="00270E73">
              <w:rPr>
                <w:rStyle w:val="Hyperlink"/>
                <w:noProof/>
              </w:rPr>
              <w:t>8.5.</w:t>
            </w:r>
            <w:r>
              <w:rPr>
                <w:noProof/>
                <w:kern w:val="2"/>
                <w:sz w:val="24"/>
                <w:szCs w:val="24"/>
                <w:lang w:val="en-GB" w:eastAsia="en-GB"/>
                <w14:ligatures w14:val="standardContextual"/>
              </w:rPr>
              <w:tab/>
            </w:r>
            <w:r w:rsidRPr="00270E73">
              <w:rPr>
                <w:rStyle w:val="Hyperlink"/>
                <w:noProof/>
              </w:rPr>
              <w:t>Financial Ratio Outputs for individual FTSE 250 Sectors</w:t>
            </w:r>
            <w:r>
              <w:rPr>
                <w:noProof/>
                <w:webHidden/>
              </w:rPr>
              <w:tab/>
            </w:r>
            <w:r>
              <w:rPr>
                <w:noProof/>
                <w:webHidden/>
              </w:rPr>
              <w:fldChar w:fldCharType="begin"/>
            </w:r>
            <w:r>
              <w:rPr>
                <w:noProof/>
                <w:webHidden/>
              </w:rPr>
              <w:instrText xml:space="preserve"> PAGEREF _Toc141646763 \h </w:instrText>
            </w:r>
            <w:r>
              <w:rPr>
                <w:noProof/>
                <w:webHidden/>
              </w:rPr>
            </w:r>
            <w:r>
              <w:rPr>
                <w:noProof/>
                <w:webHidden/>
              </w:rPr>
              <w:fldChar w:fldCharType="separate"/>
            </w:r>
            <w:r>
              <w:rPr>
                <w:noProof/>
                <w:webHidden/>
              </w:rPr>
              <w:t>109</w:t>
            </w:r>
            <w:r>
              <w:rPr>
                <w:noProof/>
                <w:webHidden/>
              </w:rPr>
              <w:fldChar w:fldCharType="end"/>
            </w:r>
          </w:hyperlink>
        </w:p>
        <w:p w14:paraId="11DEEDB2" w14:textId="52FFC3F7" w:rsidR="006F03CC" w:rsidRPr="00212580" w:rsidRDefault="00BA781A">
          <w:pPr>
            <w:rPr>
              <w:sz w:val="24"/>
              <w:szCs w:val="24"/>
            </w:rPr>
          </w:pPr>
          <w:r w:rsidRPr="00BC038D">
            <w:rPr>
              <w:sz w:val="24"/>
              <w:szCs w:val="24"/>
            </w:rPr>
            <w:fldChar w:fldCharType="end"/>
          </w:r>
        </w:p>
      </w:sdtContent>
    </w:sdt>
    <w:p w14:paraId="30518D5F" w14:textId="77777777" w:rsidR="00074780" w:rsidRPr="00212580" w:rsidRDefault="00074780">
      <w:pPr>
        <w:rPr>
          <w:b/>
          <w:sz w:val="24"/>
          <w:szCs w:val="24"/>
          <w:u w:val="single"/>
        </w:rPr>
      </w:pPr>
      <w:r w:rsidRPr="00212580">
        <w:rPr>
          <w:b/>
          <w:sz w:val="24"/>
          <w:szCs w:val="24"/>
          <w:u w:val="single"/>
        </w:rPr>
        <w:br w:type="page"/>
      </w:r>
    </w:p>
    <w:p w14:paraId="43A948D5" w14:textId="77777777" w:rsidR="001B61F5" w:rsidRPr="00212580" w:rsidRDefault="00CE5C03" w:rsidP="00201C5A">
      <w:pPr>
        <w:pStyle w:val="Heading1"/>
        <w:jc w:val="center"/>
        <w:rPr>
          <w:szCs w:val="24"/>
        </w:rPr>
      </w:pPr>
      <w:bookmarkStart w:id="3" w:name="_Toc141646686"/>
      <w:r w:rsidRPr="00212580">
        <w:rPr>
          <w:szCs w:val="24"/>
        </w:rPr>
        <w:lastRenderedPageBreak/>
        <w:t>Index of Figures</w:t>
      </w:r>
      <w:bookmarkEnd w:id="3"/>
    </w:p>
    <w:tbl>
      <w:tblPr>
        <w:tblW w:w="9655" w:type="dxa"/>
        <w:tblInd w:w="93" w:type="dxa"/>
        <w:tblLook w:val="04A0" w:firstRow="1" w:lastRow="0" w:firstColumn="1" w:lastColumn="0" w:noHBand="0" w:noVBand="1"/>
      </w:tblPr>
      <w:tblGrid>
        <w:gridCol w:w="7528"/>
        <w:gridCol w:w="2127"/>
      </w:tblGrid>
      <w:tr w:rsidR="00447670" w:rsidRPr="00212580" w14:paraId="6EB8D6B7" w14:textId="77777777" w:rsidTr="002F1817">
        <w:trPr>
          <w:trHeight w:val="300"/>
        </w:trPr>
        <w:tc>
          <w:tcPr>
            <w:tcW w:w="7528" w:type="dxa"/>
            <w:shd w:val="clear" w:color="auto" w:fill="auto"/>
            <w:noWrap/>
            <w:vAlign w:val="bottom"/>
            <w:hideMark/>
          </w:tcPr>
          <w:p w14:paraId="505BEC9E" w14:textId="77777777" w:rsidR="00447670" w:rsidRPr="00212580" w:rsidRDefault="004A0868" w:rsidP="00D27E9A">
            <w:pPr>
              <w:spacing w:after="0" w:line="240" w:lineRule="auto"/>
              <w:rPr>
                <w:rFonts w:ascii="Calibri" w:eastAsia="Times New Roman" w:hAnsi="Calibri" w:cs="Calibri"/>
                <w:color w:val="000000"/>
                <w:sz w:val="24"/>
                <w:szCs w:val="24"/>
                <w:lang w:eastAsia="en-GB"/>
              </w:rPr>
            </w:pPr>
            <w:r w:rsidRPr="00212580">
              <w:rPr>
                <w:sz w:val="24"/>
                <w:szCs w:val="24"/>
              </w:rPr>
              <w:t> </w:t>
            </w:r>
          </w:p>
        </w:tc>
        <w:tc>
          <w:tcPr>
            <w:tcW w:w="2127" w:type="dxa"/>
            <w:shd w:val="clear" w:color="auto" w:fill="auto"/>
            <w:noWrap/>
            <w:vAlign w:val="bottom"/>
            <w:hideMark/>
          </w:tcPr>
          <w:p w14:paraId="7191500C" w14:textId="77777777" w:rsidR="00447670" w:rsidRPr="00212580" w:rsidRDefault="00447670" w:rsidP="00D27E9A">
            <w:pPr>
              <w:spacing w:after="0" w:line="240" w:lineRule="auto"/>
              <w:jc w:val="center"/>
              <w:rPr>
                <w:rFonts w:ascii="Calibri" w:eastAsia="Times New Roman" w:hAnsi="Calibri" w:cs="Calibri"/>
                <w:b/>
                <w:bCs/>
                <w:color w:val="000000"/>
                <w:sz w:val="24"/>
                <w:szCs w:val="24"/>
                <w:lang w:eastAsia="en-GB"/>
              </w:rPr>
            </w:pPr>
            <w:r w:rsidRPr="00212580">
              <w:rPr>
                <w:rFonts w:ascii="Calibri" w:eastAsia="Times New Roman" w:hAnsi="Calibri" w:cs="Calibri"/>
                <w:b/>
                <w:bCs/>
                <w:color w:val="000000"/>
                <w:sz w:val="24"/>
                <w:szCs w:val="24"/>
                <w:lang w:eastAsia="en-GB"/>
              </w:rPr>
              <w:t>Page</w:t>
            </w:r>
          </w:p>
        </w:tc>
      </w:tr>
      <w:tr w:rsidR="00D100B6" w:rsidRPr="00212580" w14:paraId="67B63FAF" w14:textId="77777777" w:rsidTr="00D100B6">
        <w:trPr>
          <w:trHeight w:val="780"/>
        </w:trPr>
        <w:tc>
          <w:tcPr>
            <w:tcW w:w="7528" w:type="dxa"/>
            <w:shd w:val="clear" w:color="auto" w:fill="auto"/>
            <w:noWrap/>
            <w:vAlign w:val="bottom"/>
          </w:tcPr>
          <w:p w14:paraId="012D9B5E" w14:textId="2BB5914A" w:rsidR="00D100B6" w:rsidRDefault="00D100B6" w:rsidP="00D100B6">
            <w:pPr>
              <w:spacing w:after="0" w:line="240" w:lineRule="auto"/>
              <w:jc w:val="both"/>
              <w:rPr>
                <w:rFonts w:eastAsia="Times New Roman" w:cstheme="minorHAnsi"/>
                <w:b/>
                <w:bCs/>
                <w:color w:val="000000"/>
                <w:sz w:val="24"/>
                <w:szCs w:val="24"/>
                <w:lang w:eastAsia="en-GB"/>
              </w:rPr>
            </w:pPr>
            <w:r>
              <w:rPr>
                <w:rFonts w:eastAsia="Times New Roman" w:cstheme="minorHAnsi"/>
                <w:b/>
                <w:bCs/>
                <w:color w:val="000000"/>
                <w:sz w:val="24"/>
                <w:szCs w:val="24"/>
                <w:lang w:eastAsia="en-GB"/>
              </w:rPr>
              <w:t>Figure 1.</w:t>
            </w:r>
          </w:p>
          <w:p w14:paraId="70267019" w14:textId="63E0BB69" w:rsidR="00D100B6" w:rsidRPr="00552F72" w:rsidRDefault="00552F72" w:rsidP="00D100B6">
            <w:pPr>
              <w:spacing w:after="0" w:line="240" w:lineRule="auto"/>
              <w:jc w:val="both"/>
              <w:rPr>
                <w:rFonts w:eastAsia="Times New Roman" w:cstheme="minorHAnsi"/>
                <w:color w:val="000000"/>
                <w:sz w:val="24"/>
                <w:szCs w:val="24"/>
                <w:lang w:eastAsia="en-GB"/>
              </w:rPr>
            </w:pPr>
            <w:r>
              <w:rPr>
                <w:rFonts w:eastAsia="Times New Roman" w:cstheme="minorHAnsi"/>
                <w:color w:val="000000"/>
                <w:sz w:val="24"/>
                <w:szCs w:val="24"/>
                <w:lang w:eastAsia="en-GB"/>
              </w:rPr>
              <w:t>Screen Capture of EasyJet Plc. Group’s investor relations webpage with publicly available reports and presentations.</w:t>
            </w:r>
          </w:p>
        </w:tc>
        <w:tc>
          <w:tcPr>
            <w:tcW w:w="2127" w:type="dxa"/>
            <w:shd w:val="clear" w:color="auto" w:fill="auto"/>
            <w:noWrap/>
            <w:vAlign w:val="center"/>
          </w:tcPr>
          <w:p w14:paraId="0DA756B6" w14:textId="0CD204CD" w:rsidR="00D100B6" w:rsidRDefault="00552F72" w:rsidP="00D100B6">
            <w:pPr>
              <w:spacing w:after="0" w:line="240" w:lineRule="auto"/>
              <w:jc w:val="center"/>
              <w:rPr>
                <w:rFonts w:eastAsia="Times New Roman" w:cstheme="minorHAnsi"/>
                <w:b/>
                <w:bCs/>
                <w:color w:val="000000"/>
                <w:sz w:val="24"/>
                <w:szCs w:val="24"/>
                <w:lang w:eastAsia="en-GB"/>
              </w:rPr>
            </w:pPr>
            <w:r>
              <w:rPr>
                <w:rFonts w:eastAsia="Times New Roman" w:cstheme="minorHAnsi"/>
                <w:b/>
                <w:bCs/>
                <w:color w:val="000000"/>
                <w:sz w:val="24"/>
                <w:szCs w:val="24"/>
                <w:lang w:eastAsia="en-GB"/>
              </w:rPr>
              <w:t>22</w:t>
            </w:r>
          </w:p>
        </w:tc>
      </w:tr>
      <w:tr w:rsidR="00D100B6" w:rsidRPr="00212580" w14:paraId="6BDD1DC0" w14:textId="77777777" w:rsidTr="00D100B6">
        <w:trPr>
          <w:trHeight w:val="780"/>
        </w:trPr>
        <w:tc>
          <w:tcPr>
            <w:tcW w:w="7528" w:type="dxa"/>
            <w:shd w:val="clear" w:color="auto" w:fill="auto"/>
            <w:noWrap/>
            <w:vAlign w:val="bottom"/>
          </w:tcPr>
          <w:p w14:paraId="634B2FC0" w14:textId="0C0B3FE9" w:rsidR="00D100B6" w:rsidRDefault="00D100B6" w:rsidP="00D100B6">
            <w:pPr>
              <w:spacing w:after="0" w:line="240" w:lineRule="auto"/>
              <w:jc w:val="both"/>
              <w:rPr>
                <w:rFonts w:eastAsia="Times New Roman" w:cstheme="minorHAnsi"/>
                <w:b/>
                <w:bCs/>
                <w:color w:val="000000"/>
                <w:sz w:val="24"/>
                <w:szCs w:val="24"/>
                <w:lang w:eastAsia="en-GB"/>
              </w:rPr>
            </w:pPr>
            <w:r>
              <w:rPr>
                <w:rFonts w:eastAsia="Times New Roman" w:cstheme="minorHAnsi"/>
                <w:b/>
                <w:bCs/>
                <w:color w:val="000000"/>
                <w:sz w:val="24"/>
                <w:szCs w:val="24"/>
                <w:lang w:eastAsia="en-GB"/>
              </w:rPr>
              <w:t>Figure 2.</w:t>
            </w:r>
          </w:p>
          <w:p w14:paraId="30BCECBE" w14:textId="35D400E6" w:rsidR="00D100B6" w:rsidRDefault="00552F72" w:rsidP="00D100B6">
            <w:pPr>
              <w:spacing w:after="0" w:line="240" w:lineRule="auto"/>
              <w:jc w:val="both"/>
              <w:rPr>
                <w:rFonts w:eastAsia="Times New Roman" w:cstheme="minorHAnsi"/>
                <w:b/>
                <w:bCs/>
                <w:color w:val="000000"/>
                <w:sz w:val="24"/>
                <w:szCs w:val="24"/>
                <w:lang w:eastAsia="en-GB"/>
              </w:rPr>
            </w:pPr>
            <w:r>
              <w:rPr>
                <w:sz w:val="24"/>
                <w:szCs w:val="24"/>
              </w:rPr>
              <w:t xml:space="preserve">Comparative </w:t>
            </w:r>
            <w:r w:rsidR="00132705">
              <w:rPr>
                <w:sz w:val="24"/>
                <w:szCs w:val="24"/>
              </w:rPr>
              <w:t xml:space="preserve">stock index prices for the major </w:t>
            </w:r>
            <w:r w:rsidR="00BC2B9B">
              <w:rPr>
                <w:sz w:val="24"/>
                <w:szCs w:val="24"/>
              </w:rPr>
              <w:t>indices</w:t>
            </w:r>
            <w:r w:rsidR="00132705">
              <w:rPr>
                <w:sz w:val="24"/>
                <w:szCs w:val="24"/>
              </w:rPr>
              <w:t xml:space="preserve"> between January 2019 and December 2021.</w:t>
            </w:r>
            <w:r w:rsidR="00D100B6" w:rsidRPr="00783FE6">
              <w:rPr>
                <w:sz w:val="24"/>
                <w:szCs w:val="24"/>
              </w:rPr>
              <w:t xml:space="preserve"> </w:t>
            </w:r>
          </w:p>
        </w:tc>
        <w:tc>
          <w:tcPr>
            <w:tcW w:w="2127" w:type="dxa"/>
            <w:shd w:val="clear" w:color="auto" w:fill="auto"/>
            <w:noWrap/>
            <w:vAlign w:val="center"/>
          </w:tcPr>
          <w:p w14:paraId="5AD30113" w14:textId="6AB32F3F" w:rsidR="00D100B6" w:rsidRDefault="00132705" w:rsidP="00D100B6">
            <w:pPr>
              <w:spacing w:after="0" w:line="240" w:lineRule="auto"/>
              <w:jc w:val="center"/>
              <w:rPr>
                <w:rFonts w:eastAsia="Times New Roman" w:cstheme="minorHAnsi"/>
                <w:b/>
                <w:bCs/>
                <w:color w:val="000000"/>
                <w:sz w:val="24"/>
                <w:szCs w:val="24"/>
                <w:lang w:eastAsia="en-GB"/>
              </w:rPr>
            </w:pPr>
            <w:r>
              <w:rPr>
                <w:rFonts w:eastAsia="Times New Roman" w:cstheme="minorHAnsi"/>
                <w:b/>
                <w:bCs/>
                <w:color w:val="000000"/>
                <w:sz w:val="24"/>
                <w:szCs w:val="24"/>
                <w:lang w:eastAsia="en-GB"/>
              </w:rPr>
              <w:t>33</w:t>
            </w:r>
          </w:p>
        </w:tc>
      </w:tr>
      <w:tr w:rsidR="00D100B6" w:rsidRPr="00212580" w14:paraId="6A8CED5D" w14:textId="77777777" w:rsidTr="00D100B6">
        <w:trPr>
          <w:trHeight w:val="780"/>
        </w:trPr>
        <w:tc>
          <w:tcPr>
            <w:tcW w:w="7528" w:type="dxa"/>
            <w:shd w:val="clear" w:color="auto" w:fill="auto"/>
            <w:noWrap/>
            <w:vAlign w:val="bottom"/>
          </w:tcPr>
          <w:p w14:paraId="46ACE216" w14:textId="500C953A" w:rsidR="00D100B6" w:rsidRDefault="00D100B6" w:rsidP="00D100B6">
            <w:pPr>
              <w:spacing w:after="0" w:line="240" w:lineRule="auto"/>
              <w:jc w:val="both"/>
              <w:rPr>
                <w:rFonts w:eastAsia="Times New Roman" w:cstheme="minorHAnsi"/>
                <w:b/>
                <w:bCs/>
                <w:color w:val="000000"/>
                <w:sz w:val="24"/>
                <w:szCs w:val="24"/>
                <w:lang w:eastAsia="en-GB"/>
              </w:rPr>
            </w:pPr>
            <w:r>
              <w:rPr>
                <w:rFonts w:eastAsia="Times New Roman" w:cstheme="minorHAnsi"/>
                <w:b/>
                <w:bCs/>
                <w:color w:val="000000"/>
                <w:sz w:val="24"/>
                <w:szCs w:val="24"/>
                <w:lang w:eastAsia="en-GB"/>
              </w:rPr>
              <w:t>Figure 3.</w:t>
            </w:r>
          </w:p>
          <w:p w14:paraId="75747494" w14:textId="35B263C8" w:rsidR="00D100B6" w:rsidRDefault="00BC2B9B" w:rsidP="00D100B6">
            <w:pPr>
              <w:spacing w:after="0" w:line="240" w:lineRule="auto"/>
              <w:jc w:val="both"/>
              <w:rPr>
                <w:rFonts w:eastAsia="Times New Roman" w:cstheme="minorHAnsi"/>
                <w:b/>
                <w:bCs/>
                <w:color w:val="000000"/>
                <w:sz w:val="24"/>
                <w:szCs w:val="24"/>
                <w:lang w:eastAsia="en-GB"/>
              </w:rPr>
            </w:pPr>
            <w:r>
              <w:rPr>
                <w:sz w:val="24"/>
                <w:szCs w:val="24"/>
              </w:rPr>
              <w:t>Gross Margin</w:t>
            </w:r>
            <w:r w:rsidR="00D100B6" w:rsidRPr="00783FE6">
              <w:rPr>
                <w:sz w:val="24"/>
                <w:szCs w:val="24"/>
              </w:rPr>
              <w:t xml:space="preserve"> financial ratio results for all </w:t>
            </w:r>
            <w:r w:rsidR="00D06C36">
              <w:rPr>
                <w:sz w:val="24"/>
                <w:szCs w:val="24"/>
              </w:rPr>
              <w:t>FTSE 250</w:t>
            </w:r>
            <w:r w:rsidR="00D100B6" w:rsidRPr="00783FE6">
              <w:rPr>
                <w:sz w:val="24"/>
                <w:szCs w:val="24"/>
              </w:rPr>
              <w:t xml:space="preserve"> industry sectors between 2019 and 2021. </w:t>
            </w:r>
          </w:p>
        </w:tc>
        <w:tc>
          <w:tcPr>
            <w:tcW w:w="2127" w:type="dxa"/>
            <w:shd w:val="clear" w:color="auto" w:fill="auto"/>
            <w:noWrap/>
            <w:vAlign w:val="center"/>
          </w:tcPr>
          <w:p w14:paraId="0FA93CC4" w14:textId="581C5A8C" w:rsidR="00D100B6" w:rsidRDefault="00BC2B9B" w:rsidP="00D100B6">
            <w:pPr>
              <w:spacing w:after="0" w:line="240" w:lineRule="auto"/>
              <w:jc w:val="center"/>
              <w:rPr>
                <w:rFonts w:eastAsia="Times New Roman" w:cstheme="minorHAnsi"/>
                <w:b/>
                <w:bCs/>
                <w:color w:val="000000"/>
                <w:sz w:val="24"/>
                <w:szCs w:val="24"/>
                <w:lang w:eastAsia="en-GB"/>
              </w:rPr>
            </w:pPr>
            <w:r>
              <w:rPr>
                <w:rFonts w:eastAsia="Times New Roman" w:cstheme="minorHAnsi"/>
                <w:b/>
                <w:bCs/>
                <w:color w:val="000000"/>
                <w:sz w:val="24"/>
                <w:szCs w:val="24"/>
                <w:lang w:eastAsia="en-GB"/>
              </w:rPr>
              <w:t>36</w:t>
            </w:r>
          </w:p>
        </w:tc>
      </w:tr>
      <w:tr w:rsidR="00D100B6" w:rsidRPr="00212580" w14:paraId="58B9AA64" w14:textId="77777777" w:rsidTr="00D100B6">
        <w:trPr>
          <w:trHeight w:val="780"/>
        </w:trPr>
        <w:tc>
          <w:tcPr>
            <w:tcW w:w="7528" w:type="dxa"/>
            <w:shd w:val="clear" w:color="auto" w:fill="auto"/>
            <w:noWrap/>
            <w:vAlign w:val="bottom"/>
          </w:tcPr>
          <w:p w14:paraId="72A79F45" w14:textId="73BCD72D" w:rsidR="00D100B6" w:rsidRDefault="00D100B6" w:rsidP="00D100B6">
            <w:pPr>
              <w:spacing w:after="0" w:line="240" w:lineRule="auto"/>
              <w:jc w:val="both"/>
              <w:rPr>
                <w:rFonts w:eastAsia="Times New Roman" w:cstheme="minorHAnsi"/>
                <w:b/>
                <w:bCs/>
                <w:color w:val="000000"/>
                <w:sz w:val="24"/>
                <w:szCs w:val="24"/>
                <w:lang w:eastAsia="en-GB"/>
              </w:rPr>
            </w:pPr>
            <w:r>
              <w:rPr>
                <w:rFonts w:eastAsia="Times New Roman" w:cstheme="minorHAnsi"/>
                <w:b/>
                <w:bCs/>
                <w:color w:val="000000"/>
                <w:sz w:val="24"/>
                <w:szCs w:val="24"/>
                <w:lang w:eastAsia="en-GB"/>
              </w:rPr>
              <w:t>Figure 4.</w:t>
            </w:r>
          </w:p>
          <w:p w14:paraId="520418BA" w14:textId="0DF83F33" w:rsidR="00D100B6" w:rsidRDefault="00BC2B9B" w:rsidP="00D100B6">
            <w:pPr>
              <w:spacing w:after="0" w:line="240" w:lineRule="auto"/>
              <w:jc w:val="both"/>
              <w:rPr>
                <w:rFonts w:eastAsia="Times New Roman" w:cstheme="minorHAnsi"/>
                <w:b/>
                <w:bCs/>
                <w:color w:val="000000"/>
                <w:sz w:val="24"/>
                <w:szCs w:val="24"/>
                <w:lang w:eastAsia="en-GB"/>
              </w:rPr>
            </w:pPr>
            <w:r>
              <w:rPr>
                <w:sz w:val="24"/>
                <w:szCs w:val="24"/>
              </w:rPr>
              <w:t>Cost of Sales</w:t>
            </w:r>
            <w:r w:rsidR="00D100B6" w:rsidRPr="00783FE6">
              <w:rPr>
                <w:sz w:val="24"/>
                <w:szCs w:val="24"/>
              </w:rPr>
              <w:t xml:space="preserve"> financial ratio results for all </w:t>
            </w:r>
            <w:r w:rsidR="00D06C36">
              <w:rPr>
                <w:sz w:val="24"/>
                <w:szCs w:val="24"/>
              </w:rPr>
              <w:t>FTSE 250</w:t>
            </w:r>
            <w:r w:rsidR="00D100B6" w:rsidRPr="00783FE6">
              <w:rPr>
                <w:sz w:val="24"/>
                <w:szCs w:val="24"/>
              </w:rPr>
              <w:t xml:space="preserve"> industry sectors between 2019 and 2021. </w:t>
            </w:r>
          </w:p>
        </w:tc>
        <w:tc>
          <w:tcPr>
            <w:tcW w:w="2127" w:type="dxa"/>
            <w:shd w:val="clear" w:color="auto" w:fill="auto"/>
            <w:noWrap/>
            <w:vAlign w:val="center"/>
          </w:tcPr>
          <w:p w14:paraId="02357AEE" w14:textId="22B21F00" w:rsidR="00D100B6" w:rsidRDefault="00BC2B9B" w:rsidP="00D100B6">
            <w:pPr>
              <w:spacing w:after="0" w:line="240" w:lineRule="auto"/>
              <w:jc w:val="center"/>
              <w:rPr>
                <w:rFonts w:eastAsia="Times New Roman" w:cstheme="minorHAnsi"/>
                <w:b/>
                <w:bCs/>
                <w:color w:val="000000"/>
                <w:sz w:val="24"/>
                <w:szCs w:val="24"/>
                <w:lang w:eastAsia="en-GB"/>
              </w:rPr>
            </w:pPr>
            <w:r>
              <w:rPr>
                <w:rFonts w:eastAsia="Times New Roman" w:cstheme="minorHAnsi"/>
                <w:b/>
                <w:bCs/>
                <w:color w:val="000000"/>
                <w:sz w:val="24"/>
                <w:szCs w:val="24"/>
                <w:lang w:eastAsia="en-GB"/>
              </w:rPr>
              <w:t>37</w:t>
            </w:r>
          </w:p>
        </w:tc>
      </w:tr>
      <w:tr w:rsidR="00D100B6" w:rsidRPr="00212580" w14:paraId="7C359DF0" w14:textId="77777777" w:rsidTr="00D100B6">
        <w:trPr>
          <w:trHeight w:val="780"/>
        </w:trPr>
        <w:tc>
          <w:tcPr>
            <w:tcW w:w="7528" w:type="dxa"/>
            <w:shd w:val="clear" w:color="auto" w:fill="auto"/>
            <w:noWrap/>
            <w:vAlign w:val="bottom"/>
          </w:tcPr>
          <w:p w14:paraId="316A856F" w14:textId="3F6E4601" w:rsidR="00D100B6" w:rsidRDefault="00D100B6" w:rsidP="00D100B6">
            <w:pPr>
              <w:spacing w:after="0" w:line="240" w:lineRule="auto"/>
              <w:jc w:val="both"/>
              <w:rPr>
                <w:rFonts w:eastAsia="Times New Roman" w:cstheme="minorHAnsi"/>
                <w:b/>
                <w:bCs/>
                <w:color w:val="000000"/>
                <w:sz w:val="24"/>
                <w:szCs w:val="24"/>
                <w:lang w:eastAsia="en-GB"/>
              </w:rPr>
            </w:pPr>
            <w:r>
              <w:rPr>
                <w:rFonts w:eastAsia="Times New Roman" w:cstheme="minorHAnsi"/>
                <w:b/>
                <w:bCs/>
                <w:color w:val="000000"/>
                <w:sz w:val="24"/>
                <w:szCs w:val="24"/>
                <w:lang w:eastAsia="en-GB"/>
              </w:rPr>
              <w:t>Figure 5.</w:t>
            </w:r>
          </w:p>
          <w:p w14:paraId="02665D94" w14:textId="37B67279" w:rsidR="00D100B6" w:rsidRPr="005D0D04" w:rsidRDefault="00D100B6" w:rsidP="00D100B6">
            <w:pPr>
              <w:spacing w:after="0" w:line="240" w:lineRule="auto"/>
              <w:jc w:val="both"/>
              <w:rPr>
                <w:sz w:val="24"/>
                <w:szCs w:val="24"/>
              </w:rPr>
            </w:pPr>
            <w:r>
              <w:rPr>
                <w:sz w:val="24"/>
                <w:szCs w:val="24"/>
              </w:rPr>
              <w:t>Tax</w:t>
            </w:r>
            <w:r w:rsidRPr="00783FE6">
              <w:rPr>
                <w:sz w:val="24"/>
                <w:szCs w:val="24"/>
              </w:rPr>
              <w:t xml:space="preserve"> financial ratio results for all </w:t>
            </w:r>
            <w:r w:rsidR="00D06C36">
              <w:rPr>
                <w:sz w:val="24"/>
                <w:szCs w:val="24"/>
              </w:rPr>
              <w:t>FTSE 250</w:t>
            </w:r>
            <w:r w:rsidRPr="00783FE6">
              <w:rPr>
                <w:sz w:val="24"/>
                <w:szCs w:val="24"/>
              </w:rPr>
              <w:t xml:space="preserve"> industry sectors between 2019 and 2021. </w:t>
            </w:r>
          </w:p>
        </w:tc>
        <w:tc>
          <w:tcPr>
            <w:tcW w:w="2127" w:type="dxa"/>
            <w:shd w:val="clear" w:color="auto" w:fill="auto"/>
            <w:noWrap/>
            <w:vAlign w:val="center"/>
          </w:tcPr>
          <w:p w14:paraId="2C20AA65" w14:textId="345D4840" w:rsidR="00D100B6" w:rsidRDefault="00D100B6" w:rsidP="00D100B6">
            <w:pPr>
              <w:spacing w:after="0" w:line="240" w:lineRule="auto"/>
              <w:jc w:val="center"/>
              <w:rPr>
                <w:rFonts w:eastAsia="Times New Roman" w:cstheme="minorHAnsi"/>
                <w:b/>
                <w:bCs/>
                <w:color w:val="000000"/>
                <w:sz w:val="24"/>
                <w:szCs w:val="24"/>
                <w:lang w:eastAsia="en-GB"/>
              </w:rPr>
            </w:pPr>
            <w:r>
              <w:rPr>
                <w:rFonts w:eastAsia="Times New Roman" w:cstheme="minorHAnsi"/>
                <w:b/>
                <w:bCs/>
                <w:color w:val="000000"/>
                <w:sz w:val="24"/>
                <w:szCs w:val="24"/>
                <w:lang w:eastAsia="en-GB"/>
              </w:rPr>
              <w:t>39</w:t>
            </w:r>
          </w:p>
        </w:tc>
      </w:tr>
      <w:tr w:rsidR="00D100B6" w:rsidRPr="00212580" w14:paraId="583B5977" w14:textId="77777777" w:rsidTr="00D100B6">
        <w:trPr>
          <w:trHeight w:val="780"/>
        </w:trPr>
        <w:tc>
          <w:tcPr>
            <w:tcW w:w="7528" w:type="dxa"/>
            <w:shd w:val="clear" w:color="auto" w:fill="auto"/>
            <w:noWrap/>
            <w:vAlign w:val="bottom"/>
          </w:tcPr>
          <w:p w14:paraId="1C1A0443" w14:textId="7FA23563" w:rsidR="00D100B6" w:rsidRDefault="00D100B6" w:rsidP="00D100B6">
            <w:pPr>
              <w:spacing w:after="0" w:line="240" w:lineRule="auto"/>
              <w:jc w:val="both"/>
              <w:rPr>
                <w:rFonts w:eastAsia="Times New Roman" w:cstheme="minorHAnsi"/>
                <w:b/>
                <w:bCs/>
                <w:color w:val="000000"/>
                <w:sz w:val="24"/>
                <w:szCs w:val="24"/>
                <w:lang w:eastAsia="en-GB"/>
              </w:rPr>
            </w:pPr>
            <w:r>
              <w:rPr>
                <w:rFonts w:eastAsia="Times New Roman" w:cstheme="minorHAnsi"/>
                <w:b/>
                <w:bCs/>
                <w:color w:val="000000"/>
                <w:sz w:val="24"/>
                <w:szCs w:val="24"/>
                <w:lang w:eastAsia="en-GB"/>
              </w:rPr>
              <w:t xml:space="preserve">Figure </w:t>
            </w:r>
            <w:r w:rsidR="00D37059">
              <w:rPr>
                <w:rFonts w:eastAsia="Times New Roman" w:cstheme="minorHAnsi"/>
                <w:b/>
                <w:bCs/>
                <w:color w:val="000000"/>
                <w:sz w:val="24"/>
                <w:szCs w:val="24"/>
                <w:lang w:eastAsia="en-GB"/>
              </w:rPr>
              <w:t>6</w:t>
            </w:r>
            <w:r>
              <w:rPr>
                <w:rFonts w:eastAsia="Times New Roman" w:cstheme="minorHAnsi"/>
                <w:b/>
                <w:bCs/>
                <w:color w:val="000000"/>
                <w:sz w:val="24"/>
                <w:szCs w:val="24"/>
                <w:lang w:eastAsia="en-GB"/>
              </w:rPr>
              <w:t>.</w:t>
            </w:r>
          </w:p>
          <w:p w14:paraId="5B31A03E" w14:textId="3474BEED" w:rsidR="00D100B6" w:rsidRPr="00153AD4" w:rsidRDefault="00D100B6" w:rsidP="00D100B6">
            <w:pPr>
              <w:spacing w:after="0" w:line="240" w:lineRule="auto"/>
              <w:jc w:val="both"/>
              <w:rPr>
                <w:sz w:val="24"/>
                <w:szCs w:val="24"/>
              </w:rPr>
            </w:pPr>
            <w:r>
              <w:rPr>
                <w:sz w:val="24"/>
                <w:szCs w:val="24"/>
              </w:rPr>
              <w:t>Operating Profit</w:t>
            </w:r>
            <w:r w:rsidRPr="00783FE6">
              <w:rPr>
                <w:sz w:val="24"/>
                <w:szCs w:val="24"/>
              </w:rPr>
              <w:t xml:space="preserve"> financial ratio results for all </w:t>
            </w:r>
            <w:r w:rsidR="00D06C36">
              <w:rPr>
                <w:sz w:val="24"/>
                <w:szCs w:val="24"/>
              </w:rPr>
              <w:t>FTSE 250</w:t>
            </w:r>
            <w:r w:rsidRPr="00783FE6">
              <w:rPr>
                <w:sz w:val="24"/>
                <w:szCs w:val="24"/>
              </w:rPr>
              <w:t xml:space="preserve"> industry sectors between 2019 and 2021. </w:t>
            </w:r>
          </w:p>
        </w:tc>
        <w:tc>
          <w:tcPr>
            <w:tcW w:w="2127" w:type="dxa"/>
            <w:shd w:val="clear" w:color="auto" w:fill="auto"/>
            <w:noWrap/>
            <w:vAlign w:val="center"/>
          </w:tcPr>
          <w:p w14:paraId="19DD420B" w14:textId="53B6355E" w:rsidR="00D100B6" w:rsidRDefault="00D100B6" w:rsidP="00D100B6">
            <w:pPr>
              <w:spacing w:after="0" w:line="240" w:lineRule="auto"/>
              <w:jc w:val="center"/>
              <w:rPr>
                <w:rFonts w:eastAsia="Times New Roman" w:cstheme="minorHAnsi"/>
                <w:b/>
                <w:bCs/>
                <w:color w:val="000000"/>
                <w:sz w:val="24"/>
                <w:szCs w:val="24"/>
                <w:lang w:eastAsia="en-GB"/>
              </w:rPr>
            </w:pPr>
            <w:r>
              <w:rPr>
                <w:rFonts w:eastAsia="Times New Roman" w:cstheme="minorHAnsi"/>
                <w:b/>
                <w:bCs/>
                <w:color w:val="000000"/>
                <w:sz w:val="24"/>
                <w:szCs w:val="24"/>
                <w:lang w:eastAsia="en-GB"/>
              </w:rPr>
              <w:t>4</w:t>
            </w:r>
            <w:r w:rsidR="006B40AB">
              <w:rPr>
                <w:rFonts w:eastAsia="Times New Roman" w:cstheme="minorHAnsi"/>
                <w:b/>
                <w:bCs/>
                <w:color w:val="000000"/>
                <w:sz w:val="24"/>
                <w:szCs w:val="24"/>
                <w:lang w:eastAsia="en-GB"/>
              </w:rPr>
              <w:t>0</w:t>
            </w:r>
          </w:p>
        </w:tc>
      </w:tr>
      <w:tr w:rsidR="00D100B6" w:rsidRPr="00212580" w14:paraId="210E816F" w14:textId="77777777" w:rsidTr="00D100B6">
        <w:trPr>
          <w:trHeight w:val="780"/>
        </w:trPr>
        <w:tc>
          <w:tcPr>
            <w:tcW w:w="7528" w:type="dxa"/>
            <w:shd w:val="clear" w:color="auto" w:fill="auto"/>
            <w:noWrap/>
            <w:vAlign w:val="bottom"/>
          </w:tcPr>
          <w:p w14:paraId="05112FE1" w14:textId="5CE2E509" w:rsidR="00D100B6" w:rsidRDefault="00D100B6" w:rsidP="00D100B6">
            <w:pPr>
              <w:spacing w:after="0" w:line="240" w:lineRule="auto"/>
              <w:jc w:val="both"/>
              <w:rPr>
                <w:rFonts w:eastAsia="Times New Roman" w:cstheme="minorHAnsi"/>
                <w:b/>
                <w:bCs/>
                <w:color w:val="000000"/>
                <w:sz w:val="24"/>
                <w:szCs w:val="24"/>
                <w:lang w:eastAsia="en-GB"/>
              </w:rPr>
            </w:pPr>
            <w:r>
              <w:rPr>
                <w:rFonts w:eastAsia="Times New Roman" w:cstheme="minorHAnsi"/>
                <w:b/>
                <w:bCs/>
                <w:color w:val="000000"/>
                <w:sz w:val="24"/>
                <w:szCs w:val="24"/>
                <w:lang w:eastAsia="en-GB"/>
              </w:rPr>
              <w:t xml:space="preserve">Figure </w:t>
            </w:r>
            <w:r w:rsidR="006B40AB">
              <w:rPr>
                <w:rFonts w:eastAsia="Times New Roman" w:cstheme="minorHAnsi"/>
                <w:b/>
                <w:bCs/>
                <w:color w:val="000000"/>
                <w:sz w:val="24"/>
                <w:szCs w:val="24"/>
                <w:lang w:eastAsia="en-GB"/>
              </w:rPr>
              <w:t>7</w:t>
            </w:r>
            <w:r>
              <w:rPr>
                <w:rFonts w:eastAsia="Times New Roman" w:cstheme="minorHAnsi"/>
                <w:b/>
                <w:bCs/>
                <w:color w:val="000000"/>
                <w:sz w:val="24"/>
                <w:szCs w:val="24"/>
                <w:lang w:eastAsia="en-GB"/>
              </w:rPr>
              <w:t>.</w:t>
            </w:r>
          </w:p>
          <w:p w14:paraId="69207542" w14:textId="4A940A77" w:rsidR="00D100B6" w:rsidRPr="00153AD4" w:rsidRDefault="00D100B6" w:rsidP="00D100B6">
            <w:pPr>
              <w:spacing w:after="0" w:line="240" w:lineRule="auto"/>
              <w:jc w:val="both"/>
              <w:rPr>
                <w:sz w:val="24"/>
                <w:szCs w:val="24"/>
              </w:rPr>
            </w:pPr>
            <w:r>
              <w:rPr>
                <w:sz w:val="24"/>
                <w:szCs w:val="24"/>
              </w:rPr>
              <w:t>Net Profit</w:t>
            </w:r>
            <w:r w:rsidRPr="00783FE6">
              <w:rPr>
                <w:sz w:val="24"/>
                <w:szCs w:val="24"/>
              </w:rPr>
              <w:t xml:space="preserve"> financial ratio results for all </w:t>
            </w:r>
            <w:r w:rsidR="00D06C36">
              <w:rPr>
                <w:sz w:val="24"/>
                <w:szCs w:val="24"/>
              </w:rPr>
              <w:t>FTSE 250</w:t>
            </w:r>
            <w:r w:rsidRPr="00783FE6">
              <w:rPr>
                <w:sz w:val="24"/>
                <w:szCs w:val="24"/>
              </w:rPr>
              <w:t xml:space="preserve"> industry sectors between 2019 and 2021. </w:t>
            </w:r>
          </w:p>
        </w:tc>
        <w:tc>
          <w:tcPr>
            <w:tcW w:w="2127" w:type="dxa"/>
            <w:shd w:val="clear" w:color="auto" w:fill="auto"/>
            <w:noWrap/>
            <w:vAlign w:val="center"/>
          </w:tcPr>
          <w:p w14:paraId="1D3F50E1" w14:textId="5644A061" w:rsidR="00D100B6" w:rsidRDefault="00D100B6" w:rsidP="00D100B6">
            <w:pPr>
              <w:spacing w:after="0" w:line="240" w:lineRule="auto"/>
              <w:jc w:val="center"/>
              <w:rPr>
                <w:rFonts w:eastAsia="Times New Roman" w:cstheme="minorHAnsi"/>
                <w:b/>
                <w:bCs/>
                <w:color w:val="000000"/>
                <w:sz w:val="24"/>
                <w:szCs w:val="24"/>
                <w:lang w:eastAsia="en-GB"/>
              </w:rPr>
            </w:pPr>
            <w:r>
              <w:rPr>
                <w:rFonts w:eastAsia="Times New Roman" w:cstheme="minorHAnsi"/>
                <w:b/>
                <w:bCs/>
                <w:color w:val="000000"/>
                <w:sz w:val="24"/>
                <w:szCs w:val="24"/>
                <w:lang w:eastAsia="en-GB"/>
              </w:rPr>
              <w:t>4</w:t>
            </w:r>
            <w:r w:rsidR="006B40AB">
              <w:rPr>
                <w:rFonts w:eastAsia="Times New Roman" w:cstheme="minorHAnsi"/>
                <w:b/>
                <w:bCs/>
                <w:color w:val="000000"/>
                <w:sz w:val="24"/>
                <w:szCs w:val="24"/>
                <w:lang w:eastAsia="en-GB"/>
              </w:rPr>
              <w:t>2</w:t>
            </w:r>
          </w:p>
        </w:tc>
      </w:tr>
      <w:tr w:rsidR="00D100B6" w:rsidRPr="00212580" w14:paraId="49CA1C28" w14:textId="77777777" w:rsidTr="00D100B6">
        <w:trPr>
          <w:trHeight w:val="780"/>
        </w:trPr>
        <w:tc>
          <w:tcPr>
            <w:tcW w:w="7528" w:type="dxa"/>
            <w:shd w:val="clear" w:color="auto" w:fill="auto"/>
            <w:noWrap/>
            <w:vAlign w:val="bottom"/>
          </w:tcPr>
          <w:p w14:paraId="1B2448B9" w14:textId="4B2962C4" w:rsidR="00D100B6" w:rsidRDefault="00D100B6" w:rsidP="00D100B6">
            <w:pPr>
              <w:spacing w:after="0" w:line="240" w:lineRule="auto"/>
              <w:jc w:val="both"/>
              <w:rPr>
                <w:rFonts w:eastAsia="Times New Roman" w:cstheme="minorHAnsi"/>
                <w:b/>
                <w:bCs/>
                <w:color w:val="000000"/>
                <w:sz w:val="24"/>
                <w:szCs w:val="24"/>
                <w:lang w:eastAsia="en-GB"/>
              </w:rPr>
            </w:pPr>
            <w:r>
              <w:rPr>
                <w:rFonts w:eastAsia="Times New Roman" w:cstheme="minorHAnsi"/>
                <w:b/>
                <w:bCs/>
                <w:color w:val="000000"/>
                <w:sz w:val="24"/>
                <w:szCs w:val="24"/>
                <w:lang w:eastAsia="en-GB"/>
              </w:rPr>
              <w:t xml:space="preserve">Figure </w:t>
            </w:r>
            <w:r w:rsidR="006B40AB">
              <w:rPr>
                <w:rFonts w:eastAsia="Times New Roman" w:cstheme="minorHAnsi"/>
                <w:b/>
                <w:bCs/>
                <w:color w:val="000000"/>
                <w:sz w:val="24"/>
                <w:szCs w:val="24"/>
                <w:lang w:eastAsia="en-GB"/>
              </w:rPr>
              <w:t>8</w:t>
            </w:r>
            <w:r>
              <w:rPr>
                <w:rFonts w:eastAsia="Times New Roman" w:cstheme="minorHAnsi"/>
                <w:b/>
                <w:bCs/>
                <w:color w:val="000000"/>
                <w:sz w:val="24"/>
                <w:szCs w:val="24"/>
                <w:lang w:eastAsia="en-GB"/>
              </w:rPr>
              <w:t>.</w:t>
            </w:r>
          </w:p>
          <w:p w14:paraId="7FCB9C80" w14:textId="51A1FEA9" w:rsidR="00D100B6" w:rsidRPr="00153AD4" w:rsidRDefault="00D100B6" w:rsidP="00D100B6">
            <w:pPr>
              <w:spacing w:after="0" w:line="240" w:lineRule="auto"/>
              <w:jc w:val="both"/>
              <w:rPr>
                <w:sz w:val="24"/>
                <w:szCs w:val="24"/>
              </w:rPr>
            </w:pPr>
            <w:r>
              <w:rPr>
                <w:sz w:val="24"/>
                <w:szCs w:val="24"/>
              </w:rPr>
              <w:t>Return on Capital Employed</w:t>
            </w:r>
            <w:r w:rsidRPr="00783FE6">
              <w:rPr>
                <w:sz w:val="24"/>
                <w:szCs w:val="24"/>
              </w:rPr>
              <w:t xml:space="preserve"> financial ratio results for all </w:t>
            </w:r>
            <w:r w:rsidR="00D06C36">
              <w:rPr>
                <w:sz w:val="24"/>
                <w:szCs w:val="24"/>
              </w:rPr>
              <w:t>FTSE 250</w:t>
            </w:r>
            <w:r w:rsidRPr="00783FE6">
              <w:rPr>
                <w:sz w:val="24"/>
                <w:szCs w:val="24"/>
              </w:rPr>
              <w:t xml:space="preserve"> industry sectors between 2019 and 2021. </w:t>
            </w:r>
          </w:p>
        </w:tc>
        <w:tc>
          <w:tcPr>
            <w:tcW w:w="2127" w:type="dxa"/>
            <w:shd w:val="clear" w:color="auto" w:fill="auto"/>
            <w:noWrap/>
            <w:vAlign w:val="center"/>
          </w:tcPr>
          <w:p w14:paraId="413FDB3A" w14:textId="6AECF319" w:rsidR="00D100B6" w:rsidRDefault="00D100B6" w:rsidP="00D100B6">
            <w:pPr>
              <w:spacing w:after="0" w:line="240" w:lineRule="auto"/>
              <w:jc w:val="center"/>
              <w:rPr>
                <w:rFonts w:eastAsia="Times New Roman" w:cstheme="minorHAnsi"/>
                <w:b/>
                <w:bCs/>
                <w:color w:val="000000"/>
                <w:sz w:val="24"/>
                <w:szCs w:val="24"/>
                <w:lang w:eastAsia="en-GB"/>
              </w:rPr>
            </w:pPr>
            <w:r>
              <w:rPr>
                <w:rFonts w:eastAsia="Times New Roman" w:cstheme="minorHAnsi"/>
                <w:b/>
                <w:bCs/>
                <w:color w:val="000000"/>
                <w:sz w:val="24"/>
                <w:szCs w:val="24"/>
                <w:lang w:eastAsia="en-GB"/>
              </w:rPr>
              <w:t>4</w:t>
            </w:r>
            <w:r w:rsidR="006B40AB">
              <w:rPr>
                <w:rFonts w:eastAsia="Times New Roman" w:cstheme="minorHAnsi"/>
                <w:b/>
                <w:bCs/>
                <w:color w:val="000000"/>
                <w:sz w:val="24"/>
                <w:szCs w:val="24"/>
                <w:lang w:eastAsia="en-GB"/>
              </w:rPr>
              <w:t>3</w:t>
            </w:r>
          </w:p>
        </w:tc>
      </w:tr>
      <w:tr w:rsidR="00D100B6" w:rsidRPr="00212580" w14:paraId="59D6E4E7" w14:textId="77777777" w:rsidTr="00D100B6">
        <w:trPr>
          <w:trHeight w:val="780"/>
        </w:trPr>
        <w:tc>
          <w:tcPr>
            <w:tcW w:w="7528" w:type="dxa"/>
            <w:shd w:val="clear" w:color="auto" w:fill="auto"/>
            <w:noWrap/>
            <w:vAlign w:val="bottom"/>
          </w:tcPr>
          <w:p w14:paraId="181E0CE3" w14:textId="77A5FB3F" w:rsidR="00D100B6" w:rsidRDefault="00D100B6" w:rsidP="00D100B6">
            <w:pPr>
              <w:spacing w:after="0" w:line="240" w:lineRule="auto"/>
              <w:jc w:val="both"/>
              <w:rPr>
                <w:rFonts w:eastAsia="Times New Roman" w:cstheme="minorHAnsi"/>
                <w:b/>
                <w:bCs/>
                <w:color w:val="000000"/>
                <w:sz w:val="24"/>
                <w:szCs w:val="24"/>
                <w:lang w:eastAsia="en-GB"/>
              </w:rPr>
            </w:pPr>
            <w:r>
              <w:rPr>
                <w:rFonts w:eastAsia="Times New Roman" w:cstheme="minorHAnsi"/>
                <w:b/>
                <w:bCs/>
                <w:color w:val="000000"/>
                <w:sz w:val="24"/>
                <w:szCs w:val="24"/>
                <w:lang w:eastAsia="en-GB"/>
              </w:rPr>
              <w:t xml:space="preserve">Figure </w:t>
            </w:r>
            <w:r w:rsidR="006B40AB">
              <w:rPr>
                <w:rFonts w:eastAsia="Times New Roman" w:cstheme="minorHAnsi"/>
                <w:b/>
                <w:bCs/>
                <w:color w:val="000000"/>
                <w:sz w:val="24"/>
                <w:szCs w:val="24"/>
                <w:lang w:eastAsia="en-GB"/>
              </w:rPr>
              <w:t>9</w:t>
            </w:r>
            <w:r>
              <w:rPr>
                <w:rFonts w:eastAsia="Times New Roman" w:cstheme="minorHAnsi"/>
                <w:b/>
                <w:bCs/>
                <w:color w:val="000000"/>
                <w:sz w:val="24"/>
                <w:szCs w:val="24"/>
                <w:lang w:eastAsia="en-GB"/>
              </w:rPr>
              <w:t>.</w:t>
            </w:r>
          </w:p>
          <w:p w14:paraId="555A2B3C" w14:textId="56444BDD" w:rsidR="00D100B6" w:rsidRPr="00787C4C" w:rsidRDefault="00D100B6" w:rsidP="00D100B6">
            <w:pPr>
              <w:spacing w:after="0" w:line="240" w:lineRule="auto"/>
              <w:jc w:val="both"/>
              <w:rPr>
                <w:sz w:val="24"/>
                <w:szCs w:val="24"/>
              </w:rPr>
            </w:pPr>
            <w:r>
              <w:rPr>
                <w:sz w:val="24"/>
                <w:szCs w:val="24"/>
              </w:rPr>
              <w:t>Asset Turnover</w:t>
            </w:r>
            <w:r w:rsidRPr="00783FE6">
              <w:rPr>
                <w:sz w:val="24"/>
                <w:szCs w:val="24"/>
              </w:rPr>
              <w:t xml:space="preserve"> financial ratio results for all </w:t>
            </w:r>
            <w:r w:rsidR="00D06C36">
              <w:rPr>
                <w:sz w:val="24"/>
                <w:szCs w:val="24"/>
              </w:rPr>
              <w:t>FTSE 250</w:t>
            </w:r>
            <w:r w:rsidRPr="00783FE6">
              <w:rPr>
                <w:sz w:val="24"/>
                <w:szCs w:val="24"/>
              </w:rPr>
              <w:t xml:space="preserve"> industry sectors between 2019 and 2021. </w:t>
            </w:r>
          </w:p>
        </w:tc>
        <w:tc>
          <w:tcPr>
            <w:tcW w:w="2127" w:type="dxa"/>
            <w:shd w:val="clear" w:color="auto" w:fill="auto"/>
            <w:noWrap/>
            <w:vAlign w:val="center"/>
          </w:tcPr>
          <w:p w14:paraId="7F3971FD" w14:textId="04234C32" w:rsidR="00D100B6" w:rsidRDefault="00D100B6" w:rsidP="00D100B6">
            <w:pPr>
              <w:spacing w:after="0" w:line="240" w:lineRule="auto"/>
              <w:jc w:val="center"/>
              <w:rPr>
                <w:rFonts w:eastAsia="Times New Roman" w:cstheme="minorHAnsi"/>
                <w:b/>
                <w:bCs/>
                <w:color w:val="000000"/>
                <w:sz w:val="24"/>
                <w:szCs w:val="24"/>
                <w:lang w:eastAsia="en-GB"/>
              </w:rPr>
            </w:pPr>
            <w:r>
              <w:rPr>
                <w:rFonts w:eastAsia="Times New Roman" w:cstheme="minorHAnsi"/>
                <w:b/>
                <w:bCs/>
                <w:color w:val="000000"/>
                <w:sz w:val="24"/>
                <w:szCs w:val="24"/>
                <w:lang w:eastAsia="en-GB"/>
              </w:rPr>
              <w:t>4</w:t>
            </w:r>
            <w:r w:rsidR="006B40AB">
              <w:rPr>
                <w:rFonts w:eastAsia="Times New Roman" w:cstheme="minorHAnsi"/>
                <w:b/>
                <w:bCs/>
                <w:color w:val="000000"/>
                <w:sz w:val="24"/>
                <w:szCs w:val="24"/>
                <w:lang w:eastAsia="en-GB"/>
              </w:rPr>
              <w:t>5</w:t>
            </w:r>
          </w:p>
        </w:tc>
      </w:tr>
      <w:tr w:rsidR="00D100B6" w:rsidRPr="00212580" w14:paraId="007C8497" w14:textId="77777777" w:rsidTr="00D100B6">
        <w:trPr>
          <w:trHeight w:val="780"/>
        </w:trPr>
        <w:tc>
          <w:tcPr>
            <w:tcW w:w="7528" w:type="dxa"/>
            <w:shd w:val="clear" w:color="auto" w:fill="auto"/>
            <w:noWrap/>
            <w:vAlign w:val="bottom"/>
          </w:tcPr>
          <w:p w14:paraId="7F5638BC" w14:textId="76489F14" w:rsidR="00D100B6" w:rsidRDefault="00D100B6" w:rsidP="00D100B6">
            <w:pPr>
              <w:spacing w:after="0" w:line="240" w:lineRule="auto"/>
              <w:jc w:val="both"/>
              <w:rPr>
                <w:rFonts w:eastAsia="Times New Roman" w:cstheme="minorHAnsi"/>
                <w:b/>
                <w:bCs/>
                <w:color w:val="000000"/>
                <w:sz w:val="24"/>
                <w:szCs w:val="24"/>
                <w:lang w:eastAsia="en-GB"/>
              </w:rPr>
            </w:pPr>
            <w:r>
              <w:rPr>
                <w:rFonts w:eastAsia="Times New Roman" w:cstheme="minorHAnsi"/>
                <w:b/>
                <w:bCs/>
                <w:color w:val="000000"/>
                <w:sz w:val="24"/>
                <w:szCs w:val="24"/>
                <w:lang w:eastAsia="en-GB"/>
              </w:rPr>
              <w:t>Figure 1</w:t>
            </w:r>
            <w:r w:rsidR="006B40AB">
              <w:rPr>
                <w:rFonts w:eastAsia="Times New Roman" w:cstheme="minorHAnsi"/>
                <w:b/>
                <w:bCs/>
                <w:color w:val="000000"/>
                <w:sz w:val="24"/>
                <w:szCs w:val="24"/>
                <w:lang w:eastAsia="en-GB"/>
              </w:rPr>
              <w:t>0</w:t>
            </w:r>
            <w:r>
              <w:rPr>
                <w:rFonts w:eastAsia="Times New Roman" w:cstheme="minorHAnsi"/>
                <w:b/>
                <w:bCs/>
                <w:color w:val="000000"/>
                <w:sz w:val="24"/>
                <w:szCs w:val="24"/>
                <w:lang w:eastAsia="en-GB"/>
              </w:rPr>
              <w:t>.</w:t>
            </w:r>
          </w:p>
          <w:p w14:paraId="6FE595E4" w14:textId="6A9B0C66" w:rsidR="00D100B6" w:rsidRPr="00153AD4" w:rsidRDefault="00D100B6" w:rsidP="00D100B6">
            <w:pPr>
              <w:spacing w:after="0" w:line="240" w:lineRule="auto"/>
              <w:jc w:val="both"/>
              <w:rPr>
                <w:sz w:val="24"/>
                <w:szCs w:val="24"/>
              </w:rPr>
            </w:pPr>
            <w:r>
              <w:rPr>
                <w:sz w:val="24"/>
                <w:szCs w:val="24"/>
              </w:rPr>
              <w:t>Return on Assets</w:t>
            </w:r>
            <w:r w:rsidRPr="00783FE6">
              <w:rPr>
                <w:sz w:val="24"/>
                <w:szCs w:val="24"/>
              </w:rPr>
              <w:t xml:space="preserve"> financial ratio results for all </w:t>
            </w:r>
            <w:r w:rsidR="00D06C36">
              <w:rPr>
                <w:sz w:val="24"/>
                <w:szCs w:val="24"/>
              </w:rPr>
              <w:t>FTSE 250</w:t>
            </w:r>
            <w:r w:rsidRPr="00783FE6">
              <w:rPr>
                <w:sz w:val="24"/>
                <w:szCs w:val="24"/>
              </w:rPr>
              <w:t xml:space="preserve"> industry sectors between 2019 and 2021. </w:t>
            </w:r>
          </w:p>
        </w:tc>
        <w:tc>
          <w:tcPr>
            <w:tcW w:w="2127" w:type="dxa"/>
            <w:shd w:val="clear" w:color="auto" w:fill="auto"/>
            <w:noWrap/>
            <w:vAlign w:val="center"/>
          </w:tcPr>
          <w:p w14:paraId="55B449B5" w14:textId="6DC2E0AB" w:rsidR="00D100B6" w:rsidRDefault="00D100B6" w:rsidP="00D100B6">
            <w:pPr>
              <w:spacing w:after="0" w:line="240" w:lineRule="auto"/>
              <w:jc w:val="center"/>
              <w:rPr>
                <w:rFonts w:eastAsia="Times New Roman" w:cstheme="minorHAnsi"/>
                <w:b/>
                <w:bCs/>
                <w:color w:val="000000"/>
                <w:sz w:val="24"/>
                <w:szCs w:val="24"/>
                <w:lang w:eastAsia="en-GB"/>
              </w:rPr>
            </w:pPr>
            <w:r>
              <w:rPr>
                <w:rFonts w:eastAsia="Times New Roman" w:cstheme="minorHAnsi"/>
                <w:b/>
                <w:bCs/>
                <w:color w:val="000000"/>
                <w:sz w:val="24"/>
                <w:szCs w:val="24"/>
                <w:lang w:eastAsia="en-GB"/>
              </w:rPr>
              <w:t>4</w:t>
            </w:r>
            <w:r w:rsidR="006B40AB">
              <w:rPr>
                <w:rFonts w:eastAsia="Times New Roman" w:cstheme="minorHAnsi"/>
                <w:b/>
                <w:bCs/>
                <w:color w:val="000000"/>
                <w:sz w:val="24"/>
                <w:szCs w:val="24"/>
                <w:lang w:eastAsia="en-GB"/>
              </w:rPr>
              <w:t>6</w:t>
            </w:r>
          </w:p>
        </w:tc>
      </w:tr>
      <w:tr w:rsidR="00D100B6" w:rsidRPr="00212580" w14:paraId="68EF1083" w14:textId="77777777" w:rsidTr="00D100B6">
        <w:trPr>
          <w:trHeight w:val="780"/>
        </w:trPr>
        <w:tc>
          <w:tcPr>
            <w:tcW w:w="7528" w:type="dxa"/>
            <w:shd w:val="clear" w:color="auto" w:fill="auto"/>
            <w:noWrap/>
            <w:vAlign w:val="bottom"/>
          </w:tcPr>
          <w:p w14:paraId="6D690BCD" w14:textId="5E71C249" w:rsidR="00D100B6" w:rsidRDefault="00D100B6" w:rsidP="00D100B6">
            <w:pPr>
              <w:spacing w:after="0" w:line="240" w:lineRule="auto"/>
              <w:jc w:val="both"/>
              <w:rPr>
                <w:rFonts w:eastAsia="Times New Roman" w:cstheme="minorHAnsi"/>
                <w:b/>
                <w:bCs/>
                <w:color w:val="000000"/>
                <w:sz w:val="24"/>
                <w:szCs w:val="24"/>
                <w:lang w:eastAsia="en-GB"/>
              </w:rPr>
            </w:pPr>
            <w:r>
              <w:rPr>
                <w:rFonts w:eastAsia="Times New Roman" w:cstheme="minorHAnsi"/>
                <w:b/>
                <w:bCs/>
                <w:color w:val="000000"/>
                <w:sz w:val="24"/>
                <w:szCs w:val="24"/>
                <w:lang w:eastAsia="en-GB"/>
              </w:rPr>
              <w:t>Figure 1</w:t>
            </w:r>
            <w:r w:rsidR="006B40AB">
              <w:rPr>
                <w:rFonts w:eastAsia="Times New Roman" w:cstheme="minorHAnsi"/>
                <w:b/>
                <w:bCs/>
                <w:color w:val="000000"/>
                <w:sz w:val="24"/>
                <w:szCs w:val="24"/>
                <w:lang w:eastAsia="en-GB"/>
              </w:rPr>
              <w:t>1</w:t>
            </w:r>
            <w:r>
              <w:rPr>
                <w:rFonts w:eastAsia="Times New Roman" w:cstheme="minorHAnsi"/>
                <w:b/>
                <w:bCs/>
                <w:color w:val="000000"/>
                <w:sz w:val="24"/>
                <w:szCs w:val="24"/>
                <w:lang w:eastAsia="en-GB"/>
              </w:rPr>
              <w:t>.</w:t>
            </w:r>
          </w:p>
          <w:p w14:paraId="1AA39042" w14:textId="41A721E1" w:rsidR="00D100B6" w:rsidRPr="00153AD4" w:rsidRDefault="00D100B6" w:rsidP="00D100B6">
            <w:pPr>
              <w:spacing w:after="0" w:line="240" w:lineRule="auto"/>
              <w:jc w:val="both"/>
              <w:rPr>
                <w:sz w:val="24"/>
                <w:szCs w:val="24"/>
              </w:rPr>
            </w:pPr>
            <w:r>
              <w:rPr>
                <w:sz w:val="24"/>
                <w:szCs w:val="24"/>
              </w:rPr>
              <w:t>Non-current Asset Productivity</w:t>
            </w:r>
            <w:r w:rsidRPr="00783FE6">
              <w:rPr>
                <w:sz w:val="24"/>
                <w:szCs w:val="24"/>
              </w:rPr>
              <w:t xml:space="preserve"> financial ratio results for all </w:t>
            </w:r>
            <w:r w:rsidR="00D06C36">
              <w:rPr>
                <w:sz w:val="24"/>
                <w:szCs w:val="24"/>
              </w:rPr>
              <w:t>FTSE 250</w:t>
            </w:r>
            <w:r w:rsidRPr="00783FE6">
              <w:rPr>
                <w:sz w:val="24"/>
                <w:szCs w:val="24"/>
              </w:rPr>
              <w:t xml:space="preserve"> industry sectors between 2019 and 2021. </w:t>
            </w:r>
          </w:p>
        </w:tc>
        <w:tc>
          <w:tcPr>
            <w:tcW w:w="2127" w:type="dxa"/>
            <w:shd w:val="clear" w:color="auto" w:fill="auto"/>
            <w:noWrap/>
            <w:vAlign w:val="center"/>
          </w:tcPr>
          <w:p w14:paraId="0FE1EA88" w14:textId="5BFE7253" w:rsidR="00D100B6" w:rsidRDefault="00D100B6" w:rsidP="00D100B6">
            <w:pPr>
              <w:spacing w:after="0" w:line="240" w:lineRule="auto"/>
              <w:jc w:val="center"/>
              <w:rPr>
                <w:rFonts w:eastAsia="Times New Roman" w:cstheme="minorHAnsi"/>
                <w:b/>
                <w:bCs/>
                <w:color w:val="000000"/>
                <w:sz w:val="24"/>
                <w:szCs w:val="24"/>
                <w:lang w:eastAsia="en-GB"/>
              </w:rPr>
            </w:pPr>
            <w:r>
              <w:rPr>
                <w:rFonts w:eastAsia="Times New Roman" w:cstheme="minorHAnsi"/>
                <w:b/>
                <w:bCs/>
                <w:color w:val="000000"/>
                <w:sz w:val="24"/>
                <w:szCs w:val="24"/>
                <w:lang w:eastAsia="en-GB"/>
              </w:rPr>
              <w:t>4</w:t>
            </w:r>
            <w:r w:rsidR="006B40AB">
              <w:rPr>
                <w:rFonts w:eastAsia="Times New Roman" w:cstheme="minorHAnsi"/>
                <w:b/>
                <w:bCs/>
                <w:color w:val="000000"/>
                <w:sz w:val="24"/>
                <w:szCs w:val="24"/>
                <w:lang w:eastAsia="en-GB"/>
              </w:rPr>
              <w:t>8</w:t>
            </w:r>
          </w:p>
        </w:tc>
      </w:tr>
      <w:tr w:rsidR="00D100B6" w:rsidRPr="00212580" w14:paraId="7D29E52E" w14:textId="77777777" w:rsidTr="00D100B6">
        <w:trPr>
          <w:trHeight w:val="780"/>
        </w:trPr>
        <w:tc>
          <w:tcPr>
            <w:tcW w:w="7528" w:type="dxa"/>
            <w:shd w:val="clear" w:color="auto" w:fill="auto"/>
            <w:noWrap/>
            <w:vAlign w:val="bottom"/>
          </w:tcPr>
          <w:p w14:paraId="1C60BE0E" w14:textId="5B099C54" w:rsidR="00D100B6" w:rsidRDefault="00D100B6" w:rsidP="00D100B6">
            <w:pPr>
              <w:spacing w:after="0" w:line="240" w:lineRule="auto"/>
              <w:jc w:val="both"/>
              <w:rPr>
                <w:rFonts w:eastAsia="Times New Roman" w:cstheme="minorHAnsi"/>
                <w:b/>
                <w:bCs/>
                <w:color w:val="000000"/>
                <w:sz w:val="24"/>
                <w:szCs w:val="24"/>
                <w:lang w:eastAsia="en-GB"/>
              </w:rPr>
            </w:pPr>
            <w:r>
              <w:rPr>
                <w:rFonts w:eastAsia="Times New Roman" w:cstheme="minorHAnsi"/>
                <w:b/>
                <w:bCs/>
                <w:color w:val="000000"/>
                <w:sz w:val="24"/>
                <w:szCs w:val="24"/>
                <w:lang w:eastAsia="en-GB"/>
              </w:rPr>
              <w:t>Figure 1</w:t>
            </w:r>
            <w:r w:rsidR="006B40AB">
              <w:rPr>
                <w:rFonts w:eastAsia="Times New Roman" w:cstheme="minorHAnsi"/>
                <w:b/>
                <w:bCs/>
                <w:color w:val="000000"/>
                <w:sz w:val="24"/>
                <w:szCs w:val="24"/>
                <w:lang w:eastAsia="en-GB"/>
              </w:rPr>
              <w:t>2</w:t>
            </w:r>
            <w:r>
              <w:rPr>
                <w:rFonts w:eastAsia="Times New Roman" w:cstheme="minorHAnsi"/>
                <w:b/>
                <w:bCs/>
                <w:color w:val="000000"/>
                <w:sz w:val="24"/>
                <w:szCs w:val="24"/>
                <w:lang w:eastAsia="en-GB"/>
              </w:rPr>
              <w:t>.</w:t>
            </w:r>
          </w:p>
          <w:p w14:paraId="08A89CC8" w14:textId="743D8905" w:rsidR="00D100B6" w:rsidRPr="00153AD4" w:rsidRDefault="00D100B6" w:rsidP="00D100B6">
            <w:pPr>
              <w:spacing w:after="0" w:line="240" w:lineRule="auto"/>
              <w:jc w:val="both"/>
              <w:rPr>
                <w:sz w:val="24"/>
                <w:szCs w:val="24"/>
              </w:rPr>
            </w:pPr>
            <w:r>
              <w:rPr>
                <w:sz w:val="24"/>
                <w:szCs w:val="24"/>
              </w:rPr>
              <w:t>Debtors (Receivables) Control</w:t>
            </w:r>
            <w:r w:rsidRPr="00783FE6">
              <w:rPr>
                <w:sz w:val="24"/>
                <w:szCs w:val="24"/>
              </w:rPr>
              <w:t xml:space="preserve"> financial ratio results for all </w:t>
            </w:r>
            <w:r w:rsidR="00D06C36">
              <w:rPr>
                <w:sz w:val="24"/>
                <w:szCs w:val="24"/>
              </w:rPr>
              <w:t>FTSE 250</w:t>
            </w:r>
            <w:r w:rsidRPr="00783FE6">
              <w:rPr>
                <w:sz w:val="24"/>
                <w:szCs w:val="24"/>
              </w:rPr>
              <w:t xml:space="preserve"> industry sectors between 2019 and 2021. </w:t>
            </w:r>
          </w:p>
        </w:tc>
        <w:tc>
          <w:tcPr>
            <w:tcW w:w="2127" w:type="dxa"/>
            <w:shd w:val="clear" w:color="auto" w:fill="auto"/>
            <w:noWrap/>
            <w:vAlign w:val="center"/>
          </w:tcPr>
          <w:p w14:paraId="479368D7" w14:textId="530949E0" w:rsidR="00D100B6" w:rsidRDefault="006B40AB" w:rsidP="00D100B6">
            <w:pPr>
              <w:spacing w:after="0" w:line="240" w:lineRule="auto"/>
              <w:jc w:val="center"/>
              <w:rPr>
                <w:rFonts w:eastAsia="Times New Roman" w:cstheme="minorHAnsi"/>
                <w:b/>
                <w:bCs/>
                <w:color w:val="000000"/>
                <w:sz w:val="24"/>
                <w:szCs w:val="24"/>
                <w:lang w:eastAsia="en-GB"/>
              </w:rPr>
            </w:pPr>
            <w:r>
              <w:rPr>
                <w:rFonts w:eastAsia="Times New Roman" w:cstheme="minorHAnsi"/>
                <w:b/>
                <w:bCs/>
                <w:color w:val="000000"/>
                <w:sz w:val="24"/>
                <w:szCs w:val="24"/>
                <w:lang w:eastAsia="en-GB"/>
              </w:rPr>
              <w:t>49</w:t>
            </w:r>
          </w:p>
        </w:tc>
      </w:tr>
      <w:tr w:rsidR="00D100B6" w:rsidRPr="00212580" w14:paraId="798FA602" w14:textId="77777777" w:rsidTr="00D100B6">
        <w:trPr>
          <w:trHeight w:val="780"/>
        </w:trPr>
        <w:tc>
          <w:tcPr>
            <w:tcW w:w="7528" w:type="dxa"/>
            <w:shd w:val="clear" w:color="auto" w:fill="auto"/>
            <w:noWrap/>
            <w:vAlign w:val="bottom"/>
          </w:tcPr>
          <w:p w14:paraId="7353270B" w14:textId="63313D95" w:rsidR="00D100B6" w:rsidRDefault="00D100B6" w:rsidP="00D100B6">
            <w:pPr>
              <w:spacing w:after="0" w:line="240" w:lineRule="auto"/>
              <w:jc w:val="both"/>
              <w:rPr>
                <w:rFonts w:eastAsia="Times New Roman" w:cstheme="minorHAnsi"/>
                <w:b/>
                <w:bCs/>
                <w:color w:val="000000"/>
                <w:sz w:val="24"/>
                <w:szCs w:val="24"/>
                <w:lang w:eastAsia="en-GB"/>
              </w:rPr>
            </w:pPr>
            <w:r>
              <w:rPr>
                <w:rFonts w:eastAsia="Times New Roman" w:cstheme="minorHAnsi"/>
                <w:b/>
                <w:bCs/>
                <w:color w:val="000000"/>
                <w:sz w:val="24"/>
                <w:szCs w:val="24"/>
                <w:lang w:eastAsia="en-GB"/>
              </w:rPr>
              <w:t>Figure 1</w:t>
            </w:r>
            <w:r w:rsidR="006B40AB">
              <w:rPr>
                <w:rFonts w:eastAsia="Times New Roman" w:cstheme="minorHAnsi"/>
                <w:b/>
                <w:bCs/>
                <w:color w:val="000000"/>
                <w:sz w:val="24"/>
                <w:szCs w:val="24"/>
                <w:lang w:eastAsia="en-GB"/>
              </w:rPr>
              <w:t>3</w:t>
            </w:r>
            <w:r>
              <w:rPr>
                <w:rFonts w:eastAsia="Times New Roman" w:cstheme="minorHAnsi"/>
                <w:b/>
                <w:bCs/>
                <w:color w:val="000000"/>
                <w:sz w:val="24"/>
                <w:szCs w:val="24"/>
                <w:lang w:eastAsia="en-GB"/>
              </w:rPr>
              <w:t>.</w:t>
            </w:r>
          </w:p>
          <w:p w14:paraId="63708BBD" w14:textId="6124B808" w:rsidR="00D100B6" w:rsidRPr="00153AD4" w:rsidRDefault="00D100B6" w:rsidP="00D100B6">
            <w:pPr>
              <w:spacing w:after="0" w:line="240" w:lineRule="auto"/>
              <w:jc w:val="both"/>
              <w:rPr>
                <w:sz w:val="24"/>
                <w:szCs w:val="24"/>
              </w:rPr>
            </w:pPr>
            <w:r>
              <w:rPr>
                <w:sz w:val="24"/>
                <w:szCs w:val="24"/>
              </w:rPr>
              <w:t>Creditors (Payables) Control</w:t>
            </w:r>
            <w:r w:rsidRPr="00783FE6">
              <w:rPr>
                <w:sz w:val="24"/>
                <w:szCs w:val="24"/>
              </w:rPr>
              <w:t xml:space="preserve"> financial ratio results for all </w:t>
            </w:r>
            <w:r w:rsidR="00D06C36">
              <w:rPr>
                <w:sz w:val="24"/>
                <w:szCs w:val="24"/>
              </w:rPr>
              <w:t>FTSE 250</w:t>
            </w:r>
            <w:r w:rsidRPr="00783FE6">
              <w:rPr>
                <w:sz w:val="24"/>
                <w:szCs w:val="24"/>
              </w:rPr>
              <w:t xml:space="preserve"> industry sectors between 2019 and 2021. </w:t>
            </w:r>
          </w:p>
        </w:tc>
        <w:tc>
          <w:tcPr>
            <w:tcW w:w="2127" w:type="dxa"/>
            <w:shd w:val="clear" w:color="auto" w:fill="auto"/>
            <w:noWrap/>
            <w:vAlign w:val="center"/>
          </w:tcPr>
          <w:p w14:paraId="6FADCC9D" w14:textId="6FE5E7EB" w:rsidR="00D100B6" w:rsidRDefault="00D100B6" w:rsidP="00D100B6">
            <w:pPr>
              <w:spacing w:after="0" w:line="240" w:lineRule="auto"/>
              <w:jc w:val="center"/>
              <w:rPr>
                <w:rFonts w:eastAsia="Times New Roman" w:cstheme="minorHAnsi"/>
                <w:b/>
                <w:bCs/>
                <w:color w:val="000000"/>
                <w:sz w:val="24"/>
                <w:szCs w:val="24"/>
                <w:lang w:eastAsia="en-GB"/>
              </w:rPr>
            </w:pPr>
            <w:r>
              <w:rPr>
                <w:rFonts w:eastAsia="Times New Roman" w:cstheme="minorHAnsi"/>
                <w:b/>
                <w:bCs/>
                <w:color w:val="000000"/>
                <w:sz w:val="24"/>
                <w:szCs w:val="24"/>
                <w:lang w:eastAsia="en-GB"/>
              </w:rPr>
              <w:t>5</w:t>
            </w:r>
            <w:r w:rsidR="006B40AB">
              <w:rPr>
                <w:rFonts w:eastAsia="Times New Roman" w:cstheme="minorHAnsi"/>
                <w:b/>
                <w:bCs/>
                <w:color w:val="000000"/>
                <w:sz w:val="24"/>
                <w:szCs w:val="24"/>
                <w:lang w:eastAsia="en-GB"/>
              </w:rPr>
              <w:t>0</w:t>
            </w:r>
          </w:p>
        </w:tc>
      </w:tr>
    </w:tbl>
    <w:p w14:paraId="0F0FEA81" w14:textId="77777777" w:rsidR="006B40AB" w:rsidRDefault="006B40AB">
      <w:r>
        <w:br w:type="page"/>
      </w:r>
    </w:p>
    <w:tbl>
      <w:tblPr>
        <w:tblW w:w="9655" w:type="dxa"/>
        <w:tblInd w:w="93" w:type="dxa"/>
        <w:tblLook w:val="04A0" w:firstRow="1" w:lastRow="0" w:firstColumn="1" w:lastColumn="0" w:noHBand="0" w:noVBand="1"/>
      </w:tblPr>
      <w:tblGrid>
        <w:gridCol w:w="7528"/>
        <w:gridCol w:w="2127"/>
      </w:tblGrid>
      <w:tr w:rsidR="002F1817" w:rsidRPr="00212580" w14:paraId="577AEEEF" w14:textId="77777777" w:rsidTr="00D100B6">
        <w:trPr>
          <w:trHeight w:val="780"/>
        </w:trPr>
        <w:tc>
          <w:tcPr>
            <w:tcW w:w="7528" w:type="dxa"/>
            <w:shd w:val="clear" w:color="auto" w:fill="auto"/>
            <w:noWrap/>
            <w:vAlign w:val="bottom"/>
          </w:tcPr>
          <w:p w14:paraId="7ED67965" w14:textId="61FF0281" w:rsidR="002F1817" w:rsidRDefault="002F1817" w:rsidP="00D100B6">
            <w:pPr>
              <w:spacing w:after="0" w:line="240" w:lineRule="auto"/>
              <w:jc w:val="both"/>
              <w:rPr>
                <w:rFonts w:eastAsia="Times New Roman" w:cstheme="minorHAnsi"/>
                <w:b/>
                <w:bCs/>
                <w:color w:val="000000"/>
                <w:sz w:val="24"/>
                <w:szCs w:val="24"/>
                <w:lang w:eastAsia="en-GB"/>
              </w:rPr>
            </w:pPr>
          </w:p>
        </w:tc>
        <w:tc>
          <w:tcPr>
            <w:tcW w:w="2127" w:type="dxa"/>
            <w:shd w:val="clear" w:color="auto" w:fill="auto"/>
            <w:noWrap/>
            <w:vAlign w:val="center"/>
          </w:tcPr>
          <w:p w14:paraId="04FC2097" w14:textId="77777777" w:rsidR="002F1817" w:rsidRDefault="002F1817" w:rsidP="00D100B6">
            <w:pPr>
              <w:spacing w:after="0" w:line="240" w:lineRule="auto"/>
              <w:jc w:val="center"/>
              <w:rPr>
                <w:rFonts w:eastAsia="Times New Roman" w:cstheme="minorHAnsi"/>
                <w:b/>
                <w:bCs/>
                <w:color w:val="000000"/>
                <w:sz w:val="24"/>
                <w:szCs w:val="24"/>
                <w:lang w:eastAsia="en-GB"/>
              </w:rPr>
            </w:pPr>
          </w:p>
        </w:tc>
      </w:tr>
      <w:tr w:rsidR="00D100B6" w:rsidRPr="00212580" w14:paraId="4DC0DC38" w14:textId="77777777" w:rsidTr="00D100B6">
        <w:trPr>
          <w:trHeight w:val="780"/>
        </w:trPr>
        <w:tc>
          <w:tcPr>
            <w:tcW w:w="7528" w:type="dxa"/>
            <w:shd w:val="clear" w:color="auto" w:fill="auto"/>
            <w:noWrap/>
            <w:vAlign w:val="bottom"/>
          </w:tcPr>
          <w:p w14:paraId="22FD3BD9" w14:textId="61051394" w:rsidR="00D100B6" w:rsidRDefault="00D100B6" w:rsidP="00D100B6">
            <w:pPr>
              <w:spacing w:after="0" w:line="240" w:lineRule="auto"/>
              <w:jc w:val="both"/>
              <w:rPr>
                <w:rFonts w:eastAsia="Times New Roman" w:cstheme="minorHAnsi"/>
                <w:b/>
                <w:bCs/>
                <w:color w:val="000000"/>
                <w:sz w:val="24"/>
                <w:szCs w:val="24"/>
                <w:lang w:eastAsia="en-GB"/>
              </w:rPr>
            </w:pPr>
            <w:r>
              <w:rPr>
                <w:rFonts w:eastAsia="Times New Roman" w:cstheme="minorHAnsi"/>
                <w:b/>
                <w:bCs/>
                <w:color w:val="000000"/>
                <w:sz w:val="24"/>
                <w:szCs w:val="24"/>
                <w:lang w:eastAsia="en-GB"/>
              </w:rPr>
              <w:t>Figure 1</w:t>
            </w:r>
            <w:r w:rsidR="006B40AB">
              <w:rPr>
                <w:rFonts w:eastAsia="Times New Roman" w:cstheme="minorHAnsi"/>
                <w:b/>
                <w:bCs/>
                <w:color w:val="000000"/>
                <w:sz w:val="24"/>
                <w:szCs w:val="24"/>
                <w:lang w:eastAsia="en-GB"/>
              </w:rPr>
              <w:t>4</w:t>
            </w:r>
            <w:r>
              <w:rPr>
                <w:rFonts w:eastAsia="Times New Roman" w:cstheme="minorHAnsi"/>
                <w:b/>
                <w:bCs/>
                <w:color w:val="000000"/>
                <w:sz w:val="24"/>
                <w:szCs w:val="24"/>
                <w:lang w:eastAsia="en-GB"/>
              </w:rPr>
              <w:t>.</w:t>
            </w:r>
          </w:p>
          <w:p w14:paraId="4ED48B2A" w14:textId="2EBE04CD" w:rsidR="00D100B6" w:rsidRPr="00153AD4" w:rsidRDefault="00D100B6" w:rsidP="00D100B6">
            <w:pPr>
              <w:spacing w:after="0" w:line="240" w:lineRule="auto"/>
              <w:jc w:val="both"/>
              <w:rPr>
                <w:sz w:val="24"/>
                <w:szCs w:val="24"/>
              </w:rPr>
            </w:pPr>
            <w:r>
              <w:rPr>
                <w:sz w:val="24"/>
                <w:szCs w:val="24"/>
              </w:rPr>
              <w:t>Stock Turnover in Days</w:t>
            </w:r>
            <w:r w:rsidRPr="00783FE6">
              <w:rPr>
                <w:sz w:val="24"/>
                <w:szCs w:val="24"/>
              </w:rPr>
              <w:t xml:space="preserve"> financial ratio results for all </w:t>
            </w:r>
            <w:r w:rsidR="00D06C36">
              <w:rPr>
                <w:sz w:val="24"/>
                <w:szCs w:val="24"/>
              </w:rPr>
              <w:t>FTSE 250</w:t>
            </w:r>
            <w:r w:rsidRPr="00783FE6">
              <w:rPr>
                <w:sz w:val="24"/>
                <w:szCs w:val="24"/>
              </w:rPr>
              <w:t xml:space="preserve"> industry sectors between 2019 and 2021. </w:t>
            </w:r>
          </w:p>
        </w:tc>
        <w:tc>
          <w:tcPr>
            <w:tcW w:w="2127" w:type="dxa"/>
            <w:shd w:val="clear" w:color="auto" w:fill="auto"/>
            <w:noWrap/>
            <w:vAlign w:val="center"/>
          </w:tcPr>
          <w:p w14:paraId="4AEBA90B" w14:textId="4288C661" w:rsidR="00D100B6" w:rsidRDefault="00D100B6" w:rsidP="00D100B6">
            <w:pPr>
              <w:spacing w:after="0" w:line="240" w:lineRule="auto"/>
              <w:jc w:val="center"/>
              <w:rPr>
                <w:rFonts w:eastAsia="Times New Roman" w:cstheme="minorHAnsi"/>
                <w:b/>
                <w:bCs/>
                <w:color w:val="000000"/>
                <w:sz w:val="24"/>
                <w:szCs w:val="24"/>
                <w:lang w:eastAsia="en-GB"/>
              </w:rPr>
            </w:pPr>
            <w:r>
              <w:rPr>
                <w:rFonts w:eastAsia="Times New Roman" w:cstheme="minorHAnsi"/>
                <w:b/>
                <w:bCs/>
                <w:color w:val="000000"/>
                <w:sz w:val="24"/>
                <w:szCs w:val="24"/>
                <w:lang w:eastAsia="en-GB"/>
              </w:rPr>
              <w:t>5</w:t>
            </w:r>
            <w:r w:rsidR="006B40AB">
              <w:rPr>
                <w:rFonts w:eastAsia="Times New Roman" w:cstheme="minorHAnsi"/>
                <w:b/>
                <w:bCs/>
                <w:color w:val="000000"/>
                <w:sz w:val="24"/>
                <w:szCs w:val="24"/>
                <w:lang w:eastAsia="en-GB"/>
              </w:rPr>
              <w:t>2</w:t>
            </w:r>
          </w:p>
        </w:tc>
      </w:tr>
      <w:tr w:rsidR="00D100B6" w:rsidRPr="00212580" w14:paraId="238211FC" w14:textId="77777777" w:rsidTr="00D100B6">
        <w:trPr>
          <w:trHeight w:val="780"/>
        </w:trPr>
        <w:tc>
          <w:tcPr>
            <w:tcW w:w="7528" w:type="dxa"/>
            <w:shd w:val="clear" w:color="auto" w:fill="auto"/>
            <w:noWrap/>
            <w:vAlign w:val="bottom"/>
          </w:tcPr>
          <w:p w14:paraId="261BB4A0" w14:textId="1713CBC2" w:rsidR="00D100B6" w:rsidRDefault="00D100B6" w:rsidP="00D100B6">
            <w:pPr>
              <w:spacing w:after="0" w:line="240" w:lineRule="auto"/>
              <w:jc w:val="both"/>
              <w:rPr>
                <w:rFonts w:eastAsia="Times New Roman" w:cstheme="minorHAnsi"/>
                <w:b/>
                <w:bCs/>
                <w:color w:val="000000"/>
                <w:sz w:val="24"/>
                <w:szCs w:val="24"/>
                <w:lang w:eastAsia="en-GB"/>
              </w:rPr>
            </w:pPr>
            <w:r>
              <w:rPr>
                <w:rFonts w:eastAsia="Times New Roman" w:cstheme="minorHAnsi"/>
                <w:b/>
                <w:bCs/>
                <w:color w:val="000000"/>
                <w:sz w:val="24"/>
                <w:szCs w:val="24"/>
                <w:lang w:eastAsia="en-GB"/>
              </w:rPr>
              <w:t>Figure 1</w:t>
            </w:r>
            <w:r w:rsidR="006B40AB">
              <w:rPr>
                <w:rFonts w:eastAsia="Times New Roman" w:cstheme="minorHAnsi"/>
                <w:b/>
                <w:bCs/>
                <w:color w:val="000000"/>
                <w:sz w:val="24"/>
                <w:szCs w:val="24"/>
                <w:lang w:eastAsia="en-GB"/>
              </w:rPr>
              <w:t>5</w:t>
            </w:r>
            <w:r>
              <w:rPr>
                <w:rFonts w:eastAsia="Times New Roman" w:cstheme="minorHAnsi"/>
                <w:b/>
                <w:bCs/>
                <w:color w:val="000000"/>
                <w:sz w:val="24"/>
                <w:szCs w:val="24"/>
                <w:lang w:eastAsia="en-GB"/>
              </w:rPr>
              <w:t>.</w:t>
            </w:r>
          </w:p>
          <w:p w14:paraId="13D9497F" w14:textId="68708BBC" w:rsidR="00D100B6" w:rsidRPr="00153AD4" w:rsidRDefault="00D100B6" w:rsidP="00D100B6">
            <w:pPr>
              <w:spacing w:after="0" w:line="240" w:lineRule="auto"/>
              <w:jc w:val="both"/>
              <w:rPr>
                <w:sz w:val="24"/>
                <w:szCs w:val="24"/>
              </w:rPr>
            </w:pPr>
            <w:r>
              <w:rPr>
                <w:sz w:val="24"/>
                <w:szCs w:val="24"/>
              </w:rPr>
              <w:t>Capital Employed Turnover</w:t>
            </w:r>
            <w:r w:rsidRPr="00783FE6">
              <w:rPr>
                <w:sz w:val="24"/>
                <w:szCs w:val="24"/>
              </w:rPr>
              <w:t xml:space="preserve"> financial ratio results for all </w:t>
            </w:r>
            <w:r w:rsidR="00D06C36">
              <w:rPr>
                <w:sz w:val="24"/>
                <w:szCs w:val="24"/>
              </w:rPr>
              <w:t>FTSE 250</w:t>
            </w:r>
            <w:r w:rsidRPr="00783FE6">
              <w:rPr>
                <w:sz w:val="24"/>
                <w:szCs w:val="24"/>
              </w:rPr>
              <w:t xml:space="preserve"> industry sectors between 2019 and 2021. </w:t>
            </w:r>
          </w:p>
        </w:tc>
        <w:tc>
          <w:tcPr>
            <w:tcW w:w="2127" w:type="dxa"/>
            <w:shd w:val="clear" w:color="auto" w:fill="auto"/>
            <w:noWrap/>
            <w:vAlign w:val="center"/>
          </w:tcPr>
          <w:p w14:paraId="11E54483" w14:textId="743555BB" w:rsidR="00D100B6" w:rsidRDefault="00D100B6" w:rsidP="00D100B6">
            <w:pPr>
              <w:spacing w:after="0" w:line="240" w:lineRule="auto"/>
              <w:jc w:val="center"/>
              <w:rPr>
                <w:rFonts w:eastAsia="Times New Roman" w:cstheme="minorHAnsi"/>
                <w:b/>
                <w:bCs/>
                <w:color w:val="000000"/>
                <w:sz w:val="24"/>
                <w:szCs w:val="24"/>
                <w:lang w:eastAsia="en-GB"/>
              </w:rPr>
            </w:pPr>
            <w:r>
              <w:rPr>
                <w:rFonts w:eastAsia="Times New Roman" w:cstheme="minorHAnsi"/>
                <w:b/>
                <w:bCs/>
                <w:color w:val="000000"/>
                <w:sz w:val="24"/>
                <w:szCs w:val="24"/>
                <w:lang w:eastAsia="en-GB"/>
              </w:rPr>
              <w:t>5</w:t>
            </w:r>
            <w:r w:rsidR="006B40AB">
              <w:rPr>
                <w:rFonts w:eastAsia="Times New Roman" w:cstheme="minorHAnsi"/>
                <w:b/>
                <w:bCs/>
                <w:color w:val="000000"/>
                <w:sz w:val="24"/>
                <w:szCs w:val="24"/>
                <w:lang w:eastAsia="en-GB"/>
              </w:rPr>
              <w:t>3</w:t>
            </w:r>
          </w:p>
        </w:tc>
      </w:tr>
      <w:tr w:rsidR="00D100B6" w:rsidRPr="00212580" w14:paraId="5D7DEF9C" w14:textId="77777777" w:rsidTr="00D100B6">
        <w:trPr>
          <w:trHeight w:val="780"/>
        </w:trPr>
        <w:tc>
          <w:tcPr>
            <w:tcW w:w="7528" w:type="dxa"/>
            <w:shd w:val="clear" w:color="auto" w:fill="auto"/>
            <w:noWrap/>
            <w:vAlign w:val="bottom"/>
          </w:tcPr>
          <w:p w14:paraId="490DBBC1" w14:textId="6D366D6F" w:rsidR="00D100B6" w:rsidRDefault="00D100B6" w:rsidP="00D100B6">
            <w:pPr>
              <w:spacing w:after="0" w:line="240" w:lineRule="auto"/>
              <w:jc w:val="both"/>
              <w:rPr>
                <w:rFonts w:eastAsia="Times New Roman" w:cstheme="minorHAnsi"/>
                <w:b/>
                <w:bCs/>
                <w:color w:val="000000"/>
                <w:sz w:val="24"/>
                <w:szCs w:val="24"/>
                <w:lang w:eastAsia="en-GB"/>
              </w:rPr>
            </w:pPr>
            <w:r>
              <w:rPr>
                <w:rFonts w:eastAsia="Times New Roman" w:cstheme="minorHAnsi"/>
                <w:b/>
                <w:bCs/>
                <w:color w:val="000000"/>
                <w:sz w:val="24"/>
                <w:szCs w:val="24"/>
                <w:lang w:eastAsia="en-GB"/>
              </w:rPr>
              <w:t>Figure 1</w:t>
            </w:r>
            <w:r w:rsidR="006B40AB">
              <w:rPr>
                <w:rFonts w:eastAsia="Times New Roman" w:cstheme="minorHAnsi"/>
                <w:b/>
                <w:bCs/>
                <w:color w:val="000000"/>
                <w:sz w:val="24"/>
                <w:szCs w:val="24"/>
                <w:lang w:eastAsia="en-GB"/>
              </w:rPr>
              <w:t>6</w:t>
            </w:r>
            <w:r>
              <w:rPr>
                <w:rFonts w:eastAsia="Times New Roman" w:cstheme="minorHAnsi"/>
                <w:b/>
                <w:bCs/>
                <w:color w:val="000000"/>
                <w:sz w:val="24"/>
                <w:szCs w:val="24"/>
                <w:lang w:eastAsia="en-GB"/>
              </w:rPr>
              <w:t>.</w:t>
            </w:r>
          </w:p>
          <w:p w14:paraId="6C48F90F" w14:textId="5E6E83A4" w:rsidR="00D100B6" w:rsidRPr="00153AD4" w:rsidRDefault="00D100B6" w:rsidP="00D100B6">
            <w:pPr>
              <w:spacing w:after="0" w:line="240" w:lineRule="auto"/>
              <w:jc w:val="both"/>
              <w:rPr>
                <w:sz w:val="24"/>
                <w:szCs w:val="24"/>
              </w:rPr>
            </w:pPr>
            <w:r>
              <w:rPr>
                <w:sz w:val="24"/>
                <w:szCs w:val="24"/>
              </w:rPr>
              <w:t>Current Ratio</w:t>
            </w:r>
            <w:r w:rsidRPr="00783FE6">
              <w:rPr>
                <w:sz w:val="24"/>
                <w:szCs w:val="24"/>
              </w:rPr>
              <w:t xml:space="preserve"> financial ratio results for all </w:t>
            </w:r>
            <w:r w:rsidR="00D06C36">
              <w:rPr>
                <w:sz w:val="24"/>
                <w:szCs w:val="24"/>
              </w:rPr>
              <w:t>FTSE 250</w:t>
            </w:r>
            <w:r w:rsidRPr="00783FE6">
              <w:rPr>
                <w:sz w:val="24"/>
                <w:szCs w:val="24"/>
              </w:rPr>
              <w:t xml:space="preserve"> industry sectors between 2019 and 2021. </w:t>
            </w:r>
          </w:p>
        </w:tc>
        <w:tc>
          <w:tcPr>
            <w:tcW w:w="2127" w:type="dxa"/>
            <w:shd w:val="clear" w:color="auto" w:fill="auto"/>
            <w:noWrap/>
            <w:vAlign w:val="center"/>
          </w:tcPr>
          <w:p w14:paraId="4687A97D" w14:textId="611307A0" w:rsidR="00D100B6" w:rsidRDefault="00D100B6" w:rsidP="00D100B6">
            <w:pPr>
              <w:spacing w:after="0" w:line="240" w:lineRule="auto"/>
              <w:jc w:val="center"/>
              <w:rPr>
                <w:rFonts w:eastAsia="Times New Roman" w:cstheme="minorHAnsi"/>
                <w:b/>
                <w:bCs/>
                <w:color w:val="000000"/>
                <w:sz w:val="24"/>
                <w:szCs w:val="24"/>
                <w:lang w:eastAsia="en-GB"/>
              </w:rPr>
            </w:pPr>
            <w:r>
              <w:rPr>
                <w:rFonts w:eastAsia="Times New Roman" w:cstheme="minorHAnsi"/>
                <w:b/>
                <w:bCs/>
                <w:color w:val="000000"/>
                <w:sz w:val="24"/>
                <w:szCs w:val="24"/>
                <w:lang w:eastAsia="en-GB"/>
              </w:rPr>
              <w:t>5</w:t>
            </w:r>
            <w:r w:rsidR="006B40AB">
              <w:rPr>
                <w:rFonts w:eastAsia="Times New Roman" w:cstheme="minorHAnsi"/>
                <w:b/>
                <w:bCs/>
                <w:color w:val="000000"/>
                <w:sz w:val="24"/>
                <w:szCs w:val="24"/>
                <w:lang w:eastAsia="en-GB"/>
              </w:rPr>
              <w:t>5</w:t>
            </w:r>
          </w:p>
        </w:tc>
      </w:tr>
      <w:tr w:rsidR="00D100B6" w:rsidRPr="00212580" w14:paraId="1D8A858B" w14:textId="77777777" w:rsidTr="00D100B6">
        <w:trPr>
          <w:trHeight w:val="780"/>
        </w:trPr>
        <w:tc>
          <w:tcPr>
            <w:tcW w:w="7528" w:type="dxa"/>
            <w:shd w:val="clear" w:color="auto" w:fill="auto"/>
            <w:noWrap/>
            <w:vAlign w:val="bottom"/>
          </w:tcPr>
          <w:p w14:paraId="38F97BBB" w14:textId="5FF5E775" w:rsidR="00D100B6" w:rsidRDefault="00D100B6" w:rsidP="00D100B6">
            <w:pPr>
              <w:spacing w:after="0" w:line="240" w:lineRule="auto"/>
              <w:jc w:val="both"/>
              <w:rPr>
                <w:rFonts w:eastAsia="Times New Roman" w:cstheme="minorHAnsi"/>
                <w:b/>
                <w:bCs/>
                <w:color w:val="000000"/>
                <w:sz w:val="24"/>
                <w:szCs w:val="24"/>
                <w:lang w:eastAsia="en-GB"/>
              </w:rPr>
            </w:pPr>
            <w:r>
              <w:rPr>
                <w:rFonts w:eastAsia="Times New Roman" w:cstheme="minorHAnsi"/>
                <w:b/>
                <w:bCs/>
                <w:color w:val="000000"/>
                <w:sz w:val="24"/>
                <w:szCs w:val="24"/>
                <w:lang w:eastAsia="en-GB"/>
              </w:rPr>
              <w:t>Figure 1</w:t>
            </w:r>
            <w:r w:rsidR="006B40AB">
              <w:rPr>
                <w:rFonts w:eastAsia="Times New Roman" w:cstheme="minorHAnsi"/>
                <w:b/>
                <w:bCs/>
                <w:color w:val="000000"/>
                <w:sz w:val="24"/>
                <w:szCs w:val="24"/>
                <w:lang w:eastAsia="en-GB"/>
              </w:rPr>
              <w:t>7</w:t>
            </w:r>
            <w:r>
              <w:rPr>
                <w:rFonts w:eastAsia="Times New Roman" w:cstheme="minorHAnsi"/>
                <w:b/>
                <w:bCs/>
                <w:color w:val="000000"/>
                <w:sz w:val="24"/>
                <w:szCs w:val="24"/>
                <w:lang w:eastAsia="en-GB"/>
              </w:rPr>
              <w:t>.</w:t>
            </w:r>
          </w:p>
          <w:p w14:paraId="0390A210" w14:textId="7FFD3BEB" w:rsidR="00D100B6" w:rsidRPr="00153AD4" w:rsidRDefault="00D100B6" w:rsidP="00D100B6">
            <w:pPr>
              <w:spacing w:after="0" w:line="240" w:lineRule="auto"/>
              <w:jc w:val="both"/>
              <w:rPr>
                <w:sz w:val="24"/>
                <w:szCs w:val="24"/>
              </w:rPr>
            </w:pPr>
            <w:r>
              <w:rPr>
                <w:sz w:val="24"/>
                <w:szCs w:val="24"/>
              </w:rPr>
              <w:t>Quick (Acid-test) Ratio</w:t>
            </w:r>
            <w:r w:rsidRPr="00783FE6">
              <w:rPr>
                <w:sz w:val="24"/>
                <w:szCs w:val="24"/>
              </w:rPr>
              <w:t xml:space="preserve"> financial ratio results for all </w:t>
            </w:r>
            <w:r w:rsidR="00D06C36">
              <w:rPr>
                <w:sz w:val="24"/>
                <w:szCs w:val="24"/>
              </w:rPr>
              <w:t>FTSE 250</w:t>
            </w:r>
            <w:r w:rsidRPr="00783FE6">
              <w:rPr>
                <w:sz w:val="24"/>
                <w:szCs w:val="24"/>
              </w:rPr>
              <w:t xml:space="preserve"> industry sectors between 2019 and 2021. </w:t>
            </w:r>
          </w:p>
        </w:tc>
        <w:tc>
          <w:tcPr>
            <w:tcW w:w="2127" w:type="dxa"/>
            <w:shd w:val="clear" w:color="auto" w:fill="auto"/>
            <w:noWrap/>
            <w:vAlign w:val="center"/>
          </w:tcPr>
          <w:p w14:paraId="5EA5E68D" w14:textId="189EE467" w:rsidR="00D100B6" w:rsidRDefault="00D100B6" w:rsidP="00D100B6">
            <w:pPr>
              <w:spacing w:after="0" w:line="240" w:lineRule="auto"/>
              <w:jc w:val="center"/>
              <w:rPr>
                <w:rFonts w:eastAsia="Times New Roman" w:cstheme="minorHAnsi"/>
                <w:b/>
                <w:bCs/>
                <w:color w:val="000000"/>
                <w:sz w:val="24"/>
                <w:szCs w:val="24"/>
                <w:lang w:eastAsia="en-GB"/>
              </w:rPr>
            </w:pPr>
            <w:r>
              <w:rPr>
                <w:rFonts w:eastAsia="Times New Roman" w:cstheme="minorHAnsi"/>
                <w:b/>
                <w:bCs/>
                <w:color w:val="000000"/>
                <w:sz w:val="24"/>
                <w:szCs w:val="24"/>
                <w:lang w:eastAsia="en-GB"/>
              </w:rPr>
              <w:t>5</w:t>
            </w:r>
            <w:r w:rsidR="006B40AB">
              <w:rPr>
                <w:rFonts w:eastAsia="Times New Roman" w:cstheme="minorHAnsi"/>
                <w:b/>
                <w:bCs/>
                <w:color w:val="000000"/>
                <w:sz w:val="24"/>
                <w:szCs w:val="24"/>
                <w:lang w:eastAsia="en-GB"/>
              </w:rPr>
              <w:t>7</w:t>
            </w:r>
          </w:p>
        </w:tc>
      </w:tr>
      <w:tr w:rsidR="00D100B6" w:rsidRPr="00212580" w14:paraId="615E5036" w14:textId="77777777" w:rsidTr="00D100B6">
        <w:trPr>
          <w:trHeight w:val="780"/>
        </w:trPr>
        <w:tc>
          <w:tcPr>
            <w:tcW w:w="7528" w:type="dxa"/>
            <w:shd w:val="clear" w:color="auto" w:fill="auto"/>
            <w:noWrap/>
            <w:vAlign w:val="bottom"/>
          </w:tcPr>
          <w:p w14:paraId="673488AA" w14:textId="36FBFBBC" w:rsidR="00D100B6" w:rsidRDefault="00D100B6" w:rsidP="00D100B6">
            <w:pPr>
              <w:spacing w:after="0" w:line="240" w:lineRule="auto"/>
              <w:jc w:val="both"/>
              <w:rPr>
                <w:rFonts w:eastAsia="Times New Roman" w:cstheme="minorHAnsi"/>
                <w:b/>
                <w:bCs/>
                <w:color w:val="000000"/>
                <w:sz w:val="24"/>
                <w:szCs w:val="24"/>
                <w:lang w:eastAsia="en-GB"/>
              </w:rPr>
            </w:pPr>
            <w:r>
              <w:rPr>
                <w:rFonts w:eastAsia="Times New Roman" w:cstheme="minorHAnsi"/>
                <w:b/>
                <w:bCs/>
                <w:color w:val="000000"/>
                <w:sz w:val="24"/>
                <w:szCs w:val="24"/>
                <w:lang w:eastAsia="en-GB"/>
              </w:rPr>
              <w:t>Figure 1</w:t>
            </w:r>
            <w:r w:rsidR="006B40AB">
              <w:rPr>
                <w:rFonts w:eastAsia="Times New Roman" w:cstheme="minorHAnsi"/>
                <w:b/>
                <w:bCs/>
                <w:color w:val="000000"/>
                <w:sz w:val="24"/>
                <w:szCs w:val="24"/>
                <w:lang w:eastAsia="en-GB"/>
              </w:rPr>
              <w:t>8</w:t>
            </w:r>
            <w:r>
              <w:rPr>
                <w:rFonts w:eastAsia="Times New Roman" w:cstheme="minorHAnsi"/>
                <w:b/>
                <w:bCs/>
                <w:color w:val="000000"/>
                <w:sz w:val="24"/>
                <w:szCs w:val="24"/>
                <w:lang w:eastAsia="en-GB"/>
              </w:rPr>
              <w:t>.</w:t>
            </w:r>
          </w:p>
          <w:p w14:paraId="4223AF62" w14:textId="187006F7" w:rsidR="00D100B6" w:rsidRPr="00153AD4" w:rsidRDefault="00D100B6" w:rsidP="00D100B6">
            <w:pPr>
              <w:spacing w:after="0" w:line="240" w:lineRule="auto"/>
              <w:jc w:val="both"/>
              <w:rPr>
                <w:sz w:val="24"/>
                <w:szCs w:val="24"/>
              </w:rPr>
            </w:pPr>
            <w:r>
              <w:rPr>
                <w:sz w:val="24"/>
                <w:szCs w:val="24"/>
              </w:rPr>
              <w:t>Revenue Per Share Productivity</w:t>
            </w:r>
            <w:r w:rsidRPr="00783FE6">
              <w:rPr>
                <w:sz w:val="24"/>
                <w:szCs w:val="24"/>
              </w:rPr>
              <w:t xml:space="preserve"> financial ratio results for all </w:t>
            </w:r>
            <w:r w:rsidR="00D06C36">
              <w:rPr>
                <w:sz w:val="24"/>
                <w:szCs w:val="24"/>
              </w:rPr>
              <w:t>FTSE 250</w:t>
            </w:r>
            <w:r w:rsidRPr="00783FE6">
              <w:rPr>
                <w:sz w:val="24"/>
                <w:szCs w:val="24"/>
              </w:rPr>
              <w:t xml:space="preserve"> industry sectors between 2019 and 2021. </w:t>
            </w:r>
          </w:p>
        </w:tc>
        <w:tc>
          <w:tcPr>
            <w:tcW w:w="2127" w:type="dxa"/>
            <w:shd w:val="clear" w:color="auto" w:fill="auto"/>
            <w:noWrap/>
            <w:vAlign w:val="center"/>
          </w:tcPr>
          <w:p w14:paraId="6E0C1A6A" w14:textId="40FDF651" w:rsidR="00D100B6" w:rsidRDefault="006B40AB" w:rsidP="00D100B6">
            <w:pPr>
              <w:spacing w:after="0" w:line="240" w:lineRule="auto"/>
              <w:jc w:val="center"/>
              <w:rPr>
                <w:rFonts w:eastAsia="Times New Roman" w:cstheme="minorHAnsi"/>
                <w:b/>
                <w:bCs/>
                <w:color w:val="000000"/>
                <w:sz w:val="24"/>
                <w:szCs w:val="24"/>
                <w:lang w:eastAsia="en-GB"/>
              </w:rPr>
            </w:pPr>
            <w:r>
              <w:rPr>
                <w:rFonts w:eastAsia="Times New Roman" w:cstheme="minorHAnsi"/>
                <w:b/>
                <w:bCs/>
                <w:color w:val="000000"/>
                <w:sz w:val="24"/>
                <w:szCs w:val="24"/>
                <w:lang w:eastAsia="en-GB"/>
              </w:rPr>
              <w:t>59</w:t>
            </w:r>
          </w:p>
        </w:tc>
      </w:tr>
      <w:tr w:rsidR="00D100B6" w:rsidRPr="00212580" w14:paraId="2043327B" w14:textId="77777777" w:rsidTr="00D100B6">
        <w:trPr>
          <w:trHeight w:val="780"/>
        </w:trPr>
        <w:tc>
          <w:tcPr>
            <w:tcW w:w="7528" w:type="dxa"/>
            <w:shd w:val="clear" w:color="auto" w:fill="auto"/>
            <w:noWrap/>
            <w:vAlign w:val="bottom"/>
          </w:tcPr>
          <w:p w14:paraId="795310C0" w14:textId="33A58060" w:rsidR="00D100B6" w:rsidRDefault="00D100B6" w:rsidP="00D100B6">
            <w:pPr>
              <w:spacing w:after="0" w:line="240" w:lineRule="auto"/>
              <w:jc w:val="both"/>
              <w:rPr>
                <w:rFonts w:eastAsia="Times New Roman" w:cstheme="minorHAnsi"/>
                <w:b/>
                <w:bCs/>
                <w:color w:val="000000"/>
                <w:sz w:val="24"/>
                <w:szCs w:val="24"/>
                <w:lang w:eastAsia="en-GB"/>
              </w:rPr>
            </w:pPr>
            <w:r>
              <w:rPr>
                <w:rFonts w:eastAsia="Times New Roman" w:cstheme="minorHAnsi"/>
                <w:b/>
                <w:bCs/>
                <w:color w:val="000000"/>
                <w:sz w:val="24"/>
                <w:szCs w:val="24"/>
                <w:lang w:eastAsia="en-GB"/>
              </w:rPr>
              <w:t xml:space="preserve">Figure </w:t>
            </w:r>
            <w:r w:rsidR="006B40AB">
              <w:rPr>
                <w:rFonts w:eastAsia="Times New Roman" w:cstheme="minorHAnsi"/>
                <w:b/>
                <w:bCs/>
                <w:color w:val="000000"/>
                <w:sz w:val="24"/>
                <w:szCs w:val="24"/>
                <w:lang w:eastAsia="en-GB"/>
              </w:rPr>
              <w:t>19</w:t>
            </w:r>
            <w:r>
              <w:rPr>
                <w:rFonts w:eastAsia="Times New Roman" w:cstheme="minorHAnsi"/>
                <w:b/>
                <w:bCs/>
                <w:color w:val="000000"/>
                <w:sz w:val="24"/>
                <w:szCs w:val="24"/>
                <w:lang w:eastAsia="en-GB"/>
              </w:rPr>
              <w:t>.</w:t>
            </w:r>
          </w:p>
          <w:p w14:paraId="7198B0E0" w14:textId="3F1DAC7B" w:rsidR="00D100B6" w:rsidRPr="00153AD4" w:rsidRDefault="00D100B6" w:rsidP="00D100B6">
            <w:pPr>
              <w:spacing w:after="0" w:line="240" w:lineRule="auto"/>
              <w:jc w:val="both"/>
              <w:rPr>
                <w:sz w:val="24"/>
                <w:szCs w:val="24"/>
              </w:rPr>
            </w:pPr>
            <w:r>
              <w:rPr>
                <w:sz w:val="24"/>
                <w:szCs w:val="24"/>
              </w:rPr>
              <w:t>Earnings Per Share</w:t>
            </w:r>
            <w:r w:rsidRPr="00783FE6">
              <w:rPr>
                <w:sz w:val="24"/>
                <w:szCs w:val="24"/>
              </w:rPr>
              <w:t xml:space="preserve"> financial ratio results for all </w:t>
            </w:r>
            <w:r w:rsidR="00D06C36">
              <w:rPr>
                <w:sz w:val="24"/>
                <w:szCs w:val="24"/>
              </w:rPr>
              <w:t>FTSE 250</w:t>
            </w:r>
            <w:r w:rsidRPr="00783FE6">
              <w:rPr>
                <w:sz w:val="24"/>
                <w:szCs w:val="24"/>
              </w:rPr>
              <w:t xml:space="preserve"> industry sectors between 2019 and 2021. </w:t>
            </w:r>
          </w:p>
        </w:tc>
        <w:tc>
          <w:tcPr>
            <w:tcW w:w="2127" w:type="dxa"/>
            <w:shd w:val="clear" w:color="auto" w:fill="auto"/>
            <w:noWrap/>
            <w:vAlign w:val="center"/>
          </w:tcPr>
          <w:p w14:paraId="09C6875A" w14:textId="375E6127" w:rsidR="00D100B6" w:rsidRDefault="00D100B6" w:rsidP="00D100B6">
            <w:pPr>
              <w:spacing w:after="0" w:line="240" w:lineRule="auto"/>
              <w:jc w:val="center"/>
              <w:rPr>
                <w:rFonts w:eastAsia="Times New Roman" w:cstheme="minorHAnsi"/>
                <w:b/>
                <w:bCs/>
                <w:color w:val="000000"/>
                <w:sz w:val="24"/>
                <w:szCs w:val="24"/>
                <w:lang w:eastAsia="en-GB"/>
              </w:rPr>
            </w:pPr>
            <w:r>
              <w:rPr>
                <w:rFonts w:eastAsia="Times New Roman" w:cstheme="minorHAnsi"/>
                <w:b/>
                <w:bCs/>
                <w:color w:val="000000"/>
                <w:sz w:val="24"/>
                <w:szCs w:val="24"/>
                <w:lang w:eastAsia="en-GB"/>
              </w:rPr>
              <w:t>6</w:t>
            </w:r>
            <w:r w:rsidR="006B40AB">
              <w:rPr>
                <w:rFonts w:eastAsia="Times New Roman" w:cstheme="minorHAnsi"/>
                <w:b/>
                <w:bCs/>
                <w:color w:val="000000"/>
                <w:sz w:val="24"/>
                <w:szCs w:val="24"/>
                <w:lang w:eastAsia="en-GB"/>
              </w:rPr>
              <w:t>0</w:t>
            </w:r>
          </w:p>
        </w:tc>
      </w:tr>
      <w:tr w:rsidR="00D100B6" w:rsidRPr="00212580" w14:paraId="309FBB98" w14:textId="77777777" w:rsidTr="00D100B6">
        <w:trPr>
          <w:trHeight w:val="780"/>
        </w:trPr>
        <w:tc>
          <w:tcPr>
            <w:tcW w:w="7528" w:type="dxa"/>
            <w:shd w:val="clear" w:color="auto" w:fill="auto"/>
            <w:noWrap/>
            <w:vAlign w:val="bottom"/>
          </w:tcPr>
          <w:p w14:paraId="2BCEA36C" w14:textId="6A8AD2E0" w:rsidR="00D100B6" w:rsidRDefault="00D100B6" w:rsidP="00D100B6">
            <w:pPr>
              <w:spacing w:after="0" w:line="240" w:lineRule="auto"/>
              <w:jc w:val="both"/>
              <w:rPr>
                <w:rFonts w:eastAsia="Times New Roman" w:cstheme="minorHAnsi"/>
                <w:b/>
                <w:bCs/>
                <w:color w:val="000000"/>
                <w:sz w:val="24"/>
                <w:szCs w:val="24"/>
                <w:lang w:eastAsia="en-GB"/>
              </w:rPr>
            </w:pPr>
            <w:r>
              <w:rPr>
                <w:rFonts w:eastAsia="Times New Roman" w:cstheme="minorHAnsi"/>
                <w:b/>
                <w:bCs/>
                <w:color w:val="000000"/>
                <w:sz w:val="24"/>
                <w:szCs w:val="24"/>
                <w:lang w:eastAsia="en-GB"/>
              </w:rPr>
              <w:t>Figure 2</w:t>
            </w:r>
            <w:r w:rsidR="006B40AB">
              <w:rPr>
                <w:rFonts w:eastAsia="Times New Roman" w:cstheme="minorHAnsi"/>
                <w:b/>
                <w:bCs/>
                <w:color w:val="000000"/>
                <w:sz w:val="24"/>
                <w:szCs w:val="24"/>
                <w:lang w:eastAsia="en-GB"/>
              </w:rPr>
              <w:t>0</w:t>
            </w:r>
            <w:r>
              <w:rPr>
                <w:rFonts w:eastAsia="Times New Roman" w:cstheme="minorHAnsi"/>
                <w:b/>
                <w:bCs/>
                <w:color w:val="000000"/>
                <w:sz w:val="24"/>
                <w:szCs w:val="24"/>
                <w:lang w:eastAsia="en-GB"/>
              </w:rPr>
              <w:t>.</w:t>
            </w:r>
          </w:p>
          <w:p w14:paraId="54676BF0" w14:textId="65C0AB7A" w:rsidR="00D100B6" w:rsidRPr="00153AD4" w:rsidRDefault="00D100B6" w:rsidP="00D100B6">
            <w:pPr>
              <w:spacing w:after="0" w:line="240" w:lineRule="auto"/>
              <w:jc w:val="both"/>
              <w:rPr>
                <w:sz w:val="24"/>
                <w:szCs w:val="24"/>
              </w:rPr>
            </w:pPr>
            <w:r>
              <w:rPr>
                <w:sz w:val="24"/>
                <w:szCs w:val="24"/>
              </w:rPr>
              <w:t>Cash Per Share</w:t>
            </w:r>
            <w:r w:rsidRPr="00783FE6">
              <w:rPr>
                <w:sz w:val="24"/>
                <w:szCs w:val="24"/>
              </w:rPr>
              <w:t xml:space="preserve"> financial ratio results for all </w:t>
            </w:r>
            <w:r w:rsidR="00D06C36">
              <w:rPr>
                <w:sz w:val="24"/>
                <w:szCs w:val="24"/>
              </w:rPr>
              <w:t>FTSE 250</w:t>
            </w:r>
            <w:r w:rsidRPr="00783FE6">
              <w:rPr>
                <w:sz w:val="24"/>
                <w:szCs w:val="24"/>
              </w:rPr>
              <w:t xml:space="preserve"> industry sectors between 2019 and 2021. </w:t>
            </w:r>
          </w:p>
        </w:tc>
        <w:tc>
          <w:tcPr>
            <w:tcW w:w="2127" w:type="dxa"/>
            <w:shd w:val="clear" w:color="auto" w:fill="auto"/>
            <w:noWrap/>
            <w:vAlign w:val="center"/>
          </w:tcPr>
          <w:p w14:paraId="1EA4BAD2" w14:textId="36F43D5E" w:rsidR="00D100B6" w:rsidRDefault="00D100B6" w:rsidP="00D100B6">
            <w:pPr>
              <w:spacing w:after="0" w:line="240" w:lineRule="auto"/>
              <w:jc w:val="center"/>
              <w:rPr>
                <w:rFonts w:eastAsia="Times New Roman" w:cstheme="minorHAnsi"/>
                <w:b/>
                <w:bCs/>
                <w:color w:val="000000"/>
                <w:sz w:val="24"/>
                <w:szCs w:val="24"/>
                <w:lang w:eastAsia="en-GB"/>
              </w:rPr>
            </w:pPr>
            <w:r>
              <w:rPr>
                <w:rFonts w:eastAsia="Times New Roman" w:cstheme="minorHAnsi"/>
                <w:b/>
                <w:bCs/>
                <w:color w:val="000000"/>
                <w:sz w:val="24"/>
                <w:szCs w:val="24"/>
                <w:lang w:eastAsia="en-GB"/>
              </w:rPr>
              <w:t>6</w:t>
            </w:r>
            <w:r w:rsidR="006B40AB">
              <w:rPr>
                <w:rFonts w:eastAsia="Times New Roman" w:cstheme="minorHAnsi"/>
                <w:b/>
                <w:bCs/>
                <w:color w:val="000000"/>
                <w:sz w:val="24"/>
                <w:szCs w:val="24"/>
                <w:lang w:eastAsia="en-GB"/>
              </w:rPr>
              <w:t>1</w:t>
            </w:r>
          </w:p>
        </w:tc>
      </w:tr>
      <w:tr w:rsidR="00D100B6" w:rsidRPr="00212580" w14:paraId="3C3CFF2C" w14:textId="77777777" w:rsidTr="00D100B6">
        <w:trPr>
          <w:trHeight w:val="780"/>
        </w:trPr>
        <w:tc>
          <w:tcPr>
            <w:tcW w:w="7528" w:type="dxa"/>
            <w:shd w:val="clear" w:color="auto" w:fill="auto"/>
            <w:noWrap/>
            <w:vAlign w:val="bottom"/>
          </w:tcPr>
          <w:p w14:paraId="42E5AD97" w14:textId="283EA3DF" w:rsidR="00D100B6" w:rsidRDefault="00D100B6" w:rsidP="00D100B6">
            <w:pPr>
              <w:spacing w:after="0" w:line="240" w:lineRule="auto"/>
              <w:jc w:val="both"/>
              <w:rPr>
                <w:rFonts w:eastAsia="Times New Roman" w:cstheme="minorHAnsi"/>
                <w:b/>
                <w:bCs/>
                <w:color w:val="000000"/>
                <w:sz w:val="24"/>
                <w:szCs w:val="24"/>
                <w:lang w:eastAsia="en-GB"/>
              </w:rPr>
            </w:pPr>
            <w:r>
              <w:rPr>
                <w:rFonts w:eastAsia="Times New Roman" w:cstheme="minorHAnsi"/>
                <w:b/>
                <w:bCs/>
                <w:color w:val="000000"/>
                <w:sz w:val="24"/>
                <w:szCs w:val="24"/>
                <w:lang w:eastAsia="en-GB"/>
              </w:rPr>
              <w:t>Figure 2</w:t>
            </w:r>
            <w:r w:rsidR="006B40AB">
              <w:rPr>
                <w:rFonts w:eastAsia="Times New Roman" w:cstheme="minorHAnsi"/>
                <w:b/>
                <w:bCs/>
                <w:color w:val="000000"/>
                <w:sz w:val="24"/>
                <w:szCs w:val="24"/>
                <w:lang w:eastAsia="en-GB"/>
              </w:rPr>
              <w:t>1</w:t>
            </w:r>
            <w:r>
              <w:rPr>
                <w:rFonts w:eastAsia="Times New Roman" w:cstheme="minorHAnsi"/>
                <w:b/>
                <w:bCs/>
                <w:color w:val="000000"/>
                <w:sz w:val="24"/>
                <w:szCs w:val="24"/>
                <w:lang w:eastAsia="en-GB"/>
              </w:rPr>
              <w:t>.</w:t>
            </w:r>
          </w:p>
          <w:p w14:paraId="4E73FA8C" w14:textId="4F9CA968" w:rsidR="00D100B6" w:rsidRPr="00153AD4" w:rsidRDefault="00D100B6" w:rsidP="00D100B6">
            <w:pPr>
              <w:spacing w:after="0" w:line="240" w:lineRule="auto"/>
              <w:jc w:val="both"/>
              <w:rPr>
                <w:sz w:val="24"/>
                <w:szCs w:val="24"/>
              </w:rPr>
            </w:pPr>
            <w:r>
              <w:rPr>
                <w:sz w:val="24"/>
                <w:szCs w:val="24"/>
              </w:rPr>
              <w:t>Interest Cover</w:t>
            </w:r>
            <w:r w:rsidRPr="00783FE6">
              <w:rPr>
                <w:sz w:val="24"/>
                <w:szCs w:val="24"/>
              </w:rPr>
              <w:t xml:space="preserve"> financial ratio results for all </w:t>
            </w:r>
            <w:r w:rsidR="00D06C36">
              <w:rPr>
                <w:sz w:val="24"/>
                <w:szCs w:val="24"/>
              </w:rPr>
              <w:t>FTSE 250</w:t>
            </w:r>
            <w:r w:rsidRPr="00783FE6">
              <w:rPr>
                <w:sz w:val="24"/>
                <w:szCs w:val="24"/>
              </w:rPr>
              <w:t xml:space="preserve"> industry sectors between 2019 and 2021. </w:t>
            </w:r>
          </w:p>
        </w:tc>
        <w:tc>
          <w:tcPr>
            <w:tcW w:w="2127" w:type="dxa"/>
            <w:shd w:val="clear" w:color="auto" w:fill="auto"/>
            <w:noWrap/>
            <w:vAlign w:val="center"/>
          </w:tcPr>
          <w:p w14:paraId="525FB203" w14:textId="36858F79" w:rsidR="00D100B6" w:rsidRDefault="00D100B6" w:rsidP="00D100B6">
            <w:pPr>
              <w:spacing w:after="0" w:line="240" w:lineRule="auto"/>
              <w:jc w:val="center"/>
              <w:rPr>
                <w:rFonts w:eastAsia="Times New Roman" w:cstheme="minorHAnsi"/>
                <w:b/>
                <w:bCs/>
                <w:color w:val="000000"/>
                <w:sz w:val="24"/>
                <w:szCs w:val="24"/>
                <w:lang w:eastAsia="en-GB"/>
              </w:rPr>
            </w:pPr>
            <w:r>
              <w:rPr>
                <w:rFonts w:eastAsia="Times New Roman" w:cstheme="minorHAnsi"/>
                <w:b/>
                <w:bCs/>
                <w:color w:val="000000"/>
                <w:sz w:val="24"/>
                <w:szCs w:val="24"/>
                <w:lang w:eastAsia="en-GB"/>
              </w:rPr>
              <w:t>6</w:t>
            </w:r>
            <w:r w:rsidR="006B40AB">
              <w:rPr>
                <w:rFonts w:eastAsia="Times New Roman" w:cstheme="minorHAnsi"/>
                <w:b/>
                <w:bCs/>
                <w:color w:val="000000"/>
                <w:sz w:val="24"/>
                <w:szCs w:val="24"/>
                <w:lang w:eastAsia="en-GB"/>
              </w:rPr>
              <w:t>2</w:t>
            </w:r>
          </w:p>
        </w:tc>
      </w:tr>
      <w:tr w:rsidR="00D100B6" w:rsidRPr="00212580" w14:paraId="2B993A5F" w14:textId="77777777" w:rsidTr="00D100B6">
        <w:trPr>
          <w:trHeight w:val="780"/>
        </w:trPr>
        <w:tc>
          <w:tcPr>
            <w:tcW w:w="7528" w:type="dxa"/>
            <w:shd w:val="clear" w:color="auto" w:fill="auto"/>
            <w:noWrap/>
            <w:vAlign w:val="bottom"/>
          </w:tcPr>
          <w:p w14:paraId="13C0F491" w14:textId="3DAF7529" w:rsidR="00D100B6" w:rsidRDefault="00D100B6" w:rsidP="00D100B6">
            <w:pPr>
              <w:spacing w:after="0" w:line="240" w:lineRule="auto"/>
              <w:jc w:val="both"/>
              <w:rPr>
                <w:rFonts w:eastAsia="Times New Roman" w:cstheme="minorHAnsi"/>
                <w:b/>
                <w:bCs/>
                <w:color w:val="000000"/>
                <w:sz w:val="24"/>
                <w:szCs w:val="24"/>
                <w:lang w:eastAsia="en-GB"/>
              </w:rPr>
            </w:pPr>
            <w:r>
              <w:rPr>
                <w:rFonts w:eastAsia="Times New Roman" w:cstheme="minorHAnsi"/>
                <w:b/>
                <w:bCs/>
                <w:color w:val="000000"/>
                <w:sz w:val="24"/>
                <w:szCs w:val="24"/>
                <w:lang w:eastAsia="en-GB"/>
              </w:rPr>
              <w:t>Figure 2</w:t>
            </w:r>
            <w:r w:rsidR="006B40AB">
              <w:rPr>
                <w:rFonts w:eastAsia="Times New Roman" w:cstheme="minorHAnsi"/>
                <w:b/>
                <w:bCs/>
                <w:color w:val="000000"/>
                <w:sz w:val="24"/>
                <w:szCs w:val="24"/>
                <w:lang w:eastAsia="en-GB"/>
              </w:rPr>
              <w:t>2</w:t>
            </w:r>
            <w:r>
              <w:rPr>
                <w:rFonts w:eastAsia="Times New Roman" w:cstheme="minorHAnsi"/>
                <w:b/>
                <w:bCs/>
                <w:color w:val="000000"/>
                <w:sz w:val="24"/>
                <w:szCs w:val="24"/>
                <w:lang w:eastAsia="en-GB"/>
              </w:rPr>
              <w:t>.</w:t>
            </w:r>
          </w:p>
          <w:p w14:paraId="12DB7AC8" w14:textId="6E8AAB80" w:rsidR="00D100B6" w:rsidRPr="00153AD4" w:rsidRDefault="00D100B6" w:rsidP="00D100B6">
            <w:pPr>
              <w:spacing w:after="0" w:line="240" w:lineRule="auto"/>
              <w:jc w:val="both"/>
              <w:rPr>
                <w:sz w:val="24"/>
                <w:szCs w:val="24"/>
              </w:rPr>
            </w:pPr>
            <w:r>
              <w:rPr>
                <w:sz w:val="24"/>
                <w:szCs w:val="24"/>
              </w:rPr>
              <w:t>Dividend Cover</w:t>
            </w:r>
            <w:r w:rsidRPr="00783FE6">
              <w:rPr>
                <w:sz w:val="24"/>
                <w:szCs w:val="24"/>
              </w:rPr>
              <w:t xml:space="preserve"> financial ratio results for all </w:t>
            </w:r>
            <w:r w:rsidR="00D06C36">
              <w:rPr>
                <w:sz w:val="24"/>
                <w:szCs w:val="24"/>
              </w:rPr>
              <w:t>FTSE 250</w:t>
            </w:r>
            <w:r w:rsidRPr="00783FE6">
              <w:rPr>
                <w:sz w:val="24"/>
                <w:szCs w:val="24"/>
              </w:rPr>
              <w:t xml:space="preserve"> industry sectors between 2019 and 2021. </w:t>
            </w:r>
          </w:p>
        </w:tc>
        <w:tc>
          <w:tcPr>
            <w:tcW w:w="2127" w:type="dxa"/>
            <w:shd w:val="clear" w:color="auto" w:fill="auto"/>
            <w:noWrap/>
            <w:vAlign w:val="center"/>
          </w:tcPr>
          <w:p w14:paraId="0901F824" w14:textId="49F5D5C5" w:rsidR="00D100B6" w:rsidRDefault="00D100B6" w:rsidP="00D100B6">
            <w:pPr>
              <w:spacing w:after="0" w:line="240" w:lineRule="auto"/>
              <w:jc w:val="center"/>
              <w:rPr>
                <w:rFonts w:eastAsia="Times New Roman" w:cstheme="minorHAnsi"/>
                <w:b/>
                <w:bCs/>
                <w:color w:val="000000"/>
                <w:sz w:val="24"/>
                <w:szCs w:val="24"/>
                <w:lang w:eastAsia="en-GB"/>
              </w:rPr>
            </w:pPr>
            <w:r>
              <w:rPr>
                <w:rFonts w:eastAsia="Times New Roman" w:cstheme="minorHAnsi"/>
                <w:b/>
                <w:bCs/>
                <w:color w:val="000000"/>
                <w:sz w:val="24"/>
                <w:szCs w:val="24"/>
                <w:lang w:eastAsia="en-GB"/>
              </w:rPr>
              <w:t>6</w:t>
            </w:r>
            <w:r w:rsidR="006B40AB">
              <w:rPr>
                <w:rFonts w:eastAsia="Times New Roman" w:cstheme="minorHAnsi"/>
                <w:b/>
                <w:bCs/>
                <w:color w:val="000000"/>
                <w:sz w:val="24"/>
                <w:szCs w:val="24"/>
                <w:lang w:eastAsia="en-GB"/>
              </w:rPr>
              <w:t>3</w:t>
            </w:r>
          </w:p>
        </w:tc>
      </w:tr>
      <w:tr w:rsidR="00D100B6" w:rsidRPr="00212580" w14:paraId="54AE6D35" w14:textId="77777777" w:rsidTr="00D100B6">
        <w:trPr>
          <w:trHeight w:val="780"/>
        </w:trPr>
        <w:tc>
          <w:tcPr>
            <w:tcW w:w="7528" w:type="dxa"/>
            <w:shd w:val="clear" w:color="auto" w:fill="auto"/>
            <w:noWrap/>
            <w:vAlign w:val="bottom"/>
          </w:tcPr>
          <w:p w14:paraId="4D764E79" w14:textId="0710C135" w:rsidR="00D100B6" w:rsidRDefault="00D100B6" w:rsidP="00D100B6">
            <w:pPr>
              <w:spacing w:after="0" w:line="240" w:lineRule="auto"/>
              <w:jc w:val="both"/>
              <w:rPr>
                <w:rFonts w:eastAsia="Times New Roman" w:cstheme="minorHAnsi"/>
                <w:b/>
                <w:bCs/>
                <w:color w:val="000000"/>
                <w:sz w:val="24"/>
                <w:szCs w:val="24"/>
                <w:lang w:eastAsia="en-GB"/>
              </w:rPr>
            </w:pPr>
            <w:r>
              <w:rPr>
                <w:rFonts w:eastAsia="Times New Roman" w:cstheme="minorHAnsi"/>
                <w:b/>
                <w:bCs/>
                <w:color w:val="000000"/>
                <w:sz w:val="24"/>
                <w:szCs w:val="24"/>
                <w:lang w:eastAsia="en-GB"/>
              </w:rPr>
              <w:t>Figure 2</w:t>
            </w:r>
            <w:r w:rsidR="006B40AB">
              <w:rPr>
                <w:rFonts w:eastAsia="Times New Roman" w:cstheme="minorHAnsi"/>
                <w:b/>
                <w:bCs/>
                <w:color w:val="000000"/>
                <w:sz w:val="24"/>
                <w:szCs w:val="24"/>
                <w:lang w:eastAsia="en-GB"/>
              </w:rPr>
              <w:t>3</w:t>
            </w:r>
            <w:r>
              <w:rPr>
                <w:rFonts w:eastAsia="Times New Roman" w:cstheme="minorHAnsi"/>
                <w:b/>
                <w:bCs/>
                <w:color w:val="000000"/>
                <w:sz w:val="24"/>
                <w:szCs w:val="24"/>
                <w:lang w:eastAsia="en-GB"/>
              </w:rPr>
              <w:t>.</w:t>
            </w:r>
          </w:p>
          <w:p w14:paraId="3B3128F0" w14:textId="7B1C9788" w:rsidR="00D100B6" w:rsidRPr="00153AD4" w:rsidRDefault="00D100B6" w:rsidP="00D100B6">
            <w:pPr>
              <w:spacing w:after="0" w:line="240" w:lineRule="auto"/>
              <w:jc w:val="both"/>
              <w:rPr>
                <w:sz w:val="24"/>
                <w:szCs w:val="24"/>
              </w:rPr>
            </w:pPr>
            <w:r>
              <w:rPr>
                <w:sz w:val="24"/>
                <w:szCs w:val="24"/>
              </w:rPr>
              <w:t>Dividend Yield</w:t>
            </w:r>
            <w:r w:rsidRPr="00783FE6">
              <w:rPr>
                <w:sz w:val="24"/>
                <w:szCs w:val="24"/>
              </w:rPr>
              <w:t xml:space="preserve"> financial ratio results for all </w:t>
            </w:r>
            <w:r w:rsidR="00D06C36">
              <w:rPr>
                <w:sz w:val="24"/>
                <w:szCs w:val="24"/>
              </w:rPr>
              <w:t>FTSE 250</w:t>
            </w:r>
            <w:r w:rsidRPr="00783FE6">
              <w:rPr>
                <w:sz w:val="24"/>
                <w:szCs w:val="24"/>
              </w:rPr>
              <w:t xml:space="preserve"> industry sectors between 2019 and 2021. </w:t>
            </w:r>
          </w:p>
        </w:tc>
        <w:tc>
          <w:tcPr>
            <w:tcW w:w="2127" w:type="dxa"/>
            <w:shd w:val="clear" w:color="auto" w:fill="auto"/>
            <w:noWrap/>
            <w:vAlign w:val="center"/>
          </w:tcPr>
          <w:p w14:paraId="67FC49F7" w14:textId="080F0824" w:rsidR="00D100B6" w:rsidRDefault="00D100B6" w:rsidP="00D100B6">
            <w:pPr>
              <w:spacing w:after="0" w:line="240" w:lineRule="auto"/>
              <w:jc w:val="center"/>
              <w:rPr>
                <w:rFonts w:eastAsia="Times New Roman" w:cstheme="minorHAnsi"/>
                <w:b/>
                <w:bCs/>
                <w:color w:val="000000"/>
                <w:sz w:val="24"/>
                <w:szCs w:val="24"/>
                <w:lang w:eastAsia="en-GB"/>
              </w:rPr>
            </w:pPr>
            <w:r>
              <w:rPr>
                <w:rFonts w:eastAsia="Times New Roman" w:cstheme="minorHAnsi"/>
                <w:b/>
                <w:bCs/>
                <w:color w:val="000000"/>
                <w:sz w:val="24"/>
                <w:szCs w:val="24"/>
                <w:lang w:eastAsia="en-GB"/>
              </w:rPr>
              <w:t>6</w:t>
            </w:r>
            <w:r w:rsidR="006B40AB">
              <w:rPr>
                <w:rFonts w:eastAsia="Times New Roman" w:cstheme="minorHAnsi"/>
                <w:b/>
                <w:bCs/>
                <w:color w:val="000000"/>
                <w:sz w:val="24"/>
                <w:szCs w:val="24"/>
                <w:lang w:eastAsia="en-GB"/>
              </w:rPr>
              <w:t>4</w:t>
            </w:r>
          </w:p>
        </w:tc>
      </w:tr>
      <w:tr w:rsidR="00D100B6" w:rsidRPr="00212580" w14:paraId="0D258AE3" w14:textId="77777777" w:rsidTr="00D100B6">
        <w:trPr>
          <w:trHeight w:val="780"/>
        </w:trPr>
        <w:tc>
          <w:tcPr>
            <w:tcW w:w="7528" w:type="dxa"/>
            <w:shd w:val="clear" w:color="auto" w:fill="auto"/>
            <w:noWrap/>
            <w:vAlign w:val="bottom"/>
          </w:tcPr>
          <w:p w14:paraId="788AA8F9" w14:textId="37ED5D24" w:rsidR="00D100B6" w:rsidRDefault="00D100B6" w:rsidP="00D100B6">
            <w:pPr>
              <w:spacing w:after="0" w:line="240" w:lineRule="auto"/>
              <w:jc w:val="both"/>
              <w:rPr>
                <w:rFonts w:eastAsia="Times New Roman" w:cstheme="minorHAnsi"/>
                <w:b/>
                <w:bCs/>
                <w:color w:val="000000"/>
                <w:sz w:val="24"/>
                <w:szCs w:val="24"/>
                <w:lang w:eastAsia="en-GB"/>
              </w:rPr>
            </w:pPr>
            <w:r>
              <w:rPr>
                <w:rFonts w:eastAsia="Times New Roman" w:cstheme="minorHAnsi"/>
                <w:b/>
                <w:bCs/>
                <w:color w:val="000000"/>
                <w:sz w:val="24"/>
                <w:szCs w:val="24"/>
                <w:lang w:eastAsia="en-GB"/>
              </w:rPr>
              <w:t>Figure 2</w:t>
            </w:r>
            <w:r w:rsidR="006B40AB">
              <w:rPr>
                <w:rFonts w:eastAsia="Times New Roman" w:cstheme="minorHAnsi"/>
                <w:b/>
                <w:bCs/>
                <w:color w:val="000000"/>
                <w:sz w:val="24"/>
                <w:szCs w:val="24"/>
                <w:lang w:eastAsia="en-GB"/>
              </w:rPr>
              <w:t>4</w:t>
            </w:r>
            <w:r>
              <w:rPr>
                <w:rFonts w:eastAsia="Times New Roman" w:cstheme="minorHAnsi"/>
                <w:b/>
                <w:bCs/>
                <w:color w:val="000000"/>
                <w:sz w:val="24"/>
                <w:szCs w:val="24"/>
                <w:lang w:eastAsia="en-GB"/>
              </w:rPr>
              <w:t>.</w:t>
            </w:r>
          </w:p>
          <w:p w14:paraId="2541B53F" w14:textId="5A38CB97" w:rsidR="00D100B6" w:rsidRPr="00153AD4" w:rsidRDefault="00D100B6" w:rsidP="00D100B6">
            <w:pPr>
              <w:spacing w:after="0" w:line="240" w:lineRule="auto"/>
              <w:jc w:val="both"/>
              <w:rPr>
                <w:sz w:val="24"/>
                <w:szCs w:val="24"/>
              </w:rPr>
            </w:pPr>
            <w:r>
              <w:rPr>
                <w:sz w:val="24"/>
                <w:szCs w:val="24"/>
              </w:rPr>
              <w:t>Return on Equity (ROE)</w:t>
            </w:r>
            <w:r w:rsidRPr="00783FE6">
              <w:rPr>
                <w:sz w:val="24"/>
                <w:szCs w:val="24"/>
              </w:rPr>
              <w:t xml:space="preserve"> financial ratio results for all </w:t>
            </w:r>
            <w:r w:rsidR="00D06C36">
              <w:rPr>
                <w:sz w:val="24"/>
                <w:szCs w:val="24"/>
              </w:rPr>
              <w:t>FTSE 250</w:t>
            </w:r>
            <w:r w:rsidRPr="00783FE6">
              <w:rPr>
                <w:sz w:val="24"/>
                <w:szCs w:val="24"/>
              </w:rPr>
              <w:t xml:space="preserve"> industry sectors between 2019 and 2021. </w:t>
            </w:r>
          </w:p>
        </w:tc>
        <w:tc>
          <w:tcPr>
            <w:tcW w:w="2127" w:type="dxa"/>
            <w:shd w:val="clear" w:color="auto" w:fill="auto"/>
            <w:noWrap/>
            <w:vAlign w:val="center"/>
          </w:tcPr>
          <w:p w14:paraId="64D2FC4A" w14:textId="6BB07416" w:rsidR="00D100B6" w:rsidRDefault="00D100B6" w:rsidP="00D100B6">
            <w:pPr>
              <w:spacing w:after="0" w:line="240" w:lineRule="auto"/>
              <w:jc w:val="center"/>
              <w:rPr>
                <w:rFonts w:eastAsia="Times New Roman" w:cstheme="minorHAnsi"/>
                <w:b/>
                <w:bCs/>
                <w:color w:val="000000"/>
                <w:sz w:val="24"/>
                <w:szCs w:val="24"/>
                <w:lang w:eastAsia="en-GB"/>
              </w:rPr>
            </w:pPr>
            <w:r>
              <w:rPr>
                <w:rFonts w:eastAsia="Times New Roman" w:cstheme="minorHAnsi"/>
                <w:b/>
                <w:bCs/>
                <w:color w:val="000000"/>
                <w:sz w:val="24"/>
                <w:szCs w:val="24"/>
                <w:lang w:eastAsia="en-GB"/>
              </w:rPr>
              <w:t>6</w:t>
            </w:r>
            <w:r w:rsidR="006B40AB">
              <w:rPr>
                <w:rFonts w:eastAsia="Times New Roman" w:cstheme="minorHAnsi"/>
                <w:b/>
                <w:bCs/>
                <w:color w:val="000000"/>
                <w:sz w:val="24"/>
                <w:szCs w:val="24"/>
                <w:lang w:eastAsia="en-GB"/>
              </w:rPr>
              <w:t>5</w:t>
            </w:r>
          </w:p>
        </w:tc>
      </w:tr>
      <w:tr w:rsidR="00D100B6" w:rsidRPr="00212580" w14:paraId="1FC9F8E7" w14:textId="77777777" w:rsidTr="00D100B6">
        <w:trPr>
          <w:trHeight w:val="780"/>
        </w:trPr>
        <w:tc>
          <w:tcPr>
            <w:tcW w:w="7528" w:type="dxa"/>
            <w:shd w:val="clear" w:color="auto" w:fill="auto"/>
            <w:noWrap/>
            <w:vAlign w:val="bottom"/>
          </w:tcPr>
          <w:p w14:paraId="1F885CED" w14:textId="2584A203" w:rsidR="00D100B6" w:rsidRDefault="00D100B6" w:rsidP="00D100B6">
            <w:pPr>
              <w:spacing w:after="0" w:line="240" w:lineRule="auto"/>
              <w:jc w:val="both"/>
              <w:rPr>
                <w:rFonts w:eastAsia="Times New Roman" w:cstheme="minorHAnsi"/>
                <w:b/>
                <w:bCs/>
                <w:color w:val="000000"/>
                <w:sz w:val="24"/>
                <w:szCs w:val="24"/>
                <w:lang w:eastAsia="en-GB"/>
              </w:rPr>
            </w:pPr>
            <w:r>
              <w:rPr>
                <w:rFonts w:eastAsia="Times New Roman" w:cstheme="minorHAnsi"/>
                <w:b/>
                <w:bCs/>
                <w:color w:val="000000"/>
                <w:sz w:val="24"/>
                <w:szCs w:val="24"/>
                <w:lang w:eastAsia="en-GB"/>
              </w:rPr>
              <w:t>Figure 2</w:t>
            </w:r>
            <w:r w:rsidR="006B40AB">
              <w:rPr>
                <w:rFonts w:eastAsia="Times New Roman" w:cstheme="minorHAnsi"/>
                <w:b/>
                <w:bCs/>
                <w:color w:val="000000"/>
                <w:sz w:val="24"/>
                <w:szCs w:val="24"/>
                <w:lang w:eastAsia="en-GB"/>
              </w:rPr>
              <w:t>5</w:t>
            </w:r>
            <w:r>
              <w:rPr>
                <w:rFonts w:eastAsia="Times New Roman" w:cstheme="minorHAnsi"/>
                <w:b/>
                <w:bCs/>
                <w:color w:val="000000"/>
                <w:sz w:val="24"/>
                <w:szCs w:val="24"/>
                <w:lang w:eastAsia="en-GB"/>
              </w:rPr>
              <w:t>.</w:t>
            </w:r>
          </w:p>
          <w:p w14:paraId="063E2B3F" w14:textId="76FBB80C" w:rsidR="00D100B6" w:rsidRPr="00153AD4" w:rsidRDefault="00D100B6" w:rsidP="00D100B6">
            <w:pPr>
              <w:spacing w:after="0" w:line="240" w:lineRule="auto"/>
              <w:jc w:val="both"/>
              <w:rPr>
                <w:sz w:val="24"/>
                <w:szCs w:val="24"/>
              </w:rPr>
            </w:pPr>
            <w:r>
              <w:rPr>
                <w:sz w:val="24"/>
                <w:szCs w:val="24"/>
              </w:rPr>
              <w:t>P/E Ratio</w:t>
            </w:r>
            <w:r w:rsidRPr="00783FE6">
              <w:rPr>
                <w:sz w:val="24"/>
                <w:szCs w:val="24"/>
              </w:rPr>
              <w:t xml:space="preserve"> financial ratio results for all </w:t>
            </w:r>
            <w:r w:rsidR="00D06C36">
              <w:rPr>
                <w:sz w:val="24"/>
                <w:szCs w:val="24"/>
              </w:rPr>
              <w:t>FTSE 250</w:t>
            </w:r>
            <w:r w:rsidRPr="00783FE6">
              <w:rPr>
                <w:sz w:val="24"/>
                <w:szCs w:val="24"/>
              </w:rPr>
              <w:t xml:space="preserve"> industry sectors between 2019 and 2021. </w:t>
            </w:r>
          </w:p>
        </w:tc>
        <w:tc>
          <w:tcPr>
            <w:tcW w:w="2127" w:type="dxa"/>
            <w:shd w:val="clear" w:color="auto" w:fill="auto"/>
            <w:noWrap/>
            <w:vAlign w:val="center"/>
          </w:tcPr>
          <w:p w14:paraId="1A0DD5A6" w14:textId="2CE0F884" w:rsidR="00D100B6" w:rsidRDefault="00D100B6" w:rsidP="00D100B6">
            <w:pPr>
              <w:spacing w:after="0" w:line="240" w:lineRule="auto"/>
              <w:jc w:val="center"/>
              <w:rPr>
                <w:rFonts w:eastAsia="Times New Roman" w:cstheme="minorHAnsi"/>
                <w:b/>
                <w:bCs/>
                <w:color w:val="000000"/>
                <w:sz w:val="24"/>
                <w:szCs w:val="24"/>
                <w:lang w:eastAsia="en-GB"/>
              </w:rPr>
            </w:pPr>
            <w:r>
              <w:rPr>
                <w:rFonts w:eastAsia="Times New Roman" w:cstheme="minorHAnsi"/>
                <w:b/>
                <w:bCs/>
                <w:color w:val="000000"/>
                <w:sz w:val="24"/>
                <w:szCs w:val="24"/>
                <w:lang w:eastAsia="en-GB"/>
              </w:rPr>
              <w:t>6</w:t>
            </w:r>
            <w:r w:rsidR="006B40AB">
              <w:rPr>
                <w:rFonts w:eastAsia="Times New Roman" w:cstheme="minorHAnsi"/>
                <w:b/>
                <w:bCs/>
                <w:color w:val="000000"/>
                <w:sz w:val="24"/>
                <w:szCs w:val="24"/>
                <w:lang w:eastAsia="en-GB"/>
              </w:rPr>
              <w:t>7</w:t>
            </w:r>
          </w:p>
        </w:tc>
      </w:tr>
      <w:tr w:rsidR="00D100B6" w:rsidRPr="00212580" w14:paraId="50FED204" w14:textId="77777777" w:rsidTr="00D100B6">
        <w:trPr>
          <w:trHeight w:val="780"/>
        </w:trPr>
        <w:tc>
          <w:tcPr>
            <w:tcW w:w="7528" w:type="dxa"/>
            <w:shd w:val="clear" w:color="auto" w:fill="auto"/>
            <w:noWrap/>
            <w:vAlign w:val="bottom"/>
          </w:tcPr>
          <w:p w14:paraId="67B4A65E" w14:textId="244729F3" w:rsidR="00D100B6" w:rsidRDefault="00D100B6" w:rsidP="00D100B6">
            <w:pPr>
              <w:spacing w:after="0" w:line="240" w:lineRule="auto"/>
              <w:jc w:val="both"/>
              <w:rPr>
                <w:rFonts w:eastAsia="Times New Roman" w:cstheme="minorHAnsi"/>
                <w:b/>
                <w:bCs/>
                <w:color w:val="000000"/>
                <w:sz w:val="24"/>
                <w:szCs w:val="24"/>
                <w:lang w:eastAsia="en-GB"/>
              </w:rPr>
            </w:pPr>
            <w:r>
              <w:rPr>
                <w:rFonts w:eastAsia="Times New Roman" w:cstheme="minorHAnsi"/>
                <w:b/>
                <w:bCs/>
                <w:color w:val="000000"/>
                <w:sz w:val="24"/>
                <w:szCs w:val="24"/>
                <w:lang w:eastAsia="en-GB"/>
              </w:rPr>
              <w:t>Figure 2</w:t>
            </w:r>
            <w:r w:rsidR="006B40AB">
              <w:rPr>
                <w:rFonts w:eastAsia="Times New Roman" w:cstheme="minorHAnsi"/>
                <w:b/>
                <w:bCs/>
                <w:color w:val="000000"/>
                <w:sz w:val="24"/>
                <w:szCs w:val="24"/>
                <w:lang w:eastAsia="en-GB"/>
              </w:rPr>
              <w:t>6</w:t>
            </w:r>
            <w:r>
              <w:rPr>
                <w:rFonts w:eastAsia="Times New Roman" w:cstheme="minorHAnsi"/>
                <w:b/>
                <w:bCs/>
                <w:color w:val="000000"/>
                <w:sz w:val="24"/>
                <w:szCs w:val="24"/>
                <w:lang w:eastAsia="en-GB"/>
              </w:rPr>
              <w:t>.</w:t>
            </w:r>
          </w:p>
          <w:p w14:paraId="12987EA9" w14:textId="286086DD" w:rsidR="00D100B6" w:rsidRPr="00153AD4" w:rsidRDefault="00D100B6" w:rsidP="00D100B6">
            <w:pPr>
              <w:spacing w:after="0" w:line="240" w:lineRule="auto"/>
              <w:jc w:val="both"/>
              <w:rPr>
                <w:sz w:val="24"/>
                <w:szCs w:val="24"/>
              </w:rPr>
            </w:pPr>
            <w:r>
              <w:rPr>
                <w:sz w:val="24"/>
                <w:szCs w:val="24"/>
              </w:rPr>
              <w:t>Market Share Price</w:t>
            </w:r>
            <w:r w:rsidRPr="00783FE6">
              <w:rPr>
                <w:sz w:val="24"/>
                <w:szCs w:val="24"/>
              </w:rPr>
              <w:t xml:space="preserve"> financial ratio results for all </w:t>
            </w:r>
            <w:r w:rsidR="00D06C36">
              <w:rPr>
                <w:sz w:val="24"/>
                <w:szCs w:val="24"/>
              </w:rPr>
              <w:t>FTSE 250</w:t>
            </w:r>
            <w:r w:rsidRPr="00783FE6">
              <w:rPr>
                <w:sz w:val="24"/>
                <w:szCs w:val="24"/>
              </w:rPr>
              <w:t xml:space="preserve"> industry sectors between 2019 and 2021. </w:t>
            </w:r>
          </w:p>
        </w:tc>
        <w:tc>
          <w:tcPr>
            <w:tcW w:w="2127" w:type="dxa"/>
            <w:shd w:val="clear" w:color="auto" w:fill="auto"/>
            <w:noWrap/>
            <w:vAlign w:val="center"/>
          </w:tcPr>
          <w:p w14:paraId="7F3FE345" w14:textId="64D4DC5E" w:rsidR="00D100B6" w:rsidRDefault="00D100B6" w:rsidP="00D100B6">
            <w:pPr>
              <w:spacing w:after="0" w:line="240" w:lineRule="auto"/>
              <w:jc w:val="center"/>
              <w:rPr>
                <w:rFonts w:eastAsia="Times New Roman" w:cstheme="minorHAnsi"/>
                <w:b/>
                <w:bCs/>
                <w:color w:val="000000"/>
                <w:sz w:val="24"/>
                <w:szCs w:val="24"/>
                <w:lang w:eastAsia="en-GB"/>
              </w:rPr>
            </w:pPr>
            <w:r>
              <w:rPr>
                <w:rFonts w:eastAsia="Times New Roman" w:cstheme="minorHAnsi"/>
                <w:b/>
                <w:bCs/>
                <w:color w:val="000000"/>
                <w:sz w:val="24"/>
                <w:szCs w:val="24"/>
                <w:lang w:eastAsia="en-GB"/>
              </w:rPr>
              <w:t>6</w:t>
            </w:r>
            <w:r w:rsidR="006B40AB">
              <w:rPr>
                <w:rFonts w:eastAsia="Times New Roman" w:cstheme="minorHAnsi"/>
                <w:b/>
                <w:bCs/>
                <w:color w:val="000000"/>
                <w:sz w:val="24"/>
                <w:szCs w:val="24"/>
                <w:lang w:eastAsia="en-GB"/>
              </w:rPr>
              <w:t>8</w:t>
            </w:r>
          </w:p>
        </w:tc>
      </w:tr>
      <w:tr w:rsidR="00D100B6" w:rsidRPr="00212580" w14:paraId="5B3B7F93" w14:textId="77777777" w:rsidTr="00D100B6">
        <w:trPr>
          <w:trHeight w:val="780"/>
        </w:trPr>
        <w:tc>
          <w:tcPr>
            <w:tcW w:w="7528" w:type="dxa"/>
            <w:shd w:val="clear" w:color="auto" w:fill="auto"/>
            <w:noWrap/>
            <w:vAlign w:val="bottom"/>
          </w:tcPr>
          <w:p w14:paraId="6684163B" w14:textId="4BFA2A03" w:rsidR="00D100B6" w:rsidRDefault="00D100B6" w:rsidP="00D100B6">
            <w:pPr>
              <w:spacing w:after="0" w:line="240" w:lineRule="auto"/>
              <w:jc w:val="both"/>
              <w:rPr>
                <w:rFonts w:eastAsia="Times New Roman" w:cstheme="minorHAnsi"/>
                <w:b/>
                <w:bCs/>
                <w:color w:val="000000"/>
                <w:sz w:val="24"/>
                <w:szCs w:val="24"/>
                <w:lang w:eastAsia="en-GB"/>
              </w:rPr>
            </w:pPr>
            <w:r>
              <w:rPr>
                <w:rFonts w:eastAsia="Times New Roman" w:cstheme="minorHAnsi"/>
                <w:b/>
                <w:bCs/>
                <w:color w:val="000000"/>
                <w:sz w:val="24"/>
                <w:szCs w:val="24"/>
                <w:lang w:eastAsia="en-GB"/>
              </w:rPr>
              <w:t>Figure 2</w:t>
            </w:r>
            <w:r w:rsidR="006B40AB">
              <w:rPr>
                <w:rFonts w:eastAsia="Times New Roman" w:cstheme="minorHAnsi"/>
                <w:b/>
                <w:bCs/>
                <w:color w:val="000000"/>
                <w:sz w:val="24"/>
                <w:szCs w:val="24"/>
                <w:lang w:eastAsia="en-GB"/>
              </w:rPr>
              <w:t>7</w:t>
            </w:r>
            <w:r>
              <w:rPr>
                <w:rFonts w:eastAsia="Times New Roman" w:cstheme="minorHAnsi"/>
                <w:b/>
                <w:bCs/>
                <w:color w:val="000000"/>
                <w:sz w:val="24"/>
                <w:szCs w:val="24"/>
                <w:lang w:eastAsia="en-GB"/>
              </w:rPr>
              <w:t>.</w:t>
            </w:r>
          </w:p>
          <w:p w14:paraId="4E5A3EFA" w14:textId="3A103C0E" w:rsidR="00D100B6" w:rsidRPr="00153AD4" w:rsidRDefault="00D100B6" w:rsidP="00D100B6">
            <w:pPr>
              <w:spacing w:after="0" w:line="240" w:lineRule="auto"/>
              <w:jc w:val="both"/>
              <w:rPr>
                <w:sz w:val="24"/>
                <w:szCs w:val="24"/>
              </w:rPr>
            </w:pPr>
            <w:r>
              <w:rPr>
                <w:sz w:val="24"/>
                <w:szCs w:val="24"/>
              </w:rPr>
              <w:t>Preferred Ratio</w:t>
            </w:r>
            <w:r w:rsidRPr="00783FE6">
              <w:rPr>
                <w:sz w:val="24"/>
                <w:szCs w:val="24"/>
              </w:rPr>
              <w:t xml:space="preserve"> financial ratio results for all </w:t>
            </w:r>
            <w:r w:rsidR="00D06C36">
              <w:rPr>
                <w:sz w:val="24"/>
                <w:szCs w:val="24"/>
              </w:rPr>
              <w:t>FTSE 250</w:t>
            </w:r>
            <w:r w:rsidRPr="00783FE6">
              <w:rPr>
                <w:sz w:val="24"/>
                <w:szCs w:val="24"/>
              </w:rPr>
              <w:t xml:space="preserve"> industry sectors between 2019 and 2021. </w:t>
            </w:r>
          </w:p>
        </w:tc>
        <w:tc>
          <w:tcPr>
            <w:tcW w:w="2127" w:type="dxa"/>
            <w:shd w:val="clear" w:color="auto" w:fill="auto"/>
            <w:noWrap/>
            <w:vAlign w:val="center"/>
          </w:tcPr>
          <w:p w14:paraId="772ED8AE" w14:textId="73CEA5D8" w:rsidR="00D100B6" w:rsidRDefault="006B40AB" w:rsidP="00D100B6">
            <w:pPr>
              <w:spacing w:after="0" w:line="240" w:lineRule="auto"/>
              <w:jc w:val="center"/>
              <w:rPr>
                <w:rFonts w:eastAsia="Times New Roman" w:cstheme="minorHAnsi"/>
                <w:b/>
                <w:bCs/>
                <w:color w:val="000000"/>
                <w:sz w:val="24"/>
                <w:szCs w:val="24"/>
                <w:lang w:eastAsia="en-GB"/>
              </w:rPr>
            </w:pPr>
            <w:r>
              <w:rPr>
                <w:rFonts w:eastAsia="Times New Roman" w:cstheme="minorHAnsi"/>
                <w:b/>
                <w:bCs/>
                <w:color w:val="000000"/>
                <w:sz w:val="24"/>
                <w:szCs w:val="24"/>
                <w:lang w:eastAsia="en-GB"/>
              </w:rPr>
              <w:t>69</w:t>
            </w:r>
          </w:p>
        </w:tc>
      </w:tr>
    </w:tbl>
    <w:p w14:paraId="51B44CED" w14:textId="77777777" w:rsidR="001B61F5" w:rsidRPr="00212580" w:rsidRDefault="001B61F5" w:rsidP="00E87834">
      <w:pPr>
        <w:widowControl w:val="0"/>
        <w:rPr>
          <w:sz w:val="24"/>
          <w:szCs w:val="24"/>
        </w:rPr>
      </w:pPr>
    </w:p>
    <w:p w14:paraId="0CF7FCA3" w14:textId="77777777" w:rsidR="00E87834" w:rsidRPr="00212580" w:rsidRDefault="00E87834">
      <w:pPr>
        <w:rPr>
          <w:rFonts w:eastAsia="Times New Roman" w:cs="Times New Roman"/>
          <w:b/>
          <w:bCs/>
          <w:kern w:val="36"/>
          <w:sz w:val="24"/>
          <w:szCs w:val="24"/>
          <w:lang w:eastAsia="en-GB"/>
        </w:rPr>
      </w:pPr>
      <w:r w:rsidRPr="00212580">
        <w:rPr>
          <w:sz w:val="24"/>
          <w:szCs w:val="24"/>
        </w:rPr>
        <w:br w:type="page"/>
      </w:r>
    </w:p>
    <w:p w14:paraId="20A3B935" w14:textId="77777777" w:rsidR="001B61F5" w:rsidRPr="00212580" w:rsidRDefault="00CE5C03" w:rsidP="00201C5A">
      <w:pPr>
        <w:pStyle w:val="Heading1"/>
        <w:jc w:val="center"/>
        <w:rPr>
          <w:szCs w:val="24"/>
        </w:rPr>
      </w:pPr>
      <w:bookmarkStart w:id="4" w:name="_Toc141646687"/>
      <w:r w:rsidRPr="00212580">
        <w:rPr>
          <w:szCs w:val="24"/>
        </w:rPr>
        <w:lastRenderedPageBreak/>
        <w:t>Index of Tables</w:t>
      </w:r>
      <w:bookmarkEnd w:id="4"/>
    </w:p>
    <w:tbl>
      <w:tblPr>
        <w:tblW w:w="9654" w:type="dxa"/>
        <w:tblInd w:w="93" w:type="dxa"/>
        <w:tblLook w:val="04A0" w:firstRow="1" w:lastRow="0" w:firstColumn="1" w:lastColumn="0" w:noHBand="0" w:noVBand="1"/>
      </w:tblPr>
      <w:tblGrid>
        <w:gridCol w:w="7528"/>
        <w:gridCol w:w="2126"/>
      </w:tblGrid>
      <w:tr w:rsidR="003D0B66" w:rsidRPr="00212580" w14:paraId="20F534EC" w14:textId="77777777" w:rsidTr="00634B82">
        <w:trPr>
          <w:trHeight w:val="300"/>
        </w:trPr>
        <w:tc>
          <w:tcPr>
            <w:tcW w:w="7528" w:type="dxa"/>
            <w:shd w:val="clear" w:color="auto" w:fill="auto"/>
            <w:noWrap/>
            <w:vAlign w:val="bottom"/>
            <w:hideMark/>
          </w:tcPr>
          <w:p w14:paraId="4404DE60" w14:textId="77777777" w:rsidR="003D0B66" w:rsidRPr="00212580" w:rsidRDefault="003D0B66" w:rsidP="00A80870">
            <w:pPr>
              <w:spacing w:after="0" w:line="240" w:lineRule="auto"/>
              <w:rPr>
                <w:rFonts w:ascii="Calibri" w:eastAsia="Times New Roman" w:hAnsi="Calibri" w:cs="Calibri"/>
                <w:color w:val="000000"/>
                <w:sz w:val="24"/>
                <w:szCs w:val="24"/>
                <w:lang w:eastAsia="en-GB"/>
              </w:rPr>
            </w:pPr>
          </w:p>
        </w:tc>
        <w:tc>
          <w:tcPr>
            <w:tcW w:w="2126" w:type="dxa"/>
            <w:shd w:val="clear" w:color="auto" w:fill="auto"/>
            <w:noWrap/>
            <w:vAlign w:val="bottom"/>
            <w:hideMark/>
          </w:tcPr>
          <w:p w14:paraId="09D3E497" w14:textId="77777777" w:rsidR="003D0B66" w:rsidRPr="00212580" w:rsidRDefault="003D0B66" w:rsidP="00A80870">
            <w:pPr>
              <w:spacing w:after="0" w:line="240" w:lineRule="auto"/>
              <w:ind w:left="884" w:right="-84" w:hanging="884"/>
              <w:jc w:val="center"/>
              <w:rPr>
                <w:rFonts w:ascii="Calibri" w:eastAsia="Times New Roman" w:hAnsi="Calibri" w:cs="Calibri"/>
                <w:b/>
                <w:bCs/>
                <w:color w:val="000000"/>
                <w:sz w:val="24"/>
                <w:szCs w:val="24"/>
                <w:lang w:eastAsia="en-GB"/>
              </w:rPr>
            </w:pPr>
            <w:r w:rsidRPr="00212580">
              <w:rPr>
                <w:rFonts w:ascii="Calibri" w:eastAsia="Times New Roman" w:hAnsi="Calibri" w:cs="Calibri"/>
                <w:b/>
                <w:bCs/>
                <w:color w:val="000000"/>
                <w:sz w:val="24"/>
                <w:szCs w:val="24"/>
                <w:lang w:eastAsia="en-GB"/>
              </w:rPr>
              <w:t>Page</w:t>
            </w:r>
          </w:p>
        </w:tc>
      </w:tr>
      <w:tr w:rsidR="003D0B66" w:rsidRPr="00212580" w14:paraId="669D0F66" w14:textId="77777777" w:rsidTr="00634B82">
        <w:trPr>
          <w:trHeight w:val="900"/>
        </w:trPr>
        <w:tc>
          <w:tcPr>
            <w:tcW w:w="7528" w:type="dxa"/>
            <w:shd w:val="clear" w:color="auto" w:fill="auto"/>
            <w:noWrap/>
            <w:vAlign w:val="center"/>
            <w:hideMark/>
          </w:tcPr>
          <w:p w14:paraId="7B0988B9" w14:textId="77777777" w:rsidR="00670DF5" w:rsidRDefault="003D0B66" w:rsidP="003B02AE">
            <w:pPr>
              <w:spacing w:after="0"/>
              <w:rPr>
                <w:rFonts w:ascii="Calibri" w:eastAsia="Times New Roman" w:hAnsi="Calibri" w:cs="Calibri"/>
                <w:color w:val="000000"/>
                <w:sz w:val="24"/>
                <w:szCs w:val="24"/>
                <w:lang w:eastAsia="en-GB"/>
              </w:rPr>
            </w:pPr>
            <w:r w:rsidRPr="00670DF5">
              <w:rPr>
                <w:rFonts w:ascii="Calibri" w:eastAsia="Times New Roman" w:hAnsi="Calibri" w:cs="Calibri"/>
                <w:b/>
                <w:color w:val="000000"/>
                <w:sz w:val="24"/>
                <w:szCs w:val="24"/>
                <w:lang w:eastAsia="en-GB"/>
              </w:rPr>
              <w:t>Table 1.</w:t>
            </w:r>
            <w:r w:rsidRPr="00670DF5">
              <w:rPr>
                <w:rFonts w:ascii="Calibri" w:eastAsia="Times New Roman" w:hAnsi="Calibri" w:cs="Calibri"/>
                <w:color w:val="000000"/>
                <w:sz w:val="24"/>
                <w:szCs w:val="24"/>
                <w:lang w:eastAsia="en-GB"/>
              </w:rPr>
              <w:t xml:space="preserve"> </w:t>
            </w:r>
          </w:p>
          <w:p w14:paraId="24523988" w14:textId="7BA15DC7" w:rsidR="003D0B66" w:rsidRDefault="001F3868" w:rsidP="001D1574">
            <w:pPr>
              <w:spacing w:after="0"/>
              <w:jc w:val="both"/>
              <w:rPr>
                <w:sz w:val="24"/>
                <w:szCs w:val="24"/>
              </w:rPr>
            </w:pPr>
            <w:r w:rsidRPr="00670DF5">
              <w:rPr>
                <w:sz w:val="24"/>
                <w:szCs w:val="24"/>
              </w:rPr>
              <w:t xml:space="preserve">Summary of the Financial Year end counts for companies listed on the </w:t>
            </w:r>
            <w:r w:rsidR="00D06C36">
              <w:rPr>
                <w:sz w:val="24"/>
                <w:szCs w:val="24"/>
              </w:rPr>
              <w:t>FTSE 250</w:t>
            </w:r>
            <w:r w:rsidRPr="00670DF5">
              <w:rPr>
                <w:sz w:val="24"/>
                <w:szCs w:val="24"/>
              </w:rPr>
              <w:t xml:space="preserve"> index during the study period.</w:t>
            </w:r>
          </w:p>
          <w:p w14:paraId="79FC00D2" w14:textId="5517544A" w:rsidR="0028601E" w:rsidRPr="00670DF5" w:rsidRDefault="0028601E" w:rsidP="001D1574">
            <w:pPr>
              <w:spacing w:after="0"/>
              <w:jc w:val="both"/>
              <w:rPr>
                <w:rFonts w:ascii="Calibri" w:eastAsia="Times New Roman" w:hAnsi="Calibri" w:cs="Calibri"/>
                <w:color w:val="000000"/>
                <w:sz w:val="24"/>
                <w:szCs w:val="24"/>
                <w:lang w:eastAsia="en-GB"/>
              </w:rPr>
            </w:pPr>
          </w:p>
        </w:tc>
        <w:tc>
          <w:tcPr>
            <w:tcW w:w="2126" w:type="dxa"/>
            <w:shd w:val="clear" w:color="auto" w:fill="auto"/>
            <w:noWrap/>
            <w:vAlign w:val="center"/>
            <w:hideMark/>
          </w:tcPr>
          <w:p w14:paraId="53B8763E" w14:textId="23EFEA16" w:rsidR="003D0B66" w:rsidRPr="00670DF5" w:rsidRDefault="001F3868" w:rsidP="003B02AE">
            <w:pPr>
              <w:spacing w:after="0"/>
              <w:jc w:val="center"/>
              <w:rPr>
                <w:rFonts w:ascii="Calibri" w:eastAsia="Times New Roman" w:hAnsi="Calibri" w:cs="Calibri"/>
                <w:b/>
                <w:bCs/>
                <w:color w:val="000000"/>
                <w:sz w:val="24"/>
                <w:szCs w:val="24"/>
                <w:lang w:eastAsia="en-GB"/>
              </w:rPr>
            </w:pPr>
            <w:r w:rsidRPr="00670DF5">
              <w:rPr>
                <w:rFonts w:ascii="Calibri" w:eastAsia="Times New Roman" w:hAnsi="Calibri" w:cs="Calibri"/>
                <w:b/>
                <w:bCs/>
                <w:color w:val="000000"/>
                <w:sz w:val="24"/>
                <w:szCs w:val="24"/>
                <w:lang w:eastAsia="en-GB"/>
              </w:rPr>
              <w:t>20</w:t>
            </w:r>
          </w:p>
        </w:tc>
      </w:tr>
      <w:tr w:rsidR="00A0036A" w:rsidRPr="00212580" w14:paraId="198DD57E" w14:textId="77777777" w:rsidTr="00634B82">
        <w:trPr>
          <w:trHeight w:val="900"/>
        </w:trPr>
        <w:tc>
          <w:tcPr>
            <w:tcW w:w="7528" w:type="dxa"/>
            <w:shd w:val="clear" w:color="auto" w:fill="auto"/>
            <w:noWrap/>
            <w:vAlign w:val="center"/>
          </w:tcPr>
          <w:p w14:paraId="3BD5B180" w14:textId="77777777" w:rsidR="00A0036A" w:rsidRDefault="00A0036A" w:rsidP="003B02AE">
            <w:pPr>
              <w:spacing w:after="0"/>
              <w:rPr>
                <w:rFonts w:ascii="Calibri" w:eastAsia="Times New Roman" w:hAnsi="Calibri" w:cs="Calibri"/>
                <w:b/>
                <w:color w:val="000000"/>
                <w:sz w:val="24"/>
                <w:szCs w:val="24"/>
                <w:lang w:eastAsia="en-GB"/>
              </w:rPr>
            </w:pPr>
            <w:r>
              <w:rPr>
                <w:rFonts w:ascii="Calibri" w:eastAsia="Times New Roman" w:hAnsi="Calibri" w:cs="Calibri"/>
                <w:b/>
                <w:color w:val="000000"/>
                <w:sz w:val="24"/>
                <w:szCs w:val="24"/>
                <w:lang w:eastAsia="en-GB"/>
              </w:rPr>
              <w:t>Table 2.</w:t>
            </w:r>
          </w:p>
          <w:p w14:paraId="40748EFC" w14:textId="699949B1" w:rsidR="0028601E" w:rsidRPr="00EC368F" w:rsidRDefault="00862A73" w:rsidP="00862A73">
            <w:pPr>
              <w:spacing w:after="0"/>
              <w:jc w:val="both"/>
              <w:rPr>
                <w:sz w:val="24"/>
                <w:szCs w:val="24"/>
              </w:rPr>
            </w:pPr>
            <w:r w:rsidRPr="00862A73">
              <w:rPr>
                <w:sz w:val="24"/>
                <w:szCs w:val="24"/>
              </w:rPr>
              <w:t>Summary of the number of companies excluded from analysis due to lack of full annual report and other exclusion reasons.</w:t>
            </w:r>
          </w:p>
        </w:tc>
        <w:tc>
          <w:tcPr>
            <w:tcW w:w="2126" w:type="dxa"/>
            <w:shd w:val="clear" w:color="auto" w:fill="auto"/>
            <w:noWrap/>
            <w:vAlign w:val="center"/>
          </w:tcPr>
          <w:p w14:paraId="529E2F6A" w14:textId="6D33B778" w:rsidR="00A0036A" w:rsidRPr="00670DF5" w:rsidRDefault="00862A73" w:rsidP="003B02AE">
            <w:pPr>
              <w:spacing w:after="0"/>
              <w:jc w:val="center"/>
              <w:rPr>
                <w:rFonts w:ascii="Calibri" w:eastAsia="Times New Roman" w:hAnsi="Calibri" w:cs="Calibri"/>
                <w:b/>
                <w:bCs/>
                <w:color w:val="000000"/>
                <w:sz w:val="24"/>
                <w:szCs w:val="24"/>
                <w:lang w:eastAsia="en-GB"/>
              </w:rPr>
            </w:pPr>
            <w:r>
              <w:rPr>
                <w:rFonts w:ascii="Calibri" w:eastAsia="Times New Roman" w:hAnsi="Calibri" w:cs="Calibri"/>
                <w:b/>
                <w:bCs/>
                <w:color w:val="000000"/>
                <w:sz w:val="24"/>
                <w:szCs w:val="24"/>
                <w:lang w:eastAsia="en-GB"/>
              </w:rPr>
              <w:t>22</w:t>
            </w:r>
          </w:p>
        </w:tc>
      </w:tr>
      <w:tr w:rsidR="00857B14" w:rsidRPr="00212580" w14:paraId="22D30354" w14:textId="77777777" w:rsidTr="00634B82">
        <w:trPr>
          <w:trHeight w:val="900"/>
        </w:trPr>
        <w:tc>
          <w:tcPr>
            <w:tcW w:w="7528" w:type="dxa"/>
            <w:shd w:val="clear" w:color="auto" w:fill="auto"/>
            <w:noWrap/>
            <w:vAlign w:val="center"/>
          </w:tcPr>
          <w:p w14:paraId="7DD6FB92" w14:textId="79398287" w:rsidR="00857B14" w:rsidRDefault="00857B14" w:rsidP="00857B14">
            <w:pPr>
              <w:spacing w:after="0"/>
              <w:rPr>
                <w:rFonts w:ascii="Calibri" w:eastAsia="Times New Roman" w:hAnsi="Calibri" w:cs="Calibri"/>
                <w:color w:val="000000"/>
                <w:sz w:val="24"/>
                <w:szCs w:val="24"/>
                <w:lang w:eastAsia="en-GB"/>
              </w:rPr>
            </w:pPr>
            <w:r w:rsidRPr="00670DF5">
              <w:rPr>
                <w:rFonts w:ascii="Calibri" w:eastAsia="Times New Roman" w:hAnsi="Calibri" w:cs="Calibri"/>
                <w:b/>
                <w:color w:val="000000"/>
                <w:sz w:val="24"/>
                <w:szCs w:val="24"/>
                <w:lang w:eastAsia="en-GB"/>
              </w:rPr>
              <w:t xml:space="preserve">Table </w:t>
            </w:r>
            <w:r w:rsidR="00C3354E">
              <w:rPr>
                <w:rFonts w:ascii="Calibri" w:eastAsia="Times New Roman" w:hAnsi="Calibri" w:cs="Calibri"/>
                <w:b/>
                <w:color w:val="000000"/>
                <w:sz w:val="24"/>
                <w:szCs w:val="24"/>
                <w:lang w:eastAsia="en-GB"/>
              </w:rPr>
              <w:t>3</w:t>
            </w:r>
            <w:r w:rsidRPr="00670DF5">
              <w:rPr>
                <w:rFonts w:ascii="Calibri" w:eastAsia="Times New Roman" w:hAnsi="Calibri" w:cs="Calibri"/>
                <w:b/>
                <w:color w:val="000000"/>
                <w:sz w:val="24"/>
                <w:szCs w:val="24"/>
                <w:lang w:eastAsia="en-GB"/>
              </w:rPr>
              <w:t>.</w:t>
            </w:r>
            <w:r w:rsidRPr="00670DF5">
              <w:rPr>
                <w:rFonts w:ascii="Calibri" w:eastAsia="Times New Roman" w:hAnsi="Calibri" w:cs="Calibri"/>
                <w:color w:val="000000"/>
                <w:sz w:val="24"/>
                <w:szCs w:val="24"/>
                <w:lang w:eastAsia="en-GB"/>
              </w:rPr>
              <w:t xml:space="preserve"> </w:t>
            </w:r>
          </w:p>
          <w:p w14:paraId="6C4F9C89" w14:textId="4C20CFE2" w:rsidR="00857B14" w:rsidRPr="0028601E" w:rsidRDefault="00274247" w:rsidP="00857B14">
            <w:pPr>
              <w:spacing w:after="0"/>
              <w:jc w:val="both"/>
              <w:rPr>
                <w:sz w:val="24"/>
                <w:szCs w:val="24"/>
              </w:rPr>
            </w:pPr>
            <w:r>
              <w:rPr>
                <w:sz w:val="24"/>
                <w:szCs w:val="24"/>
              </w:rPr>
              <w:t>Inflation (Annual Consumer Prices) percentages over 10 years from 2011 to 2021.</w:t>
            </w:r>
          </w:p>
        </w:tc>
        <w:tc>
          <w:tcPr>
            <w:tcW w:w="2126" w:type="dxa"/>
            <w:shd w:val="clear" w:color="auto" w:fill="auto"/>
            <w:noWrap/>
            <w:vAlign w:val="center"/>
          </w:tcPr>
          <w:p w14:paraId="453524D6" w14:textId="629CB90D" w:rsidR="00857B14" w:rsidRDefault="00274247" w:rsidP="00857B14">
            <w:pPr>
              <w:spacing w:after="0"/>
              <w:jc w:val="center"/>
              <w:rPr>
                <w:rFonts w:ascii="Calibri" w:eastAsia="Times New Roman" w:hAnsi="Calibri" w:cs="Calibri"/>
                <w:b/>
                <w:bCs/>
                <w:color w:val="000000"/>
                <w:sz w:val="24"/>
                <w:szCs w:val="24"/>
                <w:lang w:eastAsia="en-GB"/>
              </w:rPr>
            </w:pPr>
            <w:r>
              <w:rPr>
                <w:rFonts w:ascii="Calibri" w:eastAsia="Times New Roman" w:hAnsi="Calibri" w:cs="Calibri"/>
                <w:b/>
                <w:bCs/>
                <w:color w:val="000000"/>
                <w:sz w:val="24"/>
                <w:szCs w:val="24"/>
                <w:lang w:eastAsia="en-GB"/>
              </w:rPr>
              <w:t>30</w:t>
            </w:r>
          </w:p>
        </w:tc>
      </w:tr>
      <w:tr w:rsidR="00857B14" w:rsidRPr="00212580" w14:paraId="197E585C" w14:textId="77777777" w:rsidTr="00634B82">
        <w:trPr>
          <w:trHeight w:val="900"/>
        </w:trPr>
        <w:tc>
          <w:tcPr>
            <w:tcW w:w="7528" w:type="dxa"/>
            <w:shd w:val="clear" w:color="auto" w:fill="auto"/>
            <w:noWrap/>
            <w:vAlign w:val="center"/>
          </w:tcPr>
          <w:p w14:paraId="0008ABC7" w14:textId="1AFBD8CF" w:rsidR="00857B14" w:rsidRDefault="00857B14" w:rsidP="00857B14">
            <w:pPr>
              <w:spacing w:after="0"/>
              <w:rPr>
                <w:rFonts w:ascii="Calibri" w:eastAsia="Times New Roman" w:hAnsi="Calibri" w:cs="Calibri"/>
                <w:color w:val="000000"/>
                <w:sz w:val="24"/>
                <w:szCs w:val="24"/>
                <w:lang w:eastAsia="en-GB"/>
              </w:rPr>
            </w:pPr>
            <w:r w:rsidRPr="00670DF5">
              <w:rPr>
                <w:rFonts w:ascii="Calibri" w:eastAsia="Times New Roman" w:hAnsi="Calibri" w:cs="Calibri"/>
                <w:b/>
                <w:color w:val="000000"/>
                <w:sz w:val="24"/>
                <w:szCs w:val="24"/>
                <w:lang w:eastAsia="en-GB"/>
              </w:rPr>
              <w:t xml:space="preserve">Table </w:t>
            </w:r>
            <w:r w:rsidR="00E97AAF">
              <w:rPr>
                <w:rFonts w:ascii="Calibri" w:eastAsia="Times New Roman" w:hAnsi="Calibri" w:cs="Calibri"/>
                <w:b/>
                <w:color w:val="000000"/>
                <w:sz w:val="24"/>
                <w:szCs w:val="24"/>
                <w:lang w:eastAsia="en-GB"/>
              </w:rPr>
              <w:t>4</w:t>
            </w:r>
            <w:r w:rsidRPr="00670DF5">
              <w:rPr>
                <w:rFonts w:ascii="Calibri" w:eastAsia="Times New Roman" w:hAnsi="Calibri" w:cs="Calibri"/>
                <w:b/>
                <w:color w:val="000000"/>
                <w:sz w:val="24"/>
                <w:szCs w:val="24"/>
                <w:lang w:eastAsia="en-GB"/>
              </w:rPr>
              <w:t>.</w:t>
            </w:r>
            <w:r w:rsidRPr="00670DF5">
              <w:rPr>
                <w:rFonts w:ascii="Calibri" w:eastAsia="Times New Roman" w:hAnsi="Calibri" w:cs="Calibri"/>
                <w:color w:val="000000"/>
                <w:sz w:val="24"/>
                <w:szCs w:val="24"/>
                <w:lang w:eastAsia="en-GB"/>
              </w:rPr>
              <w:t xml:space="preserve"> </w:t>
            </w:r>
          </w:p>
          <w:p w14:paraId="7F9B3D40" w14:textId="23C165FB" w:rsidR="00857B14" w:rsidRPr="00670DF5" w:rsidRDefault="00E97AAF" w:rsidP="00857B14">
            <w:pPr>
              <w:spacing w:after="0"/>
              <w:rPr>
                <w:rFonts w:ascii="Calibri" w:eastAsia="Times New Roman" w:hAnsi="Calibri" w:cs="Calibri"/>
                <w:b/>
                <w:color w:val="000000"/>
                <w:sz w:val="24"/>
                <w:szCs w:val="24"/>
                <w:lang w:eastAsia="en-GB"/>
              </w:rPr>
            </w:pPr>
            <w:r>
              <w:rPr>
                <w:sz w:val="24"/>
                <w:szCs w:val="24"/>
              </w:rPr>
              <w:t>Financial ratio results for all companies across all sectors analysed for the period 2019 to 2021.</w:t>
            </w:r>
          </w:p>
        </w:tc>
        <w:tc>
          <w:tcPr>
            <w:tcW w:w="2126" w:type="dxa"/>
            <w:shd w:val="clear" w:color="auto" w:fill="auto"/>
            <w:noWrap/>
            <w:vAlign w:val="center"/>
          </w:tcPr>
          <w:p w14:paraId="0189AB54" w14:textId="3252339B" w:rsidR="00857B14" w:rsidRDefault="00E97AAF" w:rsidP="00857B14">
            <w:pPr>
              <w:spacing w:after="0"/>
              <w:jc w:val="center"/>
              <w:rPr>
                <w:rFonts w:ascii="Calibri" w:eastAsia="Times New Roman" w:hAnsi="Calibri" w:cs="Calibri"/>
                <w:b/>
                <w:bCs/>
                <w:color w:val="000000"/>
                <w:sz w:val="24"/>
                <w:szCs w:val="24"/>
                <w:lang w:eastAsia="en-GB"/>
              </w:rPr>
            </w:pPr>
            <w:r>
              <w:rPr>
                <w:rFonts w:ascii="Calibri" w:eastAsia="Times New Roman" w:hAnsi="Calibri" w:cs="Calibri"/>
                <w:b/>
                <w:bCs/>
                <w:color w:val="000000"/>
                <w:sz w:val="24"/>
                <w:szCs w:val="24"/>
                <w:lang w:eastAsia="en-GB"/>
              </w:rPr>
              <w:t>34</w:t>
            </w:r>
          </w:p>
        </w:tc>
      </w:tr>
      <w:tr w:rsidR="00857B14" w:rsidRPr="00212580" w14:paraId="18B731FC" w14:textId="77777777" w:rsidTr="00634B82">
        <w:trPr>
          <w:trHeight w:val="900"/>
        </w:trPr>
        <w:tc>
          <w:tcPr>
            <w:tcW w:w="7528" w:type="dxa"/>
            <w:shd w:val="clear" w:color="auto" w:fill="auto"/>
            <w:noWrap/>
            <w:vAlign w:val="center"/>
          </w:tcPr>
          <w:p w14:paraId="35CC5F78" w14:textId="122B88E9" w:rsidR="00857B14" w:rsidRPr="00DD529E" w:rsidRDefault="00857B14" w:rsidP="00857B14">
            <w:pPr>
              <w:spacing w:after="0"/>
              <w:rPr>
                <w:rFonts w:ascii="Calibri" w:eastAsia="Times New Roman" w:hAnsi="Calibri" w:cs="Calibri"/>
                <w:color w:val="000000"/>
                <w:sz w:val="24"/>
                <w:szCs w:val="24"/>
                <w:lang w:eastAsia="en-GB"/>
              </w:rPr>
            </w:pPr>
            <w:r w:rsidRPr="00DD529E">
              <w:rPr>
                <w:rFonts w:ascii="Calibri" w:eastAsia="Times New Roman" w:hAnsi="Calibri" w:cs="Calibri"/>
                <w:b/>
                <w:color w:val="000000"/>
                <w:sz w:val="24"/>
                <w:szCs w:val="24"/>
                <w:lang w:eastAsia="en-GB"/>
              </w:rPr>
              <w:t xml:space="preserve">Table </w:t>
            </w:r>
            <w:r w:rsidR="00E97AAF" w:rsidRPr="00DD529E">
              <w:rPr>
                <w:rFonts w:ascii="Calibri" w:eastAsia="Times New Roman" w:hAnsi="Calibri" w:cs="Calibri"/>
                <w:b/>
                <w:color w:val="000000"/>
                <w:sz w:val="24"/>
                <w:szCs w:val="24"/>
                <w:lang w:eastAsia="en-GB"/>
              </w:rPr>
              <w:t>5</w:t>
            </w:r>
            <w:r w:rsidRPr="00DD529E">
              <w:rPr>
                <w:rFonts w:ascii="Calibri" w:eastAsia="Times New Roman" w:hAnsi="Calibri" w:cs="Calibri"/>
                <w:b/>
                <w:color w:val="000000"/>
                <w:sz w:val="24"/>
                <w:szCs w:val="24"/>
                <w:lang w:eastAsia="en-GB"/>
              </w:rPr>
              <w:t>.</w:t>
            </w:r>
            <w:r w:rsidRPr="00DD529E">
              <w:rPr>
                <w:rFonts w:ascii="Calibri" w:eastAsia="Times New Roman" w:hAnsi="Calibri" w:cs="Calibri"/>
                <w:color w:val="000000"/>
                <w:sz w:val="24"/>
                <w:szCs w:val="24"/>
                <w:lang w:eastAsia="en-GB"/>
              </w:rPr>
              <w:t xml:space="preserve"> </w:t>
            </w:r>
          </w:p>
          <w:p w14:paraId="2E9167B2" w14:textId="5EC26B12" w:rsidR="00857B14" w:rsidRPr="00DD529E" w:rsidRDefault="004E683F" w:rsidP="00857B14">
            <w:pPr>
              <w:spacing w:after="0"/>
              <w:rPr>
                <w:rFonts w:ascii="Calibri" w:eastAsia="Times New Roman" w:hAnsi="Calibri" w:cs="Calibri"/>
                <w:bCs/>
                <w:color w:val="000000"/>
                <w:sz w:val="24"/>
                <w:szCs w:val="24"/>
                <w:lang w:eastAsia="en-GB"/>
              </w:rPr>
            </w:pPr>
            <w:r w:rsidRPr="00DD529E">
              <w:rPr>
                <w:rFonts w:ascii="Calibri" w:eastAsia="Times New Roman" w:hAnsi="Calibri" w:cs="Calibri"/>
                <w:bCs/>
                <w:color w:val="000000"/>
                <w:sz w:val="24"/>
                <w:szCs w:val="24"/>
                <w:lang w:eastAsia="en-GB"/>
              </w:rPr>
              <w:t xml:space="preserve">Comparison of Current and Quick Ratios for all </w:t>
            </w:r>
            <w:r w:rsidR="005D7AEC" w:rsidRPr="00DD529E">
              <w:rPr>
                <w:rFonts w:ascii="Calibri" w:eastAsia="Times New Roman" w:hAnsi="Calibri" w:cs="Calibri"/>
                <w:bCs/>
                <w:color w:val="000000"/>
                <w:sz w:val="24"/>
                <w:szCs w:val="24"/>
                <w:lang w:eastAsia="en-GB"/>
              </w:rPr>
              <w:t>sectors</w:t>
            </w:r>
            <w:r w:rsidRPr="00DD529E">
              <w:rPr>
                <w:rFonts w:ascii="Calibri" w:eastAsia="Times New Roman" w:hAnsi="Calibri" w:cs="Calibri"/>
                <w:bCs/>
                <w:color w:val="000000"/>
                <w:sz w:val="24"/>
                <w:szCs w:val="24"/>
                <w:lang w:eastAsia="en-GB"/>
              </w:rPr>
              <w:t xml:space="preserve"> to account for inventory</w:t>
            </w:r>
            <w:r w:rsidR="005D7AEC" w:rsidRPr="00DD529E">
              <w:rPr>
                <w:rFonts w:ascii="Calibri" w:eastAsia="Times New Roman" w:hAnsi="Calibri" w:cs="Calibri"/>
                <w:bCs/>
                <w:color w:val="000000"/>
                <w:sz w:val="24"/>
                <w:szCs w:val="24"/>
                <w:lang w:eastAsia="en-GB"/>
              </w:rPr>
              <w:t>.</w:t>
            </w:r>
          </w:p>
        </w:tc>
        <w:tc>
          <w:tcPr>
            <w:tcW w:w="2126" w:type="dxa"/>
            <w:shd w:val="clear" w:color="auto" w:fill="auto"/>
            <w:noWrap/>
            <w:vAlign w:val="center"/>
          </w:tcPr>
          <w:p w14:paraId="1B43F268" w14:textId="4E75D15C" w:rsidR="00857B14" w:rsidRPr="00DD529E" w:rsidRDefault="00872A64" w:rsidP="00857B14">
            <w:pPr>
              <w:spacing w:after="0"/>
              <w:jc w:val="center"/>
              <w:rPr>
                <w:rFonts w:ascii="Calibri" w:eastAsia="Times New Roman" w:hAnsi="Calibri" w:cs="Calibri"/>
                <w:b/>
                <w:bCs/>
                <w:color w:val="000000"/>
                <w:sz w:val="24"/>
                <w:szCs w:val="24"/>
                <w:lang w:eastAsia="en-GB"/>
              </w:rPr>
            </w:pPr>
            <w:r w:rsidRPr="00DD529E">
              <w:rPr>
                <w:rFonts w:ascii="Calibri" w:eastAsia="Times New Roman" w:hAnsi="Calibri" w:cs="Calibri"/>
                <w:b/>
                <w:bCs/>
                <w:color w:val="000000"/>
                <w:sz w:val="24"/>
                <w:szCs w:val="24"/>
                <w:lang w:eastAsia="en-GB"/>
              </w:rPr>
              <w:t>59</w:t>
            </w:r>
          </w:p>
        </w:tc>
      </w:tr>
      <w:tr w:rsidR="00857B14" w:rsidRPr="00212580" w14:paraId="12AC6FB3" w14:textId="77777777" w:rsidTr="00634B82">
        <w:trPr>
          <w:trHeight w:val="900"/>
        </w:trPr>
        <w:tc>
          <w:tcPr>
            <w:tcW w:w="7528" w:type="dxa"/>
            <w:shd w:val="clear" w:color="auto" w:fill="auto"/>
            <w:noWrap/>
            <w:vAlign w:val="center"/>
          </w:tcPr>
          <w:p w14:paraId="1E6DDE5C" w14:textId="21C80B0D" w:rsidR="00857B14" w:rsidRPr="00DD529E" w:rsidRDefault="00857B14" w:rsidP="00857B14">
            <w:pPr>
              <w:spacing w:after="0"/>
              <w:rPr>
                <w:rFonts w:ascii="Calibri" w:eastAsia="Times New Roman" w:hAnsi="Calibri" w:cs="Calibri"/>
                <w:color w:val="000000"/>
                <w:sz w:val="24"/>
                <w:szCs w:val="24"/>
                <w:lang w:eastAsia="en-GB"/>
              </w:rPr>
            </w:pPr>
            <w:r w:rsidRPr="00DD529E">
              <w:rPr>
                <w:rFonts w:ascii="Calibri" w:eastAsia="Times New Roman" w:hAnsi="Calibri" w:cs="Calibri"/>
                <w:b/>
                <w:color w:val="000000"/>
                <w:sz w:val="24"/>
                <w:szCs w:val="24"/>
                <w:lang w:eastAsia="en-GB"/>
              </w:rPr>
              <w:t xml:space="preserve">Table </w:t>
            </w:r>
            <w:r w:rsidR="00DD529E" w:rsidRPr="00DD529E">
              <w:rPr>
                <w:rFonts w:ascii="Calibri" w:eastAsia="Times New Roman" w:hAnsi="Calibri" w:cs="Calibri"/>
                <w:b/>
                <w:color w:val="000000"/>
                <w:sz w:val="24"/>
                <w:szCs w:val="24"/>
                <w:lang w:eastAsia="en-GB"/>
              </w:rPr>
              <w:t>6</w:t>
            </w:r>
            <w:r w:rsidRPr="00DD529E">
              <w:rPr>
                <w:rFonts w:ascii="Calibri" w:eastAsia="Times New Roman" w:hAnsi="Calibri" w:cs="Calibri"/>
                <w:b/>
                <w:color w:val="000000"/>
                <w:sz w:val="24"/>
                <w:szCs w:val="24"/>
                <w:lang w:eastAsia="en-GB"/>
              </w:rPr>
              <w:t>.</w:t>
            </w:r>
            <w:r w:rsidRPr="00DD529E">
              <w:rPr>
                <w:rFonts w:ascii="Calibri" w:eastAsia="Times New Roman" w:hAnsi="Calibri" w:cs="Calibri"/>
                <w:color w:val="000000"/>
                <w:sz w:val="24"/>
                <w:szCs w:val="24"/>
                <w:lang w:eastAsia="en-GB"/>
              </w:rPr>
              <w:t xml:space="preserve"> </w:t>
            </w:r>
          </w:p>
          <w:p w14:paraId="11217872" w14:textId="033C22ED" w:rsidR="00857B14" w:rsidRPr="00DD529E" w:rsidRDefault="00857B14" w:rsidP="00857B14">
            <w:pPr>
              <w:spacing w:after="0"/>
              <w:rPr>
                <w:rFonts w:ascii="Calibri" w:eastAsia="Times New Roman" w:hAnsi="Calibri" w:cs="Calibri"/>
                <w:b/>
                <w:color w:val="000000"/>
                <w:sz w:val="24"/>
                <w:szCs w:val="24"/>
                <w:lang w:eastAsia="en-GB"/>
              </w:rPr>
            </w:pPr>
            <w:r w:rsidRPr="00DD529E">
              <w:rPr>
                <w:sz w:val="24"/>
                <w:szCs w:val="24"/>
              </w:rPr>
              <w:t xml:space="preserve">Summary of the </w:t>
            </w:r>
            <w:r w:rsidR="00DD529E" w:rsidRPr="00DD529E">
              <w:rPr>
                <w:sz w:val="24"/>
                <w:szCs w:val="24"/>
              </w:rPr>
              <w:t>Expected Ratio Results and Observed</w:t>
            </w:r>
          </w:p>
        </w:tc>
        <w:tc>
          <w:tcPr>
            <w:tcW w:w="2126" w:type="dxa"/>
            <w:shd w:val="clear" w:color="auto" w:fill="auto"/>
            <w:noWrap/>
            <w:vAlign w:val="center"/>
          </w:tcPr>
          <w:p w14:paraId="4C16684F" w14:textId="590C9860" w:rsidR="00857B14" w:rsidRPr="00DD529E" w:rsidRDefault="00DD529E" w:rsidP="00857B14">
            <w:pPr>
              <w:spacing w:after="0"/>
              <w:jc w:val="center"/>
              <w:rPr>
                <w:rFonts w:ascii="Calibri" w:eastAsia="Times New Roman" w:hAnsi="Calibri" w:cs="Calibri"/>
                <w:b/>
                <w:bCs/>
                <w:color w:val="000000"/>
                <w:sz w:val="24"/>
                <w:szCs w:val="24"/>
                <w:lang w:eastAsia="en-GB"/>
              </w:rPr>
            </w:pPr>
            <w:r>
              <w:rPr>
                <w:rFonts w:ascii="Calibri" w:eastAsia="Times New Roman" w:hAnsi="Calibri" w:cs="Calibri"/>
                <w:b/>
                <w:bCs/>
                <w:color w:val="000000"/>
                <w:sz w:val="24"/>
                <w:szCs w:val="24"/>
                <w:lang w:eastAsia="en-GB"/>
              </w:rPr>
              <w:t>7</w:t>
            </w:r>
            <w:r w:rsidR="006B40AB">
              <w:rPr>
                <w:rFonts w:ascii="Calibri" w:eastAsia="Times New Roman" w:hAnsi="Calibri" w:cs="Calibri"/>
                <w:b/>
                <w:bCs/>
                <w:color w:val="000000"/>
                <w:sz w:val="24"/>
                <w:szCs w:val="24"/>
                <w:lang w:eastAsia="en-GB"/>
              </w:rPr>
              <w:t>1</w:t>
            </w:r>
          </w:p>
        </w:tc>
      </w:tr>
      <w:tr w:rsidR="00857B14" w:rsidRPr="00212580" w14:paraId="567C77B1" w14:textId="77777777" w:rsidTr="00634B82">
        <w:trPr>
          <w:trHeight w:val="900"/>
        </w:trPr>
        <w:tc>
          <w:tcPr>
            <w:tcW w:w="7528" w:type="dxa"/>
            <w:shd w:val="clear" w:color="auto" w:fill="auto"/>
            <w:noWrap/>
            <w:vAlign w:val="center"/>
          </w:tcPr>
          <w:p w14:paraId="19DD595C" w14:textId="336EF865" w:rsidR="00857B14" w:rsidRPr="0059739A" w:rsidRDefault="00857B14" w:rsidP="00857B14">
            <w:pPr>
              <w:spacing w:after="0"/>
              <w:rPr>
                <w:rFonts w:ascii="Calibri" w:eastAsia="Times New Roman" w:hAnsi="Calibri" w:cs="Calibri"/>
                <w:color w:val="000000"/>
                <w:sz w:val="24"/>
                <w:szCs w:val="24"/>
                <w:lang w:eastAsia="en-GB"/>
              </w:rPr>
            </w:pPr>
            <w:r w:rsidRPr="0059739A">
              <w:rPr>
                <w:rFonts w:ascii="Calibri" w:eastAsia="Times New Roman" w:hAnsi="Calibri" w:cs="Calibri"/>
                <w:b/>
                <w:color w:val="000000"/>
                <w:sz w:val="24"/>
                <w:szCs w:val="24"/>
                <w:lang w:eastAsia="en-GB"/>
              </w:rPr>
              <w:t xml:space="preserve">Table </w:t>
            </w:r>
            <w:r w:rsidR="0020130E" w:rsidRPr="0059739A">
              <w:rPr>
                <w:rFonts w:ascii="Calibri" w:eastAsia="Times New Roman" w:hAnsi="Calibri" w:cs="Calibri"/>
                <w:b/>
                <w:color w:val="000000"/>
                <w:sz w:val="24"/>
                <w:szCs w:val="24"/>
                <w:lang w:eastAsia="en-GB"/>
              </w:rPr>
              <w:t>7</w:t>
            </w:r>
            <w:r w:rsidRPr="0059739A">
              <w:rPr>
                <w:rFonts w:ascii="Calibri" w:eastAsia="Times New Roman" w:hAnsi="Calibri" w:cs="Calibri"/>
                <w:b/>
                <w:color w:val="000000"/>
                <w:sz w:val="24"/>
                <w:szCs w:val="24"/>
                <w:lang w:eastAsia="en-GB"/>
              </w:rPr>
              <w:t>.</w:t>
            </w:r>
            <w:r w:rsidRPr="0059739A">
              <w:rPr>
                <w:rFonts w:ascii="Calibri" w:eastAsia="Times New Roman" w:hAnsi="Calibri" w:cs="Calibri"/>
                <w:color w:val="000000"/>
                <w:sz w:val="24"/>
                <w:szCs w:val="24"/>
                <w:lang w:eastAsia="en-GB"/>
              </w:rPr>
              <w:t xml:space="preserve"> </w:t>
            </w:r>
          </w:p>
          <w:p w14:paraId="3E486E72" w14:textId="3C7B217F" w:rsidR="00857B14" w:rsidRPr="0059739A" w:rsidRDefault="0020130E" w:rsidP="0020130E">
            <w:pPr>
              <w:rPr>
                <w:rFonts w:eastAsia="Times New Roman" w:cs="Times New Roman"/>
                <w:kern w:val="36"/>
                <w:sz w:val="24"/>
                <w:szCs w:val="24"/>
                <w:lang w:eastAsia="en-GB"/>
              </w:rPr>
            </w:pPr>
            <w:r w:rsidRPr="0059739A">
              <w:rPr>
                <w:sz w:val="24"/>
                <w:szCs w:val="24"/>
              </w:rPr>
              <w:t>Summary of Industry Sectors</w:t>
            </w:r>
          </w:p>
        </w:tc>
        <w:tc>
          <w:tcPr>
            <w:tcW w:w="2126" w:type="dxa"/>
            <w:shd w:val="clear" w:color="auto" w:fill="auto"/>
            <w:noWrap/>
            <w:vAlign w:val="center"/>
          </w:tcPr>
          <w:p w14:paraId="7BC1D7B0" w14:textId="48E22AE8" w:rsidR="00857B14" w:rsidRPr="0059739A" w:rsidRDefault="0059739A" w:rsidP="00857B14">
            <w:pPr>
              <w:spacing w:after="0"/>
              <w:jc w:val="center"/>
              <w:rPr>
                <w:rFonts w:ascii="Calibri" w:eastAsia="Times New Roman" w:hAnsi="Calibri" w:cs="Calibri"/>
                <w:b/>
                <w:bCs/>
                <w:color w:val="000000"/>
                <w:sz w:val="24"/>
                <w:szCs w:val="24"/>
                <w:lang w:eastAsia="en-GB"/>
              </w:rPr>
            </w:pPr>
            <w:r w:rsidRPr="0059739A">
              <w:rPr>
                <w:rFonts w:ascii="Calibri" w:eastAsia="Times New Roman" w:hAnsi="Calibri" w:cs="Calibri"/>
                <w:b/>
                <w:bCs/>
                <w:color w:val="000000"/>
                <w:sz w:val="24"/>
                <w:szCs w:val="24"/>
                <w:lang w:eastAsia="en-GB"/>
              </w:rPr>
              <w:t>7</w:t>
            </w:r>
            <w:r w:rsidR="006B40AB">
              <w:rPr>
                <w:rFonts w:ascii="Calibri" w:eastAsia="Times New Roman" w:hAnsi="Calibri" w:cs="Calibri"/>
                <w:b/>
                <w:bCs/>
                <w:color w:val="000000"/>
                <w:sz w:val="24"/>
                <w:szCs w:val="24"/>
                <w:lang w:eastAsia="en-GB"/>
              </w:rPr>
              <w:t>4</w:t>
            </w:r>
          </w:p>
        </w:tc>
      </w:tr>
    </w:tbl>
    <w:p w14:paraId="45E909D4" w14:textId="77777777" w:rsidR="00DD05C6" w:rsidRPr="00212580" w:rsidRDefault="00DD05C6">
      <w:pPr>
        <w:rPr>
          <w:sz w:val="24"/>
          <w:szCs w:val="24"/>
        </w:rPr>
      </w:pPr>
      <w:r w:rsidRPr="00212580">
        <w:rPr>
          <w:sz w:val="24"/>
          <w:szCs w:val="24"/>
        </w:rPr>
        <w:br w:type="page"/>
      </w:r>
    </w:p>
    <w:p w14:paraId="182AEAD3" w14:textId="77777777" w:rsidR="00C55467" w:rsidRPr="00212580" w:rsidRDefault="00C55467" w:rsidP="00A95935">
      <w:pPr>
        <w:spacing w:line="360" w:lineRule="auto"/>
        <w:jc w:val="both"/>
        <w:rPr>
          <w:b/>
          <w:sz w:val="24"/>
          <w:szCs w:val="24"/>
        </w:rPr>
        <w:sectPr w:rsidR="00C55467" w:rsidRPr="00212580" w:rsidSect="00B84784">
          <w:footerReference w:type="even" r:id="rId10"/>
          <w:footerReference w:type="default" r:id="rId11"/>
          <w:pgSz w:w="11906" w:h="16838"/>
          <w:pgMar w:top="1440" w:right="1440" w:bottom="1440" w:left="1440" w:header="708" w:footer="708" w:gutter="0"/>
          <w:pgNumType w:fmt="lowerRoman" w:start="1"/>
          <w:cols w:space="708"/>
          <w:titlePg/>
          <w:docGrid w:linePitch="360"/>
        </w:sectPr>
      </w:pPr>
    </w:p>
    <w:p w14:paraId="417F6E34" w14:textId="77777777" w:rsidR="001B61F5" w:rsidRPr="00212580" w:rsidRDefault="009A2A84" w:rsidP="00F121BC">
      <w:pPr>
        <w:pStyle w:val="Heading1"/>
        <w:spacing w:line="480" w:lineRule="auto"/>
        <w:jc w:val="both"/>
        <w:rPr>
          <w:szCs w:val="24"/>
        </w:rPr>
      </w:pPr>
      <w:bookmarkStart w:id="5" w:name="_Toc141646688"/>
      <w:r w:rsidRPr="00212580">
        <w:rPr>
          <w:szCs w:val="24"/>
        </w:rPr>
        <w:lastRenderedPageBreak/>
        <w:t>Abstract</w:t>
      </w:r>
      <w:bookmarkEnd w:id="5"/>
    </w:p>
    <w:p w14:paraId="1540E9BD" w14:textId="5F7A6A4A" w:rsidR="001B61F5" w:rsidRPr="00212580" w:rsidRDefault="007F6395" w:rsidP="00F121BC">
      <w:pPr>
        <w:spacing w:line="480" w:lineRule="auto"/>
        <w:jc w:val="both"/>
        <w:rPr>
          <w:sz w:val="24"/>
          <w:szCs w:val="24"/>
        </w:rPr>
      </w:pPr>
      <w:r>
        <w:rPr>
          <w:sz w:val="24"/>
          <w:szCs w:val="24"/>
        </w:rPr>
        <w:t xml:space="preserve">This </w:t>
      </w:r>
      <w:r w:rsidR="00576180">
        <w:rPr>
          <w:sz w:val="24"/>
          <w:szCs w:val="24"/>
        </w:rPr>
        <w:t>study</w:t>
      </w:r>
      <w:r>
        <w:rPr>
          <w:sz w:val="24"/>
          <w:szCs w:val="24"/>
        </w:rPr>
        <w:t xml:space="preserve"> </w:t>
      </w:r>
      <w:r w:rsidR="005C4D2B">
        <w:rPr>
          <w:sz w:val="24"/>
          <w:szCs w:val="24"/>
        </w:rPr>
        <w:t>investigates</w:t>
      </w:r>
      <w:r>
        <w:rPr>
          <w:sz w:val="24"/>
          <w:szCs w:val="24"/>
        </w:rPr>
        <w:t xml:space="preserve"> the</w:t>
      </w:r>
      <w:r w:rsidR="00AB1264">
        <w:rPr>
          <w:sz w:val="24"/>
          <w:szCs w:val="24"/>
        </w:rPr>
        <w:t xml:space="preserve"> financial</w:t>
      </w:r>
      <w:r>
        <w:rPr>
          <w:sz w:val="24"/>
          <w:szCs w:val="24"/>
        </w:rPr>
        <w:t xml:space="preserve"> impact of the </w:t>
      </w:r>
      <w:r w:rsidR="00F60E62">
        <w:rPr>
          <w:sz w:val="24"/>
          <w:szCs w:val="24"/>
        </w:rPr>
        <w:t>COVID-19 disease</w:t>
      </w:r>
      <w:r w:rsidR="00386A5B">
        <w:rPr>
          <w:sz w:val="24"/>
          <w:szCs w:val="24"/>
        </w:rPr>
        <w:t xml:space="preserve"> pandemic</w:t>
      </w:r>
      <w:r w:rsidR="00F60E62">
        <w:rPr>
          <w:sz w:val="24"/>
          <w:szCs w:val="24"/>
        </w:rPr>
        <w:t xml:space="preserve"> (caused by the SARS-CoV-2</w:t>
      </w:r>
      <w:r w:rsidR="00E11BF5">
        <w:rPr>
          <w:sz w:val="24"/>
          <w:szCs w:val="24"/>
        </w:rPr>
        <w:t xml:space="preserve"> virus)</w:t>
      </w:r>
      <w:r w:rsidR="005C4D2B">
        <w:rPr>
          <w:sz w:val="24"/>
          <w:szCs w:val="24"/>
        </w:rPr>
        <w:t xml:space="preserve"> on</w:t>
      </w:r>
      <w:r w:rsidR="00D44088">
        <w:rPr>
          <w:sz w:val="24"/>
          <w:szCs w:val="24"/>
        </w:rPr>
        <w:t xml:space="preserve"> </w:t>
      </w:r>
      <w:r w:rsidR="00AB1264">
        <w:rPr>
          <w:sz w:val="24"/>
          <w:szCs w:val="24"/>
        </w:rPr>
        <w:t xml:space="preserve">businesses within </w:t>
      </w:r>
      <w:r w:rsidR="00D44088">
        <w:rPr>
          <w:sz w:val="24"/>
          <w:szCs w:val="24"/>
        </w:rPr>
        <w:t xml:space="preserve">the sectors of the </w:t>
      </w:r>
      <w:r w:rsidR="00890316">
        <w:rPr>
          <w:sz w:val="24"/>
          <w:szCs w:val="24"/>
        </w:rPr>
        <w:t>United Kingdom (</w:t>
      </w:r>
      <w:r w:rsidR="00D44088">
        <w:rPr>
          <w:sz w:val="24"/>
          <w:szCs w:val="24"/>
        </w:rPr>
        <w:t>UK</w:t>
      </w:r>
      <w:r w:rsidR="00890316">
        <w:rPr>
          <w:sz w:val="24"/>
          <w:szCs w:val="24"/>
        </w:rPr>
        <w:t>)</w:t>
      </w:r>
      <w:r w:rsidR="00D44088">
        <w:rPr>
          <w:sz w:val="24"/>
          <w:szCs w:val="24"/>
        </w:rPr>
        <w:t xml:space="preserve"> economy. </w:t>
      </w:r>
      <w:r w:rsidR="00386A5B">
        <w:rPr>
          <w:sz w:val="24"/>
          <w:szCs w:val="24"/>
        </w:rPr>
        <w:t>With the onset of this pandemic</w:t>
      </w:r>
      <w:r w:rsidR="00890316">
        <w:rPr>
          <w:sz w:val="24"/>
          <w:szCs w:val="24"/>
        </w:rPr>
        <w:t>, the UK economy</w:t>
      </w:r>
      <w:r w:rsidR="00187240">
        <w:rPr>
          <w:sz w:val="24"/>
          <w:szCs w:val="24"/>
        </w:rPr>
        <w:t xml:space="preserve"> contracted by 10%</w:t>
      </w:r>
      <w:r w:rsidR="00812662">
        <w:rPr>
          <w:sz w:val="24"/>
          <w:szCs w:val="24"/>
        </w:rPr>
        <w:t xml:space="preserve"> and the business environment was severely affected by government mandated lockdowns/social restrictions</w:t>
      </w:r>
      <w:r w:rsidR="004D4E4E">
        <w:rPr>
          <w:sz w:val="24"/>
          <w:szCs w:val="24"/>
        </w:rPr>
        <w:t>.</w:t>
      </w:r>
      <w:r w:rsidR="00451681">
        <w:rPr>
          <w:sz w:val="24"/>
          <w:szCs w:val="24"/>
        </w:rPr>
        <w:t xml:space="preserve"> FTSE 250 index </w:t>
      </w:r>
      <w:r w:rsidR="00E427FC">
        <w:rPr>
          <w:sz w:val="24"/>
          <w:szCs w:val="24"/>
        </w:rPr>
        <w:t xml:space="preserve">companies </w:t>
      </w:r>
      <w:r w:rsidR="00451681">
        <w:rPr>
          <w:sz w:val="24"/>
          <w:szCs w:val="24"/>
        </w:rPr>
        <w:t>w</w:t>
      </w:r>
      <w:r w:rsidR="00E427FC">
        <w:rPr>
          <w:sz w:val="24"/>
          <w:szCs w:val="24"/>
        </w:rPr>
        <w:t>ere</w:t>
      </w:r>
      <w:r w:rsidR="00451681">
        <w:rPr>
          <w:sz w:val="24"/>
          <w:szCs w:val="24"/>
        </w:rPr>
        <w:t xml:space="preserve"> chosen </w:t>
      </w:r>
      <w:r w:rsidR="00E427FC">
        <w:rPr>
          <w:sz w:val="24"/>
          <w:szCs w:val="24"/>
        </w:rPr>
        <w:t xml:space="preserve">to comprise the analysis </w:t>
      </w:r>
      <w:r w:rsidR="00E4323D">
        <w:rPr>
          <w:sz w:val="24"/>
          <w:szCs w:val="24"/>
        </w:rPr>
        <w:t>due to their UK revenue focus.</w:t>
      </w:r>
      <w:r w:rsidR="00576180">
        <w:rPr>
          <w:sz w:val="24"/>
          <w:szCs w:val="24"/>
        </w:rPr>
        <w:t xml:space="preserve"> This study compiled company financial report</w:t>
      </w:r>
      <w:r w:rsidR="002E4DC8">
        <w:rPr>
          <w:sz w:val="24"/>
          <w:szCs w:val="24"/>
        </w:rPr>
        <w:t xml:space="preserve"> data</w:t>
      </w:r>
      <w:r w:rsidR="00576180">
        <w:rPr>
          <w:sz w:val="24"/>
          <w:szCs w:val="24"/>
        </w:rPr>
        <w:t xml:space="preserve"> for </w:t>
      </w:r>
      <w:r w:rsidR="004947FC">
        <w:rPr>
          <w:sz w:val="24"/>
          <w:szCs w:val="24"/>
        </w:rPr>
        <w:t xml:space="preserve">three years (2019-2021) </w:t>
      </w:r>
      <w:r w:rsidR="00C301A7">
        <w:rPr>
          <w:sz w:val="24"/>
          <w:szCs w:val="24"/>
        </w:rPr>
        <w:t xml:space="preserve">and conducted ratio analysis </w:t>
      </w:r>
      <w:r w:rsidR="00154BB4">
        <w:rPr>
          <w:sz w:val="24"/>
          <w:szCs w:val="24"/>
        </w:rPr>
        <w:t xml:space="preserve">before calculating </w:t>
      </w:r>
      <w:r w:rsidR="00B129EE">
        <w:rPr>
          <w:sz w:val="24"/>
          <w:szCs w:val="24"/>
        </w:rPr>
        <w:t xml:space="preserve">sector averages for the eleven FTSE 250 industry sectors. </w:t>
      </w:r>
      <w:r w:rsidR="00C52391">
        <w:rPr>
          <w:sz w:val="24"/>
          <w:szCs w:val="24"/>
        </w:rPr>
        <w:t xml:space="preserve">Our analysis </w:t>
      </w:r>
      <w:r w:rsidR="00FB3D61">
        <w:rPr>
          <w:sz w:val="24"/>
          <w:szCs w:val="24"/>
        </w:rPr>
        <w:t xml:space="preserve">showed </w:t>
      </w:r>
      <w:r w:rsidR="00C67657">
        <w:rPr>
          <w:sz w:val="24"/>
          <w:szCs w:val="24"/>
        </w:rPr>
        <w:t xml:space="preserve">a severe impact from COVID-19 </w:t>
      </w:r>
      <w:r w:rsidR="008B506F">
        <w:rPr>
          <w:sz w:val="24"/>
          <w:szCs w:val="24"/>
        </w:rPr>
        <w:t xml:space="preserve">for the </w:t>
      </w:r>
      <w:r w:rsidR="00516FEA">
        <w:rPr>
          <w:sz w:val="24"/>
          <w:szCs w:val="24"/>
        </w:rPr>
        <w:t>complete</w:t>
      </w:r>
      <w:r w:rsidR="008B506F">
        <w:rPr>
          <w:sz w:val="24"/>
          <w:szCs w:val="24"/>
        </w:rPr>
        <w:t xml:space="preserve"> FTSE 250, with worsening financial positions in </w:t>
      </w:r>
      <w:r w:rsidR="00074968">
        <w:rPr>
          <w:sz w:val="24"/>
          <w:szCs w:val="24"/>
        </w:rPr>
        <w:t xml:space="preserve">2020 before recovery in 2021. At a sector level our analysis </w:t>
      </w:r>
      <w:r w:rsidR="00685E60">
        <w:rPr>
          <w:sz w:val="24"/>
          <w:szCs w:val="24"/>
        </w:rPr>
        <w:t>presented</w:t>
      </w:r>
      <w:r w:rsidR="00074968">
        <w:rPr>
          <w:sz w:val="24"/>
          <w:szCs w:val="24"/>
        </w:rPr>
        <w:t xml:space="preserve"> diverse</w:t>
      </w:r>
      <w:r w:rsidR="00F13E13">
        <w:rPr>
          <w:sz w:val="24"/>
          <w:szCs w:val="24"/>
        </w:rPr>
        <w:t xml:space="preserve"> impacts</w:t>
      </w:r>
      <w:r w:rsidR="00074968">
        <w:rPr>
          <w:sz w:val="24"/>
          <w:szCs w:val="24"/>
        </w:rPr>
        <w:t xml:space="preserve"> </w:t>
      </w:r>
      <w:r w:rsidR="00FB3D61">
        <w:rPr>
          <w:sz w:val="24"/>
          <w:szCs w:val="24"/>
        </w:rPr>
        <w:t>for most sectors due to the pandemic,</w:t>
      </w:r>
      <w:r w:rsidR="00F13E13">
        <w:rPr>
          <w:sz w:val="24"/>
          <w:szCs w:val="24"/>
        </w:rPr>
        <w:t xml:space="preserve"> with </w:t>
      </w:r>
      <w:r w:rsidR="003B500D">
        <w:rPr>
          <w:sz w:val="24"/>
          <w:szCs w:val="24"/>
        </w:rPr>
        <w:t xml:space="preserve">three showing highly negative </w:t>
      </w:r>
      <w:r w:rsidR="001A5E99">
        <w:rPr>
          <w:sz w:val="24"/>
          <w:szCs w:val="24"/>
        </w:rPr>
        <w:t>results</w:t>
      </w:r>
      <w:r w:rsidR="003B500D">
        <w:rPr>
          <w:sz w:val="24"/>
          <w:szCs w:val="24"/>
        </w:rPr>
        <w:t xml:space="preserve">, four </w:t>
      </w:r>
      <w:r w:rsidR="00516FEA">
        <w:rPr>
          <w:sz w:val="24"/>
          <w:szCs w:val="24"/>
        </w:rPr>
        <w:t>showing</w:t>
      </w:r>
      <w:r w:rsidR="00685E60">
        <w:rPr>
          <w:sz w:val="24"/>
          <w:szCs w:val="24"/>
        </w:rPr>
        <w:t xml:space="preserve"> </w:t>
      </w:r>
      <w:r w:rsidR="001A5E99">
        <w:rPr>
          <w:sz w:val="24"/>
          <w:szCs w:val="24"/>
        </w:rPr>
        <w:t>less</w:t>
      </w:r>
      <w:r w:rsidR="00832326">
        <w:rPr>
          <w:sz w:val="24"/>
          <w:szCs w:val="24"/>
        </w:rPr>
        <w:t xml:space="preserve"> severe</w:t>
      </w:r>
      <w:r w:rsidR="001A5E99">
        <w:rPr>
          <w:sz w:val="24"/>
          <w:szCs w:val="24"/>
        </w:rPr>
        <w:t xml:space="preserve"> negative results and </w:t>
      </w:r>
      <w:r w:rsidR="00832326">
        <w:rPr>
          <w:sz w:val="24"/>
          <w:szCs w:val="24"/>
        </w:rPr>
        <w:t xml:space="preserve">four showing positive results over the study period. </w:t>
      </w:r>
      <w:r w:rsidR="000473E9">
        <w:rPr>
          <w:sz w:val="24"/>
          <w:szCs w:val="24"/>
        </w:rPr>
        <w:t>We conclude that most sectors within the UK economy</w:t>
      </w:r>
      <w:r w:rsidR="00CE6861">
        <w:rPr>
          <w:sz w:val="24"/>
          <w:szCs w:val="24"/>
        </w:rPr>
        <w:t xml:space="preserve"> were impacted by the unexpected nature of the pandemic</w:t>
      </w:r>
      <w:r w:rsidR="00B60EDC">
        <w:rPr>
          <w:sz w:val="24"/>
          <w:szCs w:val="24"/>
        </w:rPr>
        <w:t>.</w:t>
      </w:r>
      <w:r w:rsidR="00CE6861">
        <w:rPr>
          <w:sz w:val="24"/>
          <w:szCs w:val="24"/>
        </w:rPr>
        <w:t xml:space="preserve"> </w:t>
      </w:r>
      <w:r w:rsidR="00B60EDC">
        <w:rPr>
          <w:sz w:val="24"/>
          <w:szCs w:val="24"/>
        </w:rPr>
        <w:t>C</w:t>
      </w:r>
      <w:r w:rsidR="00CE6861">
        <w:rPr>
          <w:sz w:val="24"/>
          <w:szCs w:val="24"/>
        </w:rPr>
        <w:t xml:space="preserve">ompanies took </w:t>
      </w:r>
      <w:r w:rsidR="00B60EDC">
        <w:rPr>
          <w:sz w:val="24"/>
          <w:szCs w:val="24"/>
        </w:rPr>
        <w:t>financial</w:t>
      </w:r>
      <w:r w:rsidR="002F7A49">
        <w:rPr>
          <w:sz w:val="24"/>
          <w:szCs w:val="24"/>
        </w:rPr>
        <w:t xml:space="preserve"> management decisions to ensure that the</w:t>
      </w:r>
      <w:r w:rsidR="00D02FE5">
        <w:rPr>
          <w:sz w:val="24"/>
          <w:szCs w:val="24"/>
        </w:rPr>
        <w:t xml:space="preserve">y </w:t>
      </w:r>
      <w:r w:rsidR="007808B5">
        <w:rPr>
          <w:sz w:val="24"/>
          <w:szCs w:val="24"/>
        </w:rPr>
        <w:t xml:space="preserve">had the </w:t>
      </w:r>
      <w:r w:rsidR="000B3F9B">
        <w:rPr>
          <w:sz w:val="24"/>
          <w:szCs w:val="24"/>
        </w:rPr>
        <w:t xml:space="preserve">liquidity to </w:t>
      </w:r>
      <w:r w:rsidR="00370E0E">
        <w:rPr>
          <w:sz w:val="24"/>
          <w:szCs w:val="24"/>
        </w:rPr>
        <w:t>sustain any losses taken</w:t>
      </w:r>
      <w:r w:rsidR="00F006CE">
        <w:rPr>
          <w:sz w:val="24"/>
          <w:szCs w:val="24"/>
        </w:rPr>
        <w:t xml:space="preserve"> and maintain a stable financial position. </w:t>
      </w:r>
      <w:r w:rsidR="00922523">
        <w:rPr>
          <w:sz w:val="24"/>
          <w:szCs w:val="24"/>
        </w:rPr>
        <w:t xml:space="preserve">We make suggestions on further research avenues to build on this </w:t>
      </w:r>
      <w:r w:rsidR="006F72BE">
        <w:rPr>
          <w:sz w:val="24"/>
          <w:szCs w:val="24"/>
        </w:rPr>
        <w:t>high-level</w:t>
      </w:r>
      <w:r w:rsidR="00922523">
        <w:rPr>
          <w:sz w:val="24"/>
          <w:szCs w:val="24"/>
        </w:rPr>
        <w:t xml:space="preserve"> sectoral study to increase data resolution and wider international economy </w:t>
      </w:r>
      <w:r w:rsidR="006F72BE">
        <w:rPr>
          <w:sz w:val="24"/>
          <w:szCs w:val="24"/>
        </w:rPr>
        <w:t>comparison.</w:t>
      </w:r>
      <w:r w:rsidR="00580A1C" w:rsidRPr="00212580">
        <w:rPr>
          <w:sz w:val="24"/>
          <w:szCs w:val="24"/>
        </w:rPr>
        <w:br w:type="page"/>
      </w:r>
    </w:p>
    <w:p w14:paraId="7653AECE" w14:textId="77777777" w:rsidR="00281078" w:rsidRPr="00F935C3" w:rsidRDefault="005A72D3" w:rsidP="00F935C3">
      <w:pPr>
        <w:pStyle w:val="Heading1"/>
        <w:numPr>
          <w:ilvl w:val="0"/>
          <w:numId w:val="3"/>
        </w:numPr>
        <w:spacing w:line="480" w:lineRule="auto"/>
        <w:jc w:val="both"/>
        <w:rPr>
          <w:szCs w:val="24"/>
        </w:rPr>
      </w:pPr>
      <w:bookmarkStart w:id="6" w:name="_Toc141646689"/>
      <w:r w:rsidRPr="00F935C3">
        <w:rPr>
          <w:szCs w:val="24"/>
        </w:rPr>
        <w:lastRenderedPageBreak/>
        <w:t>Introduction</w:t>
      </w:r>
      <w:bookmarkEnd w:id="6"/>
    </w:p>
    <w:p w14:paraId="0366090E" w14:textId="400CE4C4" w:rsidR="00372AE8" w:rsidRPr="00F935C3" w:rsidRDefault="007365C9" w:rsidP="00F935C3">
      <w:pPr>
        <w:pStyle w:val="Heading2"/>
        <w:numPr>
          <w:ilvl w:val="1"/>
          <w:numId w:val="3"/>
        </w:numPr>
        <w:spacing w:line="480" w:lineRule="auto"/>
        <w:jc w:val="both"/>
        <w:rPr>
          <w:szCs w:val="24"/>
        </w:rPr>
      </w:pPr>
      <w:bookmarkStart w:id="7" w:name="_Toc141646690"/>
      <w:r w:rsidRPr="00F935C3">
        <w:rPr>
          <w:szCs w:val="24"/>
        </w:rPr>
        <w:t>Study Foundation</w:t>
      </w:r>
      <w:bookmarkEnd w:id="7"/>
    </w:p>
    <w:p w14:paraId="05110109" w14:textId="7E5A8369" w:rsidR="007365C9" w:rsidRPr="00F935C3" w:rsidRDefault="007365C9" w:rsidP="00F935C3">
      <w:pPr>
        <w:spacing w:line="480" w:lineRule="auto"/>
        <w:jc w:val="both"/>
        <w:rPr>
          <w:sz w:val="24"/>
          <w:szCs w:val="24"/>
        </w:rPr>
      </w:pPr>
      <w:r w:rsidRPr="00F935C3">
        <w:rPr>
          <w:sz w:val="24"/>
          <w:szCs w:val="24"/>
        </w:rPr>
        <w:t xml:space="preserve">The COVID-19 pandemic began in January 2020 was officially designated and named in May 2020, by this stage the virus and its impacts on both health and economies had already spread around the globe as national and transnational bodies sought to fight and contain both the virus and its associated effects </w:t>
      </w:r>
      <w:r w:rsidRPr="00F935C3">
        <w:rPr>
          <w:sz w:val="24"/>
          <w:szCs w:val="24"/>
        </w:rPr>
        <w:fldChar w:fldCharType="begin"/>
      </w:r>
      <w:r w:rsidR="003A2C2D">
        <w:rPr>
          <w:sz w:val="24"/>
          <w:szCs w:val="24"/>
        </w:rPr>
        <w:instrText xml:space="preserve"> ADDIN ZOTERO_ITEM CSL_CITATION {"citationID":"BnJrcPmf","properties":{"unsorted":true,"formattedCitation":"(Liebowitz, 2020; Yang et al., 2020; Byttebier, 2022)","plainCitation":"(Liebowitz, 2020; Yang et al., 2020; Byttebier, 2022)","noteIndex":0},"citationItems":[{"id":903,"uris":["http://zotero.org/users/local/RRCsWsp6/items/YDYMIWEH","http://zotero.org/users/local/RRCsWsp6/items/K9P9VNLI"],"itemData":{"id":903,"type":"book","event-place":"Milton, UNITED KINGDOM","ISBN":"978-1-00-020391-2","publisher":"Auerbach Publishers, Incorporated","publisher-place":"Milton, UNITED KINGDOM","source":"ProQuest Ebook Central","title":"The Business of Pandemics: The COVID-19 Story","title-short":"The Business of Pandemics","URL":"http://ebookcentral.proquest.com/lib/trinity/detail.action?docID=6369453","author":[{"family":"Liebowitz","given":"Jay"}],"accessed":{"date-parts":[["2023",7,17]]},"issued":{"date-parts":[["2020"]]}},"label":"page"},{"id":900,"uris":["http://zotero.org/users/local/RRCsWsp6/items/J2PNEPHD"],"itemData":{"id":900,"type":"article-journal","abstract":"The 2019-nCoV is officially called SARS-CoV-2 and the disease is named COVID-19. This viral epidemic in China has led to the deaths of over 1800 people, mostly elderly or those with an underlying chronic disease or immunosuppressed state. This is the third serious Coronavirus outbreak in less than 20 years, following SARS in 2002–2003 and MERS in 2012. While human strains of Coronavirus are associated with about 15% of cases of the common cold, the SARS-CoV-2 may present with varying degrees of severity, from flu-like symptoms to death. It is currently believed that this deadly Coronavirus strain originated from wild animals at the Huanan market in Wuhan, a city in Hubei province. Bats, snakes and pangolins have been cited as potential carriers based on the sequence homology of CoV isolated from these animals and the viral nucleic acids of the virus isolated from SARS-CoV-2 infected patients. Extreme quarantine measures, including sealing off large cities, closing borders and confining people to their homes, were instituted in January 2020 to prevent spread of the virus, but by that time much of the damage had been done, as human-human transmission became evident. While these quarantine measures are necessary and have prevented a historical disaster along the lines of the Spanish flu, earlier recognition and earlier implementation of quarantine measures may have been even more effective. Lessons learned from SARS resulted in faster determination of the nucleic acid sequence and a more robust quarantine strategy. However, it is clear that finding an effective antiviral and developing a vaccine are still significant challenges. The costs of the epidemic are not limited to medical aspects, as the virus has led to significant sociological, psychological and economic effects globally. Unfortunately, emergence of SARS-CoV-2 has led to numerous reports of Asians being subjected to racist behavior and hate crimes across the world.","container-title":"Journal of Autoimmunity","DOI":"10.1016/j.jaut.2020.102434","ISSN":"0896-8411","journalAbbreviation":"Journal of Autoimmunity","language":"en","page":"102434","source":"ScienceDirect","title":"The deadly coronaviruses: The 2003 SARS pandemic and the 2020 novel coronavirus epidemic in China","title-short":"The deadly coronaviruses","volume":"109","author":[{"family":"Yang","given":"Yongshi"},{"family":"Peng","given":"Fujun"},{"family":"Wang","given":"Runsheng"},{"family":"Guan","given":"Kai"},{"family":"Jiang","given":"Taijiao"},{"family":"Xu","given":"Guogang"},{"family":"Sun","given":"Jinlyu"},{"family":"Chang","given":"Christopher"}],"issued":{"date-parts":[["2020",5,1]]}},"label":"page"},{"id":909,"uris":["http://zotero.org/users/local/RRCsWsp6/items/6NITXQKN"],"itemData":{"id":909,"type":"book","abstract":"This open access book provides a comprehensive analysis of the socioeconomic determinants of Covid-19. From the end of 2019 until presently, the world has been ravaged by the Covid-19 pandemic. Although the cause of this is (obviously) a virus, the extent to which this virus spread, and therefore the number of infections and deaths, was largely determined by socio-economic factors. From this, it follows that the course of the pandemic varies greatly from one country to another. This observation applies both to countries’ resilience to such a pandemic (which is mainly rooted in the period preceding the outbreak of the virus) and to the way in which countries have reacted to the virus (including the political choices on how to respond). Meanwhile, research has made it clear that the nature of this response (e.g., elimination policy, mitigation policy, and proceeding herd immunity) was, on the one hand, strongly determined by political and ideological factors and, on the other hand, was highly influential in the factors of success or failure in combating the pandemic. The book focuses on the situation in a number of Western regions (notably the USA, the UK, and the EU and its Member States). The author addresses the reasons why in many Western countries both pandemic prevention and response policies to Covid-19 have failed. The book concludes with recommendations concerning the rearrangement of the socio-economic order that could increase the resilience of (Western) societies against such pandemics.","ISBN":"978-3-030-92901-5","language":"English","note":"Accepted: 2022-05-13T12:18:54Z\nDOI: 10.1007/978-3-030-92901-5","publisher":"Springer Nature","source":"library.oapen.org","title":"Covid-19 and Capitalism: Success and Failure of the Legal Methods for Dealing with a Pandemic","title-short":"Covid-19 and Capitalism","URL":"https://library.oapen.org/handle/20.500.12657/54424","author":[{"family":"Byttebier","given":"Koen"}],"accessed":{"date-parts":[["2023",7,17]]},"issued":{"date-parts":[["2022"]]}},"label":"page"}],"schema":"https://github.com/citation-style-language/schema/raw/master/csl-citation.json"} </w:instrText>
      </w:r>
      <w:r w:rsidRPr="00F935C3">
        <w:rPr>
          <w:sz w:val="24"/>
          <w:szCs w:val="24"/>
        </w:rPr>
        <w:fldChar w:fldCharType="separate"/>
      </w:r>
      <w:r w:rsidR="003A2C2D">
        <w:rPr>
          <w:rFonts w:ascii="Calibri" w:cs="Calibri"/>
          <w:sz w:val="24"/>
        </w:rPr>
        <w:t>(Liebowitz, 2020; Yang et al., 2020; Byttebier, 2022)</w:t>
      </w:r>
      <w:r w:rsidRPr="00F935C3">
        <w:rPr>
          <w:sz w:val="24"/>
          <w:szCs w:val="24"/>
        </w:rPr>
        <w:fldChar w:fldCharType="end"/>
      </w:r>
      <w:r w:rsidRPr="00F935C3">
        <w:rPr>
          <w:sz w:val="24"/>
          <w:szCs w:val="24"/>
        </w:rPr>
        <w:t>. The UK was affected relatively early in the pandemic compared to other countries, recording its first cases on the 30</w:t>
      </w:r>
      <w:r w:rsidRPr="00F935C3">
        <w:rPr>
          <w:sz w:val="24"/>
          <w:szCs w:val="24"/>
          <w:vertAlign w:val="superscript"/>
        </w:rPr>
        <w:t>th</w:t>
      </w:r>
      <w:r w:rsidRPr="00F935C3">
        <w:rPr>
          <w:sz w:val="24"/>
          <w:szCs w:val="24"/>
        </w:rPr>
        <w:t xml:space="preserve"> January 2020 </w:t>
      </w:r>
      <w:r w:rsidRPr="00F935C3">
        <w:rPr>
          <w:sz w:val="24"/>
          <w:szCs w:val="24"/>
        </w:rPr>
        <w:fldChar w:fldCharType="begin"/>
      </w:r>
      <w:r w:rsidR="007931FB">
        <w:rPr>
          <w:sz w:val="24"/>
          <w:szCs w:val="24"/>
        </w:rPr>
        <w:instrText xml:space="preserve"> ADDIN ZOTERO_ITEM CSL_CITATION {"citationID":"3z0WLrcD","properties":{"formattedCitation":"(Cooper et al., 2023)","plainCitation":"(Cooper et al., 2023)","noteIndex":0},"citationItems":[{"id":907,"uris":["http://zotero.org/users/local/RRCsWsp6/items/IGHKZXDT"],"itemData":{"id":907,"type":"book","ISBN":"978-1-350-28341-1","note":"DOI: 10.5040/9781350283442","publisher":"Bloomsbury Academic","source":"DOI.org (Crossref)","title":"COVID-19 and Shame: Political Emotions and Public Health in the Uk","title-short":"COVID-19 and Shame","URL":"http://www.bloomsburycollections.com/book/covid-19-and-shame-political-emotions-and-public-health-in-the-uk","author":[{"family":"Cooper","given":"Fred"},{"family":"Dolezal And","given":"Luna"},{"family":"Rose","given":"Arthur"}],"accessed":{"date-parts":[["2023",7,17]]},"issued":{"date-parts":[["2023"]]}}}],"schema":"https://github.com/citation-style-language/schema/raw/master/csl-citation.json"} </w:instrText>
      </w:r>
      <w:r w:rsidRPr="00F935C3">
        <w:rPr>
          <w:sz w:val="24"/>
          <w:szCs w:val="24"/>
        </w:rPr>
        <w:fldChar w:fldCharType="separate"/>
      </w:r>
      <w:r w:rsidR="007931FB">
        <w:rPr>
          <w:noProof/>
          <w:sz w:val="24"/>
          <w:szCs w:val="24"/>
        </w:rPr>
        <w:t>(Cooper et al., 2023)</w:t>
      </w:r>
      <w:r w:rsidRPr="00F935C3">
        <w:rPr>
          <w:sz w:val="24"/>
          <w:szCs w:val="24"/>
        </w:rPr>
        <w:fldChar w:fldCharType="end"/>
      </w:r>
      <w:r w:rsidRPr="00F935C3">
        <w:rPr>
          <w:sz w:val="24"/>
          <w:szCs w:val="24"/>
        </w:rPr>
        <w:t xml:space="preserve">. In April of 2020, the International Monetary Fund (IMF) responded to the onset of the COVID-19 pandemic by projecting a severe economic downswing; with impacts on consumption, logistics manufacturing and investment activities, with global negative growth rates (-3%) that would be stronger than the 2007 to 2009 financial crisis </w:t>
      </w:r>
      <w:r w:rsidRPr="00F935C3">
        <w:rPr>
          <w:sz w:val="24"/>
          <w:szCs w:val="24"/>
        </w:rPr>
        <w:fldChar w:fldCharType="begin"/>
      </w:r>
      <w:r w:rsidRPr="00F935C3">
        <w:rPr>
          <w:sz w:val="24"/>
          <w:szCs w:val="24"/>
        </w:rPr>
        <w:instrText xml:space="preserve"> ADDIN ZOTERO_ITEM CSL_CITATION {"citationID":"ZhmuHXSo","properties":{"formattedCitation":"(International Monetary Fund, 2020)","plainCitation":"(International Monetary Fund, 2020)","noteIndex":0},"citationItems":[{"id":905,"uris":["http://zotero.org/users/local/RRCsWsp6/items/9IJV7W37"],"itemData":{"id":905,"type":"report","abstract":"The COVID-19 pandemic is inflicting high and rising human costs worldwide, and the necessary protection measures are severely impacting economic activity. As a result of the pandemic, the global economy is projected to contract sharply by –3 percent in 2020, much worse than during the 2008–09 financial crisis. In a baseline scenario--which assumes that the pandemic fades in the second half of 2020 and containment efforts can be gradually unwound—the global economy is projected to grow by 5.8 percent in 2021 as economic activity normalizes, helped by policy support.","event-place":"Washington DC","language":"ENG","publisher-place":"Washington DC","title":"World Economic Outlook: The Great Lockdown","title-short":"World Economic Outlook, April 2020","URL":"https://www.imf.org/en/Publications/WEO/Issues/2020/04/14/weo-april-2020","author":[{"family":"International Monetary Fund","given":""}],"accessed":{"date-parts":[["2023",7,17]]},"issued":{"date-parts":[["2020",4]]}}}],"schema":"https://github.com/citation-style-language/schema/raw/master/csl-citation.json"} </w:instrText>
      </w:r>
      <w:r w:rsidRPr="00F935C3">
        <w:rPr>
          <w:sz w:val="24"/>
          <w:szCs w:val="24"/>
        </w:rPr>
        <w:fldChar w:fldCharType="separate"/>
      </w:r>
      <w:r w:rsidR="007931FB">
        <w:rPr>
          <w:rFonts w:ascii="Calibri" w:cs="Calibri"/>
          <w:sz w:val="24"/>
          <w:szCs w:val="24"/>
        </w:rPr>
        <w:t>(International Monetary Fund, 2020)</w:t>
      </w:r>
      <w:r w:rsidRPr="00F935C3">
        <w:rPr>
          <w:sz w:val="24"/>
          <w:szCs w:val="24"/>
        </w:rPr>
        <w:fldChar w:fldCharType="end"/>
      </w:r>
      <w:r w:rsidRPr="00F935C3">
        <w:rPr>
          <w:sz w:val="24"/>
          <w:szCs w:val="24"/>
        </w:rPr>
        <w:t xml:space="preserve">. The United Kingdom (UK) economy showed a contraction of 10% during 2020, however this cannot all not be attributed to the COVID-19 pandemic, as factors such as Brexit implementation will have also had an impact on the wider economy </w:t>
      </w:r>
      <w:r w:rsidRPr="00F935C3">
        <w:rPr>
          <w:sz w:val="24"/>
          <w:szCs w:val="24"/>
        </w:rPr>
        <w:fldChar w:fldCharType="begin"/>
      </w:r>
      <w:r w:rsidRPr="00F935C3">
        <w:rPr>
          <w:sz w:val="24"/>
          <w:szCs w:val="24"/>
        </w:rPr>
        <w:instrText xml:space="preserve"> ADDIN ZOTERO_ITEM CSL_CITATION {"citationID":"PAS02jRv","properties":{"formattedCitation":"(Byttebier, 2022)","plainCitation":"(Byttebier, 2022)","noteIndex":0},"citationItems":[{"id":909,"uris":["http://zotero.org/users/local/RRCsWsp6/items/6NITXQKN"],"itemData":{"id":909,"type":"book","abstract":"This open access book provides a comprehensive analysis of the socioeconomic determinants of Covid-19. From the end of 2019 until presently, the world has been ravaged by the Covid-19 pandemic. Although the cause of this is (obviously) a virus, the extent to which this virus spread, and therefore the number of infections and deaths, was largely determined by socio-economic factors. From this, it follows that the course of the pandemic varies greatly from one country to another. This observation applies both to countries’ resilience to such a pandemic (which is mainly rooted in the period preceding the outbreak of the virus) and to the way in which countries have reacted to the virus (including the political choices on how to respond). Meanwhile, research has made it clear that the nature of this response (e.g., elimination policy, mitigation policy, and proceeding herd immunity) was, on the one hand, strongly determined by political and ideological factors and, on the other hand, was highly influential in the factors of success or failure in combating the pandemic. The book focuses on the situation in a number of Western regions (notably the USA, the UK, and the EU and its Member States). The author addresses the reasons why in many Western countries both pandemic prevention and response policies to Covid-19 have failed. The book concludes with recommendations concerning the rearrangement of the socio-economic order that could increase the resilience of (Western) societies against such pandemics.","ISBN":"978-3-030-92901-5","language":"English","note":"Accepted: 2022-05-13T12:18:54Z\nDOI: 10.1007/978-3-030-92901-5","publisher":"Springer Nature","source":"library.oapen.org","title":"Covid-19 and Capitalism: Success and Failure of the Legal Methods for Dealing with a Pandemic","title-short":"Covid-19 and Capitalism","URL":"https://library.oapen.org/handle/20.500.12657/54424","author":[{"family":"Byttebier","given":"Koen"}],"accessed":{"date-parts":[["2023",7,17]]},"issued":{"date-parts":[["2022"]]}}}],"schema":"https://github.com/citation-style-language/schema/raw/master/csl-citation.json"} </w:instrText>
      </w:r>
      <w:r w:rsidRPr="00F935C3">
        <w:rPr>
          <w:sz w:val="24"/>
          <w:szCs w:val="24"/>
        </w:rPr>
        <w:fldChar w:fldCharType="separate"/>
      </w:r>
      <w:r w:rsidR="007931FB">
        <w:rPr>
          <w:noProof/>
          <w:sz w:val="24"/>
          <w:szCs w:val="24"/>
        </w:rPr>
        <w:t>(Byttebier, 2022)</w:t>
      </w:r>
      <w:r w:rsidRPr="00F935C3">
        <w:rPr>
          <w:sz w:val="24"/>
          <w:szCs w:val="24"/>
        </w:rPr>
        <w:fldChar w:fldCharType="end"/>
      </w:r>
      <w:r w:rsidRPr="00F935C3">
        <w:rPr>
          <w:sz w:val="24"/>
          <w:szCs w:val="24"/>
        </w:rPr>
        <w:t xml:space="preserve">. The connection between global macroeconomic risks and the effect of these on stock market performance has been well documented, including in relation to the COVID-19 pandemic </w:t>
      </w:r>
      <w:r w:rsidRPr="00F935C3">
        <w:rPr>
          <w:sz w:val="24"/>
          <w:szCs w:val="24"/>
        </w:rPr>
        <w:fldChar w:fldCharType="begin"/>
      </w:r>
      <w:r w:rsidR="00636C5A">
        <w:rPr>
          <w:sz w:val="24"/>
          <w:szCs w:val="24"/>
        </w:rPr>
        <w:instrText xml:space="preserve"> ADDIN ZOTERO_ITEM CSL_CITATION {"citationID":"xHUNlwkV","properties":{"unsorted":true,"formattedCitation":"(Hondroyiannis and Papapetrou, 2001; Cao et al., 2021; G\\uc0\\u252{}ng\\uc0\\u246{}r and G\\uc0\\u252{}ng\\uc0\\u246{}r, 2022)","plainCitation":"(Hondroyiannis and Papapetrou, 2001; Cao et al., 2021; Güngör and Güngör, 2022)","noteIndex":0},"citationItems":[{"id":924,"uris":["http://zotero.org/users/local/RRCsWsp6/items/F9UCL38J"],"itemData":{"id":924,"type":"article-journal","abstract":"The paper studies the dynamic interactions among indicators of economic activity, such as industrial production, interest rate and exchange rate, the performance of the foreign stock market, oil prices, and stock returns to examine whether economic activity movements affect the performance of the stock market for Greece. The empirical evidence suggests that stock returns do not lead changes in real economic activity while the macroeconomic activity and foreign stock market changes explain only partially stock market movements. Oil price changes explain stock price movements and have a negative impact on macroeconomic activity.","container-title":"Journal of Economics and Finance","DOI":"10.1007/BF02759685","ISSN":"1938-9744","issue":"1","journalAbbreviation":"J Econ Finan","language":"en","page":"33-49","source":"Springer Link","title":"Macroeconomic influences on the stock market","volume":"25","author":[{"family":"Hondroyiannis","given":"George"},{"family":"Papapetrou","given":"Evangelia"}],"issued":{"date-parts":[["2001",3,1]]}},"label":"page"},{"id":921,"uris":["http://zotero.org/users/local/RRCsWsp6/items/7FIVUING"],"itemData":{"id":921,"type":"article-journal","abstract":"We perform a panel data analysis of 14 daily stock market indices during 01/21/2020 – 06/30/2020 to document a stock market index's negative responsiveness to Covid-19's spread variations. We find that a stock market index's elasticity estimate is −0.028 (p-value &lt;0.01) for local cumulative confirmed cases. As a stock market index tends to move with Covid-19's local and non-local spreads, international efforts of containment are expected to pare stock market losses.","container-title":"Applied Economics Letters","DOI":"10.1080/13504851.2020.1803481","ISSN":"13504851","issue":"14","note":"publisher: Routledge","page":"1157-1161","source":"EBSCOhost","title":"Covid-19's adverse effects on a stock market index","volume":"28","author":[{"family":"Cao","given":"Kang Hua"},{"family":"Li","given":"Qiqi"},{"family":"Liu","given":"Yun"},{"family":"Woo","given":"Chi-Keung"}],"issued":{"date-parts":[["2021",8]]}},"label":"page"},{"id":923,"uris":["http://zotero.org/users/local/RRCsWsp6/items/3SQANW4N"],"itemData":{"id":923,"type":"chapter","abstract":"This chapter examines the time-varying linkages between global macroeconomic risks and stock market returns of developed and emerging countries. For this purpose, the authors estimate the Diagonal-BEKK GARCH models for the period from January 5th, 2015 to January 4th, 2022. To consider the impact of a black swan event, the authors also estimate the models for the sub-periods: the pre-vaccination pandemic period and the COVID-19 pandemic period. Empirical findings suggest negative conditional covariances amongst the macro risks and the stock market performance; however, the magnitudes of those covariances differ by development levels of stock markets and time horizons. In addition, those conditional covariances exhibit significant volatility clustering. Furthermore, this study puts forward sudden slumps and spikes in the conditional covariances between the macro risks and the stock market returns at the onset of the COVID-19 pandemic; however, these fluctuations are sudden and short-lived.","container-title":"Handbook of Research on Stock Market Investment Practices and Portfolio Management","event-place":"Hershey, PA, USA","ISBN":"978-1-66845-528-9","note":"DOI: 10.4018/978-1-6684-5528-9.ch015","page":"283-300","publisher":"IGI Global","publisher-place":"Hershey, PA, USA","title":"The Dynamic Connectedness Between Global Macroeconomic Risks and International Stock Markets: A Diagonal BEKK Approach","URL":"https://services.igi-global.com/resolvedoi/resolve.aspx?doi=10.4018/978-1-6684-5528-9.ch015","editor":[{"family":"Sharma","given":"Renuka"},{"family":"Mehta","given":"Kiran"}],"author":[{"family":"Güngör","given":"Arifenur"},{"family":"Güngör","given":"Mahmut Sami"}],"issued":{"date-parts":[["2022"]]}},"label":"page"}],"schema":"https://github.com/citation-style-language/schema/raw/master/csl-citation.json"} </w:instrText>
      </w:r>
      <w:r w:rsidRPr="00F935C3">
        <w:rPr>
          <w:sz w:val="24"/>
          <w:szCs w:val="24"/>
        </w:rPr>
        <w:fldChar w:fldCharType="separate"/>
      </w:r>
      <w:r w:rsidR="00636C5A" w:rsidRPr="00636C5A">
        <w:rPr>
          <w:rFonts w:ascii="Calibri" w:cs="Calibri"/>
          <w:sz w:val="24"/>
        </w:rPr>
        <w:t>(Hondroyiannis and Papapetrou, 2001; Cao et al., 2021; Güngör and Güngör, 2022)</w:t>
      </w:r>
      <w:r w:rsidRPr="00F935C3">
        <w:rPr>
          <w:sz w:val="24"/>
          <w:szCs w:val="24"/>
        </w:rPr>
        <w:fldChar w:fldCharType="end"/>
      </w:r>
      <w:r w:rsidRPr="00F935C3">
        <w:rPr>
          <w:sz w:val="24"/>
          <w:szCs w:val="24"/>
        </w:rPr>
        <w:t xml:space="preserve">. </w:t>
      </w:r>
    </w:p>
    <w:p w14:paraId="78616279" w14:textId="7C92E749" w:rsidR="007365C9" w:rsidRPr="00F935C3" w:rsidRDefault="007365C9" w:rsidP="00F935C3">
      <w:pPr>
        <w:spacing w:line="480" w:lineRule="auto"/>
        <w:jc w:val="both"/>
        <w:rPr>
          <w:sz w:val="24"/>
          <w:szCs w:val="24"/>
        </w:rPr>
      </w:pPr>
      <w:r w:rsidRPr="00F935C3">
        <w:rPr>
          <w:sz w:val="24"/>
          <w:szCs w:val="24"/>
        </w:rPr>
        <w:t xml:space="preserve">Multiple models for the predicting of the impact of macroeconomic variables on stock market returns have been put forward, including the Efficient Market Hypothesis (that stock prices rationally and fully incorporate all relevant information, but past information is not highly relevant in predicting the prices of future assets) and Asset Pricing Theory. The Arbitrage Pricing Theory of </w:t>
      </w:r>
      <w:r w:rsidRPr="00F935C3">
        <w:rPr>
          <w:sz w:val="24"/>
          <w:szCs w:val="24"/>
        </w:rPr>
        <w:fldChar w:fldCharType="begin"/>
      </w:r>
      <w:r w:rsidRPr="00F935C3">
        <w:rPr>
          <w:sz w:val="24"/>
          <w:szCs w:val="24"/>
        </w:rPr>
        <w:instrText xml:space="preserve"> ADDIN ZOTERO_ITEM CSL_CITATION {"citationID":"wN8SvaBr","properties":{"custom":"Ross, (1976)","formattedCitation":"Ross, (1976)","plainCitation":"Ross, (1976)","noteIndex":0},"citationItems":[{"id":931,"uris":["http://zotero.org/users/local/RRCsWsp6/items/BJZ47SDF"],"itemData":{"id":931,"type":"article-journal","container-title":"Journal of Economic Theory","DOI":"10.1016/0022-0531(76)90046-6","ISSN":"0022-0531","issue":"3","journalAbbreviation":"Journal of Economic Theory","language":"en","page":"341-360","source":"ScienceDirect","title":"The arbitrage theory of capital asset pricing","volume":"13","author":[{"family":"Ross","given":"Stephen A"}],"issued":{"date-parts":[["1976",12,1]]}}}],"schema":"https://github.com/citation-style-language/schema/raw/master/csl-citation.json"} </w:instrText>
      </w:r>
      <w:r w:rsidRPr="00F935C3">
        <w:rPr>
          <w:sz w:val="24"/>
          <w:szCs w:val="24"/>
        </w:rPr>
        <w:fldChar w:fldCharType="separate"/>
      </w:r>
      <w:r w:rsidR="007931FB">
        <w:rPr>
          <w:noProof/>
          <w:sz w:val="24"/>
          <w:szCs w:val="24"/>
        </w:rPr>
        <w:t>Ross, (1976)</w:t>
      </w:r>
      <w:r w:rsidRPr="00F935C3">
        <w:rPr>
          <w:sz w:val="24"/>
          <w:szCs w:val="24"/>
        </w:rPr>
        <w:fldChar w:fldCharType="end"/>
      </w:r>
      <w:r w:rsidRPr="00F935C3">
        <w:rPr>
          <w:sz w:val="24"/>
          <w:szCs w:val="24"/>
        </w:rPr>
        <w:t xml:space="preserve"> posited that a stock asset price is influenced by </w:t>
      </w:r>
      <w:r w:rsidRPr="00F935C3">
        <w:rPr>
          <w:sz w:val="24"/>
          <w:szCs w:val="24"/>
        </w:rPr>
        <w:lastRenderedPageBreak/>
        <w:t xml:space="preserve">multiple macroeconomic factors and has been an influential form of asset price theory </w:t>
      </w:r>
      <w:r w:rsidRPr="00F935C3">
        <w:rPr>
          <w:sz w:val="24"/>
          <w:szCs w:val="24"/>
        </w:rPr>
        <w:fldChar w:fldCharType="begin"/>
      </w:r>
      <w:r w:rsidR="00911855">
        <w:rPr>
          <w:sz w:val="24"/>
          <w:szCs w:val="24"/>
        </w:rPr>
        <w:instrText xml:space="preserve"> ADDIN ZOTERO_ITEM CSL_CITATION {"citationID":"ip5FVq1N","properties":{"unsorted":true,"formattedCitation":"(Sharpe, 1964; Fama, 1965; Nkoro and Uko, 2014)","plainCitation":"(Sharpe, 1964; Fama, 1965; Nkoro and Uko, 2014)","noteIndex":0},"citationItems":[{"id":928,"uris":["http://zotero.org/users/local/RRCsWsp6/items/7NUA36WK"],"itemData":{"id":928,"type":"article-journal","container-title":"The Journal of Finance","DOI":"10.2307/2977928","ISSN":"0022-1082","issue":"3","note":"publisher: [American Finance Association, Wiley]","page":"425-442","source":"JSTOR","title":"Capital Asset Prices: A Theory of Market Equilibrium under Conditions of Risk","title-short":"Capital Asset Prices","volume":"19","author":[{"family":"Sharpe","given":"William F."}],"issued":{"date-parts":[["1964",9]]}},"label":"page"},{"id":926,"uris":["http://zotero.org/users/local/RRCsWsp6/items/H2A9CLXZ"],"itemData":{"id":926,"type":"article-journal","container-title":"The Journal of Business","ISSN":"0021-9398","issue":"1","note":"publisher: University of Chicago Press","page":"34-105","source":"JSTOR","title":"The Behavior of Stock-Market Prices","volume":"38","author":[{"family":"Fama","given":"Eugene F."}],"issued":{"date-parts":[["1965"]]}},"label":"page"},{"id":930,"uris":["http://zotero.org/users/local/RRCsWsp6/items/ZPPQ5G8H"],"itemData":{"id":930,"type":"chapter","abstract":"This chapter investigates the relationship between volatility of macroeconomic variables and the volatility of Nigeria’s stock market returns using annual data from 1985-2009. The Macroeconomic variables used are: inflation rate, government expenditure, foreign exchange rate, index of manufacturing output, broad money supply, and minimum rediscount rate. In pursuance of this, the AR(1)-GARCH-X(1,1) model was used for the analysis. The findings of this study revealed that, Nigeria’s current stock market return is positively influenced by previous returns. Volatility of Nigeria’s stock market returns was affected by past volatility less than the related news from the previous period. Also, the result shows that there is a significantly positive relationship between the volatility of the Nigeria’s stock market returns and the short run deviations of the macroeconomic variables (macroeconomic factors volatility) in the system. The results provide some insight to investors, financial regulators, and policymakers in the Nigeria’s stock market when structuring their portfolios and formulating economic and financial policies.","container-title":"Global Strategies in Banking and Finance","event-place":"Hershey, PA, USA","ISBN":"978-1-4666-4635-3","note":"DOI: 10.4018/978-1-4666-4635-3.ch014","page":"218-230","publisher":"IGI Global","publisher-place":"Hershey, PA, USA","title":"Impact of the Volatility of Macroeconomic Variables on the Volatility of Stock Market Returns: Nigeria’s Experience","URL":"https://services.igi-global.com/resolvedoi/resolve.aspx?doi=10.4018/978-1-4666-4635-3.ch014","editor":[{"family":"Dinçer","given":"Hasan"},{"family":"Hacioğlu","given":"Ümit"}],"author":[{"family":"Nkoro","given":"Emeka"},{"family":"Uko","given":"Aham Kelvin"}],"issued":{"date-parts":[["2014"]]}},"label":"page"}],"schema":"https://github.com/citation-style-language/schema/raw/master/csl-citation.json"} </w:instrText>
      </w:r>
      <w:r w:rsidRPr="00F935C3">
        <w:rPr>
          <w:sz w:val="24"/>
          <w:szCs w:val="24"/>
        </w:rPr>
        <w:fldChar w:fldCharType="separate"/>
      </w:r>
      <w:r w:rsidR="00911855">
        <w:rPr>
          <w:noProof/>
          <w:sz w:val="24"/>
          <w:szCs w:val="24"/>
        </w:rPr>
        <w:t>(Sharpe, 1964; Fama, 1965; Nkoro and Uko, 2014)</w:t>
      </w:r>
      <w:r w:rsidRPr="00F935C3">
        <w:rPr>
          <w:sz w:val="24"/>
          <w:szCs w:val="24"/>
        </w:rPr>
        <w:fldChar w:fldCharType="end"/>
      </w:r>
      <w:r w:rsidRPr="00F935C3">
        <w:rPr>
          <w:sz w:val="24"/>
          <w:szCs w:val="24"/>
        </w:rPr>
        <w:t xml:space="preserve">. Empirical studies on large scale have been varied based on the macroeconomic indicators chosen for comparison with stock market performance, however in the majority of cases correlations exist to show a cause and effect </w:t>
      </w:r>
      <w:r w:rsidRPr="00F935C3">
        <w:rPr>
          <w:sz w:val="24"/>
          <w:szCs w:val="24"/>
        </w:rPr>
        <w:fldChar w:fldCharType="begin"/>
      </w:r>
      <w:r w:rsidR="00362B77">
        <w:rPr>
          <w:sz w:val="24"/>
          <w:szCs w:val="24"/>
        </w:rPr>
        <w:instrText xml:space="preserve"> ADDIN ZOTERO_ITEM CSL_CITATION {"citationID":"sfyS6kbZ","properties":{"unsorted":true,"formattedCitation":"(Engle et al., 2013; Nkoro and Uko, 2014; Abbas and Wang, 2020)","plainCitation":"(Engle et al., 2013; Nkoro and Uko, 2014; Abbas and Wang, 2020)","noteIndex":0},"citationItems":[{"id":934,"uris":["http://zotero.org/users/local/RRCsWsp6/items/A94AZNC7"],"itemData":{"id":934,"type":"article-journal","abstract":"We revisit the relation between stock market volatility and macroeconomic activity using a new class of component models that distinguish short-run from long-run movements. We formulate models with the long-term component driven by inflation and industrial production growth that are in terms of pseudo out-of-sample prediction for horizons of one quarter at par or outperform more traditional time series volatility models at longer horizons. Hence, imputing economic fundamentals into volatility models pays off in terms of long-horizon forecasting. We also find that macroeconomic fundamentals play a significant role even at short horizons.","container-title":"The Review of Economics and Statistics","ISSN":"0034-6535","issue":"3","note":"publisher: The MIT Press","page":"776-797","source":"JSTOR","title":"Stock Market Volatility and Macroeconomic Fundamentals","volume":"95","author":[{"family":"Engle","given":"Robert F."},{"family":"Ghysels","given":"Eric"},{"family":"Sohn","given":"Bumjean"}],"issued":{"date-parts":[["2013"]]}},"label":"page"},{"id":930,"uris":["http://zotero.org/users/local/RRCsWsp6/items/ZPPQ5G8H"],"itemData":{"id":930,"type":"chapter","abstract":"This chapter investigates the relationship between volatility of macroeconomic variables and the volatility of Nigeria’s stock market returns using annual data from 1985-2009. The Macroeconomic variables used are: inflation rate, government expenditure, foreign exchange rate, index of manufacturing output, broad money supply, and minimum rediscount rate. In pursuance of this, the AR(1)-GARCH-X(1,1) model was used for the analysis. The findings of this study revealed that, Nigeria’s current stock market return is positively influenced by previous returns. Volatility of Nigeria’s stock market returns was affected by past volatility less than the related news from the previous period. Also, the result shows that there is a significantly positive relationship between the volatility of the Nigeria’s stock market returns and the short run deviations of the macroeconomic variables (macroeconomic factors volatility) in the system. The results provide some insight to investors, financial regulators, and policymakers in the Nigeria’s stock market when structuring their portfolios and formulating economic and financial policies.","container-title":"Global Strategies in Banking and Finance","event-place":"Hershey, PA, USA","ISBN":"978-1-4666-4635-3","note":"DOI: 10.4018/978-1-4666-4635-3.ch014","page":"218-230","publisher":"IGI Global","publisher-place":"Hershey, PA, USA","title":"Impact of the Volatility of Macroeconomic Variables on the Volatility of Stock Market Returns: Nigeria’s Experience","URL":"https://services.igi-global.com/resolvedoi/resolve.aspx?doi=10.4018/978-1-4666-4635-3.ch014","editor":[{"family":"Dinçer","given":"Hasan"},{"family":"Hacioğlu","given":"Ümit"}],"author":[{"family":"Nkoro","given":"Emeka"},{"family":"Uko","given":"Aham Kelvin"}],"issued":{"date-parts":[["2014"]]}},"label":"page"},{"id":933,"uris":["http://zotero.org/users/local/RRCsWsp6/items/YHGCXC26"],"itemData":{"id":933,"type":"article-journal","abstract":"Purpose\nThe study aims to analyze the interaction between macroeconomic uncertainty and stock market return and volatility for China and USA and tries to draw some invaluable inferences for the investors, portfolio managers and policy analysts.\nEmpirically the study uses GARCH family models to capture the time-varying volatility of stock market and macroeconomic risk factors by using monthly data ranging from 1995:M7 to 2018:M6. Then, these volatility series are further used in the multivariate VAR model to analyze the feedback interaction between stock market and macroeconomic risk factors for China and USA. The study also incorporates the impact of Asian financial crisis of 1997–1998 and the global financial crisis of 2007–2008 by using dummy variables in the GARCH model analysis.\nThe empirical results of GARCH models indicate volatility persistence in the stock markets and the macroeconomic variables of both countries. The study finds relatively weak and inconsistent unidirectional causality for China mainly running from the stock market to the macroeconomic variables; however, the volatility spillover transmission reciprocates when the impact of Asian financial crisis and Global financial crisis is incorporated. For USA, the contemporaneous relationship between stock market and macroeconomic risk factors is quite strong and bidirectional both at first and second moment level.\nThis study investigates the interaction between stock market and macroeconomic uncertainty for China and USA. The researchers believe that none of the prior studies has made such rigorous comparison of two of the big and diverse economies (China and USA) which are quite contrasting in terms of political, economic and social background. Therefore, this study also tries to test the presumed conception that macroeconomic uncertainty in China may have different impact on the stock market return and volatility than in USA.","container-title":"China Finance Review International","DOI":"10.1108/CFRI-06-2019-0077","ISSN":"20441398","issue":"4","language":"English","license":"© Emerald Publishing Limited 2020","note":"number-of-pages: 35\npublisher-place: Beijing, United Kingdom\npublisher: Emerald Group Publishing Limited","page":"393-427","source":"ProQuest","title":"Does macroeconomic uncertainty really matter in predicting stock market behavior? A comparative study on China and USA","title-short":"Does macroeconomic uncertainty really matter in predicting stock market behavior?","volume":"10","author":[{"family":"Abbas","given":"Ghulam"},{"family":"Wang","given":"Shouyang"}],"issued":{"date-parts":[["2020"]]}},"label":"page"}],"schema":"https://github.com/citation-style-language/schema/raw/master/csl-citation.json"} </w:instrText>
      </w:r>
      <w:r w:rsidRPr="00F935C3">
        <w:rPr>
          <w:sz w:val="24"/>
          <w:szCs w:val="24"/>
        </w:rPr>
        <w:fldChar w:fldCharType="separate"/>
      </w:r>
      <w:r w:rsidR="00362B77">
        <w:rPr>
          <w:noProof/>
          <w:sz w:val="24"/>
          <w:szCs w:val="24"/>
        </w:rPr>
        <w:t>(Engle et al., 2013; Nkoro and Uko, 2014; Abbas and Wang, 2020)</w:t>
      </w:r>
      <w:r w:rsidRPr="00F935C3">
        <w:rPr>
          <w:sz w:val="24"/>
          <w:szCs w:val="24"/>
        </w:rPr>
        <w:fldChar w:fldCharType="end"/>
      </w:r>
      <w:r w:rsidRPr="00F935C3">
        <w:rPr>
          <w:sz w:val="24"/>
          <w:szCs w:val="24"/>
        </w:rPr>
        <w:t xml:space="preserve">. </w:t>
      </w:r>
    </w:p>
    <w:p w14:paraId="4B0BC29A" w14:textId="4F37B6F6" w:rsidR="007365C9" w:rsidRPr="00F935C3" w:rsidRDefault="007365C9" w:rsidP="00F935C3">
      <w:pPr>
        <w:spacing w:line="480" w:lineRule="auto"/>
        <w:jc w:val="both"/>
        <w:rPr>
          <w:sz w:val="24"/>
          <w:szCs w:val="24"/>
        </w:rPr>
      </w:pPr>
      <w:r w:rsidRPr="00F935C3">
        <w:rPr>
          <w:sz w:val="24"/>
          <w:szCs w:val="24"/>
        </w:rPr>
        <w:t xml:space="preserve">In order to assess the impact of COVID-19 pandemic on the UK economic sectors, a basis was needed to direct which companies should comprise the study. The London Stock Exchange (LSE) owns the Financial Times Stock Exchange Russell Group (FTSE), which specialises in providing index offerings to the markets which can be used as benchmarks within the UK, in a similar manner to Standard and Poor’s (S&amp;P) </w:t>
      </w:r>
      <w:r w:rsidRPr="00F935C3">
        <w:rPr>
          <w:sz w:val="24"/>
          <w:szCs w:val="24"/>
        </w:rPr>
        <w:fldChar w:fldCharType="begin"/>
      </w:r>
      <w:r w:rsidR="00A24C3F" w:rsidRPr="00F935C3">
        <w:rPr>
          <w:sz w:val="24"/>
          <w:szCs w:val="24"/>
        </w:rPr>
        <w:instrText xml:space="preserve"> ADDIN ZOTERO_ITEM CSL_CITATION {"citationID":"b0A1lKCI","properties":{"formattedCitation":"(Michie, 1999)","plainCitation":"(Michie, 1999)","noteIndex":0},"citationItems":[{"id":936,"uris":["http://zotero.org/users/local/RRCsWsp6/items/AMDJIFKR"],"itemData":{"id":936,"type":"book","abstract":"In 2001, the London Stock Exchange will be 200 years old, though its origins go back a century before that. This book traces the history of the London Stock Exchange from its beginnings around 1700 to the present day, chronicling the challenges and opportunities it has faced, avoided, orexploited over the years.","ISBN":"978-0-19-829508-2","language":"en","number-of-pages":"697","publisher":"Oxford University Press","title":"The London Stock Exchange: A History","title-short":"The London Stock Exchange","author":[{"family":"Michie","given":"R. C."}],"issued":{"date-parts":[["1999"]]}}}],"schema":"https://github.com/citation-style-language/schema/raw/master/csl-citation.json"} </w:instrText>
      </w:r>
      <w:r w:rsidRPr="00F935C3">
        <w:rPr>
          <w:sz w:val="24"/>
          <w:szCs w:val="24"/>
        </w:rPr>
        <w:fldChar w:fldCharType="separate"/>
      </w:r>
      <w:r w:rsidR="007931FB">
        <w:rPr>
          <w:noProof/>
          <w:sz w:val="24"/>
          <w:szCs w:val="24"/>
        </w:rPr>
        <w:t>(Michie, 1999)</w:t>
      </w:r>
      <w:r w:rsidRPr="00F935C3">
        <w:rPr>
          <w:sz w:val="24"/>
          <w:szCs w:val="24"/>
        </w:rPr>
        <w:fldChar w:fldCharType="end"/>
      </w:r>
      <w:r w:rsidRPr="00F935C3">
        <w:rPr>
          <w:sz w:val="24"/>
          <w:szCs w:val="24"/>
        </w:rPr>
        <w:t xml:space="preserve">. The FTSE 250 is a mid-cap index on the LSE, maintained annually by the FTSE Russell Group and comprises companies smaller than those found in the larger FTSE 100 index. The FTSE 250 companies typically have a more UK biased revenue focus then the FTSE 100 and therefore is used by analysts to gauge the wider UK economic landscape </w:t>
      </w:r>
      <w:r w:rsidRPr="00F935C3">
        <w:rPr>
          <w:sz w:val="24"/>
          <w:szCs w:val="24"/>
        </w:rPr>
        <w:fldChar w:fldCharType="begin"/>
      </w:r>
      <w:r w:rsidR="00435C61">
        <w:rPr>
          <w:sz w:val="24"/>
          <w:szCs w:val="24"/>
        </w:rPr>
        <w:instrText xml:space="preserve"> ADDIN ZOTERO_ITEM CSL_CITATION {"citationID":"qKyNfiEi","properties":{"unsorted":true,"formattedCitation":"(Robinson, 2016; Van Veldhuizen and Uppal, 2022; Rivero, 2023)","plainCitation":"(Robinson, 2016; Van Veldhuizen and Uppal, 2022; Rivero, 2023)","noteIndex":0},"citationItems":[{"id":942,"uris":["http://zotero.org/users/local/RRCsWsp6/items/EGJ5J7ZK"],"itemData":{"id":942,"type":"article-journal","abstract":"Fears that the UK government is prepared to pursue the so-called 'hard Brexit' option sent the pound to a new 31-year low this week.","archive":"ProQuest Central","archive_location":"1832787751","container-title":"Investors Chronicle","ISSN":"02613115","language":"English","note":"publisher-place: London\npublisher: The Financial Times Limited","title":"FTSE 250 buoyant despite domestic focus","URL":"https://www.proquest.com/trade-journals/ftse-250-buoyant-despite-domestic-focus/docview/1832787751/se-2?accountid=130472","author":[{"family":"Robinson","given":"Mark"}],"issued":{"date-parts":[["2016",10,6]]}},"label":"page"},{"id":941,"uris":["http://zotero.org/users/local/RRCsWsp6/items/PSRHPSHE"],"itemData":{"id":941,"type":"report","collection-title":"FTSE UK Index Series","genre":"Index Insights","language":"en","page":"21","publisher":"FTSE Russell","source":"Zotero","title":"The FTSE 250 index: The UK’s leading mid-cap benchmark enters its fourth decade","URL":"https://content.ftserussell.com/sites/default/files/ftse_250_history_and_heritage_paper_2.pdf","author":[{"family":"Van Veldhuizen","given":"Norbert"},{"family":"Uppal","given":"Rafe"}],"accessed":{"date-parts":[["2023",7,19]]},"issued":{"date-parts":[["2022",11]]}},"label":"page"},{"id":938,"uris":["http://zotero.org/users/local/RRCsWsp6/items/RLUMU7JJ"],"itemData":{"id":938,"type":"post-weblog","container-title":"Admirals Markets","genre":"Trading Platform","title":"The FTSE 100 vs FTSE 250: What Is the Difference?","URL":"https://admiralmarkets.com/education/articles/shares/ftse-100-vs-ftse-250","author":[{"family":"Rivero","given":"Roberto"}],"accessed":{"date-parts":[["2023",7,19]]},"issued":{"date-parts":[["2023",5,30]]}},"label":"page"}],"schema":"https://github.com/citation-style-language/schema/raw/master/csl-citation.json"} </w:instrText>
      </w:r>
      <w:r w:rsidRPr="00F935C3">
        <w:rPr>
          <w:sz w:val="24"/>
          <w:szCs w:val="24"/>
        </w:rPr>
        <w:fldChar w:fldCharType="separate"/>
      </w:r>
      <w:r w:rsidR="00435C61">
        <w:rPr>
          <w:noProof/>
          <w:sz w:val="24"/>
          <w:szCs w:val="24"/>
        </w:rPr>
        <w:t>(Robinson, 2016; Van Veldhuizen and Uppal, 2022; Rivero, 2023)</w:t>
      </w:r>
      <w:r w:rsidRPr="00F935C3">
        <w:rPr>
          <w:sz w:val="24"/>
          <w:szCs w:val="24"/>
        </w:rPr>
        <w:fldChar w:fldCharType="end"/>
      </w:r>
      <w:r w:rsidRPr="00F935C3">
        <w:rPr>
          <w:sz w:val="24"/>
          <w:szCs w:val="24"/>
        </w:rPr>
        <w:t xml:space="preserve">. </w:t>
      </w:r>
    </w:p>
    <w:p w14:paraId="76629774" w14:textId="5C5DFBB9" w:rsidR="00687558" w:rsidRPr="00F935C3" w:rsidRDefault="00687558" w:rsidP="00F935C3">
      <w:pPr>
        <w:spacing w:line="480" w:lineRule="auto"/>
        <w:jc w:val="both"/>
        <w:rPr>
          <w:sz w:val="24"/>
          <w:szCs w:val="24"/>
        </w:rPr>
      </w:pPr>
      <w:r w:rsidRPr="00F935C3">
        <w:rPr>
          <w:sz w:val="24"/>
          <w:szCs w:val="24"/>
        </w:rPr>
        <w:t xml:space="preserve">Financial analysis of companies is </w:t>
      </w:r>
      <w:r w:rsidR="000F750F" w:rsidRPr="00F935C3">
        <w:rPr>
          <w:sz w:val="24"/>
          <w:szCs w:val="24"/>
        </w:rPr>
        <w:t>performed</w:t>
      </w:r>
      <w:r w:rsidRPr="00F935C3">
        <w:rPr>
          <w:sz w:val="24"/>
          <w:szCs w:val="24"/>
        </w:rPr>
        <w:t xml:space="preserve"> on a regular basis by a wide range of companies </w:t>
      </w:r>
      <w:r w:rsidR="00C81FAC" w:rsidRPr="00F935C3">
        <w:rPr>
          <w:sz w:val="24"/>
          <w:szCs w:val="24"/>
        </w:rPr>
        <w:t>with varying focuses. This can include internal analysis on both a</w:t>
      </w:r>
      <w:r w:rsidR="005B09EB" w:rsidRPr="00F935C3">
        <w:rPr>
          <w:sz w:val="24"/>
          <w:szCs w:val="24"/>
        </w:rPr>
        <w:t>n</w:t>
      </w:r>
      <w:r w:rsidR="00B807E9" w:rsidRPr="00F935C3">
        <w:rPr>
          <w:sz w:val="24"/>
          <w:szCs w:val="24"/>
        </w:rPr>
        <w:t xml:space="preserve"> overview perspective (</w:t>
      </w:r>
      <w:r w:rsidR="00F57658">
        <w:rPr>
          <w:sz w:val="24"/>
          <w:szCs w:val="24"/>
        </w:rPr>
        <w:t>p</w:t>
      </w:r>
      <w:r w:rsidR="005B09EB" w:rsidRPr="00F935C3">
        <w:rPr>
          <w:sz w:val="24"/>
          <w:szCs w:val="24"/>
        </w:rPr>
        <w:t>ossibly</w:t>
      </w:r>
      <w:r w:rsidR="00B807E9" w:rsidRPr="00F935C3">
        <w:rPr>
          <w:sz w:val="24"/>
          <w:szCs w:val="24"/>
        </w:rPr>
        <w:t xml:space="preserve"> required by a Chief Financial Officer</w:t>
      </w:r>
      <w:r w:rsidR="005B09EB" w:rsidRPr="00F935C3">
        <w:rPr>
          <w:sz w:val="24"/>
          <w:szCs w:val="24"/>
        </w:rPr>
        <w:t>)</w:t>
      </w:r>
      <w:r w:rsidR="00D255A6" w:rsidRPr="00F935C3">
        <w:rPr>
          <w:sz w:val="24"/>
          <w:szCs w:val="24"/>
        </w:rPr>
        <w:t xml:space="preserve"> and/or focusing on a particular aspect of financial analysis</w:t>
      </w:r>
      <w:r w:rsidR="00924F7B" w:rsidRPr="00F935C3">
        <w:rPr>
          <w:sz w:val="24"/>
          <w:szCs w:val="24"/>
        </w:rPr>
        <w:t xml:space="preserve">, e.g. </w:t>
      </w:r>
      <w:r w:rsidR="002C04D0" w:rsidRPr="00F935C3">
        <w:rPr>
          <w:sz w:val="24"/>
          <w:szCs w:val="24"/>
        </w:rPr>
        <w:t xml:space="preserve">efficiency (company or department); or </w:t>
      </w:r>
      <w:r w:rsidR="003330D1" w:rsidRPr="00F935C3">
        <w:rPr>
          <w:sz w:val="24"/>
          <w:szCs w:val="24"/>
        </w:rPr>
        <w:t xml:space="preserve">external analysis preformed on published financial data by a range of </w:t>
      </w:r>
      <w:r w:rsidR="00DF0390" w:rsidRPr="00F935C3">
        <w:rPr>
          <w:sz w:val="24"/>
          <w:szCs w:val="24"/>
        </w:rPr>
        <w:t xml:space="preserve">financial management companies and analysists e.g. </w:t>
      </w:r>
      <w:r w:rsidR="000F750F" w:rsidRPr="00F935C3">
        <w:rPr>
          <w:sz w:val="24"/>
          <w:szCs w:val="24"/>
        </w:rPr>
        <w:t>Single investors, wealth management companies and consultancy houses</w:t>
      </w:r>
      <w:r w:rsidR="0062118B" w:rsidRPr="00F935C3">
        <w:rPr>
          <w:sz w:val="24"/>
          <w:szCs w:val="24"/>
        </w:rPr>
        <w:t xml:space="preserve"> </w:t>
      </w:r>
      <w:r w:rsidR="0062118B" w:rsidRPr="00F935C3">
        <w:rPr>
          <w:sz w:val="24"/>
          <w:szCs w:val="24"/>
        </w:rPr>
        <w:fldChar w:fldCharType="begin"/>
      </w:r>
      <w:r w:rsidR="00946CA1">
        <w:rPr>
          <w:sz w:val="24"/>
          <w:szCs w:val="24"/>
        </w:rPr>
        <w:instrText xml:space="preserve"> ADDIN ZOTERO_ITEM CSL_CITATION {"citationID":"RvaJ0DHD","properties":{"formattedCitation":"(Atrill and McLaney, 2018)","plainCitation":"(Atrill and McLaney, 2018)","noteIndex":0},"citationItems":[{"id":766,"uris":["http://zotero.org/users/local/RRCsWsp6/items/DV4TDK2G"],"itemData":{"id":766,"type":"book","event-place":"Harlow, United Kingdom, UNITED KINGDOM","ISBN":"978-1-292-24405-1","publisher":"Pearson Education, Limited","publisher-place":"Harlow, United Kingdom, UNITED KINGDOM","source":"ProQuest Ebook Central","title":"Accounting and Finance for Non-Specialists 11th Edition","URL":"http://ebookcentral.proquest.com/lib/trinity/detail.action?docID=6399594","author":[{"family":"Atrill","given":"Peter"},{"family":"McLaney","given":"Eddie"}],"accessed":{"date-parts":[["2021",3,8]]},"issued":{"date-parts":[["2018"]]}}}],"schema":"https://github.com/citation-style-language/schema/raw/master/csl-citation.json"} </w:instrText>
      </w:r>
      <w:r w:rsidR="0062118B" w:rsidRPr="00F935C3">
        <w:rPr>
          <w:sz w:val="24"/>
          <w:szCs w:val="24"/>
        </w:rPr>
        <w:fldChar w:fldCharType="separate"/>
      </w:r>
      <w:r w:rsidR="007931FB">
        <w:rPr>
          <w:noProof/>
          <w:sz w:val="24"/>
          <w:szCs w:val="24"/>
        </w:rPr>
        <w:t>(Atrill and McLaney, 2018)</w:t>
      </w:r>
      <w:r w:rsidR="0062118B" w:rsidRPr="00F935C3">
        <w:rPr>
          <w:sz w:val="24"/>
          <w:szCs w:val="24"/>
        </w:rPr>
        <w:fldChar w:fldCharType="end"/>
      </w:r>
      <w:r w:rsidR="000F750F" w:rsidRPr="00F935C3">
        <w:rPr>
          <w:sz w:val="24"/>
          <w:szCs w:val="24"/>
        </w:rPr>
        <w:t xml:space="preserve">. </w:t>
      </w:r>
    </w:p>
    <w:p w14:paraId="1DDE496A" w14:textId="4AD3FE80" w:rsidR="00C5355E" w:rsidRPr="00F935C3" w:rsidRDefault="00D71110" w:rsidP="00F935C3">
      <w:pPr>
        <w:spacing w:line="480" w:lineRule="auto"/>
        <w:jc w:val="both"/>
        <w:rPr>
          <w:sz w:val="24"/>
          <w:szCs w:val="24"/>
        </w:rPr>
      </w:pPr>
      <w:r w:rsidRPr="00F935C3">
        <w:rPr>
          <w:sz w:val="24"/>
          <w:szCs w:val="24"/>
        </w:rPr>
        <w:lastRenderedPageBreak/>
        <w:t xml:space="preserve"> </w:t>
      </w:r>
      <w:r w:rsidR="00E30D30" w:rsidRPr="00F935C3">
        <w:rPr>
          <w:sz w:val="24"/>
          <w:szCs w:val="24"/>
        </w:rPr>
        <w:t>All</w:t>
      </w:r>
      <w:r w:rsidR="003A0592" w:rsidRPr="00F935C3">
        <w:rPr>
          <w:sz w:val="24"/>
          <w:szCs w:val="24"/>
        </w:rPr>
        <w:t xml:space="preserve"> company</w:t>
      </w:r>
      <w:r w:rsidR="00E30D30" w:rsidRPr="00F935C3">
        <w:rPr>
          <w:sz w:val="24"/>
          <w:szCs w:val="24"/>
        </w:rPr>
        <w:t xml:space="preserve"> financial analysis is built </w:t>
      </w:r>
      <w:r w:rsidR="006E200C" w:rsidRPr="00F935C3">
        <w:rPr>
          <w:sz w:val="24"/>
          <w:szCs w:val="24"/>
        </w:rPr>
        <w:t xml:space="preserve">upon financial statements and </w:t>
      </w:r>
      <w:r w:rsidR="008C06B4" w:rsidRPr="00F935C3">
        <w:rPr>
          <w:sz w:val="24"/>
          <w:szCs w:val="24"/>
        </w:rPr>
        <w:t>publicly</w:t>
      </w:r>
      <w:r w:rsidR="00450FE8" w:rsidRPr="00F935C3">
        <w:rPr>
          <w:sz w:val="24"/>
          <w:szCs w:val="24"/>
        </w:rPr>
        <w:t xml:space="preserve"> listed companies must comply with the reporting rules of the stock market they are lis</w:t>
      </w:r>
      <w:r w:rsidR="008C06B4" w:rsidRPr="00F935C3">
        <w:rPr>
          <w:sz w:val="24"/>
          <w:szCs w:val="24"/>
        </w:rPr>
        <w:t>t</w:t>
      </w:r>
      <w:r w:rsidR="00450FE8" w:rsidRPr="00F935C3">
        <w:rPr>
          <w:sz w:val="24"/>
          <w:szCs w:val="24"/>
        </w:rPr>
        <w:t>ed upon</w:t>
      </w:r>
      <w:r w:rsidR="00752E39" w:rsidRPr="00F935C3">
        <w:rPr>
          <w:sz w:val="24"/>
          <w:szCs w:val="24"/>
        </w:rPr>
        <w:t>, following standards outlined by the governmental regulations of that country</w:t>
      </w:r>
      <w:r w:rsidR="00450FE8" w:rsidRPr="00F935C3">
        <w:rPr>
          <w:sz w:val="24"/>
          <w:szCs w:val="24"/>
        </w:rPr>
        <w:t>.</w:t>
      </w:r>
      <w:r w:rsidR="00752E39" w:rsidRPr="00F935C3">
        <w:rPr>
          <w:sz w:val="24"/>
          <w:szCs w:val="24"/>
        </w:rPr>
        <w:t xml:space="preserve"> These standards usually take the form of a Generally </w:t>
      </w:r>
      <w:r w:rsidR="006A10F8" w:rsidRPr="00F935C3">
        <w:rPr>
          <w:sz w:val="24"/>
          <w:szCs w:val="24"/>
        </w:rPr>
        <w:t>Accepted Accounting Principles (GAAP) and will vary f</w:t>
      </w:r>
      <w:r w:rsidR="00D81EE5" w:rsidRPr="00F935C3">
        <w:rPr>
          <w:sz w:val="24"/>
          <w:szCs w:val="24"/>
        </w:rPr>
        <w:t>ro</w:t>
      </w:r>
      <w:r w:rsidR="006A10F8" w:rsidRPr="00F935C3">
        <w:rPr>
          <w:sz w:val="24"/>
          <w:szCs w:val="24"/>
        </w:rPr>
        <w:t>m country to country</w:t>
      </w:r>
      <w:r w:rsidR="000D3DF8" w:rsidRPr="00F935C3">
        <w:rPr>
          <w:sz w:val="24"/>
          <w:szCs w:val="24"/>
        </w:rPr>
        <w:t xml:space="preserve"> (</w:t>
      </w:r>
      <w:r w:rsidR="00922E8A" w:rsidRPr="00F935C3">
        <w:rPr>
          <w:sz w:val="24"/>
          <w:szCs w:val="24"/>
        </w:rPr>
        <w:t>e.g.,</w:t>
      </w:r>
      <w:r w:rsidR="000D3DF8" w:rsidRPr="00F935C3">
        <w:rPr>
          <w:sz w:val="24"/>
          <w:szCs w:val="24"/>
        </w:rPr>
        <w:t xml:space="preserve"> the United States of American and the United Kingdom both have</w:t>
      </w:r>
      <w:r w:rsidR="003C330E">
        <w:rPr>
          <w:sz w:val="24"/>
          <w:szCs w:val="24"/>
        </w:rPr>
        <w:t xml:space="preserve"> a</w:t>
      </w:r>
      <w:r w:rsidR="000D3DF8" w:rsidRPr="00F935C3">
        <w:rPr>
          <w:sz w:val="24"/>
          <w:szCs w:val="24"/>
        </w:rPr>
        <w:t xml:space="preserve"> different GAAP</w:t>
      </w:r>
      <w:r w:rsidR="009F7E50" w:rsidRPr="00F935C3">
        <w:rPr>
          <w:sz w:val="24"/>
          <w:szCs w:val="24"/>
        </w:rPr>
        <w:t xml:space="preserve"> for listed companies)</w:t>
      </w:r>
      <w:r w:rsidR="00D81EE5" w:rsidRPr="00F935C3">
        <w:rPr>
          <w:sz w:val="24"/>
          <w:szCs w:val="24"/>
        </w:rPr>
        <w:t>, or companies may be required to follow Inter</w:t>
      </w:r>
      <w:r w:rsidR="001A4545" w:rsidRPr="00F935C3">
        <w:rPr>
          <w:sz w:val="24"/>
          <w:szCs w:val="24"/>
        </w:rPr>
        <w:t xml:space="preserve">national </w:t>
      </w:r>
      <w:r w:rsidR="00155A4A" w:rsidRPr="00F935C3">
        <w:rPr>
          <w:sz w:val="24"/>
          <w:szCs w:val="24"/>
        </w:rPr>
        <w:t>Financial</w:t>
      </w:r>
      <w:r w:rsidR="001A4545" w:rsidRPr="00F935C3">
        <w:rPr>
          <w:sz w:val="24"/>
          <w:szCs w:val="24"/>
        </w:rPr>
        <w:t xml:space="preserve"> Reporting Standards (IFRS)</w:t>
      </w:r>
      <w:r w:rsidR="006A10F8" w:rsidRPr="00F935C3">
        <w:rPr>
          <w:sz w:val="24"/>
          <w:szCs w:val="24"/>
        </w:rPr>
        <w:t>.</w:t>
      </w:r>
      <w:r w:rsidR="001A4545" w:rsidRPr="00F935C3">
        <w:rPr>
          <w:sz w:val="24"/>
          <w:szCs w:val="24"/>
        </w:rPr>
        <w:t xml:space="preserve"> </w:t>
      </w:r>
      <w:r w:rsidR="00AD7B02" w:rsidRPr="00F935C3">
        <w:rPr>
          <w:sz w:val="24"/>
          <w:szCs w:val="24"/>
        </w:rPr>
        <w:t xml:space="preserve">Financial statements will however </w:t>
      </w:r>
      <w:r w:rsidR="003C330E">
        <w:rPr>
          <w:sz w:val="24"/>
          <w:szCs w:val="24"/>
        </w:rPr>
        <w:t>usually</w:t>
      </w:r>
      <w:r w:rsidR="00AD7B02" w:rsidRPr="00F935C3">
        <w:rPr>
          <w:sz w:val="24"/>
          <w:szCs w:val="24"/>
        </w:rPr>
        <w:t xml:space="preserve"> contain </w:t>
      </w:r>
      <w:r w:rsidR="00EB2C7D" w:rsidRPr="00F935C3">
        <w:rPr>
          <w:sz w:val="24"/>
          <w:szCs w:val="24"/>
        </w:rPr>
        <w:t>an Income Statement, Balance Sheet and a Cash Flow Statement</w:t>
      </w:r>
      <w:r w:rsidR="00DA5B85" w:rsidRPr="00F935C3">
        <w:rPr>
          <w:sz w:val="24"/>
          <w:szCs w:val="24"/>
        </w:rPr>
        <w:t>, with varying levels of detail</w:t>
      </w:r>
      <w:r w:rsidR="0058091A" w:rsidRPr="00F935C3">
        <w:rPr>
          <w:sz w:val="24"/>
          <w:szCs w:val="24"/>
        </w:rPr>
        <w:t xml:space="preserve"> </w:t>
      </w:r>
      <w:r w:rsidR="0058091A" w:rsidRPr="00F935C3">
        <w:rPr>
          <w:sz w:val="24"/>
          <w:szCs w:val="24"/>
        </w:rPr>
        <w:fldChar w:fldCharType="begin"/>
      </w:r>
      <w:r w:rsidR="0058091A" w:rsidRPr="00F935C3">
        <w:rPr>
          <w:sz w:val="24"/>
          <w:szCs w:val="24"/>
        </w:rPr>
        <w:instrText xml:space="preserve"> ADDIN ZOTERO_ITEM CSL_CITATION {"citationID":"ObukflGG","properties":{"formattedCitation":"(Alvarez and Fridson, 2011)","plainCitation":"(Alvarez and Fridson, 2011)","noteIndex":0},"citationItems":[{"id":633,"uris":["http://zotero.org/users/local/RRCsWsp6/items/TICP97KX"],"itemData":{"id":633,"type":"book","abstract":"An updated guide to the essential discipline of financial statement analysis In Financial Statement Analysis, Fourth Edition, leading investment authority Martin Fridson returns with Fernando Alvarez to provide the analytical framework you need to scrutinize financial statements, whether you're evaluating a company's stock price or determining valuations for a merger or acquisition. This fully revised and up-to-date Fourth Edition offers fresh information that will help you to evaluate financial statements in today's volatile markets and uncertain economy, and allow yo","collection-title":"Wiley Finance ; v.597","edition":"4th ed.","event-place":"Hoboken","ISBN":"978-1-119-20148-9","language":"eng","number-of-pages":"400","publisher":"Wiley","publisher-place":"Hoboken","source":"librarysearch.uwtsd.ac.uk","title":"Financial Statement Analysis A Practitioner's Guide","author":[{"family":"Alvarez","given":"Fernando"},{"family":"Fridson","given":"Martin S"}],"issued":{"date-parts":[["2011"]]}}}],"schema":"https://github.com/citation-style-language/schema/raw/master/csl-citation.json"} </w:instrText>
      </w:r>
      <w:r w:rsidR="0058091A" w:rsidRPr="00F935C3">
        <w:rPr>
          <w:sz w:val="24"/>
          <w:szCs w:val="24"/>
        </w:rPr>
        <w:fldChar w:fldCharType="separate"/>
      </w:r>
      <w:r w:rsidR="007931FB">
        <w:rPr>
          <w:noProof/>
          <w:sz w:val="24"/>
          <w:szCs w:val="24"/>
        </w:rPr>
        <w:t>(Alvarez and Fridson, 2011)</w:t>
      </w:r>
      <w:r w:rsidR="0058091A" w:rsidRPr="00F935C3">
        <w:rPr>
          <w:sz w:val="24"/>
          <w:szCs w:val="24"/>
        </w:rPr>
        <w:fldChar w:fldCharType="end"/>
      </w:r>
      <w:r w:rsidR="00EB2C7D" w:rsidRPr="00F935C3">
        <w:rPr>
          <w:sz w:val="24"/>
          <w:szCs w:val="24"/>
        </w:rPr>
        <w:t>.</w:t>
      </w:r>
      <w:r w:rsidR="00DA5B85" w:rsidRPr="00F935C3">
        <w:rPr>
          <w:sz w:val="24"/>
          <w:szCs w:val="24"/>
        </w:rPr>
        <w:t xml:space="preserve"> </w:t>
      </w:r>
    </w:p>
    <w:p w14:paraId="7C55E4CA" w14:textId="0EE19F5D" w:rsidR="00DA5CC6" w:rsidRPr="00F935C3" w:rsidRDefault="00C5355E" w:rsidP="00F935C3">
      <w:pPr>
        <w:spacing w:line="480" w:lineRule="auto"/>
        <w:jc w:val="both"/>
        <w:rPr>
          <w:sz w:val="24"/>
          <w:szCs w:val="24"/>
        </w:rPr>
      </w:pPr>
      <w:r w:rsidRPr="00F935C3">
        <w:rPr>
          <w:sz w:val="24"/>
          <w:szCs w:val="24"/>
        </w:rPr>
        <w:t xml:space="preserve">Financial statements are published generally in a company’s annual report, and any interim reports made to the stock market they are traded upon in order to allow investors to interrogate the </w:t>
      </w:r>
      <w:r w:rsidR="00880AAD" w:rsidRPr="00F935C3">
        <w:rPr>
          <w:sz w:val="24"/>
          <w:szCs w:val="24"/>
        </w:rPr>
        <w:t>company’s</w:t>
      </w:r>
      <w:r w:rsidRPr="00F935C3">
        <w:rPr>
          <w:sz w:val="24"/>
          <w:szCs w:val="24"/>
        </w:rPr>
        <w:t xml:space="preserve"> performance. This leads to a publicly accessible data stream of </w:t>
      </w:r>
      <w:r w:rsidR="00E205A2" w:rsidRPr="00F935C3">
        <w:rPr>
          <w:sz w:val="24"/>
          <w:szCs w:val="24"/>
        </w:rPr>
        <w:t>financial information</w:t>
      </w:r>
      <w:r w:rsidR="006F2245" w:rsidRPr="00F935C3">
        <w:rPr>
          <w:sz w:val="24"/>
          <w:szCs w:val="24"/>
        </w:rPr>
        <w:t xml:space="preserve"> </w:t>
      </w:r>
      <w:r w:rsidR="0035187D" w:rsidRPr="00F935C3">
        <w:rPr>
          <w:sz w:val="24"/>
          <w:szCs w:val="24"/>
        </w:rPr>
        <w:fldChar w:fldCharType="begin"/>
      </w:r>
      <w:r w:rsidR="00D96322">
        <w:rPr>
          <w:sz w:val="24"/>
          <w:szCs w:val="24"/>
        </w:rPr>
        <w:instrText xml:space="preserve"> ADDIN ZOTERO_ITEM CSL_CITATION {"citationID":"1xlCtCSX","properties":{"unsorted":true,"formattedCitation":"(Alvarez and Fridson, 2011; Marsh, 2012; Weetman, 2013; Atrill and McLaney, 2018)","plainCitation":"(Alvarez and Fridson, 2011; Marsh, 2012; Weetman, 2013; Atrill and McLaney, 2018)","noteIndex":0},"citationItems":[{"id":633,"uris":["http://zotero.org/users/local/RRCsWsp6/items/TICP97KX"],"itemData":{"id":633,"type":"book","abstract":"An updated guide to the essential discipline of financial statement analysis In Financial Statement Analysis, Fourth Edition, leading investment authority Martin Fridson returns with Fernando Alvarez to provide the analytical framework you need to scrutinize financial statements, whether you're evaluating a company's stock price or determining valuations for a merger or acquisition. This fully revised and up-to-date Fourth Edition offers fresh information that will help you to evaluate financial statements in today's volatile markets and uncertain economy, and allow yo","collection-title":"Wiley Finance ; v.597","edition":"4th ed.","event-place":"Hoboken","ISBN":"978-1-119-20148-9","language":"eng","number-of-pages":"400","publisher":"Wiley","publisher-place":"Hoboken","source":"librarysearch.uwtsd.ac.uk","title":"Financial Statement Analysis A Practitioner's Guide","author":[{"family":"Alvarez","given":"Fernando"},{"family":"Fridson","given":"Martin S"}],"issued":{"date-parts":[["2011"]]}},"label":"page"},{"id":953,"uris":["http://zotero.org/users/local/RRCsWsp6/items/F7B7AKYW","http://zotero.org/users/local/RRCsWsp6/items/CW5HAX62"],"itemData":{"id":953,"type":"book","abstract":"Unique in its clarity and breadth of coverage, Financial Management for Non-Financial Managers explains the essentials of accounting and finance for managers and professionals from non-financial backgrounds.","collection-title":"Strategic success series","event-place":"London ;","ISBN":"978-1-62198-382-8","language":"eng","number-of-pages":"256","publisher":"Kogan Page","publisher-place":"London ;","source":"librarysearch.uwtsd.ac.uk","title":"Financial management for non-financial managers","author":[{"family":"Marsh","given":"Clive"}],"issued":{"date-parts":[["2012"]]}},"label":"page"},{"id":1034,"uris":["http://zotero.org/users/local/RRCsWsp6/items/HISS38IK"],"itemData":{"id":1034,"type":"book","ISBN":"978-0-273-78958-1","publisher":"Pearson Education","title":"Financial accounting","author":[{"family":"Weetman","given":"Pauline"}],"issued":{"date-parts":[["2013",7,15]]}},"label":"page"},{"id":766,"uris":["http://zotero.org/users/local/RRCsWsp6/items/DV4TDK2G"],"itemData":{"id":766,"type":"book","event-place":"Harlow, United Kingdom, UNITED KINGDOM","ISBN":"978-1-292-24405-1","publisher":"Pearson Education, Limited","publisher-place":"Harlow, United Kingdom, UNITED KINGDOM","source":"ProQuest Ebook Central","title":"Accounting and Finance for Non-Specialists 11th Edition","URL":"http://ebookcentral.proquest.com/lib/trinity/detail.action?docID=6399594","author":[{"family":"Atrill","given":"Peter"},{"family":"McLaney","given":"Eddie"}],"accessed":{"date-parts":[["2021",3,8]]},"issued":{"date-parts":[["2018"]]}},"label":"page"}],"schema":"https://github.com/citation-style-language/schema/raw/master/csl-citation.json"} </w:instrText>
      </w:r>
      <w:r w:rsidR="0035187D" w:rsidRPr="00F935C3">
        <w:rPr>
          <w:sz w:val="24"/>
          <w:szCs w:val="24"/>
        </w:rPr>
        <w:fldChar w:fldCharType="separate"/>
      </w:r>
      <w:r w:rsidR="00D96322">
        <w:rPr>
          <w:noProof/>
          <w:sz w:val="24"/>
          <w:szCs w:val="24"/>
        </w:rPr>
        <w:t>(Alvarez and Fridson, 2011; Marsh, 2012; Weetman, 2013; Atrill and McLaney, 2018)</w:t>
      </w:r>
      <w:r w:rsidR="0035187D" w:rsidRPr="00F935C3">
        <w:rPr>
          <w:sz w:val="24"/>
          <w:szCs w:val="24"/>
        </w:rPr>
        <w:fldChar w:fldCharType="end"/>
      </w:r>
      <w:r w:rsidR="00DA5CC6" w:rsidRPr="00F935C3">
        <w:rPr>
          <w:sz w:val="24"/>
          <w:szCs w:val="24"/>
        </w:rPr>
        <w:t>.</w:t>
      </w:r>
    </w:p>
    <w:p w14:paraId="7C760711" w14:textId="42F0A3BC" w:rsidR="00281078" w:rsidRPr="00F935C3" w:rsidRDefault="00D961B6" w:rsidP="00F935C3">
      <w:pPr>
        <w:spacing w:line="480" w:lineRule="auto"/>
        <w:jc w:val="both"/>
        <w:rPr>
          <w:sz w:val="24"/>
          <w:szCs w:val="24"/>
          <w:highlight w:val="yellow"/>
        </w:rPr>
      </w:pPr>
      <w:r w:rsidRPr="00F935C3">
        <w:rPr>
          <w:sz w:val="24"/>
          <w:szCs w:val="24"/>
        </w:rPr>
        <w:t>Financial ratio analysis allows for comparisons of performance within businesses, most often internally over periods of time; however, may be utilised to compare companies of varying size. They are limited in use</w:t>
      </w:r>
      <w:r w:rsidR="0054117A" w:rsidRPr="00F935C3">
        <w:rPr>
          <w:sz w:val="24"/>
          <w:szCs w:val="24"/>
        </w:rPr>
        <w:t xml:space="preserve"> when attempting to predict a compan</w:t>
      </w:r>
      <w:r w:rsidR="0035187D" w:rsidRPr="00F935C3">
        <w:rPr>
          <w:sz w:val="24"/>
          <w:szCs w:val="24"/>
        </w:rPr>
        <w:t>y’s future,</w:t>
      </w:r>
      <w:r w:rsidRPr="00F935C3">
        <w:rPr>
          <w:sz w:val="24"/>
          <w:szCs w:val="24"/>
        </w:rPr>
        <w:t xml:space="preserve"> as they cannot interrogate the strategic and operational business decisions that impact them</w:t>
      </w:r>
      <w:r w:rsidR="0035187D" w:rsidRPr="00F935C3">
        <w:rPr>
          <w:sz w:val="24"/>
          <w:szCs w:val="24"/>
        </w:rPr>
        <w:t>;</w:t>
      </w:r>
      <w:r w:rsidRPr="00F935C3">
        <w:rPr>
          <w:sz w:val="24"/>
          <w:szCs w:val="24"/>
        </w:rPr>
        <w:t xml:space="preserve"> but do provide a backwards focused tool to analyse a particular period of time surrounding an event such as the COVID-19 pandemic </w:t>
      </w:r>
      <w:r w:rsidRPr="00F935C3">
        <w:rPr>
          <w:sz w:val="24"/>
          <w:szCs w:val="24"/>
        </w:rPr>
        <w:fldChar w:fldCharType="begin"/>
      </w:r>
      <w:r w:rsidR="00652946">
        <w:rPr>
          <w:sz w:val="24"/>
          <w:szCs w:val="24"/>
        </w:rPr>
        <w:instrText xml:space="preserve"> ADDIN ZOTERO_ITEM CSL_CITATION {"citationID":"UjWnSYaa","properties":{"formattedCitation":"(Faello, 2015; Vaidya, 2019)","plainCitation":"(Faello, 2015; Vaidya, 2019)","noteIndex":0},"citationItems":[{"id":770,"uris":["http://zotero.org/users/local/RRCsWsp6/items/KIMZLVUJ"],"itemData":{"id":770,"type":"article-journal","abstract":"The purpose of this paper is to provide financial statement users and accounting academics with some useful insights when working with financial ratios. Initially, the uses and benefits of financial ratios and the limitations of using financial ratios are discussed from the financial statement users' and accounting academics' perspectives. Then, practical advice is provided to both financial statement users and accounting academics alike to mitigate the limitations of using financial ratios. Financial statement users and accounting academics will find the issues discussed in this paper useful in their work with financial ratios.","container-title":"Academy of Accounting and Financial Studies Journal","ISSN":"10963685","issue":"3","language":"English","license":"Copyright Jordan Whitney Enterprises, Inc 2015","note":"number: 3\nnumber-of-pages: 11\npublisher-place: Arden, United States\npublisher: Jordan Whitney Enterprises, Inc","page":"75-85","source":"ProQuest","title":"Understanding the Limitations of Financial Ratios","volume":"19","author":[{"family":"Faello","given":"Joseph"}],"issued":{"date-parts":[["2015"]]}},"label":"page"},{"id":772,"uris":["http://zotero.org/users/local/RRCsWsp6/items/JYCVYSDT"],"itemData":{"id":772,"type":"post-weblog","abstract":"Guide to Limitations of Ratio Analysis. There are the top 10 financial ratio analysis limitations including not considering business size, contingent liabilities, seasonality, the effect of changes in accounting policies and more.","container-title":"WallStreetMojo","language":"en-US","title":"Limitations of Ratio Analysis | Top 10 Financial Ratio Limitations","URL":"https://www.wallstreetmojo.com/ratio-analysis-limitations/","author":[{"family":"Vaidya","given":"Dheeraj"}],"accessed":{"date-parts":[["2023",3,8]]},"issued":{"date-parts":[["2019",1,7]]}},"label":"page"}],"schema":"https://github.com/citation-style-language/schema/raw/master/csl-citation.json"} </w:instrText>
      </w:r>
      <w:r w:rsidRPr="00F935C3">
        <w:rPr>
          <w:sz w:val="24"/>
          <w:szCs w:val="24"/>
        </w:rPr>
        <w:fldChar w:fldCharType="separate"/>
      </w:r>
      <w:r w:rsidR="007931FB">
        <w:rPr>
          <w:noProof/>
          <w:sz w:val="24"/>
          <w:szCs w:val="24"/>
        </w:rPr>
        <w:t>(Faello, 2015; Vaidya, 2019)</w:t>
      </w:r>
      <w:r w:rsidRPr="00F935C3">
        <w:rPr>
          <w:sz w:val="24"/>
          <w:szCs w:val="24"/>
        </w:rPr>
        <w:fldChar w:fldCharType="end"/>
      </w:r>
      <w:r w:rsidRPr="00F935C3">
        <w:rPr>
          <w:sz w:val="24"/>
          <w:szCs w:val="24"/>
        </w:rPr>
        <w:t xml:space="preserve">. </w:t>
      </w:r>
    </w:p>
    <w:p w14:paraId="56FA2517" w14:textId="45EFF995" w:rsidR="005932F7" w:rsidRPr="00F935C3" w:rsidRDefault="001851A5" w:rsidP="00F935C3">
      <w:pPr>
        <w:pStyle w:val="Heading2"/>
        <w:numPr>
          <w:ilvl w:val="1"/>
          <w:numId w:val="3"/>
        </w:numPr>
        <w:spacing w:line="480" w:lineRule="auto"/>
        <w:jc w:val="both"/>
        <w:rPr>
          <w:szCs w:val="24"/>
        </w:rPr>
      </w:pPr>
      <w:bookmarkStart w:id="8" w:name="_Toc141646691"/>
      <w:r w:rsidRPr="00F935C3">
        <w:rPr>
          <w:szCs w:val="24"/>
        </w:rPr>
        <w:t>Research Question</w:t>
      </w:r>
      <w:bookmarkEnd w:id="8"/>
    </w:p>
    <w:p w14:paraId="523109C7" w14:textId="39540489" w:rsidR="00802DEB" w:rsidRPr="00F935C3" w:rsidRDefault="00BA062A" w:rsidP="00F935C3">
      <w:pPr>
        <w:spacing w:line="480" w:lineRule="auto"/>
        <w:jc w:val="both"/>
        <w:rPr>
          <w:sz w:val="24"/>
          <w:szCs w:val="24"/>
        </w:rPr>
      </w:pPr>
      <w:r w:rsidRPr="00F935C3">
        <w:rPr>
          <w:sz w:val="24"/>
          <w:szCs w:val="24"/>
        </w:rPr>
        <w:t xml:space="preserve">How were the different industries of the UK economy affected </w:t>
      </w:r>
      <w:r w:rsidR="00B20A69" w:rsidRPr="00F935C3">
        <w:rPr>
          <w:sz w:val="24"/>
          <w:szCs w:val="24"/>
        </w:rPr>
        <w:t xml:space="preserve">on a financial basis </w:t>
      </w:r>
      <w:r w:rsidRPr="00F935C3">
        <w:rPr>
          <w:sz w:val="24"/>
          <w:szCs w:val="24"/>
        </w:rPr>
        <w:t>by the COVID-19 Pandemic</w:t>
      </w:r>
      <w:r w:rsidR="00251328" w:rsidRPr="00F935C3">
        <w:rPr>
          <w:sz w:val="24"/>
          <w:szCs w:val="24"/>
        </w:rPr>
        <w:t>?</w:t>
      </w:r>
    </w:p>
    <w:p w14:paraId="3E510B35" w14:textId="1E7D9292" w:rsidR="00311122" w:rsidRPr="00F935C3" w:rsidRDefault="00004070" w:rsidP="00F935C3">
      <w:pPr>
        <w:pStyle w:val="Heading2"/>
        <w:numPr>
          <w:ilvl w:val="1"/>
          <w:numId w:val="3"/>
        </w:numPr>
        <w:spacing w:line="480" w:lineRule="auto"/>
        <w:jc w:val="both"/>
        <w:rPr>
          <w:szCs w:val="24"/>
        </w:rPr>
      </w:pPr>
      <w:bookmarkStart w:id="9" w:name="_Toc141646692"/>
      <w:r w:rsidRPr="00F935C3">
        <w:rPr>
          <w:szCs w:val="24"/>
        </w:rPr>
        <w:lastRenderedPageBreak/>
        <w:t>S</w:t>
      </w:r>
      <w:r w:rsidR="00B306E7" w:rsidRPr="00F935C3">
        <w:rPr>
          <w:szCs w:val="24"/>
        </w:rPr>
        <w:t>tudy Aim</w:t>
      </w:r>
      <w:bookmarkEnd w:id="9"/>
    </w:p>
    <w:p w14:paraId="5AD0CEA3" w14:textId="148C5E7A" w:rsidR="00E008B1" w:rsidRPr="00F935C3" w:rsidRDefault="00B306E7" w:rsidP="00F935C3">
      <w:pPr>
        <w:spacing w:line="480" w:lineRule="auto"/>
        <w:jc w:val="both"/>
        <w:rPr>
          <w:rFonts w:cstheme="minorHAnsi"/>
          <w:sz w:val="24"/>
          <w:szCs w:val="24"/>
        </w:rPr>
      </w:pPr>
      <w:r w:rsidRPr="00F935C3">
        <w:rPr>
          <w:sz w:val="24"/>
          <w:szCs w:val="24"/>
        </w:rPr>
        <w:t xml:space="preserve">The aim of this study is to use the London Stock Exchange FTSE 250 Index as a proxy representing the UK economy sectors, to identify the degree of specific industry sector’s financial exposure, performance and response to the COVID-19 pandemic which impacted the UK during the calendar year of 2020. An assessment of the different industry sectors financial management of the pandemic impact any financial actions taken to capitalise on opportunities presented to overcome the challenges will be completed. </w:t>
      </w:r>
    </w:p>
    <w:p w14:paraId="17942320" w14:textId="740DB99C" w:rsidR="00CE5C03" w:rsidRPr="00F935C3" w:rsidRDefault="00B306E7" w:rsidP="00F935C3">
      <w:pPr>
        <w:pStyle w:val="Heading2"/>
        <w:numPr>
          <w:ilvl w:val="1"/>
          <w:numId w:val="3"/>
        </w:numPr>
        <w:spacing w:line="480" w:lineRule="auto"/>
        <w:jc w:val="both"/>
        <w:rPr>
          <w:szCs w:val="24"/>
        </w:rPr>
      </w:pPr>
      <w:bookmarkStart w:id="10" w:name="_Toc141646693"/>
      <w:r w:rsidRPr="00F935C3">
        <w:rPr>
          <w:szCs w:val="24"/>
        </w:rPr>
        <w:t xml:space="preserve">Study </w:t>
      </w:r>
      <w:r w:rsidR="0073517F" w:rsidRPr="00F935C3">
        <w:rPr>
          <w:szCs w:val="24"/>
        </w:rPr>
        <w:t>Objectives</w:t>
      </w:r>
      <w:bookmarkEnd w:id="10"/>
    </w:p>
    <w:p w14:paraId="33B285EC" w14:textId="4ED1DBCB" w:rsidR="007400C9" w:rsidRPr="00F935C3" w:rsidRDefault="00AC63C1" w:rsidP="00F935C3">
      <w:pPr>
        <w:pStyle w:val="ListParagraph"/>
        <w:numPr>
          <w:ilvl w:val="0"/>
          <w:numId w:val="14"/>
        </w:numPr>
        <w:spacing w:line="480" w:lineRule="auto"/>
        <w:jc w:val="both"/>
        <w:rPr>
          <w:rFonts w:cstheme="minorHAnsi"/>
          <w:sz w:val="24"/>
          <w:szCs w:val="24"/>
        </w:rPr>
      </w:pPr>
      <w:r w:rsidRPr="00F935C3">
        <w:rPr>
          <w:sz w:val="24"/>
          <w:szCs w:val="24"/>
        </w:rPr>
        <w:t xml:space="preserve"> </w:t>
      </w:r>
      <w:r w:rsidR="007400C9" w:rsidRPr="00F935C3">
        <w:rPr>
          <w:rFonts w:cstheme="minorHAnsi"/>
          <w:sz w:val="24"/>
          <w:szCs w:val="24"/>
        </w:rPr>
        <w:t>To identify trends in industr</w:t>
      </w:r>
      <w:r w:rsidR="00CA3A38" w:rsidRPr="00F935C3">
        <w:rPr>
          <w:rFonts w:cstheme="minorHAnsi"/>
          <w:sz w:val="24"/>
          <w:szCs w:val="24"/>
        </w:rPr>
        <w:t>y sectors</w:t>
      </w:r>
      <w:r w:rsidR="007400C9" w:rsidRPr="00F935C3">
        <w:rPr>
          <w:rFonts w:cstheme="minorHAnsi"/>
          <w:sz w:val="24"/>
          <w:szCs w:val="24"/>
        </w:rPr>
        <w:t xml:space="preserve"> that responded financially well to the stress factor of the COVID-19 pandemic.</w:t>
      </w:r>
    </w:p>
    <w:p w14:paraId="62C86EA5" w14:textId="38DF3504" w:rsidR="007400C9" w:rsidRPr="00F935C3" w:rsidRDefault="007400C9" w:rsidP="00F935C3">
      <w:pPr>
        <w:pStyle w:val="ListParagraph"/>
        <w:numPr>
          <w:ilvl w:val="0"/>
          <w:numId w:val="14"/>
        </w:numPr>
        <w:spacing w:line="480" w:lineRule="auto"/>
        <w:jc w:val="both"/>
        <w:rPr>
          <w:rFonts w:cstheme="minorHAnsi"/>
          <w:sz w:val="24"/>
          <w:szCs w:val="24"/>
        </w:rPr>
      </w:pPr>
      <w:r w:rsidRPr="00F935C3">
        <w:rPr>
          <w:rFonts w:cstheme="minorHAnsi"/>
          <w:sz w:val="24"/>
          <w:szCs w:val="24"/>
        </w:rPr>
        <w:t>To identify growth industr</w:t>
      </w:r>
      <w:r w:rsidR="00CA3A38" w:rsidRPr="00F935C3">
        <w:rPr>
          <w:rFonts w:cstheme="minorHAnsi"/>
          <w:sz w:val="24"/>
          <w:szCs w:val="24"/>
        </w:rPr>
        <w:t>y</w:t>
      </w:r>
      <w:r w:rsidRPr="00F935C3">
        <w:rPr>
          <w:rFonts w:cstheme="minorHAnsi"/>
          <w:sz w:val="24"/>
          <w:szCs w:val="24"/>
        </w:rPr>
        <w:t xml:space="preserve"> </w:t>
      </w:r>
      <w:r w:rsidR="00CA3A38" w:rsidRPr="00F935C3">
        <w:rPr>
          <w:rFonts w:cstheme="minorHAnsi"/>
          <w:sz w:val="24"/>
          <w:szCs w:val="24"/>
        </w:rPr>
        <w:t>sectors</w:t>
      </w:r>
      <w:r w:rsidRPr="00F935C3">
        <w:rPr>
          <w:rFonts w:cstheme="minorHAnsi"/>
          <w:sz w:val="24"/>
          <w:szCs w:val="24"/>
        </w:rPr>
        <w:t xml:space="preserve"> and assess how they overcame the challenges</w:t>
      </w:r>
      <w:r w:rsidR="00E30CA6" w:rsidRPr="00F935C3">
        <w:rPr>
          <w:rFonts w:cstheme="minorHAnsi"/>
          <w:sz w:val="24"/>
          <w:szCs w:val="24"/>
        </w:rPr>
        <w:t xml:space="preserve"> of the </w:t>
      </w:r>
      <w:r w:rsidR="00813A36" w:rsidRPr="00F935C3">
        <w:rPr>
          <w:rFonts w:cstheme="minorHAnsi"/>
          <w:sz w:val="24"/>
          <w:szCs w:val="24"/>
        </w:rPr>
        <w:t>COVID-19 pandemic</w:t>
      </w:r>
      <w:r w:rsidRPr="00F935C3">
        <w:rPr>
          <w:rFonts w:cstheme="minorHAnsi"/>
          <w:sz w:val="24"/>
          <w:szCs w:val="24"/>
        </w:rPr>
        <w:t xml:space="preserve"> and added value to their proposition. </w:t>
      </w:r>
    </w:p>
    <w:p w14:paraId="50E2AB3C" w14:textId="3E96D4A1" w:rsidR="00F724FF" w:rsidRPr="00F935C3" w:rsidRDefault="00F724FF" w:rsidP="00F935C3">
      <w:pPr>
        <w:pStyle w:val="ListParagraph"/>
        <w:numPr>
          <w:ilvl w:val="0"/>
          <w:numId w:val="14"/>
        </w:numPr>
        <w:spacing w:line="480" w:lineRule="auto"/>
        <w:jc w:val="both"/>
        <w:rPr>
          <w:rFonts w:cstheme="minorHAnsi"/>
          <w:sz w:val="24"/>
          <w:szCs w:val="24"/>
        </w:rPr>
      </w:pPr>
      <w:r w:rsidRPr="00F935C3">
        <w:rPr>
          <w:rFonts w:cstheme="minorHAnsi"/>
          <w:sz w:val="24"/>
          <w:szCs w:val="24"/>
        </w:rPr>
        <w:t>To i</w:t>
      </w:r>
      <w:r w:rsidR="006D27C8" w:rsidRPr="00F935C3">
        <w:rPr>
          <w:rFonts w:cstheme="minorHAnsi"/>
          <w:sz w:val="24"/>
          <w:szCs w:val="24"/>
        </w:rPr>
        <w:t xml:space="preserve">dentify declining industry sectors and assess how </w:t>
      </w:r>
      <w:r w:rsidR="00E30CA6" w:rsidRPr="00F935C3">
        <w:rPr>
          <w:rFonts w:cstheme="minorHAnsi"/>
          <w:sz w:val="24"/>
          <w:szCs w:val="24"/>
        </w:rPr>
        <w:t xml:space="preserve">the challenges of the COVID-19 </w:t>
      </w:r>
      <w:r w:rsidR="00813A36" w:rsidRPr="00F935C3">
        <w:rPr>
          <w:rFonts w:cstheme="minorHAnsi"/>
          <w:sz w:val="24"/>
          <w:szCs w:val="24"/>
        </w:rPr>
        <w:t xml:space="preserve">pandemic </w:t>
      </w:r>
      <w:r w:rsidR="00E30CA6" w:rsidRPr="00F935C3">
        <w:rPr>
          <w:rFonts w:cstheme="minorHAnsi"/>
          <w:sz w:val="24"/>
          <w:szCs w:val="24"/>
        </w:rPr>
        <w:t>impacted th</w:t>
      </w:r>
      <w:r w:rsidR="00813A36" w:rsidRPr="00F935C3">
        <w:rPr>
          <w:rFonts w:cstheme="minorHAnsi"/>
          <w:sz w:val="24"/>
          <w:szCs w:val="24"/>
        </w:rPr>
        <w:t>eir</w:t>
      </w:r>
      <w:r w:rsidR="00E30CA6" w:rsidRPr="00F935C3">
        <w:rPr>
          <w:rFonts w:cstheme="minorHAnsi"/>
          <w:sz w:val="24"/>
          <w:szCs w:val="24"/>
        </w:rPr>
        <w:t xml:space="preserve"> positions. </w:t>
      </w:r>
    </w:p>
    <w:p w14:paraId="3E49ADD2" w14:textId="77777777" w:rsidR="007400C9" w:rsidRPr="00F935C3" w:rsidRDefault="007400C9" w:rsidP="00F935C3">
      <w:pPr>
        <w:pStyle w:val="ListParagraph"/>
        <w:numPr>
          <w:ilvl w:val="0"/>
          <w:numId w:val="14"/>
        </w:numPr>
        <w:spacing w:line="480" w:lineRule="auto"/>
        <w:jc w:val="both"/>
        <w:rPr>
          <w:rFonts w:cstheme="minorHAnsi"/>
          <w:sz w:val="24"/>
          <w:szCs w:val="24"/>
        </w:rPr>
      </w:pPr>
      <w:r w:rsidRPr="00F935C3">
        <w:rPr>
          <w:rFonts w:cstheme="minorHAnsi"/>
          <w:sz w:val="24"/>
          <w:szCs w:val="24"/>
        </w:rPr>
        <w:t xml:space="preserve">To examine trends, changes and influencing factors in the FTSE 250 index between January 2020 and December 2021. </w:t>
      </w:r>
    </w:p>
    <w:p w14:paraId="61477ADC" w14:textId="70276359" w:rsidR="00F81184" w:rsidRPr="00212580" w:rsidRDefault="00F81184" w:rsidP="001A17BB">
      <w:pPr>
        <w:pStyle w:val="Heading2"/>
        <w:numPr>
          <w:ilvl w:val="0"/>
          <w:numId w:val="0"/>
        </w:numPr>
        <w:spacing w:line="480" w:lineRule="auto"/>
        <w:jc w:val="both"/>
        <w:rPr>
          <w:szCs w:val="24"/>
        </w:rPr>
      </w:pPr>
    </w:p>
    <w:p w14:paraId="1BD42482" w14:textId="77777777" w:rsidR="0074439A" w:rsidRDefault="0074439A" w:rsidP="00F121BC">
      <w:pPr>
        <w:spacing w:line="480" w:lineRule="auto"/>
        <w:jc w:val="both"/>
        <w:rPr>
          <w:sz w:val="24"/>
          <w:szCs w:val="24"/>
        </w:rPr>
      </w:pPr>
    </w:p>
    <w:p w14:paraId="6032A56C" w14:textId="77777777" w:rsidR="009A74A4" w:rsidRDefault="009A74A4" w:rsidP="00F121BC">
      <w:pPr>
        <w:spacing w:line="480" w:lineRule="auto"/>
        <w:jc w:val="both"/>
        <w:rPr>
          <w:sz w:val="24"/>
          <w:szCs w:val="24"/>
        </w:rPr>
      </w:pPr>
    </w:p>
    <w:p w14:paraId="4CFC0040" w14:textId="77777777" w:rsidR="009A74A4" w:rsidRDefault="009A74A4" w:rsidP="00F121BC">
      <w:pPr>
        <w:spacing w:line="480" w:lineRule="auto"/>
        <w:jc w:val="both"/>
        <w:rPr>
          <w:sz w:val="24"/>
          <w:szCs w:val="24"/>
        </w:rPr>
      </w:pPr>
    </w:p>
    <w:p w14:paraId="67F3FB6B" w14:textId="77777777" w:rsidR="00F935C3" w:rsidRDefault="00F935C3">
      <w:pPr>
        <w:rPr>
          <w:rFonts w:eastAsia="Times New Roman" w:cs="Times New Roman"/>
          <w:b/>
          <w:bCs/>
          <w:kern w:val="36"/>
          <w:sz w:val="24"/>
          <w:szCs w:val="24"/>
          <w:lang w:eastAsia="en-GB"/>
        </w:rPr>
      </w:pPr>
      <w:r>
        <w:rPr>
          <w:szCs w:val="24"/>
        </w:rPr>
        <w:br w:type="page"/>
      </w:r>
    </w:p>
    <w:p w14:paraId="06E24ED1" w14:textId="3D8D11E3" w:rsidR="00F833C8" w:rsidRDefault="00F833C8" w:rsidP="00F121BC">
      <w:pPr>
        <w:pStyle w:val="Heading1"/>
        <w:numPr>
          <w:ilvl w:val="0"/>
          <w:numId w:val="3"/>
        </w:numPr>
        <w:spacing w:line="480" w:lineRule="auto"/>
        <w:jc w:val="both"/>
        <w:rPr>
          <w:szCs w:val="24"/>
        </w:rPr>
      </w:pPr>
      <w:bookmarkStart w:id="11" w:name="_Toc141646694"/>
      <w:r w:rsidRPr="00212580">
        <w:rPr>
          <w:szCs w:val="24"/>
        </w:rPr>
        <w:lastRenderedPageBreak/>
        <w:t>Literature Review</w:t>
      </w:r>
      <w:bookmarkEnd w:id="11"/>
    </w:p>
    <w:p w14:paraId="45C84144" w14:textId="499630C1" w:rsidR="009075E8" w:rsidRDefault="00E16A2C" w:rsidP="009075E8">
      <w:pPr>
        <w:pStyle w:val="Heading2"/>
        <w:numPr>
          <w:ilvl w:val="1"/>
          <w:numId w:val="3"/>
        </w:numPr>
        <w:spacing w:line="480" w:lineRule="auto"/>
        <w:jc w:val="both"/>
        <w:rPr>
          <w:szCs w:val="24"/>
        </w:rPr>
      </w:pPr>
      <w:bookmarkStart w:id="12" w:name="_Toc141646695"/>
      <w:r>
        <w:rPr>
          <w:szCs w:val="24"/>
        </w:rPr>
        <w:t xml:space="preserve">Impact of </w:t>
      </w:r>
      <w:r w:rsidR="00C810D9">
        <w:rPr>
          <w:szCs w:val="24"/>
        </w:rPr>
        <w:t>Economic Condition</w:t>
      </w:r>
      <w:r>
        <w:rPr>
          <w:szCs w:val="24"/>
        </w:rPr>
        <w:t>s</w:t>
      </w:r>
      <w:r w:rsidR="00C810D9">
        <w:rPr>
          <w:szCs w:val="24"/>
        </w:rPr>
        <w:t xml:space="preserve"> on </w:t>
      </w:r>
      <w:r w:rsidR="0054364A">
        <w:rPr>
          <w:szCs w:val="24"/>
        </w:rPr>
        <w:t xml:space="preserve">Stock </w:t>
      </w:r>
      <w:r w:rsidR="00C450DC">
        <w:rPr>
          <w:szCs w:val="24"/>
        </w:rPr>
        <w:t>M</w:t>
      </w:r>
      <w:r w:rsidR="0054364A">
        <w:rPr>
          <w:szCs w:val="24"/>
        </w:rPr>
        <w:t>arkets</w:t>
      </w:r>
      <w:bookmarkEnd w:id="12"/>
    </w:p>
    <w:p w14:paraId="2C4770DD" w14:textId="7CC6D79E" w:rsidR="00CA5AD8" w:rsidRPr="000110B0" w:rsidRDefault="00C72891" w:rsidP="000110B0">
      <w:pPr>
        <w:spacing w:line="480" w:lineRule="auto"/>
        <w:jc w:val="both"/>
        <w:rPr>
          <w:rFonts w:cstheme="minorHAnsi"/>
          <w:sz w:val="24"/>
          <w:szCs w:val="24"/>
        </w:rPr>
      </w:pPr>
      <w:r w:rsidRPr="00527D31">
        <w:rPr>
          <w:rFonts w:cstheme="minorHAnsi"/>
          <w:sz w:val="24"/>
          <w:szCs w:val="24"/>
        </w:rPr>
        <w:t xml:space="preserve">National level economic indicators are published at a governmental and think-tank level, however these often do not provide a more in-depth analysis of specific industry sector level performance </w:t>
      </w:r>
      <w:r w:rsidRPr="00527D31">
        <w:rPr>
          <w:rFonts w:cstheme="minorHAnsi"/>
          <w:sz w:val="24"/>
          <w:szCs w:val="24"/>
        </w:rPr>
        <w:fldChar w:fldCharType="begin"/>
      </w:r>
      <w:r w:rsidRPr="00527D31">
        <w:rPr>
          <w:rFonts w:cstheme="minorHAnsi"/>
          <w:sz w:val="24"/>
          <w:szCs w:val="24"/>
        </w:rPr>
        <w:instrText xml:space="preserve"> ADDIN ZOTERO_ITEM CSL_CITATION {"citationID":"PFxnHmY8","properties":{"formattedCitation":"(Frumkin, 2015; Illan, 2021)","plainCitation":"(Frumkin, 2015; Illan, 2021)","noteIndex":0},"citationItems":[{"id":965,"uris":["http://zotero.org/users/local/RRCsWsp6/items/KXASPX6H"],"itemData":{"id":965,"type":"book","abstract":"Now revised and expanded, this widely-used desk reference provides quick and easy access to current and reliable data on the major statistical measures of the U.S. economy. Equally useful for students, general readers, economists, analysts, journalists, and investors, the guide provides concise, jargon-free explanations of the meaning, use, and availability of more than 70 macroeconomic indicators, including websites, recent trends, and current data.","ISBN":"978-1-317-46928-5","language":"en","note":"Google-Books-ID: P6FzCQAAQBAJ","number-of-pages":"305","publisher":"Routledge","source":"Google Books","title":"Guide to Economic Indicators","author":[{"family":"Frumkin","given":"Norman"}],"issued":{"date-parts":[["2015",5,20]]}},"label":"page"},{"id":963,"uris":["http://zotero.org/users/local/RRCsWsp6/items/E8SBAS8S"],"itemData":{"id":963,"type":"article-newspaper","abstract":"So why do many investors do precisely the thing they're told not to do — using past performance to gauge where to allocate their funds?","container-title":"Forbes","edition":"Council Post","language":"en","note":"section: Money","title":"Think The Stock Market Is A Leading Economic Indicator? Think Again","title-short":"Forbes Council Post","URL":"https://www.forbes.com/sites/forbesfinancecouncil/2021/02/25/think-the-stock-market-is-a-leading-economic-indicator-think-again/","author":[{"family":"Illan","given":"Ivan"}],"accessed":{"date-parts":[["2023",7,22]]},"issued":{"date-parts":[["2021",2,25]]}},"label":"page"}],"schema":"https://github.com/citation-style-language/schema/raw/master/csl-citation.json"} </w:instrText>
      </w:r>
      <w:r w:rsidRPr="00527D31">
        <w:rPr>
          <w:rFonts w:cstheme="minorHAnsi"/>
          <w:sz w:val="24"/>
          <w:szCs w:val="24"/>
        </w:rPr>
        <w:fldChar w:fldCharType="separate"/>
      </w:r>
      <w:r w:rsidR="007931FB">
        <w:rPr>
          <w:rFonts w:cstheme="minorHAnsi"/>
          <w:noProof/>
          <w:sz w:val="24"/>
          <w:szCs w:val="24"/>
        </w:rPr>
        <w:t>(Frumkin, 2015; Illan, 2021)</w:t>
      </w:r>
      <w:r w:rsidRPr="00527D31">
        <w:rPr>
          <w:rFonts w:cstheme="minorHAnsi"/>
          <w:sz w:val="24"/>
          <w:szCs w:val="24"/>
        </w:rPr>
        <w:fldChar w:fldCharType="end"/>
      </w:r>
      <w:r w:rsidRPr="00527D31">
        <w:rPr>
          <w:rFonts w:cstheme="minorHAnsi"/>
          <w:sz w:val="24"/>
          <w:szCs w:val="24"/>
        </w:rPr>
        <w:t xml:space="preserve">. Stock markets </w:t>
      </w:r>
      <w:r w:rsidR="003E0E08" w:rsidRPr="00527D31">
        <w:rPr>
          <w:rFonts w:cstheme="minorHAnsi"/>
          <w:sz w:val="24"/>
          <w:szCs w:val="24"/>
        </w:rPr>
        <w:t>are not coupled to national economies</w:t>
      </w:r>
      <w:r w:rsidR="00EB50A2" w:rsidRPr="00527D31">
        <w:rPr>
          <w:rFonts w:cstheme="minorHAnsi"/>
          <w:sz w:val="24"/>
          <w:szCs w:val="24"/>
        </w:rPr>
        <w:t xml:space="preserve"> on a 1-2-1 basis, due to investors being forward-looking and therefore they anticipate</w:t>
      </w:r>
      <w:r w:rsidR="0095742E" w:rsidRPr="00527D31">
        <w:rPr>
          <w:rFonts w:cstheme="minorHAnsi"/>
          <w:sz w:val="24"/>
          <w:szCs w:val="24"/>
        </w:rPr>
        <w:t xml:space="preserve"> worsening or improving conditions. Stock markets, especially </w:t>
      </w:r>
      <w:r w:rsidR="001C2EB0" w:rsidRPr="00527D31">
        <w:rPr>
          <w:rFonts w:cstheme="minorHAnsi"/>
          <w:sz w:val="24"/>
          <w:szCs w:val="24"/>
        </w:rPr>
        <w:t>indices</w:t>
      </w:r>
      <w:r w:rsidR="0095742E" w:rsidRPr="00527D31">
        <w:rPr>
          <w:rFonts w:cstheme="minorHAnsi"/>
          <w:sz w:val="24"/>
          <w:szCs w:val="24"/>
        </w:rPr>
        <w:t xml:space="preserve"> however are</w:t>
      </w:r>
      <w:r w:rsidR="001C2EB0" w:rsidRPr="00527D31">
        <w:rPr>
          <w:rFonts w:cstheme="minorHAnsi"/>
          <w:sz w:val="24"/>
          <w:szCs w:val="24"/>
        </w:rPr>
        <w:t xml:space="preserve"> viewed as important indicators of expected economic conditions </w:t>
      </w:r>
      <w:r w:rsidR="002A06CE" w:rsidRPr="00527D31">
        <w:rPr>
          <w:rFonts w:cstheme="minorHAnsi"/>
          <w:sz w:val="24"/>
          <w:szCs w:val="24"/>
        </w:rPr>
        <w:t>at a more detailed level</w:t>
      </w:r>
      <w:r w:rsidR="00320959">
        <w:rPr>
          <w:rFonts w:cstheme="minorHAnsi"/>
          <w:sz w:val="24"/>
          <w:szCs w:val="24"/>
        </w:rPr>
        <w:t>, and often move in close correlation</w:t>
      </w:r>
      <w:r w:rsidR="00054419">
        <w:rPr>
          <w:rFonts w:cstheme="minorHAnsi"/>
          <w:sz w:val="24"/>
          <w:szCs w:val="24"/>
        </w:rPr>
        <w:t xml:space="preserve"> </w:t>
      </w:r>
      <w:r w:rsidR="003345A5" w:rsidRPr="00527D31">
        <w:rPr>
          <w:rFonts w:cstheme="minorHAnsi"/>
          <w:sz w:val="24"/>
          <w:szCs w:val="24"/>
        </w:rPr>
        <w:fldChar w:fldCharType="begin"/>
      </w:r>
      <w:r w:rsidR="00C506A9">
        <w:rPr>
          <w:rFonts w:cstheme="minorHAnsi"/>
          <w:sz w:val="24"/>
          <w:szCs w:val="24"/>
        </w:rPr>
        <w:instrText xml:space="preserve"> ADDIN ZOTERO_ITEM CSL_CITATION {"citationID":"Qupfrk73","properties":{"unsorted":true,"formattedCitation":"(Pilinkus, 2010; Nasdaq, 2022)","plainCitation":"(Pilinkus, 2010; Nasdaq, 2022)","noteIndex":0},"citationItems":[{"id":969,"uris":["http://zotero.org/users/local/RRCsWsp6/items/V4WWNKH3"],"itemData":{"id":969,"type":"article-journal","abstract":"Abstract. The relation between macroeconomic variables and the movement of stock prices has well been documented in the literature over the last several decades. It is often argued that stock prices are determined by some fundamental macroeconomic variables. Therefore, macroeconomic variables can influence investment decisions and motivates many researchers to investigate the relation between stock market prices and macroeconomic variables. The current paper attempts to introduce the concepts of stock market and macroeconomic indicators, then to present a model of the impact of macroeconomic indicators on stock market index, and to define what macroeconomic indicators are related with stock market index in the short and long runs. The study investigates ten macroeconomic indicators and the main Baltic stock market indices. The data are monthly and extend from the January of 2000 to the December of 2008. Empirical research has been conducted with the Baltic States: Lithuania, Latvia, and Estonia. With the reference to the results of performed analysis the interpretations of the relationships between macroeconomic indicators and stock market index from the viewpoint of investors have been formed.","container-title":"Technological &amp; Economic Development of Economy","DOI":"10.3846/tede.2010.19","ISSN":"20294913","issue":"2","note":"publisher: Vilnius Gediminas Technical University","page":"291-304","source":"EBSCOhost","title":"Macroeconomic Indicators and Their Im Pact on Stock Market Performance in the Short and Long Run: The Case of the Baltic States: MAKROEKONOMINIAI RODIKLIAI IR JŲ ĮTAKA AKCIJŲ RINKOS INDEKSUI TRUMPUOJU IR ILGUOJU LAIKOTARPIU: BALTIJOS ŠALIŲ ATVEJIS.","title-short":"Macroeconomic Indicators and Their Im Pact on Stock Market Performance in the Short and Long Run","volume":"16","author":[{"family":"Pilinkus","given":"Donatas"}],"issued":{"date-parts":[["2010",6]]}},"label":"page"},{"id":967,"uris":["http://zotero.org/users/local/RRCsWsp6/items/SCQP6GU2"],"itemData":{"id":967,"type":"webpage","abstract":"Because companies that make up the stock market account for trillions of investment dollars, employ millions of people and garner a lot of headlines, it’s easy to believe that the stock market and the economy are essentially the same.","container-title":"Nasdaq Articles","language":"en","title":"The Stock Market is Not the Economy","URL":"https://www.nasdaq.com/articles/the-stock-market-is-not-the-economy","author":[{"literal":"Nasdaq"}],"accessed":{"date-parts":[["2023",7,22]]},"issued":{"date-parts":[["2022",7,21]]}},"label":"page"}],"schema":"https://github.com/citation-style-language/schema/raw/master/csl-citation.json"} </w:instrText>
      </w:r>
      <w:r w:rsidR="003345A5" w:rsidRPr="00527D31">
        <w:rPr>
          <w:rFonts w:cstheme="minorHAnsi"/>
          <w:sz w:val="24"/>
          <w:szCs w:val="24"/>
        </w:rPr>
        <w:fldChar w:fldCharType="separate"/>
      </w:r>
      <w:r w:rsidR="00C506A9">
        <w:rPr>
          <w:rFonts w:cstheme="minorHAnsi"/>
          <w:noProof/>
          <w:sz w:val="24"/>
          <w:szCs w:val="24"/>
        </w:rPr>
        <w:t>(Pilinkus, 2010; Nasdaq, 2022)</w:t>
      </w:r>
      <w:r w:rsidR="003345A5" w:rsidRPr="00527D31">
        <w:rPr>
          <w:rFonts w:cstheme="minorHAnsi"/>
          <w:sz w:val="24"/>
          <w:szCs w:val="24"/>
        </w:rPr>
        <w:fldChar w:fldCharType="end"/>
      </w:r>
      <w:r w:rsidR="002A06CE" w:rsidRPr="00527D31">
        <w:rPr>
          <w:rFonts w:cstheme="minorHAnsi"/>
          <w:sz w:val="24"/>
          <w:szCs w:val="24"/>
        </w:rPr>
        <w:t xml:space="preserve">. </w:t>
      </w:r>
      <w:r w:rsidR="00F27574">
        <w:rPr>
          <w:rFonts w:cstheme="minorHAnsi"/>
          <w:sz w:val="24"/>
          <w:szCs w:val="24"/>
        </w:rPr>
        <w:t xml:space="preserve">The movement of stock market prices </w:t>
      </w:r>
      <w:r w:rsidR="00084CA3">
        <w:rPr>
          <w:rFonts w:cstheme="minorHAnsi"/>
          <w:sz w:val="24"/>
          <w:szCs w:val="24"/>
        </w:rPr>
        <w:t>have been shown to be affected by economic downturns</w:t>
      </w:r>
      <w:r w:rsidR="0009071B">
        <w:rPr>
          <w:rFonts w:cstheme="minorHAnsi"/>
          <w:sz w:val="24"/>
          <w:szCs w:val="24"/>
        </w:rPr>
        <w:t xml:space="preserve"> at a national level, similar to those seen during the COVID-19 Pandemic. </w:t>
      </w:r>
      <w:r w:rsidR="007A0E88" w:rsidRPr="008C1EE2">
        <w:rPr>
          <w:rFonts w:cstheme="minorHAnsi"/>
          <w:sz w:val="24"/>
          <w:szCs w:val="24"/>
        </w:rPr>
        <w:t xml:space="preserve">Stock </w:t>
      </w:r>
      <w:r w:rsidR="008C1EE2">
        <w:rPr>
          <w:rFonts w:cstheme="minorHAnsi"/>
          <w:sz w:val="24"/>
          <w:szCs w:val="24"/>
        </w:rPr>
        <w:t xml:space="preserve">market </w:t>
      </w:r>
      <w:r w:rsidR="007A0E88" w:rsidRPr="008C1EE2">
        <w:rPr>
          <w:rFonts w:cstheme="minorHAnsi"/>
          <w:sz w:val="24"/>
          <w:szCs w:val="24"/>
        </w:rPr>
        <w:t xml:space="preserve">prices reflect the health and projected trajectory of a company, industry, or </w:t>
      </w:r>
      <w:r w:rsidR="008C1EE2">
        <w:rPr>
          <w:rFonts w:cstheme="minorHAnsi"/>
          <w:sz w:val="24"/>
          <w:szCs w:val="24"/>
        </w:rPr>
        <w:t xml:space="preserve">the overall </w:t>
      </w:r>
      <w:r w:rsidR="007A0E88" w:rsidRPr="008C1EE2">
        <w:rPr>
          <w:rFonts w:cstheme="minorHAnsi"/>
          <w:sz w:val="24"/>
          <w:szCs w:val="24"/>
        </w:rPr>
        <w:t>index based on a variety of factors and often reflect the impact</w:t>
      </w:r>
      <w:r w:rsidR="000A0FDD">
        <w:rPr>
          <w:rFonts w:cstheme="minorHAnsi"/>
          <w:sz w:val="24"/>
          <w:szCs w:val="24"/>
        </w:rPr>
        <w:t xml:space="preserve"> of</w:t>
      </w:r>
      <w:r w:rsidR="007A0E88" w:rsidRPr="008C1EE2">
        <w:rPr>
          <w:rFonts w:cstheme="minorHAnsi"/>
          <w:sz w:val="24"/>
          <w:szCs w:val="24"/>
        </w:rPr>
        <w:t xml:space="preserve"> an event or challenge </w:t>
      </w:r>
      <w:r w:rsidR="00155FD8">
        <w:rPr>
          <w:rFonts w:cstheme="minorHAnsi"/>
          <w:sz w:val="24"/>
          <w:szCs w:val="24"/>
        </w:rPr>
        <w:t xml:space="preserve">- </w:t>
      </w:r>
      <w:r w:rsidR="007A0E88" w:rsidRPr="008C1EE2">
        <w:rPr>
          <w:rFonts w:cstheme="minorHAnsi"/>
          <w:sz w:val="24"/>
          <w:szCs w:val="24"/>
        </w:rPr>
        <w:t>for good or ba</w:t>
      </w:r>
      <w:r w:rsidR="00155FD8">
        <w:rPr>
          <w:rFonts w:cstheme="minorHAnsi"/>
          <w:sz w:val="24"/>
          <w:szCs w:val="24"/>
        </w:rPr>
        <w:t xml:space="preserve">d </w:t>
      </w:r>
      <w:r w:rsidR="007A0E88" w:rsidRPr="008C1EE2">
        <w:rPr>
          <w:rFonts w:cstheme="minorHAnsi"/>
          <w:sz w:val="24"/>
          <w:szCs w:val="24"/>
        </w:rPr>
        <w:fldChar w:fldCharType="begin"/>
      </w:r>
      <w:r w:rsidR="00C506A9">
        <w:rPr>
          <w:rFonts w:cstheme="minorHAnsi"/>
          <w:sz w:val="24"/>
          <w:szCs w:val="24"/>
        </w:rPr>
        <w:instrText xml:space="preserve"> ADDIN ZOTERO_ITEM CSL_CITATION {"citationID":"qvQxwjnN","properties":{"unsorted":true,"formattedCitation":"(Lhabitant and Gregoriou, 2008; Pilinkus, 2010; Engle et al., 2013; Abbas and Wang, 2020; Griffith et al., 2020)","plainCitation":"(Lhabitant and Gregoriou, 2008; Pilinkus, 2010; Engle et al., 2013; Abbas and Wang, 2020; Griffith et al., 2020)","noteIndex":0},"citationItems":[{"id":537,"uris":["http://zotero.org/users/local/RRCsWsp6/items/XZZX2BA4"],"itemData":{"id":537,"type":"book","abstract":"Market microstructure, the study of financial market frictions at a micro level, helps us refine our understanding of what may be driving market liquidity and provides tools to investors of all stripes to profit from this knowledge. In Stock Market Liquidity, editors and financial experts Francois-Serge Lhabitant and Greg Gregoriou bring together the best minds in the business to address this issue and discuss their thoughts on other innovative topics associated with liquidity in today’s markets.","ISBN":"978-0-470-18169-0","language":"en","number-of-pages":"502","publisher":"John Wiley &amp; Sons","source":"Google Books","title":"Stock Market Liquidity: Implications for Market Microstructure and Asset Pricing","title-short":"Stock Market Liquidity","author":[{"family":"Lhabitant","given":"François-Serge"},{"family":"Gregoriou","given":"Greg N."}],"issued":{"date-parts":[["2008",1,9]]}},"label":"page"},{"id":969,"uris":["http://zotero.org/users/local/RRCsWsp6/items/V4WWNKH3"],"itemData":{"id":969,"type":"article-journal","abstract":"Abstract. The relation between macroeconomic variables and the movement of stock prices has well been documented in the literature over the last several decades. It is often argued that stock prices are determined by some fundamental macroeconomic variables. Therefore, macroeconomic variables can influence investment decisions and motivates many researchers to investigate the relation between stock market prices and macroeconomic variables. The current paper attempts to introduce the concepts of stock market and macroeconomic indicators, then to present a model of the impact of macroeconomic indicators on stock market index, and to define what macroeconomic indicators are related with stock market index in the short and long runs. The study investigates ten macroeconomic indicators and the main Baltic stock market indices. The data are monthly and extend from the January of 2000 to the December of 2008. Empirical research has been conducted with the Baltic States: Lithuania, Latvia, and Estonia. With the reference to the results of performed analysis the interpretations of the relationships between macroeconomic indicators and stock market index from the viewpoint of investors have been formed.","container-title":"Technological &amp; Economic Development of Economy","DOI":"10.3846/tede.2010.19","ISSN":"20294913","issue":"2","note":"publisher: Vilnius Gediminas Technical University","page":"291-304","source":"EBSCOhost","title":"Macroeconomic Indicators and Their Im Pact on Stock Market Performance in the Short and Long Run: The Case of the Baltic States: MAKROEKONOMINIAI RODIKLIAI IR JŲ ĮTAKA AKCIJŲ RINKOS INDEKSUI TRUMPUOJU IR ILGUOJU LAIKOTARPIU: BALTIJOS ŠALIŲ ATVEJIS.","title-short":"Macroeconomic Indicators and Their Im Pact on Stock Market Performance in the Short and Long Run","volume":"16","author":[{"family":"Pilinkus","given":"Donatas"}],"issued":{"date-parts":[["2010",6]]}},"label":"page"},{"id":934,"uris":["http://zotero.org/users/local/RRCsWsp6/items/A94AZNC7"],"itemData":{"id":934,"type":"article-journal","abstract":"We revisit the relation between stock market volatility and macroeconomic activity using a new class of component models that distinguish short-run from long-run movements. We formulate models with the long-term component driven by inflation and industrial production growth that are in terms of pseudo out-of-sample prediction for horizons of one quarter at par or outperform more traditional time series volatility models at longer horizons. Hence, imputing economic fundamentals into volatility models pays off in terms of long-horizon forecasting. We also find that macroeconomic fundamentals play a significant role even at short horizons.","container-title":"The Review of Economics and Statistics","ISSN":"0034-6535","issue":"3","note":"publisher: The MIT Press","page":"776-797","source":"JSTOR","title":"Stock Market Volatility and Macroeconomic Fundamentals","volume":"95","author":[{"family":"Engle","given":"Robert F."},{"family":"Ghysels","given":"Eric"},{"family":"Sohn","given":"Bumjean"}],"issued":{"date-parts":[["2013"]]}},"label":"page"},{"id":933,"uris":["http://zotero.org/users/local/RRCsWsp6/items/YHGCXC26"],"itemData":{"id":933,"type":"article-journal","abstract":"Purpose\nThe study aims to analyze the interaction between macroeconomic uncertainty and stock market return and volatility for China and USA and tries to draw some invaluable inferences for the investors, portfolio managers and policy analysts.\nEmpirically the study uses GARCH family models to capture the time-varying volatility of stock market and macroeconomic risk factors by using monthly data ranging from 1995:M7 to 2018:M6. Then, these volatility series are further used in the multivariate VAR model to analyze the feedback interaction between stock market and macroeconomic risk factors for China and USA. The study also incorporates the impact of Asian financial crisis of 1997–1998 and the global financial crisis of 2007–2008 by using dummy variables in the GARCH model analysis.\nThe empirical results of GARCH models indicate volatility persistence in the stock markets and the macroeconomic variables of both countries. The study finds relatively weak and inconsistent unidirectional causality for China mainly running from the stock market to the macroeconomic variables; however, the volatility spillover transmission reciprocates when the impact of Asian financial crisis and Global financial crisis is incorporated. For USA, the contemporaneous relationship between stock market and macroeconomic risk factors is quite strong and bidirectional both at first and second moment level.\nThis study investigates the interaction between stock market and macroeconomic uncertainty for China and USA. The researchers believe that none of the prior studies has made such rigorous comparison of two of the big and diverse economies (China and USA) which are quite contrasting in terms of political, economic and social background. Therefore, this study also tries to test the presumed conception that macroeconomic uncertainty in China may have different impact on the stock market return and volatility than in USA.","container-title":"China Finance Review International","DOI":"10.1108/CFRI-06-2019-0077","ISSN":"20441398","issue":"4","language":"English","license":"© Emerald Publishing Limited 2020","note":"number-of-pages: 35\npublisher-place: Beijing, United Kingdom\npublisher: Emerald Group Publishing Limited","page":"393-427","source":"ProQuest","title":"Does macroeconomic uncertainty really matter in predicting stock market behavior? A comparative study on China and USA","title-short":"Does macroeconomic uncertainty really matter in predicting stock market behavior?","volume":"10","author":[{"family":"Abbas","given":"Ghulam"},{"family":"Wang","given":"Shouyang"}],"issued":{"date-parts":[["2020"]]}},"label":"page"},{"id":535,"uris":["http://zotero.org/users/local/RRCsWsp6/items/6GI528HZ"],"itemData":{"id":535,"type":"report","genre":"Briefing Note","note":"issue: IFS BN276","number":"IFS BN276","page":"7","publisher":"Insititute for Fiscal Studies","title":"BN276: The impact of COVID-19 on share prices in the UK","URL":"https://ifs.org.uk/uploads/BN276-The-impact-of-COVID-19-on-share-prices-in-the-UK%20.pdf","author":[{"family":"Griffith","given":"Rachel"},{"family":"Levell","given":"Peter"},{"family":"Stroud","given":"Rebekah"}],"accessed":{"date-parts":[["2021",11,20]]},"issued":{"date-parts":[["2020",3,27]]}},"label":"page"}],"schema":"https://github.com/citation-style-language/schema/raw/master/csl-citation.json"} </w:instrText>
      </w:r>
      <w:r w:rsidR="007A0E88" w:rsidRPr="008C1EE2">
        <w:rPr>
          <w:rFonts w:cstheme="minorHAnsi"/>
          <w:sz w:val="24"/>
          <w:szCs w:val="24"/>
        </w:rPr>
        <w:fldChar w:fldCharType="separate"/>
      </w:r>
      <w:r w:rsidR="00C506A9">
        <w:rPr>
          <w:rFonts w:ascii="Calibri" w:hAnsi="Calibri" w:cs="Calibri"/>
          <w:sz w:val="24"/>
          <w:szCs w:val="24"/>
        </w:rPr>
        <w:t>(Lhabitant and Gregoriou, 2008; Pilinkus, 2010; Engle et al., 2013; Abbas and Wang, 2020; Griffith et al., 2020)</w:t>
      </w:r>
      <w:r w:rsidR="007A0E88" w:rsidRPr="008C1EE2">
        <w:rPr>
          <w:rFonts w:cstheme="minorHAnsi"/>
          <w:sz w:val="24"/>
          <w:szCs w:val="24"/>
        </w:rPr>
        <w:fldChar w:fldCharType="end"/>
      </w:r>
      <w:r w:rsidR="007A0E88" w:rsidRPr="008C1EE2">
        <w:rPr>
          <w:rFonts w:cstheme="minorHAnsi"/>
          <w:sz w:val="24"/>
          <w:szCs w:val="24"/>
        </w:rPr>
        <w:t xml:space="preserve">. The FTSE 250 index is often used as a benchmark for UK industry performance, as unlike the FTSE 100 index, the companies </w:t>
      </w:r>
      <w:r w:rsidR="000A0FDD">
        <w:rPr>
          <w:rFonts w:cstheme="minorHAnsi"/>
          <w:sz w:val="24"/>
          <w:szCs w:val="24"/>
        </w:rPr>
        <w:t>comprising it</w:t>
      </w:r>
      <w:r w:rsidR="007A0E88" w:rsidRPr="008C1EE2">
        <w:rPr>
          <w:rFonts w:cstheme="minorHAnsi"/>
          <w:sz w:val="24"/>
          <w:szCs w:val="24"/>
        </w:rPr>
        <w:t xml:space="preserve"> are largely UK focused in their </w:t>
      </w:r>
      <w:r w:rsidR="00271DA5">
        <w:rPr>
          <w:rFonts w:cstheme="minorHAnsi"/>
          <w:sz w:val="24"/>
          <w:szCs w:val="24"/>
        </w:rPr>
        <w:t>revenue generation</w:t>
      </w:r>
      <w:r w:rsidR="007A0E88" w:rsidRPr="008C1EE2">
        <w:rPr>
          <w:rFonts w:cstheme="minorHAnsi"/>
          <w:sz w:val="24"/>
          <w:szCs w:val="24"/>
        </w:rPr>
        <w:t xml:space="preserve">. While this is not a perfect measure (35% of the </w:t>
      </w:r>
      <w:r w:rsidR="00D06C36">
        <w:rPr>
          <w:rFonts w:cstheme="minorHAnsi"/>
          <w:sz w:val="24"/>
          <w:szCs w:val="24"/>
        </w:rPr>
        <w:t>FTSE 250</w:t>
      </w:r>
      <w:r w:rsidR="007A0E88" w:rsidRPr="008C1EE2">
        <w:rPr>
          <w:rFonts w:cstheme="minorHAnsi"/>
          <w:sz w:val="24"/>
          <w:szCs w:val="24"/>
        </w:rPr>
        <w:t xml:space="preserve"> companies also generate</w:t>
      </w:r>
      <w:r w:rsidR="00271DA5">
        <w:rPr>
          <w:rFonts w:cstheme="minorHAnsi"/>
          <w:sz w:val="24"/>
          <w:szCs w:val="24"/>
        </w:rPr>
        <w:t xml:space="preserve"> revenues from</w:t>
      </w:r>
      <w:r w:rsidR="007A0E88" w:rsidRPr="008C1EE2">
        <w:rPr>
          <w:rFonts w:cstheme="minorHAnsi"/>
          <w:sz w:val="24"/>
          <w:szCs w:val="24"/>
        </w:rPr>
        <w:t xml:space="preserve"> abroad), it is said to be a better measure</w:t>
      </w:r>
      <w:r w:rsidR="008C1400">
        <w:rPr>
          <w:rFonts w:cstheme="minorHAnsi"/>
          <w:sz w:val="24"/>
          <w:szCs w:val="24"/>
        </w:rPr>
        <w:t xml:space="preserve"> of economic health and activity</w:t>
      </w:r>
      <w:r w:rsidR="007A0E88" w:rsidRPr="008C1EE2">
        <w:rPr>
          <w:rFonts w:cstheme="minorHAnsi"/>
          <w:sz w:val="24"/>
          <w:szCs w:val="24"/>
        </w:rPr>
        <w:t xml:space="preserve"> than the </w:t>
      </w:r>
      <w:r w:rsidR="00432E99">
        <w:rPr>
          <w:rFonts w:cstheme="minorHAnsi"/>
          <w:sz w:val="24"/>
          <w:szCs w:val="24"/>
        </w:rPr>
        <w:t>FTSE 100</w:t>
      </w:r>
      <w:r w:rsidR="007A0E88" w:rsidRPr="008C1EE2">
        <w:rPr>
          <w:rFonts w:cstheme="minorHAnsi"/>
          <w:sz w:val="24"/>
          <w:szCs w:val="24"/>
        </w:rPr>
        <w:t xml:space="preserve"> </w:t>
      </w:r>
      <w:r w:rsidR="008C1400">
        <w:rPr>
          <w:rFonts w:cstheme="minorHAnsi"/>
          <w:sz w:val="24"/>
          <w:szCs w:val="24"/>
        </w:rPr>
        <w:t>(</w:t>
      </w:r>
      <w:r w:rsidR="007A0E88" w:rsidRPr="008C1EE2">
        <w:rPr>
          <w:rFonts w:cstheme="minorHAnsi"/>
          <w:sz w:val="24"/>
          <w:szCs w:val="24"/>
        </w:rPr>
        <w:t xml:space="preserve">over 70% of </w:t>
      </w:r>
      <w:r w:rsidR="00432E99">
        <w:rPr>
          <w:rFonts w:cstheme="minorHAnsi"/>
          <w:sz w:val="24"/>
          <w:szCs w:val="24"/>
        </w:rPr>
        <w:t>FTSE 100</w:t>
      </w:r>
      <w:r w:rsidR="00BE3255">
        <w:rPr>
          <w:rFonts w:cstheme="minorHAnsi"/>
          <w:sz w:val="24"/>
          <w:szCs w:val="24"/>
        </w:rPr>
        <w:t xml:space="preserve"> </w:t>
      </w:r>
      <w:r w:rsidR="007A0E88" w:rsidRPr="008C1EE2">
        <w:rPr>
          <w:rFonts w:cstheme="minorHAnsi"/>
          <w:sz w:val="24"/>
          <w:szCs w:val="24"/>
        </w:rPr>
        <w:t xml:space="preserve">companies </w:t>
      </w:r>
      <w:r w:rsidR="00BE3255">
        <w:rPr>
          <w:rFonts w:cstheme="minorHAnsi"/>
          <w:sz w:val="24"/>
          <w:szCs w:val="24"/>
        </w:rPr>
        <w:t xml:space="preserve">main focus is revenue generation in non-UK markets) </w:t>
      </w:r>
      <w:r w:rsidR="007A0E88" w:rsidRPr="008C1EE2">
        <w:rPr>
          <w:rFonts w:cstheme="minorHAnsi"/>
          <w:sz w:val="24"/>
          <w:szCs w:val="24"/>
        </w:rPr>
        <w:fldChar w:fldCharType="begin"/>
      </w:r>
      <w:r w:rsidR="00C506A9">
        <w:rPr>
          <w:rFonts w:cstheme="minorHAnsi"/>
          <w:sz w:val="24"/>
          <w:szCs w:val="24"/>
        </w:rPr>
        <w:instrText xml:space="preserve"> ADDIN ZOTERO_ITEM CSL_CITATION {"citationID":"lZBpRGxC","properties":{"unsorted":true,"formattedCitation":"(Megaw, 2017; FTSE Russell, 2018; Rivero, 2023)","plainCitation":"(Megaw, 2017; FTSE Russell, 2018; Rivero, 2023)","noteIndex":0},"citationItems":[{"id":539,"uris":["http://zotero.org/users/local/RRCsWsp6/items/Q7EUXFHN"],"itemData":{"id":539,"type":"article-newspaper","container-title":"Financial Times","title":"FTSE 250 hits record high","URL":"https://www.ft.com/content/dcb2218d-69f9-3711-8fa2-a59dd43bdf17","author":[{"family":"Megaw","given":"Nicholas"}],"accessed":{"date-parts":[["2023",4,20]]},"issued":{"date-parts":[["2017",2,10]]}},"label":"page"},{"id":540,"uris":["http://zotero.org/users/local/RRCsWsp6/items/H4KEWALP"],"itemData":{"id":540,"type":"report","genre":"Research","page":"16","publisher":"FTSE Russell","title":"Surveying the UK equity market and economic landscape","URL":"https://hub.ipe.com/download?ac=84743","author":[{"literal":"FTSE Russell"}],"accessed":{"date-parts":[["2021",11,20]]},"issued":{"date-parts":[["2018"]]}},"label":"page"},{"id":938,"uris":["http://zotero.org/users/local/RRCsWsp6/items/RLUMU7JJ"],"itemData":{"id":938,"type":"post-weblog","container-title":"Admirals Markets","genre":"Trading Platform","title":"The FTSE 100 vs FTSE 250: What Is the Difference?","URL":"https://admiralmarkets.com/education/articles/shares/ftse-100-vs-ftse-250","author":[{"family":"Rivero","given":"Roberto"}],"accessed":{"date-parts":[["2023",7,19]]},"issued":{"date-parts":[["2023",5,30]]}},"label":"page"}],"schema":"https://github.com/citation-style-language/schema/raw/master/csl-citation.json"} </w:instrText>
      </w:r>
      <w:r w:rsidR="007A0E88" w:rsidRPr="008C1EE2">
        <w:rPr>
          <w:rFonts w:cstheme="minorHAnsi"/>
          <w:sz w:val="24"/>
          <w:szCs w:val="24"/>
        </w:rPr>
        <w:fldChar w:fldCharType="separate"/>
      </w:r>
      <w:r w:rsidR="00C506A9">
        <w:rPr>
          <w:rFonts w:ascii="Calibri" w:hAnsi="Calibri" w:cs="Calibri"/>
          <w:sz w:val="24"/>
          <w:szCs w:val="24"/>
        </w:rPr>
        <w:t>(Megaw, 2017; FTSE Russell, 2018; Rivero, 2023)</w:t>
      </w:r>
      <w:r w:rsidR="007A0E88" w:rsidRPr="008C1EE2">
        <w:rPr>
          <w:rFonts w:cstheme="minorHAnsi"/>
          <w:sz w:val="24"/>
          <w:szCs w:val="24"/>
        </w:rPr>
        <w:fldChar w:fldCharType="end"/>
      </w:r>
      <w:r w:rsidR="007A0E88" w:rsidRPr="008C1EE2">
        <w:rPr>
          <w:rFonts w:cstheme="minorHAnsi"/>
          <w:sz w:val="24"/>
          <w:szCs w:val="24"/>
        </w:rPr>
        <w:t xml:space="preserve">. </w:t>
      </w:r>
      <w:r w:rsidR="0008571D">
        <w:rPr>
          <w:rFonts w:cstheme="minorHAnsi"/>
          <w:sz w:val="24"/>
          <w:szCs w:val="24"/>
        </w:rPr>
        <w:t xml:space="preserve">Stock indices are comprised </w:t>
      </w:r>
      <w:r w:rsidR="00D571C9">
        <w:rPr>
          <w:rFonts w:cstheme="minorHAnsi"/>
          <w:sz w:val="24"/>
          <w:szCs w:val="24"/>
        </w:rPr>
        <w:t xml:space="preserve">of </w:t>
      </w:r>
      <w:r w:rsidR="00DB266E">
        <w:rPr>
          <w:rFonts w:cstheme="minorHAnsi"/>
          <w:sz w:val="24"/>
          <w:szCs w:val="24"/>
        </w:rPr>
        <w:t>companies spanning a range of sectors and business focuses</w:t>
      </w:r>
      <w:r w:rsidR="00255B40">
        <w:rPr>
          <w:rFonts w:cstheme="minorHAnsi"/>
          <w:sz w:val="24"/>
          <w:szCs w:val="24"/>
        </w:rPr>
        <w:t>,</w:t>
      </w:r>
      <w:r w:rsidR="00767063">
        <w:rPr>
          <w:rFonts w:cstheme="minorHAnsi"/>
          <w:sz w:val="24"/>
          <w:szCs w:val="24"/>
        </w:rPr>
        <w:t xml:space="preserve"> presenting </w:t>
      </w:r>
      <w:r w:rsidR="00B24FDF">
        <w:rPr>
          <w:rFonts w:cstheme="minorHAnsi"/>
          <w:sz w:val="24"/>
          <w:szCs w:val="24"/>
        </w:rPr>
        <w:t xml:space="preserve">opportunities to </w:t>
      </w:r>
      <w:r w:rsidR="00A50424">
        <w:rPr>
          <w:rFonts w:cstheme="minorHAnsi"/>
          <w:sz w:val="24"/>
          <w:szCs w:val="24"/>
        </w:rPr>
        <w:t xml:space="preserve">investigate </w:t>
      </w:r>
      <w:r w:rsidR="005A59FE">
        <w:rPr>
          <w:rFonts w:cstheme="minorHAnsi"/>
          <w:sz w:val="24"/>
          <w:szCs w:val="24"/>
        </w:rPr>
        <w:t xml:space="preserve">a breakdown of </w:t>
      </w:r>
      <w:r w:rsidR="007C5BFB">
        <w:rPr>
          <w:rFonts w:cstheme="minorHAnsi"/>
          <w:sz w:val="24"/>
          <w:szCs w:val="24"/>
        </w:rPr>
        <w:t xml:space="preserve">how sectors within an economy </w:t>
      </w:r>
      <w:r w:rsidR="00334527">
        <w:rPr>
          <w:rFonts w:cstheme="minorHAnsi"/>
          <w:sz w:val="24"/>
          <w:szCs w:val="24"/>
        </w:rPr>
        <w:lastRenderedPageBreak/>
        <w:t xml:space="preserve">have responded to economic impacts </w:t>
      </w:r>
      <w:r w:rsidR="00610F27">
        <w:rPr>
          <w:rFonts w:cstheme="minorHAnsi"/>
          <w:sz w:val="24"/>
          <w:szCs w:val="24"/>
        </w:rPr>
        <w:fldChar w:fldCharType="begin"/>
      </w:r>
      <w:r w:rsidR="00317A5E">
        <w:rPr>
          <w:rFonts w:cstheme="minorHAnsi"/>
          <w:sz w:val="24"/>
          <w:szCs w:val="24"/>
        </w:rPr>
        <w:instrText xml:space="preserve"> ADDIN ZOTERO_ITEM CSL_CITATION {"citationID":"oLwNvg07","properties":{"unsorted":true,"formattedCitation":"(Kaluge et al., 2016; Corporate Finance Institute, 2023; Rosenberg and Ashburn, 2023)","plainCitation":"(Kaluge et al., 2016; Corporate Finance Institute, 2023; Rosenberg and Ashburn, 2023)","noteIndex":0},"citationItems":[{"id":974,"uris":["http://zotero.org/users/local/RRCsWsp6/items/2ZQ88AJY"],"itemData":{"id":974,"type":"article-journal","abstract":"The purpose of this study is to investigate the impact of macro-fundamentals using factor approach on sectoral indices on Indonesia Stock Exchange. This study used monthly data of the returns of sectoral indices and utilized the Seemingly Unrelated Regression (SUR) analysis with multifactor model. The results show that macro economic variables can be classified into 2 common factors, Monetary Macro Factor (MMF) and Real Macro Factor (RMF). These factors give different effect to sectoral indices. Due to different characteristics embodied in each sector, sectors then respond differently towards the change in macroeconomic conditions in Indonesia. The MMF is dominated by variables: BI Rate, inflation, and the exchange rate, while the MRF by other variables: foreign exchange reserves, exports, and Indonesia crude oil prices. The MMF negatively affects indexes of: basic industry and chemical, consumer goods, infrastructure, manufacturing, mining, miscellaneous industry, property and trade, while the RMF has negative effect on mining sector. By applying the multifactor model combining with auto regression component of the factor of dependent variables, the model provides higher predictive power for the price behavior in each sector. This study suggests for researchers for comparing multifactor model and other methods such as CAPM, and Five Factor Model of Fama and French.","archive":"ProQuest Central","archive_location":"2102339045","container-title":"City University Research Journal, suppl. Special Issue: AIC, Malaysia","ISSN":"22209174","language":"English","note":"publisher-place: Peshawar\npublisher: City University of Science &amp; Information Technology","page":"276-282","title":"MULTIFACTOR ON MACROECONOMIC FUNDAMENTALS TO EXPLAIN THE BEHAVIOR OF SECTORAL INDICES IN INDONESIAN STOCK EXCHANGE","author":[{"family":"Kaluge","given":"David"},{"family":"Tufail","given":"Muhammad Shahid"},{"family":"Muneer","given":"Saqib"}],"issued":{"date-parts":[["2016"]]}},"label":"page"},{"id":981,"uris":["http://zotero.org/users/local/RRCsWsp6/items/96G95FBQ"],"itemData":{"id":981,"type":"webpage","abstract":"The S&amp;P sectors constitute a method of sorting publicly traded companies into 11 sectors and 24 industry groups. Created by Standard &amp; Poor's (S&amp;P) and Morgan Stanely Capital International (MSCI), they are also known as the Global Industry Classification Standard (GICS).","container-title":"Corporate Finance Institute","genre":"Resources","language":"en-US","title":"The S&amp;P Sectors","URL":"https://corporatefinanceinstitute.com/resources/valuation/the-sp-sectors/","author":[{"literal":"Corporate Finance Institute"}],"accessed":{"date-parts":[["2023",7,22]]},"issued":{"date-parts":[["2023",5,28]]}},"label":"page"},{"id":971,"uris":["http://zotero.org/users/local/RRCsWsp6/items/3E98EHGV"],"itemData":{"id":971,"type":"article-magazine","abstract":"Sector-based investing is a popular strategy, but you need to understand how sectors interact based on things like recessions, interest rates, and cha...","container-title":"Britannica Money","language":"en","title":"Britannica Money","URL":"https://www.britannica.com/money/stock-sector-performance","author":[{"family":"Rosenberg","given":"Dan"},{"family":"Ashburn","given":"Doug"}],"accessed":{"date-parts":[["2023",7,22]]},"issued":{"date-parts":[["2023",7,22]]}},"label":"page"}],"schema":"https://github.com/citation-style-language/schema/raw/master/csl-citation.json"} </w:instrText>
      </w:r>
      <w:r w:rsidR="00610F27">
        <w:rPr>
          <w:rFonts w:cstheme="minorHAnsi"/>
          <w:sz w:val="24"/>
          <w:szCs w:val="24"/>
        </w:rPr>
        <w:fldChar w:fldCharType="separate"/>
      </w:r>
      <w:r w:rsidR="00317A5E">
        <w:rPr>
          <w:rFonts w:ascii="Calibri" w:cs="Calibri"/>
          <w:sz w:val="24"/>
        </w:rPr>
        <w:t>(Kaluge et al., 2016; Corporate Finance Institute, 2023; Rosenberg and Ashburn, 2023)</w:t>
      </w:r>
      <w:r w:rsidR="00610F27">
        <w:rPr>
          <w:rFonts w:cstheme="minorHAnsi"/>
          <w:sz w:val="24"/>
          <w:szCs w:val="24"/>
        </w:rPr>
        <w:fldChar w:fldCharType="end"/>
      </w:r>
      <w:r w:rsidR="00334527">
        <w:rPr>
          <w:rFonts w:cstheme="minorHAnsi"/>
          <w:sz w:val="24"/>
          <w:szCs w:val="24"/>
        </w:rPr>
        <w:t>.</w:t>
      </w:r>
    </w:p>
    <w:p w14:paraId="2EB3546B" w14:textId="19AE0CF4" w:rsidR="00CA5AD8" w:rsidRPr="00CA5AD8" w:rsidRDefault="00CA5AD8" w:rsidP="00CA5AD8">
      <w:pPr>
        <w:pStyle w:val="Heading2"/>
        <w:numPr>
          <w:ilvl w:val="1"/>
          <w:numId w:val="3"/>
        </w:numPr>
        <w:spacing w:line="480" w:lineRule="auto"/>
        <w:jc w:val="both"/>
        <w:rPr>
          <w:szCs w:val="24"/>
        </w:rPr>
      </w:pPr>
      <w:bookmarkStart w:id="13" w:name="_Toc141646696"/>
      <w:r w:rsidRPr="00CA5AD8">
        <w:rPr>
          <w:rFonts w:cstheme="minorHAnsi"/>
        </w:rPr>
        <w:t>Types of Financial Analysis</w:t>
      </w:r>
      <w:bookmarkEnd w:id="13"/>
    </w:p>
    <w:p w14:paraId="1E9B0C75" w14:textId="5B48415B" w:rsidR="004B7A48" w:rsidRDefault="004B7A48" w:rsidP="00CA5AD8">
      <w:pPr>
        <w:spacing w:line="480" w:lineRule="auto"/>
        <w:jc w:val="both"/>
        <w:rPr>
          <w:rFonts w:cstheme="minorHAnsi"/>
          <w:sz w:val="24"/>
          <w:szCs w:val="24"/>
        </w:rPr>
      </w:pPr>
      <w:r>
        <w:rPr>
          <w:rFonts w:cstheme="minorHAnsi"/>
          <w:sz w:val="24"/>
          <w:szCs w:val="24"/>
        </w:rPr>
        <w:t xml:space="preserve">Financial analysis is an important tool in </w:t>
      </w:r>
      <w:r w:rsidR="00CE568A">
        <w:rPr>
          <w:rFonts w:cstheme="minorHAnsi"/>
          <w:sz w:val="24"/>
          <w:szCs w:val="24"/>
        </w:rPr>
        <w:t xml:space="preserve">the process of strategic management </w:t>
      </w:r>
      <w:r w:rsidR="00883A73">
        <w:rPr>
          <w:rFonts w:cstheme="minorHAnsi"/>
          <w:sz w:val="24"/>
          <w:szCs w:val="24"/>
        </w:rPr>
        <w:t>to assist in both the internal and external analysis of companies</w:t>
      </w:r>
      <w:r w:rsidR="00664BA3">
        <w:rPr>
          <w:rFonts w:cstheme="minorHAnsi"/>
          <w:sz w:val="24"/>
          <w:szCs w:val="24"/>
        </w:rPr>
        <w:t xml:space="preserve"> to </w:t>
      </w:r>
      <w:r w:rsidR="00565895">
        <w:rPr>
          <w:rFonts w:cstheme="minorHAnsi"/>
          <w:sz w:val="24"/>
          <w:szCs w:val="24"/>
        </w:rPr>
        <w:t xml:space="preserve">inform </w:t>
      </w:r>
      <w:r w:rsidR="00341A09">
        <w:rPr>
          <w:rFonts w:cstheme="minorHAnsi"/>
          <w:sz w:val="24"/>
          <w:szCs w:val="24"/>
        </w:rPr>
        <w:t xml:space="preserve">business and corporate </w:t>
      </w:r>
      <w:r w:rsidR="00565895">
        <w:rPr>
          <w:rFonts w:cstheme="minorHAnsi"/>
          <w:sz w:val="24"/>
          <w:szCs w:val="24"/>
        </w:rPr>
        <w:t>strategies and create competitive advantage</w:t>
      </w:r>
      <w:r w:rsidR="00664BA3">
        <w:rPr>
          <w:rFonts w:cstheme="minorHAnsi"/>
          <w:sz w:val="24"/>
          <w:szCs w:val="24"/>
        </w:rPr>
        <w:t>.</w:t>
      </w:r>
      <w:r w:rsidR="00D51A5C">
        <w:rPr>
          <w:rFonts w:cstheme="minorHAnsi"/>
          <w:sz w:val="24"/>
          <w:szCs w:val="24"/>
        </w:rPr>
        <w:t xml:space="preserve"> </w:t>
      </w:r>
      <w:r w:rsidR="009142E8">
        <w:rPr>
          <w:rFonts w:cstheme="minorHAnsi"/>
          <w:sz w:val="24"/>
          <w:szCs w:val="24"/>
        </w:rPr>
        <w:t xml:space="preserve">The majority of businesses, including those which are </w:t>
      </w:r>
      <w:r w:rsidR="004E5DD6">
        <w:rPr>
          <w:rFonts w:cstheme="minorHAnsi"/>
          <w:sz w:val="24"/>
          <w:szCs w:val="24"/>
        </w:rPr>
        <w:t>publicly</w:t>
      </w:r>
      <w:r w:rsidR="009142E8">
        <w:rPr>
          <w:rFonts w:cstheme="minorHAnsi"/>
          <w:sz w:val="24"/>
          <w:szCs w:val="24"/>
        </w:rPr>
        <w:t xml:space="preserve"> traded will have published Key </w:t>
      </w:r>
      <w:r w:rsidR="004E5DD6">
        <w:rPr>
          <w:rFonts w:cstheme="minorHAnsi"/>
          <w:sz w:val="24"/>
          <w:szCs w:val="24"/>
        </w:rPr>
        <w:t>Performance</w:t>
      </w:r>
      <w:r w:rsidR="009142E8">
        <w:rPr>
          <w:rFonts w:cstheme="minorHAnsi"/>
          <w:sz w:val="24"/>
          <w:szCs w:val="24"/>
        </w:rPr>
        <w:t xml:space="preserve"> Indicators for</w:t>
      </w:r>
      <w:r w:rsidR="004E5DD6">
        <w:rPr>
          <w:rFonts w:cstheme="minorHAnsi"/>
          <w:sz w:val="24"/>
          <w:szCs w:val="24"/>
        </w:rPr>
        <w:t xml:space="preserve"> their overall Share Price as well as </w:t>
      </w:r>
      <w:r w:rsidR="001E05ED">
        <w:rPr>
          <w:rFonts w:cstheme="minorHAnsi"/>
          <w:sz w:val="24"/>
          <w:szCs w:val="24"/>
        </w:rPr>
        <w:t xml:space="preserve">parameters such as revenue, profit and efficiencies. </w:t>
      </w:r>
      <w:r w:rsidR="00844861">
        <w:rPr>
          <w:rFonts w:cstheme="minorHAnsi"/>
          <w:sz w:val="24"/>
          <w:szCs w:val="24"/>
        </w:rPr>
        <w:t xml:space="preserve">In many cases these same financial </w:t>
      </w:r>
      <w:r w:rsidR="001450C0">
        <w:rPr>
          <w:rFonts w:cstheme="minorHAnsi"/>
          <w:sz w:val="24"/>
          <w:szCs w:val="24"/>
        </w:rPr>
        <w:t>indicators</w:t>
      </w:r>
      <w:r w:rsidR="00844861">
        <w:rPr>
          <w:rFonts w:cstheme="minorHAnsi"/>
          <w:sz w:val="24"/>
          <w:szCs w:val="24"/>
        </w:rPr>
        <w:t xml:space="preserve"> will be used as benchmarks for </w:t>
      </w:r>
      <w:r w:rsidR="001450C0">
        <w:rPr>
          <w:rFonts w:cstheme="minorHAnsi"/>
          <w:sz w:val="24"/>
          <w:szCs w:val="24"/>
        </w:rPr>
        <w:t xml:space="preserve">competitors (as </w:t>
      </w:r>
      <w:r w:rsidR="00D571C9">
        <w:rPr>
          <w:rFonts w:cstheme="minorHAnsi"/>
          <w:sz w:val="24"/>
          <w:szCs w:val="24"/>
        </w:rPr>
        <w:t>a</w:t>
      </w:r>
      <w:r w:rsidR="001450C0">
        <w:rPr>
          <w:rFonts w:cstheme="minorHAnsi"/>
          <w:sz w:val="24"/>
          <w:szCs w:val="24"/>
        </w:rPr>
        <w:t xml:space="preserve"> </w:t>
      </w:r>
      <w:r w:rsidR="00E1479A">
        <w:rPr>
          <w:rFonts w:cstheme="minorHAnsi"/>
          <w:sz w:val="24"/>
          <w:szCs w:val="24"/>
        </w:rPr>
        <w:t xml:space="preserve">company will benchmark against its competition) to help encourage high company growth </w:t>
      </w:r>
      <w:r w:rsidR="009D2518">
        <w:rPr>
          <w:rFonts w:cstheme="minorHAnsi"/>
          <w:sz w:val="24"/>
          <w:szCs w:val="24"/>
        </w:rPr>
        <w:fldChar w:fldCharType="begin"/>
      </w:r>
      <w:r w:rsidR="00C85699">
        <w:rPr>
          <w:rFonts w:cstheme="minorHAnsi"/>
          <w:sz w:val="24"/>
          <w:szCs w:val="24"/>
        </w:rPr>
        <w:instrText xml:space="preserve"> ADDIN ZOTERO_ITEM CSL_CITATION {"citationID":"X0VSRylo","properties":{"unsorted":true,"formattedCitation":"(Singh, 2008; Ordo\\uc0\\u241{}ez de Pablos et al., 2015; Barney and Hesterly, 2018; Information Resources Management Association, 2018; Muller, 2018)","plainCitation":"(Singh, 2008; Ordoñez de Pablos et al., 2015; Barney and Hesterly, 2018; Information Resources Management Association, 2018; Muller, 2018)","noteIndex":0},"citationItems":[{"id":1015,"uris":["http://zotero.org/users/local/RRCsWsp6/items/ZS3INXK7"],"itemData":{"id":1015,"type":"book","abstract":"Strategic Management and Competitive Advantage provides the most accurate, relevant, and complete presentation of strategic management today.This book is thoroughly updated to include cutting edge research and trends that are shaping business strategy.The editor guides students through the strategic management process using a unique model that blends the classic industrial organisational model with the resource-based view of the firm to explain how firms use the strategic management process to build a sustained competitive advantage.The text includes current and relevant examples to provide context for key concepts, outstanding figures and models to illustrate key points, and other section contains engaging and exemplary cases that cover a broad range of critical issues confronting managers today.","event-place":"Place of publication not identified","ISBN":"93-81629-07-2","publisher":"Global India Publications Pvt Ltd","publisher-place":"Place of publication not identified","title":"Strategic Management and Competitive Advantage","author":[{"family":"Singh","given":"Manikant"}],"issued":{"date-parts":[["2008"]]}},"label":"page"},{"id":1017,"uris":["http://zotero.org/users/local/RRCsWsp6/items/BUJK2N3U"],"itemData":{"id":1017,"type":"book","ISBN":"978-1-4666-6457-9","language":"English","license":"Access limited to members","note":"container-title: https://services-igi-global-com.ezproxy.uwtsd.ac.uk/resolvedoi/resolve.aspx?doi=10.4018/978-1-4666-6457-9","publisher":"IGI Global","source":"www-igi-global-com.ezproxy.uwtsd.ac.uk","title":"Knowledge Management for Competitive Advantage During Economic Crisis","URL":"https://www.igi.global.com/gateway/book/108294","author":[{"family":"Ordoñez de Pablos","given":"Patricia"},{"family":"Turró","given":"Lluis Jovell"},{"family":"Tennyson","given":"Robert D."},{"family":"Zhao","given":"Jingyuan"}],"accessed":{"date-parts":[["2023",7,23]]},"issued":{"date-parts":[["2015"]]}},"label":"page"},{"id":1013,"uris":["http://zotero.org/users/local/RRCsWsp6/items/VVTVU9UV"],"itemData":{"id":1013,"type":"book","event-place":"Harlow, UNITED KINGDOM","ISBN":"978-1-292-25805-8","publisher":"Pearson Education, Limited","publisher-place":"Harlow, UNITED KINGDOM","source":"ProQuest Ebook Central","title":"Strategic Management and Competitive Advantage: Concepts and Cases, Global Edition","title-short":"Strategic Management and Competitive Advantage","URL":"http://ebookcentral.proquest.com/lib/trinity/detail.action?docID=5573680","author":[{"family":"Barney","given":"Jay"},{"family":"Hesterly","given":"William"}],"accessed":{"date-parts":[["2023",7,23]]},"issued":{"date-parts":[["2018"]]}},"label":"page"},{"id":1021,"uris":["http://zotero.org/users/local/RRCsWsp6/items/HBKLS2N6"],"itemData":{"id":1021,"type":"book","ISBN":"978-1-5225-5481-3","language":"English","license":"Access limited to members","note":"container-title: https://services-igi-global-com.ezproxy.uwtsd.ac.uk/resolvedoi/resolve.aspx?doi=10.4018/978-1-5225-5481-3","publisher":"IGI Global","source":"www-igi-global-com.ezproxy.uwtsd.ac.uk","title":"Global Business Expansion: Concepts, Methodologies, Tools, and Applications","title-short":"Global Business Expansion","URL":"https://www.igi.global.com/gateway/book/189166","author":[{"family":"Information Resources Management Association","given":""}],"accessed":{"date-parts":[["2023",7,23]]},"issued":{"date-parts":[["2018"]]}},"label":"page"},{"id":1018,"uris":["http://zotero.org/users/local/RRCsWsp6/items/QVFD4QFU"],"itemData":{"id":1018,"type":"chapter","abstract":"“But surely,” you might think, “there is a place where pay for measured performance is appropriate, and that is in the realm of business.” Businesses, after all, exist to make money, and people work in them to make money for themselves. It makes sense, it seems, for business managers to try to elicit their employees’ greatest effort by tying their remuneration as closely as possible to their measurable contribution to making profits for the firm.  There are indeed circumstances when pay for measured performance fulfills that promise: when the work to be done is repetitive, uncreative, and involves the production","archive":"JSTOR","container-title":"The Tyranny of Metrics","edition":"NED - New edition","ISBN":"978-0-691-19191-1","note":"DOI: 10.2307/j.ctvc7743t.16","page":"137-151","publisher":"Princeton University Press","title":"BUSINESS AND FINANCE","URL":"http://www.jstor.org.ezproxy.uwtsd.ac.uk/stable/j.ctvc7743t.16","author":[{"family":"Muller","given":"Jerry Z."}],"accessed":{"date-parts":[["2023",7,23]]},"issued":{"date-parts":[["2018"]]}},"label":"page"}],"schema":"https://github.com/citation-style-language/schema/raw/master/csl-citation.json"} </w:instrText>
      </w:r>
      <w:r w:rsidR="009D2518">
        <w:rPr>
          <w:rFonts w:cstheme="minorHAnsi"/>
          <w:sz w:val="24"/>
          <w:szCs w:val="24"/>
        </w:rPr>
        <w:fldChar w:fldCharType="separate"/>
      </w:r>
      <w:r w:rsidR="00C85699" w:rsidRPr="00C85699">
        <w:rPr>
          <w:rFonts w:ascii="Calibri" w:cs="Calibri"/>
          <w:sz w:val="24"/>
        </w:rPr>
        <w:t>(Singh, 2008; Ordoñez de Pablos et al., 2015; Barney and Hesterly, 2018; Information Resources Management Association, 2018; Muller, 2018)</w:t>
      </w:r>
      <w:r w:rsidR="009D2518">
        <w:rPr>
          <w:rFonts w:cstheme="minorHAnsi"/>
          <w:sz w:val="24"/>
          <w:szCs w:val="24"/>
        </w:rPr>
        <w:fldChar w:fldCharType="end"/>
      </w:r>
      <w:r w:rsidR="00E1479A">
        <w:rPr>
          <w:rFonts w:cstheme="minorHAnsi"/>
          <w:sz w:val="24"/>
          <w:szCs w:val="24"/>
        </w:rPr>
        <w:t xml:space="preserve">. </w:t>
      </w:r>
    </w:p>
    <w:p w14:paraId="30BA649D" w14:textId="27A097B8" w:rsidR="00CA5AD8" w:rsidRPr="00CA5AD8" w:rsidRDefault="00CA5AD8" w:rsidP="00CA5AD8">
      <w:pPr>
        <w:spacing w:line="480" w:lineRule="auto"/>
        <w:jc w:val="both"/>
        <w:rPr>
          <w:rFonts w:cstheme="minorHAnsi"/>
          <w:sz w:val="24"/>
          <w:szCs w:val="24"/>
        </w:rPr>
      </w:pPr>
      <w:r w:rsidRPr="00CA5AD8">
        <w:rPr>
          <w:rFonts w:cstheme="minorHAnsi"/>
          <w:sz w:val="24"/>
          <w:szCs w:val="24"/>
        </w:rPr>
        <w:t xml:space="preserve">Financial analysis for management accounting can take on a range of forms, generated from a </w:t>
      </w:r>
      <w:r w:rsidR="00D571C9">
        <w:rPr>
          <w:rFonts w:cstheme="minorHAnsi"/>
          <w:sz w:val="24"/>
          <w:szCs w:val="24"/>
        </w:rPr>
        <w:t>variety</w:t>
      </w:r>
      <w:r w:rsidRPr="00CA5AD8">
        <w:rPr>
          <w:rFonts w:cstheme="minorHAnsi"/>
          <w:sz w:val="24"/>
          <w:szCs w:val="24"/>
        </w:rPr>
        <w:t xml:space="preserve"> of underlying analyses on areas such as solvency, profitability or liquidity to build a picture of the companies involved </w:t>
      </w:r>
      <w:r w:rsidRPr="00CA5AD8">
        <w:rPr>
          <w:rFonts w:cstheme="minorHAnsi"/>
          <w:sz w:val="24"/>
          <w:szCs w:val="24"/>
        </w:rPr>
        <w:fldChar w:fldCharType="begin"/>
      </w:r>
      <w:r w:rsidRPr="00CA5AD8">
        <w:rPr>
          <w:rFonts w:cstheme="minorHAnsi"/>
          <w:sz w:val="24"/>
          <w:szCs w:val="24"/>
        </w:rPr>
        <w:instrText xml:space="preserve"> ADDIN ZOTERO_ITEM CSL_CITATION {"citationID":"Ja7cLjCK","properties":{"formattedCitation":"(Alvarez and Fridson, 2011)","plainCitation":"(Alvarez and Fridson, 2011)","noteIndex":0},"citationItems":[{"id":633,"uris":["http://zotero.org/users/local/RRCsWsp6/items/TICP97KX"],"itemData":{"id":633,"type":"book","abstract":"An updated guide to the essential discipline of financial statement analysis In Financial Statement Analysis, Fourth Edition, leading investment authority Martin Fridson returns with Fernando Alvarez to provide the analytical framework you need to scrutinize financial statements, whether you're evaluating a company's stock price or determining valuations for a merger or acquisition. This fully revised and up-to-date Fourth Edition offers fresh information that will help you to evaluate financial statements in today's volatile markets and uncertain economy, and allow yo","collection-title":"Wiley Finance ; v.597","edition":"4th ed.","event-place":"Hoboken","ISBN":"978-1-119-20148-9","language":"eng","number-of-pages":"400","publisher":"Wiley","publisher-place":"Hoboken","source":"librarysearch.uwtsd.ac.uk","title":"Financial Statement Analysis A Practitioner's Guide","author":[{"family":"Alvarez","given":"Fernando"},{"family":"Fridson","given":"Martin S"}],"issued":{"date-parts":[["2011"]]}}}],"schema":"https://github.com/citation-style-language/schema/raw/master/csl-citation.json"} </w:instrText>
      </w:r>
      <w:r w:rsidRPr="00CA5AD8">
        <w:rPr>
          <w:rFonts w:cstheme="minorHAnsi"/>
          <w:sz w:val="24"/>
          <w:szCs w:val="24"/>
        </w:rPr>
        <w:fldChar w:fldCharType="separate"/>
      </w:r>
      <w:r w:rsidR="007931FB">
        <w:rPr>
          <w:rFonts w:cstheme="minorHAnsi"/>
          <w:noProof/>
          <w:sz w:val="24"/>
          <w:szCs w:val="24"/>
        </w:rPr>
        <w:t>(Alvarez and Fridson, 2011)</w:t>
      </w:r>
      <w:r w:rsidRPr="00CA5AD8">
        <w:rPr>
          <w:rFonts w:cstheme="minorHAnsi"/>
          <w:sz w:val="24"/>
          <w:szCs w:val="24"/>
        </w:rPr>
        <w:fldChar w:fldCharType="end"/>
      </w:r>
      <w:r w:rsidRPr="00CA5AD8">
        <w:rPr>
          <w:rFonts w:cstheme="minorHAnsi"/>
          <w:sz w:val="24"/>
          <w:szCs w:val="24"/>
        </w:rPr>
        <w:t>. The main types of analysis</w:t>
      </w:r>
      <w:r w:rsidR="00D571C9">
        <w:rPr>
          <w:rFonts w:cstheme="minorHAnsi"/>
          <w:sz w:val="24"/>
          <w:szCs w:val="24"/>
        </w:rPr>
        <w:t xml:space="preserve"> </w:t>
      </w:r>
      <w:r w:rsidRPr="00CA5AD8">
        <w:rPr>
          <w:rFonts w:cstheme="minorHAnsi"/>
          <w:sz w:val="24"/>
          <w:szCs w:val="24"/>
        </w:rPr>
        <w:t>fall into 4 categories:</w:t>
      </w:r>
    </w:p>
    <w:p w14:paraId="79B2A968" w14:textId="3C3F8B20" w:rsidR="00CA5AD8" w:rsidRPr="00CA5AD8" w:rsidRDefault="00CA5AD8" w:rsidP="00CA5AD8">
      <w:pPr>
        <w:spacing w:line="480" w:lineRule="auto"/>
        <w:jc w:val="both"/>
        <w:rPr>
          <w:rFonts w:cstheme="minorHAnsi"/>
          <w:sz w:val="24"/>
          <w:szCs w:val="24"/>
        </w:rPr>
      </w:pPr>
      <w:r w:rsidRPr="00CA5AD8">
        <w:rPr>
          <w:rFonts w:cstheme="minorHAnsi"/>
          <w:b/>
          <w:bCs/>
          <w:sz w:val="24"/>
          <w:szCs w:val="24"/>
        </w:rPr>
        <w:t>Horizontal analysis –</w:t>
      </w:r>
      <w:r w:rsidRPr="00CA5AD8">
        <w:rPr>
          <w:rFonts w:cstheme="minorHAnsi"/>
          <w:sz w:val="24"/>
          <w:szCs w:val="24"/>
        </w:rPr>
        <w:t xml:space="preserve"> Comparing historical data which can be line items of ratios, to seek insight into operational performance and efficiencies within a business, often to companies with competitors. </w:t>
      </w:r>
      <w:r w:rsidR="00EE31DF">
        <w:rPr>
          <w:rFonts w:cstheme="minorHAnsi"/>
          <w:sz w:val="24"/>
          <w:szCs w:val="24"/>
        </w:rPr>
        <w:t xml:space="preserve">Horizontal analysis is the most common </w:t>
      </w:r>
      <w:r w:rsidR="003D43D8">
        <w:rPr>
          <w:rFonts w:cstheme="minorHAnsi"/>
          <w:sz w:val="24"/>
          <w:szCs w:val="24"/>
        </w:rPr>
        <w:t xml:space="preserve">financial analysis that is conducted and is an example of time series analysis </w:t>
      </w:r>
      <w:r w:rsidR="005B386B">
        <w:rPr>
          <w:rFonts w:cstheme="minorHAnsi"/>
          <w:sz w:val="24"/>
          <w:szCs w:val="24"/>
        </w:rPr>
        <w:t xml:space="preserve">comparing data points at regular spaced intervals. </w:t>
      </w:r>
    </w:p>
    <w:p w14:paraId="5619FAD5" w14:textId="5A5770B6" w:rsidR="00CA5AD8" w:rsidRPr="00CA5AD8" w:rsidRDefault="00CA5AD8" w:rsidP="00CA5AD8">
      <w:pPr>
        <w:spacing w:line="480" w:lineRule="auto"/>
        <w:jc w:val="both"/>
        <w:rPr>
          <w:rFonts w:cstheme="minorHAnsi"/>
          <w:sz w:val="24"/>
          <w:szCs w:val="24"/>
        </w:rPr>
      </w:pPr>
      <w:r w:rsidRPr="00CA5AD8">
        <w:rPr>
          <w:rFonts w:cstheme="minorHAnsi"/>
          <w:b/>
          <w:bCs/>
          <w:sz w:val="24"/>
          <w:szCs w:val="24"/>
        </w:rPr>
        <w:lastRenderedPageBreak/>
        <w:t>Vertical analysis –</w:t>
      </w:r>
      <w:r w:rsidRPr="00CA5AD8">
        <w:rPr>
          <w:rFonts w:cstheme="minorHAnsi"/>
          <w:sz w:val="24"/>
          <w:szCs w:val="24"/>
        </w:rPr>
        <w:t xml:space="preserve"> Comparing line items within a financial statement to each other to seek insight into the proportions of revenue and expenses. </w:t>
      </w:r>
      <w:r w:rsidR="005B386B">
        <w:rPr>
          <w:rFonts w:cstheme="minorHAnsi"/>
          <w:sz w:val="24"/>
          <w:szCs w:val="24"/>
        </w:rPr>
        <w:t xml:space="preserve">Vertical analysis is </w:t>
      </w:r>
      <w:r w:rsidR="00FA6D09">
        <w:rPr>
          <w:rFonts w:cstheme="minorHAnsi"/>
          <w:sz w:val="24"/>
          <w:szCs w:val="24"/>
        </w:rPr>
        <w:t xml:space="preserve">most frequently used as a point in time data analysis to investigate </w:t>
      </w:r>
      <w:r w:rsidR="007211DF">
        <w:rPr>
          <w:rFonts w:cstheme="minorHAnsi"/>
          <w:sz w:val="24"/>
          <w:szCs w:val="24"/>
        </w:rPr>
        <w:t>a specific relationship to explain issues raised by time series analysis.</w:t>
      </w:r>
    </w:p>
    <w:p w14:paraId="3DB8A78E" w14:textId="77777777" w:rsidR="00CA5AD8" w:rsidRPr="00CA5AD8" w:rsidRDefault="00CA5AD8" w:rsidP="00CA5AD8">
      <w:pPr>
        <w:spacing w:line="480" w:lineRule="auto"/>
        <w:jc w:val="both"/>
        <w:rPr>
          <w:rFonts w:cstheme="minorHAnsi"/>
          <w:sz w:val="24"/>
          <w:szCs w:val="24"/>
        </w:rPr>
      </w:pPr>
      <w:r w:rsidRPr="00CA5AD8">
        <w:rPr>
          <w:rFonts w:cstheme="minorHAnsi"/>
          <w:b/>
          <w:bCs/>
          <w:sz w:val="24"/>
          <w:szCs w:val="24"/>
        </w:rPr>
        <w:t>Ratio analysis –</w:t>
      </w:r>
      <w:r w:rsidRPr="00CA5AD8">
        <w:rPr>
          <w:rFonts w:cstheme="minorHAnsi"/>
          <w:sz w:val="24"/>
          <w:szCs w:val="24"/>
        </w:rPr>
        <w:t xml:space="preserve"> Compares different elements of financial statements to each other to seek insight into companies’ financial health. Ratios once calculated lend themselves to subsequent horizontal analysis. </w:t>
      </w:r>
    </w:p>
    <w:p w14:paraId="7000B4D2" w14:textId="42FD7780" w:rsidR="00CA5AD8" w:rsidRPr="00CA5AD8" w:rsidRDefault="00CA5AD8" w:rsidP="00CA5AD8">
      <w:pPr>
        <w:spacing w:line="480" w:lineRule="auto"/>
        <w:jc w:val="both"/>
        <w:rPr>
          <w:rFonts w:cstheme="minorHAnsi"/>
          <w:sz w:val="24"/>
          <w:szCs w:val="24"/>
        </w:rPr>
      </w:pPr>
      <w:r w:rsidRPr="00CA5AD8">
        <w:rPr>
          <w:rFonts w:cstheme="minorHAnsi"/>
          <w:b/>
          <w:bCs/>
          <w:sz w:val="24"/>
          <w:szCs w:val="24"/>
        </w:rPr>
        <w:t>Trend analysis –</w:t>
      </w:r>
      <w:r w:rsidRPr="00CA5AD8">
        <w:rPr>
          <w:rFonts w:cstheme="minorHAnsi"/>
          <w:sz w:val="24"/>
          <w:szCs w:val="24"/>
        </w:rPr>
        <w:t xml:space="preserve"> Compares historical data at a macro scale to forecast market movements for the company, as this will inform and determine any trends that may exist for the investor to capitalise on. </w:t>
      </w:r>
      <w:r w:rsidR="003D1CB4">
        <w:rPr>
          <w:rFonts w:cstheme="minorHAnsi"/>
          <w:sz w:val="24"/>
          <w:szCs w:val="24"/>
        </w:rPr>
        <w:t xml:space="preserve">Trend analysis and </w:t>
      </w:r>
      <w:r w:rsidR="00654BB8">
        <w:rPr>
          <w:rFonts w:cstheme="minorHAnsi"/>
          <w:sz w:val="24"/>
          <w:szCs w:val="24"/>
        </w:rPr>
        <w:t>growth prediction remains an elusive science due to the number of interrelated factors</w:t>
      </w:r>
      <w:r w:rsidR="004C3B09">
        <w:rPr>
          <w:rFonts w:cstheme="minorHAnsi"/>
          <w:sz w:val="24"/>
          <w:szCs w:val="24"/>
        </w:rPr>
        <w:t xml:space="preserve"> whose quantification</w:t>
      </w:r>
      <w:r w:rsidR="00654BB8">
        <w:rPr>
          <w:rFonts w:cstheme="minorHAnsi"/>
          <w:sz w:val="24"/>
          <w:szCs w:val="24"/>
        </w:rPr>
        <w:t xml:space="preserve"> </w:t>
      </w:r>
      <w:r w:rsidR="000D5753">
        <w:rPr>
          <w:rFonts w:cstheme="minorHAnsi"/>
          <w:sz w:val="24"/>
          <w:szCs w:val="24"/>
        </w:rPr>
        <w:t>and</w:t>
      </w:r>
      <w:r w:rsidR="00654BB8">
        <w:rPr>
          <w:rFonts w:cstheme="minorHAnsi"/>
          <w:sz w:val="24"/>
          <w:szCs w:val="24"/>
        </w:rPr>
        <w:t xml:space="preserve"> influence</w:t>
      </w:r>
      <w:r w:rsidR="000D5753">
        <w:rPr>
          <w:rFonts w:cstheme="minorHAnsi"/>
          <w:sz w:val="24"/>
          <w:szCs w:val="24"/>
        </w:rPr>
        <w:t xml:space="preserve"> remains challenging. </w:t>
      </w:r>
    </w:p>
    <w:p w14:paraId="02996796" w14:textId="5AF7D2E0" w:rsidR="007A0E88" w:rsidRPr="00B07AD4" w:rsidRDefault="00CA5AD8" w:rsidP="00B07AD4">
      <w:pPr>
        <w:spacing w:line="480" w:lineRule="auto"/>
        <w:jc w:val="both"/>
        <w:rPr>
          <w:rFonts w:cstheme="minorHAnsi"/>
          <w:sz w:val="24"/>
          <w:szCs w:val="24"/>
        </w:rPr>
      </w:pPr>
      <w:r w:rsidRPr="00CA5AD8">
        <w:rPr>
          <w:rFonts w:cstheme="minorHAnsi"/>
          <w:sz w:val="24"/>
          <w:szCs w:val="24"/>
        </w:rPr>
        <w:t xml:space="preserve">These trend analysis techniques are not exhaustive or exclusive to one another, with a combination often being required in order to gain a rounded view of a company’s position </w:t>
      </w:r>
      <w:r w:rsidRPr="00CA5AD8">
        <w:rPr>
          <w:rFonts w:cstheme="minorHAnsi"/>
          <w:sz w:val="24"/>
          <w:szCs w:val="24"/>
        </w:rPr>
        <w:fldChar w:fldCharType="begin"/>
      </w:r>
      <w:r w:rsidR="00C85699">
        <w:rPr>
          <w:rFonts w:cstheme="minorHAnsi"/>
          <w:sz w:val="24"/>
          <w:szCs w:val="24"/>
        </w:rPr>
        <w:instrText xml:space="preserve"> ADDIN ZOTERO_ITEM CSL_CITATION {"citationID":"TNzVNmW6","properties":{"unsorted":true,"formattedCitation":"(Alvarez and Fridson, 2011; Marsh, 2012; Titman et al., 2014; Zopounidis et al., 2018; Consoli et al., 2021)","plainCitation":"(Alvarez and Fridson, 2011; Marsh, 2012; Titman et al., 2014; Zopounidis et al., 2018; Consoli et al., 2021)","noteIndex":0},"citationItems":[{"id":633,"uris":["http://zotero.org/users/local/RRCsWsp6/items/TICP97KX"],"itemData":{"id":633,"type":"book","abstract":"An updated guide to the essential discipline of financial statement analysis In Financial Statement Analysis, Fourth Edition, leading investment authority Martin Fridson returns with Fernando Alvarez to provide the analytical framework you need to scrutinize financial statements, whether you're evaluating a company's stock price or determining valuations for a merger or acquisition. This fully revised and up-to-date Fourth Edition offers fresh information that will help you to evaluate financial statements in today's volatile markets and uncertain economy, and allow yo","collection-title":"Wiley Finance ; v.597","edition":"4th ed.","event-place":"Hoboken","ISBN":"978-1-119-20148-9","language":"eng","number-of-pages":"400","publisher":"Wiley","publisher-place":"Hoboken","source":"librarysearch.uwtsd.ac.uk","title":"Financial Statement Analysis A Practitioner's Guide","author":[{"family":"Alvarez","given":"Fernando"},{"family":"Fridson","given":"Martin S"}],"issued":{"date-parts":[["2011"]]}},"label":"page"},{"id":953,"uris":["http://zotero.org/users/local/RRCsWsp6/items/F7B7AKYW","http://zotero.org/users/local/RRCsWsp6/items/CW5HAX62"],"itemData":{"id":953,"type":"book","abstract":"Unique in its clarity and breadth of coverage, Financial Management for Non-Financial Managers explains the essentials of accounting and finance for managers and professionals from non-financial backgrounds.","collection-title":"Strategic success series","event-place":"London ;","ISBN":"978-1-62198-382-8","language":"eng","number-of-pages":"256","publisher":"Kogan Page","publisher-place":"London ;","source":"librarysearch.uwtsd.ac.uk","title":"Financial management for non-financial managers","author":[{"family":"Marsh","given":"Clive"}],"issued":{"date-parts":[["2012"]]}},"label":"page"},{"id":951,"uris":["http://zotero.org/users/local/RRCsWsp6/items/PM2J3CFK"],"itemData":{"id":951,"type":"book","abstract":"For the introductory finance course-undergraduate corporate finance or financial management-required at all undergraduate business schools.   Get the picture and develop a fundamental understanding of finance.   Students often miss the big picture, viewing finance as a set of unrelated topics, tools, and techniques. In order to help students see the big picture, this text provides an introduction to financial decision-making that links the concepts to five key principles of finance.   Authors Arthur J. Keown, John D. Martin, and Sheridan Titman have incorporated significant revisions that weave currency, relevance, and real-world issues into the pages of this well-know finance text.","edition":"Twelfth edition, Pearson new international edition.","event-place":"Harlow, United Kingdom","ISBN":"978-1-292-03624-3","language":"eng","publisher":"Pearson","publisher-place":"Harlow, United Kingdom","source":"librarysearch.uwtsd.ac.uk","title":"Financial management: principles and applications","title-short":"Financial management","author":[{"family":"Titman","given":"Sheridan J"},{"family":"Keown","given":"Arthur J"},{"family":"Martin","given":"John D"}],"issued":{"date-parts":[["2014"]]}},"label":"page"},{"id":987,"uris":["http://zotero.org/users/local/RRCsWsp6/items/KNPJUIQF"],"itemData":{"id":987,"type":"book","abstract":"\"This book focuses on the consequences of the recent and prior financial crises. It also explores the relation between stock market and macroeconomics factors, earnings management, portfolio and pricing models as well as the reporting of accounting information and accounting standards\"-- Provided by publisher.","event-place":"Hershey, PA","ISBN":"978-1-5225-6115-6","note":"DOI: 10.4018/978-1-5225-6114-9","publisher":"Business Science Reference, an imprint of IGI Global","publisher-place":"Hershey, PA","title":"Perspectives, trends, and applications in corporate finance and accounting","author":[{"family":"Zopounidis","given":"Constantin"},{"family":"Christopoulos","given":"Apostolos G."},{"family":"Kalantonis","given":"Petros"}],"issued":{"date-parts":[["2018"]]}},"label":"page"},{"id":1023,"uris":["http://zotero.org/users/local/RRCsWsp6/items/VB36YMYC"],"itemData":{"id":1023,"type":"book","abstract":"This open access book covers the use of data science, including advanced machine learning, big data analytics, Semantic Web technologies, natural language processing, social media analysis, time series analysis, among others, for applications in economics and finance. In addition, it shows some successful applications of advanced data science solutions used to extract new knowledge from data in order to improve economic forecasting models. The book starts with an introduction on the use of data science technologies in economics and finance and is followed by thirteen chapters showing success stories of the application of specific data science methodologies, touching on particular topics related to novel big data sources and technologies for economic analysis (e.g. social media and news); big data models leveraging on supervised/unsupervised (deep) machine learning; natural language processing to build economic and financial indicators; and forecasting and nowcasting of economic variables through time series analysis. This book is relevant to all stakeholders involved in digital and data-intensive research in economics and finance, helping them to understand the main opportunities and challenges, become familiar with the latest methodological findings, and learn how to use and evaluate the performances of novel tools and frameworks. It primarily targets data scientists and business analysts exploiting data science technologies, and it will also be a useful resource to research students in disciplines and courses related to these topics. Overall, readers will learn modern and effective data science solutions to create tangible innovations for economic and financial applications.","language":"English","note":"Accepted: 2021-06-14T09:29:42Z\nDOI: 10.1007/978-3-030-66891-4","publisher":"Springer Nature","source":"library.oapen.org","title":"Data Science for Economics and Finance: Methodologies and Applications","title-short":"Data Science for Economics and Finance","URL":"https://library.oapen.org/handle/20.500.12657/49505","editor":[{"family":"Consoli","given":"Sergio"},{"family":"Reforgiato Recupero","given":"Diego"},{"family":"Saisana","given":"Michaela"}],"accessed":{"date-parts":[["2023",7,23]]},"issued":{"date-parts":[["2021"]]}},"label":"page"}],"schema":"https://github.com/citation-style-language/schema/raw/master/csl-citation.json"} </w:instrText>
      </w:r>
      <w:r w:rsidRPr="00CA5AD8">
        <w:rPr>
          <w:rFonts w:cstheme="minorHAnsi"/>
          <w:sz w:val="24"/>
          <w:szCs w:val="24"/>
        </w:rPr>
        <w:fldChar w:fldCharType="separate"/>
      </w:r>
      <w:r w:rsidR="00C85699">
        <w:rPr>
          <w:rFonts w:cstheme="minorHAnsi"/>
          <w:noProof/>
          <w:sz w:val="24"/>
          <w:szCs w:val="24"/>
        </w:rPr>
        <w:t>(Alvarez and Fridson, 2011; Marsh, 2012; Titman et al., 2014; Zopounidis et al., 2018; Consoli et al., 2021)</w:t>
      </w:r>
      <w:r w:rsidRPr="00CA5AD8">
        <w:rPr>
          <w:rFonts w:cstheme="minorHAnsi"/>
          <w:sz w:val="24"/>
          <w:szCs w:val="24"/>
        </w:rPr>
        <w:fldChar w:fldCharType="end"/>
      </w:r>
      <w:r w:rsidRPr="00CA5AD8">
        <w:rPr>
          <w:rFonts w:cstheme="minorHAnsi"/>
          <w:sz w:val="24"/>
          <w:szCs w:val="24"/>
        </w:rPr>
        <w:t xml:space="preserve">. </w:t>
      </w:r>
    </w:p>
    <w:p w14:paraId="25F71258" w14:textId="73ECCCBA" w:rsidR="00403A7B" w:rsidRDefault="00403A7B" w:rsidP="00CA5AD8">
      <w:pPr>
        <w:pStyle w:val="Heading2"/>
        <w:numPr>
          <w:ilvl w:val="1"/>
          <w:numId w:val="3"/>
        </w:numPr>
        <w:spacing w:line="480" w:lineRule="auto"/>
        <w:jc w:val="both"/>
        <w:rPr>
          <w:szCs w:val="24"/>
        </w:rPr>
      </w:pPr>
      <w:bookmarkStart w:id="14" w:name="_Toc141646697"/>
      <w:r>
        <w:rPr>
          <w:szCs w:val="24"/>
        </w:rPr>
        <w:t>Financial Ratio Analysis</w:t>
      </w:r>
      <w:bookmarkEnd w:id="14"/>
    </w:p>
    <w:p w14:paraId="65284A63" w14:textId="4CFD79FE" w:rsidR="00BB3F35" w:rsidRPr="002A224B" w:rsidRDefault="00BB3F35" w:rsidP="00BB3F35">
      <w:pPr>
        <w:pStyle w:val="NormalWeb"/>
        <w:spacing w:line="480" w:lineRule="auto"/>
        <w:jc w:val="both"/>
        <w:rPr>
          <w:rFonts w:asciiTheme="minorHAnsi" w:hAnsiTheme="minorHAnsi" w:cstheme="minorHAnsi"/>
        </w:rPr>
      </w:pPr>
      <w:r>
        <w:rPr>
          <w:rFonts w:asciiTheme="minorHAnsi" w:hAnsiTheme="minorHAnsi" w:cstheme="minorHAnsi"/>
        </w:rPr>
        <w:t xml:space="preserve">Financial Ratios play an important role in analysing financial reporting. </w:t>
      </w:r>
      <w:r w:rsidRPr="002A224B">
        <w:rPr>
          <w:rFonts w:asciiTheme="minorHAnsi" w:hAnsiTheme="minorHAnsi" w:cstheme="minorHAnsi"/>
        </w:rPr>
        <w:t xml:space="preserve">At its most simple a ratio consists of two variables one being divided by the other, telling us how many units of X exist for each unit of Y. Financial ratios arise from the analysis of variables contained within a company’s financial statements in to allow a view of the company’s financial strengths and </w:t>
      </w:r>
      <w:r w:rsidRPr="002A224B">
        <w:rPr>
          <w:rFonts w:asciiTheme="minorHAnsi" w:hAnsiTheme="minorHAnsi" w:cstheme="minorHAnsi"/>
        </w:rPr>
        <w:lastRenderedPageBreak/>
        <w:t xml:space="preserve">weaknesses relating to differing focal points </w:t>
      </w:r>
      <w:r w:rsidRPr="002A224B">
        <w:rPr>
          <w:rFonts w:asciiTheme="minorHAnsi" w:hAnsiTheme="minorHAnsi" w:cstheme="minorHAnsi"/>
        </w:rPr>
        <w:fldChar w:fldCharType="begin"/>
      </w:r>
      <w:r w:rsidR="007931FB">
        <w:rPr>
          <w:rFonts w:asciiTheme="minorHAnsi" w:hAnsiTheme="minorHAnsi" w:cstheme="minorHAnsi"/>
        </w:rPr>
        <w:instrText xml:space="preserve"> ADDIN ZOTERO_ITEM CSL_CITATION {"citationID":"6HRVsYPT","properties":{"formattedCitation":"(Athanassopoulos and Ballantine, 1995; Faello, 2015; Robison et al., 2021)","plainCitation":"(Athanassopoulos and Ballantine, 1995; Faello, 2015; Robison et al., 2021)","noteIndex":0},"citationItems":[{"id":887,"uris":["http://zotero.org/users/local/RRCsWsp6/items/RIAZPFV6"],"itemData":{"id":887,"type":"article-journal","abstract":"This paper considers the use of alternative methodologies for assessing corporate performance of industrial sectors within the economy. It is argued that the use of ratio analysis in itself is insufficient for assessing performance, and that more advanced tools like data envelopment analysis should be used to complement ratio analysis. Data envelopment analysis is used in the paper to address a series of issues concerning the measurement of corporate performance, which includes an assessment of sales' efficiency, the effects of economies of scale, benchmarking of a firm's performance and the association between industry groups and performance. The paper uses data drawn from the grocery industry in the UK.","container-title":"The Journal of the Operational Research Society","DOI":"10.2307/2584591","ISSN":"0160-5682","issue":"4","note":"publisher: Palgrave Macmillan Journals","page":"427-440","source":"JSTOR","title":"Ratio and Frontier Analysis for Assessing Corporate Performance: Evidence from the Grocery Industry in the UK","title-short":"Ratio and Frontier Analysis for Assessing Corporate Performance","volume":"46","author":[{"family":"Athanassopoulos","given":"Antreas D."},{"family":"Ballantine","given":"Joan A."}],"issued":{"date-parts":[["1995"]]}},"label":"page"},{"id":770,"uris":["http://zotero.org/users/local/RRCsWsp6/items/KIMZLVUJ"],"itemData":{"id":770,"type":"article-journal","abstract":"The purpose of this paper is to provide financial statement users and accounting academics with some useful insights when working with financial ratios. Initially, the uses and benefits of financial ratios and the limitations of using financial ratios are discussed from the financial statement users' and accounting academics' perspectives. Then, practical advice is provided to both financial statement users and accounting academics alike to mitigate the limitations of using financial ratios. Financial statement users and accounting academics will find the issues discussed in this paper useful in their work with financial ratios.","container-title":"Academy of Accounting and Financial Studies Journal","ISSN":"10963685","issue":"3","language":"English","license":"Copyright Jordan Whitney Enterprises, Inc 2015","note":"number: 3\nnumber-of-pages: 11\npublisher-place: Arden, United States\npublisher: Jordan Whitney Enterprises, Inc","page":"75-85","source":"ProQuest","title":"Understanding the Limitations of Financial Ratios","volume":"19","author":[{"family":"Faello","given":"Joseph"}],"issued":{"date-parts":[["2015"]]}},"label":"page"},{"id":891,"uris":["http://zotero.org/users/local/RRCsWsp6/items/5XKURFC5"],"itemData":{"id":891,"type":"book","ISBN":"978-1-62610-114-2","language":"en","publisher":"Michigan State University Libraries","source":"openbooks.lib.msu.edu","title":"Financial Management for Small Businesses, 2nd OER Edition","URL":"https://openbooks.lib.msu.edu/financialmanagement/","author":[{"family":"Robison","given":"Lindon"},{"family":"Hanson","given":"Steven"},{"family":"Black","given":"J. Roy"}],"accessed":{"date-parts":[["2023",6,6]]},"issued":{"date-parts":[["2021",1,28]]}},"label":"page"}],"schema":"https://github.com/citation-style-language/schema/raw/master/csl-citation.json"} </w:instrText>
      </w:r>
      <w:r w:rsidRPr="002A224B">
        <w:rPr>
          <w:rFonts w:asciiTheme="minorHAnsi" w:hAnsiTheme="minorHAnsi" w:cstheme="minorHAnsi"/>
        </w:rPr>
        <w:fldChar w:fldCharType="separate"/>
      </w:r>
      <w:r w:rsidR="007931FB">
        <w:rPr>
          <w:rFonts w:asciiTheme="minorHAnsi" w:hAnsiTheme="minorHAnsi" w:cstheme="minorHAnsi"/>
          <w:noProof/>
        </w:rPr>
        <w:t>(Athanassopoulos and Ballantine, 1995; Faello, 2015; Robison et al., 2021)</w:t>
      </w:r>
      <w:r w:rsidRPr="002A224B">
        <w:rPr>
          <w:rFonts w:asciiTheme="minorHAnsi" w:hAnsiTheme="minorHAnsi" w:cstheme="minorHAnsi"/>
        </w:rPr>
        <w:fldChar w:fldCharType="end"/>
      </w:r>
      <w:r w:rsidRPr="002A224B">
        <w:rPr>
          <w:rFonts w:asciiTheme="minorHAnsi" w:hAnsiTheme="minorHAnsi" w:cstheme="minorHAnsi"/>
        </w:rPr>
        <w:t>.</w:t>
      </w:r>
    </w:p>
    <w:p w14:paraId="47EEA06A" w14:textId="0A6B75E1" w:rsidR="0085263C" w:rsidRDefault="0082188C" w:rsidP="00D03F46">
      <w:pPr>
        <w:spacing w:line="480" w:lineRule="auto"/>
        <w:jc w:val="both"/>
        <w:rPr>
          <w:sz w:val="24"/>
          <w:szCs w:val="24"/>
        </w:rPr>
      </w:pPr>
      <w:r>
        <w:rPr>
          <w:sz w:val="24"/>
          <w:szCs w:val="24"/>
        </w:rPr>
        <w:t xml:space="preserve">Companies when </w:t>
      </w:r>
      <w:r w:rsidR="00A70C99">
        <w:rPr>
          <w:sz w:val="24"/>
          <w:szCs w:val="24"/>
        </w:rPr>
        <w:t>publicly</w:t>
      </w:r>
      <w:r>
        <w:rPr>
          <w:sz w:val="24"/>
          <w:szCs w:val="24"/>
        </w:rPr>
        <w:t xml:space="preserve"> listed and traded on a stock market use this platform to invite </w:t>
      </w:r>
      <w:r w:rsidR="009753E9">
        <w:rPr>
          <w:sz w:val="24"/>
          <w:szCs w:val="24"/>
        </w:rPr>
        <w:t>investment into</w:t>
      </w:r>
      <w:r w:rsidR="000509BD">
        <w:rPr>
          <w:sz w:val="24"/>
          <w:szCs w:val="24"/>
        </w:rPr>
        <w:t xml:space="preserve"> the business. </w:t>
      </w:r>
      <w:r w:rsidR="00A70C99">
        <w:rPr>
          <w:sz w:val="24"/>
          <w:szCs w:val="24"/>
        </w:rPr>
        <w:t>T</w:t>
      </w:r>
      <w:r w:rsidR="000509BD">
        <w:rPr>
          <w:sz w:val="24"/>
          <w:szCs w:val="24"/>
        </w:rPr>
        <w:t xml:space="preserve">o inform investors of the </w:t>
      </w:r>
      <w:r w:rsidR="00A70C99">
        <w:rPr>
          <w:sz w:val="24"/>
          <w:szCs w:val="24"/>
        </w:rPr>
        <w:t xml:space="preserve">business status and performance </w:t>
      </w:r>
      <w:r w:rsidR="00872D63">
        <w:rPr>
          <w:sz w:val="24"/>
          <w:szCs w:val="24"/>
        </w:rPr>
        <w:t xml:space="preserve">companies publish </w:t>
      </w:r>
      <w:r w:rsidR="00A14A1D">
        <w:rPr>
          <w:sz w:val="24"/>
          <w:szCs w:val="24"/>
        </w:rPr>
        <w:t xml:space="preserve">annually </w:t>
      </w:r>
      <w:r w:rsidR="0080016B">
        <w:rPr>
          <w:sz w:val="24"/>
          <w:szCs w:val="24"/>
        </w:rPr>
        <w:t xml:space="preserve">three primary financial statements: 1) Profit and Loss Report (Reporting financial </w:t>
      </w:r>
      <w:r w:rsidR="0026129B">
        <w:rPr>
          <w:sz w:val="24"/>
          <w:szCs w:val="24"/>
        </w:rPr>
        <w:t>performance</w:t>
      </w:r>
      <w:r w:rsidR="0080016B">
        <w:rPr>
          <w:sz w:val="24"/>
          <w:szCs w:val="24"/>
        </w:rPr>
        <w:t xml:space="preserve">), 2) </w:t>
      </w:r>
      <w:r w:rsidR="00EE2CCA">
        <w:rPr>
          <w:sz w:val="24"/>
          <w:szCs w:val="24"/>
        </w:rPr>
        <w:t>Balance Sheet (Reporting financial position) and 3) Statement of Cash Flows (</w:t>
      </w:r>
      <w:r w:rsidR="0026129B">
        <w:rPr>
          <w:sz w:val="24"/>
          <w:szCs w:val="24"/>
        </w:rPr>
        <w:t xml:space="preserve">Reporting financial adaptability). </w:t>
      </w:r>
      <w:r w:rsidR="002F320F">
        <w:rPr>
          <w:sz w:val="24"/>
          <w:szCs w:val="24"/>
        </w:rPr>
        <w:t xml:space="preserve">The format and contents of the reports must follow the </w:t>
      </w:r>
      <w:r w:rsidR="00E44847">
        <w:rPr>
          <w:sz w:val="24"/>
          <w:szCs w:val="24"/>
        </w:rPr>
        <w:t>International Financial Reporting Standards</w:t>
      </w:r>
      <w:r w:rsidR="00356043">
        <w:rPr>
          <w:sz w:val="24"/>
          <w:szCs w:val="24"/>
        </w:rPr>
        <w:t xml:space="preserve"> (IFRS)</w:t>
      </w:r>
      <w:r w:rsidR="00D27CE4">
        <w:rPr>
          <w:sz w:val="24"/>
          <w:szCs w:val="24"/>
        </w:rPr>
        <w:t xml:space="preserve"> </w:t>
      </w:r>
      <w:r w:rsidR="00356043">
        <w:rPr>
          <w:sz w:val="24"/>
          <w:szCs w:val="24"/>
        </w:rPr>
        <w:t>devised</w:t>
      </w:r>
      <w:r w:rsidR="00D27CE4">
        <w:rPr>
          <w:sz w:val="24"/>
          <w:szCs w:val="24"/>
        </w:rPr>
        <w:t xml:space="preserve"> by </w:t>
      </w:r>
      <w:r w:rsidR="00356043">
        <w:rPr>
          <w:sz w:val="24"/>
          <w:szCs w:val="24"/>
        </w:rPr>
        <w:t xml:space="preserve">the International Accounting Standards Board. </w:t>
      </w:r>
      <w:r w:rsidR="001C67FA">
        <w:rPr>
          <w:sz w:val="24"/>
          <w:szCs w:val="24"/>
        </w:rPr>
        <w:t xml:space="preserve">Financial </w:t>
      </w:r>
      <w:r w:rsidR="00E5713B">
        <w:rPr>
          <w:sz w:val="24"/>
          <w:szCs w:val="24"/>
        </w:rPr>
        <w:t>accounting periods may vary depending on the company’s preference</w:t>
      </w:r>
      <w:r w:rsidR="00BB3B92">
        <w:rPr>
          <w:sz w:val="24"/>
          <w:szCs w:val="24"/>
        </w:rPr>
        <w:t xml:space="preserve"> and may be defined as is </w:t>
      </w:r>
      <w:r w:rsidR="00935379">
        <w:rPr>
          <w:sz w:val="24"/>
          <w:szCs w:val="24"/>
        </w:rPr>
        <w:t>convenient</w:t>
      </w:r>
      <w:r w:rsidR="00BB3B92">
        <w:rPr>
          <w:sz w:val="24"/>
          <w:szCs w:val="24"/>
        </w:rPr>
        <w:t xml:space="preserve"> to their business activities </w:t>
      </w:r>
      <w:r w:rsidR="00EC5014">
        <w:rPr>
          <w:sz w:val="24"/>
          <w:szCs w:val="24"/>
        </w:rPr>
        <w:t>but are expected to retain the same reporting period year-to-year</w:t>
      </w:r>
      <w:r w:rsidR="002F27ED">
        <w:rPr>
          <w:sz w:val="24"/>
          <w:szCs w:val="24"/>
        </w:rPr>
        <w:t>; with an annual statement followed by an interim report</w:t>
      </w:r>
      <w:r w:rsidR="00935379">
        <w:rPr>
          <w:sz w:val="24"/>
          <w:szCs w:val="24"/>
        </w:rPr>
        <w:t xml:space="preserve"> released 6-months later </w:t>
      </w:r>
      <w:r w:rsidR="00060F11">
        <w:rPr>
          <w:sz w:val="24"/>
          <w:szCs w:val="24"/>
        </w:rPr>
        <w:fldChar w:fldCharType="begin"/>
      </w:r>
      <w:r w:rsidR="00DA04FE">
        <w:rPr>
          <w:sz w:val="24"/>
          <w:szCs w:val="24"/>
        </w:rPr>
        <w:instrText xml:space="preserve"> ADDIN ZOTERO_ITEM CSL_CITATION {"citationID":"lBy4vKTd","properties":{"unsorted":true,"formattedCitation":"(Alvarez and Fridson, 2011; Weetman, 2013; CPA Australia, 2019; Stobierski, 2020; Jorge et al., 2022; London Stock Exchange, 2023)","plainCitation":"(Alvarez and Fridson, 2011; Weetman, 2013; CPA Australia, 2019; Stobierski, 2020; Jorge et al., 2022; London Stock Exchange, 2023)","noteIndex":0},"citationItems":[{"id":633,"uris":["http://zotero.org/users/local/RRCsWsp6/items/TICP97KX"],"itemData":{"id":633,"type":"book","abstract":"An updated guide to the essential discipline of financial statement analysis In Financial Statement Analysis, Fourth Edition, leading investment authority Martin Fridson returns with Fernando Alvarez to provide the analytical framework you need to scrutinize financial statements, whether you're evaluating a company's stock price or determining valuations for a merger or acquisition. This fully revised and up-to-date Fourth Edition offers fresh information that will help you to evaluate financial statements in today's volatile markets and uncertain economy, and allow yo","collection-title":"Wiley Finance ; v.597","edition":"4th ed.","event-place":"Hoboken","ISBN":"978-1-119-20148-9","language":"eng","number-of-pages":"400","publisher":"Wiley","publisher-place":"Hoboken","source":"librarysearch.uwtsd.ac.uk","title":"Financial Statement Analysis A Practitioner's Guide","author":[{"family":"Alvarez","given":"Fernando"},{"family":"Fridson","given":"Martin S"}],"issued":{"date-parts":[["2011"]]}},"label":"page"},{"id":1034,"uris":["http://zotero.org/users/local/RRCsWsp6/items/HISS38IK"],"itemData":{"id":1034,"type":"book","ISBN":"978-0-273-78958-1","publisher":"Pearson Education","title":"Financial accounting","author":[{"family":"Weetman","given":"Pauline"}],"issued":{"date-parts":[["2013",7,15]]}},"label":"page"},{"id":833,"uris":["http://zotero.org/users/local/RRCsWsp6/items/8QU5SCDS"],"itemData":{"id":833,"type":"report","language":"en","publisher":"CPA Australia","source":"Zotero","title":"A guide to understanding annual reports","URL":"https://www.cpaaustralia.com.au/-/media/project/cpa/corporate/documents/tools-and-resources/financial-reporting/guide-to-understanding-annual-reporting.pdf?rev=63cea2139de642f784b47ee2acddf75a","author":[{"family":"CPA Australia","given":""}],"accessed":{"date-parts":[["2023",2,17]]},"issued":{"date-parts":[["2019",11]]}},"label":"page"},{"id":834,"uris":["http://zotero.org/users/local/RRCsWsp6/items/JJMDF7DK"],"itemData":{"id":834,"type":"post-weblog","abstract":"This guide will teach you everything you need to know about how to read financial statements like a balance sheet, cash flow statement, and more.","container-title":"Business Insights - Harvard Business School","language":"en","title":"How to Read Financial Statements: A Beginner’s Guide","title-short":"How to Read Financial Statements","URL":"https://online.hbs.edu/blog/post/how-to-read-financial-statements","author":[{"family":"Stobierski","given":"Tim"}],"accessed":{"date-parts":[["2023",2,18]]},"issued":{"date-parts":[["2020",6,10]]}},"label":"page"},{"id":629,"uris":["http://zotero.org/users/local/RRCsWsp6/items/HAE92EDR"],"itemData":{"id":629,"type":"article-journal","abstract":"IMPACTCharts of Accounts (CoAs) in the public sector are important to control accounting records. They support the preparation of accurate and reliable financial statements and consolidated reporting. Standardized CoAs at the national level are desirable but specificities of different public sector areas must be considered, as well as harmonization with budget and Government Finance Statistics (GFS) classifications. Having broad international guidance for each country to develop its own CoA, while fostering public sector financial reporting harmonization, would allow for improved comparability of fiscal effects during difficult periods, such as the Covid 19 pandemic.ABSTRACTThis article addresses the development of standardized Charts of Accounts (CoAs) in public sector accounting and reporting. In particular, it focuses on matters concerning the role CoAs have, or should have, at a national level, their main technicalities and the expected impact of using them as a bookkeeping instrument on the accuracy of accounting records and, ultimately, on the reliability and usability of the financial information for different purposes. Empirical evidence is provided from a survey to representatives of accounting international and national (Belgium, Brazil, Estonia and Portugal) standard-setters and preparers.","container-title":"Public Money &amp; Management","DOI":"10.1080/09540962.2022.2106680","ISSN":"0954-0962","issue":"7","note":"publisher: Routledge\n_eprint: https://doi.org/10.1080/09540962.2022.2106680","page":"530-533","source":"Taylor and Francis+NEJM","title":"New development: The development of standardized charts of accounts in public sector accounting","title-short":"New development","volume":"42","author":[{"family":"Jorge","given":"Susana"},{"family":"Dabbicco","given":"Giovanna"},{"family":"Aggestam-Pontoppidan","given":"Caroline"},{"family":"Vaz de Lima","given":"Diana"}],"issued":{"date-parts":[["2022",10,3]]}},"label":"page"},{"id":983,"uris":["http://zotero.org/users/local/RRCsWsp6/items/5TLJ5KBQ"],"itemData":{"id":983,"type":"webpage","abstract":"Browse the London Stock Exchange Raise Finance Resources including Rules and Regulations, Forms, Fees, Guides, Reports, and FAQs.","container-title":"London Stock Exchange","language":"en","title":"Raise finance - Resources","URL":"https://www.londonstockexchange.com/resources/about:blank","author":[{"family":"London Stock Exchange","given":""}],"accessed":{"date-parts":[["2023",7,23]]},"issued":{"date-parts":[["2023",7,23]]}},"label":"page"}],"schema":"https://github.com/citation-style-language/schema/raw/master/csl-citation.json"} </w:instrText>
      </w:r>
      <w:r w:rsidR="00060F11">
        <w:rPr>
          <w:sz w:val="24"/>
          <w:szCs w:val="24"/>
        </w:rPr>
        <w:fldChar w:fldCharType="separate"/>
      </w:r>
      <w:r w:rsidR="00DA04FE">
        <w:rPr>
          <w:rFonts w:ascii="Calibri" w:cs="Calibri"/>
          <w:sz w:val="24"/>
        </w:rPr>
        <w:t>(Alvarez and Fridson, 2011; Weetman, 2013; CPA Australia, 2019; Stobierski, 2020; Jorge et al., 2022; London Stock Exchange, 2023)</w:t>
      </w:r>
      <w:r w:rsidR="00060F11">
        <w:rPr>
          <w:sz w:val="24"/>
          <w:szCs w:val="24"/>
        </w:rPr>
        <w:fldChar w:fldCharType="end"/>
      </w:r>
      <w:r w:rsidR="00935379">
        <w:rPr>
          <w:sz w:val="24"/>
          <w:szCs w:val="24"/>
        </w:rPr>
        <w:t xml:space="preserve">. </w:t>
      </w:r>
      <w:r w:rsidR="00EC5014">
        <w:rPr>
          <w:sz w:val="24"/>
          <w:szCs w:val="24"/>
        </w:rPr>
        <w:t xml:space="preserve"> </w:t>
      </w:r>
    </w:p>
    <w:p w14:paraId="5F00712B" w14:textId="3E4E0DEC" w:rsidR="00D03F46" w:rsidRDefault="00D03F46" w:rsidP="00D03F46">
      <w:pPr>
        <w:pStyle w:val="NormalWeb"/>
        <w:spacing w:line="480" w:lineRule="auto"/>
        <w:jc w:val="both"/>
        <w:rPr>
          <w:rFonts w:asciiTheme="minorHAnsi" w:hAnsiTheme="minorHAnsi" w:cstheme="minorHAnsi"/>
        </w:rPr>
      </w:pPr>
      <w:r w:rsidRPr="00204BA8">
        <w:rPr>
          <w:rFonts w:asciiTheme="minorHAnsi" w:hAnsiTheme="minorHAnsi" w:cstheme="minorHAnsi"/>
        </w:rPr>
        <w:t xml:space="preserve">Financial ratios are utilised by a wide range of organisations and individuals to gain insight to a company’s current financial health and to try and predict future performance, conversely they may be used to provide information in retrospect on where a company has been and the resulting impacts of actions </w:t>
      </w:r>
      <w:r w:rsidRPr="00204BA8">
        <w:rPr>
          <w:rFonts w:asciiTheme="minorHAnsi" w:hAnsiTheme="minorHAnsi" w:cstheme="minorHAnsi"/>
        </w:rPr>
        <w:fldChar w:fldCharType="begin"/>
      </w:r>
      <w:r w:rsidR="0090384C">
        <w:rPr>
          <w:rFonts w:asciiTheme="minorHAnsi" w:hAnsiTheme="minorHAnsi" w:cstheme="minorHAnsi"/>
        </w:rPr>
        <w:instrText xml:space="preserve"> ADDIN ZOTERO_ITEM CSL_CITATION {"citationID":"42yDC4Mb","properties":{"unsorted":true,"formattedCitation":"(Nissim and Penman, 2001; Soliman, 2008; Marsh, 2012; Faello, 2015; Auerbach, 2023)","plainCitation":"(Nissim and Penman, 2001; Soliman, 2008; Marsh, 2012; Faello, 2015; Auerbach, 2023)","noteIndex":0},"citationItems":[{"id":893,"uris":["http://zotero.org/users/local/RRCsWsp6/items/FBQYW68U"],"itemData":{"id":893,"type":"article-journal","abstract":"Financial statement analysis has traditionally been seen as part of thefundamental analysis required for equity valuation. But the analysis has typicallybeen ad hoc. Drawing on recent research on accounting-based valuation, this paperoutlines a financial statement analysis for use in equity valuation. Standardprofitability analysis is incorporated, and extended, and is complemented with ananalysis of growth. An analysis of operating activities is distinguished from theanalysis of financing activities. The perspective is one of forecasting payoffs to equities. So financial statement analysis is presented as a matter of pro formaanalysis of the future, with forecasted ratios viewed as building blocks offorecasts of payoffs. The analysis of current financial statements is then seen asa matter of identifying current ratios as predictors of the future ratios thatdetermine equity payoffs. The financial statement analysis is hierarchical, withratios lower in the ordering identified as finer information about those higher up.To provide historical benchmarks for forecasting, typical values for ratios aredocumented for the period 1963–1999, along with their cross-sectionalvariation and correlation. And, again with a view to forecasting, the time seriesbehavior of many of the ratios is also described and their typical “long-run,steady-state” levels are documented.","container-title":"Review of Accounting Studies","DOI":"10.1023/A:1011338221623","ISSN":"1573-7136","issue":"1","journalAbbreviation":"Review of Accounting Studies","language":"en","page":"109-154","source":"Springer Link","title":"Ratio Analysis and Equity Valuation: From Research to Practice","title-short":"Ratio Analysis and Equity Valuation","volume":"6","author":[{"family":"Nissim","given":"Doron"},{"family":"Penman","given":"Stephen H."}],"issued":{"date-parts":[["2001",3,1]]}},"label":"page"},{"id":894,"uris":["http://zotero.org/users/local/RRCsWsp6/items/MX9XIKWS"],"itemData":{"id":894,"type":"article-journal","abstract":"DuPont analysis, a common form of financial statement analysis, decomposes return on net operating assets into two multiplicative components: profit margin and asset turnover. These two accounting ratios measure different constructs and, accordingly, have different properties. Prior research has found that a change in asset turnover is positively related to future changes in earnings. This paper comprehensively explores the DuPont components and contributes to the literature along three dimensions. First, the paper contributes to the financial statement analysis literature and finds that the information in this accounting signal is in fact incremental to accounting signals studied in prior research in predicting future earnings. Second, it contributes to the literature on the stock market's use of accounting information by examining immediate and future equity return responses to these components by investors. Finally, it adds to the literature on analysts' processing of accounting information by again testing immediate and delayed response of analysts through contemporaneous forecast revisions as well as future forecast errors. Consistent across both groups of market participants, the results show that the information is useful as evidenced by associations between the DuPont components and stock returns as well as analyst forecast revisions. However, I find predictable future forecast errors and future abnormal returns indicating that the information processing does not appear to be complete. Taken together, the analysis indicates that the DuPont components represent an incremental and viable form of information about the operating characteristics of a firm.","container-title":"The Accounting Review","ISSN":"0001-4826","issue":"3","note":"publisher: American Accounting Association","page":"823-853","source":"JSTOR","title":"The Use of DuPont Analysis by Market Participants","volume":"83","author":[{"family":"Soliman","given":"Mark T."}],"issued":{"date-parts":[["2008"]]}},"label":"page"},{"id":953,"uris":["http://zotero.org/users/local/RRCsWsp6/items/F7B7AKYW","http://zotero.org/users/local/RRCsWsp6/items/CW5HAX62"],"itemData":{"id":953,"type":"book","abstract":"Unique in its clarity and breadth of coverage, Financial Management for Non-Financial Managers explains the essentials of accounting and finance for managers and professionals from non-financial backgrounds.","collection-title":"Strategic success series","event-place":"London ;","ISBN":"978-1-62198-382-8","language":"eng","number-of-pages":"256","publisher":"Kogan Page","publisher-place":"London ;","source":"librarysearch.uwtsd.ac.uk","title":"Financial management for non-financial managers","author":[{"family":"Marsh","given":"Clive"}],"issued":{"date-parts":[["2012"]]}},"label":"page"},{"id":770,"uris":["http://zotero.org/users/local/RRCsWsp6/items/KIMZLVUJ"],"itemData":{"id":770,"type":"article-journal","abstract":"The purpose of this paper is to provide financial statement users and accounting academics with some useful insights when working with financial ratios. Initially, the uses and benefits of financial ratios and the limitations of using financial ratios are discussed from the financial statement users' and accounting academics' perspectives. Then, practical advice is provided to both financial statement users and accounting academics alike to mitigate the limitations of using financial ratios. Financial statement users and accounting academics will find the issues discussed in this paper useful in their work with financial ratios.","container-title":"Academy of Accounting and Financial Studies Journal","ISSN":"10963685","issue":"3","language":"English","license":"Copyright Jordan Whitney Enterprises, Inc 2015","note":"number: 3\nnumber-of-pages: 11\npublisher-place: Arden, United States\npublisher: Jordan Whitney Enterprises, Inc","page":"75-85","source":"ProQuest","title":"Understanding the Limitations of Financial Ratios","volume":"19","author":[{"family":"Faello","given":"Joseph"}],"issued":{"date-parts":[["2015"]]}},"label":"page"},{"id":885,"uris":["http://zotero.org/users/local/RRCsWsp6/items/6PQE8BIC"],"itemData":{"id":885,"type":"webpage","container-title":"Edward Lowe Foundation","language":"en-US","title":"How to Analyze Your Business Using Financial Ratios","URL":"http://edwardlowe.org/how-to-analyze-your-business-using-financial-ratios-2/","author":[{"family":"Auerbach","given":"Alex"}],"accessed":{"date-parts":[["2023",6,6]]},"issued":{"date-parts":[["2023",6,6]]}},"label":"page"}],"schema":"https://github.com/citation-style-language/schema/raw/master/csl-citation.json"} </w:instrText>
      </w:r>
      <w:r w:rsidRPr="00204BA8">
        <w:rPr>
          <w:rFonts w:asciiTheme="minorHAnsi" w:hAnsiTheme="minorHAnsi" w:cstheme="minorHAnsi"/>
        </w:rPr>
        <w:fldChar w:fldCharType="separate"/>
      </w:r>
      <w:r w:rsidR="0090384C">
        <w:rPr>
          <w:rFonts w:asciiTheme="minorHAnsi" w:hAnsiTheme="minorHAnsi" w:cstheme="minorHAnsi"/>
          <w:noProof/>
        </w:rPr>
        <w:t>(Nissim and Penman, 2001; Soliman, 2008; Marsh, 2012; Faello, 2015; Auerbach, 2023)</w:t>
      </w:r>
      <w:r w:rsidRPr="00204BA8">
        <w:rPr>
          <w:rFonts w:asciiTheme="minorHAnsi" w:hAnsiTheme="minorHAnsi" w:cstheme="minorHAnsi"/>
        </w:rPr>
        <w:fldChar w:fldCharType="end"/>
      </w:r>
      <w:r w:rsidRPr="00204BA8">
        <w:rPr>
          <w:rFonts w:asciiTheme="minorHAnsi" w:hAnsiTheme="minorHAnsi" w:cstheme="minorHAnsi"/>
        </w:rPr>
        <w:t>. Financial ratio</w:t>
      </w:r>
      <w:r w:rsidR="009753E9">
        <w:rPr>
          <w:rFonts w:asciiTheme="minorHAnsi" w:hAnsiTheme="minorHAnsi" w:cstheme="minorHAnsi"/>
        </w:rPr>
        <w:t>’</w:t>
      </w:r>
      <w:r w:rsidRPr="00204BA8">
        <w:rPr>
          <w:rFonts w:asciiTheme="minorHAnsi" w:hAnsiTheme="minorHAnsi" w:cstheme="minorHAnsi"/>
        </w:rPr>
        <w:t xml:space="preserve">s primary usefulness in company and industry analysis comes from them not being affected by discrepancies in size or time </w:t>
      </w:r>
      <w:r w:rsidRPr="00204BA8">
        <w:rPr>
          <w:rFonts w:asciiTheme="minorHAnsi" w:hAnsiTheme="minorHAnsi" w:cstheme="minorHAnsi"/>
        </w:rPr>
        <w:fldChar w:fldCharType="begin"/>
      </w:r>
      <w:r w:rsidRPr="00204BA8">
        <w:rPr>
          <w:rFonts w:asciiTheme="minorHAnsi" w:hAnsiTheme="minorHAnsi" w:cstheme="minorHAnsi"/>
        </w:rPr>
        <w:instrText xml:space="preserve"> ADDIN ZOTERO_ITEM CSL_CITATION {"citationID":"DrwWuGlk","properties":{"formattedCitation":"(Turnaround Topics, 2003)","plainCitation":"(Turnaround Topics, 2003)","noteIndex":0},"citationItems":[{"id":883,"uris":["http://zotero.org/users/local/RRCsWsp6/items/VQZEW8UR"],"itemData":{"id":883,"type":"article-magazine","container-title":"American Bankruptcy Insitute","title":"To Infinity and Beyond Dealing with the Mathematical Oddities of Ratio Analysis | ABI","URL":"https://www.abi.org/abi-journal/to-infinity-and-beyond-dealing-with-the-mathematical-oddities-of-ratio-analysis","author":[{"family":"Turnaround Topics","given":""}],"accessed":{"date-parts":[["2023",6,6]]},"issued":{"date-parts":[["2003",3,1]]}}}],"schema":"https://github.com/citation-style-language/schema/raw/master/csl-citation.json"} </w:instrText>
      </w:r>
      <w:r w:rsidRPr="00204BA8">
        <w:rPr>
          <w:rFonts w:asciiTheme="minorHAnsi" w:hAnsiTheme="minorHAnsi" w:cstheme="minorHAnsi"/>
        </w:rPr>
        <w:fldChar w:fldCharType="separate"/>
      </w:r>
      <w:r w:rsidR="007931FB">
        <w:rPr>
          <w:rFonts w:asciiTheme="minorHAnsi" w:hAnsiTheme="minorHAnsi" w:cstheme="minorHAnsi"/>
          <w:noProof/>
        </w:rPr>
        <w:t>(Turnaround Topics, 2003)</w:t>
      </w:r>
      <w:r w:rsidRPr="00204BA8">
        <w:rPr>
          <w:rFonts w:asciiTheme="minorHAnsi" w:hAnsiTheme="minorHAnsi" w:cstheme="minorHAnsi"/>
        </w:rPr>
        <w:fldChar w:fldCharType="end"/>
      </w:r>
      <w:r w:rsidRPr="00204BA8">
        <w:rPr>
          <w:rFonts w:asciiTheme="minorHAnsi" w:hAnsiTheme="minorHAnsi" w:cstheme="minorHAnsi"/>
        </w:rPr>
        <w:t xml:space="preserve">. Financial ratios are traditionally only useful when useful comparisons are being made, either with different companies, industry averages or within the same company at differing points of time for trend analysis. Where comparison and </w:t>
      </w:r>
      <w:r w:rsidRPr="00204BA8">
        <w:rPr>
          <w:rFonts w:asciiTheme="minorHAnsi" w:hAnsiTheme="minorHAnsi" w:cstheme="minorHAnsi"/>
        </w:rPr>
        <w:lastRenderedPageBreak/>
        <w:t xml:space="preserve">analysis is being completed between companies, it is important to ensure that the ratios are </w:t>
      </w:r>
      <w:r w:rsidRPr="009176E9">
        <w:rPr>
          <w:rFonts w:asciiTheme="minorHAnsi" w:hAnsiTheme="minorHAnsi" w:cstheme="minorHAnsi"/>
        </w:rPr>
        <w:t xml:space="preserve">calculated using comparable information points covering the same points in time for the analysis to be viable </w:t>
      </w:r>
      <w:r w:rsidRPr="009176E9">
        <w:rPr>
          <w:rFonts w:asciiTheme="minorHAnsi" w:hAnsiTheme="minorHAnsi" w:cstheme="minorHAnsi"/>
        </w:rPr>
        <w:fldChar w:fldCharType="begin"/>
      </w:r>
      <w:r w:rsidR="0090384C">
        <w:rPr>
          <w:rFonts w:asciiTheme="minorHAnsi" w:hAnsiTheme="minorHAnsi" w:cstheme="minorHAnsi"/>
        </w:rPr>
        <w:instrText xml:space="preserve"> ADDIN ZOTERO_ITEM CSL_CITATION {"citationID":"cZm6dRsb","properties":{"unsorted":true,"formattedCitation":"(Walsh, 2009; Marsh, 2012; Robison et al., 2021)","plainCitation":"(Walsh, 2009; Marsh, 2012; Robison et al., 2021)","noteIndex":0},"citationItems":[{"id":763,"uris":["http://zotero.org/users/local/RRCsWsp6/items/LNMBLUEM"],"itemData":{"id":763,"type":"book","event-place":"Harlow, UNITED KINGDOM","ISBN":"978-0-273-72976-1","publisher":"Pearson Education","publisher-place":"Harlow, UNITED KINGDOM","source":"ProQuest Ebook Central","title":"Key Management Ratios","URL":"http://ebookcentral.proquest.com/lib/trinity/detail.action?docID=5185636","author":[{"family":"Walsh","given":"Ciaran"}],"accessed":{"date-parts":[["2021",3,8]]},"issued":{"date-parts":[["2009"]]}},"label":"page"},{"id":953,"uris":["http://zotero.org/users/local/RRCsWsp6/items/F7B7AKYW","http://zotero.org/users/local/RRCsWsp6/items/CW5HAX62"],"itemData":{"id":953,"type":"book","abstract":"Unique in its clarity and breadth of coverage, Financial Management for Non-Financial Managers explains the essentials of accounting and finance for managers and professionals from non-financial backgrounds.","collection-title":"Strategic success series","event-place":"London ;","ISBN":"978-1-62198-382-8","language":"eng","number-of-pages":"256","publisher":"Kogan Page","publisher-place":"London ;","source":"librarysearch.uwtsd.ac.uk","title":"Financial management for non-financial managers","author":[{"family":"Marsh","given":"Clive"}],"issued":{"date-parts":[["2012"]]}},"label":"page"},{"id":891,"uris":["http://zotero.org/users/local/RRCsWsp6/items/5XKURFC5"],"itemData":{"id":891,"type":"book","ISBN":"978-1-62610-114-2","language":"en","publisher":"Michigan State University Libraries","source":"openbooks.lib.msu.edu","title":"Financial Management for Small Businesses, 2nd OER Edition","URL":"https://openbooks.lib.msu.edu/financialmanagement/","author":[{"family":"Robison","given":"Lindon"},{"family":"Hanson","given":"Steven"},{"family":"Black","given":"J. Roy"}],"accessed":{"date-parts":[["2023",6,6]]},"issued":{"date-parts":[["2021",1,28]]}},"label":"page"}],"schema":"https://github.com/citation-style-language/schema/raw/master/csl-citation.json"} </w:instrText>
      </w:r>
      <w:r w:rsidRPr="009176E9">
        <w:rPr>
          <w:rFonts w:asciiTheme="minorHAnsi" w:hAnsiTheme="minorHAnsi" w:cstheme="minorHAnsi"/>
        </w:rPr>
        <w:fldChar w:fldCharType="separate"/>
      </w:r>
      <w:r w:rsidR="0090384C">
        <w:rPr>
          <w:rFonts w:asciiTheme="minorHAnsi" w:hAnsiTheme="minorHAnsi" w:cstheme="minorHAnsi"/>
          <w:noProof/>
        </w:rPr>
        <w:t>(Walsh, 2009; Marsh, 2012; Robison et al., 2021)</w:t>
      </w:r>
      <w:r w:rsidRPr="009176E9">
        <w:rPr>
          <w:rFonts w:asciiTheme="minorHAnsi" w:hAnsiTheme="minorHAnsi" w:cstheme="minorHAnsi"/>
        </w:rPr>
        <w:fldChar w:fldCharType="end"/>
      </w:r>
      <w:r w:rsidRPr="009176E9">
        <w:rPr>
          <w:rFonts w:asciiTheme="minorHAnsi" w:hAnsiTheme="minorHAnsi" w:cstheme="minorHAnsi"/>
        </w:rPr>
        <w:t>.</w:t>
      </w:r>
    </w:p>
    <w:p w14:paraId="75B8FBF4" w14:textId="4BD9E1C4" w:rsidR="009B332B" w:rsidRPr="009176E9" w:rsidRDefault="009B332B" w:rsidP="00D03F46">
      <w:pPr>
        <w:pStyle w:val="NormalWeb"/>
        <w:spacing w:line="480" w:lineRule="auto"/>
        <w:jc w:val="both"/>
        <w:rPr>
          <w:rFonts w:asciiTheme="minorHAnsi" w:hAnsiTheme="minorHAnsi" w:cstheme="minorHAnsi"/>
        </w:rPr>
      </w:pPr>
      <w:r>
        <w:rPr>
          <w:rFonts w:asciiTheme="minorHAnsi" w:hAnsiTheme="minorHAnsi" w:cstheme="minorHAnsi"/>
        </w:rPr>
        <w:t>Financial ratio analy</w:t>
      </w:r>
      <w:r w:rsidR="000145DD">
        <w:rPr>
          <w:rFonts w:asciiTheme="minorHAnsi" w:hAnsiTheme="minorHAnsi" w:cstheme="minorHAnsi"/>
        </w:rPr>
        <w:t xml:space="preserve">ses are conducted </w:t>
      </w:r>
      <w:r w:rsidR="00CE0AD3">
        <w:rPr>
          <w:rFonts w:asciiTheme="minorHAnsi" w:hAnsiTheme="minorHAnsi" w:cstheme="minorHAnsi"/>
        </w:rPr>
        <w:t xml:space="preserve">to </w:t>
      </w:r>
      <w:r w:rsidR="003A32BB">
        <w:rPr>
          <w:rFonts w:asciiTheme="minorHAnsi" w:hAnsiTheme="minorHAnsi" w:cstheme="minorHAnsi"/>
        </w:rPr>
        <w:t>fulfil</w:t>
      </w:r>
      <w:r w:rsidR="00CE0AD3">
        <w:rPr>
          <w:rFonts w:asciiTheme="minorHAnsi" w:hAnsiTheme="minorHAnsi" w:cstheme="minorHAnsi"/>
        </w:rPr>
        <w:t xml:space="preserve"> a wide range of needs, f</w:t>
      </w:r>
      <w:r w:rsidR="009753E9">
        <w:rPr>
          <w:rFonts w:asciiTheme="minorHAnsi" w:hAnsiTheme="minorHAnsi" w:cstheme="minorHAnsi"/>
        </w:rPr>
        <w:t>ro</w:t>
      </w:r>
      <w:r w:rsidR="00CE0AD3">
        <w:rPr>
          <w:rFonts w:asciiTheme="minorHAnsi" w:hAnsiTheme="minorHAnsi" w:cstheme="minorHAnsi"/>
        </w:rPr>
        <w:t>m investment management to financial and business managers</w:t>
      </w:r>
      <w:r w:rsidR="008A17A6">
        <w:rPr>
          <w:rFonts w:asciiTheme="minorHAnsi" w:hAnsiTheme="minorHAnsi" w:cstheme="minorHAnsi"/>
        </w:rPr>
        <w:t>.</w:t>
      </w:r>
      <w:r w:rsidR="0084096D">
        <w:rPr>
          <w:rFonts w:asciiTheme="minorHAnsi" w:hAnsiTheme="minorHAnsi" w:cstheme="minorHAnsi"/>
        </w:rPr>
        <w:t xml:space="preserve"> </w:t>
      </w:r>
      <w:r w:rsidR="003106D7">
        <w:rPr>
          <w:rFonts w:asciiTheme="minorHAnsi" w:hAnsiTheme="minorHAnsi" w:cstheme="minorHAnsi"/>
        </w:rPr>
        <w:t>While it is possible to express a ratio of nearly every piece of information contained within financial statements</w:t>
      </w:r>
      <w:r w:rsidR="007A6A81">
        <w:rPr>
          <w:rFonts w:asciiTheme="minorHAnsi" w:hAnsiTheme="minorHAnsi" w:cstheme="minorHAnsi"/>
        </w:rPr>
        <w:t>, only some of these will give relational information that is of use for wider analysis.</w:t>
      </w:r>
      <w:r w:rsidR="008A17A6">
        <w:rPr>
          <w:rFonts w:asciiTheme="minorHAnsi" w:hAnsiTheme="minorHAnsi" w:cstheme="minorHAnsi"/>
        </w:rPr>
        <w:t xml:space="preserve"> There are a diverse range of ratios that can be selected from </w:t>
      </w:r>
      <w:r w:rsidR="002F690C">
        <w:rPr>
          <w:rFonts w:asciiTheme="minorHAnsi" w:hAnsiTheme="minorHAnsi" w:cstheme="minorHAnsi"/>
        </w:rPr>
        <w:t>to apply to financial statements</w:t>
      </w:r>
      <w:r w:rsidR="00DD66CA">
        <w:rPr>
          <w:rFonts w:asciiTheme="minorHAnsi" w:hAnsiTheme="minorHAnsi" w:cstheme="minorHAnsi"/>
        </w:rPr>
        <w:t>;</w:t>
      </w:r>
      <w:r w:rsidR="002F690C">
        <w:rPr>
          <w:rFonts w:asciiTheme="minorHAnsi" w:hAnsiTheme="minorHAnsi" w:cstheme="minorHAnsi"/>
        </w:rPr>
        <w:t xml:space="preserve"> while the</w:t>
      </w:r>
      <w:r w:rsidR="00DD66CA">
        <w:rPr>
          <w:rFonts w:asciiTheme="minorHAnsi" w:hAnsiTheme="minorHAnsi" w:cstheme="minorHAnsi"/>
        </w:rPr>
        <w:t xml:space="preserve"> more common ‘standard’ ratios are widely published, some of these require adjustments to be made for specific industries</w:t>
      </w:r>
      <w:r w:rsidR="00A86769">
        <w:rPr>
          <w:rFonts w:asciiTheme="minorHAnsi" w:hAnsiTheme="minorHAnsi" w:cstheme="minorHAnsi"/>
        </w:rPr>
        <w:t xml:space="preserve"> or sectors. It is also possible to find custom devised ratios created by individual analysts</w:t>
      </w:r>
      <w:r w:rsidR="00026D1D">
        <w:rPr>
          <w:rFonts w:asciiTheme="minorHAnsi" w:hAnsiTheme="minorHAnsi" w:cstheme="minorHAnsi"/>
        </w:rPr>
        <w:t>, industries or financial management firms seeking to maximise</w:t>
      </w:r>
      <w:r w:rsidR="00755160">
        <w:rPr>
          <w:rFonts w:asciiTheme="minorHAnsi" w:hAnsiTheme="minorHAnsi" w:cstheme="minorHAnsi"/>
        </w:rPr>
        <w:t xml:space="preserve"> their ability to devise information or predict company/industry performance </w:t>
      </w:r>
      <w:r w:rsidR="00755160">
        <w:rPr>
          <w:rFonts w:asciiTheme="minorHAnsi" w:hAnsiTheme="minorHAnsi" w:cstheme="minorHAnsi"/>
        </w:rPr>
        <w:fldChar w:fldCharType="begin"/>
      </w:r>
      <w:r w:rsidR="0090384C">
        <w:rPr>
          <w:rFonts w:asciiTheme="minorHAnsi" w:hAnsiTheme="minorHAnsi" w:cstheme="minorHAnsi"/>
        </w:rPr>
        <w:instrText xml:space="preserve"> ADDIN ZOTERO_ITEM CSL_CITATION {"citationID":"0LT1vW2V","properties":{"unsorted":true,"formattedCitation":"(Walsh, 2009; Alvarez and Fridson, 2011; Marsh, 2012; Fields, 2016)","plainCitation":"(Walsh, 2009; Alvarez and Fridson, 2011; Marsh, 2012; Fields, 2016)","noteIndex":0},"citationItems":[{"id":763,"uris":["http://zotero.org/users/local/RRCsWsp6/items/LNMBLUEM"],"itemData":{"id":763,"type":"book","event-place":"Harlow, UNITED KINGDOM","ISBN":"978-0-273-72976-1","publisher":"Pearson Education","publisher-place":"Harlow, UNITED KINGDOM","source":"ProQuest Ebook Central","title":"Key Management Ratios","URL":"http://ebookcentral.proquest.com/lib/trinity/detail.action?docID=5185636","author":[{"family":"Walsh","given":"Ciaran"}],"accessed":{"date-parts":[["2021",3,8]]},"issued":{"date-parts":[["2009"]]}},"label":"page"},{"id":633,"uris":["http://zotero.org/users/local/RRCsWsp6/items/TICP97KX"],"itemData":{"id":633,"type":"book","abstract":"An updated guide to the essential discipline of financial statement analysis In Financial Statement Analysis, Fourth Edition, leading investment authority Martin Fridson returns with Fernando Alvarez to provide the analytical framework you need to scrutinize financial statements, whether you're evaluating a company's stock price or determining valuations for a merger or acquisition. This fully revised and up-to-date Fourth Edition offers fresh information that will help you to evaluate financial statements in today's volatile markets and uncertain economy, and allow yo","collection-title":"Wiley Finance ; v.597","edition":"4th ed.","event-place":"Hoboken","ISBN":"978-1-119-20148-9","language":"eng","number-of-pages":"400","publisher":"Wiley","publisher-place":"Hoboken","source":"librarysearch.uwtsd.ac.uk","title":"Financial Statement Analysis A Practitioner's Guide","author":[{"family":"Alvarez","given":"Fernando"},{"family":"Fridson","given":"Martin S"}],"issued":{"date-parts":[["2011"]]}},"label":"page"},{"id":953,"uris":["http://zotero.org/users/local/RRCsWsp6/items/F7B7AKYW","http://zotero.org/users/local/RRCsWsp6/items/CW5HAX62"],"itemData":{"id":953,"type":"book","abstract":"Unique in its clarity and breadth of coverage, Financial Management for Non-Financial Managers explains the essentials of accounting and finance for managers and professionals from non-financial backgrounds.","collection-title":"Strategic success series","event-place":"London ;","ISBN":"978-1-62198-382-8","language":"eng","number-of-pages":"256","publisher":"Kogan Page","publisher-place":"London ;","source":"librarysearch.uwtsd.ac.uk","title":"Financial management for non-financial managers","author":[{"family":"Marsh","given":"Clive"}],"issued":{"date-parts":[["2012"]]}},"label":"page"},{"id":627,"uris":["http://zotero.org/users/local/RRCsWsp6/items/JKB9MBF2"],"itemData":{"id":627,"type":"book","abstract":"They say that numbers don't lie, but what if you can't even read them? Financial analysis reports, budgeting reports, forecasting and measuring reports--sometimes they all run together, don't they? The Essentials of Finance and Accounting for Nonfinancial Managers is here to help. This new edition of a business classic demystifies finance and accounting and gives managers the tools they need to make better decisions. Complete with fresh insights, case studies, and street-level exercises to help non-numbers people master the numbers game, this indispensable translation guide reveals how to: - Understand the fundamentals of financial analysis, budgeting, and forecasting- Interpret balance sheets, income/cash flow statements, and annual reports- Sift through conflicting data to find the most relevant figures- Locate key information about competitors and suppliers- Analyze variances and calculate break-even points and other vital measures- And much more The numbers are too important to allow others to translate for you. You need to know how to read them yourself. Imagine the impact on future decisions when you grasp not only what the numbers mean but can use that insight to drive your business forward.","event-place":"Nashville, UNITED STATES","ISBN":"978-0-8144-3695-0","publisher":"AMACOM","publisher-place":"Nashville, UNITED STATES","source":"ProQuest Ebook Central","title":"The Essentials of Finance and Accounting for Nonfinancial Managers","URL":"http://ebookcentral.proquest.com/lib/trinity/detail.action?docID=4202075","author":[{"family":"Fields","given":"Edward"}],"accessed":{"date-parts":[["2023",1,29]]},"issued":{"date-parts":[["2016"]]}},"label":"page"}],"schema":"https://github.com/citation-style-language/schema/raw/master/csl-citation.json"} </w:instrText>
      </w:r>
      <w:r w:rsidR="00755160">
        <w:rPr>
          <w:rFonts w:asciiTheme="minorHAnsi" w:hAnsiTheme="minorHAnsi" w:cstheme="minorHAnsi"/>
        </w:rPr>
        <w:fldChar w:fldCharType="separate"/>
      </w:r>
      <w:r w:rsidR="0090384C">
        <w:rPr>
          <w:rFonts w:asciiTheme="minorHAnsi" w:hAnsiTheme="minorHAnsi" w:cstheme="minorHAnsi"/>
          <w:noProof/>
        </w:rPr>
        <w:t>(Walsh, 2009; Alvarez and Fridson, 2011; Marsh, 2012; Fields, 2016)</w:t>
      </w:r>
      <w:r w:rsidR="00755160">
        <w:rPr>
          <w:rFonts w:asciiTheme="minorHAnsi" w:hAnsiTheme="minorHAnsi" w:cstheme="minorHAnsi"/>
        </w:rPr>
        <w:fldChar w:fldCharType="end"/>
      </w:r>
      <w:r w:rsidR="00755160">
        <w:rPr>
          <w:rFonts w:asciiTheme="minorHAnsi" w:hAnsiTheme="minorHAnsi" w:cstheme="minorHAnsi"/>
        </w:rPr>
        <w:t xml:space="preserve">. </w:t>
      </w:r>
    </w:p>
    <w:p w14:paraId="78151E59" w14:textId="110CAF06" w:rsidR="004137D1" w:rsidRPr="004E1448" w:rsidRDefault="009176E9" w:rsidP="004E1448">
      <w:pPr>
        <w:spacing w:line="480" w:lineRule="auto"/>
        <w:jc w:val="both"/>
        <w:rPr>
          <w:rFonts w:cstheme="minorHAnsi"/>
          <w:sz w:val="24"/>
          <w:szCs w:val="24"/>
        </w:rPr>
      </w:pPr>
      <w:r w:rsidRPr="009176E9">
        <w:rPr>
          <w:rFonts w:cstheme="minorHAnsi"/>
          <w:sz w:val="24"/>
          <w:szCs w:val="24"/>
        </w:rPr>
        <w:t>Ratios can generally be grouped into five categories by how they assess the company’s performance, Profitability, Efficiency, Liquidity, Investment and Gearing. With each ratio and category needing to be viewed as part of the wh</w:t>
      </w:r>
      <w:r w:rsidR="009753E9">
        <w:rPr>
          <w:rFonts w:cstheme="minorHAnsi"/>
          <w:sz w:val="24"/>
          <w:szCs w:val="24"/>
        </w:rPr>
        <w:t>ole</w:t>
      </w:r>
      <w:r w:rsidRPr="009176E9">
        <w:rPr>
          <w:rFonts w:cstheme="minorHAnsi"/>
          <w:sz w:val="24"/>
          <w:szCs w:val="24"/>
        </w:rPr>
        <w:t xml:space="preserve"> in order to develop a complete picture </w:t>
      </w:r>
      <w:r w:rsidRPr="009176E9">
        <w:rPr>
          <w:rFonts w:cstheme="minorHAnsi"/>
          <w:sz w:val="24"/>
          <w:szCs w:val="24"/>
        </w:rPr>
        <w:fldChar w:fldCharType="begin"/>
      </w:r>
      <w:r w:rsidR="007931FB">
        <w:rPr>
          <w:rFonts w:cstheme="minorHAnsi"/>
          <w:sz w:val="24"/>
          <w:szCs w:val="24"/>
        </w:rPr>
        <w:instrText xml:space="preserve"> ADDIN ZOTERO_ITEM CSL_CITATION {"citationID":"qEd7wAgM","properties":{"formattedCitation":"(Robison et al., 2021)","plainCitation":"(Robison et al., 2021)","noteIndex":0},"citationItems":[{"id":891,"uris":["http://zotero.org/users/local/RRCsWsp6/items/5XKURFC5"],"itemData":{"id":891,"type":"book","ISBN":"978-1-62610-114-2","language":"en","publisher":"Michigan State University Libraries","source":"openbooks.lib.msu.edu","title":"Financial Management for Small Businesses, 2nd OER Edition","URL":"https://openbooks.lib.msu.edu/financialmanagement/","author":[{"family":"Robison","given":"Lindon"},{"family":"Hanson","given":"Steven"},{"family":"Black","given":"J. Roy"}],"accessed":{"date-parts":[["2023",6,6]]},"issued":{"date-parts":[["2021",1,28]]}}}],"schema":"https://github.com/citation-style-language/schema/raw/master/csl-citation.json"} </w:instrText>
      </w:r>
      <w:r w:rsidRPr="009176E9">
        <w:rPr>
          <w:rFonts w:cstheme="minorHAnsi"/>
          <w:sz w:val="24"/>
          <w:szCs w:val="24"/>
        </w:rPr>
        <w:fldChar w:fldCharType="separate"/>
      </w:r>
      <w:r w:rsidR="007931FB">
        <w:rPr>
          <w:rFonts w:cstheme="minorHAnsi"/>
          <w:noProof/>
          <w:sz w:val="24"/>
          <w:szCs w:val="24"/>
        </w:rPr>
        <w:t>(Robison et al., 2021)</w:t>
      </w:r>
      <w:r w:rsidRPr="009176E9">
        <w:rPr>
          <w:rFonts w:cstheme="minorHAnsi"/>
          <w:sz w:val="24"/>
          <w:szCs w:val="24"/>
        </w:rPr>
        <w:fldChar w:fldCharType="end"/>
      </w:r>
      <w:r w:rsidRPr="009176E9">
        <w:rPr>
          <w:rFonts w:cstheme="minorHAnsi"/>
          <w:sz w:val="24"/>
          <w:szCs w:val="24"/>
        </w:rPr>
        <w:t xml:space="preserve">. Profitability ratios measure the ability to generate profits from </w:t>
      </w:r>
      <w:r w:rsidR="009753E9">
        <w:rPr>
          <w:rFonts w:cstheme="minorHAnsi"/>
          <w:sz w:val="24"/>
          <w:szCs w:val="24"/>
        </w:rPr>
        <w:t>a company’s</w:t>
      </w:r>
      <w:r w:rsidRPr="009176E9">
        <w:rPr>
          <w:rFonts w:cstheme="minorHAnsi"/>
          <w:sz w:val="24"/>
          <w:szCs w:val="24"/>
        </w:rPr>
        <w:t xml:space="preserve"> assets, Efficiency ratios compare the company’s inputs and outputs, Liquidity ratios compare the company’s ability to meet its obligations, Investment ratios measure the company’s performance in creating value for its shareholders and Gearing ratios compare the amount of leverage (debt) the company currently has </w:t>
      </w:r>
      <w:r w:rsidRPr="009176E9">
        <w:rPr>
          <w:rFonts w:cstheme="minorHAnsi"/>
          <w:sz w:val="24"/>
          <w:szCs w:val="24"/>
        </w:rPr>
        <w:fldChar w:fldCharType="begin"/>
      </w:r>
      <w:r w:rsidR="0090384C">
        <w:rPr>
          <w:rFonts w:cstheme="minorHAnsi"/>
          <w:sz w:val="24"/>
          <w:szCs w:val="24"/>
        </w:rPr>
        <w:instrText xml:space="preserve"> ADDIN ZOTERO_ITEM CSL_CITATION {"citationID":"mq2fGGCB","properties":{"unsorted":true,"formattedCitation":"(Robison et al., 2021; CFI Team, 2023)","plainCitation":"(Robison et al., 2021; CFI Team, 2023)","noteIndex":0},"citationItems":[{"id":891,"uris":["http://zotero.org/users/local/RRCsWsp6/items/5XKURFC5"],"itemData":{"id":891,"type":"book","ISBN":"978-1-62610-114-2","language":"en","publisher":"Michigan State University Libraries","source":"openbooks.lib.msu.edu","title":"Financial Management for Small Businesses, 2nd OER Edition","URL":"https://openbooks.lib.msu.edu/financialmanagement/","author":[{"family":"Robison","given":"Lindon"},{"family":"Hanson","given":"Steven"},{"family":"Black","given":"J. Roy"}],"accessed":{"date-parts":[["2023",6,6]]},"issued":{"date-parts":[["2021",1,28]]}},"label":"page"},{"id":825,"uris":["http://zotero.org/users/local/RRCsWsp6/items/WSLTBDRZ"],"itemData":{"id":825,"type":"webpage","abstract":"Financial ratios are created with the use of numerical values taken from financial statements to gain meaningful information about a company","container-title":"Corporate Finance Institute","genre":"Resources","language":"en-US","title":"Financial Ratios","URL":"https://corporatefinanceinstitute.com/resources/accounting/financial-ratios/","author":[{"family":"CFI Team","given":""}],"accessed":{"date-parts":[["2023",2,12]]},"issued":{"date-parts":[["2023",2,1]]}},"label":"page"}],"schema":"https://github.com/citation-style-language/schema/raw/master/csl-citation.json"} </w:instrText>
      </w:r>
      <w:r w:rsidRPr="009176E9">
        <w:rPr>
          <w:rFonts w:cstheme="minorHAnsi"/>
          <w:sz w:val="24"/>
          <w:szCs w:val="24"/>
        </w:rPr>
        <w:fldChar w:fldCharType="separate"/>
      </w:r>
      <w:r w:rsidR="0090384C">
        <w:rPr>
          <w:rFonts w:cstheme="minorHAnsi"/>
          <w:noProof/>
          <w:sz w:val="24"/>
          <w:szCs w:val="24"/>
        </w:rPr>
        <w:t>(Robison et al., 2021; CFI Team, 2023)</w:t>
      </w:r>
      <w:r w:rsidRPr="009176E9">
        <w:rPr>
          <w:rFonts w:cstheme="minorHAnsi"/>
          <w:sz w:val="24"/>
          <w:szCs w:val="24"/>
        </w:rPr>
        <w:fldChar w:fldCharType="end"/>
      </w:r>
      <w:r w:rsidRPr="009176E9">
        <w:rPr>
          <w:rFonts w:cstheme="minorHAnsi"/>
          <w:sz w:val="24"/>
          <w:szCs w:val="24"/>
        </w:rPr>
        <w:t>. Financial ratios are not all equal, with the most important being Profitability and Liquidity ratios, as if</w:t>
      </w:r>
      <w:r w:rsidR="00943487">
        <w:rPr>
          <w:rFonts w:cstheme="minorHAnsi"/>
          <w:sz w:val="24"/>
          <w:szCs w:val="24"/>
        </w:rPr>
        <w:t xml:space="preserve"> these</w:t>
      </w:r>
      <w:r w:rsidRPr="009176E9">
        <w:rPr>
          <w:rFonts w:cstheme="minorHAnsi"/>
          <w:sz w:val="24"/>
          <w:szCs w:val="24"/>
        </w:rPr>
        <w:t xml:space="preserve"> do not indicate a profitable and solvent company </w:t>
      </w:r>
      <w:r w:rsidR="00943487">
        <w:rPr>
          <w:rFonts w:cstheme="minorHAnsi"/>
          <w:sz w:val="24"/>
          <w:szCs w:val="24"/>
        </w:rPr>
        <w:t>then</w:t>
      </w:r>
      <w:r w:rsidRPr="009176E9">
        <w:rPr>
          <w:rFonts w:cstheme="minorHAnsi"/>
          <w:sz w:val="24"/>
          <w:szCs w:val="24"/>
        </w:rPr>
        <w:t xml:space="preserve"> the other </w:t>
      </w:r>
      <w:r w:rsidRPr="009176E9">
        <w:rPr>
          <w:rFonts w:cstheme="minorHAnsi"/>
          <w:sz w:val="24"/>
          <w:szCs w:val="24"/>
        </w:rPr>
        <w:lastRenderedPageBreak/>
        <w:t xml:space="preserve">ratios do not matter as it will not be able to survive in the long term </w:t>
      </w:r>
      <w:r w:rsidRPr="009176E9">
        <w:rPr>
          <w:rFonts w:cstheme="minorHAnsi"/>
          <w:sz w:val="24"/>
          <w:szCs w:val="24"/>
        </w:rPr>
        <w:fldChar w:fldCharType="begin"/>
      </w:r>
      <w:r w:rsidR="0090384C">
        <w:rPr>
          <w:rFonts w:cstheme="minorHAnsi"/>
          <w:sz w:val="24"/>
          <w:szCs w:val="24"/>
        </w:rPr>
        <w:instrText xml:space="preserve"> ADDIN ZOTERO_ITEM CSL_CITATION {"citationID":"4gsBylR3","properties":{"unsorted":true,"formattedCitation":"(Lawder, 1989; Athanassopoulos and Ballantine, 1995; Robison et al., 2021)","plainCitation":"(Lawder, 1989; Athanassopoulos and Ballantine, 1995; Robison et al., 2021)","noteIndex":0},"citationItems":[{"id":892,"uris":["http://zotero.org/users/local/RRCsWsp6/items/XDVZJ8H8"],"itemData":{"id":892,"type":"article-journal","abstract":"It is virtually impossible to quantitatively measure the relationship between 2 numbers on a financial statement without the use of a ratio. Ratios allow an analyst to assess the absolute value of a relationship as well as to quantify the degree of change within the relationship. Ratios are a comparative tool and must be compared to some standard. Ratios are generally used to analyze a company over time or to compare it with other similar companies. The key to ratio analysis lies in the significance of the relationships studies. Commonly used ratios for determining the general health of a prospective credit client are: 1. balance sheet ratios, 2. profitability ratios, 3. combined ratios, and 4. specialized ratios. Computer technology has taken a lot of the mechanical drudgery out of ratio analysis and greatly increased the potential for efficiency. The ability to conveniently track ratios over several financial periods and adequate flexibility to make changes in a particular program are essential.","container-title":"Business Credit","ISSN":"08970181","issue":"6","language":"English","license":"Copyright National Association of Credit Management Jun 1989","note":"number-of-pages: 3\npublisher-place: New York, United States\npublisher: National Association of Credit Management","page":"28","source":"ProQuest","title":"Ratios 101: Back To The Basics Of Financial Analysis","title-short":"Ratios 101","volume":"91","author":[{"family":"Lawder","given":"Keith E."}],"issued":{"date-parts":[["1989",6]]}},"label":"page"},{"id":887,"uris":["http://zotero.org/users/local/RRCsWsp6/items/RIAZPFV6"],"itemData":{"id":887,"type":"article-journal","abstract":"This paper considers the use of alternative methodologies for assessing corporate performance of industrial sectors within the economy. It is argued that the use of ratio analysis in itself is insufficient for assessing performance, and that more advanced tools like data envelopment analysis should be used to complement ratio analysis. Data envelopment analysis is used in the paper to address a series of issues concerning the measurement of corporate performance, which includes an assessment of sales' efficiency, the effects of economies of scale, benchmarking of a firm's performance and the association between industry groups and performance. The paper uses data drawn from the grocery industry in the UK.","container-title":"The Journal of the Operational Research Society","DOI":"10.2307/2584591","ISSN":"0160-5682","issue":"4","note":"publisher: Palgrave Macmillan Journals","page":"427-440","source":"JSTOR","title":"Ratio and Frontier Analysis for Assessing Corporate Performance: Evidence from the Grocery Industry in the UK","title-short":"Ratio and Frontier Analysis for Assessing Corporate Performance","volume":"46","author":[{"family":"Athanassopoulos","given":"Antreas D."},{"family":"Ballantine","given":"Joan A."}],"issued":{"date-parts":[["1995"]]}},"label":"page"},{"id":891,"uris":["http://zotero.org/users/local/RRCsWsp6/items/5XKURFC5"],"itemData":{"id":891,"type":"book","ISBN":"978-1-62610-114-2","language":"en","publisher":"Michigan State University Libraries","source":"openbooks.lib.msu.edu","title":"Financial Management for Small Businesses, 2nd OER Edition","URL":"https://openbooks.lib.msu.edu/financialmanagement/","author":[{"family":"Robison","given":"Lindon"},{"family":"Hanson","given":"Steven"},{"family":"Black","given":"J. Roy"}],"accessed":{"date-parts":[["2023",6,6]]},"issued":{"date-parts":[["2021",1,28]]}},"label":"page"}],"schema":"https://github.com/citation-style-language/schema/raw/master/csl-citation.json"} </w:instrText>
      </w:r>
      <w:r w:rsidRPr="009176E9">
        <w:rPr>
          <w:rFonts w:cstheme="minorHAnsi"/>
          <w:sz w:val="24"/>
          <w:szCs w:val="24"/>
        </w:rPr>
        <w:fldChar w:fldCharType="separate"/>
      </w:r>
      <w:r w:rsidR="0090384C">
        <w:rPr>
          <w:rFonts w:cstheme="minorHAnsi"/>
          <w:noProof/>
          <w:sz w:val="24"/>
          <w:szCs w:val="24"/>
        </w:rPr>
        <w:t>(Lawder, 1989; Athanassopoulos and Ballantine, 1995; Robison et al., 2021)</w:t>
      </w:r>
      <w:r w:rsidRPr="009176E9">
        <w:rPr>
          <w:rFonts w:cstheme="minorHAnsi"/>
          <w:sz w:val="24"/>
          <w:szCs w:val="24"/>
        </w:rPr>
        <w:fldChar w:fldCharType="end"/>
      </w:r>
      <w:r w:rsidRPr="009176E9">
        <w:rPr>
          <w:rFonts w:cstheme="minorHAnsi"/>
          <w:sz w:val="24"/>
          <w:szCs w:val="24"/>
        </w:rPr>
        <w:t xml:space="preserve">. </w:t>
      </w:r>
    </w:p>
    <w:p w14:paraId="2B99A7EF" w14:textId="2D7805F8" w:rsidR="00403A7B" w:rsidRDefault="00107A79" w:rsidP="00CA5AD8">
      <w:pPr>
        <w:pStyle w:val="Heading2"/>
        <w:numPr>
          <w:ilvl w:val="1"/>
          <w:numId w:val="3"/>
        </w:numPr>
        <w:spacing w:line="480" w:lineRule="auto"/>
        <w:jc w:val="both"/>
        <w:rPr>
          <w:szCs w:val="24"/>
        </w:rPr>
      </w:pPr>
      <w:bookmarkStart w:id="15" w:name="_Toc141646698"/>
      <w:r>
        <w:rPr>
          <w:szCs w:val="24"/>
        </w:rPr>
        <w:t>Challenges</w:t>
      </w:r>
      <w:r w:rsidR="00403A7B">
        <w:rPr>
          <w:szCs w:val="24"/>
        </w:rPr>
        <w:t xml:space="preserve"> </w:t>
      </w:r>
      <w:r>
        <w:rPr>
          <w:szCs w:val="24"/>
        </w:rPr>
        <w:t>in</w:t>
      </w:r>
      <w:r w:rsidR="00403A7B">
        <w:rPr>
          <w:szCs w:val="24"/>
        </w:rPr>
        <w:t xml:space="preserve"> Financial Ratio Analysis</w:t>
      </w:r>
      <w:bookmarkEnd w:id="15"/>
    </w:p>
    <w:p w14:paraId="76F53479" w14:textId="77777777" w:rsidR="00E404E2" w:rsidRDefault="00E404E2" w:rsidP="00E73829">
      <w:pPr>
        <w:spacing w:line="480" w:lineRule="auto"/>
        <w:jc w:val="both"/>
        <w:rPr>
          <w:sz w:val="24"/>
          <w:szCs w:val="24"/>
        </w:rPr>
      </w:pPr>
      <w:r w:rsidRPr="00E404E2">
        <w:rPr>
          <w:rFonts w:cstheme="minorHAnsi"/>
          <w:sz w:val="24"/>
          <w:szCs w:val="24"/>
        </w:rPr>
        <w:t>Financial ratio analysis is a useful and powerful tool; however</w:t>
      </w:r>
      <w:r>
        <w:rPr>
          <w:rFonts w:cstheme="minorHAnsi"/>
          <w:sz w:val="24"/>
          <w:szCs w:val="24"/>
        </w:rPr>
        <w:t>,</w:t>
      </w:r>
      <w:r w:rsidRPr="00E404E2">
        <w:rPr>
          <w:rFonts w:cstheme="minorHAnsi"/>
          <w:sz w:val="24"/>
          <w:szCs w:val="24"/>
        </w:rPr>
        <w:t xml:space="preserve"> it is not without its weaknesses which must be considered during its utilisation and interpretation.</w:t>
      </w:r>
    </w:p>
    <w:p w14:paraId="3A32688F" w14:textId="41C3287E" w:rsidR="0098458C" w:rsidRPr="002C6C30" w:rsidRDefault="00E63506" w:rsidP="00E73829">
      <w:pPr>
        <w:spacing w:line="480" w:lineRule="auto"/>
        <w:jc w:val="both"/>
        <w:rPr>
          <w:sz w:val="24"/>
          <w:szCs w:val="24"/>
        </w:rPr>
      </w:pPr>
      <w:r w:rsidRPr="002C6C30">
        <w:rPr>
          <w:sz w:val="24"/>
          <w:szCs w:val="24"/>
        </w:rPr>
        <w:t xml:space="preserve">When compiling information for financial analysis, it is key to remember where the source of information originates and </w:t>
      </w:r>
      <w:r w:rsidR="00C7533D" w:rsidRPr="002C6C30">
        <w:rPr>
          <w:sz w:val="24"/>
          <w:szCs w:val="24"/>
        </w:rPr>
        <w:t>its</w:t>
      </w:r>
      <w:r w:rsidRPr="002C6C30">
        <w:rPr>
          <w:sz w:val="24"/>
          <w:szCs w:val="24"/>
        </w:rPr>
        <w:t xml:space="preserve"> </w:t>
      </w:r>
      <w:r w:rsidR="00B37D08" w:rsidRPr="002C6C30">
        <w:rPr>
          <w:sz w:val="24"/>
          <w:szCs w:val="24"/>
        </w:rPr>
        <w:t xml:space="preserve">desired audience. Two </w:t>
      </w:r>
      <w:r w:rsidR="00C7533D" w:rsidRPr="002C6C30">
        <w:rPr>
          <w:sz w:val="24"/>
          <w:szCs w:val="24"/>
        </w:rPr>
        <w:t>principal</w:t>
      </w:r>
      <w:r w:rsidR="00B37D08" w:rsidRPr="002C6C30">
        <w:rPr>
          <w:sz w:val="24"/>
          <w:szCs w:val="24"/>
        </w:rPr>
        <w:t xml:space="preserve"> types of financial reporting information </w:t>
      </w:r>
      <w:r w:rsidR="002C6C30" w:rsidRPr="002C6C30">
        <w:rPr>
          <w:sz w:val="24"/>
          <w:szCs w:val="24"/>
        </w:rPr>
        <w:t>exist</w:t>
      </w:r>
      <w:r w:rsidR="00B37D08" w:rsidRPr="002C6C30">
        <w:rPr>
          <w:sz w:val="24"/>
          <w:szCs w:val="24"/>
        </w:rPr>
        <w:t xml:space="preserve">: </w:t>
      </w:r>
    </w:p>
    <w:p w14:paraId="1366B2FA" w14:textId="76C02426" w:rsidR="0061023D" w:rsidRPr="002C6C30" w:rsidRDefault="0098458C" w:rsidP="0098458C">
      <w:pPr>
        <w:pStyle w:val="ListParagraph"/>
        <w:numPr>
          <w:ilvl w:val="0"/>
          <w:numId w:val="32"/>
        </w:numPr>
        <w:spacing w:line="480" w:lineRule="auto"/>
        <w:jc w:val="both"/>
        <w:rPr>
          <w:sz w:val="24"/>
          <w:szCs w:val="24"/>
        </w:rPr>
      </w:pPr>
      <w:r w:rsidRPr="00E750AB">
        <w:rPr>
          <w:sz w:val="24"/>
          <w:szCs w:val="24"/>
        </w:rPr>
        <w:t>Management accounting reports</w:t>
      </w:r>
      <w:r w:rsidRPr="002C6C30">
        <w:rPr>
          <w:sz w:val="24"/>
          <w:szCs w:val="24"/>
        </w:rPr>
        <w:t xml:space="preserve"> – these are usually </w:t>
      </w:r>
      <w:r w:rsidR="007F7DF2" w:rsidRPr="002C6C30">
        <w:rPr>
          <w:sz w:val="24"/>
          <w:szCs w:val="24"/>
        </w:rPr>
        <w:t>highly</w:t>
      </w:r>
      <w:r w:rsidRPr="002C6C30">
        <w:rPr>
          <w:sz w:val="24"/>
          <w:szCs w:val="24"/>
        </w:rPr>
        <w:t xml:space="preserve"> detailed to allow managers t</w:t>
      </w:r>
      <w:r w:rsidR="007F7DF2" w:rsidRPr="002C6C30">
        <w:rPr>
          <w:sz w:val="24"/>
          <w:szCs w:val="24"/>
        </w:rPr>
        <w:t xml:space="preserve">o interrogate unbiased information in high </w:t>
      </w:r>
      <w:r w:rsidR="00E042FE" w:rsidRPr="002C6C30">
        <w:rPr>
          <w:sz w:val="24"/>
          <w:szCs w:val="24"/>
        </w:rPr>
        <w:t>resolution</w:t>
      </w:r>
      <w:r w:rsidR="007F7DF2" w:rsidRPr="002C6C30">
        <w:rPr>
          <w:sz w:val="24"/>
          <w:szCs w:val="24"/>
        </w:rPr>
        <w:t xml:space="preserve"> to </w:t>
      </w:r>
      <w:r w:rsidR="00E042FE" w:rsidRPr="002C6C30">
        <w:rPr>
          <w:sz w:val="24"/>
          <w:szCs w:val="24"/>
        </w:rPr>
        <w:t>allow operational decisions.</w:t>
      </w:r>
    </w:p>
    <w:p w14:paraId="276CB23D" w14:textId="68DF18F8" w:rsidR="00E042FE" w:rsidRPr="002C6C30" w:rsidRDefault="00DB0F85" w:rsidP="0098458C">
      <w:pPr>
        <w:pStyle w:val="ListParagraph"/>
        <w:numPr>
          <w:ilvl w:val="0"/>
          <w:numId w:val="32"/>
        </w:numPr>
        <w:spacing w:line="480" w:lineRule="auto"/>
        <w:jc w:val="both"/>
        <w:rPr>
          <w:sz w:val="24"/>
          <w:szCs w:val="24"/>
        </w:rPr>
      </w:pPr>
      <w:r w:rsidRPr="002C6C30">
        <w:rPr>
          <w:sz w:val="24"/>
          <w:szCs w:val="24"/>
        </w:rPr>
        <w:t xml:space="preserve">Public accounting reports – these are usually aggregated and lower resolution, </w:t>
      </w:r>
      <w:r w:rsidR="00C7533D" w:rsidRPr="002C6C30">
        <w:rPr>
          <w:sz w:val="24"/>
          <w:szCs w:val="24"/>
        </w:rPr>
        <w:t>obscuring</w:t>
      </w:r>
      <w:r w:rsidRPr="002C6C30">
        <w:rPr>
          <w:sz w:val="24"/>
          <w:szCs w:val="24"/>
        </w:rPr>
        <w:t xml:space="preserve"> detail</w:t>
      </w:r>
      <w:r w:rsidR="00C7533D" w:rsidRPr="002C6C30">
        <w:rPr>
          <w:sz w:val="24"/>
          <w:szCs w:val="24"/>
        </w:rPr>
        <w:t xml:space="preserve"> in favour of a ‘broad sweep’ of the </w:t>
      </w:r>
      <w:r w:rsidR="002C6C30" w:rsidRPr="002C6C30">
        <w:rPr>
          <w:sz w:val="24"/>
          <w:szCs w:val="24"/>
        </w:rPr>
        <w:t>company’s</w:t>
      </w:r>
      <w:r w:rsidR="00C7533D" w:rsidRPr="002C6C30">
        <w:rPr>
          <w:sz w:val="24"/>
          <w:szCs w:val="24"/>
        </w:rPr>
        <w:t xml:space="preserve"> position </w:t>
      </w:r>
      <w:r w:rsidR="00C7533D" w:rsidRPr="002C6C30">
        <w:rPr>
          <w:sz w:val="24"/>
          <w:szCs w:val="24"/>
        </w:rPr>
        <w:fldChar w:fldCharType="begin"/>
      </w:r>
      <w:r w:rsidR="00946CA1">
        <w:rPr>
          <w:sz w:val="24"/>
          <w:szCs w:val="24"/>
        </w:rPr>
        <w:instrText xml:space="preserve"> ADDIN ZOTERO_ITEM CSL_CITATION {"citationID":"2uWIVDN8","properties":{"formattedCitation":"(Atrill and McLaney, 2018)","plainCitation":"(Atrill and McLaney, 2018)","noteIndex":0},"citationItems":[{"id":766,"uris":["http://zotero.org/users/local/RRCsWsp6/items/DV4TDK2G"],"itemData":{"id":766,"type":"book","event-place":"Harlow, United Kingdom, UNITED KINGDOM","ISBN":"978-1-292-24405-1","publisher":"Pearson Education, Limited","publisher-place":"Harlow, United Kingdom, UNITED KINGDOM","source":"ProQuest Ebook Central","title":"Accounting and Finance for Non-Specialists 11th Edition","URL":"http://ebookcentral.proquest.com/lib/trinity/detail.action?docID=6399594","author":[{"family":"Atrill","given":"Peter"},{"family":"McLaney","given":"Eddie"}],"accessed":{"date-parts":[["2021",3,8]]},"issued":{"date-parts":[["2018"]]}}}],"schema":"https://github.com/citation-style-language/schema/raw/master/csl-citation.json"} </w:instrText>
      </w:r>
      <w:r w:rsidR="00C7533D" w:rsidRPr="002C6C30">
        <w:rPr>
          <w:sz w:val="24"/>
          <w:szCs w:val="24"/>
        </w:rPr>
        <w:fldChar w:fldCharType="separate"/>
      </w:r>
      <w:r w:rsidR="007931FB">
        <w:rPr>
          <w:noProof/>
          <w:sz w:val="24"/>
          <w:szCs w:val="24"/>
        </w:rPr>
        <w:t>(Atrill and McLaney, 2018)</w:t>
      </w:r>
      <w:r w:rsidR="00C7533D" w:rsidRPr="002C6C30">
        <w:rPr>
          <w:sz w:val="24"/>
          <w:szCs w:val="24"/>
        </w:rPr>
        <w:fldChar w:fldCharType="end"/>
      </w:r>
      <w:r w:rsidR="00C7533D" w:rsidRPr="002C6C30">
        <w:rPr>
          <w:sz w:val="24"/>
          <w:szCs w:val="24"/>
        </w:rPr>
        <w:t xml:space="preserve">. </w:t>
      </w:r>
    </w:p>
    <w:p w14:paraId="55C6E961" w14:textId="26C74294" w:rsidR="00FD303F" w:rsidRPr="000E537B" w:rsidRDefault="00E73829" w:rsidP="00FD303F">
      <w:pPr>
        <w:spacing w:line="480" w:lineRule="auto"/>
        <w:jc w:val="both"/>
        <w:rPr>
          <w:sz w:val="24"/>
          <w:szCs w:val="24"/>
          <w:highlight w:val="yellow"/>
        </w:rPr>
      </w:pPr>
      <w:r w:rsidRPr="00F5469D">
        <w:rPr>
          <w:sz w:val="24"/>
          <w:szCs w:val="24"/>
        </w:rPr>
        <w:t xml:space="preserve">According to </w:t>
      </w:r>
      <w:r w:rsidRPr="00F5469D">
        <w:rPr>
          <w:sz w:val="24"/>
          <w:szCs w:val="24"/>
        </w:rPr>
        <w:fldChar w:fldCharType="begin"/>
      </w:r>
      <w:r w:rsidR="00CA5AD8" w:rsidRPr="00F5469D">
        <w:rPr>
          <w:sz w:val="24"/>
          <w:szCs w:val="24"/>
        </w:rPr>
        <w:instrText xml:space="preserve"> ADDIN ZOTERO_ITEM CSL_CITATION {"citationID":"2YyRJHVa","properties":{"formattedCitation":"(Schilit and Perler, 2010)","plainCitation":"(Schilit and Perler, 2010)","dontUpdate":true,"noteIndex":0},"citationItems":[{"id":946,"uris":["http://zotero.org/users/local/RRCsWsp6/items/IY96V6J8"],"itemData":{"id":946,"type":"book","abstract":"From the  Sherlock Holmes of Accounting,the tools you need to stay a step ahead of the crooksHoward Schilit is the authority on forensic accounting. Financial Shenanigans is invaluable readingfor market participants seeking to identify deceptive behavior in company financial statements.Julian Robertson, legendary investor and founder, Tiger ManagementA must-read! The authors teach forensic financial statement analysis in an easy-to-digest format withlots of war stories. Guaranteed to help investors in their questto avoid ticking time bombs in their portfolios.Marc A. Siegel, board member, Financial Accounting Standards BoardThis is a timeless guide to better understand how financial malfeasance can be spotted early.Financial Shenanigans teaches all of us fraud-detection-made-easy.Jules Kroll, pioneering private investigator and founder of Kroll Associates and K2 GlobalRequired reading for every investor who desires to avoid financial losses.This new edition is a classic and better than ever.Thornton L. Oglove, author, Quality of EarningsIf the original Financial Shenanigans was the Bible of detecting accounting frauds, then this latestversion is the Talmud of cooked books. Regulators, audit committee members, and business journalistsshould be required to read this work if they are involved in public companies.Boris Feldman, partner, Wilson Sonsini Goodrich &amp; Rosati, Palo AltoAn incisive and entertaining review of the recipes used by corporations and executives to cook thebooks. Its a must-read for investors, lawyers, corporate directors, and anyone else interested in theintegrity of the accounting and governance process.Joseph A. Grundfest, professor of law and business and codirector,Rock Center on Corporate Governance, Stanford Law SchoolAbout the Book:With major financial scandals poppingup in greater numbersand with moreinevitably on the wayit has never been moreimportant for you to understand what dishonestcompanies do to trick investors.Since the early 1990s, Financial Shenaniganshas been helping investors unearth deceptivefinancial reporting at the most critical timebefore they suffer major losses.Now, the thirdedition broadens its focus to include the newest,most sophisticated techniques companiesuse to mislead investors.Referred to as the Sherlock Holmes ofAccounting by BusinessWeek, Howard Schilitand renowned forensic accounting expertJeremy Perler take you deeper into the corporatebag of tricks, exposing new levels ofaccounting gimmickry and arming you withthe investigative tools you need to detect:Earnings Manipulation Shenanigans: Learnthe latest tricks companies use to exaggeraterevenue and earnings.Cash Flow Shenanigans: Discover new techniquesdevised by management that allow it tomanipulate cash flow as easily as earnings.Key Metrics Shenanigans: See how companiesuse misleading keymetrics to fool investorsabout their financial performance.Financial Shenanigans brings you completelyup to date on accounting chicanery in the globalmarkets, shining a light on the most shockingfrauds and financial reporting miscreants.This insightful, detailed guide written by recognizedexperts on the subject provides theknowledge and tools you need to spot even themost subtle signs of financial shenanigans.","edition":"3rd edition","event-place":"New York","ISBN":"978-0-07-170307-9","language":"English","number-of-pages":"318","publisher":"McGraw-Hill","publisher-place":"New York","source":"Amazon","title":"Financial Shenanigans: How to Detect Accounting Gimmicks &amp; Fraud in Financial Reports, 3rd Edition","title-short":"Financial Shenanigans","author":[{"family":"Schilit","given":"Howard"},{"family":"Perler","given":"Jeremy"}],"issued":{"date-parts":[["2010",5,15]]}}}],"schema":"https://github.com/citation-style-language/schema/raw/master/csl-citation.json"} </w:instrText>
      </w:r>
      <w:r w:rsidRPr="00F5469D">
        <w:rPr>
          <w:sz w:val="24"/>
          <w:szCs w:val="24"/>
        </w:rPr>
        <w:fldChar w:fldCharType="separate"/>
      </w:r>
      <w:r w:rsidRPr="00F5469D">
        <w:rPr>
          <w:noProof/>
          <w:sz w:val="24"/>
          <w:szCs w:val="24"/>
        </w:rPr>
        <w:t>Schilit and Perler, (2010)</w:t>
      </w:r>
      <w:r w:rsidRPr="00F5469D">
        <w:rPr>
          <w:sz w:val="24"/>
          <w:szCs w:val="24"/>
        </w:rPr>
        <w:fldChar w:fldCharType="end"/>
      </w:r>
      <w:r w:rsidRPr="00F5469D">
        <w:rPr>
          <w:sz w:val="24"/>
          <w:szCs w:val="24"/>
        </w:rPr>
        <w:t xml:space="preserve"> “The primary goal in financial reporting is the dissemination of financial statements that accurately measure the profitability and financial condition of a company”. However, as they and other </w:t>
      </w:r>
      <w:r w:rsidR="00226930" w:rsidRPr="00F5469D">
        <w:rPr>
          <w:sz w:val="24"/>
          <w:szCs w:val="24"/>
        </w:rPr>
        <w:t xml:space="preserve">researchers have stated, </w:t>
      </w:r>
      <w:r w:rsidR="00542BE1" w:rsidRPr="00F5469D">
        <w:rPr>
          <w:sz w:val="24"/>
          <w:szCs w:val="24"/>
        </w:rPr>
        <w:t>the primary</w:t>
      </w:r>
      <w:r w:rsidR="00542BE1">
        <w:rPr>
          <w:sz w:val="24"/>
          <w:szCs w:val="24"/>
        </w:rPr>
        <w:t xml:space="preserve"> goal of the companies who are required to publish financial statements </w:t>
      </w:r>
      <w:r w:rsidR="00C61A63">
        <w:rPr>
          <w:sz w:val="24"/>
          <w:szCs w:val="24"/>
        </w:rPr>
        <w:t xml:space="preserve">is to increase shareholder value, rather </w:t>
      </w:r>
      <w:r w:rsidR="00D82334">
        <w:rPr>
          <w:sz w:val="24"/>
          <w:szCs w:val="24"/>
        </w:rPr>
        <w:t>than</w:t>
      </w:r>
      <w:r w:rsidR="00C61A63">
        <w:rPr>
          <w:sz w:val="24"/>
          <w:szCs w:val="24"/>
        </w:rPr>
        <w:t xml:space="preserve"> educate the public about their financial position; therefore, </w:t>
      </w:r>
      <w:r w:rsidR="00C61A63" w:rsidRPr="005451F8">
        <w:rPr>
          <w:sz w:val="24"/>
          <w:szCs w:val="24"/>
        </w:rPr>
        <w:t xml:space="preserve">presenting the </w:t>
      </w:r>
      <w:r w:rsidR="003E31B5" w:rsidRPr="000E537B">
        <w:rPr>
          <w:sz w:val="24"/>
          <w:szCs w:val="24"/>
        </w:rPr>
        <w:t>potential</w:t>
      </w:r>
      <w:r w:rsidR="00D82334" w:rsidRPr="000E537B">
        <w:rPr>
          <w:sz w:val="24"/>
          <w:szCs w:val="24"/>
        </w:rPr>
        <w:t xml:space="preserve"> conditions</w:t>
      </w:r>
      <w:r w:rsidR="00C61A63" w:rsidRPr="000E537B">
        <w:rPr>
          <w:sz w:val="24"/>
          <w:szCs w:val="24"/>
        </w:rPr>
        <w:t xml:space="preserve"> for</w:t>
      </w:r>
      <w:r w:rsidR="00D82334" w:rsidRPr="000E537B">
        <w:rPr>
          <w:sz w:val="24"/>
          <w:szCs w:val="24"/>
        </w:rPr>
        <w:t xml:space="preserve"> manipulation or inaccurate reporting</w:t>
      </w:r>
      <w:r w:rsidR="00043EA3" w:rsidRPr="000E537B">
        <w:rPr>
          <w:sz w:val="24"/>
          <w:szCs w:val="24"/>
        </w:rPr>
        <w:t xml:space="preserve"> </w:t>
      </w:r>
      <w:r w:rsidR="00043EA3" w:rsidRPr="000E537B">
        <w:rPr>
          <w:sz w:val="24"/>
          <w:szCs w:val="24"/>
        </w:rPr>
        <w:fldChar w:fldCharType="begin"/>
      </w:r>
      <w:r w:rsidR="0020398C" w:rsidRPr="000E537B">
        <w:rPr>
          <w:sz w:val="24"/>
          <w:szCs w:val="24"/>
        </w:rPr>
        <w:instrText xml:space="preserve"> ADDIN ZOTERO_ITEM CSL_CITATION {"citationID":"5W66DIrE","properties":{"formattedCitation":"(Alvarez and Fridson, 2011)","plainCitation":"(Alvarez and Fridson, 2011)","noteIndex":0},"citationItems":[{"id":633,"uris":["http://zotero.org/users/local/RRCsWsp6/items/TICP97KX"],"itemData":{"id":633,"type":"book","abstract":"An updated guide to the essential discipline of financial statement analysis In Financial Statement Analysis, Fourth Edition, leading investment authority Martin Fridson returns with Fernando Alvarez to provide the analytical framework you need to scrutinize financial statements, whether you're evaluating a company's stock price or determining valuations for a merger or acquisition. This fully revised and up-to-date Fourth Edition offers fresh information that will help you to evaluate financial statements in today's volatile markets and uncertain economy, and allow yo","collection-title":"Wiley Finance ; v.597","edition":"4th ed.","event-place":"Hoboken","ISBN":"978-1-119-20148-9","language":"eng","number-of-pages":"400","publisher":"Wiley","publisher-place":"Hoboken","source":"librarysearch.uwtsd.ac.uk","title":"Financial Statement Analysis A Practitioner's Guide","author":[{"family":"Alvarez","given":"Fernando"},{"family":"Fridson","given":"Martin S"}],"issued":{"date-parts":[["2011"]]}}}],"schema":"https://github.com/citation-style-language/schema/raw/master/csl-citation.json"} </w:instrText>
      </w:r>
      <w:r w:rsidR="00043EA3" w:rsidRPr="000E537B">
        <w:rPr>
          <w:sz w:val="24"/>
          <w:szCs w:val="24"/>
        </w:rPr>
        <w:fldChar w:fldCharType="separate"/>
      </w:r>
      <w:r w:rsidR="007931FB">
        <w:rPr>
          <w:noProof/>
          <w:sz w:val="24"/>
          <w:szCs w:val="24"/>
        </w:rPr>
        <w:t>(Alvarez and Fridson, 2011)</w:t>
      </w:r>
      <w:r w:rsidR="00043EA3" w:rsidRPr="000E537B">
        <w:rPr>
          <w:sz w:val="24"/>
          <w:szCs w:val="24"/>
        </w:rPr>
        <w:fldChar w:fldCharType="end"/>
      </w:r>
      <w:r w:rsidR="00043EA3" w:rsidRPr="000E537B">
        <w:rPr>
          <w:sz w:val="24"/>
          <w:szCs w:val="24"/>
        </w:rPr>
        <w:t>.</w:t>
      </w:r>
      <w:r w:rsidR="000E537B" w:rsidRPr="000E537B">
        <w:rPr>
          <w:sz w:val="24"/>
          <w:szCs w:val="24"/>
        </w:rPr>
        <w:t xml:space="preserve"> Financial statements are a form of ‘advertising’ to shareholders and potential investors, therefore there is temptation to manipulate the data to present the </w:t>
      </w:r>
      <w:r w:rsidR="000E537B" w:rsidRPr="000E537B">
        <w:rPr>
          <w:sz w:val="24"/>
          <w:szCs w:val="24"/>
        </w:rPr>
        <w:lastRenderedPageBreak/>
        <w:t xml:space="preserve">best possible </w:t>
      </w:r>
      <w:r w:rsidR="00CE63AB">
        <w:rPr>
          <w:sz w:val="24"/>
          <w:szCs w:val="24"/>
        </w:rPr>
        <w:t>picture</w:t>
      </w:r>
      <w:r w:rsidR="000E537B" w:rsidRPr="000E537B">
        <w:rPr>
          <w:sz w:val="24"/>
          <w:szCs w:val="24"/>
        </w:rPr>
        <w:t xml:space="preserve"> within those statements. The level that this occurs strongly depends on the level of corporate governance at the company in question </w:t>
      </w:r>
      <w:r w:rsidR="000E537B" w:rsidRPr="000E537B">
        <w:rPr>
          <w:sz w:val="24"/>
          <w:szCs w:val="24"/>
        </w:rPr>
        <w:fldChar w:fldCharType="begin"/>
      </w:r>
      <w:r w:rsidR="000E537B" w:rsidRPr="000E537B">
        <w:rPr>
          <w:sz w:val="24"/>
          <w:szCs w:val="24"/>
        </w:rPr>
        <w:instrText xml:space="preserve"> ADDIN ZOTERO_ITEM CSL_CITATION {"citationID":"KfIyAhfE","properties":{"formattedCitation":"(Carlson, 2022)","plainCitation":"(Carlson, 2022)","noteIndex":0},"citationItems":[{"id":827,"uris":["http://zotero.org/users/local/RRCsWsp6/items/AY23KY39"],"itemData":{"id":827,"type":"webpage","abstract":"Even though ratio analysis is one of the most popular methods of financial analysis, it does have limitations, like giving you the numbers, but no context.","container-title":"The Balance","genre":"Business","language":"en","note":"section: The Balance","title":"6 Limitations of Using Financial Ratio Analysis","URL":"https://www.thebalancemoney.com/limitations-of-financial-ratio-analysis-393236","author":[{"family":"Carlson","given":"Rosemary"}],"accessed":{"date-parts":[["2023",2,12]]},"issued":{"date-parts":[["2022",11,30]]}}}],"schema":"https://github.com/citation-style-language/schema/raw/master/csl-citation.json"} </w:instrText>
      </w:r>
      <w:r w:rsidR="000E537B" w:rsidRPr="000E537B">
        <w:rPr>
          <w:sz w:val="24"/>
          <w:szCs w:val="24"/>
        </w:rPr>
        <w:fldChar w:fldCharType="separate"/>
      </w:r>
      <w:r w:rsidR="007931FB">
        <w:rPr>
          <w:noProof/>
          <w:sz w:val="24"/>
          <w:szCs w:val="24"/>
        </w:rPr>
        <w:t>(Carlson, 2022)</w:t>
      </w:r>
      <w:r w:rsidR="000E537B" w:rsidRPr="000E537B">
        <w:rPr>
          <w:sz w:val="24"/>
          <w:szCs w:val="24"/>
        </w:rPr>
        <w:fldChar w:fldCharType="end"/>
      </w:r>
      <w:r w:rsidR="000E537B" w:rsidRPr="000E537B">
        <w:rPr>
          <w:sz w:val="24"/>
          <w:szCs w:val="24"/>
        </w:rPr>
        <w:t>.</w:t>
      </w:r>
      <w:r w:rsidR="000E537B">
        <w:rPr>
          <w:sz w:val="24"/>
          <w:szCs w:val="24"/>
        </w:rPr>
        <w:t xml:space="preserve"> </w:t>
      </w:r>
      <w:r w:rsidR="005451F8" w:rsidRPr="005451F8">
        <w:rPr>
          <w:rFonts w:cstheme="minorHAnsi"/>
          <w:sz w:val="24"/>
          <w:szCs w:val="24"/>
        </w:rPr>
        <w:t xml:space="preserve">At a technical level, misstatement of a financial reports could result in a financial ratio error, this could result in an error during a researcher’s calculation, or an error in the figures released by a company. It has been noted in research that company’s </w:t>
      </w:r>
      <w:r w:rsidR="005451F8" w:rsidRPr="00C50A26">
        <w:rPr>
          <w:rFonts w:cstheme="minorHAnsi"/>
          <w:sz w:val="24"/>
          <w:szCs w:val="24"/>
        </w:rPr>
        <w:t xml:space="preserve">may manipulate accrual figures in order to present annual report results in a more flattering manner </w:t>
      </w:r>
      <w:r w:rsidR="005451F8" w:rsidRPr="00C50A26">
        <w:rPr>
          <w:rFonts w:cstheme="minorHAnsi"/>
          <w:sz w:val="24"/>
          <w:szCs w:val="24"/>
        </w:rPr>
        <w:fldChar w:fldCharType="begin"/>
      </w:r>
      <w:r w:rsidR="00F51D7B">
        <w:rPr>
          <w:rFonts w:cstheme="minorHAnsi"/>
          <w:sz w:val="24"/>
          <w:szCs w:val="24"/>
        </w:rPr>
        <w:instrText xml:space="preserve"> ADDIN ZOTERO_ITEM CSL_CITATION {"citationID":"nWTs9ykz","properties":{"unsorted":true,"formattedCitation":"(Jopson, 2005; Atrill, 2011; Faello, 2015)","plainCitation":"(Jopson, 2005; Atrill, 2011; Faello, 2015)","noteIndex":0},"citationItems":[{"id":898,"uris":["http://zotero.org/users/local/RRCsWsp6/items/W9P7Y3EL"],"itemData":{"id":898,"type":"article-newspaper","container-title":"The Financial Times","title":"FTSE 100 results fuel suspicion of manipulation","URL":"https://www.ft.com/content/93ca41a4-22f9-11da-86cc-00000e2511c8","author":[{"family":"Jopson","given":"Barney"}],"accessed":{"date-parts":[["2023",7,2]]},"issued":{"date-parts":[["2005",9,12]]}},"label":"page"},{"id":954,"uris":["http://zotero.org/users/local/RRCsWsp6/items/9SN5IJCV"],"itemData":{"id":954,"type":"book","ISBN":"978-0-273-75973-7","publisher":"Pearson Prentice Hall","title":"Financial management for decision makers","author":[{"family":"Atrill","given":"Peter."}],"issued":{"date-parts":[["2011",7,21]]}},"label":"page"},{"id":770,"uris":["http://zotero.org/users/local/RRCsWsp6/items/KIMZLVUJ"],"itemData":{"id":770,"type":"article-journal","abstract":"The purpose of this paper is to provide financial statement users and accounting academics with some useful insights when working with financial ratios. Initially, the uses and benefits of financial ratios and the limitations of using financial ratios are discussed from the financial statement users' and accounting academics' perspectives. Then, practical advice is provided to both financial statement users and accounting academics alike to mitigate the limitations of using financial ratios. Financial statement users and accounting academics will find the issues discussed in this paper useful in their work with financial ratios.","container-title":"Academy of Accounting and Financial Studies Journal","ISSN":"10963685","issue":"3","language":"English","license":"Copyright Jordan Whitney Enterprises, Inc 2015","note":"number: 3\nnumber-of-pages: 11\npublisher-place: Arden, United States\npublisher: Jordan Whitney Enterprises, Inc","page":"75-85","source":"ProQuest","title":"Understanding the Limitations of Financial Ratios","volume":"19","author":[{"family":"Faello","given":"Joseph"}],"issued":{"date-parts":[["2015"]]}},"label":"page"}],"schema":"https://github.com/citation-style-language/schema/raw/master/csl-citation.json"} </w:instrText>
      </w:r>
      <w:r w:rsidR="005451F8" w:rsidRPr="00C50A26">
        <w:rPr>
          <w:rFonts w:cstheme="minorHAnsi"/>
          <w:sz w:val="24"/>
          <w:szCs w:val="24"/>
        </w:rPr>
        <w:fldChar w:fldCharType="separate"/>
      </w:r>
      <w:r w:rsidR="00F51D7B">
        <w:rPr>
          <w:rFonts w:cstheme="minorHAnsi"/>
          <w:noProof/>
          <w:sz w:val="24"/>
          <w:szCs w:val="24"/>
        </w:rPr>
        <w:t>(Jopson, 2005; Atrill, 2011; Faello, 2015)</w:t>
      </w:r>
      <w:r w:rsidR="005451F8" w:rsidRPr="00C50A26">
        <w:rPr>
          <w:rFonts w:cstheme="minorHAnsi"/>
          <w:sz w:val="24"/>
          <w:szCs w:val="24"/>
        </w:rPr>
        <w:fldChar w:fldCharType="end"/>
      </w:r>
      <w:r w:rsidR="005451F8" w:rsidRPr="00C50A26">
        <w:rPr>
          <w:rFonts w:cstheme="minorHAnsi"/>
          <w:sz w:val="24"/>
          <w:szCs w:val="24"/>
        </w:rPr>
        <w:t>.</w:t>
      </w:r>
      <w:r w:rsidR="00FD303F" w:rsidRPr="00C50A26">
        <w:rPr>
          <w:rFonts w:cstheme="minorHAnsi"/>
          <w:sz w:val="24"/>
          <w:szCs w:val="24"/>
        </w:rPr>
        <w:t xml:space="preserve"> Financial ratios that are based on the publicly published statements are only as reliable as the statements they are based upon and are therefore subject to the standards of the reporting. If there are errors or manipulations within the reports, then ratio analysis will not reveal problems within the company’s finances or management which has been demonstrated through a number of reporting scandals </w:t>
      </w:r>
      <w:r w:rsidR="00FD303F" w:rsidRPr="00C50A26">
        <w:rPr>
          <w:rFonts w:cstheme="minorHAnsi"/>
          <w:sz w:val="24"/>
          <w:szCs w:val="24"/>
        </w:rPr>
        <w:fldChar w:fldCharType="begin"/>
      </w:r>
      <w:r w:rsidR="00F51D7B">
        <w:rPr>
          <w:rFonts w:cstheme="minorHAnsi"/>
          <w:sz w:val="24"/>
          <w:szCs w:val="24"/>
        </w:rPr>
        <w:instrText xml:space="preserve"> ADDIN ZOTERO_ITEM CSL_CITATION {"citationID":"qLIR2pmw","properties":{"unsorted":true,"formattedCitation":"(Peasnell et al., 2000; Berenson and Jr, 2001; Spathis et al., 2002; Latridis, 2010; Titman et al., 2014)","plainCitation":"(Peasnell et al., 2000; Berenson and Jr, 2001; Spathis et al., 2002; Latridis, 2010; Titman et al., 2014)","noteIndex":0},"citationItems":[{"id":956,"uris":["http://zotero.org/users/local/RRCsWsp6/items/PMNKEWRW"],"itemData":{"id":956,"type":"article-journal","abstract":"Central to both the Cadbury Committee’s initial remit and its subsequent recommendations is the view that director integrity and board effectiveness play key roles in ensuring the quality and reliability of published financial statements. Using a constant sample, this paper tests whether the association between board composition and earnings management activity differs between the pre- and post-Cadbury periods. Earnings management is measured by the use of income-increasing abnormal accruals when unmanaged earnings undershoot target earnings. Results provide evidence of accrual management to meet earnings targets in both periods. However, while we find no evidence of an association between the degree of accrual management and the composition of the board of directors in the pre-Cadbury period, results for the post-Cadbury period indicate less income-increasing accrual management to avoid earnings losses or earnings declines when the proportion of non-executive directors is high. These results are consistent with the view that appropriately structured boards are discharging their financial reporting duties more effectively post-Cadbury.","container-title":"The British Accounting Review","DOI":"10.1006/bare.2000.0134","ISSN":"0890-8389","issue":"4","journalAbbreviation":"The British Accounting Review","language":"en","page":"415-445","source":"ScienceDirect","title":"ACCRUAL MANAGEMENT TO MEET EARNINGS TARGETS: UK EVIDENCE PRE- AND POST-CADBURY","title-short":"ACCRUAL MANAGEMENT TO MEET EARNINGS TARGETS","volume":"32","author":[{"family":"Peasnell","given":"K. V."},{"family":"Pope","given":"P. F."},{"family":"Young","given":"S."}],"issued":{"date-parts":[["2000",12,1]]}},"label":"page"},{"id":952,"uris":["http://zotero.org/users/local/RRCsWsp6/items/JW7TH37R"],"itemData":{"id":952,"type":"article-newspaper","abstract":"Plunge in Enron Corp's stock price brings new questions about its finances, the details of which have been mystery even to Wall Street analysts whose job it is to follow company; Enron seems incapable of offering straight answers to questions investors ask, and opaqueness of its financial statements appears to parallel its efforts to keep its power- and gas-trading business lightly regulated and free of disclosure requirements; most pressing concerns are series of partnerships and trusts Enron created to move some of its assets and debt off its balance sheet; photos (L)","container-title":"The New York Times","ISSN":"0362-4331","language":"en-US","section":"Business","source":"NYTimes.com","title":"Once-Mighty Enron Strains Under Scrutiny","URL":"https://www.nytimes.com/2001/10/28/business/once-mighty-enron-strains-under-scrutiny.html","author":[{"family":"Berenson","given":"Alex"},{"family":"Jr","given":"Richard A. Oppel"}],"accessed":{"date-parts":[["2023",7,22]]},"issued":{"date-parts":[["2001",10,28]]}},"label":"page"},{"id":961,"uris":["http://zotero.org/users/local/RRCsWsp6/items/Y66MIHVY"],"itemData":{"id":961,"type":"article-journal","abstract":"Falsifying financial statements involves the manipulation of financial accounts by overstating assets, sales and profit, or understating liabilities, expenses or losses. This paper explores the effectiveness of an innovative classification methodology in detecting firms that issue falsified financial statements (FFS) and the identification of the factors associated to FFS. The methodology is based on the concepts of multicriteria decision aid (MCDA) and the application of the UTADIS classification method (UTilités Additives DIScriminantes). A sample of 76 Greek firms (38 with FFS and 38 non-FFS) described over ten financial ratios is used for detecting factors associated with FFS. A jackknife procedure approach is employed for model validation and comparison with multivariate statistical techniques, namely discriminant and logit analysis. The results indicate that the proposed MCDA methodology outperforms traditional statistical techniques which are widely used for FFS detection purposes. Furthermore, the results indicate that the investigation of financial information can be helpful towards the identification of FFS and highlight the importance of financial ratios such as the total debt to total assets ratio, the inventories to sales ratio, the net profit to sales ratio and the sales to total assets ratio.","container-title":"European Accounting Review","DOI":"10.1080/0963818022000000966","ISSN":"0963-8180","issue":"3","journalAbbreviation":"European Accounting Review","note":"publisher: Routledge","page":"509-535","title":"Detecting falsified financial statements: a comparative study using multicriteria analysis and multivariate statistical techniques","volume":"11","author":[{"family":"Spathis","given":"Ch."},{"family":"Doumpos","given":"M."},{"family":"Zopounidis","given":"C."}],"issued":{"date-parts":[["2002",9,1]]}},"label":"page"},{"id":957,"uris":["http://zotero.org/users/local/RRCsWsp6/items/CWZANWV6"],"itemData":{"id":957,"type":"article-journal","abstract":"This study focuses on the adoption of the International Financial Reporting Standards (IFRSs) in the UK and concentrates in the switch from the UK GAAP to IFRSs. The study seeks to determine whether IFRS adoption leads to higher quality accounting numbers. By examining company accounting measures reported under the UK GAAP and IFRSs, the study investigates the earnings management potential under IFRSs. The paper also studies the value relevance of IFRS-based financial statement information. The study indicates that the implementation of IFRSs generally reinforces accounting quality. The findings show that the implementation of IFRSs reduces the scope for earnings management, is related to more timely loss recognition and leads to more value relevant accounting measures. This suggests that less information asymmetry and earnings manipulation would lead to the disclosure of informative and higher quality accounting information and would therefore assist investors in making informed and unbiased judgements.","container-title":"International Review of Financial Analysis","DOI":"10.1016/j.irfa.2010.02.004","ISSN":"1057-5219","issue":"3","journalAbbreviation":"International Review of Financial Analysis","language":"en","page":"193-204","source":"ScienceDirect","title":"International Financial Reporting Standards and the quality of financial statement information","volume":"19","author":[{"family":"Latridis","given":"George"}],"issued":{"date-parts":[["2010",6,1]]}},"label":"page"},{"id":951,"uris":["http://zotero.org/users/local/RRCsWsp6/items/PM2J3CFK"],"itemData":{"id":951,"type":"book","abstract":"For the introductory finance course-undergraduate corporate finance or financial management-required at all undergraduate business schools.   Get the picture and develop a fundamental understanding of finance.   Students often miss the big picture, viewing finance as a set of unrelated topics, tools, and techniques. In order to help students see the big picture, this text provides an introduction to financial decision-making that links the concepts to five key principles of finance.   Authors Arthur J. Keown, John D. Martin, and Sheridan Titman have incorporated significant revisions that weave currency, relevance, and real-world issues into the pages of this well-know finance text.","edition":"Twelfth edition, Pearson new international edition.","event-place":"Harlow, United Kingdom","ISBN":"978-1-292-03624-3","language":"eng","publisher":"Pearson","publisher-place":"Harlow, United Kingdom","source":"librarysearch.uwtsd.ac.uk","title":"Financial management: principles and applications","title-short":"Financial management","author":[{"family":"Titman","given":"Sheridan J"},{"family":"Keown","given":"Arthur J"},{"family":"Martin","given":"John D"}],"issued":{"date-parts":[["2014"]]}},"label":"page"}],"schema":"https://github.com/citation-style-language/schema/raw/master/csl-citation.json"} </w:instrText>
      </w:r>
      <w:r w:rsidR="00FD303F" w:rsidRPr="00C50A26">
        <w:rPr>
          <w:rFonts w:cstheme="minorHAnsi"/>
          <w:sz w:val="24"/>
          <w:szCs w:val="24"/>
        </w:rPr>
        <w:fldChar w:fldCharType="separate"/>
      </w:r>
      <w:r w:rsidR="00F51D7B">
        <w:rPr>
          <w:rFonts w:cstheme="minorHAnsi"/>
          <w:noProof/>
          <w:sz w:val="24"/>
          <w:szCs w:val="24"/>
        </w:rPr>
        <w:t>(Peasnell et al., 2000; Berenson and Jr, 2001; Spathis et al., 2002; Latridis, 2010; Titman et al., 2014)</w:t>
      </w:r>
      <w:r w:rsidR="00FD303F" w:rsidRPr="00C50A26">
        <w:rPr>
          <w:rFonts w:cstheme="minorHAnsi"/>
          <w:sz w:val="24"/>
          <w:szCs w:val="24"/>
        </w:rPr>
        <w:fldChar w:fldCharType="end"/>
      </w:r>
      <w:r w:rsidR="00FD303F" w:rsidRPr="00C50A26">
        <w:rPr>
          <w:rFonts w:cstheme="minorHAnsi"/>
          <w:sz w:val="24"/>
          <w:szCs w:val="24"/>
        </w:rPr>
        <w:t xml:space="preserve">. </w:t>
      </w:r>
    </w:p>
    <w:p w14:paraId="094CA4FE" w14:textId="0F7ED823" w:rsidR="00C50A26" w:rsidRPr="00C42D13" w:rsidRDefault="00C50A26" w:rsidP="00C50A26">
      <w:pPr>
        <w:spacing w:line="480" w:lineRule="auto"/>
        <w:jc w:val="both"/>
        <w:rPr>
          <w:rFonts w:cstheme="minorHAnsi"/>
          <w:sz w:val="24"/>
          <w:szCs w:val="24"/>
        </w:rPr>
      </w:pPr>
      <w:r w:rsidRPr="00C50A26">
        <w:rPr>
          <w:rFonts w:cstheme="minorHAnsi"/>
          <w:sz w:val="24"/>
          <w:szCs w:val="24"/>
        </w:rPr>
        <w:t xml:space="preserve">Outside of any possible manipulation, accounting practises differ not only between companies, but also industries.  An understanding therefore of these differences is needed to be able reliability interpret statements and ratios, noting that accounting practises may also change within a company over time </w:t>
      </w:r>
      <w:r w:rsidRPr="00C50A26">
        <w:rPr>
          <w:rFonts w:cstheme="minorHAnsi"/>
          <w:sz w:val="24"/>
          <w:szCs w:val="24"/>
        </w:rPr>
        <w:fldChar w:fldCharType="begin"/>
      </w:r>
      <w:r w:rsidR="003D065E">
        <w:rPr>
          <w:rFonts w:cstheme="minorHAnsi"/>
          <w:sz w:val="24"/>
          <w:szCs w:val="24"/>
        </w:rPr>
        <w:instrText xml:space="preserve"> ADDIN ZOTERO_ITEM CSL_CITATION {"citationID":"YzaYmexb","properties":{"unsorted":true,"formattedCitation":"(Titman et al., 2014; Faello, 2015)","plainCitation":"(Titman et al., 2014; Faello, 2015)","noteIndex":0},"citationItems":[{"id":951,"uris":["http://zotero.org/users/local/RRCsWsp6/items/PM2J3CFK"],"itemData":{"id":951,"type":"book","abstract":"For the introductory finance course-undergraduate corporate finance or financial management-required at all undergraduate business schools.   Get the picture and develop a fundamental understanding of finance.   Students often miss the big picture, viewing finance as a set of unrelated topics, tools, and techniques. In order to help students see the big picture, this text provides an introduction to financial decision-making that links the concepts to five key principles of finance.   Authors Arthur J. Keown, John D. Martin, and Sheridan Titman have incorporated significant revisions that weave currency, relevance, and real-world issues into the pages of this well-know finance text.","edition":"Twelfth edition, Pearson new international edition.","event-place":"Harlow, United Kingdom","ISBN":"978-1-292-03624-3","language":"eng","publisher":"Pearson","publisher-place":"Harlow, United Kingdom","source":"librarysearch.uwtsd.ac.uk","title":"Financial management: principles and applications","title-short":"Financial management","author":[{"family":"Titman","given":"Sheridan J"},{"family":"Keown","given":"Arthur J"},{"family":"Martin","given":"John D"}],"issued":{"date-parts":[["2014"]]}},"label":"page"},{"id":770,"uris":["http://zotero.org/users/local/RRCsWsp6/items/KIMZLVUJ"],"itemData":{"id":770,"type":"article-journal","abstract":"The purpose of this paper is to provide financial statement users and accounting academics with some useful insights when working with financial ratios. Initially, the uses and benefits of financial ratios and the limitations of using financial ratios are discussed from the financial statement users' and accounting academics' perspectives. Then, practical advice is provided to both financial statement users and accounting academics alike to mitigate the limitations of using financial ratios. Financial statement users and accounting academics will find the issues discussed in this paper useful in their work with financial ratios.","container-title":"Academy of Accounting and Financial Studies Journal","ISSN":"10963685","issue":"3","language":"English","license":"Copyright Jordan Whitney Enterprises, Inc 2015","note":"number: 3\nnumber-of-pages: 11\npublisher-place: Arden, United States\npublisher: Jordan Whitney Enterprises, Inc","page":"75-85","source":"ProQuest","title":"Understanding the Limitations of Financial Ratios","volume":"19","author":[{"family":"Faello","given":"Joseph"}],"issued":{"date-parts":[["2015"]]}},"label":"page"}],"schema":"https://github.com/citation-style-language/schema/raw/master/csl-citation.json"} </w:instrText>
      </w:r>
      <w:r w:rsidRPr="00C50A26">
        <w:rPr>
          <w:rFonts w:cstheme="minorHAnsi"/>
          <w:sz w:val="24"/>
          <w:szCs w:val="24"/>
        </w:rPr>
        <w:fldChar w:fldCharType="separate"/>
      </w:r>
      <w:r w:rsidR="003D065E">
        <w:rPr>
          <w:rFonts w:cstheme="minorHAnsi"/>
          <w:noProof/>
          <w:sz w:val="24"/>
          <w:szCs w:val="24"/>
        </w:rPr>
        <w:t>(Titman et al., 2014; Faello, 2015)</w:t>
      </w:r>
      <w:r w:rsidRPr="00C50A26">
        <w:rPr>
          <w:rFonts w:cstheme="minorHAnsi"/>
          <w:sz w:val="24"/>
          <w:szCs w:val="24"/>
        </w:rPr>
        <w:fldChar w:fldCharType="end"/>
      </w:r>
      <w:r w:rsidRPr="00C50A26">
        <w:rPr>
          <w:rFonts w:cstheme="minorHAnsi"/>
          <w:sz w:val="24"/>
          <w:szCs w:val="24"/>
        </w:rPr>
        <w:t xml:space="preserve">. When making comparisons between companies within an industry, care must be taken to ensure comparisons are made over the same time periods and considerations made for companies within the same industry having differing internal structures and business types/focuses </w:t>
      </w:r>
      <w:r w:rsidRPr="00C50A26">
        <w:rPr>
          <w:rFonts w:cstheme="minorHAnsi"/>
          <w:sz w:val="24"/>
          <w:szCs w:val="24"/>
        </w:rPr>
        <w:fldChar w:fldCharType="begin"/>
      </w:r>
      <w:r w:rsidRPr="00C50A26">
        <w:rPr>
          <w:rFonts w:cstheme="minorHAnsi"/>
          <w:sz w:val="24"/>
          <w:szCs w:val="24"/>
        </w:rPr>
        <w:instrText xml:space="preserve"> ADDIN ZOTERO_ITEM CSL_CITATION {"citationID":"B3Xc40n5","properties":{"formattedCitation":"(Alvarez and Fridson, 2011)","plainCitation":"(Alvarez and Fridson, 2011)","noteIndex":0},"citationItems":[{"id":633,"uris":["http://zotero.org/users/local/RRCsWsp6/items/TICP97KX"],"itemData":{"id":633,"type":"book","abstract":"An updated guide to the essential discipline of financial statement analysis In Financial Statement Analysis, Fourth Edition, leading investment authority Martin Fridson returns with Fernando Alvarez to provide the analytical framework you need to scrutinize financial statements, whether you're evaluating a company's stock price or determining valuations for a merger or acquisition. This fully revised and up-to-date Fourth Edition offers fresh information that will help you to evaluate financial statements in today's volatile markets and uncertain economy, and allow yo","collection-title":"Wiley Finance ; v.597","edition":"4th ed.","event-place":"Hoboken","ISBN":"978-1-119-20148-9","language":"eng","number-of-pages":"400","publisher":"Wiley","publisher-place":"Hoboken","source":"librarysearch.uwtsd.ac.uk","title":"Financial Statement Analysis A Practitioner's Guide","author":[{"family":"Alvarez","given":"Fernando"},{"family":"Fridson","given":"Martin S"}],"issued":{"date-parts":[["2011"]]}}}],"schema":"https://github.com/citation-style-language/schema/raw/master/csl-citation.json"} </w:instrText>
      </w:r>
      <w:r w:rsidRPr="00C50A26">
        <w:rPr>
          <w:rFonts w:cstheme="minorHAnsi"/>
          <w:sz w:val="24"/>
          <w:szCs w:val="24"/>
        </w:rPr>
        <w:fldChar w:fldCharType="separate"/>
      </w:r>
      <w:r w:rsidR="007931FB">
        <w:rPr>
          <w:rFonts w:cstheme="minorHAnsi"/>
          <w:noProof/>
          <w:sz w:val="24"/>
          <w:szCs w:val="24"/>
        </w:rPr>
        <w:t>(Alvarez and Fridson, 2011)</w:t>
      </w:r>
      <w:r w:rsidRPr="00C50A26">
        <w:rPr>
          <w:rFonts w:cstheme="minorHAnsi"/>
          <w:sz w:val="24"/>
          <w:szCs w:val="24"/>
        </w:rPr>
        <w:fldChar w:fldCharType="end"/>
      </w:r>
      <w:r w:rsidRPr="00C50A26">
        <w:rPr>
          <w:rFonts w:cstheme="minorHAnsi"/>
          <w:sz w:val="24"/>
          <w:szCs w:val="24"/>
        </w:rPr>
        <w:t xml:space="preserve">. This maybe exasperated at a company level by differences in accounting policies and decisions in how to report year-end performances within the financial reports of different companies </w:t>
      </w:r>
      <w:r w:rsidRPr="00C50A26">
        <w:rPr>
          <w:rFonts w:cstheme="minorHAnsi"/>
          <w:sz w:val="24"/>
          <w:szCs w:val="24"/>
        </w:rPr>
        <w:fldChar w:fldCharType="begin"/>
      </w:r>
      <w:r w:rsidRPr="00C50A26">
        <w:rPr>
          <w:rFonts w:cstheme="minorHAnsi"/>
          <w:sz w:val="24"/>
          <w:szCs w:val="24"/>
        </w:rPr>
        <w:instrText xml:space="preserve"> ADDIN ZOTERO_ITEM CSL_CITATION {"citationID":"QEZx0IuX","properties":{"formattedCitation":"(Atrill, 2011)","plainCitation":"(Atrill, 2011)","noteIndex":0},"citationItems":[{"id":954,"uris":["http://zotero.org/users/local/RRCsWsp6/items/9SN5IJCV"],"itemData":{"id":954,"type":"book","ISBN":"978-0-273-75973-7","publisher":"Pearson Prentice Hall","title":"Financial management for decision makers","author":[{"family":"Atrill","given":"Peter."}],"issued":{"date-parts":[["2011",7,21]]}}}],"schema":"https://github.com/citation-style-language/schema/raw/master/csl-citation.json"} </w:instrText>
      </w:r>
      <w:r w:rsidRPr="00C50A26">
        <w:rPr>
          <w:rFonts w:cstheme="minorHAnsi"/>
          <w:sz w:val="24"/>
          <w:szCs w:val="24"/>
        </w:rPr>
        <w:fldChar w:fldCharType="separate"/>
      </w:r>
      <w:r w:rsidR="007931FB">
        <w:rPr>
          <w:rFonts w:cstheme="minorHAnsi"/>
          <w:noProof/>
          <w:sz w:val="24"/>
          <w:szCs w:val="24"/>
        </w:rPr>
        <w:t>(Atrill, 2011)</w:t>
      </w:r>
      <w:r w:rsidRPr="00C50A26">
        <w:rPr>
          <w:rFonts w:cstheme="minorHAnsi"/>
          <w:sz w:val="24"/>
          <w:szCs w:val="24"/>
        </w:rPr>
        <w:fldChar w:fldCharType="end"/>
      </w:r>
      <w:r w:rsidRPr="00C50A26">
        <w:rPr>
          <w:rFonts w:cstheme="minorHAnsi"/>
          <w:sz w:val="24"/>
          <w:szCs w:val="24"/>
        </w:rPr>
        <w:t>.</w:t>
      </w:r>
      <w:r w:rsidR="00350789">
        <w:rPr>
          <w:rFonts w:cstheme="minorHAnsi"/>
          <w:sz w:val="24"/>
          <w:szCs w:val="24"/>
        </w:rPr>
        <w:t xml:space="preserve"> </w:t>
      </w:r>
      <w:r w:rsidR="00CB37AE">
        <w:rPr>
          <w:rFonts w:cstheme="minorHAnsi"/>
          <w:sz w:val="24"/>
          <w:szCs w:val="24"/>
        </w:rPr>
        <w:t xml:space="preserve">Differences in accounting methods and standards </w:t>
      </w:r>
      <w:r w:rsidR="00D27534">
        <w:rPr>
          <w:rFonts w:cstheme="minorHAnsi"/>
          <w:sz w:val="24"/>
          <w:szCs w:val="24"/>
        </w:rPr>
        <w:t xml:space="preserve">can cause issues when analysing companies across differing geographic </w:t>
      </w:r>
      <w:r w:rsidR="00D27534">
        <w:rPr>
          <w:rFonts w:cstheme="minorHAnsi"/>
          <w:sz w:val="24"/>
          <w:szCs w:val="24"/>
        </w:rPr>
        <w:lastRenderedPageBreak/>
        <w:t>locations</w:t>
      </w:r>
      <w:r w:rsidR="000F26B1">
        <w:rPr>
          <w:rFonts w:cstheme="minorHAnsi"/>
          <w:sz w:val="24"/>
          <w:szCs w:val="24"/>
        </w:rPr>
        <w:t xml:space="preserve">, however due to all public companies listed on the London Stock </w:t>
      </w:r>
      <w:r w:rsidR="000F26B1" w:rsidRPr="00C42D13">
        <w:rPr>
          <w:rFonts w:cstheme="minorHAnsi"/>
          <w:sz w:val="24"/>
          <w:szCs w:val="24"/>
        </w:rPr>
        <w:t xml:space="preserve">Exchange </w:t>
      </w:r>
      <w:r w:rsidR="008D223D" w:rsidRPr="00C42D13">
        <w:rPr>
          <w:rFonts w:cstheme="minorHAnsi"/>
          <w:sz w:val="24"/>
          <w:szCs w:val="24"/>
        </w:rPr>
        <w:t>following IFRS standards, this can be minimised</w:t>
      </w:r>
      <w:r w:rsidR="00946CA1" w:rsidRPr="00C42D13">
        <w:rPr>
          <w:rFonts w:cstheme="minorHAnsi"/>
          <w:sz w:val="24"/>
          <w:szCs w:val="24"/>
        </w:rPr>
        <w:t xml:space="preserve"> </w:t>
      </w:r>
      <w:r w:rsidR="00946CA1" w:rsidRPr="00C42D13">
        <w:rPr>
          <w:rFonts w:cstheme="minorHAnsi"/>
          <w:sz w:val="24"/>
          <w:szCs w:val="24"/>
        </w:rPr>
        <w:fldChar w:fldCharType="begin"/>
      </w:r>
      <w:r w:rsidR="007931FB">
        <w:rPr>
          <w:rFonts w:cstheme="minorHAnsi"/>
          <w:sz w:val="24"/>
          <w:szCs w:val="24"/>
        </w:rPr>
        <w:instrText xml:space="preserve"> ADDIN ZOTERO_ITEM CSL_CITATION {"citationID":"glXeIKr8","properties":{"formattedCitation":"(Zopounidis et al., 2018)","plainCitation":"(Zopounidis et al., 2018)","noteIndex":0},"citationItems":[{"id":987,"uris":["http://zotero.org/users/local/RRCsWsp6/items/KNPJUIQF"],"itemData":{"id":987,"type":"book","abstract":"\"This book focuses on the consequences of the recent and prior financial crises. It also explores the relation between stock market and macroeconomics factors, earnings management, portfolio and pricing models as well as the reporting of accounting information and accounting standards\"-- Provided by publisher.","event-place":"Hershey, PA","ISBN":"978-1-5225-6115-6","note":"DOI: 10.4018/978-1-5225-6114-9","publisher":"Business Science Reference, an imprint of IGI Global","publisher-place":"Hershey, PA","title":"Perspectives, trends, and applications in corporate finance and accounting","author":[{"family":"Zopounidis","given":"Constantin"},{"family":"Christopoulos","given":"Apostolos G."},{"family":"Kalantonis","given":"Petros"}],"issued":{"date-parts":[["2018"]]}}}],"schema":"https://github.com/citation-style-language/schema/raw/master/csl-citation.json"} </w:instrText>
      </w:r>
      <w:r w:rsidR="00946CA1" w:rsidRPr="00C42D13">
        <w:rPr>
          <w:rFonts w:cstheme="minorHAnsi"/>
          <w:sz w:val="24"/>
          <w:szCs w:val="24"/>
        </w:rPr>
        <w:fldChar w:fldCharType="separate"/>
      </w:r>
      <w:r w:rsidR="007931FB">
        <w:rPr>
          <w:rFonts w:cstheme="minorHAnsi"/>
          <w:noProof/>
          <w:sz w:val="24"/>
          <w:szCs w:val="24"/>
        </w:rPr>
        <w:t>(Zopounidis et al., 2018)</w:t>
      </w:r>
      <w:r w:rsidR="00946CA1" w:rsidRPr="00C42D13">
        <w:rPr>
          <w:rFonts w:cstheme="minorHAnsi"/>
          <w:sz w:val="24"/>
          <w:szCs w:val="24"/>
        </w:rPr>
        <w:fldChar w:fldCharType="end"/>
      </w:r>
      <w:r w:rsidR="008D223D" w:rsidRPr="00C42D13">
        <w:rPr>
          <w:rFonts w:cstheme="minorHAnsi"/>
          <w:sz w:val="24"/>
          <w:szCs w:val="24"/>
        </w:rPr>
        <w:t xml:space="preserve">. </w:t>
      </w:r>
    </w:p>
    <w:p w14:paraId="1951B95B" w14:textId="12E53BAC" w:rsidR="00C42D13" w:rsidRPr="001357C7" w:rsidRDefault="00234FCF" w:rsidP="001357C7">
      <w:pPr>
        <w:spacing w:line="480" w:lineRule="auto"/>
        <w:jc w:val="both"/>
        <w:rPr>
          <w:rFonts w:cstheme="minorHAnsi"/>
          <w:sz w:val="24"/>
          <w:szCs w:val="24"/>
        </w:rPr>
      </w:pPr>
      <w:r w:rsidRPr="00C42D13">
        <w:rPr>
          <w:rFonts w:cstheme="minorHAnsi"/>
          <w:sz w:val="24"/>
          <w:szCs w:val="24"/>
        </w:rPr>
        <w:t xml:space="preserve">Generally financial ratios require a benchmark to be compared </w:t>
      </w:r>
      <w:r w:rsidR="007B4E89" w:rsidRPr="00C42D13">
        <w:rPr>
          <w:rFonts w:cstheme="minorHAnsi"/>
          <w:sz w:val="24"/>
          <w:szCs w:val="24"/>
        </w:rPr>
        <w:t>with</w:t>
      </w:r>
      <w:r w:rsidR="009E76D2">
        <w:rPr>
          <w:rFonts w:cstheme="minorHAnsi"/>
          <w:sz w:val="24"/>
          <w:szCs w:val="24"/>
        </w:rPr>
        <w:t xml:space="preserve">, another company, industry averages or time de-lineated past financial </w:t>
      </w:r>
      <w:r w:rsidR="004C6C76">
        <w:rPr>
          <w:rFonts w:cstheme="minorHAnsi"/>
          <w:sz w:val="24"/>
          <w:szCs w:val="24"/>
        </w:rPr>
        <w:t>performance</w:t>
      </w:r>
      <w:r w:rsidR="009E76D2">
        <w:rPr>
          <w:rFonts w:cstheme="minorHAnsi"/>
          <w:sz w:val="24"/>
          <w:szCs w:val="24"/>
        </w:rPr>
        <w:t>.</w:t>
      </w:r>
      <w:r w:rsidR="007B4E89" w:rsidRPr="00C42D13">
        <w:rPr>
          <w:rFonts w:cstheme="minorHAnsi"/>
          <w:sz w:val="24"/>
          <w:szCs w:val="24"/>
        </w:rPr>
        <w:t xml:space="preserve"> </w:t>
      </w:r>
      <w:r w:rsidR="00C42D13" w:rsidRPr="00C42D13">
        <w:rPr>
          <w:rFonts w:cstheme="minorHAnsi"/>
          <w:sz w:val="24"/>
          <w:szCs w:val="24"/>
        </w:rPr>
        <w:t xml:space="preserve">Picking a benchmark can be difficult, especially in identifying the idea industry if the company has cross-sectional divisions and benchmarks need to be sense checked to ensure that they are the desirable or </w:t>
      </w:r>
      <w:r w:rsidR="00C42D13" w:rsidRPr="001357C7">
        <w:rPr>
          <w:rFonts w:cstheme="minorHAnsi"/>
          <w:sz w:val="24"/>
          <w:szCs w:val="24"/>
        </w:rPr>
        <w:t xml:space="preserve">normal ratios for the company to attain </w:t>
      </w:r>
      <w:r w:rsidR="00C42D13" w:rsidRPr="001357C7">
        <w:rPr>
          <w:rFonts w:cstheme="minorHAnsi"/>
          <w:sz w:val="24"/>
          <w:szCs w:val="24"/>
        </w:rPr>
        <w:fldChar w:fldCharType="begin"/>
      </w:r>
      <w:r w:rsidR="003D065E">
        <w:rPr>
          <w:rFonts w:cstheme="minorHAnsi"/>
          <w:sz w:val="24"/>
          <w:szCs w:val="24"/>
        </w:rPr>
        <w:instrText xml:space="preserve"> ADDIN ZOTERO_ITEM CSL_CITATION {"citationID":"QrWzO7Uh","properties":{"unsorted":true,"formattedCitation":"(Vause, 2005; Arnold, 2009; Titman et al., 2014)","plainCitation":"(Vause, 2005; Arnold, 2009; Titman et al., 2014)","noteIndex":0},"citationItems":[{"id":990,"uris":["http://zotero.org/users/local/RRCsWsp6/items/49T9WN95"],"itemData":{"id":990,"type":"book","abstract":"A guide to how to analyse and assess the strengths and weaknesses of any company.","edition":"4th ed.","event-place":"London","ISBN":"1-281-03186-0","publisher":"The Economist in association with Profile","publisher-place":"London","title":"Guide to analysing companies","author":[{"family":"Vause","given":"Bob."}],"issued":{"date-parts":[["2005"]]}},"label":"page"},{"id":991,"uris":["http://zotero.org/users/local/RRCsWsp6/items/9LU839K2"],"itemData":{"id":991,"type":"book","collection-title":"Guide to investing","edition":"2nd ed.","event-place":"Place of publication not identified","ISBN":"1-282-52981-1","note":"journalAbbreviation: The Financial Times guide to investing\ncontainer-title: The Financial Times guide to investing","publisher":"Pearson Financial Times/Prentice Hall","publisher-place":"Place of publication not identified","title":"The Financial Times guide to investing : the definitive companion to investment and the financial markets","author":[{"family":"Arnold","given":"Glen"}],"issued":{"date-parts":[["2009"]]}},"label":"page"},{"id":951,"uris":["http://zotero.org/users/local/RRCsWsp6/items/PM2J3CFK"],"itemData":{"id":951,"type":"book","abstract":"For the introductory finance course-undergraduate corporate finance or financial management-required at all undergraduate business schools.   Get the picture and develop a fundamental understanding of finance.   Students often miss the big picture, viewing finance as a set of unrelated topics, tools, and techniques. In order to help students see the big picture, this text provides an introduction to financial decision-making that links the concepts to five key principles of finance.   Authors Arthur J. Keown, John D. Martin, and Sheridan Titman have incorporated significant revisions that weave currency, relevance, and real-world issues into the pages of this well-know finance text.","edition":"Twelfth edition, Pearson new international edition.","event-place":"Harlow, United Kingdom","ISBN":"978-1-292-03624-3","language":"eng","publisher":"Pearson","publisher-place":"Harlow, United Kingdom","source":"librarysearch.uwtsd.ac.uk","title":"Financial management: principles and applications","title-short":"Financial management","author":[{"family":"Titman","given":"Sheridan J"},{"family":"Keown","given":"Arthur J"},{"family":"Martin","given":"John D"}],"issued":{"date-parts":[["2014"]]}},"label":"page"}],"schema":"https://github.com/citation-style-language/schema/raw/master/csl-citation.json"} </w:instrText>
      </w:r>
      <w:r w:rsidR="00C42D13" w:rsidRPr="001357C7">
        <w:rPr>
          <w:rFonts w:cstheme="minorHAnsi"/>
          <w:sz w:val="24"/>
          <w:szCs w:val="24"/>
        </w:rPr>
        <w:fldChar w:fldCharType="separate"/>
      </w:r>
      <w:r w:rsidR="003D065E">
        <w:rPr>
          <w:rFonts w:ascii="Calibri" w:cs="Calibri"/>
          <w:sz w:val="24"/>
          <w:szCs w:val="24"/>
        </w:rPr>
        <w:t>(Vause, 2005; Arnold, 2009; Titman et al., 2014)</w:t>
      </w:r>
      <w:r w:rsidR="00C42D13" w:rsidRPr="001357C7">
        <w:rPr>
          <w:rFonts w:cstheme="minorHAnsi"/>
          <w:sz w:val="24"/>
          <w:szCs w:val="24"/>
        </w:rPr>
        <w:fldChar w:fldCharType="end"/>
      </w:r>
      <w:r w:rsidR="00C42D13" w:rsidRPr="001357C7">
        <w:rPr>
          <w:rFonts w:cstheme="minorHAnsi"/>
          <w:sz w:val="24"/>
          <w:szCs w:val="24"/>
        </w:rPr>
        <w:t xml:space="preserve">. </w:t>
      </w:r>
    </w:p>
    <w:p w14:paraId="730AD624" w14:textId="0363B3B6" w:rsidR="005B1F4E" w:rsidRPr="001357C7" w:rsidRDefault="00294F80" w:rsidP="001357C7">
      <w:pPr>
        <w:spacing w:line="480" w:lineRule="auto"/>
        <w:jc w:val="both"/>
        <w:rPr>
          <w:rFonts w:cstheme="minorHAnsi"/>
          <w:sz w:val="24"/>
          <w:szCs w:val="24"/>
        </w:rPr>
      </w:pPr>
      <w:r w:rsidRPr="001357C7">
        <w:rPr>
          <w:rFonts w:cstheme="minorHAnsi"/>
          <w:sz w:val="24"/>
          <w:szCs w:val="24"/>
        </w:rPr>
        <w:t xml:space="preserve">Financial ratios in and of themselves do not provide management decisions and are completely lacking in context, providing no reasons or causes for the information they present. Therefore they provide a useful tool for information for analysts and management but cannot alone explain or inform a decision </w:t>
      </w:r>
      <w:r w:rsidRPr="001357C7">
        <w:rPr>
          <w:rFonts w:cstheme="minorHAnsi"/>
          <w:sz w:val="24"/>
          <w:szCs w:val="24"/>
        </w:rPr>
        <w:fldChar w:fldCharType="begin"/>
      </w:r>
      <w:r w:rsidR="003D065E">
        <w:rPr>
          <w:rFonts w:cstheme="minorHAnsi"/>
          <w:sz w:val="24"/>
          <w:szCs w:val="24"/>
        </w:rPr>
        <w:instrText xml:space="preserve"> ADDIN ZOTERO_ITEM CSL_CITATION {"citationID":"6XZDWMyU","properties":{"unsorted":true,"formattedCitation":"(Titman et al., 2014; Faello, 2015; Vaidya, 2019)","plainCitation":"(Titman et al., 2014; Faello, 2015; Vaidya, 2019)","noteIndex":0},"citationItems":[{"id":951,"uris":["http://zotero.org/users/local/RRCsWsp6/items/PM2J3CFK"],"itemData":{"id":951,"type":"book","abstract":"For the introductory finance course-undergraduate corporate finance or financial management-required at all undergraduate business schools.   Get the picture and develop a fundamental understanding of finance.   Students often miss the big picture, viewing finance as a set of unrelated topics, tools, and techniques. In order to help students see the big picture, this text provides an introduction to financial decision-making that links the concepts to five key principles of finance.   Authors Arthur J. Keown, John D. Martin, and Sheridan Titman have incorporated significant revisions that weave currency, relevance, and real-world issues into the pages of this well-know finance text.","edition":"Twelfth edition, Pearson new international edition.","event-place":"Harlow, United Kingdom","ISBN":"978-1-292-03624-3","language":"eng","publisher":"Pearson","publisher-place":"Harlow, United Kingdom","source":"librarysearch.uwtsd.ac.uk","title":"Financial management: principles and applications","title-short":"Financial management","author":[{"family":"Titman","given":"Sheridan J"},{"family":"Keown","given":"Arthur J"},{"family":"Martin","given":"John D"}],"issued":{"date-parts":[["2014"]]}},"label":"page"},{"id":770,"uris":["http://zotero.org/users/local/RRCsWsp6/items/KIMZLVUJ"],"itemData":{"id":770,"type":"article-journal","abstract":"The purpose of this paper is to provide financial statement users and accounting academics with some useful insights when working with financial ratios. Initially, the uses and benefits of financial ratios and the limitations of using financial ratios are discussed from the financial statement users' and accounting academics' perspectives. Then, practical advice is provided to both financial statement users and accounting academics alike to mitigate the limitations of using financial ratios. Financial statement users and accounting academics will find the issues discussed in this paper useful in their work with financial ratios.","container-title":"Academy of Accounting and Financial Studies Journal","ISSN":"10963685","issue":"3","language":"English","license":"Copyright Jordan Whitney Enterprises, Inc 2015","note":"number: 3\nnumber-of-pages: 11\npublisher-place: Arden, United States\npublisher: Jordan Whitney Enterprises, Inc","page":"75-85","source":"ProQuest","title":"Understanding the Limitations of Financial Ratios","volume":"19","author":[{"family":"Faello","given":"Joseph"}],"issued":{"date-parts":[["2015"]]}},"label":"page"},{"id":772,"uris":["http://zotero.org/users/local/RRCsWsp6/items/JYCVYSDT"],"itemData":{"id":772,"type":"post-weblog","abstract":"Guide to Limitations of Ratio Analysis. There are the top 10 financial ratio analysis limitations including not considering business size, contingent liabilities, seasonality, the effect of changes in accounting policies and more.","container-title":"WallStreetMojo","language":"en-US","title":"Limitations of Ratio Analysis | Top 10 Financial Ratio Limitations","URL":"https://www.wallstreetmojo.com/ratio-analysis-limitations/","author":[{"family":"Vaidya","given":"Dheeraj"}],"accessed":{"date-parts":[["2023",3,8]]},"issued":{"date-parts":[["2019",1,7]]}},"label":"page"}],"schema":"https://github.com/citation-style-language/schema/raw/master/csl-citation.json"} </w:instrText>
      </w:r>
      <w:r w:rsidRPr="001357C7">
        <w:rPr>
          <w:rFonts w:cstheme="minorHAnsi"/>
          <w:sz w:val="24"/>
          <w:szCs w:val="24"/>
        </w:rPr>
        <w:fldChar w:fldCharType="separate"/>
      </w:r>
      <w:r w:rsidR="003D065E">
        <w:rPr>
          <w:rFonts w:cstheme="minorHAnsi"/>
          <w:noProof/>
          <w:sz w:val="24"/>
          <w:szCs w:val="24"/>
        </w:rPr>
        <w:t>(Titman et al., 2014; Faello, 2015; Vaidya, 2019)</w:t>
      </w:r>
      <w:r w:rsidRPr="001357C7">
        <w:rPr>
          <w:rFonts w:cstheme="minorHAnsi"/>
          <w:sz w:val="24"/>
          <w:szCs w:val="24"/>
        </w:rPr>
        <w:fldChar w:fldCharType="end"/>
      </w:r>
      <w:r w:rsidRPr="001357C7">
        <w:rPr>
          <w:rFonts w:cstheme="minorHAnsi"/>
          <w:sz w:val="24"/>
          <w:szCs w:val="24"/>
        </w:rPr>
        <w:t xml:space="preserve">. </w:t>
      </w:r>
    </w:p>
    <w:p w14:paraId="1722248A" w14:textId="3A724F80" w:rsidR="005B1F4E" w:rsidRPr="00676604" w:rsidRDefault="005B1F4E" w:rsidP="001357C7">
      <w:pPr>
        <w:spacing w:line="480" w:lineRule="auto"/>
        <w:jc w:val="both"/>
        <w:rPr>
          <w:sz w:val="24"/>
          <w:szCs w:val="24"/>
        </w:rPr>
      </w:pPr>
      <w:r w:rsidRPr="001357C7">
        <w:rPr>
          <w:sz w:val="24"/>
          <w:szCs w:val="24"/>
        </w:rPr>
        <w:t xml:space="preserve">While there is an increasing trend towards standardisation of financial ratios, analysts do not all agree on the definitions or the precise ratio components used within the calculations. Therefore, variations exist on how ratios are calculated and which ratios should be chosen. With no standardisation, it is important throughout any financial ratio analysis that </w:t>
      </w:r>
      <w:r w:rsidRPr="00676604">
        <w:rPr>
          <w:sz w:val="24"/>
          <w:szCs w:val="24"/>
        </w:rPr>
        <w:t xml:space="preserve">consistency is maintained to ensure accurate comparison </w:t>
      </w:r>
      <w:r w:rsidR="00D7456E" w:rsidRPr="00676604">
        <w:rPr>
          <w:sz w:val="24"/>
          <w:szCs w:val="24"/>
        </w:rPr>
        <w:fldChar w:fldCharType="begin"/>
      </w:r>
      <w:r w:rsidR="00F02524">
        <w:rPr>
          <w:sz w:val="24"/>
          <w:szCs w:val="24"/>
        </w:rPr>
        <w:instrText xml:space="preserve"> ADDIN ZOTERO_ITEM CSL_CITATION {"citationID":"zDXrfvTs","properties":{"unsorted":true,"formattedCitation":"(Sugden et al., 2008; Alvarez and Fridson, 2011; Atrill and McLaney, 2018)","plainCitation":"(Sugden et al., 2008; Alvarez and Fridson, 2011; Atrill and McLaney, 2018)","noteIndex":0},"citationItems":[{"id":591,"uris":["http://zotero.org/users/local/RRCsWsp6/items/7PYDT7ZK","http://zotero.org/users/local/RRCsWsp6/items/L98GC2PQ"],"itemData":{"id":591,"type":"book","abstract":"This highly practical text, now with strengthened academic appeal, contains updated text and illustrations/extracts for all regulatory developments. Interpreting Company Reports and Accounts guides the reader through the conventions and complexities of company accounts, explaining how to assess the financial and trading position of a company from year to year, how to spot undue risk taking and cosmetic accounting and where to look for clues on the quality of management. Packed with interesting real world examples, this is a highly practical book which shows readers how to analyse company reports and accounts, both qualitatively and quantitatively. The analysis is illustrated with over 200 extracts/examples from published accounts","edition":"10th ed. / Geoffrey Holmes, Alan Sugden, Paul Gee.","event-place":"Harlow, England","ISBN":"978-1-283-17324-7","language":"eng","number-of-pages":"x+321","publisher":"FT Prentice Hall","publisher-place":"Harlow, England","source":"librarysearch.uwtsd.ac.uk","title":"Interpreting company reports and accounts","author":[{"family":"Sugden","given":"Alan"},{"family":"Gee","given":"Paul"},{"family":"Holmes","given":"Geoffrey"}],"issued":{"date-parts":[["2008"]]}},"label":"page"},{"id":633,"uris":["http://zotero.org/users/local/RRCsWsp6/items/TICP97KX"],"itemData":{"id":633,"type":"book","abstract":"An updated guide to the essential discipline of financial statement analysis In Financial Statement Analysis, Fourth Edition, leading investment authority Martin Fridson returns with Fernando Alvarez to provide the analytical framework you need to scrutinize financial statements, whether you're evaluating a company's stock price or determining valuations for a merger or acquisition. This fully revised and up-to-date Fourth Edition offers fresh information that will help you to evaluate financial statements in today's volatile markets and uncertain economy, and allow yo","collection-title":"Wiley Finance ; v.597","edition":"4th ed.","event-place":"Hoboken","ISBN":"978-1-119-20148-9","language":"eng","number-of-pages":"400","publisher":"Wiley","publisher-place":"Hoboken","source":"librarysearch.uwtsd.ac.uk","title":"Financial Statement Analysis A Practitioner's Guide","author":[{"family":"Alvarez","given":"Fernando"},{"family":"Fridson","given":"Martin S"}],"issued":{"date-parts":[["2011"]]}},"label":"page"},{"id":766,"uris":["http://zotero.org/users/local/RRCsWsp6/items/DV4TDK2G"],"itemData":{"id":766,"type":"book","event-place":"Harlow, United Kingdom, UNITED KINGDOM","ISBN":"978-1-292-24405-1","publisher":"Pearson Education, Limited","publisher-place":"Harlow, United Kingdom, UNITED KINGDOM","source":"ProQuest Ebook Central","title":"Accounting and Finance for Non-Specialists 11th Edition","URL":"http://ebookcentral.proquest.com/lib/trinity/detail.action?docID=6399594","author":[{"family":"Atrill","given":"Peter"},{"family":"McLaney","given":"Eddie"}],"accessed":{"date-parts":[["2021",3,8]]},"issued":{"date-parts":[["2018"]]}},"label":"page"}],"schema":"https://github.com/citation-style-language/schema/raw/master/csl-citation.json"} </w:instrText>
      </w:r>
      <w:r w:rsidR="00D7456E" w:rsidRPr="00676604">
        <w:rPr>
          <w:sz w:val="24"/>
          <w:szCs w:val="24"/>
        </w:rPr>
        <w:fldChar w:fldCharType="separate"/>
      </w:r>
      <w:r w:rsidR="00F02524">
        <w:rPr>
          <w:noProof/>
          <w:sz w:val="24"/>
          <w:szCs w:val="24"/>
        </w:rPr>
        <w:t>(Sugden et al., 2008; Alvarez and Fridson, 2011; Atrill and McLaney, 2018)</w:t>
      </w:r>
      <w:r w:rsidR="00D7456E" w:rsidRPr="00676604">
        <w:rPr>
          <w:sz w:val="24"/>
          <w:szCs w:val="24"/>
        </w:rPr>
        <w:fldChar w:fldCharType="end"/>
      </w:r>
    </w:p>
    <w:p w14:paraId="7FB71DA7" w14:textId="45BD5AB8" w:rsidR="00676604" w:rsidRPr="0011028E" w:rsidRDefault="00676604" w:rsidP="00676604">
      <w:pPr>
        <w:spacing w:line="480" w:lineRule="auto"/>
        <w:jc w:val="both"/>
        <w:rPr>
          <w:rFonts w:cstheme="minorHAnsi"/>
          <w:sz w:val="24"/>
          <w:szCs w:val="24"/>
        </w:rPr>
      </w:pPr>
      <w:r w:rsidRPr="00676604">
        <w:rPr>
          <w:rFonts w:cstheme="minorHAnsi"/>
          <w:sz w:val="24"/>
          <w:szCs w:val="24"/>
        </w:rPr>
        <w:t xml:space="preserve">Inflation is a persistent force within financial analysis and can cause distortion on a number of ratios when looking over a period of years. This may be particularly important when analysing profit and return on capital as these are most commonly compared to previous years data. If the data being analysed was generated in a period of high inflation, lag </w:t>
      </w:r>
      <w:r w:rsidRPr="00676604">
        <w:rPr>
          <w:rFonts w:cstheme="minorHAnsi"/>
          <w:sz w:val="24"/>
          <w:szCs w:val="24"/>
        </w:rPr>
        <w:lastRenderedPageBreak/>
        <w:t xml:space="preserve">between asset acquisition and the generation of revenue from the asset may cause the understatement/overstatement of profit and expenses. Balance sheets are also vulnerable, as they represent a company’s assets and liabilities at a single point of time. If there is significant inflationary pressure between periods when balance sheets are compared the </w:t>
      </w:r>
      <w:r w:rsidRPr="0011028E">
        <w:rPr>
          <w:rFonts w:cstheme="minorHAnsi"/>
          <w:sz w:val="24"/>
          <w:szCs w:val="24"/>
        </w:rPr>
        <w:t xml:space="preserve">ratios related to their information can be distorted.  </w:t>
      </w:r>
      <w:r w:rsidRPr="0011028E">
        <w:rPr>
          <w:rFonts w:cstheme="minorHAnsi"/>
          <w:sz w:val="24"/>
          <w:szCs w:val="24"/>
        </w:rPr>
        <w:fldChar w:fldCharType="begin"/>
      </w:r>
      <w:r w:rsidR="00F02524">
        <w:rPr>
          <w:rFonts w:cstheme="minorHAnsi"/>
          <w:sz w:val="24"/>
          <w:szCs w:val="24"/>
        </w:rPr>
        <w:instrText xml:space="preserve"> ADDIN ZOTERO_ITEM CSL_CITATION {"citationID":"snJpXJmn","properties":{"unsorted":true,"formattedCitation":"(Tweedie and Whittington, 2009; Atrill, 2011; Abramowicz and Kilpatrick, 2023)","plainCitation":"(Tweedie and Whittington, 2009; Atrill, 2011; Abramowicz and Kilpatrick, 2023)","noteIndex":0},"citationItems":[{"id":635,"uris":["http://zotero.org/users/local/RRCsWsp6/items/S3C8UTZC"],"itemData":{"id":635,"type":"book","abstract":"First published in 1984, this book gives a historical account of the worldwide development of the theory and practice of inflation accounting (particularly as applied to the financial accounts of corporations). It is a comprehensive account, both in terms of the historical depth and the international breadth of its coverage. The account of the debate in Britain includes the results of original research by the authors, based on interviews and archive material. The book offers important insights not only into the present state and likely future course of the debate on inflation accounting but also into the whole process of setting financial accounting standards. The exposition is kept at a non-technical level wherever possible, but the reader should ideally have the degree of technical expertise which could be acquired by reading the companion volume, Inflation Accounting: an introduction to the debate, by Geoffrey Whittington.","ISBN":"978-0-521-11765-4","language":"en","note":"Google-Books-ID: cfH4PgAACAAJ","number-of-pages":"420","publisher":"Cambridge University Press","source":"Google Books","title":"The Debate on Inflation Accounting","author":[{"family":"Tweedie","given":"David"},{"family":"Whittington","given":"Geoffrey"}],"issued":{"date-parts":[["2009",7,30]]}},"label":"page"},{"id":954,"uris":["http://zotero.org/users/local/RRCsWsp6/items/9SN5IJCV"],"itemData":{"id":954,"type":"book","ISBN":"978-0-273-75973-7","publisher":"Pearson Prentice Hall","title":"Financial management for decision makers","author":[{"family":"Atrill","given":"Peter."}],"issued":{"date-parts":[["2011",7,21]]}},"label":"page"},{"id":992,"uris":["http://zotero.org/users/local/RRCsWsp6/items/ND474YAN"],"itemData":{"id":992,"type":"article-journal","container-title":"Strategic finance (Montvale, N.J.)","ISSN":"1524-833X","issue":"10","note":"publisher: Institute of Management Accountants","page":"40","title":"INFLATION AND FINANCIAL INFORMATION USEFULNESS: Be wary of the overlooked impact that inflation has on financial statements","volume":"104","author":[{"family":"Abramowicz","given":"Ken"},{"family":"Kilpatrick","given":"D.J"}],"issued":{"date-parts":[["2023"]]}},"label":"page"}],"schema":"https://github.com/citation-style-language/schema/raw/master/csl-citation.json"} </w:instrText>
      </w:r>
      <w:r w:rsidRPr="0011028E">
        <w:rPr>
          <w:rFonts w:cstheme="minorHAnsi"/>
          <w:sz w:val="24"/>
          <w:szCs w:val="24"/>
        </w:rPr>
        <w:fldChar w:fldCharType="separate"/>
      </w:r>
      <w:r w:rsidR="00F02524">
        <w:rPr>
          <w:rFonts w:cstheme="minorHAnsi"/>
          <w:noProof/>
          <w:sz w:val="24"/>
          <w:szCs w:val="24"/>
        </w:rPr>
        <w:t>(Tweedie and Whittington, 2009; Atrill, 2011; Abramowicz and Kilpatrick, 2023)</w:t>
      </w:r>
      <w:r w:rsidRPr="0011028E">
        <w:rPr>
          <w:rFonts w:cstheme="minorHAnsi"/>
          <w:sz w:val="24"/>
          <w:szCs w:val="24"/>
        </w:rPr>
        <w:fldChar w:fldCharType="end"/>
      </w:r>
      <w:r w:rsidRPr="0011028E">
        <w:rPr>
          <w:rFonts w:cstheme="minorHAnsi"/>
          <w:sz w:val="24"/>
          <w:szCs w:val="24"/>
        </w:rPr>
        <w:t>.</w:t>
      </w:r>
    </w:p>
    <w:p w14:paraId="5C46FFD4" w14:textId="438328D8" w:rsidR="00AB0BFF" w:rsidRDefault="0011028E" w:rsidP="00676604">
      <w:pPr>
        <w:spacing w:line="480" w:lineRule="auto"/>
        <w:jc w:val="both"/>
        <w:rPr>
          <w:rFonts w:cstheme="minorHAnsi"/>
          <w:sz w:val="24"/>
          <w:szCs w:val="24"/>
        </w:rPr>
      </w:pPr>
      <w:r w:rsidRPr="0011028E">
        <w:rPr>
          <w:rFonts w:cstheme="minorHAnsi"/>
          <w:sz w:val="24"/>
          <w:szCs w:val="24"/>
        </w:rPr>
        <w:t xml:space="preserve">The goal of most financial ratio analysis is to allow the identification of high preforming companies in order to isolate those showing high growth within their sector to compare and gain insight into successful strategies. In the </w:t>
      </w:r>
      <w:r w:rsidR="00CE63AB">
        <w:rPr>
          <w:rFonts w:cstheme="minorHAnsi"/>
          <w:sz w:val="24"/>
          <w:szCs w:val="24"/>
        </w:rPr>
        <w:t>case</w:t>
      </w:r>
      <w:r w:rsidRPr="0011028E">
        <w:rPr>
          <w:rFonts w:cstheme="minorHAnsi"/>
          <w:sz w:val="24"/>
          <w:szCs w:val="24"/>
        </w:rPr>
        <w:t xml:space="preserve"> of average ratios </w:t>
      </w:r>
      <w:r w:rsidR="00CE63AB">
        <w:rPr>
          <w:rFonts w:cstheme="minorHAnsi"/>
          <w:sz w:val="24"/>
          <w:szCs w:val="24"/>
        </w:rPr>
        <w:t>being</w:t>
      </w:r>
      <w:r w:rsidRPr="0011028E">
        <w:rPr>
          <w:rFonts w:cstheme="minorHAnsi"/>
          <w:sz w:val="24"/>
          <w:szCs w:val="24"/>
        </w:rPr>
        <w:t xml:space="preserve"> used across a sector to collate data, this ability is lost, but allows for improved comparison of industry level information </w:t>
      </w:r>
      <w:r w:rsidRPr="0011028E">
        <w:rPr>
          <w:rFonts w:cstheme="minorHAnsi"/>
          <w:sz w:val="24"/>
          <w:szCs w:val="24"/>
        </w:rPr>
        <w:fldChar w:fldCharType="begin"/>
      </w:r>
      <w:r w:rsidR="007931FB">
        <w:rPr>
          <w:rFonts w:cstheme="minorHAnsi"/>
          <w:sz w:val="24"/>
          <w:szCs w:val="24"/>
        </w:rPr>
        <w:instrText xml:space="preserve"> ADDIN ZOTERO_ITEM CSL_CITATION {"citationID":"O4RqFy0R","properties":{"formattedCitation":"(Dorrance, 1969; Kalayci et al., 2005)","plainCitation":"(Dorrance, 1969; Kalayci et al., 2005)","noteIndex":0},"citationItems":[{"id":985,"uris":["http://zotero.org/users/local/RRCsWsp6/items/GQV95WT9"],"itemData":{"id":985,"type":"article-journal","abstract":"This paper reviews some of the ideas that have been expressed regarding the development of national financial accounts. It concludes that a consensus is emerging that a set of sector financing statements and balance sheets, based on a monetary survey and incorporating liquidity criteria, can contribute to the understanding of the operation of an economy.","container-title":"Review of Income &amp; Wealth","DOI":"10.1111/j.1475-4991.1969.tb00803.x","ISSN":"00346586","issue":"2","note":"publisher: Wiley-Blackwell","page":"197-207","source":"EBSCOhost","title":"The Role of Financial Accounts","volume":"15","author":[{"family":"Dorrance","given":"Graeme S."}],"issued":{"date-parts":[["1969",6]]}},"label":"page"},{"id":986,"uris":["http://zotero.org/users/local/RRCsWsp6/items/LFB5M5NX"],"itemData":{"id":986,"type":"article-journal","container-title":"The journal of entrepreneurial finance","DOI":"10.57229/2373-1761.1227","ISSN":"2373-1761","issue":"1","page":"103-125","title":"Financial Ratio Classification and Sub-sector Discrimination of Manufacturing Firms Evidence from an Emerging Market","volume":"10","author":[{"family":"Kalayci","given":"Seref"},{"family":"Karatas","given":"Abdulmecit"},{"family":"Coskun","given":"Ali"},{"family":"Kirtas","given":"Ayhan"}],"issued":{"date-parts":[["2005"]]}}}],"schema":"https://github.com/citation-style-language/schema/raw/master/csl-citation.json"} </w:instrText>
      </w:r>
      <w:r w:rsidRPr="0011028E">
        <w:rPr>
          <w:rFonts w:cstheme="minorHAnsi"/>
          <w:sz w:val="24"/>
          <w:szCs w:val="24"/>
        </w:rPr>
        <w:fldChar w:fldCharType="separate"/>
      </w:r>
      <w:r w:rsidR="007931FB">
        <w:rPr>
          <w:rFonts w:ascii="Calibri" w:cs="Calibri"/>
          <w:sz w:val="24"/>
        </w:rPr>
        <w:t>(Dorrance, 1969; Kalayci et al., 2005)</w:t>
      </w:r>
      <w:r w:rsidRPr="0011028E">
        <w:rPr>
          <w:rFonts w:cstheme="minorHAnsi"/>
          <w:sz w:val="24"/>
          <w:szCs w:val="24"/>
        </w:rPr>
        <w:fldChar w:fldCharType="end"/>
      </w:r>
      <w:r w:rsidRPr="0011028E">
        <w:rPr>
          <w:rFonts w:cstheme="minorHAnsi"/>
          <w:sz w:val="24"/>
          <w:szCs w:val="24"/>
        </w:rPr>
        <w:t xml:space="preserve">. Care needs to be taken when looking at collated financial ratio information to identify outliers when cleaning data in order to establish if a particular line item is causing the distortion. Ratios are suspectable to distortion if denominators are approaching zero, causing very large or potentially negative values. For certain ratios a negative value may be accurate, if undesirable; however, these are likely to be correctly observed when a company or industry is under duress which would adequately explain the unexpected result. Therefore, care needs to be taken during a financial ratio analysis to ensure that negative ratios when seen are acceptable and consistent with the direction of the ratio based on underlying business conditions. Related to this, primary data should also be checked for two negative values which when analysed in a ratio could result in a positive value </w:t>
      </w:r>
      <w:r w:rsidRPr="0011028E">
        <w:rPr>
          <w:rFonts w:cstheme="minorHAnsi"/>
          <w:sz w:val="24"/>
          <w:szCs w:val="24"/>
        </w:rPr>
        <w:fldChar w:fldCharType="begin"/>
      </w:r>
      <w:r w:rsidR="00F02524">
        <w:rPr>
          <w:rFonts w:cstheme="minorHAnsi"/>
          <w:sz w:val="24"/>
          <w:szCs w:val="24"/>
        </w:rPr>
        <w:instrText xml:space="preserve"> ADDIN ZOTERO_ITEM CSL_CITATION {"citationID":"IHPeb6qG","properties":{"unsorted":true,"formattedCitation":"(Mcleay and Omar, 2000; Turnaround Topics, 2003; Information Resources Management Association, 2012; Gunnars, 2023)","plainCitation":"(Mcleay and Omar, 2000; Turnaround Topics, 2003; Information Resources Management Association, 2012; Gunnars, 2023)","noteIndex":0},"citationItems":[{"id":997,"uris":["http://zotero.org/users/local/RRCsWsp6/items/GN4DREV9"],"itemData":{"id":997,"type":"article-journal","abstract":"This paper distinguishes between two types of financial ratio: (i) unbounded ratios which may take either negative or positive values and where extreme values are possible in both tails of the distribution; and (ii) bounded ratios which may take positive values only and which are characterized by extreme values in the right-hand tail only. On this basis, a kurtosis-reducing transformation is proposed for unbounded ratios and a skewness-reducing transformation for bounded ratios. The empirical study that is reported in the paper indicates how such transformations based on ratio form can lead to an improvement in the classification accuracy of prediction models. A comparison with other techniques that have been proposed for accommodating outliers in the raw data shows that the transformations proposed in this paper, which retain the information in the data set as a whole, result in greater accuracy than the ex-post data deletion procedures recommended elsewhere.","container-title":"The British Accounting Review","DOI":"10.1006/bare.1999.0120","ISSN":"0890-8389","issue":"2","journalAbbreviation":"The British Accounting Review","language":"en","page":"213-230","source":"ScienceDirect","title":"THE SENSITIVITY OF PREDICTION MODELS TO THE NON-NORMALITY OF BOUNDED AND UNBOUNDED FINANCIAL RATIOS","volume":"32","author":[{"family":"Mcleay","given":"Stuart"},{"family":"Omar","given":"Azmi"}],"issued":{"date-parts":[["2000",6,1]]}},"label":"page"},{"id":883,"uris":["http://zotero.org/users/local/RRCsWsp6/items/VQZEW8UR"],"itemData":{"id":883,"type":"article-magazine","container-title":"American Bankruptcy Insitute","title":"To Infinity and Beyond Dealing with the Mathematical Oddities of Ratio Analysis | ABI","URL":"https://www.abi.org/abi-journal/to-infinity-and-beyond-dealing-with-the-mathematical-oddities-of-ratio-analysis","author":[{"family":"Turnaround Topics","given":""}],"accessed":{"date-parts":[["2023",6,6]]},"issued":{"date-parts":[["2003",3,1]]}},"label":"page"},{"id":995,"uris":["http://zotero.org/users/local/RRCsWsp6/items/LKYRCJS7"],"itemData":{"id":995,"type":"book","abstract":"Data mining continues to be an emerging interdisciplinary field that offers the ability to extract information from an existing data set and translate that knowledge for end-users into an understandable way.Data Mining: Concepts, Methodologies, Tools, and Applications is a comprehensive collection of research on the latest advancements and developments of data mining and how it fits into the current technological world.","ISBN":"978-1-4666-2456-6","language":"en","note":"Google-Books-ID: oLqeBQAAQBAJ","number-of-pages":"2335","publisher":"IGI Global","source":"Google Books","title":"Data Mining: Concepts, Methodologies, Tools, and Applications: Concepts, Methodologies, Tools, and Applications","title-short":"Data Mining","author":[{"literal":"Information Resources Management Association"}],"issued":{"date-parts":[["2012",11,30]]}},"label":"page"},{"id":993,"uris":["http://zotero.org/users/local/RRCsWsp6/items/6VJT43MN"],"itemData":{"id":993,"type":"post-weblog","abstract":"The price-to-earnings (P/E) ratio is a valuation metric that looks at share price relative to EPS. A negative P/E ratio means that a stock is losing money.","container-title":"Stock Analysis","genre":"Financial Analysis","language":"en","title":"Negative P/E Ratio: Definition and What It Shows","title-short":"Negative P/E Ratio","URL":"https://stockanalysis.com/article/negative-pe-ratio/","author":[{"family":"Gunnars","given":"Kris"}],"accessed":{"date-parts":[["2023",7,23]]},"issued":{"date-parts":[["2023",7,17]]}},"label":"page"}],"schema":"https://github.com/citation-style-language/schema/raw/master/csl-citation.json"} </w:instrText>
      </w:r>
      <w:r w:rsidRPr="0011028E">
        <w:rPr>
          <w:rFonts w:cstheme="minorHAnsi"/>
          <w:sz w:val="24"/>
          <w:szCs w:val="24"/>
        </w:rPr>
        <w:fldChar w:fldCharType="separate"/>
      </w:r>
      <w:r w:rsidR="00F02524">
        <w:rPr>
          <w:rFonts w:cstheme="minorHAnsi"/>
          <w:noProof/>
          <w:sz w:val="24"/>
          <w:szCs w:val="24"/>
        </w:rPr>
        <w:t>(Mcleay and Omar, 2000; Turnaround Topics, 2003; Information Resources Management Association, 2012; Gunnars, 2023)</w:t>
      </w:r>
      <w:r w:rsidRPr="0011028E">
        <w:rPr>
          <w:rFonts w:cstheme="minorHAnsi"/>
          <w:sz w:val="24"/>
          <w:szCs w:val="24"/>
        </w:rPr>
        <w:fldChar w:fldCharType="end"/>
      </w:r>
      <w:r w:rsidRPr="0011028E">
        <w:rPr>
          <w:rFonts w:cstheme="minorHAnsi"/>
          <w:sz w:val="24"/>
          <w:szCs w:val="24"/>
        </w:rPr>
        <w:t>.</w:t>
      </w:r>
    </w:p>
    <w:p w14:paraId="335B7788" w14:textId="1F92688D" w:rsidR="007656AE" w:rsidRDefault="007656AE" w:rsidP="007656AE">
      <w:pPr>
        <w:pStyle w:val="Heading2"/>
        <w:numPr>
          <w:ilvl w:val="1"/>
          <w:numId w:val="3"/>
        </w:numPr>
        <w:spacing w:line="480" w:lineRule="auto"/>
        <w:jc w:val="both"/>
        <w:rPr>
          <w:szCs w:val="24"/>
        </w:rPr>
      </w:pPr>
      <w:bookmarkStart w:id="16" w:name="_Toc141646699"/>
      <w:r>
        <w:rPr>
          <w:szCs w:val="24"/>
        </w:rPr>
        <w:lastRenderedPageBreak/>
        <w:t>Financial Modelling</w:t>
      </w:r>
      <w:r w:rsidR="00992CCA">
        <w:rPr>
          <w:szCs w:val="24"/>
        </w:rPr>
        <w:t xml:space="preserve"> fo</w:t>
      </w:r>
      <w:r w:rsidR="00D60DA7">
        <w:rPr>
          <w:szCs w:val="24"/>
        </w:rPr>
        <w:t>r Industry Analysis</w:t>
      </w:r>
      <w:bookmarkEnd w:id="16"/>
    </w:p>
    <w:p w14:paraId="6F7FE324" w14:textId="1E7C56F7" w:rsidR="007656AE" w:rsidRDefault="007D44E5" w:rsidP="00676604">
      <w:pPr>
        <w:spacing w:line="480" w:lineRule="auto"/>
        <w:jc w:val="both"/>
        <w:rPr>
          <w:rFonts w:cstheme="minorHAnsi"/>
          <w:sz w:val="24"/>
          <w:szCs w:val="24"/>
        </w:rPr>
      </w:pPr>
      <w:r>
        <w:rPr>
          <w:rFonts w:cstheme="minorHAnsi"/>
          <w:sz w:val="24"/>
          <w:szCs w:val="24"/>
        </w:rPr>
        <w:t>Financial</w:t>
      </w:r>
      <w:r w:rsidR="00606F11">
        <w:rPr>
          <w:rFonts w:cstheme="minorHAnsi"/>
          <w:sz w:val="24"/>
          <w:szCs w:val="24"/>
        </w:rPr>
        <w:t xml:space="preserve"> analysis at the </w:t>
      </w:r>
      <w:r>
        <w:rPr>
          <w:rFonts w:cstheme="minorHAnsi"/>
          <w:sz w:val="24"/>
          <w:szCs w:val="24"/>
        </w:rPr>
        <w:t>industry leading financial consultancy houses (PWC, KPMG and Deloitte)</w:t>
      </w:r>
      <w:r w:rsidR="00636131">
        <w:rPr>
          <w:rFonts w:cstheme="minorHAnsi"/>
          <w:sz w:val="24"/>
          <w:szCs w:val="24"/>
        </w:rPr>
        <w:t xml:space="preserve">, focuses and begins with financial statement ratio analysis as described previously as a foundational point. </w:t>
      </w:r>
      <w:r w:rsidR="000E48C0">
        <w:rPr>
          <w:rFonts w:cstheme="minorHAnsi"/>
          <w:sz w:val="24"/>
          <w:szCs w:val="24"/>
        </w:rPr>
        <w:t xml:space="preserve">These </w:t>
      </w:r>
      <w:r w:rsidR="00F440C0">
        <w:rPr>
          <w:rFonts w:cstheme="minorHAnsi"/>
          <w:sz w:val="24"/>
          <w:szCs w:val="24"/>
        </w:rPr>
        <w:t>high-level</w:t>
      </w:r>
      <w:r w:rsidR="000E48C0">
        <w:rPr>
          <w:rFonts w:cstheme="minorHAnsi"/>
          <w:sz w:val="24"/>
          <w:szCs w:val="24"/>
        </w:rPr>
        <w:t xml:space="preserve"> ratios are then subjected to horizontal and vertical analysis</w:t>
      </w:r>
      <w:r w:rsidR="00477ADB">
        <w:rPr>
          <w:rFonts w:cstheme="minorHAnsi"/>
          <w:sz w:val="24"/>
          <w:szCs w:val="24"/>
        </w:rPr>
        <w:t xml:space="preserve"> to gain overall insight into a company/sectors </w:t>
      </w:r>
      <w:r w:rsidR="003104A8">
        <w:rPr>
          <w:rFonts w:cstheme="minorHAnsi"/>
          <w:sz w:val="24"/>
          <w:szCs w:val="24"/>
        </w:rPr>
        <w:t>profitability</w:t>
      </w:r>
      <w:r w:rsidR="00477ADB">
        <w:rPr>
          <w:rFonts w:cstheme="minorHAnsi"/>
          <w:sz w:val="24"/>
          <w:szCs w:val="24"/>
        </w:rPr>
        <w:t>,</w:t>
      </w:r>
      <w:r w:rsidR="003104A8">
        <w:rPr>
          <w:rFonts w:cstheme="minorHAnsi"/>
          <w:sz w:val="24"/>
          <w:szCs w:val="24"/>
        </w:rPr>
        <w:t xml:space="preserve"> liquidity and solvency, operating efficiency and share metrics. </w:t>
      </w:r>
      <w:r w:rsidR="0036614E">
        <w:rPr>
          <w:rFonts w:cstheme="minorHAnsi"/>
          <w:sz w:val="24"/>
          <w:szCs w:val="24"/>
        </w:rPr>
        <w:t xml:space="preserve">Further depth and checks on specific information viability </w:t>
      </w:r>
      <w:r w:rsidR="00ED1F37">
        <w:rPr>
          <w:rFonts w:cstheme="minorHAnsi"/>
          <w:sz w:val="24"/>
          <w:szCs w:val="24"/>
        </w:rPr>
        <w:t>may be gained using models such as The Beneish Model</w:t>
      </w:r>
      <w:r w:rsidR="007666EC">
        <w:rPr>
          <w:rFonts w:cstheme="minorHAnsi"/>
          <w:sz w:val="24"/>
          <w:szCs w:val="24"/>
        </w:rPr>
        <w:t xml:space="preserve"> (M-Score)</w:t>
      </w:r>
      <w:r w:rsidR="00ED1F37">
        <w:rPr>
          <w:rFonts w:cstheme="minorHAnsi"/>
          <w:sz w:val="24"/>
          <w:szCs w:val="24"/>
        </w:rPr>
        <w:t>,</w:t>
      </w:r>
      <w:r w:rsidR="0044500C">
        <w:rPr>
          <w:rFonts w:cstheme="minorHAnsi"/>
          <w:sz w:val="24"/>
          <w:szCs w:val="24"/>
        </w:rPr>
        <w:t xml:space="preserve"> Z-score</w:t>
      </w:r>
      <w:r w:rsidR="00ED1F37">
        <w:rPr>
          <w:rFonts w:cstheme="minorHAnsi"/>
          <w:sz w:val="24"/>
          <w:szCs w:val="24"/>
        </w:rPr>
        <w:t xml:space="preserve"> and multi-factor models </w:t>
      </w:r>
      <w:r w:rsidR="00626C90">
        <w:rPr>
          <w:rFonts w:cstheme="minorHAnsi"/>
          <w:sz w:val="24"/>
          <w:szCs w:val="24"/>
        </w:rPr>
        <w:t>using non-financial indicators</w:t>
      </w:r>
      <w:r w:rsidR="001D067C">
        <w:rPr>
          <w:rFonts w:cstheme="minorHAnsi"/>
          <w:sz w:val="24"/>
          <w:szCs w:val="24"/>
        </w:rPr>
        <w:t xml:space="preserve"> </w:t>
      </w:r>
      <w:r w:rsidR="00534E68">
        <w:rPr>
          <w:rFonts w:cstheme="minorHAnsi"/>
          <w:sz w:val="24"/>
          <w:szCs w:val="24"/>
        </w:rPr>
        <w:fldChar w:fldCharType="begin"/>
      </w:r>
      <w:r w:rsidR="00494A0B">
        <w:rPr>
          <w:rFonts w:cstheme="minorHAnsi"/>
          <w:sz w:val="24"/>
          <w:szCs w:val="24"/>
        </w:rPr>
        <w:instrText xml:space="preserve"> ADDIN ZOTERO_ITEM CSL_CITATION {"citationID":"82rsu8OT","properties":{"unsorted":true,"formattedCitation":"(Altman, 1968; Beneish et al., 2013; Almamy et al., 2016; Deloitte, 2022; KPMG, 2023; PricewaterhouseCoopers, 2023)","plainCitation":"(Altman, 1968; Beneish et al., 2013; Almamy et al., 2016; Deloitte, 2022; KPMG, 2023; PricewaterhouseCoopers, 2023)","noteIndex":0},"citationItems":[{"id":1036,"uris":["http://zotero.org/users/local/RRCsWsp6/items/FSYBKQ3Z"],"itemData":{"id":1036,"type":"article-journal","container-title":"The Journal of finance (New York)","DOI":"10.1111/j.1540-6261.1968.tb00843.x","ISSN":"0022-1082","issue":"4","note":"publisher-place: Oxford, UK\npublisher: Blackwell Publishing Ltd","page":"589-609","title":"FINANCIAL RATIOS, DISCRIMINANT ANALYSIS AND THE PREDICTION OF CORPORATE BANKRUPTCY","volume":"23","author":[{"family":"Altman","given":"Edward I."}],"issued":{"date-parts":[["1968"]]}},"label":"page"},{"id":1033,"uris":["http://zotero.org/users/local/RRCsWsp6/items/KWYJBBAR"],"itemData":{"id":1033,"type":"article-journal","abstract":"An accounting-based earnings manipulation detection model has strong out-of-sample power to predict cross-sectional returns. Companies with a higher probability of manipulation (M-score) earn lower returns on every decile portfolio sorted by size, book-to-market, momentum, accruals, and short interest. The predictive power of M-score stems from its ability to forecast changes in accruals and is most pronounced among low-accrual (ostensibly \"high-earnings-quality\") stocks. These findings support the investment value of careful fundamental and forensic analyses of public companies.","container-title":"Financial Analysts Journal","DOI":"10.2469/faj.v69.n2.1","ISSN":"0015198X","issue":"2","note":"publisher: Taylor &amp; Francis Ltd","page":"57-82","source":"EBSCOhost","title":"Earnings Manipulation and Expected Returns","volume":"69","author":[{"family":"Beneish","given":"Messod D."},{"family":"Lee","given":"Charles M. C."},{"family":"Nichols","given":"D. Craig"}],"issued":{"date-parts":[["2013",3]]}},"label":"page"},{"id":1035,"uris":["http://zotero.org/users/local/RRCsWsp6/items/SLHC2MIV"],"itemData":{"id":1035,"type":"article-journal","abstract":"This paper investigates the extension of the Z-score model in predicting the health of UK companies; using discriminant analysis, and performance ratios to test which ratios are statistically significant in predicting the health of UK companies from 2000 to 2013. The purpose of this study is to contribute towards Altman's (1968) original Z-score model by adding a new variable. We found that, cash flow when combined with the original Z-score variable is highly significant in predicting the health of UK companies. A J-UK model was developed to test the health of UK companies. When compared to the Z-score model, the predictive power of the model was 82.9%, which is consistent with Taffler's (1982) UK model. Furthermore, to test the predictive power of the model before, during and after the financial crisis period; results show that J-UK model had higher accuracy to predict the health of UK companies than the Z-score UK model. Thus, the extension of Altman's Z score model leads to better results and assists users such as researchers, managers, regulators and other practitioners to manage their risk profile more effectively.\n•A UK model with cash flow ratio to predict corporate failure was proposed.•The developed model was tested before, during and after the financial crisis.•Cash flow information is a good predictor of corporate failure in the UK context.•The developed UK model was more accurate to predict failed and non-failed companies.","container-title":"Journal of corporate finance (Amsterdam, Netherlands)","DOI":"10.1016/j.jcorpfin.2015.12.009","ISSN":"0929-1199","note":"publisher-place: Amsterdam\npublisher: Elsevier B.V","page":"278-285","title":"An evaluation of Altman's Z-score using cash flow ratio to predict corporate failure amid the recent financial crisis: Evidence from the UK","volume":"36","author":[{"family":"Almamy","given":"Jeehan"},{"family":"Aston","given":"John"},{"family":"Ngwa","given":"Leonard N."}],"issued":{"date-parts":[["2016"]]}},"label":"page"},{"id":1027,"uris":["http://zotero.org/users/local/RRCsWsp6/items/CTZ8UNTN"],"itemData":{"id":1027,"type":"webpage","abstract":"When internal financial information and operational data are combined with external intelligence, finance analytics can address critical business questions with unprecedented ease, speed, and accuracy","container-title":"Deloitte Azerbaijan","genre":"News","language":"en","title":"Analysis of financial statements","URL":"https://www2.deloitte.com/az/en/pages/deloitte-academy/articles/hr-as-a-compliance-champion--/analysis-of-financial-statements.html","author":[{"family":"Deloitte","given":""}],"accessed":{"date-parts":[["2023",7,23]]},"issued":{"date-parts":[["2022",10,28]]}},"label":"page"},{"id":1031,"uris":["http://zotero.org/users/local/RRCsWsp6/items/JF3RY63X"],"itemData":{"id":1031,"type":"webpage","abstract":"KPMG’s Global Indirect Tax Services helps you transform data into real value.","container-title":"KPMG","language":"en-US","title":"Data &amp; Analytics - KPMG Global","URL":"https://kpmg.com/xx/en/home/services/tax/global-indirect-tax/data-and-analytics.html","author":[{"family":"KPMG","given":""}],"accessed":{"date-parts":[["2023",7,23]]},"issued":{"date-parts":[["2023",6,6]]}},"label":"page"},{"id":1029,"uris":["http://zotero.org/users/local/RRCsWsp6/items/P8H79NWH"],"itemData":{"id":1029,"type":"webpage","abstract":"Understanding the condition of a company is really essential. Users usually determine the company’s condition through analysis of financial statements before making any important decisions. Failure to understand a company’s condition can result in bad decision-making. Join this training to get a clear picture of how figures in financial statements are linked to the others, in order to describe how well the business is performing during the period and to determine the condition of a certain entity at a certain date, as well as information about how liquid the company is.","container-title":"PwC","language":"en_id","title":"Financial Statement Analysis 101","URL":"https://www.pwc.com/id/en/academy/training-calendar/financial-statement-analysis-101.html","author":[{"family":"PricewaterhouseCoopers","given":""}],"accessed":{"date-parts":[["2023",7,23]]},"issued":{"date-parts":[["2023",7,23]]}},"label":"page"}],"schema":"https://github.com/citation-style-language/schema/raw/master/csl-citation.json"} </w:instrText>
      </w:r>
      <w:r w:rsidR="00534E68">
        <w:rPr>
          <w:rFonts w:cstheme="minorHAnsi"/>
          <w:sz w:val="24"/>
          <w:szCs w:val="24"/>
        </w:rPr>
        <w:fldChar w:fldCharType="separate"/>
      </w:r>
      <w:r w:rsidR="00494A0B">
        <w:rPr>
          <w:rFonts w:cstheme="minorHAnsi"/>
          <w:noProof/>
          <w:sz w:val="24"/>
          <w:szCs w:val="24"/>
        </w:rPr>
        <w:t>(Altman, 1968; Beneish et al., 2013; Almamy et al., 2016; Deloitte, 2022; KPMG, 2023; PricewaterhouseCoopers, 2023)</w:t>
      </w:r>
      <w:r w:rsidR="00534E68">
        <w:rPr>
          <w:rFonts w:cstheme="minorHAnsi"/>
          <w:sz w:val="24"/>
          <w:szCs w:val="24"/>
        </w:rPr>
        <w:fldChar w:fldCharType="end"/>
      </w:r>
      <w:r w:rsidR="001D067C">
        <w:rPr>
          <w:rFonts w:cstheme="minorHAnsi"/>
          <w:sz w:val="24"/>
          <w:szCs w:val="24"/>
        </w:rPr>
        <w:t xml:space="preserve">. </w:t>
      </w:r>
      <w:r w:rsidR="00F440C0">
        <w:rPr>
          <w:rFonts w:cstheme="minorHAnsi"/>
          <w:sz w:val="24"/>
          <w:szCs w:val="24"/>
        </w:rPr>
        <w:t xml:space="preserve"> </w:t>
      </w:r>
      <w:r w:rsidR="00477ADB">
        <w:rPr>
          <w:rFonts w:cstheme="minorHAnsi"/>
          <w:sz w:val="24"/>
          <w:szCs w:val="24"/>
        </w:rPr>
        <w:t xml:space="preserve"> </w:t>
      </w:r>
    </w:p>
    <w:p w14:paraId="4352E4F4" w14:textId="62C69205" w:rsidR="004F5738" w:rsidRPr="00676604" w:rsidRDefault="004F098F" w:rsidP="00676604">
      <w:pPr>
        <w:spacing w:line="480" w:lineRule="auto"/>
        <w:jc w:val="both"/>
        <w:rPr>
          <w:rFonts w:cstheme="minorHAnsi"/>
          <w:sz w:val="24"/>
          <w:szCs w:val="24"/>
        </w:rPr>
      </w:pPr>
      <w:r>
        <w:rPr>
          <w:rFonts w:cstheme="minorHAnsi"/>
          <w:sz w:val="24"/>
          <w:szCs w:val="24"/>
        </w:rPr>
        <w:t xml:space="preserve">Most financial analysis (in-house or </w:t>
      </w:r>
      <w:r w:rsidR="00E43B7A">
        <w:rPr>
          <w:rFonts w:cstheme="minorHAnsi"/>
          <w:sz w:val="24"/>
          <w:szCs w:val="24"/>
        </w:rPr>
        <w:t>consultancy) will progress into</w:t>
      </w:r>
      <w:r w:rsidR="009E0BBB">
        <w:rPr>
          <w:rFonts w:cstheme="minorHAnsi"/>
          <w:sz w:val="24"/>
          <w:szCs w:val="24"/>
        </w:rPr>
        <w:t xml:space="preserve"> bespoke</w:t>
      </w:r>
      <w:r w:rsidR="00E43B7A">
        <w:rPr>
          <w:rFonts w:cstheme="minorHAnsi"/>
          <w:sz w:val="24"/>
          <w:szCs w:val="24"/>
        </w:rPr>
        <w:t xml:space="preserve"> financial modelling</w:t>
      </w:r>
      <w:r w:rsidR="00CE31D5">
        <w:rPr>
          <w:rFonts w:cstheme="minorHAnsi"/>
          <w:sz w:val="24"/>
          <w:szCs w:val="24"/>
        </w:rPr>
        <w:t xml:space="preserve">, attempting forecasting of a company/sectors </w:t>
      </w:r>
      <w:r w:rsidR="00852518">
        <w:rPr>
          <w:rFonts w:cstheme="minorHAnsi"/>
          <w:sz w:val="24"/>
          <w:szCs w:val="24"/>
        </w:rPr>
        <w:t xml:space="preserve">future financial </w:t>
      </w:r>
      <w:r w:rsidR="000A754D">
        <w:rPr>
          <w:rFonts w:cstheme="minorHAnsi"/>
          <w:sz w:val="24"/>
          <w:szCs w:val="24"/>
        </w:rPr>
        <w:t>performance,</w:t>
      </w:r>
      <w:r w:rsidR="00852518">
        <w:rPr>
          <w:rFonts w:cstheme="minorHAnsi"/>
          <w:sz w:val="24"/>
          <w:szCs w:val="24"/>
        </w:rPr>
        <w:t xml:space="preserve"> allowing for the testing of </w:t>
      </w:r>
      <w:r w:rsidR="00B066A7">
        <w:rPr>
          <w:rFonts w:cstheme="minorHAnsi"/>
          <w:sz w:val="24"/>
          <w:szCs w:val="24"/>
        </w:rPr>
        <w:t xml:space="preserve">assumptions and scenarios. </w:t>
      </w:r>
      <w:r w:rsidR="00895792">
        <w:rPr>
          <w:rFonts w:cstheme="minorHAnsi"/>
          <w:sz w:val="24"/>
          <w:szCs w:val="24"/>
        </w:rPr>
        <w:t>These models may include cash flow/discounted cash flow</w:t>
      </w:r>
      <w:r w:rsidR="00A75CB0">
        <w:rPr>
          <w:rFonts w:cstheme="minorHAnsi"/>
          <w:sz w:val="24"/>
          <w:szCs w:val="24"/>
        </w:rPr>
        <w:t xml:space="preserve"> modelling and scenario </w:t>
      </w:r>
      <w:r w:rsidR="000A754D">
        <w:rPr>
          <w:rFonts w:cstheme="minorHAnsi"/>
          <w:sz w:val="24"/>
          <w:szCs w:val="24"/>
        </w:rPr>
        <w:t>modelling to predict impacts on future financial performance</w:t>
      </w:r>
      <w:r w:rsidR="007723CA">
        <w:rPr>
          <w:rFonts w:cstheme="minorHAnsi"/>
          <w:sz w:val="24"/>
          <w:szCs w:val="24"/>
        </w:rPr>
        <w:t xml:space="preserve"> </w:t>
      </w:r>
      <w:r w:rsidR="007723CA">
        <w:rPr>
          <w:rFonts w:cstheme="minorHAnsi"/>
          <w:sz w:val="24"/>
          <w:szCs w:val="24"/>
        </w:rPr>
        <w:fldChar w:fldCharType="begin"/>
      </w:r>
      <w:r w:rsidR="00494A0B">
        <w:rPr>
          <w:rFonts w:cstheme="minorHAnsi"/>
          <w:sz w:val="24"/>
          <w:szCs w:val="24"/>
        </w:rPr>
        <w:instrText xml:space="preserve"> ADDIN ZOTERO_ITEM CSL_CITATION {"citationID":"giMaFHMq","properties":{"unsorted":true,"formattedCitation":"(Altman, 1968; Rawley and Schostag, 2006; Clayman, 2012; Weetman, 2013; Almamy et al., 2016; Lee et al., 2020)","plainCitation":"(Altman, 1968; Rawley and Schostag, 2006; Clayman, 2012; Weetman, 2013; Almamy et al., 2016; Lee et al., 2020)","noteIndex":0},"citationItems":[{"id":1036,"uris":["http://zotero.org/users/local/RRCsWsp6/items/FSYBKQ3Z"],"itemData":{"id":1036,"type":"article-journal","container-title":"The Journal of finance (New York)","DOI":"10.1111/j.1540-6261.1968.tb00843.x","ISSN":"0022-1082","issue":"4","note":"publisher-place: Oxford, UK\npublisher: Blackwell Publishing Ltd","page":"589-609","title":"FINANCIAL RATIOS, DISCRIMINANT ANALYSIS AND THE PREDICTION OF CORPORATE BANKRUPTCY","volume":"23","author":[{"family":"Altman","given":"Edward I."}],"issued":{"date-parts":[["1968"]]}},"label":"page"},{"id":1038,"uris":["http://zotero.org/users/local/RRCsWsp6/items/GW2YJMV9"],"itemData":{"id":1038,"type":"article-journal","abstract":"Relating annual performance measures derived from accounting data to company internal rates of return and intrinsic value by using computer modeling represents an extremely powerful way to conduct monitoring and analysis with minimal analyst intervention. The LifeCycle Returns (LCRT) research platform contains many procedures and methodologies that differ from conventional valuation methods and offers a way to test the reasonableness of intrinsic values derived. Differences highlighted during reconciliation may suggest important considerations overlooked in the application of the conventional discounted cash flow (DCF) analysis. Key points relevant to privately held valuations performed by appraisers include: 1. Wide acceptance of the DCF has produced complacency. 2. Different analysts using DCF can honestly arrive at significantly divergent company values. 3. Most appraisers employ a multi-period model. 4. Besides the multi-period model, the capitalization method represents another model using discounted future economic benefits. 5. A baseline intrinsic value model approach is suggested as one empirical way to evaluating DCF output for reasonableness.","container-title":"Valuation Strategies","ISSN":"1557-2919","issue":"1","note":"publisher-place: Boston\npublisher: Thomson Reuters (Tax &amp; Accounting) Inc","page":"24","title":"Discounted Cash Flow Method: using new modeling to test reasonableness","volume":"10","author":[{"family":"Rawley","given":"Thomas"},{"family":"Schostag","given":"Randall"}],"issued":{"date-parts":[["2006"]]}},"label":"page"},{"id":1041,"uris":["http://zotero.org/users/local/RRCsWsp6/items/YBFUXLZI"],"itemData":{"id":1041,"type":"book","ISBN":"978-1-118-21729-0","publisher":"Wiley-Blackwell","title":"Corporate finance: a practical approach","author":[{"family":"Clayman","given":"Michelle R."}],"issued":{"date-parts":[["2012",1,31]]}},"label":"page"},{"id":1034,"uris":["http://zotero.org/users/local/RRCsWsp6/items/HISS38IK"],"itemData":{"id":1034,"type":"book","ISBN":"978-0-273-78958-1","publisher":"Pearson Education","title":"Financial accounting","author":[{"family":"Weetman","given":"Pauline"}],"issued":{"date-parts":[["2013",7,15]]}},"label":"page"},{"id":1035,"uris":["http://zotero.org/users/local/RRCsWsp6/items/SLHC2MIV"],"itemData":{"id":1035,"type":"article-journal","abstract":"This paper investigates the extension of the Z-score model in predicting the health of UK companies; using discriminant analysis, and performance ratios to test which ratios are statistically significant in predicting the health of UK companies from 2000 to 2013. The purpose of this study is to contribute towards Altman's (1968) original Z-score model by adding a new variable. We found that, cash flow when combined with the original Z-score variable is highly significant in predicting the health of UK companies. A J-UK model was developed to test the health of UK companies. When compared to the Z-score model, the predictive power of the model was 82.9%, which is consistent with Taffler's (1982) UK model. Furthermore, to test the predictive power of the model before, during and after the financial crisis period; results show that J-UK model had higher accuracy to predict the health of UK companies than the Z-score UK model. Thus, the extension of Altman's Z score model leads to better results and assists users such as researchers, managers, regulators and other practitioners to manage their risk profile more effectively.\n•A UK model with cash flow ratio to predict corporate failure was proposed.•The developed model was tested before, during and after the financial crisis.•Cash flow information is a good predictor of corporate failure in the UK context.•The developed UK model was more accurate to predict failed and non-failed companies.","container-title":"Journal of corporate finance (Amsterdam, Netherlands)","DOI":"10.1016/j.jcorpfin.2015.12.009","ISSN":"0929-1199","note":"publisher-place: Amsterdam\npublisher: Elsevier B.V","page":"278-285","title":"An evaluation of Altman's Z-score using cash flow ratio to predict corporate failure amid the recent financial crisis: Evidence from the UK","volume":"36","author":[{"family":"Almamy","given":"Jeehan"},{"family":"Aston","given":"John"},{"family":"Ngwa","given":"Leonard N."}],"issued":{"date-parts":[["2016"]]}},"label":"page"},{"id":1039,"uris":["http://zotero.org/users/local/RRCsWsp6/items/4KBX24NC"],"itemData":{"id":1039,"type":"article-journal","abstract":"Discrete choice analysis is a popular method of estimating heterogeneous customer preferences. Although model accuracy can be increased by including more choice data, this option is untenable when the obtaining of choice data from target customers is costly and time-consuming.. We thus propose a method for choice data generation for commercial products whose expected money value is a key factor in consumer choice (e.g., commercial vehicles and financial product). Using an individual usage scenario, we generate a discounted cash flow (DCF) model instead of a utility model to estimate the discount rates, rather than partworths, of individual consumers. The DCF model helps us generate synthetic choice data from choice sets consisting of various combinations of attribute levels. Using these data, we employ a hierarchical Bayesian (HB) discrete choice analysis. We conclude the study with a case study on the preference estimation of a hybrid courier truck conversion. The results reveal that the DCF-based HB estimation outperforms the traditional HB estimation.","container-title":"Journal of Choice Modelling","DOI":"10.1016/j.jocm.2020.100250","ISSN":"1755-5345","journalAbbreviation":"Journal of Choice Modelling","language":"en","page":"100250","source":"ScienceDirect","title":"Choice data generation using usage scenarios and discounted cash flow analysis","volume":"37","author":[{"family":"Lee","given":"Ungki"},{"family":"Kang","given":"Namwoo"},{"family":"Lee","given":"Ikjin"}],"issued":{"date-parts":[["2020",12,1]]}},"label":"page"}],"schema":"https://github.com/citation-style-language/schema/raw/master/csl-citation.json"} </w:instrText>
      </w:r>
      <w:r w:rsidR="007723CA">
        <w:rPr>
          <w:rFonts w:cstheme="minorHAnsi"/>
          <w:sz w:val="24"/>
          <w:szCs w:val="24"/>
        </w:rPr>
        <w:fldChar w:fldCharType="separate"/>
      </w:r>
      <w:r w:rsidR="00494A0B">
        <w:rPr>
          <w:rFonts w:cstheme="minorHAnsi"/>
          <w:noProof/>
          <w:sz w:val="24"/>
          <w:szCs w:val="24"/>
        </w:rPr>
        <w:t>(Altman, 1968; Rawley and Schostag, 2006; Clayman, 2012; Weetman, 2013; Almamy et al., 2016; Lee et al., 2020)</w:t>
      </w:r>
      <w:r w:rsidR="007723CA">
        <w:rPr>
          <w:rFonts w:cstheme="minorHAnsi"/>
          <w:sz w:val="24"/>
          <w:szCs w:val="24"/>
        </w:rPr>
        <w:fldChar w:fldCharType="end"/>
      </w:r>
      <w:r w:rsidR="000A754D">
        <w:rPr>
          <w:rFonts w:cstheme="minorHAnsi"/>
          <w:sz w:val="24"/>
          <w:szCs w:val="24"/>
        </w:rPr>
        <w:t xml:space="preserve">. </w:t>
      </w:r>
    </w:p>
    <w:p w14:paraId="57F79739" w14:textId="55E16146" w:rsidR="001F039E" w:rsidRDefault="00403A7B" w:rsidP="007656AE">
      <w:pPr>
        <w:pStyle w:val="Heading2"/>
        <w:numPr>
          <w:ilvl w:val="1"/>
          <w:numId w:val="3"/>
        </w:numPr>
        <w:spacing w:line="480" w:lineRule="auto"/>
        <w:jc w:val="both"/>
        <w:rPr>
          <w:szCs w:val="24"/>
        </w:rPr>
      </w:pPr>
      <w:bookmarkStart w:id="17" w:name="_Toc141646700"/>
      <w:r>
        <w:rPr>
          <w:szCs w:val="24"/>
        </w:rPr>
        <w:t>‘Black Swan’ Impact Events</w:t>
      </w:r>
      <w:bookmarkEnd w:id="17"/>
    </w:p>
    <w:p w14:paraId="40B924A4" w14:textId="0011426E" w:rsidR="00E56B9C" w:rsidRPr="00E56B9C" w:rsidRDefault="00E56B9C" w:rsidP="00E56B9C">
      <w:pPr>
        <w:spacing w:line="480" w:lineRule="auto"/>
        <w:jc w:val="both"/>
        <w:rPr>
          <w:rFonts w:cstheme="minorHAnsi"/>
          <w:sz w:val="24"/>
          <w:szCs w:val="24"/>
        </w:rPr>
      </w:pPr>
      <w:r w:rsidRPr="00E56B9C">
        <w:rPr>
          <w:rFonts w:cstheme="minorHAnsi"/>
          <w:sz w:val="24"/>
          <w:szCs w:val="24"/>
        </w:rPr>
        <w:t xml:space="preserve">Companies usually move through cycles between periods of crises and stability, affecting businesses in various ways, but leading to management knowledge and experience in the processes to combat the unknown. Some examples of these large scale crisis periods include The Great Depression (1929), both World Wars and the financial crisis of 2008 </w:t>
      </w:r>
      <w:r w:rsidRPr="00E56B9C">
        <w:rPr>
          <w:rFonts w:cstheme="minorHAnsi"/>
          <w:sz w:val="24"/>
          <w:szCs w:val="24"/>
        </w:rPr>
        <w:fldChar w:fldCharType="begin"/>
      </w:r>
      <w:r w:rsidR="00DC0564">
        <w:rPr>
          <w:rFonts w:cstheme="minorHAnsi"/>
          <w:sz w:val="24"/>
          <w:szCs w:val="24"/>
        </w:rPr>
        <w:instrText xml:space="preserve"> ADDIN ZOTERO_ITEM CSL_CITATION {"citationID":"snLkqLH0","properties":{"formattedCitation":"(Liebowitz, 2020)","plainCitation":"(Liebowitz, 2020)","noteIndex":0},"citationItems":[{"id":903,"uris":["http://zotero.org/users/local/RRCsWsp6/items/YDYMIWEH","http://zotero.org/users/local/RRCsWsp6/items/K9P9VNLI"],"itemData":{"id":903,"type":"book","event-place":"Milton, UNITED KINGDOM","ISBN":"978-1-00-020391-2","publisher":"Auerbach Publishers, Incorporated","publisher-place":"Milton, UNITED KINGDOM","source":"ProQuest Ebook Central","title":"The Business of Pandemics: The COVID-19 Story","title-short":"The Business of Pandemics","URL":"http://ebookcentral.proquest.com/lib/trinity/detail.action?docID=6369453","author":[{"family":"Liebowitz","given":"Jay"}],"accessed":{"date-parts":[["2023",7,17]]},"issued":{"date-parts":[["2020"]]}}}],"schema":"https://github.com/citation-style-language/schema/raw/master/csl-citation.json"} </w:instrText>
      </w:r>
      <w:r w:rsidRPr="00E56B9C">
        <w:rPr>
          <w:rFonts w:cstheme="minorHAnsi"/>
          <w:sz w:val="24"/>
          <w:szCs w:val="24"/>
        </w:rPr>
        <w:fldChar w:fldCharType="separate"/>
      </w:r>
      <w:r w:rsidR="00DC0564">
        <w:rPr>
          <w:rFonts w:cstheme="minorHAnsi"/>
          <w:noProof/>
          <w:sz w:val="24"/>
          <w:szCs w:val="24"/>
        </w:rPr>
        <w:t>(Liebowitz, 2020)</w:t>
      </w:r>
      <w:r w:rsidRPr="00E56B9C">
        <w:rPr>
          <w:rFonts w:cstheme="minorHAnsi"/>
          <w:sz w:val="24"/>
          <w:szCs w:val="24"/>
        </w:rPr>
        <w:fldChar w:fldCharType="end"/>
      </w:r>
      <w:r w:rsidRPr="00E56B9C">
        <w:rPr>
          <w:rFonts w:cstheme="minorHAnsi"/>
          <w:sz w:val="24"/>
          <w:szCs w:val="24"/>
        </w:rPr>
        <w:t>. Fanta et al (2019), showed however that humanity demonstrates a trend towards collective forgetfulness after a crisis and while each crisis is different, that memories of a crisis generally do not last longer than a single generation. Where a company is involved</w:t>
      </w:r>
      <w:r w:rsidR="00CF0732">
        <w:rPr>
          <w:rFonts w:cstheme="minorHAnsi"/>
          <w:sz w:val="24"/>
          <w:szCs w:val="24"/>
        </w:rPr>
        <w:t>,</w:t>
      </w:r>
      <w:r w:rsidRPr="00E56B9C">
        <w:rPr>
          <w:rFonts w:cstheme="minorHAnsi"/>
          <w:sz w:val="24"/>
          <w:szCs w:val="24"/>
        </w:rPr>
        <w:t xml:space="preserve"> </w:t>
      </w:r>
      <w:r w:rsidRPr="00E56B9C">
        <w:rPr>
          <w:rFonts w:cstheme="minorHAnsi"/>
          <w:sz w:val="24"/>
          <w:szCs w:val="24"/>
        </w:rPr>
        <w:lastRenderedPageBreak/>
        <w:t xml:space="preserve">the high turnover of leadership likely makes this period of institutional memory even less </w:t>
      </w:r>
      <w:r w:rsidRPr="00E56B9C">
        <w:rPr>
          <w:rFonts w:cstheme="minorHAnsi"/>
          <w:sz w:val="24"/>
          <w:szCs w:val="24"/>
        </w:rPr>
        <w:fldChar w:fldCharType="begin"/>
      </w:r>
      <w:r w:rsidR="00212CFD">
        <w:rPr>
          <w:rFonts w:cstheme="minorHAnsi"/>
          <w:sz w:val="24"/>
          <w:szCs w:val="24"/>
        </w:rPr>
        <w:instrText xml:space="preserve"> ADDIN ZOTERO_ITEM CSL_CITATION {"citationID":"zCAoW5m5","properties":{"unsorted":true,"formattedCitation":"(Fanta et al., 2019; \\uc0\\u8220{}Memories of disaster fade fast,\\uc0\\u8221{} 2019)","plainCitation":"(Fanta et al., 2019; “Memories of disaster fade fast,” 2019)","noteIndex":0},"citationItems":[{"id":917,"uris":["http://zotero.org/users/local/RRCsWsp6/items/3ZM7JU4I"],"itemData":{"id":917,"type":"article-journal","abstract":"Is there some kind of historical memory and folk wisdom that ensures that a community remembers about very extreme phenomena, such as catastrophic floods, and learns to establish new settlements in safer locations? We tested a unique set of empirical data on 1293 settlements founded in the course of nine centuries, during which time seven extreme floods occurred. For a period of one generation after each flood, new settlements appeared in safer places. However, respect for floods waned in the second generation and new settlements were established closer to the river. We conclude that flood memory depends on living witnesses, and fades away already within two generations. Historical memory is not sufficient to protect human settlements from the consequences of rare catastrophic floods.","container-title":"Nature Communications","DOI":"10.1038/s41467-019-09102-3","ISSN":"2041-1723","issue":"1","journalAbbreviation":"Nature Communications","page":"1105","title":"How long do floods throughout the millennium remain in the collective memory?","volume":"10","author":[{"family":"Fanta","given":"Václav"},{"family":"Šálek","given":"Miroslav"},{"family":"Sklenicka","given":"Petr"}],"issued":{"date-parts":[["2019",3,7]]}},"label":"page"},{"id":915,"uris":["http://zotero.org/users/local/RRCsWsp6/items/X6F9JZD7"],"itemData":{"id":915,"type":"article-magazine","container-title":"The Economist","ISSN":"0013-0613","source":"The Economist","title":"Memories of disaster fade fast","URL":"https://www.economist.com/science-and-technology/2019/04/17/memories-of-disaster-fade-fast","author":[{"family":"'Memories of disaster fade fast'","given":""}],"accessed":{"date-parts":[["2023",7,17]]},"issued":{"date-parts":[["2019",4,17]]}},"label":"page"}],"schema":"https://github.com/citation-style-language/schema/raw/master/csl-citation.json"} </w:instrText>
      </w:r>
      <w:r w:rsidRPr="00E56B9C">
        <w:rPr>
          <w:rFonts w:cstheme="minorHAnsi"/>
          <w:sz w:val="24"/>
          <w:szCs w:val="24"/>
        </w:rPr>
        <w:fldChar w:fldCharType="separate"/>
      </w:r>
      <w:r w:rsidR="00212CFD" w:rsidRPr="00212CFD">
        <w:rPr>
          <w:rFonts w:ascii="Calibri" w:cs="Calibri"/>
          <w:sz w:val="24"/>
        </w:rPr>
        <w:t>(Fanta et al., 2019; “Memories of disaster fade fast,” 2019)</w:t>
      </w:r>
      <w:r w:rsidRPr="00E56B9C">
        <w:rPr>
          <w:rFonts w:cstheme="minorHAnsi"/>
          <w:sz w:val="24"/>
          <w:szCs w:val="24"/>
        </w:rPr>
        <w:fldChar w:fldCharType="end"/>
      </w:r>
      <w:r w:rsidRPr="00E56B9C">
        <w:rPr>
          <w:rFonts w:cstheme="minorHAnsi"/>
          <w:sz w:val="24"/>
          <w:szCs w:val="24"/>
        </w:rPr>
        <w:t xml:space="preserve">. Within the context of COVID-19, while there have been health related crisis’ (SARS 2003, AIDS epidemic 1980, etc) </w:t>
      </w:r>
      <w:r w:rsidR="00CF0732">
        <w:rPr>
          <w:rFonts w:cstheme="minorHAnsi"/>
          <w:sz w:val="24"/>
          <w:szCs w:val="24"/>
        </w:rPr>
        <w:t>the</w:t>
      </w:r>
      <w:r w:rsidRPr="00E56B9C">
        <w:rPr>
          <w:rFonts w:cstheme="minorHAnsi"/>
          <w:sz w:val="24"/>
          <w:szCs w:val="24"/>
        </w:rPr>
        <w:t xml:space="preserve"> majority of these have been either constrained in geographic location or impacting a sub-set of the wider population; The last ‘flu’ based pandemic to affect the wider population was in 1918, well beyond any generational memory </w:t>
      </w:r>
      <w:r w:rsidRPr="00E56B9C">
        <w:rPr>
          <w:rFonts w:cstheme="minorHAnsi"/>
          <w:sz w:val="24"/>
          <w:szCs w:val="24"/>
        </w:rPr>
        <w:fldChar w:fldCharType="begin"/>
      </w:r>
      <w:r w:rsidR="00DC0564">
        <w:rPr>
          <w:rFonts w:cstheme="minorHAnsi"/>
          <w:sz w:val="24"/>
          <w:szCs w:val="24"/>
        </w:rPr>
        <w:instrText xml:space="preserve"> ADDIN ZOTERO_ITEM CSL_CITATION {"citationID":"wkNdSeif","properties":{"formattedCitation":"(Liebowitz, 2020)","plainCitation":"(Liebowitz, 2020)","noteIndex":0},"citationItems":[{"id":903,"uris":["http://zotero.org/users/local/RRCsWsp6/items/YDYMIWEH","http://zotero.org/users/local/RRCsWsp6/items/K9P9VNLI"],"itemData":{"id":903,"type":"book","event-place":"Milton, UNITED KINGDOM","ISBN":"978-1-00-020391-2","publisher":"Auerbach Publishers, Incorporated","publisher-place":"Milton, UNITED KINGDOM","source":"ProQuest Ebook Central","title":"The Business of Pandemics: The COVID-19 Story","title-short":"The Business of Pandemics","URL":"http://ebookcentral.proquest.com/lib/trinity/detail.action?docID=6369453","author":[{"family":"Liebowitz","given":"Jay"}],"accessed":{"date-parts":[["2023",7,17]]},"issued":{"date-parts":[["2020"]]}}}],"schema":"https://github.com/citation-style-language/schema/raw/master/csl-citation.json"} </w:instrText>
      </w:r>
      <w:r w:rsidRPr="00E56B9C">
        <w:rPr>
          <w:rFonts w:cstheme="minorHAnsi"/>
          <w:sz w:val="24"/>
          <w:szCs w:val="24"/>
        </w:rPr>
        <w:fldChar w:fldCharType="separate"/>
      </w:r>
      <w:r w:rsidR="00DC0564">
        <w:rPr>
          <w:rFonts w:cstheme="minorHAnsi"/>
          <w:noProof/>
          <w:sz w:val="24"/>
          <w:szCs w:val="24"/>
        </w:rPr>
        <w:t>(Liebowitz, 2020)</w:t>
      </w:r>
      <w:r w:rsidRPr="00E56B9C">
        <w:rPr>
          <w:rFonts w:cstheme="minorHAnsi"/>
          <w:sz w:val="24"/>
          <w:szCs w:val="24"/>
        </w:rPr>
        <w:fldChar w:fldCharType="end"/>
      </w:r>
      <w:r w:rsidRPr="00E56B9C">
        <w:rPr>
          <w:rFonts w:cstheme="minorHAnsi"/>
          <w:sz w:val="24"/>
          <w:szCs w:val="24"/>
        </w:rPr>
        <w:t xml:space="preserve">. </w:t>
      </w:r>
    </w:p>
    <w:p w14:paraId="4A373C54" w14:textId="065E31E1" w:rsidR="00E56B9C" w:rsidRPr="00180505" w:rsidRDefault="00E56B9C" w:rsidP="00180505">
      <w:pPr>
        <w:spacing w:line="480" w:lineRule="auto"/>
        <w:jc w:val="both"/>
        <w:rPr>
          <w:rFonts w:cstheme="minorHAnsi"/>
          <w:sz w:val="24"/>
          <w:szCs w:val="24"/>
        </w:rPr>
      </w:pPr>
      <w:r w:rsidRPr="00E56B9C">
        <w:rPr>
          <w:rFonts w:cstheme="minorHAnsi"/>
          <w:sz w:val="24"/>
          <w:szCs w:val="24"/>
        </w:rPr>
        <w:t xml:space="preserve">Many comparisons have been made of COVID-19 to the 1918 Spanish Flu pandemic and at a headline level if these events can be defined as ‘Black Swan’ events. One of the primary differences between these two pandemics can be defined as knowledge; in 1918 the Spanish Flu could not be foreseen in any way as virus’s had not been discovered at this point, while in contrast the potential danger of Coronaviruses were known about and being </w:t>
      </w:r>
      <w:r w:rsidRPr="00180505">
        <w:rPr>
          <w:rFonts w:cstheme="minorHAnsi"/>
          <w:sz w:val="24"/>
          <w:szCs w:val="24"/>
        </w:rPr>
        <w:t xml:space="preserve">studied </w:t>
      </w:r>
      <w:r w:rsidRPr="00180505">
        <w:rPr>
          <w:rFonts w:cstheme="minorHAnsi"/>
          <w:sz w:val="24"/>
          <w:szCs w:val="24"/>
        </w:rPr>
        <w:fldChar w:fldCharType="begin"/>
      </w:r>
      <w:r w:rsidR="007931FB">
        <w:rPr>
          <w:rFonts w:cstheme="minorHAnsi"/>
          <w:sz w:val="24"/>
          <w:szCs w:val="24"/>
        </w:rPr>
        <w:instrText xml:space="preserve"> ADDIN ZOTERO_ITEM CSL_CITATION {"citationID":"SgN0SNzT","properties":{"formattedCitation":"(Simonetti et al., 2021)","plainCitation":"(Simonetti et al., 2021)","noteIndex":0},"citationItems":[{"id":918,"uris":["http://zotero.org/users/local/RRCsWsp6/items/D3B39TAB"],"itemData":{"id":918,"type":"article-journal","abstract":"The intrusion of infectious diseases in everyday life forces humans to reassess their attitudes. Indeed, pandemics are able catalyze rapid transitions in scientific knowledge, politics, social behaviors, culture and arts. The current Coronavirus diesease-19 (COVID-19) outbreak has driven an unprecedented interest toward the influenza pandemic of 1918. The issue is whether history can shed light on the best preventive response and future scenarios. The aim of this review is to highlight the parallelism between the two pandemics. Starting from epidemiology and clinical features, but further focusing on social and cultural issues, it is possible to unreveal great similarities. Their outbreak pattern lead to hypothesize a similar duration and death burden in absence of effective vaccines or innovative treatments for COVID-19. Thus, then as now, preventive medicine represents the first and most effective tool to contain the course of the pandemic; being treatments available only supportive. At the same time,both pandemics shared the same pattern of narration (e.g. scapegoating) and the same impact on minorities in high-income countries. Furthermore, visual art responded to pandemic issues in 2020 in the form of Graffiti art, while similar role was ruled by Expressionism movement during the Spanish flu. Photography also was capable to document both catastrophic scenarios. Thus, it is possible to find a lot of clinical and social similarities between the two pandemics. Nevertheless, if the Spanish flu was not unforseen, COVID-19 spillover was partially predictable and its global impact will hopefully not be overshadowed by a major crisis such as World War I.","container-title":"Journal of Preventive Medicine and Hygiene","DOI":"10.15167/2421-4248/jpmh2021.62.3.2124","ISSN":"1121-2233","issue":"3","journalAbbreviation":"J Prev Med Hyg","note":"PMID: 34909487\nPMCID: PMC8639108","page":"E613-E620","source":"PubMed Central","title":"COVID-19 and Spanish flu-18: review of medical and social parallelisms between two global pandemics","title-short":"COVID-19 and Spanish flu-18","volume":"62","author":[{"family":"Simonetti","given":"Omar"},{"family":"Martini","given":"Mariano"},{"family":"Armocida","given":"Emanuelle"}],"issued":{"date-parts":[["2021",9,15]]}}}],"schema":"https://github.com/citation-style-language/schema/raw/master/csl-citation.json"} </w:instrText>
      </w:r>
      <w:r w:rsidRPr="00180505">
        <w:rPr>
          <w:rFonts w:cstheme="minorHAnsi"/>
          <w:sz w:val="24"/>
          <w:szCs w:val="24"/>
        </w:rPr>
        <w:fldChar w:fldCharType="separate"/>
      </w:r>
      <w:r w:rsidR="007931FB">
        <w:rPr>
          <w:rFonts w:cstheme="minorHAnsi"/>
          <w:noProof/>
          <w:sz w:val="24"/>
          <w:szCs w:val="24"/>
        </w:rPr>
        <w:t>(Simonetti et al., 2021)</w:t>
      </w:r>
      <w:r w:rsidRPr="00180505">
        <w:rPr>
          <w:rFonts w:cstheme="minorHAnsi"/>
          <w:sz w:val="24"/>
          <w:szCs w:val="24"/>
        </w:rPr>
        <w:fldChar w:fldCharType="end"/>
      </w:r>
      <w:r w:rsidRPr="00180505">
        <w:rPr>
          <w:rFonts w:cstheme="minorHAnsi"/>
          <w:sz w:val="24"/>
          <w:szCs w:val="24"/>
        </w:rPr>
        <w:t>.</w:t>
      </w:r>
    </w:p>
    <w:p w14:paraId="50E4B0FA" w14:textId="560F0028" w:rsidR="007A0E88" w:rsidRPr="00180505" w:rsidRDefault="00E56B9C" w:rsidP="00180505">
      <w:pPr>
        <w:spacing w:line="480" w:lineRule="auto"/>
        <w:jc w:val="both"/>
        <w:rPr>
          <w:rFonts w:cstheme="minorHAnsi"/>
          <w:sz w:val="24"/>
          <w:szCs w:val="24"/>
        </w:rPr>
      </w:pPr>
      <w:r w:rsidRPr="00180505">
        <w:rPr>
          <w:rFonts w:cstheme="minorHAnsi"/>
          <w:sz w:val="24"/>
          <w:szCs w:val="24"/>
        </w:rPr>
        <w:fldChar w:fldCharType="begin"/>
      </w:r>
      <w:r w:rsidR="0081279F">
        <w:rPr>
          <w:rFonts w:cstheme="minorHAnsi"/>
          <w:sz w:val="24"/>
          <w:szCs w:val="24"/>
        </w:rPr>
        <w:instrText xml:space="preserve"> ADDIN ZOTERO_ITEM CSL_CITATION {"citationID":"nb6NbzxG","properties":{"formattedCitation":"(Taleb, 2007)","plainCitation":"(Taleb, 2007)","dontUpdate":true,"noteIndex":0},"citationItems":[{"id":1002,"uris":["http://zotero.org/users/local/RRCsWsp6/items/G2GURUDH"],"itemData":{"id":1002,"type":"book","abstract":"In the author's point of view, a black swan is an improbable event with three principal characteristics - It is unpredictable; it carries a massive impact; and, after the fact, we concoct an explanation that makes it appear less random, and more predictable, than it was. Why do we not acknowledge the phenomenon of black swans until after they occur? Part of the answer, according to Taleb, is that humans are hardwired to learn specifics when they should be focused on generalities. We concentrate on things we already know and time and time again fail to take into consideration what we don't know. We are, therefore, unable to truly estimate opportunities, too vulnerable to the impulse to simplify, narrate, and categorize, and not open enough to rewarding those who can imagine the 'impossible'.","ISBN":"978-0-8129-7918-3","language":"en","note":"Google-Books-ID: noDX8lLQkO8C","number-of-pages":"388","publisher":"Random House","source":"Google Books","title":"The Black Swan","author":[{"family":"Taleb","given":"Nassim Nicholas"}],"issued":{"date-parts":[["2007",4,17]]}}}],"schema":"https://github.com/citation-style-language/schema/raw/master/csl-citation.json"} </w:instrText>
      </w:r>
      <w:r w:rsidRPr="00180505">
        <w:rPr>
          <w:rFonts w:cstheme="minorHAnsi"/>
          <w:sz w:val="24"/>
          <w:szCs w:val="24"/>
        </w:rPr>
        <w:fldChar w:fldCharType="separate"/>
      </w:r>
      <w:r w:rsidRPr="00180505">
        <w:rPr>
          <w:rFonts w:cstheme="minorHAnsi"/>
          <w:noProof/>
          <w:sz w:val="24"/>
          <w:szCs w:val="24"/>
        </w:rPr>
        <w:t xml:space="preserve">Taleb, </w:t>
      </w:r>
      <w:r w:rsidR="00140838" w:rsidRPr="00180505">
        <w:rPr>
          <w:rFonts w:cstheme="minorHAnsi"/>
          <w:noProof/>
          <w:sz w:val="24"/>
          <w:szCs w:val="24"/>
        </w:rPr>
        <w:t>(</w:t>
      </w:r>
      <w:r w:rsidRPr="00180505">
        <w:rPr>
          <w:rFonts w:cstheme="minorHAnsi"/>
          <w:noProof/>
          <w:sz w:val="24"/>
          <w:szCs w:val="24"/>
        </w:rPr>
        <w:t>2007)</w:t>
      </w:r>
      <w:r w:rsidRPr="00180505">
        <w:rPr>
          <w:rFonts w:cstheme="minorHAnsi"/>
          <w:sz w:val="24"/>
          <w:szCs w:val="24"/>
        </w:rPr>
        <w:fldChar w:fldCharType="end"/>
      </w:r>
      <w:r w:rsidR="00140838" w:rsidRPr="00180505">
        <w:rPr>
          <w:rFonts w:cstheme="minorHAnsi"/>
          <w:sz w:val="24"/>
          <w:szCs w:val="24"/>
        </w:rPr>
        <w:t xml:space="preserve"> proposed</w:t>
      </w:r>
      <w:r w:rsidR="00F7077A" w:rsidRPr="00180505">
        <w:rPr>
          <w:rFonts w:cstheme="minorHAnsi"/>
          <w:sz w:val="24"/>
          <w:szCs w:val="24"/>
        </w:rPr>
        <w:t xml:space="preserve"> the idea of a ‘Black Swan’ event, </w:t>
      </w:r>
      <w:r w:rsidR="005420F4" w:rsidRPr="00180505">
        <w:rPr>
          <w:rFonts w:cstheme="minorHAnsi"/>
          <w:sz w:val="24"/>
          <w:szCs w:val="24"/>
        </w:rPr>
        <w:t>one which is extremely rare</w:t>
      </w:r>
      <w:r w:rsidR="00E90D9C" w:rsidRPr="00180505">
        <w:rPr>
          <w:rFonts w:cstheme="minorHAnsi"/>
          <w:sz w:val="24"/>
          <w:szCs w:val="24"/>
        </w:rPr>
        <w:t xml:space="preserve"> (the possibility it might occur is unknown),</w:t>
      </w:r>
      <w:r w:rsidR="005420F4" w:rsidRPr="00180505">
        <w:rPr>
          <w:rFonts w:cstheme="minorHAnsi"/>
          <w:sz w:val="24"/>
          <w:szCs w:val="24"/>
        </w:rPr>
        <w:t xml:space="preserve"> with severe</w:t>
      </w:r>
      <w:r w:rsidR="00E90D9C" w:rsidRPr="00180505">
        <w:rPr>
          <w:rFonts w:cstheme="minorHAnsi"/>
          <w:sz w:val="24"/>
          <w:szCs w:val="24"/>
        </w:rPr>
        <w:t>, catastrophic</w:t>
      </w:r>
      <w:r w:rsidR="005420F4" w:rsidRPr="00180505">
        <w:rPr>
          <w:rFonts w:cstheme="minorHAnsi"/>
          <w:sz w:val="24"/>
          <w:szCs w:val="24"/>
        </w:rPr>
        <w:t xml:space="preserve"> consequences</w:t>
      </w:r>
      <w:r w:rsidR="00E134FE" w:rsidRPr="00180505">
        <w:rPr>
          <w:rFonts w:cstheme="minorHAnsi"/>
          <w:sz w:val="24"/>
          <w:szCs w:val="24"/>
        </w:rPr>
        <w:t>; that cannot be predicted beforehand</w:t>
      </w:r>
      <w:r w:rsidR="00BD4763" w:rsidRPr="00180505">
        <w:rPr>
          <w:rFonts w:cstheme="minorHAnsi"/>
          <w:sz w:val="24"/>
          <w:szCs w:val="24"/>
        </w:rPr>
        <w:t xml:space="preserve">, but after the event would be claimed it should have been predictable. </w:t>
      </w:r>
      <w:r w:rsidR="00E701AF" w:rsidRPr="00180505">
        <w:rPr>
          <w:rFonts w:cstheme="minorHAnsi"/>
          <w:sz w:val="24"/>
          <w:szCs w:val="24"/>
        </w:rPr>
        <w:t xml:space="preserve">There has been </w:t>
      </w:r>
      <w:r w:rsidR="00CF0732">
        <w:rPr>
          <w:rFonts w:cstheme="minorHAnsi"/>
          <w:sz w:val="24"/>
          <w:szCs w:val="24"/>
        </w:rPr>
        <w:t>much</w:t>
      </w:r>
      <w:r w:rsidR="00E701AF" w:rsidRPr="00180505">
        <w:rPr>
          <w:rFonts w:cstheme="minorHAnsi"/>
          <w:sz w:val="24"/>
          <w:szCs w:val="24"/>
        </w:rPr>
        <w:t xml:space="preserve"> written on</w:t>
      </w:r>
      <w:r w:rsidR="00C05564" w:rsidRPr="00180505">
        <w:rPr>
          <w:rFonts w:cstheme="minorHAnsi"/>
          <w:sz w:val="24"/>
          <w:szCs w:val="24"/>
        </w:rPr>
        <w:t xml:space="preserve"> defining</w:t>
      </w:r>
      <w:r w:rsidR="00E701AF" w:rsidRPr="00180505">
        <w:rPr>
          <w:rFonts w:cstheme="minorHAnsi"/>
          <w:sz w:val="24"/>
          <w:szCs w:val="24"/>
        </w:rPr>
        <w:t xml:space="preserve"> the COVID-19 pandemic as a ‘black swan’ event, however </w:t>
      </w:r>
      <w:r w:rsidR="007F68DF" w:rsidRPr="00180505">
        <w:rPr>
          <w:rFonts w:cstheme="minorHAnsi"/>
          <w:sz w:val="24"/>
          <w:szCs w:val="24"/>
        </w:rPr>
        <w:t xml:space="preserve">general opinion is that as a pandemic/epidemic is does not qualify </w:t>
      </w:r>
      <w:r w:rsidR="00331740" w:rsidRPr="00180505">
        <w:rPr>
          <w:rFonts w:cstheme="minorHAnsi"/>
          <w:sz w:val="24"/>
          <w:szCs w:val="24"/>
        </w:rPr>
        <w:t>as a ‘black swan’</w:t>
      </w:r>
      <w:r w:rsidR="00955600" w:rsidRPr="00180505">
        <w:rPr>
          <w:rFonts w:cstheme="minorHAnsi"/>
          <w:sz w:val="24"/>
          <w:szCs w:val="24"/>
        </w:rPr>
        <w:t xml:space="preserve"> </w:t>
      </w:r>
      <w:r w:rsidR="00BA77AD">
        <w:rPr>
          <w:rFonts w:cstheme="minorHAnsi"/>
          <w:sz w:val="24"/>
          <w:szCs w:val="24"/>
        </w:rPr>
        <w:t xml:space="preserve">event </w:t>
      </w:r>
      <w:r w:rsidR="00955600" w:rsidRPr="00180505">
        <w:rPr>
          <w:rFonts w:cstheme="minorHAnsi"/>
          <w:sz w:val="24"/>
          <w:szCs w:val="24"/>
        </w:rPr>
        <w:t xml:space="preserve">due to </w:t>
      </w:r>
      <w:r w:rsidR="000B4E40" w:rsidRPr="00180505">
        <w:rPr>
          <w:rFonts w:cstheme="minorHAnsi"/>
          <w:sz w:val="24"/>
          <w:szCs w:val="24"/>
        </w:rPr>
        <w:t xml:space="preserve">prior warnings relating to </w:t>
      </w:r>
      <w:r w:rsidR="00D91CA8" w:rsidRPr="00180505">
        <w:rPr>
          <w:rFonts w:cstheme="minorHAnsi"/>
          <w:sz w:val="24"/>
          <w:szCs w:val="24"/>
        </w:rPr>
        <w:t>Coronaviruses</w:t>
      </w:r>
      <w:r w:rsidR="00331740" w:rsidRPr="00180505">
        <w:rPr>
          <w:rFonts w:cstheme="minorHAnsi"/>
          <w:sz w:val="24"/>
          <w:szCs w:val="24"/>
        </w:rPr>
        <w:t xml:space="preserve"> but as a</w:t>
      </w:r>
      <w:r w:rsidR="00D91CA8" w:rsidRPr="00180505">
        <w:rPr>
          <w:rFonts w:cstheme="minorHAnsi"/>
          <w:sz w:val="24"/>
          <w:szCs w:val="24"/>
        </w:rPr>
        <w:t xml:space="preserve"> large scale shock </w:t>
      </w:r>
      <w:r w:rsidR="00D91CA8" w:rsidRPr="00180505">
        <w:rPr>
          <w:rFonts w:cstheme="minorHAnsi"/>
          <w:sz w:val="24"/>
          <w:szCs w:val="24"/>
        </w:rPr>
        <w:fldChar w:fldCharType="begin"/>
      </w:r>
      <w:r w:rsidR="00C2773D">
        <w:rPr>
          <w:rFonts w:cstheme="minorHAnsi"/>
          <w:sz w:val="24"/>
          <w:szCs w:val="24"/>
        </w:rPr>
        <w:instrText xml:space="preserve"> ADDIN ZOTERO_ITEM CSL_CITATION {"citationID":"UronZFa1","properties":{"unsorted":true,"formattedCitation":"(Taleb, 2007; Lin et al., 2011; Avishai, 2020; Mishra, 2020; Antipova, 2021; Drake, 2021; Institute for Government, 2021; Yarovaya et al., 2022)","plainCitation":"(Taleb, 2007; Lin et al., 2011; Avishai, 2020; Mishra, 2020; Antipova, 2021; Drake, 2021; Institute for Government, 2021; Yarovaya et al., 2022)","noteIndex":0},"citationItems":[{"id":1002,"uris":["http://zotero.org/users/local/RRCsWsp6/items/G2GURUDH"],"itemData":{"id":1002,"type":"book","abstract":"In the author's point of view, a black swan is an improbable event with three principal characteristics - It is unpredictable; it carries a massive impact; and, after the fact, we concoct an explanation that makes it appear less random, and more predictable, than it was. Why do we not acknowledge the phenomenon of black swans until after they occur? Part of the answer, according to Taleb, is that humans are hardwired to learn specifics when they should be focused on generalities. We concentrate on things we already know and time and time again fail to take into consideration what we don't know. We are, therefore, unable to truly estimate opportunities, too vulnerable to the impulse to simplify, narrate, and categorize, and not open enough to rewarding those who can imagine the 'impossible'.","ISBN":"978-0-8129-7918-3","language":"en","note":"Google-Books-ID: noDX8lLQkO8C","number-of-pages":"388","publisher":"Random House","source":"Google Books","title":"The Black Swan","author":[{"family":"Taleb","given":"Nassim Nicholas"}],"issued":{"date-parts":[["2007",4,17]]}},"label":"page"},{"id":822,"uris":["http://zotero.org/users/local/RRCsWsp6/items/KKA5MSVH"],"itemData":{"id":822,"type":"article-journal","abstract":"Recent research has used financial ratios to establish the diagnosis models for business crises. This research explores a broader coverage of financial features, namely the recommended financial ratios from TEJ (Taiwan Economic Journal) database in addition to those financial ratios studied in prior literature. The aim of this research is to discover potentially useful but previously unaware financial features for better prediction accuracy. In this study, we had applied data mining techniques to identify five useful financial ratios, which two of them, tax rates and continuous four quarterly EPS are previously unaware to the research community. Our empirical experiment indicates that our proposed feature set outperforms those models proposed by prior scholars in terms of the prediction accuracy.","container-title":"Expert Systems with Applications","DOI":"10.1016/j.eswa.2011.05.035","ISSN":"0957-4174","issue":"12","journalAbbreviation":"Expert Systems with Applications","language":"en","page":"15094-15102","source":"ScienceDirect","title":"Financial ratio selection for business crisis prediction","volume":"38","author":[{"family":"Lin","given":"Fengyi"},{"family":"Liang","given":"Deron"},{"family":"Chen","given":"Enchia"}],"issued":{"date-parts":[["2011",11,1]]}},"label":"page"},{"id":1005,"uris":["http://zotero.org/users/local/RRCsWsp6/items/M5XRPP9I"],"itemData":{"id":1005,"type":"article-magazine","abstract":"Nassim Nicholas Taleb coined the term “black swan.” He is frustrated whenever it is used to describe the coronavirus crisis.","container-title":"The New Yorker","ISSN":"0028-792X","language":"en-US","note":"section: daily comment","source":"www.newyorker.com","title":"The Pandemic Isn’t a Black Swan but a Portent of a More Fragile Global System","URL":"https://www.newyorker.com/news/daily-comment/the-pandemic-isnt-a-black-swan-but-a-portent-of-a-more-fragile-global-system","author":[{"family":"Avishai","given":"Bernard"}],"accessed":{"date-parts":[["2023",7,23]]},"issued":{"date-parts":[["2020",4,21]]}},"label":"page"},{"id":1009,"uris":["http://zotero.org/users/local/RRCsWsp6/items/TBCGKWQV"],"itemData":{"id":1009,"type":"article-journal","abstract":"This paper is a slightly modified version of the lecture recently delivered by the author.  It addresses a question, based on India’s experience, if the current practice of disaster management needs to be revisited in the context of the COVID-19 pandemic that has had an unprecedented impact. The pandemic is being widely described as a Black Swan event, an event that has outsized impact, that is harder to predict and even harder to compute it probabilities.  A contrary view is that, in many ways, it is an entirely expected event, given that all the drivers of risk were there in plain sight. In whichever manner we characterise this event, disaster risk management systems as well as public health systems in India and across the world have been challenged and stretched to the limit.While it is too early to draw final conclusions, some early lessons could be drawn. A preliminary analysis suggests five key lessons: 1) Need for more dynamic risk assessment tools, 2) No substitute for community action, 3) Risk is global, resilience is local, 4) From managing risk we need to focus on managing uncertainty, and 5) From managing risk we need to focus on building resilience. There is a need to build our robustness and resilience to risks that may not be known or may not be fully understood yet. Some authors have introduced the concept of “Antifragile: things that gain from disorder.”  This paper highlights five pillars of our efforts in this direction: 1) A further strengthened Disaster Risk Management system, particularly at the local level, 2) Resilient Infrastructure, 3) Resilient Financial System with equitable access, 4) Social protection, and 5) Sustainable Natural Resource Management.","container-title":"Progress in Disaster Science","DOI":"10.1016/j.pdisas.2020.100137","ISSN":"2590-0617","journalAbbreviation":"Progress in Disaster Science","language":"en","page":"100137","source":"ScienceDirect","title":"COVID-19, Black Swan events and the future of disaster risk management in India","volume":"8","author":[{"family":"Mishra","given":"Pramod Kumar"}],"issued":{"date-parts":[["2020",12,1]]}},"label":"page"},{"id":1011,"uris":["http://zotero.org/users/local/RRCsWsp6/items/9H4REIFH"],"itemData":{"id":1011,"type":"paper-conference","abstract":"Nowadays coronavirus is the hottest break news around the world. This paper aims to study why coronavirus became so meaningful for worldwide life. On one side many countries closed their boarders to prevent coronavirus spreading. On another side some people said that coronavirus is no scared than simple influence. Where is true? The health effects and mortality of coronavirus and influenza were compared. Situation Reports of World Health Organization have been analyzed and signs of Black Swan event considered. Total confirmed cases, total, deaths, and Rate of coronavirus distribution was calculated based on Situation Reports of the World Health Organization. To conclude this paper Coronavirus Pandemic recognized as Black Swan event according to considered figures and facts from recent references.","collection-title":"Lecture Notes in Networks and Systems","container-title":"Integrated Science in Digital Age 2020","DOI":"10.1007/978-3-030-49264-9_32","event-place":"Cham","ISBN":"978-3-030-49264-9","language":"en","page":"356-366","publisher":"Springer International Publishing","publisher-place":"Cham","source":"Springer Link","title":"Coronavirus Pandemic as Black Swan Event","author":[{"family":"Antipova","given":"Tatiana"}],"editor":[{"family":"Antipova","given":"Tatiana"}],"issued":{"date-parts":[["2021"]]}},"label":"page"},{"id":1006,"uris":["http://zotero.org/users/local/RRCsWsp6/items/5W66F8RQ"],"itemData":{"id":1006,"type":"article-newspaper","abstract":"It seems many people think that the global Covid-19 pandemic is a Black Swan event. It’s not.","container-title":"Forbes","language":"en","note":"section: Science","title":"Was Covid-19 A Black Swan Event?","URL":"https://www.forbes.com/sites/johndrake/2021/11/11/was-covid-19-a-black-swan-event/","author":[{"family":"Drake","given":"John"}],"accessed":{"date-parts":[["2023",7,23]]},"issued":{"date-parts":[["2021",11,11]]}},"label":"page"},{"id":589,"uris":["http://zotero.org/users/local/RRCsWsp6/items/T8VHMSVH"],"itemData":{"id":589,"type":"webpage","abstract":"Download as a PDF.","container-title":"The Institute for Government","language":"en","title":"Timeline of UK government coronavirus lockdowns and restrictions","URL":"https://www.instituteforgovernment.org.uk/charts/uk-government-coronavirus-lockdowns","author":[{"family":"Institute for Government","given":""}],"accessed":{"date-parts":[["2023",5,28]]},"issued":{"date-parts":[["2021",4,9]]}},"label":"page"},{"id":1004,"uris":["http://zotero.org/users/local/RRCsWsp6/items/YUG6DEMR"],"itemData":{"id":1004,"type":"article-journal","abstract":"[Display omitted]\n•Four broad classes of financial assets analysed: equity indexes, precious metals, 10-year benchmark bonds and cryptocurrencies.•Strong potential for mean reversion in equity markets even at high levels of shocks.•Gold offers limited mean reversion, while platinum shows very strong resistance to the COVID-19;•Government bonds show small declines in value to the COVID in addition to high persistence.•Cryptocurrencies, as a group, turn out to be the riskiest in the long-term, with more than a 50% decline in value coupled with high degrees of persistence.\nThis paper examines and compares financial market reaction and recovery of four broad classes of financial assets – equity indexes, precious metals, 10-year benchmark bonds and cryptocurrencies, to the COVID-19 pandemic. The data set comprises daily observations of close prices in the selected markets from 17-04-2018 to 20-06-2021. Using the Yang and Zhao (2020) and Koenker and Xiao (2004) quantile unit-root tests for return persistence, we find heterogeneity in reactions and recovery patterns not only across asset classes, but also within them. Specifically, we find strong potential for mean reversion in equity markets even at high levels of shocks. While gold offers limited mean reversion, platinum shows very strong resistance to the COVID. Government bonds show small declines in value to the COVID in addition to high persistence. Cryptocurrencies, as a group, turn out to be the riskiest in the long-term, with more than a 50% decline in value coupled with high degrees of persistence. Our results raise questions as to the safe haven characteristics of the newly-popular Bitcoin. Our findings are useful for policy makers and investors through a better understanding of differences in the potential for mean reversion provided by different asset classes.","container-title":"Research in international business and finance","DOI":"10.1016/j.ribaf.2021.101521","ISSN":"0275-5319","note":"publisher: Elsevier B.V","page":"101521","title":"The COVID-19 black swan crisis: Reaction and recovery of various financial markets","volume":"59","author":[{"family":"Yarovaya","given":"Larisa"},{"family":"Matkovskyy","given":"Roman"},{"family":"Jalan","given":"Akanksha"}],"issued":{"date-parts":[["2022"]]}},"label":"page"}],"schema":"https://github.com/citation-style-language/schema/raw/master/csl-citation.json"} </w:instrText>
      </w:r>
      <w:r w:rsidR="00D91CA8" w:rsidRPr="00180505">
        <w:rPr>
          <w:rFonts w:cstheme="minorHAnsi"/>
          <w:sz w:val="24"/>
          <w:szCs w:val="24"/>
        </w:rPr>
        <w:fldChar w:fldCharType="separate"/>
      </w:r>
      <w:r w:rsidR="00C2773D">
        <w:rPr>
          <w:rFonts w:cstheme="minorHAnsi"/>
          <w:noProof/>
          <w:sz w:val="24"/>
          <w:szCs w:val="24"/>
        </w:rPr>
        <w:t>(Taleb, 2007; Lin et al., 2011; Avishai, 2020; Mishra, 2020; Antipova, 2021; Drake, 2021; Institute for Government, 2021; Yarovaya et al., 2022)</w:t>
      </w:r>
      <w:r w:rsidR="00D91CA8" w:rsidRPr="00180505">
        <w:rPr>
          <w:rFonts w:cstheme="minorHAnsi"/>
          <w:sz w:val="24"/>
          <w:szCs w:val="24"/>
        </w:rPr>
        <w:fldChar w:fldCharType="end"/>
      </w:r>
      <w:r w:rsidR="00D91CA8" w:rsidRPr="00180505">
        <w:rPr>
          <w:rFonts w:cstheme="minorHAnsi"/>
          <w:sz w:val="24"/>
          <w:szCs w:val="24"/>
        </w:rPr>
        <w:t xml:space="preserve">. </w:t>
      </w:r>
    </w:p>
    <w:p w14:paraId="7D56A07E" w14:textId="60A4A513" w:rsidR="0069770F" w:rsidRPr="001B651F" w:rsidRDefault="001B651F">
      <w:r>
        <w:br w:type="page"/>
      </w:r>
    </w:p>
    <w:p w14:paraId="2CB04E64" w14:textId="77777777" w:rsidR="005A72D3" w:rsidRPr="00212580" w:rsidRDefault="00CE5C03" w:rsidP="007656AE">
      <w:pPr>
        <w:pStyle w:val="Heading1"/>
        <w:numPr>
          <w:ilvl w:val="0"/>
          <w:numId w:val="3"/>
        </w:numPr>
        <w:spacing w:line="480" w:lineRule="auto"/>
        <w:jc w:val="both"/>
        <w:rPr>
          <w:szCs w:val="24"/>
        </w:rPr>
      </w:pPr>
      <w:bookmarkStart w:id="18" w:name="_Toc141646701"/>
      <w:r w:rsidRPr="00212580">
        <w:rPr>
          <w:szCs w:val="24"/>
        </w:rPr>
        <w:lastRenderedPageBreak/>
        <w:t>Methodology</w:t>
      </w:r>
      <w:bookmarkEnd w:id="18"/>
    </w:p>
    <w:p w14:paraId="0A10611E" w14:textId="2B449F69" w:rsidR="00DE2AC8" w:rsidRDefault="00A27366" w:rsidP="007656AE">
      <w:pPr>
        <w:pStyle w:val="Heading2"/>
        <w:numPr>
          <w:ilvl w:val="1"/>
          <w:numId w:val="3"/>
        </w:numPr>
        <w:spacing w:line="480" w:lineRule="auto"/>
        <w:jc w:val="both"/>
        <w:rPr>
          <w:szCs w:val="24"/>
        </w:rPr>
      </w:pPr>
      <w:bookmarkStart w:id="19" w:name="_Toc141646702"/>
      <w:r>
        <w:rPr>
          <w:szCs w:val="24"/>
        </w:rPr>
        <w:t>Research Design</w:t>
      </w:r>
      <w:bookmarkEnd w:id="19"/>
    </w:p>
    <w:p w14:paraId="70DD87EE" w14:textId="1AB2C0C8" w:rsidR="00A27366" w:rsidRPr="00A27366" w:rsidRDefault="00EA121E" w:rsidP="00A27366">
      <w:pPr>
        <w:spacing w:line="480" w:lineRule="auto"/>
        <w:jc w:val="both"/>
        <w:rPr>
          <w:sz w:val="24"/>
          <w:szCs w:val="24"/>
        </w:rPr>
      </w:pPr>
      <w:r>
        <w:rPr>
          <w:sz w:val="24"/>
          <w:szCs w:val="24"/>
        </w:rPr>
        <w:t xml:space="preserve">In order to define the research </w:t>
      </w:r>
      <w:r w:rsidR="007F161B">
        <w:rPr>
          <w:sz w:val="24"/>
          <w:szCs w:val="24"/>
        </w:rPr>
        <w:t xml:space="preserve">philosophy and design, </w:t>
      </w:r>
      <w:r w:rsidR="00BC62A4">
        <w:rPr>
          <w:sz w:val="24"/>
          <w:szCs w:val="24"/>
        </w:rPr>
        <w:fldChar w:fldCharType="begin"/>
      </w:r>
      <w:r w:rsidR="000C2E28">
        <w:rPr>
          <w:sz w:val="24"/>
          <w:szCs w:val="24"/>
        </w:rPr>
        <w:instrText xml:space="preserve"> ADDIN ZOTERO_ITEM CSL_CITATION {"citationID":"b8ls7KHv","properties":{"formattedCitation":"(Saunders et al., 2019)","plainCitation":"(Saunders et al., 2019)","dontUpdate":true,"noteIndex":0},"citationItems":[{"id":1044,"uris":["http://zotero.org/users/local/RRCsWsp6/items/RFQGBT9H"],"itemData":{"id":1044,"type":"book","edition":"8th ed.","event-place":"Harlow","ISBN":"1-292-20880-5","publisher":"Pearson","publisher-place":"Harlow","title":"Research methods for business students","author":[{"family":"Saunders","given":"M. N. K."},{"family":"Lewis","given":"Philip"},{"family":"Thornhill","given":"Adrain"}],"issued":{"date-parts":[["2019"]]}}}],"schema":"https://github.com/citation-style-language/schema/raw/master/csl-citation.json"} </w:instrText>
      </w:r>
      <w:r w:rsidR="00BC62A4">
        <w:rPr>
          <w:sz w:val="24"/>
          <w:szCs w:val="24"/>
        </w:rPr>
        <w:fldChar w:fldCharType="separate"/>
      </w:r>
      <w:r w:rsidR="007931FB">
        <w:rPr>
          <w:noProof/>
          <w:sz w:val="24"/>
          <w:szCs w:val="24"/>
        </w:rPr>
        <w:t xml:space="preserve">Saunders et al., </w:t>
      </w:r>
      <w:r w:rsidR="000D4B0B">
        <w:rPr>
          <w:noProof/>
          <w:sz w:val="24"/>
          <w:szCs w:val="24"/>
        </w:rPr>
        <w:t>(</w:t>
      </w:r>
      <w:r w:rsidR="007931FB">
        <w:rPr>
          <w:noProof/>
          <w:sz w:val="24"/>
          <w:szCs w:val="24"/>
        </w:rPr>
        <w:t>2019)</w:t>
      </w:r>
      <w:r w:rsidR="00BC62A4">
        <w:rPr>
          <w:sz w:val="24"/>
          <w:szCs w:val="24"/>
        </w:rPr>
        <w:fldChar w:fldCharType="end"/>
      </w:r>
      <w:r w:rsidR="000D4B0B">
        <w:rPr>
          <w:sz w:val="24"/>
          <w:szCs w:val="24"/>
        </w:rPr>
        <w:t xml:space="preserve">’s </w:t>
      </w:r>
      <w:r w:rsidR="004B08E6">
        <w:rPr>
          <w:sz w:val="24"/>
          <w:szCs w:val="24"/>
        </w:rPr>
        <w:t xml:space="preserve">6 step research onion (first published in 2007) will be utilised. </w:t>
      </w:r>
      <w:r w:rsidR="006B10BE">
        <w:rPr>
          <w:sz w:val="24"/>
          <w:szCs w:val="24"/>
        </w:rPr>
        <w:t xml:space="preserve">The </w:t>
      </w:r>
      <w:r w:rsidR="001D7238">
        <w:rPr>
          <w:sz w:val="24"/>
          <w:szCs w:val="24"/>
        </w:rPr>
        <w:t>overall study philosophy will be based as an</w:t>
      </w:r>
      <w:r w:rsidR="006B10BE">
        <w:rPr>
          <w:sz w:val="24"/>
          <w:szCs w:val="24"/>
        </w:rPr>
        <w:t xml:space="preserve"> </w:t>
      </w:r>
      <w:r w:rsidR="001D7238">
        <w:rPr>
          <w:sz w:val="24"/>
          <w:szCs w:val="24"/>
        </w:rPr>
        <w:t>i</w:t>
      </w:r>
      <w:r w:rsidR="00883D04">
        <w:rPr>
          <w:sz w:val="24"/>
          <w:szCs w:val="24"/>
        </w:rPr>
        <w:t>nterpretive study</w:t>
      </w:r>
      <w:r w:rsidR="001D7238">
        <w:rPr>
          <w:sz w:val="24"/>
          <w:szCs w:val="24"/>
        </w:rPr>
        <w:t xml:space="preserve">, largely due to the </w:t>
      </w:r>
      <w:r w:rsidR="007B6528">
        <w:rPr>
          <w:sz w:val="24"/>
          <w:szCs w:val="24"/>
        </w:rPr>
        <w:t>nature of company financial analysis</w:t>
      </w:r>
      <w:r w:rsidR="00E33079">
        <w:rPr>
          <w:sz w:val="24"/>
          <w:szCs w:val="24"/>
        </w:rPr>
        <w:t>.</w:t>
      </w:r>
      <w:r w:rsidR="007B6528">
        <w:rPr>
          <w:sz w:val="24"/>
          <w:szCs w:val="24"/>
        </w:rPr>
        <w:t xml:space="preserve"> </w:t>
      </w:r>
      <w:r w:rsidR="00E33079">
        <w:rPr>
          <w:sz w:val="24"/>
          <w:szCs w:val="24"/>
        </w:rPr>
        <w:t xml:space="preserve">While there will be empirical results for analysis, the complexity and lack of contextual information to support </w:t>
      </w:r>
      <w:r w:rsidR="004E1D5C">
        <w:rPr>
          <w:sz w:val="24"/>
          <w:szCs w:val="24"/>
        </w:rPr>
        <w:t xml:space="preserve">on scale means that there can be </w:t>
      </w:r>
      <w:r w:rsidR="007B6528">
        <w:rPr>
          <w:sz w:val="24"/>
          <w:szCs w:val="24"/>
        </w:rPr>
        <w:t xml:space="preserve">multiple interpretations </w:t>
      </w:r>
      <w:r w:rsidR="004E1D5C">
        <w:rPr>
          <w:sz w:val="24"/>
          <w:szCs w:val="24"/>
        </w:rPr>
        <w:t>of the results</w:t>
      </w:r>
      <w:r w:rsidR="00AD5FCC">
        <w:rPr>
          <w:sz w:val="24"/>
          <w:szCs w:val="24"/>
        </w:rPr>
        <w:t xml:space="preserve"> and the realities that led to the accumulated dataset</w:t>
      </w:r>
      <w:r w:rsidR="004E1D5C">
        <w:rPr>
          <w:sz w:val="24"/>
          <w:szCs w:val="24"/>
        </w:rPr>
        <w:t xml:space="preserve">. </w:t>
      </w:r>
      <w:r w:rsidR="00F25DB2">
        <w:rPr>
          <w:sz w:val="24"/>
          <w:szCs w:val="24"/>
        </w:rPr>
        <w:t>The focus therefore is to research on the subjective narratives that the research will output, even though there will be a significant sample size.</w:t>
      </w:r>
      <w:r w:rsidR="00244AEC">
        <w:rPr>
          <w:sz w:val="24"/>
          <w:szCs w:val="24"/>
        </w:rPr>
        <w:t xml:space="preserve"> Theory development was inductive in style,</w:t>
      </w:r>
      <w:r w:rsidR="004B2AF7">
        <w:rPr>
          <w:sz w:val="24"/>
          <w:szCs w:val="24"/>
        </w:rPr>
        <w:t xml:space="preserve"> </w:t>
      </w:r>
      <w:r w:rsidR="00181878">
        <w:rPr>
          <w:sz w:val="24"/>
          <w:szCs w:val="24"/>
        </w:rPr>
        <w:t>due the inability to predict specific outcomes of the data analysis</w:t>
      </w:r>
      <w:r w:rsidR="00E52062">
        <w:rPr>
          <w:sz w:val="24"/>
          <w:szCs w:val="24"/>
        </w:rPr>
        <w:t xml:space="preserve"> and therefore a desire to explore the dat</w:t>
      </w:r>
      <w:r w:rsidR="00C10105">
        <w:rPr>
          <w:sz w:val="24"/>
          <w:szCs w:val="24"/>
        </w:rPr>
        <w:t>a to identify themes and patterns.</w:t>
      </w:r>
      <w:r w:rsidR="00181878">
        <w:rPr>
          <w:sz w:val="24"/>
          <w:szCs w:val="24"/>
        </w:rPr>
        <w:t xml:space="preserve"> The belief was held that there would be impacts from the </w:t>
      </w:r>
      <w:r w:rsidR="00B74AF3">
        <w:rPr>
          <w:sz w:val="24"/>
          <w:szCs w:val="24"/>
        </w:rPr>
        <w:t>COVID-19 pandemic on industry sectors</w:t>
      </w:r>
      <w:r w:rsidR="007F7778">
        <w:rPr>
          <w:sz w:val="24"/>
          <w:szCs w:val="24"/>
        </w:rPr>
        <w:t xml:space="preserve"> and how companies</w:t>
      </w:r>
      <w:r w:rsidR="00463302">
        <w:rPr>
          <w:sz w:val="24"/>
          <w:szCs w:val="24"/>
        </w:rPr>
        <w:t xml:space="preserve"> were impacted/</w:t>
      </w:r>
      <w:r w:rsidR="007F7778">
        <w:rPr>
          <w:sz w:val="24"/>
          <w:szCs w:val="24"/>
        </w:rPr>
        <w:t>managed</w:t>
      </w:r>
      <w:r w:rsidR="00463302">
        <w:rPr>
          <w:sz w:val="24"/>
          <w:szCs w:val="24"/>
        </w:rPr>
        <w:t xml:space="preserve"> their financial position, but there was no clarity on what </w:t>
      </w:r>
      <w:r w:rsidR="00E82C0A">
        <w:rPr>
          <w:sz w:val="24"/>
          <w:szCs w:val="24"/>
        </w:rPr>
        <w:t>results</w:t>
      </w:r>
      <w:r w:rsidR="00463302">
        <w:rPr>
          <w:sz w:val="24"/>
          <w:szCs w:val="24"/>
        </w:rPr>
        <w:t xml:space="preserve"> may exist to allow for a </w:t>
      </w:r>
      <w:r w:rsidR="00E52062">
        <w:rPr>
          <w:sz w:val="24"/>
          <w:szCs w:val="24"/>
        </w:rPr>
        <w:t xml:space="preserve">deductive style of hypothesis testing. </w:t>
      </w:r>
      <w:r w:rsidR="00066127">
        <w:rPr>
          <w:sz w:val="24"/>
          <w:szCs w:val="24"/>
        </w:rPr>
        <w:t>As with many business research designs, we used a</w:t>
      </w:r>
      <w:r w:rsidR="007F5509">
        <w:rPr>
          <w:sz w:val="24"/>
          <w:szCs w:val="24"/>
        </w:rPr>
        <w:t xml:space="preserve"> mixed methods design of</w:t>
      </w:r>
      <w:r w:rsidR="00066127">
        <w:rPr>
          <w:sz w:val="24"/>
          <w:szCs w:val="24"/>
        </w:rPr>
        <w:t xml:space="preserve"> quantitative and qualitative</w:t>
      </w:r>
      <w:r w:rsidR="00C10CFE">
        <w:rPr>
          <w:sz w:val="24"/>
          <w:szCs w:val="24"/>
        </w:rPr>
        <w:t xml:space="preserve">; with the use of </w:t>
      </w:r>
      <w:r w:rsidR="00480414">
        <w:rPr>
          <w:sz w:val="24"/>
          <w:szCs w:val="24"/>
        </w:rPr>
        <w:t>a sequentia</w:t>
      </w:r>
      <w:r w:rsidR="006A574A">
        <w:rPr>
          <w:sz w:val="24"/>
          <w:szCs w:val="24"/>
        </w:rPr>
        <w:t xml:space="preserve">l explanatory </w:t>
      </w:r>
      <w:r w:rsidR="00D7166C">
        <w:rPr>
          <w:sz w:val="24"/>
          <w:szCs w:val="24"/>
        </w:rPr>
        <w:t>double</w:t>
      </w:r>
      <w:r w:rsidR="006A574A">
        <w:rPr>
          <w:sz w:val="24"/>
          <w:szCs w:val="24"/>
        </w:rPr>
        <w:t>-phase design</w:t>
      </w:r>
      <w:r w:rsidR="00876D7F">
        <w:rPr>
          <w:sz w:val="24"/>
          <w:szCs w:val="24"/>
        </w:rPr>
        <w:t xml:space="preserve">: quantitative financial information and ratios, which were interpreted in a qualitative interpretive manner. </w:t>
      </w:r>
      <w:r w:rsidR="009768AF">
        <w:rPr>
          <w:sz w:val="24"/>
          <w:szCs w:val="24"/>
        </w:rPr>
        <w:t xml:space="preserve">This study sits firmly within the definition of archival and documentary research, with the </w:t>
      </w:r>
      <w:r w:rsidR="0052171E">
        <w:rPr>
          <w:sz w:val="24"/>
          <w:szCs w:val="24"/>
        </w:rPr>
        <w:t xml:space="preserve">core </w:t>
      </w:r>
      <w:r w:rsidR="00A4311D" w:rsidRPr="00A4311D">
        <w:rPr>
          <w:sz w:val="24"/>
          <w:szCs w:val="24"/>
        </w:rPr>
        <w:t>quantitative</w:t>
      </w:r>
      <w:r w:rsidR="0052171E">
        <w:rPr>
          <w:sz w:val="24"/>
          <w:szCs w:val="24"/>
        </w:rPr>
        <w:t xml:space="preserve"> data emerging from financial statements and reports companies are required to issue. </w:t>
      </w:r>
      <w:r w:rsidR="00FE3F95">
        <w:rPr>
          <w:sz w:val="24"/>
          <w:szCs w:val="24"/>
        </w:rPr>
        <w:t xml:space="preserve">The </w:t>
      </w:r>
      <w:r w:rsidR="00AF435C">
        <w:rPr>
          <w:sz w:val="24"/>
          <w:szCs w:val="24"/>
        </w:rPr>
        <w:t>financial</w:t>
      </w:r>
      <w:r w:rsidR="00FE3F95">
        <w:rPr>
          <w:sz w:val="24"/>
          <w:szCs w:val="24"/>
        </w:rPr>
        <w:t xml:space="preserve"> data therefore is secondary source in nature</w:t>
      </w:r>
      <w:r w:rsidR="00831F71">
        <w:rPr>
          <w:sz w:val="24"/>
          <w:szCs w:val="24"/>
        </w:rPr>
        <w:t xml:space="preserve"> – as it was published by an organisation and not observed directly</w:t>
      </w:r>
      <w:r w:rsidR="00AF435C">
        <w:rPr>
          <w:sz w:val="24"/>
          <w:szCs w:val="24"/>
        </w:rPr>
        <w:t xml:space="preserve">; however, </w:t>
      </w:r>
      <w:r w:rsidR="00831F71">
        <w:rPr>
          <w:sz w:val="24"/>
          <w:szCs w:val="24"/>
        </w:rPr>
        <w:t>due to the legal requirements on contents, information layout and availability</w:t>
      </w:r>
      <w:r w:rsidR="00A832D1">
        <w:rPr>
          <w:sz w:val="24"/>
          <w:szCs w:val="24"/>
        </w:rPr>
        <w:t xml:space="preserve">, the </w:t>
      </w:r>
      <w:r w:rsidR="00663333">
        <w:rPr>
          <w:sz w:val="24"/>
          <w:szCs w:val="24"/>
        </w:rPr>
        <w:t xml:space="preserve">documentation is designed to be subjected to the type of financial ratio </w:t>
      </w:r>
      <w:r w:rsidR="00663333">
        <w:rPr>
          <w:sz w:val="24"/>
          <w:szCs w:val="24"/>
        </w:rPr>
        <w:lastRenderedPageBreak/>
        <w:t xml:space="preserve">analysis that was </w:t>
      </w:r>
      <w:r w:rsidR="00E80392">
        <w:rPr>
          <w:sz w:val="24"/>
          <w:szCs w:val="24"/>
        </w:rPr>
        <w:t>performed</w:t>
      </w:r>
      <w:r w:rsidR="00663333">
        <w:rPr>
          <w:sz w:val="24"/>
          <w:szCs w:val="24"/>
        </w:rPr>
        <w:t>.</w:t>
      </w:r>
      <w:r w:rsidR="00E80392">
        <w:rPr>
          <w:sz w:val="24"/>
          <w:szCs w:val="24"/>
        </w:rPr>
        <w:t xml:space="preserve"> The time horizon for this study means that it falls into a </w:t>
      </w:r>
      <w:r w:rsidR="00300267">
        <w:rPr>
          <w:sz w:val="24"/>
          <w:szCs w:val="24"/>
        </w:rPr>
        <w:t>longitudinal</w:t>
      </w:r>
      <w:r w:rsidR="00273EC2">
        <w:rPr>
          <w:sz w:val="24"/>
          <w:szCs w:val="24"/>
        </w:rPr>
        <w:t xml:space="preserve"> study</w:t>
      </w:r>
      <w:r w:rsidR="00CB0FFC">
        <w:rPr>
          <w:sz w:val="24"/>
          <w:szCs w:val="24"/>
        </w:rPr>
        <w:t xml:space="preserve"> conducted to backwards analyse changes within the data over the course of a </w:t>
      </w:r>
      <w:r w:rsidR="003B07CF">
        <w:rPr>
          <w:sz w:val="24"/>
          <w:szCs w:val="24"/>
        </w:rPr>
        <w:t>3-year</w:t>
      </w:r>
      <w:r w:rsidR="00CB0FFC">
        <w:rPr>
          <w:sz w:val="24"/>
          <w:szCs w:val="24"/>
        </w:rPr>
        <w:t xml:space="preserve"> period of time covering the COVID-19 pandemic event</w:t>
      </w:r>
      <w:r w:rsidR="00400A14">
        <w:rPr>
          <w:sz w:val="24"/>
          <w:szCs w:val="24"/>
        </w:rPr>
        <w:t xml:space="preserve"> </w:t>
      </w:r>
      <w:r w:rsidR="00400A14">
        <w:rPr>
          <w:sz w:val="24"/>
          <w:szCs w:val="24"/>
        </w:rPr>
        <w:fldChar w:fldCharType="begin"/>
      </w:r>
      <w:r w:rsidR="00291C0A">
        <w:rPr>
          <w:sz w:val="24"/>
          <w:szCs w:val="24"/>
        </w:rPr>
        <w:instrText xml:space="preserve"> ADDIN ZOTERO_ITEM CSL_CITATION {"citationID":"T1MqPxV5","properties":{"unsorted":true,"formattedCitation":"(Miles, 1994; Gourieroux and Jasiak, 2001; McLaney, 2011; Creswell and Creswell, 2013; Baran and Jones, 2016; Saunders et al., 2019; Creswell and Creswell, 2022; Kolitz, 2023)","plainCitation":"(Miles, 1994; Gourieroux and Jasiak, 2001; McLaney, 2011; Creswell and Creswell, 2013; Baran and Jones, 2016; Saunders et al., 2019; Creswell and Creswell, 2022; Kolitz, 2023)","noteIndex":0},"citationItems":[{"id":1048,"uris":["http://zotero.org/users/local/RRCsWsp6/items/UFHAGY8E"],"itemData":{"id":1048,"type":"book","ISBN":"0-8039-5540-5","publisher":"Sage Pubns","title":"Qualitative data analysis: An expanded sourcebook","author":[{"family":"Miles","given":"Matthew B."}],"issued":{"date-parts":[["1994"]]}},"label":"page"},{"id":1053,"uris":["http://zotero.org/users/local/RRCsWsp6/items/KRKSPGGT"],"itemData":{"id":1053,"type":"chapter","abstract":"In this chapter, we study qualitative processes that admit a limited number of discrete values. In social sciences, qualitative variables often arise from various surveys, in which they are used to characterize the sampled individuals. For example, the variable “gender” has two outcomes, male or female, while the variable “age” takes a continuum of values with a domain that is often divided into intervals of 10–20 years, 20–30 years, and so on. Qualitative variables also describe the behavior of individuals, such as their choice of a preferred means of transportation (a car, a bus, etc.) or a response","archive":"JSTOR","collection-title":"Problems, Models, and Methods","container-title":"Financial Econometrics","ISBN":"978-0-691-08872-3","note":"DOI: 10.2307/j.ctv9hvt42.13","page":"219-240","publisher":"Princeton University Press","title":"Dynamic Qualitative Processes","URL":"http://www.jstor.org.ezproxy.uwtsd.ac.uk/stable/j.ctv9hvt42.13","author":[{"family":"Gourieroux","given":"Christian"},{"family":"Jasiak","given":"Joann"}],"accessed":{"date-parts":[["2023",7,24]]},"issued":{"date-parts":[["2001"]]}},"label":"page"},{"id":1051,"uris":["http://zotero.org/users/local/RRCsWsp6/items/AUBYX5MJ"],"itemData":{"id":1051,"type":"book","ISBN":"978-0-273-75702-3","publisher":"Pearson Prentice Hall","title":"Business finance: theory and practice","author":[{"family":"McLaney","given":"E. J."}],"issued":{"date-parts":[["2011",6,23]]}},"label":"page"},{"id":1049,"uris":["http://zotero.org/users/local/RRCsWsp6/items/SRZQYRJE"],"itemData":{"id":1049,"type":"book","collection-title":"Qualitative inquiry &amp; research design","edition":"3rd ed.","event-place":"Los Angeles","ISBN":"1-4129-9530-2","publisher":"SAGE Publications","publisher-place":"Los Angeles","title":"Qualitative inquiry and research design : choosing among five approaches","author":[{"family":"Creswell","given":"John W."},{"family":"Creswell","given":"John W."}],"issued":{"date-parts":[["2013"]]}},"label":"page"},{"id":1046,"uris":["http://zotero.org/users/local/RRCsWsp6/items/F27GWZ9Q"],"itemData":{"id":1046,"type":"book","ISBN":"978-1-5225-0007-0","language":"English","license":"Access limited to members","note":"container-title: https://services-igi-global-com.ezproxy.uwtsd.ac.uk/resolvedoi/resolve.aspx?doi=10.4018/978-1-5225-0007-0","publisher":"IGI Global","source":"www-igi-global-com.ezproxy.uwtsd.ac.uk","title":"Mixed Methods Research for Improved Scientific Study","URL":"https://www.igi.global.com/gateway/book/141941","author":[{"family":"Baran","given":"Mette Lise"},{"family":"Jones","given":"Janice Elisabeth"}],"accessed":{"date-parts":[["2023",7,24]]},"issued":{"date-parts":[["2016"]]}},"label":"page"},{"id":1044,"uris":["http://zotero.org/users/local/RRCsWsp6/items/RFQGBT9H"],"itemData":{"id":1044,"type":"book","edition":"8th ed.","event-place":"Harlow","ISBN":"1-292-20880-5","publisher":"Pearson","publisher-place":"Harlow","title":"Research methods for business students","author":[{"family":"Saunders","given":"M. N. K."},{"family":"Lewis","given":"Philip"},{"family":"Thornhill","given":"Adrain"}],"issued":{"date-parts":[["2019"]]}},"label":"page"},{"id":1042,"uris":["http://zotero.org/users/local/RRCsWsp6/items/NWJU87UB"],"itemData":{"id":1042,"type":"book","abstract":"The sixth edition of the best-selling text, Research Design: Qualitative, Quantitative, and Mixed Methods Approaches by John W. Creswell and J. David Creswell, continues to provide clear and concise instruction for designing research projects or developing research proposals. This user-friendly text walks readers through research methods, from reviewing the literature to writing a research question and stating a hypothesis to designing the study. At each step in the process, the authors address qualitative, quantitative, and mixed methods approaches to encourage readers to choose the approach that best fits the research question. Numerous examples draw from a wide variety of disciplines, featuring diverse philosophical ideas and modes of inquiry. Features like bullet points, numbered steps, and annotated research examples help students focus on the most important information in research design. The Sixth Edition has been fully revised to reflect the 7th edition of the Publication Manual of the American Psychological Association with more inclusive language, updated citation styles, and updated writing suggestions. Learning objectives are now included at the start of each chapter. To help readers better achieve these learning objectives, the authors have clarified and improved the writing exercises to help readers better achieve these learning objectives. The final three chapters detailing qualitative, quantitative, and mixed methods now have a parallel structure so readers can better compare and contrast these approaches. Chapter 10 on mixed methods in particular has been restructured to reflect the latest developments in mixed methods and best practices. New research examples throughout help capture and demonstrate new trends in research.","edition":"Sixth edition","event-place":"Los Angeles","ISBN":"978-1-07-181794-0","language":"English","number-of-pages":"320","publisher":"SAGE Publications, Inc","publisher-place":"Los Angeles","source":"Amazon","title":"Research Design: Qualitative, Quantitative, and Mixed Methods Approaches","title-short":"Research Design","author":[{"family":"Creswell","given":"John W."},{"family":"Creswell","given":"J. David"}],"issued":{"date-parts":[["2022",11,8]]}},"label":"page"},{"id":1052,"uris":["http://zotero.org/users/local/RRCsWsp6/items/ZXY86YKU"],"itemData":{"id":1052,"type":"chapter","container-title":"A Concepts-Based Introduction to Financial Accounting","event-place":"Cape Town, SOUTH AFRICA","ISBN":"978-1-4851-3278-3","page":"585-641","publisher":"Juta &amp; Company, Limited","publisher-place":"Cape Town, SOUTH AFRICA","title":"Analysis of Financial Statements","URL":"http://ebookcentral.proquest.com/lib/trinity/detail.action?docID=30374752","author":[{"family":"Kolitz","given":"D."}],"issued":{"date-parts":[["2023"]]}},"label":"page"}],"schema":"https://github.com/citation-style-language/schema/raw/master/csl-citation.json"} </w:instrText>
      </w:r>
      <w:r w:rsidR="00400A14">
        <w:rPr>
          <w:sz w:val="24"/>
          <w:szCs w:val="24"/>
        </w:rPr>
        <w:fldChar w:fldCharType="separate"/>
      </w:r>
      <w:r w:rsidR="00291C0A">
        <w:rPr>
          <w:noProof/>
          <w:sz w:val="24"/>
          <w:szCs w:val="24"/>
        </w:rPr>
        <w:t>(Miles, 1994; Gourieroux and Jasiak, 2001; McLaney, 2011; Creswell and Creswell, 2013; Baran and Jones, 2016; Saunders et al., 2019; Creswell and Creswell, 2022; Kolitz, 2023)</w:t>
      </w:r>
      <w:r w:rsidR="00400A14">
        <w:rPr>
          <w:sz w:val="24"/>
          <w:szCs w:val="24"/>
        </w:rPr>
        <w:fldChar w:fldCharType="end"/>
      </w:r>
      <w:r w:rsidR="00CB0FFC">
        <w:rPr>
          <w:sz w:val="24"/>
          <w:szCs w:val="24"/>
        </w:rPr>
        <w:t xml:space="preserve">. </w:t>
      </w:r>
      <w:r w:rsidR="00300267">
        <w:rPr>
          <w:sz w:val="24"/>
          <w:szCs w:val="24"/>
        </w:rPr>
        <w:t xml:space="preserve"> </w:t>
      </w:r>
    </w:p>
    <w:p w14:paraId="4BFF74DE" w14:textId="3D9B4E1C" w:rsidR="00F52998" w:rsidRDefault="003B589F" w:rsidP="007656AE">
      <w:pPr>
        <w:pStyle w:val="Heading2"/>
        <w:numPr>
          <w:ilvl w:val="1"/>
          <w:numId w:val="3"/>
        </w:numPr>
        <w:spacing w:line="480" w:lineRule="auto"/>
        <w:jc w:val="both"/>
        <w:rPr>
          <w:szCs w:val="24"/>
        </w:rPr>
      </w:pPr>
      <w:bookmarkStart w:id="20" w:name="_Toc141646703"/>
      <w:r>
        <w:rPr>
          <w:szCs w:val="24"/>
        </w:rPr>
        <w:t xml:space="preserve">Data </w:t>
      </w:r>
      <w:r w:rsidR="00AA22B0">
        <w:rPr>
          <w:szCs w:val="24"/>
        </w:rPr>
        <w:t>Collection</w:t>
      </w:r>
      <w:bookmarkEnd w:id="20"/>
    </w:p>
    <w:p w14:paraId="408DC66A" w14:textId="5DA9E95D" w:rsidR="00F52998" w:rsidRPr="00D961B6" w:rsidRDefault="002314CE" w:rsidP="007656AE">
      <w:pPr>
        <w:pStyle w:val="Heading3"/>
        <w:numPr>
          <w:ilvl w:val="2"/>
          <w:numId w:val="3"/>
        </w:numPr>
        <w:spacing w:line="480" w:lineRule="auto"/>
        <w:jc w:val="both"/>
        <w:rPr>
          <w:szCs w:val="24"/>
        </w:rPr>
      </w:pPr>
      <w:bookmarkStart w:id="21" w:name="_Toc141646704"/>
      <w:r>
        <w:rPr>
          <w:szCs w:val="24"/>
        </w:rPr>
        <w:t>Data Selection</w:t>
      </w:r>
      <w:bookmarkEnd w:id="21"/>
    </w:p>
    <w:p w14:paraId="015F63BF" w14:textId="3786232D" w:rsidR="002A35F8" w:rsidRDefault="003B589F" w:rsidP="004B294D">
      <w:pPr>
        <w:spacing w:line="480" w:lineRule="auto"/>
        <w:jc w:val="both"/>
        <w:rPr>
          <w:sz w:val="24"/>
          <w:szCs w:val="24"/>
        </w:rPr>
      </w:pPr>
      <w:r>
        <w:rPr>
          <w:sz w:val="24"/>
          <w:szCs w:val="24"/>
        </w:rPr>
        <w:t xml:space="preserve">The aim of this study was to identify trends and patterns in financial performance and position of industries in the UK throughout the COVID-19 pandemic. </w:t>
      </w:r>
      <w:r w:rsidR="00035253">
        <w:rPr>
          <w:sz w:val="24"/>
          <w:szCs w:val="24"/>
        </w:rPr>
        <w:t xml:space="preserve">As discussed previously the </w:t>
      </w:r>
      <w:r>
        <w:rPr>
          <w:sz w:val="24"/>
          <w:szCs w:val="24"/>
        </w:rPr>
        <w:t>FTSE</w:t>
      </w:r>
      <w:r w:rsidR="00DE0BAB">
        <w:rPr>
          <w:sz w:val="24"/>
          <w:szCs w:val="24"/>
        </w:rPr>
        <w:t xml:space="preserve"> </w:t>
      </w:r>
      <w:r>
        <w:rPr>
          <w:sz w:val="24"/>
          <w:szCs w:val="24"/>
        </w:rPr>
        <w:t>250 was s</w:t>
      </w:r>
      <w:r w:rsidR="00035253">
        <w:rPr>
          <w:sz w:val="24"/>
          <w:szCs w:val="24"/>
        </w:rPr>
        <w:t>elected as a proxy due to the higher ratio of companies comprising it having a UK market focus than the FTSE</w:t>
      </w:r>
      <w:r w:rsidR="00DE0BAB">
        <w:rPr>
          <w:sz w:val="24"/>
          <w:szCs w:val="24"/>
        </w:rPr>
        <w:t xml:space="preserve"> </w:t>
      </w:r>
      <w:r w:rsidR="00035253">
        <w:rPr>
          <w:sz w:val="24"/>
          <w:szCs w:val="24"/>
        </w:rPr>
        <w:t xml:space="preserve">100. </w:t>
      </w:r>
    </w:p>
    <w:p w14:paraId="791BEC29" w14:textId="70179AC2" w:rsidR="002A35F8" w:rsidRDefault="002A35F8" w:rsidP="004B294D">
      <w:pPr>
        <w:spacing w:line="480" w:lineRule="auto"/>
        <w:jc w:val="both"/>
        <w:rPr>
          <w:sz w:val="24"/>
          <w:szCs w:val="24"/>
        </w:rPr>
      </w:pPr>
      <w:r w:rsidRPr="00581F54">
        <w:rPr>
          <w:sz w:val="24"/>
          <w:szCs w:val="24"/>
        </w:rPr>
        <w:t xml:space="preserve">The </w:t>
      </w:r>
      <w:r w:rsidR="003A2A04" w:rsidRPr="00581F54">
        <w:rPr>
          <w:sz w:val="24"/>
          <w:szCs w:val="24"/>
        </w:rPr>
        <w:t xml:space="preserve">constituents of the </w:t>
      </w:r>
      <w:r w:rsidRPr="00581F54">
        <w:rPr>
          <w:sz w:val="24"/>
          <w:szCs w:val="24"/>
        </w:rPr>
        <w:t>FTSE</w:t>
      </w:r>
      <w:r w:rsidR="00DE0BAB" w:rsidRPr="00581F54">
        <w:rPr>
          <w:sz w:val="24"/>
          <w:szCs w:val="24"/>
        </w:rPr>
        <w:t xml:space="preserve"> </w:t>
      </w:r>
      <w:r w:rsidRPr="00581F54">
        <w:rPr>
          <w:sz w:val="24"/>
          <w:szCs w:val="24"/>
        </w:rPr>
        <w:t xml:space="preserve">250 index change on </w:t>
      </w:r>
      <w:r w:rsidR="006B03D1" w:rsidRPr="00581F54">
        <w:rPr>
          <w:sz w:val="24"/>
          <w:szCs w:val="24"/>
        </w:rPr>
        <w:t>a</w:t>
      </w:r>
      <w:r w:rsidRPr="00581F54">
        <w:rPr>
          <w:sz w:val="24"/>
          <w:szCs w:val="24"/>
        </w:rPr>
        <w:t xml:space="preserve"> </w:t>
      </w:r>
      <w:r w:rsidR="003A2A04" w:rsidRPr="00581F54">
        <w:rPr>
          <w:sz w:val="24"/>
          <w:szCs w:val="24"/>
        </w:rPr>
        <w:t>quarterly</w:t>
      </w:r>
      <w:r w:rsidRPr="00581F54">
        <w:rPr>
          <w:sz w:val="24"/>
          <w:szCs w:val="24"/>
        </w:rPr>
        <w:t xml:space="preserve"> basis</w:t>
      </w:r>
      <w:r w:rsidR="003A2A04" w:rsidRPr="00581F54">
        <w:rPr>
          <w:sz w:val="24"/>
          <w:szCs w:val="24"/>
        </w:rPr>
        <w:t>, with the London Stock Exchange</w:t>
      </w:r>
      <w:r w:rsidR="006B03D1" w:rsidRPr="00581F54">
        <w:rPr>
          <w:sz w:val="24"/>
          <w:szCs w:val="24"/>
        </w:rPr>
        <w:t xml:space="preserve"> releasing reviews aligning with </w:t>
      </w:r>
      <w:r w:rsidR="003E2F47" w:rsidRPr="00581F54">
        <w:rPr>
          <w:sz w:val="24"/>
          <w:szCs w:val="24"/>
        </w:rPr>
        <w:t xml:space="preserve">calendar year quarter ends. Companies will exit and enter the index </w:t>
      </w:r>
      <w:r w:rsidR="00565021" w:rsidRPr="00581F54">
        <w:rPr>
          <w:sz w:val="24"/>
          <w:szCs w:val="24"/>
        </w:rPr>
        <w:t xml:space="preserve">after being reviewed on a number of </w:t>
      </w:r>
      <w:r w:rsidR="00E37B80" w:rsidRPr="00581F54">
        <w:rPr>
          <w:sz w:val="24"/>
          <w:szCs w:val="24"/>
        </w:rPr>
        <w:t>criteria</w:t>
      </w:r>
      <w:r w:rsidR="00565021" w:rsidRPr="00581F54">
        <w:rPr>
          <w:sz w:val="24"/>
          <w:szCs w:val="24"/>
        </w:rPr>
        <w:t xml:space="preserve"> including </w:t>
      </w:r>
      <w:r w:rsidR="00E37B80" w:rsidRPr="00581F54">
        <w:rPr>
          <w:sz w:val="24"/>
          <w:szCs w:val="24"/>
        </w:rPr>
        <w:t>size and liquidity</w:t>
      </w:r>
      <w:r w:rsidR="009443A0" w:rsidRPr="00581F54">
        <w:rPr>
          <w:sz w:val="24"/>
          <w:szCs w:val="24"/>
        </w:rPr>
        <w:t xml:space="preserve">. This </w:t>
      </w:r>
      <w:r w:rsidR="00C177B5" w:rsidRPr="00581F54">
        <w:rPr>
          <w:sz w:val="24"/>
          <w:szCs w:val="24"/>
        </w:rPr>
        <w:t xml:space="preserve">continual change of companies contained within the index requires a </w:t>
      </w:r>
      <w:r w:rsidR="00385673" w:rsidRPr="00581F54">
        <w:rPr>
          <w:sz w:val="24"/>
          <w:szCs w:val="24"/>
        </w:rPr>
        <w:t xml:space="preserve">set </w:t>
      </w:r>
      <w:r w:rsidR="00C177B5" w:rsidRPr="00581F54">
        <w:rPr>
          <w:sz w:val="24"/>
          <w:szCs w:val="24"/>
        </w:rPr>
        <w:t xml:space="preserve">data capture </w:t>
      </w:r>
      <w:r w:rsidR="00385673" w:rsidRPr="00581F54">
        <w:rPr>
          <w:sz w:val="24"/>
          <w:szCs w:val="24"/>
        </w:rPr>
        <w:t>date to determine the companies that will be used in this analysis</w:t>
      </w:r>
      <w:r w:rsidR="0097126D" w:rsidRPr="00581F54">
        <w:rPr>
          <w:sz w:val="24"/>
          <w:szCs w:val="24"/>
        </w:rPr>
        <w:t xml:space="preserve"> </w:t>
      </w:r>
      <w:r w:rsidR="0097126D" w:rsidRPr="00581F54">
        <w:rPr>
          <w:sz w:val="24"/>
          <w:szCs w:val="24"/>
        </w:rPr>
        <w:fldChar w:fldCharType="begin"/>
      </w:r>
      <w:r w:rsidR="00291C0A">
        <w:rPr>
          <w:sz w:val="24"/>
          <w:szCs w:val="24"/>
        </w:rPr>
        <w:instrText xml:space="preserve"> ADDIN ZOTERO_ITEM CSL_CITATION {"citationID":"qoSFJLRQ","properties":{"unsorted":true,"formattedCitation":"(FTSE Russell, 2017, 2022)","plainCitation":"(FTSE Russell, 2017, 2022)","noteIndex":0},"citationItems":[{"id":604,"uris":["http://zotero.org/users/local/RRCsWsp6/items/FIFJA5JH"],"itemData":{"id":604,"type":"report","genre":"History and Heritage","page":"25","publisher":"FTSE Russell","title":"FTSE UK Index Series - An Accurate and Conistant Measurement of the UK Equity Market","URL":"https://content.ftserussell.com/sites/default/files/support_document/ftse_uk_index_series_history_and_heritage_screen.pdf","author":[{"family":"FTSE Russell","given":""}],"accessed":{"date-parts":[["2022",9,4]]},"issued":{"date-parts":[["2017",10]]}},"label":"page"},{"id":600,"uris":["http://zotero.org/users/local/RRCsWsp6/items/WKH6P7TJ"],"itemData":{"id":600,"type":"document","publisher":"FTSE Russell","title":"Ground Rules - FTSE UK Index Series v15.5","URL":"https://research.ftserussell.com/products/downloads/FTSE_UK_Index_Series.pdf","author":[{"family":"FTSE Russell","given":""}],"accessed":{"date-parts":[["2023",1,4]]},"issued":{"date-parts":[["2022",6]]}},"label":"page"}],"schema":"https://github.com/citation-style-language/schema/raw/master/csl-citation.json"} </w:instrText>
      </w:r>
      <w:r w:rsidR="0097126D" w:rsidRPr="00581F54">
        <w:rPr>
          <w:sz w:val="24"/>
          <w:szCs w:val="24"/>
        </w:rPr>
        <w:fldChar w:fldCharType="separate"/>
      </w:r>
      <w:r w:rsidR="00291C0A">
        <w:rPr>
          <w:noProof/>
          <w:sz w:val="24"/>
          <w:szCs w:val="24"/>
        </w:rPr>
        <w:t>(FTSE Russell, 2017, 2022)</w:t>
      </w:r>
      <w:r w:rsidR="0097126D" w:rsidRPr="00581F54">
        <w:rPr>
          <w:sz w:val="24"/>
          <w:szCs w:val="24"/>
        </w:rPr>
        <w:fldChar w:fldCharType="end"/>
      </w:r>
      <w:r w:rsidR="00385673" w:rsidRPr="00581F54">
        <w:rPr>
          <w:sz w:val="24"/>
          <w:szCs w:val="24"/>
        </w:rPr>
        <w:t xml:space="preserve">. </w:t>
      </w:r>
      <w:r w:rsidR="00DE0BAB" w:rsidRPr="00581F54">
        <w:rPr>
          <w:sz w:val="24"/>
          <w:szCs w:val="24"/>
        </w:rPr>
        <w:t xml:space="preserve">For the purposes of this study a capture of the FTSE 250 Constituent list </w:t>
      </w:r>
      <w:r w:rsidR="00A96177" w:rsidRPr="00581F54">
        <w:rPr>
          <w:sz w:val="24"/>
          <w:szCs w:val="24"/>
        </w:rPr>
        <w:t>was taken on the 24</w:t>
      </w:r>
      <w:r w:rsidR="00A96177" w:rsidRPr="00581F54">
        <w:rPr>
          <w:sz w:val="24"/>
          <w:szCs w:val="24"/>
          <w:vertAlign w:val="superscript"/>
        </w:rPr>
        <w:t>th</w:t>
      </w:r>
      <w:r w:rsidR="00A96177" w:rsidRPr="00581F54">
        <w:rPr>
          <w:sz w:val="24"/>
          <w:szCs w:val="24"/>
        </w:rPr>
        <w:t xml:space="preserve"> February 2022</w:t>
      </w:r>
      <w:r w:rsidR="007630AD" w:rsidRPr="00581F54">
        <w:rPr>
          <w:sz w:val="24"/>
          <w:szCs w:val="24"/>
        </w:rPr>
        <w:t xml:space="preserve">, with the companies comprising the index being used for data selection and analysis </w:t>
      </w:r>
      <w:r w:rsidR="007630AD" w:rsidRPr="00581F54">
        <w:rPr>
          <w:sz w:val="24"/>
          <w:szCs w:val="24"/>
        </w:rPr>
        <w:fldChar w:fldCharType="begin"/>
      </w:r>
      <w:r w:rsidR="008B1994" w:rsidRPr="00581F54">
        <w:rPr>
          <w:sz w:val="24"/>
          <w:szCs w:val="24"/>
        </w:rPr>
        <w:instrText xml:space="preserve"> ADDIN ZOTERO_ITEM CSL_CITATION {"citationID":"olgcAEwV","properties":{"formattedCitation":"(London Stock Exchange, 2022a)","plainCitation":"(London Stock Exchange, 2022a)","noteIndex":0},"citationItems":[{"id":552,"uris":["http://zotero.org/users/local/RRCsWsp6/items/Y4NL9KQ6"],"itemData":{"id":552,"type":"webpage","abstract":"FTSE constituents prices, list of FTSE constituents and news","container-title":"London Stock Exchange","language":"en","title":"FTSE 250 constituents","URL":"https://www.londonstockexchange.com/market-stock/13IR/daimler-ag/analysis","author":[{"literal":"London Stock Exchange"}],"accessed":{"date-parts":[["2022",1,23]]},"issued":{"date-parts":[["2022",1,22]]}}}],"schema":"https://github.com/citation-style-language/schema/raw/master/csl-citation.json"} </w:instrText>
      </w:r>
      <w:r w:rsidR="007630AD" w:rsidRPr="00581F54">
        <w:rPr>
          <w:sz w:val="24"/>
          <w:szCs w:val="24"/>
        </w:rPr>
        <w:fldChar w:fldCharType="separate"/>
      </w:r>
      <w:r w:rsidR="007931FB">
        <w:rPr>
          <w:noProof/>
          <w:sz w:val="24"/>
          <w:szCs w:val="24"/>
        </w:rPr>
        <w:t>(London Stock Exchange, 2022a)</w:t>
      </w:r>
      <w:r w:rsidR="007630AD" w:rsidRPr="00581F54">
        <w:rPr>
          <w:sz w:val="24"/>
          <w:szCs w:val="24"/>
        </w:rPr>
        <w:fldChar w:fldCharType="end"/>
      </w:r>
      <w:r w:rsidR="007630AD" w:rsidRPr="00581F54">
        <w:rPr>
          <w:sz w:val="24"/>
          <w:szCs w:val="24"/>
        </w:rPr>
        <w:t>.</w:t>
      </w:r>
    </w:p>
    <w:p w14:paraId="00EEB86B" w14:textId="49D6E7CD" w:rsidR="002977FF" w:rsidRDefault="00BA0EAE" w:rsidP="004B294D">
      <w:pPr>
        <w:spacing w:line="480" w:lineRule="auto"/>
        <w:jc w:val="both"/>
        <w:rPr>
          <w:sz w:val="24"/>
          <w:szCs w:val="24"/>
        </w:rPr>
      </w:pPr>
      <w:r>
        <w:rPr>
          <w:sz w:val="24"/>
          <w:szCs w:val="24"/>
        </w:rPr>
        <w:t>Three</w:t>
      </w:r>
      <w:r w:rsidR="00035253">
        <w:rPr>
          <w:sz w:val="24"/>
          <w:szCs w:val="24"/>
        </w:rPr>
        <w:t xml:space="preserve"> </w:t>
      </w:r>
      <w:r>
        <w:rPr>
          <w:sz w:val="24"/>
          <w:szCs w:val="24"/>
        </w:rPr>
        <w:t>y</w:t>
      </w:r>
      <w:r w:rsidR="00035253">
        <w:rPr>
          <w:sz w:val="24"/>
          <w:szCs w:val="24"/>
        </w:rPr>
        <w:t xml:space="preserve">ears of financial data was used in order to gain </w:t>
      </w:r>
      <w:r w:rsidR="00AC63B3">
        <w:rPr>
          <w:sz w:val="24"/>
          <w:szCs w:val="24"/>
        </w:rPr>
        <w:t>longitudinal view</w:t>
      </w:r>
      <w:r w:rsidR="00035253">
        <w:rPr>
          <w:sz w:val="24"/>
          <w:szCs w:val="24"/>
        </w:rPr>
        <w:t xml:space="preserve"> of the pandemic impact. These three years were referred to as 2019, 2020 and 2021; to allow an easy </w:t>
      </w:r>
      <w:r w:rsidR="00035253">
        <w:rPr>
          <w:sz w:val="24"/>
          <w:szCs w:val="24"/>
        </w:rPr>
        <w:lastRenderedPageBreak/>
        <w:t>reference point to visualised pre-pandemic, pandemic impact and pandemic recovery financial years.</w:t>
      </w:r>
    </w:p>
    <w:p w14:paraId="773AC8B6" w14:textId="25E3903B" w:rsidR="002977FF" w:rsidRPr="006F69F1" w:rsidRDefault="002977FF" w:rsidP="004B294D">
      <w:pPr>
        <w:spacing w:line="480" w:lineRule="auto"/>
        <w:jc w:val="both"/>
        <w:rPr>
          <w:sz w:val="24"/>
          <w:szCs w:val="24"/>
        </w:rPr>
      </w:pPr>
      <w:r w:rsidRPr="006F69F1">
        <w:rPr>
          <w:sz w:val="24"/>
          <w:szCs w:val="24"/>
        </w:rPr>
        <w:t xml:space="preserve">For the purposes of this study, March 2020 was used as a starting point for the COVID-19 pandemic in the UK. </w:t>
      </w:r>
      <w:r w:rsidR="00A972B9" w:rsidRPr="006F69F1">
        <w:rPr>
          <w:sz w:val="24"/>
          <w:szCs w:val="24"/>
        </w:rPr>
        <w:t>While cases of COVID-19 were detected both around the world and within the UK prior to March 2020</w:t>
      </w:r>
      <w:r w:rsidR="00831844" w:rsidRPr="006F69F1">
        <w:rPr>
          <w:sz w:val="24"/>
          <w:szCs w:val="24"/>
        </w:rPr>
        <w:t xml:space="preserve">, </w:t>
      </w:r>
      <w:r w:rsidR="006711AE" w:rsidRPr="006F69F1">
        <w:rPr>
          <w:sz w:val="24"/>
          <w:szCs w:val="24"/>
        </w:rPr>
        <w:t xml:space="preserve">March contained significant events that allow us to define this point as the </w:t>
      </w:r>
      <w:r w:rsidR="00B545AC" w:rsidRPr="006F69F1">
        <w:rPr>
          <w:sz w:val="24"/>
          <w:szCs w:val="24"/>
        </w:rPr>
        <w:t>beginning of the pandemic for the purposes of our analysis</w:t>
      </w:r>
      <w:r w:rsidR="00734509" w:rsidRPr="006F69F1">
        <w:rPr>
          <w:sz w:val="24"/>
          <w:szCs w:val="24"/>
        </w:rPr>
        <w:t xml:space="preserve"> </w:t>
      </w:r>
      <w:r w:rsidR="00734509" w:rsidRPr="006F69F1">
        <w:rPr>
          <w:sz w:val="24"/>
          <w:szCs w:val="24"/>
        </w:rPr>
        <w:fldChar w:fldCharType="begin"/>
      </w:r>
      <w:r w:rsidR="00652946">
        <w:rPr>
          <w:sz w:val="24"/>
          <w:szCs w:val="24"/>
        </w:rPr>
        <w:instrText xml:space="preserve"> ADDIN ZOTERO_ITEM CSL_CITATION {"citationID":"bbdTfChx","properties":{"formattedCitation":"(World Health Organisation, 2021)","plainCitation":"(World Health Organisation, 2021)","noteIndex":0},"citationItems":[{"id":587,"uris":["http://zotero.org/users/local/RRCsWsp6/items/6564PBJU"],"itemData":{"id":587,"type":"webpage","abstract":"Read and search listings of how WHO has responded to the COVID-19 since 31 December 2019, including monthly numbers on press and member state briefings, expert networks, candidate vaccines and training.","language":"en","title":"Listings of WHO's response to COVID-19","URL":"https://www.who.int/news/item/29-06-2020-covidtimeline","author":[{"family":"World Health Organisation","given":""}],"accessed":{"date-parts":[["2022",8,28]]},"issued":{"date-parts":[["2021",1,29]]}}}],"schema":"https://github.com/citation-style-language/schema/raw/master/csl-citation.json"} </w:instrText>
      </w:r>
      <w:r w:rsidR="00734509" w:rsidRPr="006F69F1">
        <w:rPr>
          <w:sz w:val="24"/>
          <w:szCs w:val="24"/>
        </w:rPr>
        <w:fldChar w:fldCharType="separate"/>
      </w:r>
      <w:r w:rsidR="007931FB">
        <w:rPr>
          <w:noProof/>
          <w:sz w:val="24"/>
          <w:szCs w:val="24"/>
        </w:rPr>
        <w:t>(World Health Organisation, 2021)</w:t>
      </w:r>
      <w:r w:rsidR="00734509" w:rsidRPr="006F69F1">
        <w:rPr>
          <w:sz w:val="24"/>
          <w:szCs w:val="24"/>
        </w:rPr>
        <w:fldChar w:fldCharType="end"/>
      </w:r>
      <w:r w:rsidR="00B545AC" w:rsidRPr="006F69F1">
        <w:rPr>
          <w:sz w:val="24"/>
          <w:szCs w:val="24"/>
        </w:rPr>
        <w:t xml:space="preserve">. </w:t>
      </w:r>
      <w:r w:rsidR="001D2AFC" w:rsidRPr="006F69F1">
        <w:rPr>
          <w:sz w:val="24"/>
          <w:szCs w:val="24"/>
        </w:rPr>
        <w:t>On the 11</w:t>
      </w:r>
      <w:r w:rsidR="001D2AFC" w:rsidRPr="006F69F1">
        <w:rPr>
          <w:sz w:val="24"/>
          <w:szCs w:val="24"/>
          <w:vertAlign w:val="superscript"/>
        </w:rPr>
        <w:t>th</w:t>
      </w:r>
      <w:r w:rsidR="001D2AFC" w:rsidRPr="006F69F1">
        <w:rPr>
          <w:sz w:val="24"/>
          <w:szCs w:val="24"/>
        </w:rPr>
        <w:t xml:space="preserve"> </w:t>
      </w:r>
      <w:r w:rsidR="00413349">
        <w:rPr>
          <w:sz w:val="24"/>
          <w:szCs w:val="24"/>
        </w:rPr>
        <w:t xml:space="preserve">of </w:t>
      </w:r>
      <w:r w:rsidR="001D2AFC" w:rsidRPr="006F69F1">
        <w:rPr>
          <w:sz w:val="24"/>
          <w:szCs w:val="24"/>
        </w:rPr>
        <w:t xml:space="preserve">March 2020 the World Health Organisation Director-General </w:t>
      </w:r>
      <w:r w:rsidR="00A94D45" w:rsidRPr="006F69F1">
        <w:rPr>
          <w:sz w:val="24"/>
          <w:szCs w:val="24"/>
        </w:rPr>
        <w:t>delivered a press briefing announcing the classification of COVID-19 as a pandemic</w:t>
      </w:r>
      <w:r w:rsidR="00F907C5" w:rsidRPr="006F69F1">
        <w:rPr>
          <w:sz w:val="24"/>
          <w:szCs w:val="24"/>
        </w:rPr>
        <w:t xml:space="preserve">; followed by </w:t>
      </w:r>
      <w:r w:rsidR="00E23F34" w:rsidRPr="006F69F1">
        <w:rPr>
          <w:sz w:val="24"/>
          <w:szCs w:val="24"/>
        </w:rPr>
        <w:t>Prime Minister Boris Johnson</w:t>
      </w:r>
      <w:r w:rsidR="003456CB" w:rsidRPr="006F69F1">
        <w:rPr>
          <w:sz w:val="24"/>
          <w:szCs w:val="24"/>
        </w:rPr>
        <w:t xml:space="preserve"> announcing the lockdown and </w:t>
      </w:r>
      <w:r w:rsidR="00F907C5" w:rsidRPr="006F69F1">
        <w:rPr>
          <w:sz w:val="24"/>
          <w:szCs w:val="24"/>
        </w:rPr>
        <w:t xml:space="preserve">first restriction of movement </w:t>
      </w:r>
      <w:r w:rsidR="00B1313D" w:rsidRPr="006F69F1">
        <w:rPr>
          <w:sz w:val="24"/>
          <w:szCs w:val="24"/>
        </w:rPr>
        <w:t>by the UK Government t</w:t>
      </w:r>
      <w:r w:rsidR="003456CB" w:rsidRPr="006F69F1">
        <w:rPr>
          <w:sz w:val="24"/>
          <w:szCs w:val="24"/>
        </w:rPr>
        <w:t xml:space="preserve">o </w:t>
      </w:r>
      <w:r w:rsidR="00C3706E" w:rsidRPr="006F69F1">
        <w:rPr>
          <w:sz w:val="24"/>
          <w:szCs w:val="24"/>
        </w:rPr>
        <w:t xml:space="preserve">begin on the </w:t>
      </w:r>
      <w:r w:rsidR="005602A3" w:rsidRPr="006F69F1">
        <w:rPr>
          <w:sz w:val="24"/>
          <w:szCs w:val="24"/>
        </w:rPr>
        <w:t>26</w:t>
      </w:r>
      <w:r w:rsidR="005602A3" w:rsidRPr="006F69F1">
        <w:rPr>
          <w:sz w:val="24"/>
          <w:szCs w:val="24"/>
          <w:vertAlign w:val="superscript"/>
        </w:rPr>
        <w:t>th</w:t>
      </w:r>
      <w:r w:rsidR="005602A3" w:rsidRPr="006F69F1">
        <w:rPr>
          <w:sz w:val="24"/>
          <w:szCs w:val="24"/>
        </w:rPr>
        <w:t xml:space="preserve"> </w:t>
      </w:r>
      <w:r w:rsidR="00413349">
        <w:rPr>
          <w:sz w:val="24"/>
          <w:szCs w:val="24"/>
        </w:rPr>
        <w:t xml:space="preserve">of </w:t>
      </w:r>
      <w:r w:rsidR="005602A3" w:rsidRPr="006F69F1">
        <w:rPr>
          <w:sz w:val="24"/>
          <w:szCs w:val="24"/>
        </w:rPr>
        <w:t xml:space="preserve">March 2020 after the </w:t>
      </w:r>
      <w:r w:rsidR="00894B13" w:rsidRPr="006F69F1">
        <w:rPr>
          <w:sz w:val="24"/>
          <w:szCs w:val="24"/>
        </w:rPr>
        <w:t>Royal Assent of the</w:t>
      </w:r>
      <w:r w:rsidR="00241D53" w:rsidRPr="006F69F1">
        <w:rPr>
          <w:sz w:val="24"/>
          <w:szCs w:val="24"/>
        </w:rPr>
        <w:t xml:space="preserve"> </w:t>
      </w:r>
      <w:r w:rsidR="00070AAE" w:rsidRPr="006F69F1">
        <w:rPr>
          <w:sz w:val="24"/>
          <w:szCs w:val="24"/>
        </w:rPr>
        <w:fldChar w:fldCharType="begin"/>
      </w:r>
      <w:r w:rsidR="008A0D7D">
        <w:rPr>
          <w:sz w:val="24"/>
          <w:szCs w:val="24"/>
        </w:rPr>
        <w:instrText xml:space="preserve"> ADDIN ZOTERO_ITEM CSL_CITATION {"citationID":"hM8f52u2","properties":{"unsorted":true,"formattedCitation":"(World Health Organisation, 2020; Prime Minister\\uc0\\u8217{}s Office, 2020; {\\i{}Coronavirus Act}, 2020)","plainCitation":"(World Health Organisation, 2020; Prime Minister’s Office, 2020; Coronavirus Act, 2020)","noteIndex":0},"citationItems":[{"id":581,"uris":["http://zotero.org/users/local/RRCsWsp6/items/ACRS3FAL"],"itemData":{"id":581,"type":"webpage","language":"en","title":"WHO Director-General's opening remarks at the media briefing on COVID-19 - 11 March 2020","URL":"https://www.who.int/director-general/speeches/detail/who-director-general-s-opening-remarks-at-the-media-briefing-on-covid-19---11-march-2020","author":[{"family":"World Health Organisation","given":""}],"accessed":{"date-parts":[["2023",4,28]]},"issued":{"date-parts":[["2020",3,11]]}},"label":"page"},{"id":583,"uris":["http://zotero.org/users/local/RRCsWsp6/items/9EICDDQT"],"itemData":{"id":583,"type":"webpage","abstract":"Prime Minister Boris Johnson addressed the nation on coronavirus.","container-title":"GOV.UK","language":"en","title":"Prime Minister's statement on coronavirus (COVID-19): 23 March 2020","title-short":"Prime Minister's statement on coronavirus (COVID-19)","URL":"https://www.gov.uk/government/speeches/pm-address-to-the-nation-on-coronavirus-23-march-2020","author":[{"family":"Prime Minister's Office","given":""}],"accessed":{"date-parts":[["2023",2,28]]},"issued":{"date-parts":[["2020",3,23]]}},"label":"page"},{"id":577,"uris":["http://zotero.org/users/local/RRCsWsp6/items/ERAAG7DI"],"itemData":{"id":577,"type":"legislation","language":"eng","note":"Available at: \nhttps://www.legislation.gov.uk/ukpga/2020/7/contents/enacted","title":"Coronavirus Act","URL":"https://www.legislation.gov.uk/ukpga/2020/7/contents/enacted","accessed":{"date-parts":[["2022",8,28]]},"issued":{"date-parts":[["2020"]]}},"label":"page"}],"schema":"https://github.com/citation-style-language/schema/raw/master/csl-citation.json"} </w:instrText>
      </w:r>
      <w:r w:rsidR="00070AAE" w:rsidRPr="006F69F1">
        <w:rPr>
          <w:sz w:val="24"/>
          <w:szCs w:val="24"/>
        </w:rPr>
        <w:fldChar w:fldCharType="separate"/>
      </w:r>
      <w:r w:rsidR="008A0D7D" w:rsidRPr="008A0D7D">
        <w:rPr>
          <w:rFonts w:ascii="Calibri" w:cs="Calibri"/>
          <w:sz w:val="24"/>
        </w:rPr>
        <w:t xml:space="preserve">(World Health Organisation, 2020; Prime Minister’s Office, 2020; </w:t>
      </w:r>
      <w:r w:rsidR="008A0D7D" w:rsidRPr="008A0D7D">
        <w:rPr>
          <w:rFonts w:ascii="Calibri" w:cs="Calibri"/>
          <w:i/>
          <w:iCs/>
          <w:sz w:val="24"/>
        </w:rPr>
        <w:t>Coronavirus Act</w:t>
      </w:r>
      <w:r w:rsidR="008A0D7D" w:rsidRPr="008A0D7D">
        <w:rPr>
          <w:rFonts w:ascii="Calibri" w:cs="Calibri"/>
          <w:sz w:val="24"/>
        </w:rPr>
        <w:t>, 2020)</w:t>
      </w:r>
      <w:r w:rsidR="00070AAE" w:rsidRPr="006F69F1">
        <w:rPr>
          <w:sz w:val="24"/>
          <w:szCs w:val="24"/>
        </w:rPr>
        <w:fldChar w:fldCharType="end"/>
      </w:r>
      <w:r w:rsidR="00894B13" w:rsidRPr="006F69F1">
        <w:rPr>
          <w:sz w:val="24"/>
          <w:szCs w:val="24"/>
        </w:rPr>
        <w:t xml:space="preserve">. </w:t>
      </w:r>
    </w:p>
    <w:p w14:paraId="6A8FCA09" w14:textId="41A6400C" w:rsidR="0033515A" w:rsidRPr="00B31DF5" w:rsidRDefault="00761D27" w:rsidP="004B294D">
      <w:pPr>
        <w:spacing w:line="480" w:lineRule="auto"/>
        <w:jc w:val="both"/>
        <w:rPr>
          <w:sz w:val="24"/>
          <w:szCs w:val="24"/>
        </w:rPr>
      </w:pPr>
      <w:r w:rsidRPr="00B31DF5">
        <w:rPr>
          <w:sz w:val="24"/>
          <w:szCs w:val="24"/>
        </w:rPr>
        <w:t xml:space="preserve">The timing of the </w:t>
      </w:r>
      <w:r w:rsidR="00BD2D74" w:rsidRPr="00B31DF5">
        <w:rPr>
          <w:sz w:val="24"/>
          <w:szCs w:val="24"/>
        </w:rPr>
        <w:t xml:space="preserve">first UK COVID-19 lockdown was coincidentally fortuitous </w:t>
      </w:r>
      <w:r w:rsidR="009E6B77" w:rsidRPr="00B31DF5">
        <w:rPr>
          <w:sz w:val="24"/>
          <w:szCs w:val="24"/>
        </w:rPr>
        <w:t xml:space="preserve">for </w:t>
      </w:r>
      <w:r w:rsidR="00BD2D74" w:rsidRPr="00B31DF5">
        <w:rPr>
          <w:sz w:val="24"/>
          <w:szCs w:val="24"/>
        </w:rPr>
        <w:t xml:space="preserve">financial analysis </w:t>
      </w:r>
      <w:r w:rsidR="00743A3E" w:rsidRPr="00B31DF5">
        <w:rPr>
          <w:sz w:val="24"/>
          <w:szCs w:val="24"/>
        </w:rPr>
        <w:t xml:space="preserve">due to the implementation date of the first UK lockdown </w:t>
      </w:r>
      <w:r w:rsidR="0043122F" w:rsidRPr="00B31DF5">
        <w:rPr>
          <w:sz w:val="24"/>
          <w:szCs w:val="24"/>
        </w:rPr>
        <w:t>occurring at the end of the ‘standard’ UK fi</w:t>
      </w:r>
      <w:r w:rsidR="009F3024" w:rsidRPr="00B31DF5">
        <w:rPr>
          <w:sz w:val="24"/>
          <w:szCs w:val="24"/>
        </w:rPr>
        <w:t>scal</w:t>
      </w:r>
      <w:r w:rsidR="0043122F" w:rsidRPr="00B31DF5">
        <w:rPr>
          <w:sz w:val="24"/>
          <w:szCs w:val="24"/>
        </w:rPr>
        <w:t xml:space="preserve"> year reporting period</w:t>
      </w:r>
      <w:r w:rsidR="00997679" w:rsidRPr="00B31DF5">
        <w:rPr>
          <w:sz w:val="24"/>
          <w:szCs w:val="24"/>
        </w:rPr>
        <w:t xml:space="preserve"> </w:t>
      </w:r>
      <w:r w:rsidR="00997679" w:rsidRPr="00B31DF5">
        <w:rPr>
          <w:sz w:val="24"/>
          <w:szCs w:val="24"/>
        </w:rPr>
        <w:fldChar w:fldCharType="begin"/>
      </w:r>
      <w:r w:rsidR="00C2773D">
        <w:rPr>
          <w:sz w:val="24"/>
          <w:szCs w:val="24"/>
        </w:rPr>
        <w:instrText xml:space="preserve"> ADDIN ZOTERO_ITEM CSL_CITATION {"citationID":"owVH8vVv","properties":{"formattedCitation":"(Institute for Government, 2021)","plainCitation":"(Institute for Government, 2021)","noteIndex":0},"citationItems":[{"id":589,"uris":["http://zotero.org/users/local/RRCsWsp6/items/T8VHMSVH"],"itemData":{"id":589,"type":"webpage","abstract":"Download as a PDF.","container-title":"The Institute for Government","language":"en","title":"Timeline of UK government coronavirus lockdowns and restrictions","URL":"https://www.instituteforgovernment.org.uk/charts/uk-government-coronavirus-lockdowns","author":[{"family":"Institute for Government","given":""}],"accessed":{"date-parts":[["2023",5,28]]},"issued":{"date-parts":[["2021",4,9]]}}}],"schema":"https://github.com/citation-style-language/schema/raw/master/csl-citation.json"} </w:instrText>
      </w:r>
      <w:r w:rsidR="00997679" w:rsidRPr="00B31DF5">
        <w:rPr>
          <w:sz w:val="24"/>
          <w:szCs w:val="24"/>
        </w:rPr>
        <w:fldChar w:fldCharType="separate"/>
      </w:r>
      <w:r w:rsidR="00C2773D">
        <w:rPr>
          <w:noProof/>
          <w:sz w:val="24"/>
          <w:szCs w:val="24"/>
        </w:rPr>
        <w:t>(Institute for Government, 2021)</w:t>
      </w:r>
      <w:r w:rsidR="00997679" w:rsidRPr="00B31DF5">
        <w:rPr>
          <w:sz w:val="24"/>
          <w:szCs w:val="24"/>
        </w:rPr>
        <w:fldChar w:fldCharType="end"/>
      </w:r>
      <w:r w:rsidR="0043122F" w:rsidRPr="00B31DF5">
        <w:rPr>
          <w:sz w:val="24"/>
          <w:szCs w:val="24"/>
        </w:rPr>
        <w:t xml:space="preserve">. </w:t>
      </w:r>
      <w:r w:rsidR="00BD2D74" w:rsidRPr="00B31DF5">
        <w:rPr>
          <w:sz w:val="24"/>
          <w:szCs w:val="24"/>
        </w:rPr>
        <w:t xml:space="preserve"> </w:t>
      </w:r>
      <w:r w:rsidR="00106C7B" w:rsidRPr="00B31DF5">
        <w:rPr>
          <w:sz w:val="24"/>
          <w:szCs w:val="24"/>
        </w:rPr>
        <w:t xml:space="preserve">This </w:t>
      </w:r>
      <w:r w:rsidR="00E1502B" w:rsidRPr="00B31DF5">
        <w:rPr>
          <w:sz w:val="24"/>
          <w:szCs w:val="24"/>
        </w:rPr>
        <w:t xml:space="preserve">accounting period has </w:t>
      </w:r>
      <w:r w:rsidR="00106C7B" w:rsidRPr="00B31DF5">
        <w:rPr>
          <w:sz w:val="24"/>
          <w:szCs w:val="24"/>
        </w:rPr>
        <w:t xml:space="preserve">historically </w:t>
      </w:r>
      <w:r w:rsidR="00E1502B" w:rsidRPr="00B31DF5">
        <w:rPr>
          <w:sz w:val="24"/>
          <w:szCs w:val="24"/>
        </w:rPr>
        <w:t>commenced on the 1</w:t>
      </w:r>
      <w:r w:rsidR="00E1502B" w:rsidRPr="00B31DF5">
        <w:rPr>
          <w:sz w:val="24"/>
          <w:szCs w:val="24"/>
          <w:vertAlign w:val="superscript"/>
        </w:rPr>
        <w:t>st</w:t>
      </w:r>
      <w:r w:rsidR="00E1502B" w:rsidRPr="00B31DF5">
        <w:rPr>
          <w:sz w:val="24"/>
          <w:szCs w:val="24"/>
        </w:rPr>
        <w:t xml:space="preserve"> </w:t>
      </w:r>
      <w:r w:rsidR="00413349">
        <w:rPr>
          <w:sz w:val="24"/>
          <w:szCs w:val="24"/>
        </w:rPr>
        <w:t xml:space="preserve">of </w:t>
      </w:r>
      <w:r w:rsidR="00E1502B" w:rsidRPr="00B31DF5">
        <w:rPr>
          <w:sz w:val="24"/>
          <w:szCs w:val="24"/>
        </w:rPr>
        <w:t>April running until the 31</w:t>
      </w:r>
      <w:r w:rsidR="00E1502B" w:rsidRPr="00B31DF5">
        <w:rPr>
          <w:sz w:val="24"/>
          <w:szCs w:val="24"/>
          <w:vertAlign w:val="superscript"/>
        </w:rPr>
        <w:t>st</w:t>
      </w:r>
      <w:r w:rsidR="00E1502B" w:rsidRPr="00B31DF5">
        <w:rPr>
          <w:sz w:val="24"/>
          <w:szCs w:val="24"/>
        </w:rPr>
        <w:t xml:space="preserve"> </w:t>
      </w:r>
      <w:r w:rsidR="00413349">
        <w:rPr>
          <w:sz w:val="24"/>
          <w:szCs w:val="24"/>
        </w:rPr>
        <w:t xml:space="preserve">of </w:t>
      </w:r>
      <w:r w:rsidR="00E1502B" w:rsidRPr="00B31DF5">
        <w:rPr>
          <w:sz w:val="24"/>
          <w:szCs w:val="24"/>
        </w:rPr>
        <w:t xml:space="preserve">March, to coincide with the </w:t>
      </w:r>
      <w:r w:rsidR="000822AD" w:rsidRPr="00B31DF5">
        <w:rPr>
          <w:sz w:val="24"/>
          <w:szCs w:val="24"/>
        </w:rPr>
        <w:t>fi</w:t>
      </w:r>
      <w:r w:rsidR="009F3024" w:rsidRPr="00B31DF5">
        <w:rPr>
          <w:sz w:val="24"/>
          <w:szCs w:val="24"/>
        </w:rPr>
        <w:t>scal</w:t>
      </w:r>
      <w:r w:rsidR="000822AD" w:rsidRPr="00B31DF5">
        <w:rPr>
          <w:sz w:val="24"/>
          <w:szCs w:val="24"/>
        </w:rPr>
        <w:t xml:space="preserve"> </w:t>
      </w:r>
      <w:r w:rsidR="00F02225" w:rsidRPr="00B31DF5">
        <w:rPr>
          <w:sz w:val="24"/>
          <w:szCs w:val="24"/>
        </w:rPr>
        <w:t>year used by Her Majest</w:t>
      </w:r>
      <w:r w:rsidR="00C437F9" w:rsidRPr="00B31DF5">
        <w:rPr>
          <w:sz w:val="24"/>
          <w:szCs w:val="24"/>
        </w:rPr>
        <w:t>y’</w:t>
      </w:r>
      <w:r w:rsidR="00F02225" w:rsidRPr="00B31DF5">
        <w:rPr>
          <w:sz w:val="24"/>
          <w:szCs w:val="24"/>
        </w:rPr>
        <w:t xml:space="preserve">s </w:t>
      </w:r>
      <w:r w:rsidR="00C437F9" w:rsidRPr="00B31DF5">
        <w:rPr>
          <w:sz w:val="24"/>
          <w:szCs w:val="24"/>
        </w:rPr>
        <w:t>Revenue and Customs</w:t>
      </w:r>
      <w:r w:rsidR="004F3F37" w:rsidRPr="00B31DF5">
        <w:rPr>
          <w:sz w:val="24"/>
          <w:szCs w:val="24"/>
        </w:rPr>
        <w:t xml:space="preserve"> for the setting, calculation and payment of Corporation Tax Rate for that year. </w:t>
      </w:r>
      <w:r w:rsidR="00D8545D" w:rsidRPr="00B31DF5">
        <w:rPr>
          <w:sz w:val="24"/>
          <w:szCs w:val="24"/>
        </w:rPr>
        <w:t>Companies may choose t</w:t>
      </w:r>
      <w:r w:rsidR="00913D02" w:rsidRPr="00B31DF5">
        <w:rPr>
          <w:sz w:val="24"/>
          <w:szCs w:val="24"/>
        </w:rPr>
        <w:t xml:space="preserve">he </w:t>
      </w:r>
      <w:r w:rsidR="001E51FE" w:rsidRPr="00B31DF5">
        <w:rPr>
          <w:sz w:val="24"/>
          <w:szCs w:val="24"/>
        </w:rPr>
        <w:t>Financial</w:t>
      </w:r>
      <w:r w:rsidR="009F3024" w:rsidRPr="00B31DF5">
        <w:rPr>
          <w:sz w:val="24"/>
          <w:szCs w:val="24"/>
        </w:rPr>
        <w:t xml:space="preserve"> </w:t>
      </w:r>
      <w:r w:rsidR="00913D02" w:rsidRPr="00B31DF5">
        <w:rPr>
          <w:sz w:val="24"/>
          <w:szCs w:val="24"/>
        </w:rPr>
        <w:t>Year</w:t>
      </w:r>
      <w:r w:rsidR="001E51FE" w:rsidRPr="00B31DF5">
        <w:rPr>
          <w:sz w:val="24"/>
          <w:szCs w:val="24"/>
        </w:rPr>
        <w:t xml:space="preserve"> (or accounting year)</w:t>
      </w:r>
      <w:r w:rsidR="00913D02" w:rsidRPr="00B31DF5">
        <w:rPr>
          <w:sz w:val="24"/>
          <w:szCs w:val="24"/>
        </w:rPr>
        <w:t xml:space="preserve"> that they choose to use</w:t>
      </w:r>
      <w:r w:rsidR="009F3024" w:rsidRPr="00B31DF5">
        <w:rPr>
          <w:sz w:val="24"/>
          <w:szCs w:val="24"/>
        </w:rPr>
        <w:t xml:space="preserve"> – with this defined as </w:t>
      </w:r>
      <w:r w:rsidR="001E51FE" w:rsidRPr="00B31DF5">
        <w:rPr>
          <w:sz w:val="24"/>
          <w:szCs w:val="24"/>
        </w:rPr>
        <w:t>the 12 month period</w:t>
      </w:r>
      <w:r w:rsidR="00913D02" w:rsidRPr="00B31DF5">
        <w:rPr>
          <w:sz w:val="24"/>
          <w:szCs w:val="24"/>
        </w:rPr>
        <w:t xml:space="preserve"> w</w:t>
      </w:r>
      <w:r w:rsidR="001E51FE" w:rsidRPr="00B31DF5">
        <w:rPr>
          <w:sz w:val="24"/>
          <w:szCs w:val="24"/>
        </w:rPr>
        <w:t>hich a</w:t>
      </w:r>
      <w:r w:rsidR="00913D02" w:rsidRPr="00B31DF5">
        <w:rPr>
          <w:sz w:val="24"/>
          <w:szCs w:val="24"/>
        </w:rPr>
        <w:t xml:space="preserve"> co</w:t>
      </w:r>
      <w:r w:rsidR="001E51FE" w:rsidRPr="00B31DF5">
        <w:rPr>
          <w:sz w:val="24"/>
          <w:szCs w:val="24"/>
        </w:rPr>
        <w:t xml:space="preserve">mpany will use to prepare </w:t>
      </w:r>
      <w:r w:rsidR="00371475" w:rsidRPr="00B31DF5">
        <w:rPr>
          <w:sz w:val="24"/>
          <w:szCs w:val="24"/>
        </w:rPr>
        <w:t>its</w:t>
      </w:r>
      <w:r w:rsidR="001E51FE" w:rsidRPr="00B31DF5">
        <w:rPr>
          <w:sz w:val="24"/>
          <w:szCs w:val="24"/>
        </w:rPr>
        <w:t xml:space="preserve"> account</w:t>
      </w:r>
      <w:r w:rsidR="0033515A" w:rsidRPr="00B31DF5">
        <w:rPr>
          <w:sz w:val="24"/>
          <w:szCs w:val="24"/>
        </w:rPr>
        <w:t xml:space="preserve">s  </w:t>
      </w:r>
      <w:r w:rsidR="0033515A" w:rsidRPr="00B31DF5">
        <w:rPr>
          <w:sz w:val="24"/>
          <w:szCs w:val="24"/>
        </w:rPr>
        <w:fldChar w:fldCharType="begin"/>
      </w:r>
      <w:r w:rsidR="008A0D7D">
        <w:rPr>
          <w:sz w:val="24"/>
          <w:szCs w:val="24"/>
        </w:rPr>
        <w:instrText xml:space="preserve"> ADDIN ZOTERO_ITEM CSL_CITATION {"citationID":"7fwlDrSB","properties":{"unsorted":true,"formattedCitation":"(Carpenter, 2014; J. Law, 2016; Deveonshire Green, 2019)","plainCitation":"(Carpenter, 2014; J. Law, 2016; Deveonshire Green, 2019)","noteIndex":0},"citationItems":[{"id":592,"uris":["http://zotero.org/users/local/RRCsWsp6/items/S6954ILW"],"itemData":{"id":592,"type":"post-weblog","abstract":"Read our guide to find out how and when to register a company for Corporation Tax, file Company Tax Returns and accounts, and pay Corporation Tax to HMRC.","container-title":"1st Formations Blog","language":"en-GB","title":"An introduction to Corporation Tax","URL":"https://www.1stformations.co.uk/blog/corporation-tax-an-introduction/","author":[{"family":"Carpenter","given":"John"}],"accessed":{"date-parts":[["2022",11,28]]},"issued":{"date-parts":[["2014",11,28]]}},"label":"page"},{"id":596,"uris":["http://zotero.org/users/local/RRCsWsp6/items/JY6DPM74"],"itemData":{"id":596,"type":"book","abstract":"This authoritative A-Z contains over 3,800 clear and concise entries on all aspects of accounting, from financial and management accounting to auditing, taxation, and corporate finance. It includes worked examples, as well as recommended web links for many entries.","collection-title":"Oxford Quick Reference","event-place":"Oxford","ISBN":"978-0-19-874351-4","language":"eng","publisher":"University Press, Incorporated","publisher-place":"Oxford","source":"librarysearch.uwtsd.ac.uk","title":"A Dictionary of Accounting","author":[{"family":"Law","given":"Jonathan"}],"issued":{"date-parts":[["2016"]]}},"label":"page"},{"id":594,"uris":["http://zotero.org/users/local/RRCsWsp6/items/R5VZHCNL"],"itemData":{"id":594,"type":"post-weblog","abstract":"Knowing your business’ tax deadlines is the key to business success. But staying on top of the various dates can be confusing, especially when you notice certain sources talking about the fiscal year while others might mention the accounting year. In order to help you navigate the world of tax deadlines, this guide will help you understand: What is a Fiscal Year What is an Accounting Year The Benefits of Matching Your Fiscal and Accounting Year The Most Important Dates for Your Accounting Needs How We Can Help You with Your Tax Returns","container-title":"Devonshire Green UK","language":"en-US","note":"section: Insights","title":"Important Dates - Differences between fiscal and accounting year ends.","URL":"https://www.devonshiregreen.uk/important-dates-differences-between-fiscal-and-accounting-year-ends-when-you-need-to-file-your-accounts-pay-your-taxes-vat-etc/","author":[{"family":"Deveonshire Green","given":""}],"accessed":{"date-parts":[["2023",6,28]]},"issued":{"date-parts":[["2019",7,19]]}},"label":"page"}],"schema":"https://github.com/citation-style-language/schema/raw/master/csl-citation.json"} </w:instrText>
      </w:r>
      <w:r w:rsidR="0033515A" w:rsidRPr="00B31DF5">
        <w:rPr>
          <w:sz w:val="24"/>
          <w:szCs w:val="24"/>
        </w:rPr>
        <w:fldChar w:fldCharType="separate"/>
      </w:r>
      <w:r w:rsidR="008A0D7D">
        <w:rPr>
          <w:noProof/>
          <w:sz w:val="24"/>
          <w:szCs w:val="24"/>
        </w:rPr>
        <w:t>(Carpenter, 2014; J. Law, 2016; Deveonshire Green, 2019)</w:t>
      </w:r>
      <w:r w:rsidR="0033515A" w:rsidRPr="00B31DF5">
        <w:rPr>
          <w:sz w:val="24"/>
          <w:szCs w:val="24"/>
        </w:rPr>
        <w:fldChar w:fldCharType="end"/>
      </w:r>
      <w:r w:rsidR="0033515A" w:rsidRPr="00B31DF5">
        <w:rPr>
          <w:sz w:val="24"/>
          <w:szCs w:val="24"/>
        </w:rPr>
        <w:t xml:space="preserve">. </w:t>
      </w:r>
      <w:r w:rsidR="00913D02" w:rsidRPr="00B31DF5">
        <w:rPr>
          <w:sz w:val="24"/>
          <w:szCs w:val="24"/>
        </w:rPr>
        <w:t xml:space="preserve"> </w:t>
      </w:r>
    </w:p>
    <w:p w14:paraId="536F5FA8" w14:textId="6FA4719C" w:rsidR="00226BAA" w:rsidRPr="00B31DF5" w:rsidRDefault="00226BAA" w:rsidP="004B294D">
      <w:pPr>
        <w:spacing w:line="480" w:lineRule="auto"/>
        <w:jc w:val="both"/>
        <w:rPr>
          <w:sz w:val="24"/>
          <w:szCs w:val="24"/>
        </w:rPr>
      </w:pPr>
      <w:r w:rsidRPr="00B31DF5">
        <w:rPr>
          <w:sz w:val="24"/>
          <w:szCs w:val="24"/>
        </w:rPr>
        <w:t xml:space="preserve">Companies comprising the </w:t>
      </w:r>
      <w:r w:rsidR="00D06C36">
        <w:rPr>
          <w:sz w:val="24"/>
          <w:szCs w:val="24"/>
        </w:rPr>
        <w:t>FTSE 250</w:t>
      </w:r>
      <w:r w:rsidRPr="00B31DF5">
        <w:rPr>
          <w:sz w:val="24"/>
          <w:szCs w:val="24"/>
        </w:rPr>
        <w:t xml:space="preserve"> index used for this study </w:t>
      </w:r>
      <w:r w:rsidR="00B31DF5" w:rsidRPr="00273128">
        <w:rPr>
          <w:sz w:val="24"/>
          <w:szCs w:val="24"/>
        </w:rPr>
        <w:t>(</w:t>
      </w:r>
      <w:r w:rsidR="008F2FB1" w:rsidRPr="00273128">
        <w:rPr>
          <w:sz w:val="24"/>
          <w:szCs w:val="24"/>
        </w:rPr>
        <w:t>Table 1.</w:t>
      </w:r>
      <w:r w:rsidR="00B31DF5" w:rsidRPr="00273128">
        <w:rPr>
          <w:sz w:val="24"/>
          <w:szCs w:val="24"/>
        </w:rPr>
        <w:t>)</w:t>
      </w:r>
      <w:r w:rsidR="00B31DF5" w:rsidRPr="00B31DF5">
        <w:rPr>
          <w:sz w:val="24"/>
          <w:szCs w:val="24"/>
        </w:rPr>
        <w:t xml:space="preserve"> </w:t>
      </w:r>
      <w:r w:rsidRPr="00B31DF5">
        <w:rPr>
          <w:sz w:val="24"/>
          <w:szCs w:val="24"/>
        </w:rPr>
        <w:t>showed a range of Financial Year</w:t>
      </w:r>
      <w:r w:rsidR="00476517" w:rsidRPr="00B31DF5">
        <w:rPr>
          <w:sz w:val="24"/>
          <w:szCs w:val="24"/>
        </w:rPr>
        <w:t xml:space="preserve">’s with the majority </w:t>
      </w:r>
      <w:r w:rsidR="00972511" w:rsidRPr="00B31DF5">
        <w:rPr>
          <w:sz w:val="24"/>
          <w:szCs w:val="24"/>
        </w:rPr>
        <w:t xml:space="preserve">choosing a January to December, or April to March </w:t>
      </w:r>
      <w:r w:rsidR="00972511" w:rsidRPr="00B31DF5">
        <w:rPr>
          <w:sz w:val="24"/>
          <w:szCs w:val="24"/>
        </w:rPr>
        <w:lastRenderedPageBreak/>
        <w:t xml:space="preserve">reporting period. </w:t>
      </w:r>
      <w:r w:rsidR="00826F24" w:rsidRPr="00B31DF5">
        <w:rPr>
          <w:sz w:val="24"/>
          <w:szCs w:val="24"/>
        </w:rPr>
        <w:t xml:space="preserve">As previously discussed, March to April reporting aligns with the UK Fiscal Year, however calendar year financial </w:t>
      </w:r>
      <w:r w:rsidR="00483BBF" w:rsidRPr="00B31DF5">
        <w:rPr>
          <w:sz w:val="24"/>
          <w:szCs w:val="24"/>
        </w:rPr>
        <w:t xml:space="preserve">reporting is popular and aligns with commonly traded international companies. </w:t>
      </w:r>
      <w:r w:rsidR="00B615CA" w:rsidRPr="00B31DF5">
        <w:rPr>
          <w:sz w:val="24"/>
          <w:szCs w:val="24"/>
        </w:rPr>
        <w:t xml:space="preserve">October to September reporting is most common in companies focused or based within the United States of America due to </w:t>
      </w:r>
      <w:r w:rsidR="00C52E7F" w:rsidRPr="00B31DF5">
        <w:rPr>
          <w:sz w:val="24"/>
          <w:szCs w:val="24"/>
        </w:rPr>
        <w:t xml:space="preserve">the USA governmental fiscal year being October to September </w:t>
      </w:r>
      <w:r w:rsidR="00CB215A" w:rsidRPr="00B31DF5">
        <w:rPr>
          <w:sz w:val="24"/>
          <w:szCs w:val="24"/>
        </w:rPr>
        <w:fldChar w:fldCharType="begin"/>
      </w:r>
      <w:r w:rsidR="00AC7BCA">
        <w:rPr>
          <w:sz w:val="24"/>
          <w:szCs w:val="24"/>
        </w:rPr>
        <w:instrText xml:space="preserve"> ADDIN ZOTERO_ITEM CSL_CITATION {"citationID":"chCj0NUh","properties":{"formattedCitation":"(Corporate Finance Insitute, 2022)","plainCitation":"(Corporate Finance Insitute, 2022)","noteIndex":0},"citationItems":[{"id":597,"uris":["http://zotero.org/users/local/RRCsWsp6/items/6MU8P728"],"itemData":{"id":597,"type":"report","abstract":"A fiscal year (FY) is a 12-month or 52-week period of time used by governments and businesses for accounting purposes to formulate annual","language":"en-US","publisher":"CFI","title":"Fiscal Year","URL":"https://corporatefinanceinstitute.com/resources/knowledge/accounting/fy-fiscal-year/","author":[{"family":"Corporate Finance Insitute","given":""}],"accessed":{"date-parts":[["2023",6,28]]},"issued":{"date-parts":[["2022",2,20]]}}}],"schema":"https://github.com/citation-style-language/schema/raw/master/csl-citation.json"} </w:instrText>
      </w:r>
      <w:r w:rsidR="00CB215A" w:rsidRPr="00B31DF5">
        <w:rPr>
          <w:sz w:val="24"/>
          <w:szCs w:val="24"/>
        </w:rPr>
        <w:fldChar w:fldCharType="separate"/>
      </w:r>
      <w:r w:rsidR="007931FB">
        <w:rPr>
          <w:noProof/>
          <w:sz w:val="24"/>
          <w:szCs w:val="24"/>
        </w:rPr>
        <w:t>(Corporate Finance Insitute, 2022)</w:t>
      </w:r>
      <w:r w:rsidR="00CB215A" w:rsidRPr="00B31DF5">
        <w:rPr>
          <w:sz w:val="24"/>
          <w:szCs w:val="24"/>
        </w:rPr>
        <w:fldChar w:fldCharType="end"/>
      </w:r>
      <w:r w:rsidR="00C52E7F" w:rsidRPr="00B31DF5">
        <w:rPr>
          <w:sz w:val="24"/>
          <w:szCs w:val="24"/>
        </w:rPr>
        <w:t xml:space="preserve">. </w:t>
      </w:r>
    </w:p>
    <w:p w14:paraId="21C42B76" w14:textId="0026BFA1" w:rsidR="0055345B" w:rsidRDefault="00CF42BE" w:rsidP="00CD72D7">
      <w:pPr>
        <w:spacing w:line="240" w:lineRule="auto"/>
        <w:jc w:val="both"/>
        <w:rPr>
          <w:b/>
          <w:bCs/>
          <w:sz w:val="18"/>
          <w:szCs w:val="18"/>
        </w:rPr>
      </w:pPr>
      <w:r w:rsidRPr="00273128">
        <w:rPr>
          <w:b/>
          <w:bCs/>
          <w:sz w:val="18"/>
          <w:szCs w:val="18"/>
        </w:rPr>
        <w:t xml:space="preserve">Table 1. </w:t>
      </w:r>
      <w:r w:rsidR="00124AD5" w:rsidRPr="00273128">
        <w:rPr>
          <w:b/>
          <w:bCs/>
          <w:sz w:val="18"/>
          <w:szCs w:val="18"/>
        </w:rPr>
        <w:t xml:space="preserve"> Summary of the Financial</w:t>
      </w:r>
      <w:r w:rsidR="00273128" w:rsidRPr="00273128">
        <w:rPr>
          <w:b/>
          <w:bCs/>
          <w:sz w:val="18"/>
          <w:szCs w:val="18"/>
        </w:rPr>
        <w:t xml:space="preserve"> Year end counts for companies listed on the </w:t>
      </w:r>
      <w:r w:rsidR="00D06C36">
        <w:rPr>
          <w:b/>
          <w:bCs/>
          <w:sz w:val="18"/>
          <w:szCs w:val="18"/>
        </w:rPr>
        <w:t>FTSE 250</w:t>
      </w:r>
      <w:r w:rsidR="00273128" w:rsidRPr="00273128">
        <w:rPr>
          <w:b/>
          <w:bCs/>
          <w:sz w:val="18"/>
          <w:szCs w:val="18"/>
        </w:rPr>
        <w:t xml:space="preserve"> index during the study period. </w:t>
      </w:r>
      <w:r w:rsidR="00124AD5" w:rsidRPr="00273128">
        <w:rPr>
          <w:b/>
          <w:bCs/>
          <w:sz w:val="18"/>
          <w:szCs w:val="18"/>
        </w:rPr>
        <w:t xml:space="preserve"> </w:t>
      </w:r>
    </w:p>
    <w:p w14:paraId="0AE5AA1C" w14:textId="77777777" w:rsidR="00F66A5A" w:rsidRPr="00273128" w:rsidRDefault="00F66A5A" w:rsidP="00CD72D7">
      <w:pPr>
        <w:spacing w:line="240" w:lineRule="auto"/>
        <w:jc w:val="both"/>
        <w:rPr>
          <w:b/>
          <w:bCs/>
          <w:sz w:val="18"/>
          <w:szCs w:val="18"/>
        </w:rPr>
      </w:pPr>
    </w:p>
    <w:p w14:paraId="537241C7" w14:textId="7243732B" w:rsidR="00331F8F" w:rsidRDefault="00083484" w:rsidP="004B294D">
      <w:pPr>
        <w:spacing w:line="480" w:lineRule="auto"/>
        <w:jc w:val="both"/>
        <w:rPr>
          <w:sz w:val="24"/>
          <w:szCs w:val="24"/>
        </w:rPr>
      </w:pPr>
      <w:r>
        <w:rPr>
          <w:noProof/>
          <w:sz w:val="24"/>
          <w:szCs w:val="24"/>
        </w:rPr>
        <w:drawing>
          <wp:inline distT="0" distB="0" distL="0" distR="0" wp14:anchorId="20A635D4" wp14:editId="4551B60F">
            <wp:extent cx="1990578" cy="2618478"/>
            <wp:effectExtent l="0" t="0" r="0" b="0"/>
            <wp:docPr id="18682275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6822758" name="Picture 186822758"/>
                    <pic:cNvPicPr/>
                  </pic:nvPicPr>
                  <pic:blipFill>
                    <a:blip r:embed="rId12" cstate="print">
                      <a:extLst>
                        <a:ext uri="{28A0092B-C50C-407E-A947-70E740481C1C}">
                          <a14:useLocalDpi xmlns:a14="http://schemas.microsoft.com/office/drawing/2010/main" val="0"/>
                        </a:ext>
                      </a:extLst>
                    </a:blip>
                    <a:stretch>
                      <a:fillRect/>
                    </a:stretch>
                  </pic:blipFill>
                  <pic:spPr>
                    <a:xfrm>
                      <a:off x="0" y="0"/>
                      <a:ext cx="1990578" cy="2618478"/>
                    </a:xfrm>
                    <a:prstGeom prst="rect">
                      <a:avLst/>
                    </a:prstGeom>
                  </pic:spPr>
                </pic:pic>
              </a:graphicData>
            </a:graphic>
          </wp:inline>
        </w:drawing>
      </w:r>
    </w:p>
    <w:p w14:paraId="63E8A148" w14:textId="29A6CFA8" w:rsidR="00554D5C" w:rsidRDefault="00364890" w:rsidP="004B294D">
      <w:pPr>
        <w:spacing w:line="480" w:lineRule="auto"/>
        <w:jc w:val="both"/>
        <w:rPr>
          <w:sz w:val="24"/>
          <w:szCs w:val="24"/>
        </w:rPr>
      </w:pPr>
      <w:r>
        <w:rPr>
          <w:sz w:val="24"/>
          <w:szCs w:val="24"/>
        </w:rPr>
        <w:t xml:space="preserve">As </w:t>
      </w:r>
      <w:r w:rsidR="002D2567">
        <w:rPr>
          <w:sz w:val="24"/>
          <w:szCs w:val="24"/>
        </w:rPr>
        <w:t xml:space="preserve">mentioned above, our three financial years used for analysis </w:t>
      </w:r>
      <w:r w:rsidR="00FA5526">
        <w:rPr>
          <w:sz w:val="24"/>
          <w:szCs w:val="24"/>
        </w:rPr>
        <w:t xml:space="preserve">are referred to as 2019, 2020 and 2021; to allow an easy reference point to visualised pre-pandemic, pandemic impact and pandemic recovery financial years. </w:t>
      </w:r>
      <w:r w:rsidR="00E346C1" w:rsidRPr="00E346C1">
        <w:rPr>
          <w:sz w:val="24"/>
          <w:szCs w:val="24"/>
        </w:rPr>
        <w:t>To accommodate the analysis of pre-pandemic</w:t>
      </w:r>
      <w:r w:rsidR="0081428F">
        <w:rPr>
          <w:sz w:val="24"/>
          <w:szCs w:val="24"/>
        </w:rPr>
        <w:t xml:space="preserve"> (2019) versus </w:t>
      </w:r>
      <w:r w:rsidR="00E346C1" w:rsidRPr="00E346C1">
        <w:rPr>
          <w:sz w:val="24"/>
          <w:szCs w:val="24"/>
        </w:rPr>
        <w:t>pandemic impact</w:t>
      </w:r>
      <w:r w:rsidR="0081428F">
        <w:rPr>
          <w:sz w:val="24"/>
          <w:szCs w:val="24"/>
        </w:rPr>
        <w:t>ed</w:t>
      </w:r>
      <w:r w:rsidR="00E346C1" w:rsidRPr="00E346C1">
        <w:rPr>
          <w:sz w:val="24"/>
          <w:szCs w:val="24"/>
        </w:rPr>
        <w:t xml:space="preserve"> financial years</w:t>
      </w:r>
      <w:r w:rsidR="00CF6489">
        <w:rPr>
          <w:sz w:val="24"/>
          <w:szCs w:val="24"/>
        </w:rPr>
        <w:t xml:space="preserve"> (2020 and 2021), the</w:t>
      </w:r>
      <w:r w:rsidR="002F686D">
        <w:rPr>
          <w:sz w:val="24"/>
          <w:szCs w:val="24"/>
        </w:rPr>
        <w:t>re was an essential requirement to have a baseline</w:t>
      </w:r>
      <w:r w:rsidR="00FF7967">
        <w:rPr>
          <w:sz w:val="24"/>
          <w:szCs w:val="24"/>
        </w:rPr>
        <w:t xml:space="preserve"> financial </w:t>
      </w:r>
      <w:r w:rsidR="002F686D">
        <w:rPr>
          <w:sz w:val="24"/>
          <w:szCs w:val="24"/>
        </w:rPr>
        <w:t xml:space="preserve">year for </w:t>
      </w:r>
      <w:r w:rsidR="00FF7967">
        <w:rPr>
          <w:sz w:val="24"/>
          <w:szCs w:val="24"/>
        </w:rPr>
        <w:t>‘</w:t>
      </w:r>
      <w:r w:rsidR="002F686D">
        <w:rPr>
          <w:sz w:val="24"/>
          <w:szCs w:val="24"/>
        </w:rPr>
        <w:t>2019</w:t>
      </w:r>
      <w:r w:rsidR="00FF7967">
        <w:rPr>
          <w:sz w:val="24"/>
          <w:szCs w:val="24"/>
        </w:rPr>
        <w:t>’</w:t>
      </w:r>
      <w:r w:rsidR="002F686D">
        <w:rPr>
          <w:sz w:val="24"/>
          <w:szCs w:val="24"/>
        </w:rPr>
        <w:t xml:space="preserve"> that was not affected by COVID-19. </w:t>
      </w:r>
      <w:r w:rsidR="003A0EEE">
        <w:rPr>
          <w:sz w:val="24"/>
          <w:szCs w:val="24"/>
        </w:rPr>
        <w:t xml:space="preserve">The </w:t>
      </w:r>
      <w:r w:rsidR="00D143F8">
        <w:rPr>
          <w:sz w:val="24"/>
          <w:szCs w:val="24"/>
        </w:rPr>
        <w:t xml:space="preserve">varying </w:t>
      </w:r>
      <w:r w:rsidR="003A0EEE">
        <w:rPr>
          <w:sz w:val="24"/>
          <w:szCs w:val="24"/>
        </w:rPr>
        <w:t>reporting periods</w:t>
      </w:r>
      <w:r w:rsidR="00D143F8">
        <w:rPr>
          <w:sz w:val="24"/>
          <w:szCs w:val="24"/>
        </w:rPr>
        <w:t xml:space="preserve"> used by </w:t>
      </w:r>
      <w:r w:rsidR="00D06C36">
        <w:rPr>
          <w:sz w:val="24"/>
          <w:szCs w:val="24"/>
        </w:rPr>
        <w:t>FTSE 250</w:t>
      </w:r>
      <w:r w:rsidR="00D143F8">
        <w:rPr>
          <w:sz w:val="24"/>
          <w:szCs w:val="24"/>
        </w:rPr>
        <w:t xml:space="preserve"> constituents </w:t>
      </w:r>
      <w:r w:rsidR="003A0EEE">
        <w:rPr>
          <w:sz w:val="24"/>
          <w:szCs w:val="24"/>
        </w:rPr>
        <w:t>necessitated adjusti</w:t>
      </w:r>
      <w:r w:rsidR="00AC40E1">
        <w:rPr>
          <w:sz w:val="24"/>
          <w:szCs w:val="24"/>
        </w:rPr>
        <w:t xml:space="preserve">ng </w:t>
      </w:r>
      <w:r w:rsidR="00551D82">
        <w:rPr>
          <w:sz w:val="24"/>
          <w:szCs w:val="24"/>
        </w:rPr>
        <w:t xml:space="preserve">on a </w:t>
      </w:r>
      <w:r w:rsidR="00D143F8">
        <w:rPr>
          <w:sz w:val="24"/>
          <w:szCs w:val="24"/>
        </w:rPr>
        <w:t>company-by-company</w:t>
      </w:r>
      <w:r w:rsidR="00551D82">
        <w:rPr>
          <w:sz w:val="24"/>
          <w:szCs w:val="24"/>
        </w:rPr>
        <w:t xml:space="preserve"> basis the range of annual financial reports </w:t>
      </w:r>
      <w:r w:rsidR="00D143F8">
        <w:rPr>
          <w:sz w:val="24"/>
          <w:szCs w:val="24"/>
        </w:rPr>
        <w:t>analysed</w:t>
      </w:r>
      <w:r w:rsidR="00402845">
        <w:rPr>
          <w:sz w:val="24"/>
          <w:szCs w:val="24"/>
        </w:rPr>
        <w:t xml:space="preserve">. </w:t>
      </w:r>
    </w:p>
    <w:p w14:paraId="7AB9D9FB" w14:textId="4B75F2E1" w:rsidR="00FA5526" w:rsidRDefault="00554D5C" w:rsidP="004B294D">
      <w:pPr>
        <w:spacing w:line="480" w:lineRule="auto"/>
        <w:jc w:val="both"/>
        <w:rPr>
          <w:sz w:val="24"/>
          <w:szCs w:val="24"/>
        </w:rPr>
      </w:pPr>
      <w:r>
        <w:rPr>
          <w:sz w:val="24"/>
          <w:szCs w:val="24"/>
        </w:rPr>
        <w:t>For this study, a</w:t>
      </w:r>
      <w:r w:rsidR="00402845">
        <w:rPr>
          <w:sz w:val="24"/>
          <w:szCs w:val="24"/>
        </w:rPr>
        <w:t xml:space="preserve"> cut-off of April was selected to align with the first UK </w:t>
      </w:r>
      <w:r>
        <w:rPr>
          <w:sz w:val="24"/>
          <w:szCs w:val="24"/>
        </w:rPr>
        <w:t>national lockdown</w:t>
      </w:r>
      <w:r w:rsidR="001A4F15">
        <w:rPr>
          <w:sz w:val="24"/>
          <w:szCs w:val="24"/>
        </w:rPr>
        <w:t xml:space="preserve"> on the </w:t>
      </w:r>
      <w:r w:rsidR="00413349">
        <w:rPr>
          <w:sz w:val="24"/>
          <w:szCs w:val="24"/>
        </w:rPr>
        <w:t>26</w:t>
      </w:r>
      <w:r w:rsidR="00413349" w:rsidRPr="001A4F15">
        <w:rPr>
          <w:sz w:val="24"/>
          <w:szCs w:val="24"/>
          <w:vertAlign w:val="superscript"/>
        </w:rPr>
        <w:t>th</w:t>
      </w:r>
      <w:r w:rsidR="00413349">
        <w:rPr>
          <w:sz w:val="24"/>
          <w:szCs w:val="24"/>
          <w:vertAlign w:val="superscript"/>
        </w:rPr>
        <w:t xml:space="preserve"> </w:t>
      </w:r>
      <w:r w:rsidR="00413349">
        <w:rPr>
          <w:sz w:val="24"/>
          <w:szCs w:val="24"/>
        </w:rPr>
        <w:t xml:space="preserve">of </w:t>
      </w:r>
      <w:r w:rsidR="001A4F15">
        <w:rPr>
          <w:sz w:val="24"/>
          <w:szCs w:val="24"/>
        </w:rPr>
        <w:t xml:space="preserve">April 2020, assumed here as the start of the COVID-19 pandemic affecting the UK </w:t>
      </w:r>
      <w:r w:rsidR="001A4F15">
        <w:rPr>
          <w:sz w:val="24"/>
          <w:szCs w:val="24"/>
        </w:rPr>
        <w:lastRenderedPageBreak/>
        <w:t xml:space="preserve">economy and therefore the companies we are analysing. </w:t>
      </w:r>
      <w:r w:rsidR="005B61ED">
        <w:rPr>
          <w:sz w:val="24"/>
          <w:szCs w:val="24"/>
        </w:rPr>
        <w:t>C</w:t>
      </w:r>
      <w:r w:rsidR="001136E7">
        <w:rPr>
          <w:sz w:val="24"/>
          <w:szCs w:val="24"/>
        </w:rPr>
        <w:t xml:space="preserve">ompanies with a financial year for 2019 that would end </w:t>
      </w:r>
      <w:r w:rsidR="00395058">
        <w:rPr>
          <w:sz w:val="24"/>
          <w:szCs w:val="24"/>
        </w:rPr>
        <w:t>later than 1</w:t>
      </w:r>
      <w:r w:rsidR="00395058" w:rsidRPr="00395058">
        <w:rPr>
          <w:sz w:val="24"/>
          <w:szCs w:val="24"/>
          <w:vertAlign w:val="superscript"/>
        </w:rPr>
        <w:t>st</w:t>
      </w:r>
      <w:r w:rsidR="00395058">
        <w:rPr>
          <w:sz w:val="24"/>
          <w:szCs w:val="24"/>
        </w:rPr>
        <w:t xml:space="preserve"> April 2020, and therefore be affected by the COVID-19 pandemic</w:t>
      </w:r>
      <w:r w:rsidR="00902DD9">
        <w:rPr>
          <w:sz w:val="24"/>
          <w:szCs w:val="24"/>
        </w:rPr>
        <w:t xml:space="preserve">; the financial report with an end date in 2019 was used to provide a baseline </w:t>
      </w:r>
      <w:r w:rsidR="00071DCE">
        <w:rPr>
          <w:sz w:val="24"/>
          <w:szCs w:val="24"/>
        </w:rPr>
        <w:t xml:space="preserve">‘2019’ pre-pandemic year, with the next two years </w:t>
      </w:r>
      <w:r w:rsidR="00697146">
        <w:rPr>
          <w:sz w:val="24"/>
          <w:szCs w:val="24"/>
        </w:rPr>
        <w:t xml:space="preserve">reports representing </w:t>
      </w:r>
      <w:r w:rsidR="003E4CEE">
        <w:rPr>
          <w:sz w:val="24"/>
          <w:szCs w:val="24"/>
        </w:rPr>
        <w:t xml:space="preserve">‘2020’ pandemic affected, and ‘2021’ pandemic recovery. </w:t>
      </w:r>
    </w:p>
    <w:p w14:paraId="75D9AA85" w14:textId="36AAD99F" w:rsidR="009C371A" w:rsidRDefault="000A5452" w:rsidP="004B294D">
      <w:pPr>
        <w:spacing w:line="480" w:lineRule="auto"/>
        <w:jc w:val="both"/>
        <w:rPr>
          <w:sz w:val="24"/>
          <w:szCs w:val="24"/>
        </w:rPr>
      </w:pPr>
      <w:r>
        <w:rPr>
          <w:sz w:val="24"/>
          <w:szCs w:val="24"/>
        </w:rPr>
        <w:t xml:space="preserve">As the stated aim of the study was to, as far as possible investigate the </w:t>
      </w:r>
      <w:r w:rsidR="00FB4C8D">
        <w:rPr>
          <w:sz w:val="24"/>
          <w:szCs w:val="24"/>
        </w:rPr>
        <w:t xml:space="preserve">effect of </w:t>
      </w:r>
      <w:r w:rsidR="00E73D4D">
        <w:rPr>
          <w:sz w:val="24"/>
          <w:szCs w:val="24"/>
        </w:rPr>
        <w:t xml:space="preserve">the COVID-19 pandemic on the </w:t>
      </w:r>
      <w:r w:rsidR="00D06C36">
        <w:rPr>
          <w:sz w:val="24"/>
          <w:szCs w:val="24"/>
        </w:rPr>
        <w:t>FTSE 250</w:t>
      </w:r>
      <w:r w:rsidR="00E73D4D">
        <w:rPr>
          <w:sz w:val="24"/>
          <w:szCs w:val="24"/>
        </w:rPr>
        <w:t xml:space="preserve">; ensuring that financial reports </w:t>
      </w:r>
      <w:r w:rsidR="00E97D3C">
        <w:rPr>
          <w:sz w:val="24"/>
          <w:szCs w:val="24"/>
        </w:rPr>
        <w:t xml:space="preserve">were only affected </w:t>
      </w:r>
      <w:r w:rsidR="00B0224F">
        <w:rPr>
          <w:sz w:val="24"/>
          <w:szCs w:val="24"/>
        </w:rPr>
        <w:t xml:space="preserve">by this, care during the data collection phase was needed to ensure that </w:t>
      </w:r>
      <w:r w:rsidR="00E4225E">
        <w:rPr>
          <w:sz w:val="24"/>
          <w:szCs w:val="24"/>
        </w:rPr>
        <w:t>the ‘2021’ year</w:t>
      </w:r>
      <w:r w:rsidR="00535846">
        <w:rPr>
          <w:sz w:val="24"/>
          <w:szCs w:val="24"/>
        </w:rPr>
        <w:t>’s company</w:t>
      </w:r>
      <w:r w:rsidR="00E4225E">
        <w:rPr>
          <w:sz w:val="24"/>
          <w:szCs w:val="24"/>
        </w:rPr>
        <w:t xml:space="preserve"> report did not overlap with the invasion of Ukraine.</w:t>
      </w:r>
      <w:r w:rsidR="0035215F">
        <w:rPr>
          <w:sz w:val="24"/>
          <w:szCs w:val="24"/>
        </w:rPr>
        <w:t xml:space="preserve"> The invasion of Ukraine by the Russian Federation</w:t>
      </w:r>
      <w:r w:rsidR="00535846">
        <w:rPr>
          <w:sz w:val="24"/>
          <w:szCs w:val="24"/>
        </w:rPr>
        <w:t xml:space="preserve"> commenced after</w:t>
      </w:r>
      <w:r w:rsidR="00E400F1">
        <w:rPr>
          <w:sz w:val="24"/>
          <w:szCs w:val="24"/>
        </w:rPr>
        <w:t xml:space="preserve"> a</w:t>
      </w:r>
      <w:r w:rsidR="00535846">
        <w:rPr>
          <w:sz w:val="24"/>
          <w:szCs w:val="24"/>
        </w:rPr>
        <w:t xml:space="preserve"> </w:t>
      </w:r>
      <w:r w:rsidR="006E290A">
        <w:rPr>
          <w:sz w:val="24"/>
          <w:szCs w:val="24"/>
        </w:rPr>
        <w:t>build-up</w:t>
      </w:r>
      <w:r w:rsidR="00E400F1">
        <w:rPr>
          <w:sz w:val="24"/>
          <w:szCs w:val="24"/>
        </w:rPr>
        <w:t xml:space="preserve"> period</w:t>
      </w:r>
      <w:r w:rsidR="00535846">
        <w:rPr>
          <w:sz w:val="24"/>
          <w:szCs w:val="24"/>
        </w:rPr>
        <w:t xml:space="preserve"> on the 24</w:t>
      </w:r>
      <w:r w:rsidR="00535846" w:rsidRPr="00535846">
        <w:rPr>
          <w:sz w:val="24"/>
          <w:szCs w:val="24"/>
          <w:vertAlign w:val="superscript"/>
        </w:rPr>
        <w:t>th</w:t>
      </w:r>
      <w:r w:rsidR="00535846">
        <w:rPr>
          <w:sz w:val="24"/>
          <w:szCs w:val="24"/>
        </w:rPr>
        <w:t xml:space="preserve"> February 2022</w:t>
      </w:r>
      <w:r w:rsidR="00BF2AAE">
        <w:rPr>
          <w:sz w:val="24"/>
          <w:szCs w:val="24"/>
        </w:rPr>
        <w:t>;</w:t>
      </w:r>
      <w:r w:rsidR="00535846">
        <w:rPr>
          <w:sz w:val="24"/>
          <w:szCs w:val="24"/>
        </w:rPr>
        <w:t xml:space="preserve"> causing </w:t>
      </w:r>
      <w:r w:rsidR="00E400F1">
        <w:rPr>
          <w:sz w:val="24"/>
          <w:szCs w:val="24"/>
        </w:rPr>
        <w:t>disruption</w:t>
      </w:r>
      <w:r w:rsidR="00F64BE7">
        <w:rPr>
          <w:sz w:val="24"/>
          <w:szCs w:val="24"/>
        </w:rPr>
        <w:t xml:space="preserve"> and </w:t>
      </w:r>
      <w:r w:rsidR="00E400F1">
        <w:rPr>
          <w:sz w:val="24"/>
          <w:szCs w:val="24"/>
        </w:rPr>
        <w:t>uncertainty</w:t>
      </w:r>
      <w:r w:rsidR="00F64BE7">
        <w:rPr>
          <w:sz w:val="24"/>
          <w:szCs w:val="24"/>
        </w:rPr>
        <w:t xml:space="preserve"> on </w:t>
      </w:r>
      <w:r w:rsidR="00E400F1">
        <w:rPr>
          <w:sz w:val="24"/>
          <w:szCs w:val="24"/>
        </w:rPr>
        <w:t>multiple global markets</w:t>
      </w:r>
      <w:r w:rsidR="00126D6A">
        <w:rPr>
          <w:sz w:val="24"/>
          <w:szCs w:val="24"/>
        </w:rPr>
        <w:t xml:space="preserve"> and publicly traded companies </w:t>
      </w:r>
      <w:r w:rsidR="00126D6A">
        <w:rPr>
          <w:sz w:val="24"/>
          <w:szCs w:val="24"/>
        </w:rPr>
        <w:fldChar w:fldCharType="begin"/>
      </w:r>
      <w:r w:rsidR="008A0D7D">
        <w:rPr>
          <w:sz w:val="24"/>
          <w:szCs w:val="24"/>
        </w:rPr>
        <w:instrText xml:space="preserve"> ADDIN ZOTERO_ITEM CSL_CITATION {"citationID":"4lldVbTt","properties":{"unsorted":true,"formattedCitation":"(Reuters, 2022; \\uc0\\u8220{}Ukraine conflict,\\uc0\\u8221{} 2022; \\uc0\\u8220{}Address by the President of the Russian Federation  - Ukraine,\\uc0\\u8221{} 2022)","plainCitation":"(Reuters, 2022; “Ukraine conflict,” 2022; “Address by the President of the Russian Federation  - Ukraine,” 2022)","noteIndex":0},"citationItems":[{"id":622,"uris":["http://zotero.org/users/local/RRCsWsp6/items/AVBX8WEF"],"itemData":{"id":622,"type":"article-newspaper","abstract":"Russia launched a large-scale invasion of Ukraine on Feb. 24. Here is a timeline of Ukraine's fraught relationship with Moscow since it won independence in 1991 and the events that led to the current conflict.","container-title":"Reuters","language":"en","section":"Europe","source":"www.reuters.com","title":"Timeline: The events leading up to Russia's invasion of Ukraine","title-short":"Timeline","URL":"https://www.reuters.com/world/europe/events-leading-up-russias-invasion-ukraine-2022-02-28/","author":[{"literal":"Reuters"}],"accessed":{"date-parts":[["2023",1,29]]},"issued":{"date-parts":[["2022",3,1]]}},"label":"page"},{"id":621,"uris":["http://zotero.org/users/local/RRCsWsp6/items/W3H96BRU"],"itemData":{"id":621,"type":"article-newspaper","abstract":"Russia has launched a large-scale military attack on its southern neighbour - here's what we know.","container-title":"BBC News","language":"en-GB","section":"Europe","source":"www.bbc.com","title":"Ukraine conflict: What we know about the invasion","title-short":"Ukraine conflict","URL":"https://www.bbc.com/news/world-europe-60504334","accessed":{"date-parts":[["2023",1,29]]},"issued":{"date-parts":[["2022",2,24]]}},"label":"page"},{"id":623,"uris":["http://zotero.org/users/local/RRCsWsp6/items/YR45WSW9"],"itemData":{"id":623,"type":"broadcast","container-title":"Address by the President of the Russian Federation - Ukraine","dimensions":"55:56","event-place":"The Kremlin, Moscow","language":"en","publisher-place":"The Kremlin, Moscow","title":"Address by the President of the Russian Federation  - Ukraine","URL":"http://en.kremlin.ru/events/president/news/67828","director":[{"family":"The Kremlin, Moscow","given":""}],"accessed":{"date-parts":[["2023",1,29]]},"issued":{"date-parts":[["2022",2,23]]}},"label":"page"}],"schema":"https://github.com/citation-style-language/schema/raw/master/csl-citation.json"} </w:instrText>
      </w:r>
      <w:r w:rsidR="00126D6A">
        <w:rPr>
          <w:sz w:val="24"/>
          <w:szCs w:val="24"/>
        </w:rPr>
        <w:fldChar w:fldCharType="separate"/>
      </w:r>
      <w:r w:rsidR="008A0D7D" w:rsidRPr="008A0D7D">
        <w:rPr>
          <w:rFonts w:ascii="Calibri" w:cs="Calibri"/>
          <w:sz w:val="24"/>
        </w:rPr>
        <w:t>(Reuters, 2022; “Ukraine conflict,” 2022; “Address by the President of the Russian Federation  - Ukraine,” 2022)</w:t>
      </w:r>
      <w:r w:rsidR="00126D6A">
        <w:rPr>
          <w:sz w:val="24"/>
          <w:szCs w:val="24"/>
        </w:rPr>
        <w:fldChar w:fldCharType="end"/>
      </w:r>
      <w:r w:rsidR="00126D6A">
        <w:rPr>
          <w:sz w:val="24"/>
          <w:szCs w:val="24"/>
        </w:rPr>
        <w:t xml:space="preserve">. </w:t>
      </w:r>
    </w:p>
    <w:p w14:paraId="6EC1907B" w14:textId="6B82934E" w:rsidR="00544F55" w:rsidRPr="008C4ABB" w:rsidRDefault="00544F55" w:rsidP="007656AE">
      <w:pPr>
        <w:pStyle w:val="Heading3"/>
        <w:numPr>
          <w:ilvl w:val="2"/>
          <w:numId w:val="3"/>
        </w:numPr>
        <w:spacing w:line="480" w:lineRule="auto"/>
        <w:jc w:val="both"/>
        <w:rPr>
          <w:szCs w:val="24"/>
        </w:rPr>
      </w:pPr>
      <w:bookmarkStart w:id="22" w:name="_Toc141646705"/>
      <w:r w:rsidRPr="008C4ABB">
        <w:rPr>
          <w:szCs w:val="24"/>
        </w:rPr>
        <w:t>Financial Report Data Collection</w:t>
      </w:r>
      <w:bookmarkEnd w:id="22"/>
    </w:p>
    <w:p w14:paraId="4E2E7554" w14:textId="622AAC31" w:rsidR="00A84974" w:rsidRDefault="00F01158" w:rsidP="00A62C11">
      <w:pPr>
        <w:spacing w:line="480" w:lineRule="auto"/>
        <w:jc w:val="both"/>
        <w:rPr>
          <w:sz w:val="24"/>
          <w:szCs w:val="24"/>
        </w:rPr>
      </w:pPr>
      <w:r>
        <w:rPr>
          <w:sz w:val="24"/>
          <w:szCs w:val="24"/>
        </w:rPr>
        <w:t>Data collection was using secondary source information</w:t>
      </w:r>
      <w:r w:rsidR="002A6368">
        <w:rPr>
          <w:sz w:val="24"/>
          <w:szCs w:val="24"/>
        </w:rPr>
        <w:t xml:space="preserve"> in the form of published financial statement from the companies selected</w:t>
      </w:r>
      <w:r w:rsidR="00B00DB8">
        <w:rPr>
          <w:sz w:val="24"/>
          <w:szCs w:val="24"/>
        </w:rPr>
        <w:t xml:space="preserve"> </w:t>
      </w:r>
      <w:r w:rsidR="00B00DB8">
        <w:rPr>
          <w:sz w:val="24"/>
          <w:szCs w:val="24"/>
        </w:rPr>
        <w:fldChar w:fldCharType="begin"/>
      </w:r>
      <w:r w:rsidR="00B00DB8">
        <w:rPr>
          <w:sz w:val="24"/>
          <w:szCs w:val="24"/>
        </w:rPr>
        <w:instrText xml:space="preserve"> ADDIN ZOTERO_ITEM CSL_CITATION {"citationID":"hRMYqYKL","properties":{"formattedCitation":"(Saunders et al., 2019)","plainCitation":"(Saunders et al., 2019)","noteIndex":0},"citationItems":[{"id":1044,"uris":["http://zotero.org/users/local/RRCsWsp6/items/RFQGBT9H"],"itemData":{"id":1044,"type":"book","edition":"8th ed.","event-place":"Harlow","ISBN":"1-292-20880-5","publisher":"Pearson","publisher-place":"Harlow","title":"Research methods for business students","author":[{"family":"Saunders","given":"M. N. K."},{"family":"Lewis","given":"Philip"},{"family":"Thornhill","given":"Adrain"}],"issued":{"date-parts":[["2019"]]}}}],"schema":"https://github.com/citation-style-language/schema/raw/master/csl-citation.json"} </w:instrText>
      </w:r>
      <w:r w:rsidR="00B00DB8">
        <w:rPr>
          <w:sz w:val="24"/>
          <w:szCs w:val="24"/>
        </w:rPr>
        <w:fldChar w:fldCharType="separate"/>
      </w:r>
      <w:r w:rsidR="00B00DB8">
        <w:rPr>
          <w:noProof/>
          <w:sz w:val="24"/>
          <w:szCs w:val="24"/>
        </w:rPr>
        <w:t>(Saunders et al., 2019)</w:t>
      </w:r>
      <w:r w:rsidR="00B00DB8">
        <w:rPr>
          <w:sz w:val="24"/>
          <w:szCs w:val="24"/>
        </w:rPr>
        <w:fldChar w:fldCharType="end"/>
      </w:r>
      <w:r w:rsidR="002A6368">
        <w:rPr>
          <w:sz w:val="24"/>
          <w:szCs w:val="24"/>
        </w:rPr>
        <w:t>.</w:t>
      </w:r>
      <w:r w:rsidRPr="008C4ABB">
        <w:rPr>
          <w:sz w:val="24"/>
          <w:szCs w:val="24"/>
        </w:rPr>
        <w:t xml:space="preserve"> </w:t>
      </w:r>
      <w:r w:rsidR="009945E7" w:rsidRPr="008C4ABB">
        <w:rPr>
          <w:sz w:val="24"/>
          <w:szCs w:val="24"/>
        </w:rPr>
        <w:t xml:space="preserve">Transparent financial reporting is a key component </w:t>
      </w:r>
      <w:r w:rsidR="006546FD" w:rsidRPr="008C4ABB">
        <w:rPr>
          <w:sz w:val="24"/>
          <w:szCs w:val="24"/>
        </w:rPr>
        <w:t>in</w:t>
      </w:r>
      <w:r w:rsidR="00B60EEF" w:rsidRPr="008C4ABB">
        <w:rPr>
          <w:sz w:val="24"/>
          <w:szCs w:val="24"/>
        </w:rPr>
        <w:t xml:space="preserve"> allowing a </w:t>
      </w:r>
      <w:r w:rsidR="00C74525" w:rsidRPr="008C4ABB">
        <w:rPr>
          <w:sz w:val="24"/>
          <w:szCs w:val="24"/>
        </w:rPr>
        <w:t>publicly</w:t>
      </w:r>
      <w:r w:rsidR="00B60EEF" w:rsidRPr="008C4ABB">
        <w:rPr>
          <w:sz w:val="24"/>
          <w:szCs w:val="24"/>
        </w:rPr>
        <w:t xml:space="preserve"> traded company to </w:t>
      </w:r>
      <w:r w:rsidR="00C74525" w:rsidRPr="008C4ABB">
        <w:rPr>
          <w:sz w:val="24"/>
          <w:szCs w:val="24"/>
        </w:rPr>
        <w:t>provide stakeholders (including investors, employees</w:t>
      </w:r>
      <w:r w:rsidR="00600BEB" w:rsidRPr="008C4ABB">
        <w:rPr>
          <w:sz w:val="24"/>
          <w:szCs w:val="24"/>
        </w:rPr>
        <w:t>, lenders</w:t>
      </w:r>
      <w:r w:rsidR="00600BEB">
        <w:rPr>
          <w:sz w:val="24"/>
          <w:szCs w:val="24"/>
        </w:rPr>
        <w:t xml:space="preserve"> etc) detailed information on the company’s financial performance and financial position</w:t>
      </w:r>
      <w:r w:rsidR="00DF6968">
        <w:rPr>
          <w:sz w:val="24"/>
          <w:szCs w:val="24"/>
        </w:rPr>
        <w:t xml:space="preserve">. This is usually provided in an Annual Report and is one of the ways the </w:t>
      </w:r>
      <w:r w:rsidR="00A62C11">
        <w:rPr>
          <w:sz w:val="24"/>
          <w:szCs w:val="24"/>
        </w:rPr>
        <w:t xml:space="preserve">company’s Directors are able to show how the business has performed over the published period. </w:t>
      </w:r>
      <w:r w:rsidR="002F3B88">
        <w:rPr>
          <w:sz w:val="24"/>
          <w:szCs w:val="24"/>
        </w:rPr>
        <w:t xml:space="preserve">Due to this core benefit in making this information easily accessible, the majority of </w:t>
      </w:r>
      <w:r w:rsidR="00533313">
        <w:rPr>
          <w:sz w:val="24"/>
          <w:szCs w:val="24"/>
        </w:rPr>
        <w:t>publicly</w:t>
      </w:r>
      <w:r w:rsidR="002F3B88">
        <w:rPr>
          <w:sz w:val="24"/>
          <w:szCs w:val="24"/>
        </w:rPr>
        <w:t xml:space="preserve"> owned companies </w:t>
      </w:r>
      <w:r w:rsidR="003C62F2">
        <w:rPr>
          <w:sz w:val="24"/>
          <w:szCs w:val="24"/>
        </w:rPr>
        <w:t>freely share this information on their websites</w:t>
      </w:r>
      <w:r w:rsidR="007C472A">
        <w:rPr>
          <w:sz w:val="24"/>
          <w:szCs w:val="24"/>
        </w:rPr>
        <w:t xml:space="preserve"> </w:t>
      </w:r>
      <w:r w:rsidR="00AA7854">
        <w:rPr>
          <w:sz w:val="24"/>
          <w:szCs w:val="24"/>
        </w:rPr>
        <w:t>(Figure 1.).</w:t>
      </w:r>
    </w:p>
    <w:p w14:paraId="461503B3" w14:textId="07E21F26" w:rsidR="00A84974" w:rsidRPr="007A3B74" w:rsidRDefault="00E81F09" w:rsidP="00CD72D7">
      <w:pPr>
        <w:spacing w:line="240" w:lineRule="auto"/>
        <w:jc w:val="both"/>
        <w:rPr>
          <w:b/>
          <w:bCs/>
          <w:sz w:val="18"/>
          <w:szCs w:val="18"/>
        </w:rPr>
      </w:pPr>
      <w:r w:rsidRPr="007A3B74">
        <w:rPr>
          <w:b/>
          <w:bCs/>
          <w:sz w:val="18"/>
          <w:szCs w:val="18"/>
        </w:rPr>
        <w:lastRenderedPageBreak/>
        <w:t>Figure 1. Screen Capture of EasyJet</w:t>
      </w:r>
      <w:r w:rsidR="009D6068" w:rsidRPr="007A3B74">
        <w:rPr>
          <w:b/>
          <w:bCs/>
          <w:sz w:val="18"/>
          <w:szCs w:val="18"/>
        </w:rPr>
        <w:t xml:space="preserve"> Plc. Group’s investor relations </w:t>
      </w:r>
      <w:r w:rsidR="00372731" w:rsidRPr="007A3B74">
        <w:rPr>
          <w:b/>
          <w:bCs/>
          <w:sz w:val="18"/>
          <w:szCs w:val="18"/>
        </w:rPr>
        <w:t xml:space="preserve">webpage with publicly available reports and presentations. </w:t>
      </w:r>
      <w:r w:rsidR="009D6068" w:rsidRPr="007A3B74">
        <w:rPr>
          <w:b/>
          <w:bCs/>
          <w:sz w:val="18"/>
          <w:szCs w:val="18"/>
        </w:rPr>
        <w:t xml:space="preserve"> </w:t>
      </w:r>
    </w:p>
    <w:p w14:paraId="7583D2BD" w14:textId="7BB00B17" w:rsidR="00455253" w:rsidRDefault="00A84974" w:rsidP="00A62C11">
      <w:pPr>
        <w:spacing w:line="480" w:lineRule="auto"/>
        <w:jc w:val="both"/>
        <w:rPr>
          <w:sz w:val="24"/>
          <w:szCs w:val="24"/>
        </w:rPr>
      </w:pPr>
      <w:r>
        <w:rPr>
          <w:noProof/>
          <w:sz w:val="24"/>
          <w:szCs w:val="24"/>
        </w:rPr>
        <w:drawing>
          <wp:anchor distT="0" distB="0" distL="114300" distR="114300" simplePos="0" relativeHeight="251658241" behindDoc="0" locked="0" layoutInCell="1" allowOverlap="1" wp14:anchorId="256B673A" wp14:editId="1BDE7FA9">
            <wp:simplePos x="0" y="0"/>
            <wp:positionH relativeFrom="column">
              <wp:posOffset>0</wp:posOffset>
            </wp:positionH>
            <wp:positionV relativeFrom="paragraph">
              <wp:posOffset>2540</wp:posOffset>
            </wp:positionV>
            <wp:extent cx="5731510" cy="3082290"/>
            <wp:effectExtent l="0" t="0" r="0" b="0"/>
            <wp:wrapTopAndBottom/>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pic:cNvPicPr/>
                  </pic:nvPicPr>
                  <pic:blipFill>
                    <a:blip r:embed="rId13" cstate="print">
                      <a:extLst>
                        <a:ext uri="{28A0092B-C50C-407E-A947-70E740481C1C}">
                          <a14:useLocalDpi xmlns:a14="http://schemas.microsoft.com/office/drawing/2010/main" val="0"/>
                        </a:ext>
                      </a:extLst>
                    </a:blip>
                    <a:stretch>
                      <a:fillRect/>
                    </a:stretch>
                  </pic:blipFill>
                  <pic:spPr>
                    <a:xfrm>
                      <a:off x="0" y="0"/>
                      <a:ext cx="5731510" cy="3082290"/>
                    </a:xfrm>
                    <a:prstGeom prst="rect">
                      <a:avLst/>
                    </a:prstGeom>
                  </pic:spPr>
                </pic:pic>
              </a:graphicData>
            </a:graphic>
            <wp14:sizeRelH relativeFrom="page">
              <wp14:pctWidth>0</wp14:pctWidth>
            </wp14:sizeRelH>
            <wp14:sizeRelV relativeFrom="page">
              <wp14:pctHeight>0</wp14:pctHeight>
            </wp14:sizeRelV>
          </wp:anchor>
        </w:drawing>
      </w:r>
      <w:r w:rsidR="003C62F2">
        <w:rPr>
          <w:sz w:val="24"/>
          <w:szCs w:val="24"/>
        </w:rPr>
        <w:t xml:space="preserve"> </w:t>
      </w:r>
      <w:r w:rsidR="006C28F3">
        <w:rPr>
          <w:sz w:val="24"/>
          <w:szCs w:val="24"/>
        </w:rPr>
        <w:fldChar w:fldCharType="begin"/>
      </w:r>
      <w:r w:rsidR="00AB2A85">
        <w:rPr>
          <w:sz w:val="24"/>
          <w:szCs w:val="24"/>
        </w:rPr>
        <w:instrText xml:space="preserve"> ADDIN ZOTERO_ITEM CSL_CITATION {"citationID":"bGiPwwDv","properties":{"formattedCitation":"(easyJet Plc, 2023)","plainCitation":"(easyJet Plc, 2023)","noteIndex":0},"citationItems":[{"id":619,"uris":["http://zotero.org/users/local/RRCsWsp6/items/5FZHR7WM"],"itemData":{"id":619,"type":"webpage","abstract":"Reports and presentations - 2022","language":"en","title":"Investors Webpage - Reports and presentations","URL":"https://corporate.easyjet.com/investors/reports-and-presentations/2022","author":[{"family":"easyJet Plc","given":""}],"accessed":{"date-parts":[["2023",1,22]]},"issued":{"date-parts":[["2023",1,22]]}}}],"schema":"https://github.com/citation-style-language/schema/raw/master/csl-citation.json"} </w:instrText>
      </w:r>
      <w:r w:rsidR="006C28F3">
        <w:rPr>
          <w:sz w:val="24"/>
          <w:szCs w:val="24"/>
        </w:rPr>
        <w:fldChar w:fldCharType="separate"/>
      </w:r>
      <w:r w:rsidR="00AB2A85">
        <w:rPr>
          <w:noProof/>
          <w:sz w:val="24"/>
          <w:szCs w:val="24"/>
        </w:rPr>
        <w:t>(easyJet Plc, 2023)</w:t>
      </w:r>
      <w:r w:rsidR="006C28F3">
        <w:rPr>
          <w:sz w:val="24"/>
          <w:szCs w:val="24"/>
        </w:rPr>
        <w:fldChar w:fldCharType="end"/>
      </w:r>
    </w:p>
    <w:p w14:paraId="3FE61F74" w14:textId="1F2F20B9" w:rsidR="00495E58" w:rsidRDefault="00DB6AFD" w:rsidP="00A62C11">
      <w:pPr>
        <w:spacing w:line="480" w:lineRule="auto"/>
        <w:jc w:val="both"/>
        <w:rPr>
          <w:sz w:val="24"/>
          <w:szCs w:val="24"/>
        </w:rPr>
      </w:pPr>
      <w:r w:rsidRPr="00DB6AFD">
        <w:rPr>
          <w:sz w:val="24"/>
          <w:szCs w:val="24"/>
        </w:rPr>
        <w:t>Individual corporate websites were visited</w:t>
      </w:r>
      <w:r>
        <w:rPr>
          <w:sz w:val="24"/>
          <w:szCs w:val="24"/>
        </w:rPr>
        <w:t xml:space="preserve"> </w:t>
      </w:r>
      <w:r w:rsidR="00D27E64">
        <w:rPr>
          <w:sz w:val="24"/>
          <w:szCs w:val="24"/>
        </w:rPr>
        <w:t xml:space="preserve">with PDF </w:t>
      </w:r>
      <w:r w:rsidR="00E71DA0">
        <w:rPr>
          <w:sz w:val="24"/>
          <w:szCs w:val="24"/>
        </w:rPr>
        <w:t xml:space="preserve">copies of </w:t>
      </w:r>
      <w:r w:rsidR="001460AF">
        <w:rPr>
          <w:sz w:val="24"/>
          <w:szCs w:val="24"/>
        </w:rPr>
        <w:t xml:space="preserve">the relevant annual reports downloaded and sorted within an organised file structure to allow easy access </w:t>
      </w:r>
      <w:r w:rsidR="00D35B86">
        <w:rPr>
          <w:sz w:val="24"/>
          <w:szCs w:val="24"/>
        </w:rPr>
        <w:t xml:space="preserve">for further processing. The range of years that </w:t>
      </w:r>
      <w:r w:rsidR="001745EE">
        <w:rPr>
          <w:sz w:val="24"/>
          <w:szCs w:val="24"/>
        </w:rPr>
        <w:t xml:space="preserve">3 years reports comprised of was dependant on the </w:t>
      </w:r>
      <w:r w:rsidR="00D25E2E">
        <w:rPr>
          <w:sz w:val="24"/>
          <w:szCs w:val="24"/>
        </w:rPr>
        <w:t xml:space="preserve">year selection criteria as previously described in </w:t>
      </w:r>
      <w:r w:rsidR="00915ADB" w:rsidRPr="00567127">
        <w:rPr>
          <w:sz w:val="24"/>
          <w:szCs w:val="24"/>
        </w:rPr>
        <w:t xml:space="preserve">section </w:t>
      </w:r>
      <w:r w:rsidR="008549DB" w:rsidRPr="00567127">
        <w:rPr>
          <w:sz w:val="24"/>
          <w:szCs w:val="24"/>
        </w:rPr>
        <w:t>3.</w:t>
      </w:r>
      <w:r w:rsidR="00915ADB" w:rsidRPr="00567127">
        <w:rPr>
          <w:sz w:val="24"/>
          <w:szCs w:val="24"/>
        </w:rPr>
        <w:t>2</w:t>
      </w:r>
      <w:r w:rsidR="008549DB" w:rsidRPr="00567127">
        <w:rPr>
          <w:sz w:val="24"/>
          <w:szCs w:val="24"/>
        </w:rPr>
        <w:t>.1 Data Selection.</w:t>
      </w:r>
      <w:r w:rsidR="00ED7EC3">
        <w:rPr>
          <w:sz w:val="24"/>
          <w:szCs w:val="24"/>
        </w:rPr>
        <w:t xml:space="preserve"> </w:t>
      </w:r>
    </w:p>
    <w:p w14:paraId="364936DD" w14:textId="5D3BF60F" w:rsidR="00B86634" w:rsidRDefault="00327419" w:rsidP="00A62C11">
      <w:pPr>
        <w:spacing w:line="480" w:lineRule="auto"/>
        <w:jc w:val="both"/>
        <w:rPr>
          <w:sz w:val="24"/>
          <w:szCs w:val="24"/>
        </w:rPr>
      </w:pPr>
      <w:r>
        <w:rPr>
          <w:sz w:val="24"/>
          <w:szCs w:val="24"/>
        </w:rPr>
        <w:t xml:space="preserve">Only companies </w:t>
      </w:r>
      <w:r w:rsidR="008B6303">
        <w:rPr>
          <w:sz w:val="24"/>
          <w:szCs w:val="24"/>
        </w:rPr>
        <w:t>with</w:t>
      </w:r>
      <w:r w:rsidR="00ED7EC3">
        <w:rPr>
          <w:sz w:val="24"/>
          <w:szCs w:val="24"/>
        </w:rPr>
        <w:t xml:space="preserve"> full year financial statements available</w:t>
      </w:r>
      <w:r w:rsidR="006A0E7C">
        <w:rPr>
          <w:sz w:val="24"/>
          <w:szCs w:val="24"/>
        </w:rPr>
        <w:t xml:space="preserve"> for all 3 years</w:t>
      </w:r>
      <w:r w:rsidR="00896FA4">
        <w:rPr>
          <w:sz w:val="24"/>
          <w:szCs w:val="24"/>
        </w:rPr>
        <w:t xml:space="preserve"> were used for the ratio analysis, this resulted in a data set of </w:t>
      </w:r>
      <w:r w:rsidR="002A175B">
        <w:rPr>
          <w:sz w:val="24"/>
          <w:szCs w:val="24"/>
        </w:rPr>
        <w:t xml:space="preserve">191 </w:t>
      </w:r>
      <w:r w:rsidR="002A175B" w:rsidRPr="00567127">
        <w:rPr>
          <w:sz w:val="24"/>
          <w:szCs w:val="24"/>
        </w:rPr>
        <w:t>companies</w:t>
      </w:r>
      <w:r w:rsidR="002618AE" w:rsidRPr="00567127">
        <w:rPr>
          <w:sz w:val="24"/>
          <w:szCs w:val="24"/>
        </w:rPr>
        <w:t xml:space="preserve"> (</w:t>
      </w:r>
      <w:r w:rsidR="00343BD0" w:rsidRPr="00567127">
        <w:rPr>
          <w:sz w:val="24"/>
          <w:szCs w:val="24"/>
        </w:rPr>
        <w:t>Table 2.</w:t>
      </w:r>
      <w:r w:rsidR="002618AE" w:rsidRPr="00567127">
        <w:rPr>
          <w:sz w:val="24"/>
          <w:szCs w:val="24"/>
        </w:rPr>
        <w:t>)</w:t>
      </w:r>
      <w:r w:rsidR="00583D64" w:rsidRPr="00567127">
        <w:rPr>
          <w:sz w:val="24"/>
          <w:szCs w:val="24"/>
        </w:rPr>
        <w:t>.</w:t>
      </w:r>
      <w:r w:rsidR="002A175B">
        <w:rPr>
          <w:sz w:val="24"/>
          <w:szCs w:val="24"/>
        </w:rPr>
        <w:t xml:space="preserve"> </w:t>
      </w:r>
    </w:p>
    <w:p w14:paraId="65FEF24D" w14:textId="356CC679" w:rsidR="00DC2340" w:rsidRPr="00CD72D7" w:rsidRDefault="00343BD0" w:rsidP="00CD72D7">
      <w:pPr>
        <w:spacing w:line="240" w:lineRule="auto"/>
        <w:jc w:val="both"/>
        <w:rPr>
          <w:b/>
          <w:bCs/>
          <w:sz w:val="18"/>
          <w:szCs w:val="18"/>
        </w:rPr>
      </w:pPr>
      <w:r w:rsidRPr="00CD72D7">
        <w:rPr>
          <w:b/>
          <w:bCs/>
          <w:sz w:val="18"/>
          <w:szCs w:val="18"/>
        </w:rPr>
        <w:t xml:space="preserve">Table 2. Summary of the number of companies excluded from analysis due to </w:t>
      </w:r>
      <w:r w:rsidR="00CD72D7" w:rsidRPr="00CD72D7">
        <w:rPr>
          <w:b/>
          <w:bCs/>
          <w:sz w:val="18"/>
          <w:szCs w:val="18"/>
        </w:rPr>
        <w:t xml:space="preserve">lack of full annual report and other exclusion reasons. </w:t>
      </w:r>
    </w:p>
    <w:p w14:paraId="229AE435" w14:textId="3D1E5188" w:rsidR="00D829E7" w:rsidRDefault="00697F46" w:rsidP="00A62C11">
      <w:pPr>
        <w:spacing w:line="480" w:lineRule="auto"/>
        <w:jc w:val="both"/>
        <w:rPr>
          <w:sz w:val="24"/>
          <w:szCs w:val="24"/>
        </w:rPr>
      </w:pPr>
      <w:r>
        <w:rPr>
          <w:noProof/>
          <w:sz w:val="24"/>
          <w:szCs w:val="24"/>
        </w:rPr>
        <w:drawing>
          <wp:inline distT="0" distB="0" distL="0" distR="0" wp14:anchorId="4F2AA8B2" wp14:editId="473DEC32">
            <wp:extent cx="3593630" cy="1603716"/>
            <wp:effectExtent l="0" t="0" r="0" b="0"/>
            <wp:docPr id="243220630" name="Picture 2" descr="A table with numbers and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43220630" name="Picture 2" descr="A table with numbers and text&#10;&#10;Description automatically generated"/>
                    <pic:cNvPicPr/>
                  </pic:nvPicPr>
                  <pic:blipFill>
                    <a:blip r:embed="rId14" cstate="print">
                      <a:extLst>
                        <a:ext uri="{28A0092B-C50C-407E-A947-70E740481C1C}">
                          <a14:useLocalDpi xmlns:a14="http://schemas.microsoft.com/office/drawing/2010/main" val="0"/>
                        </a:ext>
                      </a:extLst>
                    </a:blip>
                    <a:stretch>
                      <a:fillRect/>
                    </a:stretch>
                  </pic:blipFill>
                  <pic:spPr>
                    <a:xfrm>
                      <a:off x="0" y="0"/>
                      <a:ext cx="3664515" cy="1635350"/>
                    </a:xfrm>
                    <a:prstGeom prst="rect">
                      <a:avLst/>
                    </a:prstGeom>
                  </pic:spPr>
                </pic:pic>
              </a:graphicData>
            </a:graphic>
          </wp:inline>
        </w:drawing>
      </w:r>
    </w:p>
    <w:p w14:paraId="212A2E1F" w14:textId="7C60CBB7" w:rsidR="006C28F3" w:rsidRDefault="00D829E7" w:rsidP="00A62C11">
      <w:pPr>
        <w:spacing w:line="480" w:lineRule="auto"/>
        <w:jc w:val="both"/>
        <w:rPr>
          <w:sz w:val="24"/>
          <w:szCs w:val="24"/>
        </w:rPr>
      </w:pPr>
      <w:r>
        <w:rPr>
          <w:sz w:val="24"/>
          <w:szCs w:val="24"/>
        </w:rPr>
        <w:lastRenderedPageBreak/>
        <w:t xml:space="preserve"> </w:t>
      </w:r>
      <w:r w:rsidR="006A0E7C">
        <w:rPr>
          <w:sz w:val="24"/>
          <w:szCs w:val="24"/>
        </w:rPr>
        <w:t xml:space="preserve">45 companies were excluded </w:t>
      </w:r>
      <w:r w:rsidR="00167841">
        <w:rPr>
          <w:sz w:val="24"/>
          <w:szCs w:val="24"/>
        </w:rPr>
        <w:t>due to the company’s annual reporting period not aligning with the data gathering phase of this study (</w:t>
      </w:r>
      <w:r w:rsidR="00064FCB">
        <w:rPr>
          <w:sz w:val="24"/>
          <w:szCs w:val="24"/>
        </w:rPr>
        <w:t>principally companies with</w:t>
      </w:r>
      <w:r w:rsidR="00167841">
        <w:rPr>
          <w:sz w:val="24"/>
          <w:szCs w:val="24"/>
        </w:rPr>
        <w:t xml:space="preserve"> </w:t>
      </w:r>
      <w:r w:rsidR="00922E8A">
        <w:rPr>
          <w:sz w:val="24"/>
          <w:szCs w:val="24"/>
        </w:rPr>
        <w:t>March-to-March</w:t>
      </w:r>
      <w:r w:rsidR="000A36B9">
        <w:rPr>
          <w:sz w:val="24"/>
          <w:szCs w:val="24"/>
        </w:rPr>
        <w:t xml:space="preserve"> financial years),</w:t>
      </w:r>
      <w:r w:rsidR="00583D64">
        <w:rPr>
          <w:sz w:val="24"/>
          <w:szCs w:val="24"/>
        </w:rPr>
        <w:t xml:space="preserve"> as these only had</w:t>
      </w:r>
      <w:r w:rsidR="000A36B9">
        <w:rPr>
          <w:sz w:val="24"/>
          <w:szCs w:val="24"/>
        </w:rPr>
        <w:t xml:space="preserve"> </w:t>
      </w:r>
      <w:r w:rsidR="00583D64">
        <w:rPr>
          <w:sz w:val="24"/>
          <w:szCs w:val="24"/>
        </w:rPr>
        <w:t xml:space="preserve">an </w:t>
      </w:r>
      <w:r w:rsidR="000A36B9">
        <w:rPr>
          <w:sz w:val="24"/>
          <w:szCs w:val="24"/>
        </w:rPr>
        <w:t xml:space="preserve">interim financial report (covering 6 months of trading) </w:t>
      </w:r>
      <w:r w:rsidR="00583D64">
        <w:rPr>
          <w:sz w:val="24"/>
          <w:szCs w:val="24"/>
        </w:rPr>
        <w:t>available for the 2021 year</w:t>
      </w:r>
      <w:r w:rsidR="00F54FA6">
        <w:rPr>
          <w:sz w:val="24"/>
          <w:szCs w:val="24"/>
        </w:rPr>
        <w:t>.</w:t>
      </w:r>
      <w:r w:rsidR="00583D64">
        <w:rPr>
          <w:sz w:val="24"/>
          <w:szCs w:val="24"/>
        </w:rPr>
        <w:t xml:space="preserve"> A</w:t>
      </w:r>
      <w:r w:rsidR="004328C8">
        <w:rPr>
          <w:sz w:val="24"/>
          <w:szCs w:val="24"/>
        </w:rPr>
        <w:t xml:space="preserve"> test analysis was completed </w:t>
      </w:r>
      <w:r w:rsidR="0075420A">
        <w:rPr>
          <w:sz w:val="24"/>
          <w:szCs w:val="24"/>
        </w:rPr>
        <w:t xml:space="preserve">using the </w:t>
      </w:r>
      <w:r w:rsidR="00276751">
        <w:rPr>
          <w:sz w:val="24"/>
          <w:szCs w:val="24"/>
        </w:rPr>
        <w:t>6-month</w:t>
      </w:r>
      <w:r w:rsidR="0075420A">
        <w:rPr>
          <w:sz w:val="24"/>
          <w:szCs w:val="24"/>
        </w:rPr>
        <w:t xml:space="preserve"> interim report</w:t>
      </w:r>
      <w:r w:rsidR="00436291">
        <w:rPr>
          <w:sz w:val="24"/>
          <w:szCs w:val="24"/>
        </w:rPr>
        <w:t>s</w:t>
      </w:r>
      <w:r w:rsidR="0075420A">
        <w:rPr>
          <w:sz w:val="24"/>
          <w:szCs w:val="24"/>
        </w:rPr>
        <w:t xml:space="preserve">, but </w:t>
      </w:r>
      <w:r w:rsidR="00436291">
        <w:rPr>
          <w:sz w:val="24"/>
          <w:szCs w:val="24"/>
        </w:rPr>
        <w:t xml:space="preserve">as </w:t>
      </w:r>
      <w:r w:rsidR="0075420A">
        <w:rPr>
          <w:sz w:val="24"/>
          <w:szCs w:val="24"/>
        </w:rPr>
        <w:t>these dataset</w:t>
      </w:r>
      <w:r w:rsidR="00436291">
        <w:rPr>
          <w:sz w:val="24"/>
          <w:szCs w:val="24"/>
        </w:rPr>
        <w:t>s</w:t>
      </w:r>
      <w:r w:rsidR="0075420A">
        <w:rPr>
          <w:sz w:val="24"/>
          <w:szCs w:val="24"/>
        </w:rPr>
        <w:t xml:space="preserve"> were not directly comparable</w:t>
      </w:r>
      <w:r w:rsidR="002B24EE">
        <w:rPr>
          <w:sz w:val="24"/>
          <w:szCs w:val="24"/>
        </w:rPr>
        <w:t xml:space="preserve"> the decision was made to exclude these companies. </w:t>
      </w:r>
      <w:r w:rsidR="00624D65">
        <w:rPr>
          <w:sz w:val="24"/>
          <w:szCs w:val="24"/>
        </w:rPr>
        <w:t>14 companies were excluded</w:t>
      </w:r>
      <w:r w:rsidR="00195DFB">
        <w:rPr>
          <w:sz w:val="24"/>
          <w:szCs w:val="24"/>
        </w:rPr>
        <w:t xml:space="preserve"> for other reasons:</w:t>
      </w:r>
    </w:p>
    <w:p w14:paraId="12CBC3E5" w14:textId="402999E0" w:rsidR="00195DFB" w:rsidRDefault="00927976" w:rsidP="00195DFB">
      <w:pPr>
        <w:pStyle w:val="ListParagraph"/>
        <w:numPr>
          <w:ilvl w:val="0"/>
          <w:numId w:val="23"/>
        </w:numPr>
        <w:spacing w:line="480" w:lineRule="auto"/>
        <w:jc w:val="both"/>
        <w:rPr>
          <w:sz w:val="24"/>
          <w:szCs w:val="24"/>
        </w:rPr>
      </w:pPr>
      <w:r>
        <w:rPr>
          <w:sz w:val="24"/>
          <w:szCs w:val="24"/>
        </w:rPr>
        <w:t xml:space="preserve">5 companies </w:t>
      </w:r>
      <w:r w:rsidR="00AB3C3B">
        <w:rPr>
          <w:sz w:val="24"/>
          <w:szCs w:val="24"/>
        </w:rPr>
        <w:t xml:space="preserve">with </w:t>
      </w:r>
      <w:r>
        <w:rPr>
          <w:sz w:val="24"/>
          <w:szCs w:val="24"/>
        </w:rPr>
        <w:t>financial reports not available for at least 1 year;</w:t>
      </w:r>
    </w:p>
    <w:p w14:paraId="34A5082C" w14:textId="5EED01D7" w:rsidR="00927976" w:rsidRDefault="00AB3C3B" w:rsidP="00195DFB">
      <w:pPr>
        <w:pStyle w:val="ListParagraph"/>
        <w:numPr>
          <w:ilvl w:val="0"/>
          <w:numId w:val="23"/>
        </w:numPr>
        <w:spacing w:line="480" w:lineRule="auto"/>
        <w:jc w:val="both"/>
        <w:rPr>
          <w:sz w:val="24"/>
          <w:szCs w:val="24"/>
        </w:rPr>
      </w:pPr>
      <w:r>
        <w:rPr>
          <w:sz w:val="24"/>
          <w:szCs w:val="24"/>
        </w:rPr>
        <w:t>1 company with no reports as it acts as a feeder investment fund;</w:t>
      </w:r>
    </w:p>
    <w:p w14:paraId="04A9F3A1" w14:textId="3791B2EA" w:rsidR="00D55231" w:rsidRDefault="00D55231" w:rsidP="00195DFB">
      <w:pPr>
        <w:pStyle w:val="ListParagraph"/>
        <w:numPr>
          <w:ilvl w:val="0"/>
          <w:numId w:val="23"/>
        </w:numPr>
        <w:spacing w:line="480" w:lineRule="auto"/>
        <w:jc w:val="both"/>
        <w:rPr>
          <w:sz w:val="24"/>
          <w:szCs w:val="24"/>
        </w:rPr>
      </w:pPr>
      <w:r>
        <w:rPr>
          <w:sz w:val="24"/>
          <w:szCs w:val="24"/>
        </w:rPr>
        <w:t>1 company which underwent a merger during the analysis period;</w:t>
      </w:r>
    </w:p>
    <w:p w14:paraId="2EF4B5CF" w14:textId="3987C76B" w:rsidR="00207743" w:rsidRPr="00195DFB" w:rsidRDefault="00207743" w:rsidP="00195DFB">
      <w:pPr>
        <w:pStyle w:val="ListParagraph"/>
        <w:numPr>
          <w:ilvl w:val="0"/>
          <w:numId w:val="23"/>
        </w:numPr>
        <w:spacing w:line="480" w:lineRule="auto"/>
        <w:jc w:val="both"/>
        <w:rPr>
          <w:sz w:val="24"/>
          <w:szCs w:val="24"/>
        </w:rPr>
      </w:pPr>
      <w:r>
        <w:rPr>
          <w:sz w:val="24"/>
          <w:szCs w:val="24"/>
        </w:rPr>
        <w:t>7 companies which had their IPO’s during the analysis period.</w:t>
      </w:r>
    </w:p>
    <w:p w14:paraId="5591596A" w14:textId="73BD2309" w:rsidR="00A477EB" w:rsidRDefault="005447AB" w:rsidP="00A62C11">
      <w:pPr>
        <w:spacing w:line="480" w:lineRule="auto"/>
        <w:jc w:val="both"/>
        <w:rPr>
          <w:sz w:val="24"/>
          <w:szCs w:val="24"/>
        </w:rPr>
      </w:pPr>
      <w:r w:rsidRPr="00353AC4">
        <w:rPr>
          <w:sz w:val="24"/>
          <w:szCs w:val="24"/>
        </w:rPr>
        <w:t xml:space="preserve">The desired information to be extracted from </w:t>
      </w:r>
      <w:r w:rsidR="009414BE" w:rsidRPr="00353AC4">
        <w:rPr>
          <w:sz w:val="24"/>
          <w:szCs w:val="24"/>
        </w:rPr>
        <w:t>the company’s reports comprised the Profit and Loss Report, Balance Sheet and Statement of Cash Flows.</w:t>
      </w:r>
      <w:r w:rsidR="00E65D1D" w:rsidRPr="00353AC4">
        <w:rPr>
          <w:sz w:val="24"/>
          <w:szCs w:val="24"/>
        </w:rPr>
        <w:t xml:space="preserve"> </w:t>
      </w:r>
      <w:r w:rsidR="00A4209F" w:rsidRPr="00353AC4">
        <w:rPr>
          <w:sz w:val="24"/>
          <w:szCs w:val="24"/>
        </w:rPr>
        <w:t>Financial</w:t>
      </w:r>
      <w:r w:rsidR="00A477EB" w:rsidRPr="00353AC4">
        <w:rPr>
          <w:sz w:val="24"/>
          <w:szCs w:val="24"/>
        </w:rPr>
        <w:t xml:space="preserve"> </w:t>
      </w:r>
      <w:r w:rsidR="00A4209F" w:rsidRPr="00353AC4">
        <w:rPr>
          <w:sz w:val="24"/>
          <w:szCs w:val="24"/>
        </w:rPr>
        <w:t>Reports were investigated to build a template input sheet within Microsoft</w:t>
      </w:r>
      <w:r w:rsidR="00B96CAC">
        <w:rPr>
          <w:sz w:val="24"/>
          <w:szCs w:val="24"/>
        </w:rPr>
        <w:t xml:space="preserve"> Office</w:t>
      </w:r>
      <w:r w:rsidR="00A4209F" w:rsidRPr="00353AC4">
        <w:rPr>
          <w:sz w:val="24"/>
          <w:szCs w:val="24"/>
        </w:rPr>
        <w:t xml:space="preserve"> Excel</w:t>
      </w:r>
      <w:r w:rsidR="00B96CAC">
        <w:rPr>
          <w:sz w:val="24"/>
          <w:szCs w:val="24"/>
        </w:rPr>
        <w:t xml:space="preserve"> (Excel)</w:t>
      </w:r>
      <w:r w:rsidR="00870637" w:rsidRPr="00353AC4">
        <w:rPr>
          <w:sz w:val="24"/>
          <w:szCs w:val="24"/>
        </w:rPr>
        <w:t xml:space="preserve"> that would account for</w:t>
      </w:r>
      <w:r w:rsidR="001025C8" w:rsidRPr="00353AC4">
        <w:rPr>
          <w:sz w:val="24"/>
          <w:szCs w:val="24"/>
        </w:rPr>
        <w:t xml:space="preserve"> the majority of information lines that appear on the </w:t>
      </w:r>
      <w:r w:rsidR="00E42521" w:rsidRPr="00353AC4">
        <w:rPr>
          <w:sz w:val="24"/>
          <w:szCs w:val="24"/>
        </w:rPr>
        <w:t xml:space="preserve">subject </w:t>
      </w:r>
      <w:r w:rsidR="001025C8" w:rsidRPr="00353AC4">
        <w:rPr>
          <w:sz w:val="24"/>
          <w:szCs w:val="24"/>
        </w:rPr>
        <w:t>companies</w:t>
      </w:r>
      <w:r w:rsidR="00001E18" w:rsidRPr="00353AC4">
        <w:rPr>
          <w:sz w:val="24"/>
          <w:szCs w:val="24"/>
        </w:rPr>
        <w:t>’</w:t>
      </w:r>
      <w:r w:rsidR="001025C8" w:rsidRPr="00353AC4">
        <w:rPr>
          <w:sz w:val="24"/>
          <w:szCs w:val="24"/>
        </w:rPr>
        <w:t xml:space="preserve"> ‘Chart of Accounts’ for the </w:t>
      </w:r>
      <w:r w:rsidR="007A2BE8" w:rsidRPr="00353AC4">
        <w:rPr>
          <w:sz w:val="24"/>
          <w:szCs w:val="24"/>
        </w:rPr>
        <w:t>aforementioned reports</w:t>
      </w:r>
      <w:r w:rsidR="00792550" w:rsidRPr="00353AC4">
        <w:rPr>
          <w:sz w:val="24"/>
          <w:szCs w:val="24"/>
        </w:rPr>
        <w:t xml:space="preserve">; and the </w:t>
      </w:r>
      <w:r w:rsidR="00372F5E" w:rsidRPr="00353AC4">
        <w:rPr>
          <w:sz w:val="24"/>
          <w:szCs w:val="24"/>
        </w:rPr>
        <w:t xml:space="preserve">report </w:t>
      </w:r>
      <w:r w:rsidR="00792550" w:rsidRPr="00353AC4">
        <w:rPr>
          <w:sz w:val="24"/>
          <w:szCs w:val="24"/>
        </w:rPr>
        <w:t>lines that are</w:t>
      </w:r>
      <w:r w:rsidR="00FD3824" w:rsidRPr="00353AC4">
        <w:rPr>
          <w:sz w:val="24"/>
          <w:szCs w:val="24"/>
        </w:rPr>
        <w:t xml:space="preserve"> </w:t>
      </w:r>
      <w:r w:rsidR="00792550" w:rsidRPr="00353AC4">
        <w:rPr>
          <w:sz w:val="24"/>
          <w:szCs w:val="24"/>
        </w:rPr>
        <w:t xml:space="preserve">required for the financial ratio’s to be </w:t>
      </w:r>
      <w:r w:rsidR="00C828AF" w:rsidRPr="00353AC4">
        <w:rPr>
          <w:sz w:val="24"/>
          <w:szCs w:val="24"/>
        </w:rPr>
        <w:t xml:space="preserve">automatically </w:t>
      </w:r>
      <w:r w:rsidR="00372F5E" w:rsidRPr="00353AC4">
        <w:rPr>
          <w:sz w:val="24"/>
          <w:szCs w:val="24"/>
        </w:rPr>
        <w:t>calculated</w:t>
      </w:r>
      <w:r w:rsidR="007A2BE8" w:rsidRPr="00353AC4">
        <w:rPr>
          <w:sz w:val="24"/>
          <w:szCs w:val="24"/>
        </w:rPr>
        <w:t>.</w:t>
      </w:r>
      <w:r w:rsidR="00372F5E" w:rsidRPr="00353AC4">
        <w:rPr>
          <w:sz w:val="24"/>
          <w:szCs w:val="24"/>
        </w:rPr>
        <w:t xml:space="preserve"> </w:t>
      </w:r>
      <w:r w:rsidR="0013078E" w:rsidRPr="00353AC4">
        <w:rPr>
          <w:sz w:val="24"/>
          <w:szCs w:val="24"/>
        </w:rPr>
        <w:t>Individual f</w:t>
      </w:r>
      <w:r w:rsidR="00C828AF" w:rsidRPr="00353AC4">
        <w:rPr>
          <w:sz w:val="24"/>
          <w:szCs w:val="24"/>
        </w:rPr>
        <w:t>iles for each company were created to preserve information integrity, and</w:t>
      </w:r>
      <w:r w:rsidR="00C828AF">
        <w:rPr>
          <w:sz w:val="24"/>
          <w:szCs w:val="24"/>
        </w:rPr>
        <w:t xml:space="preserve"> to allow </w:t>
      </w:r>
      <w:r w:rsidR="00347B9B">
        <w:rPr>
          <w:sz w:val="24"/>
          <w:szCs w:val="24"/>
        </w:rPr>
        <w:t xml:space="preserve">more detailed analysis and data </w:t>
      </w:r>
      <w:r w:rsidR="00D35A3B">
        <w:rPr>
          <w:sz w:val="24"/>
          <w:szCs w:val="24"/>
        </w:rPr>
        <w:t xml:space="preserve">interrogation if required. </w:t>
      </w:r>
      <w:r w:rsidR="00347B9B">
        <w:rPr>
          <w:sz w:val="24"/>
          <w:szCs w:val="24"/>
        </w:rPr>
        <w:t xml:space="preserve"> </w:t>
      </w:r>
    </w:p>
    <w:p w14:paraId="31CB69AC" w14:textId="20F9F11B" w:rsidR="00673DCF" w:rsidRDefault="00673DCF" w:rsidP="00A62C11">
      <w:pPr>
        <w:spacing w:line="480" w:lineRule="auto"/>
        <w:jc w:val="both"/>
        <w:rPr>
          <w:sz w:val="24"/>
          <w:szCs w:val="24"/>
        </w:rPr>
      </w:pPr>
      <w:r>
        <w:rPr>
          <w:sz w:val="24"/>
          <w:szCs w:val="24"/>
        </w:rPr>
        <w:t>An example of the financial reports that input information was gathered from may be found in Appendix 8.2.</w:t>
      </w:r>
    </w:p>
    <w:p w14:paraId="6072792C" w14:textId="7F7F43B5" w:rsidR="00A477EB" w:rsidRDefault="00F30F18" w:rsidP="007656AE">
      <w:pPr>
        <w:pStyle w:val="Heading3"/>
        <w:numPr>
          <w:ilvl w:val="2"/>
          <w:numId w:val="3"/>
        </w:numPr>
        <w:spacing w:line="480" w:lineRule="auto"/>
        <w:jc w:val="both"/>
        <w:rPr>
          <w:szCs w:val="24"/>
        </w:rPr>
      </w:pPr>
      <w:bookmarkStart w:id="23" w:name="_Toc141646706"/>
      <w:r>
        <w:rPr>
          <w:szCs w:val="24"/>
        </w:rPr>
        <w:lastRenderedPageBreak/>
        <w:t xml:space="preserve">Financial Information </w:t>
      </w:r>
      <w:r w:rsidR="00A4209F">
        <w:rPr>
          <w:szCs w:val="24"/>
        </w:rPr>
        <w:t>Input Standardisation</w:t>
      </w:r>
      <w:bookmarkEnd w:id="23"/>
    </w:p>
    <w:p w14:paraId="00BFBAFC" w14:textId="0FF361C1" w:rsidR="00A477EB" w:rsidRDefault="002D74CF" w:rsidP="00A62C11">
      <w:pPr>
        <w:spacing w:line="480" w:lineRule="auto"/>
        <w:jc w:val="both"/>
        <w:rPr>
          <w:sz w:val="24"/>
          <w:szCs w:val="24"/>
        </w:rPr>
      </w:pPr>
      <w:r>
        <w:rPr>
          <w:sz w:val="24"/>
          <w:szCs w:val="24"/>
        </w:rPr>
        <w:t xml:space="preserve">Financial statements published by companies </w:t>
      </w:r>
      <w:r w:rsidR="00E27245">
        <w:rPr>
          <w:sz w:val="24"/>
          <w:szCs w:val="24"/>
        </w:rPr>
        <w:t>are based in format on the</w:t>
      </w:r>
      <w:r w:rsidR="006B7EEE">
        <w:rPr>
          <w:sz w:val="24"/>
          <w:szCs w:val="24"/>
        </w:rPr>
        <w:t xml:space="preserve"> individual</w:t>
      </w:r>
      <w:r w:rsidR="00E27245">
        <w:rPr>
          <w:sz w:val="24"/>
          <w:szCs w:val="24"/>
        </w:rPr>
        <w:t xml:space="preserve"> Chart of Accounts (COA) that the company uses </w:t>
      </w:r>
      <w:r w:rsidR="00E27245">
        <w:rPr>
          <w:sz w:val="24"/>
          <w:szCs w:val="24"/>
        </w:rPr>
        <w:fldChar w:fldCharType="begin"/>
      </w:r>
      <w:r w:rsidR="00D36D5E">
        <w:rPr>
          <w:sz w:val="24"/>
          <w:szCs w:val="24"/>
        </w:rPr>
        <w:instrText xml:space="preserve"> ADDIN ZOTERO_ITEM CSL_CITATION {"citationID":"NQKYIeyS","properties":{"formattedCitation":"(J. L. Law, 2016)","plainCitation":"(J. L. Law, 2016)","noteIndex":0},"citationItems":[{"id":630,"uris":["http://zotero.org/users/local/RRCsWsp6/items/XE9ERJBP"],"itemData":{"id":630,"type":"chapter","abstract":"\"chart of accounts\" published on  by Oxford University Press.","container-title":"A Dictionary of Accounting","ISBN":"978-0-19-874351-4","language":"en","publisher":"Oxford University Press","source":"www.oxfordreference.com","title":"chart of accounts","URL":"https://www.oxfordreference.com/display/10.1093/acref/9780198743514.001.0001/acref-9780198743514-e-701","editor":[{"family":"Law","given":"Jonathan"}],"author":[{"family":"Law","given":"Jonathan LawJonathan"}],"accessed":{"date-parts":[["2023",1,29]]},"issued":{"date-parts":[["2016",11,17]]}}}],"schema":"https://github.com/citation-style-language/schema/raw/master/csl-citation.json"} </w:instrText>
      </w:r>
      <w:r w:rsidR="00E27245">
        <w:rPr>
          <w:sz w:val="24"/>
          <w:szCs w:val="24"/>
        </w:rPr>
        <w:fldChar w:fldCharType="separate"/>
      </w:r>
      <w:r w:rsidR="007931FB">
        <w:rPr>
          <w:noProof/>
          <w:sz w:val="24"/>
          <w:szCs w:val="24"/>
        </w:rPr>
        <w:t>(J. L. Law, 2016)</w:t>
      </w:r>
      <w:r w:rsidR="00E27245">
        <w:rPr>
          <w:sz w:val="24"/>
          <w:szCs w:val="24"/>
        </w:rPr>
        <w:fldChar w:fldCharType="end"/>
      </w:r>
      <w:r w:rsidR="00E27245">
        <w:rPr>
          <w:sz w:val="24"/>
          <w:szCs w:val="24"/>
        </w:rPr>
        <w:t>.</w:t>
      </w:r>
      <w:r w:rsidR="00D36D5E">
        <w:rPr>
          <w:sz w:val="24"/>
          <w:szCs w:val="24"/>
        </w:rPr>
        <w:t xml:space="preserve"> </w:t>
      </w:r>
      <w:r w:rsidR="00E27245">
        <w:rPr>
          <w:sz w:val="24"/>
          <w:szCs w:val="24"/>
        </w:rPr>
        <w:t xml:space="preserve"> </w:t>
      </w:r>
      <w:r w:rsidR="00F469E7">
        <w:rPr>
          <w:sz w:val="24"/>
          <w:szCs w:val="24"/>
        </w:rPr>
        <w:t xml:space="preserve">While there have been efforts to develop for the public sector a </w:t>
      </w:r>
      <w:r w:rsidR="00706174">
        <w:rPr>
          <w:sz w:val="24"/>
          <w:szCs w:val="24"/>
        </w:rPr>
        <w:t>standardised COA for use, the natural result of private companies functioning in different industries</w:t>
      </w:r>
      <w:r w:rsidR="00371F97">
        <w:rPr>
          <w:sz w:val="24"/>
          <w:szCs w:val="24"/>
        </w:rPr>
        <w:t xml:space="preserve">, with differing products, priorities, financing models, and </w:t>
      </w:r>
      <w:r w:rsidR="00D1274A">
        <w:rPr>
          <w:sz w:val="24"/>
          <w:szCs w:val="24"/>
        </w:rPr>
        <w:t xml:space="preserve">desired reporting detail; leads to </w:t>
      </w:r>
      <w:r w:rsidR="00610600">
        <w:rPr>
          <w:sz w:val="24"/>
          <w:szCs w:val="24"/>
        </w:rPr>
        <w:t xml:space="preserve">differences in </w:t>
      </w:r>
      <w:r w:rsidR="0043759B">
        <w:rPr>
          <w:sz w:val="24"/>
          <w:szCs w:val="24"/>
        </w:rPr>
        <w:t xml:space="preserve">financial reporting even </w:t>
      </w:r>
      <w:r w:rsidR="007656E4">
        <w:rPr>
          <w:sz w:val="24"/>
          <w:szCs w:val="24"/>
        </w:rPr>
        <w:t>if</w:t>
      </w:r>
      <w:r w:rsidR="0043759B">
        <w:rPr>
          <w:sz w:val="24"/>
          <w:szCs w:val="24"/>
        </w:rPr>
        <w:t xml:space="preserve"> companies operat</w:t>
      </w:r>
      <w:r w:rsidR="007656E4">
        <w:rPr>
          <w:sz w:val="24"/>
          <w:szCs w:val="24"/>
        </w:rPr>
        <w:t>e</w:t>
      </w:r>
      <w:r w:rsidR="0043759B">
        <w:rPr>
          <w:sz w:val="24"/>
          <w:szCs w:val="24"/>
        </w:rPr>
        <w:t xml:space="preserve"> within the same industry sector </w:t>
      </w:r>
      <w:r w:rsidR="0043759B">
        <w:rPr>
          <w:sz w:val="24"/>
          <w:szCs w:val="24"/>
        </w:rPr>
        <w:fldChar w:fldCharType="begin"/>
      </w:r>
      <w:r w:rsidR="007931FB">
        <w:rPr>
          <w:sz w:val="24"/>
          <w:szCs w:val="24"/>
        </w:rPr>
        <w:instrText xml:space="preserve"> ADDIN ZOTERO_ITEM CSL_CITATION {"citationID":"hLMwvlaw","properties":{"formattedCitation":"(Carroll, 2013; Fields, 2016; Jorge et al., 2022)","plainCitation":"(Carroll, 2013; Fields, 2016; Jorge et al., 2022)","noteIndex":0},"citationItems":[{"id":628,"uris":["http://zotero.org/users/local/RRCsWsp6/items/TIIUWBXZ"],"itemData":{"id":628,"type":"article-journal","abstract":"Why should an auditor, Electronic Data Process (EDP), or otherwise, care? If the ultimate purpose of auditing and its output is to improve organizations' probabilities of success, then having useful charts of accounts (CoA) becomes an appropriate subject for auditors' efforts and knowledge. The purpose and goal of this article is to provide insight into the role that charts of accounts play in management of organizations along with suggestions for and examples for CoA particulars and auditor actions.","container-title":"EDPACS","DOI":"10.1080/07366981.2013.751784","ISSN":"0736-6981","issue":"1","note":"publisher: Taylor &amp; Francis\n_eprint: https://doi.org/10.1080/07366981.2013.751784","page":"1-13","source":"Taylor and Francis+NEJM","title":"Does the Organization's Chart of Accounts Support Analysis, Management, and Budgeting?","volume":"47","author":[{"family":"Carroll","given":"Charles   T."}],"issued":{"date-parts":[["2013",1,1]]}}},{"id":627,"uris":["http://zotero.org/users/local/RRCsWsp6/items/JKB9MBF2"],"itemData":{"id":627,"type":"book","abstract":"They say that numbers don't lie, but what if you can't even read them? Financial analysis reports, budgeting reports, forecasting and measuring reports--sometimes they all run together, don't they? The Essentials of Finance and Accounting for Nonfinancial Managers is here to help. This new edition of a business classic demystifies finance and accounting and gives managers the tools they need to make better decisions. Complete with fresh insights, case studies, and street-level exercises to help non-numbers people master the numbers game, this indispensable translation guide reveals how to: - Understand the fundamentals of financial analysis, budgeting, and forecasting- Interpret balance sheets, income/cash flow statements, and annual reports- Sift through conflicting data to find the most relevant figures- Locate key information about competitors and suppliers- Analyze variances and calculate break-even points and other vital measures- And much more The numbers are too important to allow others to translate for you. You need to know how to read them yourself. Imagine the impact on future decisions when you grasp not only what the numbers mean but can use that insight to drive your business forward.","event-place":"Nashville, UNITED STATES","ISBN":"978-0-8144-3695-0","publisher":"AMACOM","publisher-place":"Nashville, UNITED STATES","source":"ProQuest Ebook Central","title":"The Essentials of Finance and Accounting for Nonfinancial Managers","URL":"http://ebookcentral.proquest.com/lib/trinity/detail.action?docID=4202075","author":[{"family":"Fields","given":"Edward"}],"accessed":{"date-parts":[["2023",1,29]]},"issued":{"date-parts":[["2016"]]}},"label":"page"},{"id":629,"uris":["http://zotero.org/users/local/RRCsWsp6/items/HAE92EDR"],"itemData":{"id":629,"type":"article-journal","abstract":"IMPACTCharts of Accounts (CoAs) in the public sector are important to control accounting records. They support the preparation of accurate and reliable financial statements and consolidated reporting. Standardized CoAs at the national level are desirable but specificities of different public sector areas must be considered, as well as harmonization with budget and Government Finance Statistics (GFS) classifications. Having broad international guidance for each country to develop its own CoA, while fostering public sector financial reporting harmonization, would allow for improved comparability of fiscal effects during difficult periods, such as the Covid 19 pandemic.ABSTRACTThis article addresses the development of standardized Charts of Accounts (CoAs) in public sector accounting and reporting. In particular, it focuses on matters concerning the role CoAs have, or should have, at a national level, their main technicalities and the expected impact of using them as a bookkeeping instrument on the accuracy of accounting records and, ultimately, on the reliability and usability of the financial information for different purposes. Empirical evidence is provided from a survey to representatives of accounting international and national (Belgium, Brazil, Estonia and Portugal) standard-setters and preparers.","container-title":"Public Money &amp; Management","DOI":"10.1080/09540962.2022.2106680","ISSN":"0954-0962","issue":"7","note":"publisher: Routledge\n_eprint: https://doi.org/10.1080/09540962.2022.2106680","page":"530-533","source":"Taylor and Francis+NEJM","title":"New development: The development of standardized charts of accounts in public sector accounting","title-short":"New development","volume":"42","author":[{"family":"Jorge","given":"Susana"},{"family":"Dabbicco","given":"Giovanna"},{"family":"Aggestam-Pontoppidan","given":"Caroline"},{"family":"Vaz de Lima","given":"Diana"}],"issued":{"date-parts":[["2022",10,3]]}}}],"schema":"https://github.com/citation-style-language/schema/raw/master/csl-citation.json"} </w:instrText>
      </w:r>
      <w:r w:rsidR="0043759B">
        <w:rPr>
          <w:sz w:val="24"/>
          <w:szCs w:val="24"/>
        </w:rPr>
        <w:fldChar w:fldCharType="separate"/>
      </w:r>
      <w:r w:rsidR="007931FB">
        <w:rPr>
          <w:rFonts w:ascii="Calibri" w:cs="Calibri"/>
          <w:sz w:val="24"/>
        </w:rPr>
        <w:t>(Carroll, 2013; Fields, 2016; Jorge et al., 2022)</w:t>
      </w:r>
      <w:r w:rsidR="0043759B">
        <w:rPr>
          <w:sz w:val="24"/>
          <w:szCs w:val="24"/>
        </w:rPr>
        <w:fldChar w:fldCharType="end"/>
      </w:r>
      <w:r w:rsidR="0043759B">
        <w:rPr>
          <w:sz w:val="24"/>
          <w:szCs w:val="24"/>
        </w:rPr>
        <w:t xml:space="preserve">. </w:t>
      </w:r>
      <w:r w:rsidR="00875653">
        <w:rPr>
          <w:sz w:val="24"/>
          <w:szCs w:val="24"/>
        </w:rPr>
        <w:t xml:space="preserve">During the data input </w:t>
      </w:r>
      <w:r w:rsidR="00635B1C">
        <w:rPr>
          <w:sz w:val="24"/>
          <w:szCs w:val="24"/>
        </w:rPr>
        <w:t xml:space="preserve">the vast majority of </w:t>
      </w:r>
      <w:r w:rsidR="001C299C">
        <w:rPr>
          <w:sz w:val="24"/>
          <w:szCs w:val="24"/>
        </w:rPr>
        <w:t xml:space="preserve">COA on company financial reports were </w:t>
      </w:r>
      <w:r w:rsidR="000A6545">
        <w:rPr>
          <w:sz w:val="24"/>
          <w:szCs w:val="24"/>
        </w:rPr>
        <w:t>consistent</w:t>
      </w:r>
      <w:r w:rsidR="001D3643">
        <w:rPr>
          <w:sz w:val="24"/>
          <w:szCs w:val="24"/>
        </w:rPr>
        <w:t xml:space="preserve"> </w:t>
      </w:r>
      <w:r w:rsidR="000A6545">
        <w:rPr>
          <w:sz w:val="24"/>
          <w:szCs w:val="24"/>
        </w:rPr>
        <w:t xml:space="preserve">enough to allow the input into the created </w:t>
      </w:r>
      <w:r w:rsidR="00B96CAC">
        <w:rPr>
          <w:sz w:val="24"/>
          <w:szCs w:val="24"/>
        </w:rPr>
        <w:t>E</w:t>
      </w:r>
      <w:r w:rsidR="000A6545">
        <w:rPr>
          <w:sz w:val="24"/>
          <w:szCs w:val="24"/>
        </w:rPr>
        <w:t>xcel input sheets. Difference</w:t>
      </w:r>
      <w:r w:rsidR="008F1955">
        <w:rPr>
          <w:sz w:val="24"/>
          <w:szCs w:val="24"/>
        </w:rPr>
        <w:t>s</w:t>
      </w:r>
      <w:r w:rsidR="000A6545">
        <w:rPr>
          <w:sz w:val="24"/>
          <w:szCs w:val="24"/>
        </w:rPr>
        <w:t xml:space="preserve"> in wording or phrasing </w:t>
      </w:r>
      <w:r w:rsidR="00F47565">
        <w:rPr>
          <w:sz w:val="24"/>
          <w:szCs w:val="24"/>
        </w:rPr>
        <w:t xml:space="preserve">was common, but with a clearly identifiable </w:t>
      </w:r>
      <w:r w:rsidR="00C0607E">
        <w:rPr>
          <w:sz w:val="24"/>
          <w:szCs w:val="24"/>
        </w:rPr>
        <w:t xml:space="preserve">meaning. </w:t>
      </w:r>
      <w:r w:rsidR="00963FAA">
        <w:rPr>
          <w:sz w:val="24"/>
          <w:szCs w:val="24"/>
        </w:rPr>
        <w:t xml:space="preserve">The financial ratios and the input required had previously been selected, and </w:t>
      </w:r>
      <w:r w:rsidR="00372DAE">
        <w:rPr>
          <w:sz w:val="24"/>
          <w:szCs w:val="24"/>
        </w:rPr>
        <w:t>therefore the core information that was required to be transcribed from the company PDF to the</w:t>
      </w:r>
      <w:r w:rsidR="00C63F17">
        <w:rPr>
          <w:sz w:val="24"/>
          <w:szCs w:val="24"/>
        </w:rPr>
        <w:t xml:space="preserve"> relevant</w:t>
      </w:r>
      <w:r w:rsidR="00372DAE">
        <w:rPr>
          <w:sz w:val="24"/>
          <w:szCs w:val="24"/>
        </w:rPr>
        <w:t xml:space="preserve"> </w:t>
      </w:r>
      <w:r w:rsidR="00B96CAC">
        <w:rPr>
          <w:sz w:val="24"/>
          <w:szCs w:val="24"/>
        </w:rPr>
        <w:t>E</w:t>
      </w:r>
      <w:r w:rsidR="00372DAE">
        <w:rPr>
          <w:sz w:val="24"/>
          <w:szCs w:val="24"/>
        </w:rPr>
        <w:t xml:space="preserve">xcel sheets </w:t>
      </w:r>
      <w:r w:rsidR="00AE755D">
        <w:rPr>
          <w:sz w:val="24"/>
          <w:szCs w:val="24"/>
        </w:rPr>
        <w:t xml:space="preserve">were easily identified. </w:t>
      </w:r>
    </w:p>
    <w:p w14:paraId="6D2E431F" w14:textId="3D047198" w:rsidR="00162BF7" w:rsidRDefault="00162BF7" w:rsidP="00A62C11">
      <w:pPr>
        <w:spacing w:line="480" w:lineRule="auto"/>
        <w:jc w:val="both"/>
        <w:rPr>
          <w:sz w:val="24"/>
          <w:szCs w:val="24"/>
        </w:rPr>
      </w:pPr>
      <w:r>
        <w:rPr>
          <w:sz w:val="24"/>
          <w:szCs w:val="24"/>
        </w:rPr>
        <w:t>Where a larger challenge/</w:t>
      </w:r>
      <w:r w:rsidR="00F960CB">
        <w:rPr>
          <w:sz w:val="24"/>
          <w:szCs w:val="24"/>
        </w:rPr>
        <w:t>divergence occurred in transcribing</w:t>
      </w:r>
      <w:r w:rsidR="004248BE">
        <w:rPr>
          <w:sz w:val="24"/>
          <w:szCs w:val="24"/>
        </w:rPr>
        <w:t xml:space="preserve"> companies comprising the financial sector (</w:t>
      </w:r>
      <w:r w:rsidR="00922E8A">
        <w:rPr>
          <w:sz w:val="24"/>
          <w:szCs w:val="24"/>
        </w:rPr>
        <w:t>e.g.,</w:t>
      </w:r>
      <w:r w:rsidR="00085F93">
        <w:rPr>
          <w:sz w:val="24"/>
          <w:szCs w:val="24"/>
        </w:rPr>
        <w:t xml:space="preserve"> </w:t>
      </w:r>
      <w:r w:rsidR="004248BE">
        <w:rPr>
          <w:sz w:val="24"/>
          <w:szCs w:val="24"/>
        </w:rPr>
        <w:t>banks/</w:t>
      </w:r>
      <w:r w:rsidR="00085F93">
        <w:rPr>
          <w:sz w:val="24"/>
          <w:szCs w:val="24"/>
        </w:rPr>
        <w:t xml:space="preserve">investment funds). There were two principle differences that we chose to apply a </w:t>
      </w:r>
      <w:r w:rsidR="004C1539">
        <w:rPr>
          <w:sz w:val="24"/>
          <w:szCs w:val="24"/>
        </w:rPr>
        <w:t xml:space="preserve">prescribed treatment to in order to ensure standardisation of these with each other and to align with </w:t>
      </w:r>
      <w:r w:rsidR="00930E73">
        <w:rPr>
          <w:sz w:val="24"/>
          <w:szCs w:val="24"/>
        </w:rPr>
        <w:t xml:space="preserve">other </w:t>
      </w:r>
      <w:r w:rsidR="00D06C36">
        <w:rPr>
          <w:sz w:val="24"/>
          <w:szCs w:val="24"/>
        </w:rPr>
        <w:t>FTSE 250</w:t>
      </w:r>
      <w:r w:rsidR="00930E73">
        <w:rPr>
          <w:sz w:val="24"/>
          <w:szCs w:val="24"/>
        </w:rPr>
        <w:t xml:space="preserve"> industry sectors</w:t>
      </w:r>
      <w:r w:rsidR="00AE2351">
        <w:rPr>
          <w:sz w:val="24"/>
          <w:szCs w:val="24"/>
        </w:rPr>
        <w:t>: Firstly, ‘Investment Return</w:t>
      </w:r>
      <w:r w:rsidR="00765803">
        <w:rPr>
          <w:sz w:val="24"/>
          <w:szCs w:val="24"/>
        </w:rPr>
        <w:t>/Gain or losses on investments</w:t>
      </w:r>
      <w:r w:rsidR="00AE2351">
        <w:rPr>
          <w:sz w:val="24"/>
          <w:szCs w:val="24"/>
        </w:rPr>
        <w:t xml:space="preserve">’ </w:t>
      </w:r>
      <w:r w:rsidR="00BC29B2">
        <w:rPr>
          <w:sz w:val="24"/>
          <w:szCs w:val="24"/>
        </w:rPr>
        <w:t xml:space="preserve">was treated </w:t>
      </w:r>
      <w:r w:rsidR="00001472">
        <w:rPr>
          <w:sz w:val="24"/>
          <w:szCs w:val="24"/>
        </w:rPr>
        <w:t xml:space="preserve">the same </w:t>
      </w:r>
      <w:r w:rsidR="00BC29B2">
        <w:rPr>
          <w:sz w:val="24"/>
          <w:szCs w:val="24"/>
        </w:rPr>
        <w:t>as</w:t>
      </w:r>
      <w:r w:rsidR="00001472">
        <w:rPr>
          <w:sz w:val="24"/>
          <w:szCs w:val="24"/>
        </w:rPr>
        <w:t xml:space="preserve"> or</w:t>
      </w:r>
      <w:r w:rsidR="000F0F2F">
        <w:rPr>
          <w:sz w:val="24"/>
          <w:szCs w:val="24"/>
        </w:rPr>
        <w:t xml:space="preserve"> a component of</w:t>
      </w:r>
      <w:r w:rsidR="00BC29B2">
        <w:rPr>
          <w:sz w:val="24"/>
          <w:szCs w:val="24"/>
        </w:rPr>
        <w:t xml:space="preserve"> </w:t>
      </w:r>
      <w:r w:rsidR="000F0F2F">
        <w:rPr>
          <w:sz w:val="24"/>
          <w:szCs w:val="24"/>
        </w:rPr>
        <w:t>‘</w:t>
      </w:r>
      <w:r w:rsidR="00BC29B2">
        <w:rPr>
          <w:sz w:val="24"/>
          <w:szCs w:val="24"/>
        </w:rPr>
        <w:t>Sales</w:t>
      </w:r>
      <w:r w:rsidR="000F0F2F">
        <w:rPr>
          <w:sz w:val="24"/>
          <w:szCs w:val="24"/>
        </w:rPr>
        <w:t>’</w:t>
      </w:r>
      <w:r w:rsidR="00001472">
        <w:rPr>
          <w:sz w:val="24"/>
          <w:szCs w:val="24"/>
        </w:rPr>
        <w:t xml:space="preserve">; Secondly, </w:t>
      </w:r>
      <w:r w:rsidR="00D967C0">
        <w:rPr>
          <w:sz w:val="24"/>
          <w:szCs w:val="24"/>
        </w:rPr>
        <w:t xml:space="preserve">any fees payable and/or </w:t>
      </w:r>
      <w:r w:rsidR="007266A8">
        <w:rPr>
          <w:sz w:val="24"/>
          <w:szCs w:val="24"/>
        </w:rPr>
        <w:t xml:space="preserve">management costs for the fund were treated as a </w:t>
      </w:r>
      <w:r w:rsidR="006D4F00">
        <w:rPr>
          <w:sz w:val="24"/>
          <w:szCs w:val="24"/>
        </w:rPr>
        <w:t>‘</w:t>
      </w:r>
      <w:r w:rsidR="007266A8">
        <w:rPr>
          <w:sz w:val="24"/>
          <w:szCs w:val="24"/>
        </w:rPr>
        <w:t>Cost of Sales</w:t>
      </w:r>
      <w:r w:rsidR="006D4F00">
        <w:rPr>
          <w:sz w:val="24"/>
          <w:szCs w:val="24"/>
        </w:rPr>
        <w:t>’</w:t>
      </w:r>
      <w:r w:rsidR="007266A8">
        <w:rPr>
          <w:sz w:val="24"/>
          <w:szCs w:val="24"/>
        </w:rPr>
        <w:t xml:space="preserve">, in order to prevent bias in the Finance Sector analysis </w:t>
      </w:r>
      <w:r w:rsidR="008E0D1F">
        <w:rPr>
          <w:sz w:val="24"/>
          <w:szCs w:val="24"/>
        </w:rPr>
        <w:t xml:space="preserve">skewing </w:t>
      </w:r>
      <w:r w:rsidR="008B542A">
        <w:rPr>
          <w:sz w:val="24"/>
          <w:szCs w:val="24"/>
        </w:rPr>
        <w:t xml:space="preserve">the Gross Profit Ratio. </w:t>
      </w:r>
    </w:p>
    <w:p w14:paraId="0BBDC90D" w14:textId="4E51155D" w:rsidR="00D729B8" w:rsidRDefault="00FD1899" w:rsidP="00A62C11">
      <w:pPr>
        <w:spacing w:line="480" w:lineRule="auto"/>
        <w:jc w:val="both"/>
        <w:rPr>
          <w:sz w:val="24"/>
          <w:szCs w:val="24"/>
        </w:rPr>
      </w:pPr>
      <w:r>
        <w:rPr>
          <w:sz w:val="24"/>
          <w:szCs w:val="24"/>
        </w:rPr>
        <w:t xml:space="preserve">A similar treatment was required </w:t>
      </w:r>
      <w:r w:rsidR="006373C3">
        <w:rPr>
          <w:sz w:val="24"/>
          <w:szCs w:val="24"/>
        </w:rPr>
        <w:t xml:space="preserve">for companies comprising the service </w:t>
      </w:r>
      <w:r w:rsidR="00971CDD">
        <w:rPr>
          <w:sz w:val="24"/>
          <w:szCs w:val="24"/>
        </w:rPr>
        <w:t xml:space="preserve">industry sector. During the transcription of these companies </w:t>
      </w:r>
      <w:r w:rsidR="006D4F00">
        <w:rPr>
          <w:sz w:val="24"/>
          <w:szCs w:val="24"/>
        </w:rPr>
        <w:t xml:space="preserve">the ‘Cost of Sales’ </w:t>
      </w:r>
      <w:r w:rsidR="0052779A">
        <w:rPr>
          <w:sz w:val="24"/>
          <w:szCs w:val="24"/>
        </w:rPr>
        <w:t xml:space="preserve">was taken as the selling and marketing expenses (direct cost of </w:t>
      </w:r>
      <w:r w:rsidR="00DE13F5">
        <w:rPr>
          <w:sz w:val="24"/>
          <w:szCs w:val="24"/>
        </w:rPr>
        <w:t>acquiring</w:t>
      </w:r>
      <w:r w:rsidR="0052779A">
        <w:rPr>
          <w:sz w:val="24"/>
          <w:szCs w:val="24"/>
        </w:rPr>
        <w:t xml:space="preserve"> business)</w:t>
      </w:r>
      <w:r w:rsidR="00DE13F5">
        <w:rPr>
          <w:sz w:val="24"/>
          <w:szCs w:val="24"/>
        </w:rPr>
        <w:t xml:space="preserve"> and direct equipment/service/licence </w:t>
      </w:r>
      <w:r w:rsidR="00DE13F5">
        <w:rPr>
          <w:sz w:val="24"/>
          <w:szCs w:val="24"/>
        </w:rPr>
        <w:lastRenderedPageBreak/>
        <w:t xml:space="preserve">costs where these were identifiable from other operating expenses within the income statement. </w:t>
      </w:r>
    </w:p>
    <w:p w14:paraId="50D79E97" w14:textId="0620DDB4" w:rsidR="005C38CE" w:rsidRDefault="005C38CE" w:rsidP="00A62C11">
      <w:pPr>
        <w:spacing w:line="480" w:lineRule="auto"/>
        <w:jc w:val="both"/>
        <w:rPr>
          <w:sz w:val="24"/>
          <w:szCs w:val="24"/>
        </w:rPr>
      </w:pPr>
      <w:r>
        <w:rPr>
          <w:sz w:val="24"/>
          <w:szCs w:val="24"/>
        </w:rPr>
        <w:t xml:space="preserve">Cash Flow statement transcription </w:t>
      </w:r>
      <w:r w:rsidR="00E5508B">
        <w:rPr>
          <w:sz w:val="24"/>
          <w:szCs w:val="24"/>
        </w:rPr>
        <w:t>in multiple cases</w:t>
      </w:r>
      <w:r w:rsidR="00270E7E">
        <w:rPr>
          <w:sz w:val="24"/>
          <w:szCs w:val="24"/>
        </w:rPr>
        <w:t xml:space="preserve"> had either already had </w:t>
      </w:r>
      <w:r w:rsidR="003361DC">
        <w:rPr>
          <w:sz w:val="24"/>
          <w:szCs w:val="24"/>
        </w:rPr>
        <w:t>‘</w:t>
      </w:r>
      <w:r w:rsidR="00316590">
        <w:rPr>
          <w:sz w:val="24"/>
          <w:szCs w:val="24"/>
        </w:rPr>
        <w:t xml:space="preserve">Net Cash Generated from </w:t>
      </w:r>
      <w:r w:rsidR="003361DC">
        <w:rPr>
          <w:sz w:val="24"/>
          <w:szCs w:val="24"/>
        </w:rPr>
        <w:t>Operations’ with taxes already removed and stated separately. This</w:t>
      </w:r>
      <w:r w:rsidR="00E5508B">
        <w:rPr>
          <w:sz w:val="24"/>
          <w:szCs w:val="24"/>
        </w:rPr>
        <w:t xml:space="preserve"> required ‘Cash generated from operations’ to</w:t>
      </w:r>
      <w:r w:rsidR="003D3670">
        <w:rPr>
          <w:sz w:val="24"/>
          <w:szCs w:val="24"/>
        </w:rPr>
        <w:t xml:space="preserve"> be </w:t>
      </w:r>
      <w:r w:rsidR="00C31C57">
        <w:rPr>
          <w:sz w:val="24"/>
          <w:szCs w:val="24"/>
        </w:rPr>
        <w:t>back calculated</w:t>
      </w:r>
      <w:r w:rsidR="003D3670">
        <w:rPr>
          <w:sz w:val="24"/>
          <w:szCs w:val="24"/>
        </w:rPr>
        <w:t xml:space="preserve"> </w:t>
      </w:r>
      <w:r w:rsidR="001E66E8">
        <w:rPr>
          <w:sz w:val="24"/>
          <w:szCs w:val="24"/>
        </w:rPr>
        <w:t xml:space="preserve">to include the tax paid. </w:t>
      </w:r>
    </w:p>
    <w:p w14:paraId="0F7A6096" w14:textId="1411E659" w:rsidR="00C01A4A" w:rsidRDefault="00C01A4A" w:rsidP="00A62C11">
      <w:pPr>
        <w:spacing w:line="480" w:lineRule="auto"/>
        <w:jc w:val="both"/>
        <w:rPr>
          <w:sz w:val="24"/>
          <w:szCs w:val="24"/>
        </w:rPr>
      </w:pPr>
      <w:r>
        <w:rPr>
          <w:sz w:val="24"/>
          <w:szCs w:val="24"/>
        </w:rPr>
        <w:t xml:space="preserve">At all stages throughout the data transcription, </w:t>
      </w:r>
      <w:r w:rsidR="005B0271">
        <w:rPr>
          <w:sz w:val="24"/>
          <w:szCs w:val="24"/>
        </w:rPr>
        <w:t xml:space="preserve">logic and total checks were carried out against reported subtotal lines on the </w:t>
      </w:r>
      <w:r w:rsidR="00CB1B4E">
        <w:rPr>
          <w:sz w:val="24"/>
          <w:szCs w:val="24"/>
        </w:rPr>
        <w:t xml:space="preserve">annual report financial statements to ensure accuracy and uniform treatment of all financial data regardless of </w:t>
      </w:r>
      <w:r w:rsidR="00513B2C">
        <w:rPr>
          <w:sz w:val="24"/>
          <w:szCs w:val="24"/>
        </w:rPr>
        <w:t xml:space="preserve">individual company level report differences. </w:t>
      </w:r>
    </w:p>
    <w:p w14:paraId="7C6FBD31" w14:textId="1BFA8CB9" w:rsidR="00673DCF" w:rsidRPr="00DB6AFD" w:rsidRDefault="00673DCF" w:rsidP="00A62C11">
      <w:pPr>
        <w:spacing w:line="480" w:lineRule="auto"/>
        <w:jc w:val="both"/>
        <w:rPr>
          <w:sz w:val="24"/>
          <w:szCs w:val="24"/>
        </w:rPr>
      </w:pPr>
      <w:r>
        <w:rPr>
          <w:sz w:val="24"/>
          <w:szCs w:val="24"/>
        </w:rPr>
        <w:t xml:space="preserve">An example of the 3 financial input statement Excel spreadsheet can be </w:t>
      </w:r>
      <w:r w:rsidRPr="007D3108">
        <w:rPr>
          <w:sz w:val="24"/>
          <w:szCs w:val="24"/>
        </w:rPr>
        <w:t xml:space="preserve">found in Appendix </w:t>
      </w:r>
      <w:r>
        <w:rPr>
          <w:sz w:val="24"/>
          <w:szCs w:val="24"/>
        </w:rPr>
        <w:t xml:space="preserve">8.1, with fields to allow non-sterling report entry and currency exchange (see </w:t>
      </w:r>
      <w:r w:rsidRPr="007D3108">
        <w:rPr>
          <w:sz w:val="24"/>
          <w:szCs w:val="24"/>
        </w:rPr>
        <w:t>section 3.2.4</w:t>
      </w:r>
      <w:r>
        <w:rPr>
          <w:sz w:val="24"/>
          <w:szCs w:val="24"/>
        </w:rPr>
        <w:t xml:space="preserve"> for further information). </w:t>
      </w:r>
    </w:p>
    <w:p w14:paraId="377545BF" w14:textId="56185F8D" w:rsidR="001A00D5" w:rsidRDefault="001A00D5" w:rsidP="007656AE">
      <w:pPr>
        <w:pStyle w:val="Heading3"/>
        <w:numPr>
          <w:ilvl w:val="2"/>
          <w:numId w:val="3"/>
        </w:numPr>
        <w:spacing w:line="480" w:lineRule="auto"/>
        <w:jc w:val="both"/>
        <w:rPr>
          <w:szCs w:val="24"/>
        </w:rPr>
      </w:pPr>
      <w:bookmarkStart w:id="24" w:name="_Toc141646707"/>
      <w:r w:rsidRPr="00212580">
        <w:rPr>
          <w:szCs w:val="24"/>
        </w:rPr>
        <w:t>Ex</w:t>
      </w:r>
      <w:r>
        <w:rPr>
          <w:szCs w:val="24"/>
        </w:rPr>
        <w:t xml:space="preserve">change </w:t>
      </w:r>
      <w:r w:rsidR="00C450DC">
        <w:rPr>
          <w:szCs w:val="24"/>
        </w:rPr>
        <w:t>R</w:t>
      </w:r>
      <w:r>
        <w:rPr>
          <w:szCs w:val="24"/>
        </w:rPr>
        <w:t>ate</w:t>
      </w:r>
      <w:bookmarkEnd w:id="24"/>
    </w:p>
    <w:p w14:paraId="2901782B" w14:textId="105A1B28" w:rsidR="001A00D5" w:rsidRPr="005B6C6C" w:rsidRDefault="000D2ABE" w:rsidP="001A00D5">
      <w:pPr>
        <w:spacing w:line="480" w:lineRule="auto"/>
        <w:jc w:val="both"/>
      </w:pPr>
      <w:r>
        <w:rPr>
          <w:sz w:val="24"/>
          <w:szCs w:val="24"/>
        </w:rPr>
        <w:t xml:space="preserve">The </w:t>
      </w:r>
      <w:r w:rsidR="00D06C36">
        <w:rPr>
          <w:sz w:val="24"/>
          <w:szCs w:val="24"/>
        </w:rPr>
        <w:t>FTSE 250</w:t>
      </w:r>
      <w:r w:rsidR="001A00D5">
        <w:rPr>
          <w:sz w:val="24"/>
          <w:szCs w:val="24"/>
        </w:rPr>
        <w:t xml:space="preserve"> Index is based on companies listed with the London Stock Exchange the majority of companies comprising the index therefore report their financial performance in the Pound Sterling (£). Multinational companies may operate in multiple functional currencies, however, must report using the parent companies reporting currency. This is accounted for in a parent company’s financial reports. Parent company annual reports that have been publicly published in currencies other than Pound Sterling had financial report data converted from US Dollars ($) or Euros (</w:t>
      </w:r>
      <w:r w:rsidR="001A00D5">
        <w:rPr>
          <w:rFonts w:cstheme="minorHAnsi"/>
          <w:sz w:val="24"/>
          <w:szCs w:val="24"/>
        </w:rPr>
        <w:t>€</w:t>
      </w:r>
      <w:r w:rsidR="001A00D5">
        <w:rPr>
          <w:sz w:val="24"/>
          <w:szCs w:val="24"/>
        </w:rPr>
        <w:t xml:space="preserve">) to allow for comparative analysis. The exchange rates for these three currencies were </w:t>
      </w:r>
      <w:r w:rsidR="001A00D5" w:rsidRPr="00043E2E">
        <w:rPr>
          <w:sz w:val="24"/>
          <w:szCs w:val="24"/>
        </w:rPr>
        <w:t xml:space="preserve">averaged for the financial reporting year (12 months) using historical exchange rate averages per month from </w:t>
      </w:r>
      <w:r w:rsidR="00101F41" w:rsidRPr="00043E2E">
        <w:rPr>
          <w:sz w:val="24"/>
          <w:szCs w:val="24"/>
        </w:rPr>
        <w:fldChar w:fldCharType="begin"/>
      </w:r>
      <w:r w:rsidR="00B332CB">
        <w:rPr>
          <w:sz w:val="24"/>
          <w:szCs w:val="24"/>
        </w:rPr>
        <w:instrText xml:space="preserve"> ADDIN ZOTERO_ITEM CSL_CITATION {"citationID":"jNOA6XiS","properties":{"unsorted":true,"formattedCitation":"(Yahoo Finance, 2023a, 2023b)","plainCitation":"(Yahoo Finance, 2023a, 2023b)","noteIndex":0},"citationItems":[{"id":616,"uris":["http://zotero.org/users/local/RRCsWsp6/items/V5PCRI65"],"itemData":{"id":616,"type":"webpage","abstract":"Find the latest EUR/GBP (EURGBP=X) currency exchange rate, plus historical data, charts, relevant news and more","language":"en-US","title":"EUR/GBP (EURGBP=X) Live Rate, Chart &amp; News - Yahoo Finance","URL":"https://finance.yahoo.com/quote/EURGBP%3DX/","author":[{"family":"Yahoo Finance","given":""}],"accessed":{"date-parts":[["2023",3,23]]},"issued":{"date-parts":[["2023",3,23]]}},"label":"page"},{"id":615,"uris":["http://zotero.org/users/local/RRCsWsp6/items/ERTAC55F"],"itemData":{"id":615,"type":"webpage","abstract":"Find the latest USD/GBP (GBP=X) currency exchange rate, plus historical data, charts, relevant news and more","language":"en-US","title":"USD/GBP (GBP=X) Live Rate, Chart &amp; News - Yahoo Finance","URL":"https://finance.yahoo.com/quote/GBP%3DX/history/","author":[{"family":"Yahoo Finance","given":""}],"accessed":{"date-parts":[["2023",3,22]]},"issued":{"date-parts":[["2023",3,22]]}},"label":"page"}],"schema":"https://github.com/citation-style-language/schema/raw/master/csl-citation.json"} </w:instrText>
      </w:r>
      <w:r w:rsidR="00101F41" w:rsidRPr="00043E2E">
        <w:rPr>
          <w:sz w:val="24"/>
          <w:szCs w:val="24"/>
        </w:rPr>
        <w:fldChar w:fldCharType="separate"/>
      </w:r>
      <w:r w:rsidR="00B332CB">
        <w:rPr>
          <w:noProof/>
          <w:sz w:val="24"/>
          <w:szCs w:val="24"/>
        </w:rPr>
        <w:t xml:space="preserve">(Yahoo Finance, 2023a, </w:t>
      </w:r>
      <w:r w:rsidR="00B332CB">
        <w:rPr>
          <w:noProof/>
          <w:sz w:val="24"/>
          <w:szCs w:val="24"/>
        </w:rPr>
        <w:lastRenderedPageBreak/>
        <w:t>2023b)</w:t>
      </w:r>
      <w:r w:rsidR="00101F41" w:rsidRPr="00043E2E">
        <w:rPr>
          <w:sz w:val="24"/>
          <w:szCs w:val="24"/>
        </w:rPr>
        <w:fldChar w:fldCharType="end"/>
      </w:r>
      <w:r w:rsidR="001A00D5" w:rsidRPr="00043E2E">
        <w:rPr>
          <w:sz w:val="24"/>
          <w:szCs w:val="24"/>
        </w:rPr>
        <w:t>.</w:t>
      </w:r>
      <w:r w:rsidR="001A00D5">
        <w:rPr>
          <w:sz w:val="24"/>
          <w:szCs w:val="24"/>
        </w:rPr>
        <w:t xml:space="preserve"> Currency conversion was completed </w:t>
      </w:r>
      <w:r w:rsidR="00043E2E">
        <w:rPr>
          <w:sz w:val="24"/>
          <w:szCs w:val="24"/>
        </w:rPr>
        <w:t xml:space="preserve">to two decimal places </w:t>
      </w:r>
      <w:r w:rsidR="001A00D5">
        <w:rPr>
          <w:sz w:val="24"/>
          <w:szCs w:val="24"/>
        </w:rPr>
        <w:t>on the raw financial statement line data prior to the ratio analysis for the company being performed.</w:t>
      </w:r>
    </w:p>
    <w:p w14:paraId="386BE3E9" w14:textId="77777777" w:rsidR="001A00D5" w:rsidRPr="003D2A40" w:rsidRDefault="001A00D5" w:rsidP="007656AE">
      <w:pPr>
        <w:pStyle w:val="Heading3"/>
        <w:numPr>
          <w:ilvl w:val="2"/>
          <w:numId w:val="3"/>
        </w:numPr>
        <w:spacing w:line="480" w:lineRule="auto"/>
        <w:jc w:val="both"/>
        <w:rPr>
          <w:szCs w:val="24"/>
        </w:rPr>
      </w:pPr>
      <w:bookmarkStart w:id="25" w:name="_Toc141646708"/>
      <w:r w:rsidRPr="00212580">
        <w:rPr>
          <w:szCs w:val="24"/>
        </w:rPr>
        <w:t>Market Share Price</w:t>
      </w:r>
      <w:bookmarkEnd w:id="25"/>
      <w:r w:rsidRPr="00212580">
        <w:rPr>
          <w:szCs w:val="24"/>
        </w:rPr>
        <w:t xml:space="preserve"> </w:t>
      </w:r>
    </w:p>
    <w:p w14:paraId="425E51CF" w14:textId="5D8531E8" w:rsidR="001A00D5" w:rsidRDefault="001A00D5" w:rsidP="00AA22B0">
      <w:pPr>
        <w:spacing w:line="480" w:lineRule="auto"/>
        <w:jc w:val="both"/>
        <w:rPr>
          <w:sz w:val="24"/>
          <w:szCs w:val="24"/>
        </w:rPr>
      </w:pPr>
      <w:r w:rsidRPr="00212580">
        <w:rPr>
          <w:sz w:val="24"/>
          <w:szCs w:val="24"/>
        </w:rPr>
        <w:t>The market share</w:t>
      </w:r>
      <w:r>
        <w:rPr>
          <w:sz w:val="24"/>
          <w:szCs w:val="24"/>
        </w:rPr>
        <w:t>/stock</w:t>
      </w:r>
      <w:r w:rsidRPr="00212580">
        <w:rPr>
          <w:sz w:val="24"/>
          <w:szCs w:val="24"/>
        </w:rPr>
        <w:t xml:space="preserve"> price for a listed company </w:t>
      </w:r>
      <w:r>
        <w:rPr>
          <w:sz w:val="24"/>
          <w:szCs w:val="24"/>
        </w:rPr>
        <w:t xml:space="preserve">naturally fluctuates on a daily basis (and can change dramatically within a single trading day), this change is driven by supply and demand as with any product market. Stock markets function as an auction between share buyers and sellers, when both parties agree a price the trade proceeds and that sale price becomes the new market price for that particular company’s stock </w:t>
      </w:r>
      <w:r>
        <w:rPr>
          <w:sz w:val="24"/>
          <w:szCs w:val="24"/>
        </w:rPr>
        <w:fldChar w:fldCharType="begin"/>
      </w:r>
      <w:r w:rsidR="00B332CB">
        <w:rPr>
          <w:sz w:val="24"/>
          <w:szCs w:val="24"/>
        </w:rPr>
        <w:instrText xml:space="preserve"> ADDIN ZOTERO_ITEM CSL_CITATION {"citationID":"0snUczXS","properties":{"formattedCitation":"(Chaudhuri, 2018)","plainCitation":"(Chaudhuri, 2018)","noteIndex":0},"citationItems":[{"id":"fcehOGcq/0diJBeti","uris":["http://zotero.org/users/551440/items/EUQDFYHD"],"itemData":{"id":3007,"type":"speech","event-place":"Calcutta Business School","genre":"Workshop Material","publisher-place":"Calcutta Business School","title":"Stock Market Investing","URL":"https://www.researchgate.net/publication/322518736_STOCK_MARKET_INVESTING","author":[{"family":"Chaudhuri","given":"Tamal Datta"}],"accessed":{"date-parts":[["2022",1,31]]},"issued":{"date-parts":[["2018",1,20]]}}}],"schema":"https://github.com/citation-style-language/schema/raw/master/csl-citation.json"} </w:instrText>
      </w:r>
      <w:r>
        <w:rPr>
          <w:sz w:val="24"/>
          <w:szCs w:val="24"/>
        </w:rPr>
        <w:fldChar w:fldCharType="separate"/>
      </w:r>
      <w:r w:rsidR="007931FB">
        <w:rPr>
          <w:rFonts w:ascii="Calibri" w:hAnsi="Calibri" w:cs="Calibri"/>
          <w:sz w:val="24"/>
        </w:rPr>
        <w:t>(Chaudhuri, 2018)</w:t>
      </w:r>
      <w:r>
        <w:rPr>
          <w:sz w:val="24"/>
          <w:szCs w:val="24"/>
        </w:rPr>
        <w:fldChar w:fldCharType="end"/>
      </w:r>
      <w:r>
        <w:rPr>
          <w:sz w:val="24"/>
          <w:szCs w:val="24"/>
        </w:rPr>
        <w:t xml:space="preserve">. Due to this variance in a share’s price over the course of time, taking the closing price of a stock for a single day would not allow an accurate view of the share price movement </w:t>
      </w:r>
      <w:r>
        <w:rPr>
          <w:sz w:val="24"/>
          <w:szCs w:val="24"/>
        </w:rPr>
        <w:fldChar w:fldCharType="begin"/>
      </w:r>
      <w:r w:rsidR="00B332CB">
        <w:rPr>
          <w:sz w:val="24"/>
          <w:szCs w:val="24"/>
        </w:rPr>
        <w:instrText xml:space="preserve"> ADDIN ZOTERO_ITEM CSL_CITATION {"citationID":"UsgNoFpR","properties":{"formattedCitation":"(Gough, 2011)","plainCitation":"(Gough, 2011)","noteIndex":0},"citationItems":[{"id":"fcehOGcq/VU0fGSER","uris":["http://zotero.org/users/551440/items/9IPWWWNQ"],"itemData":{"id":3009,"type":"book","edition":"5th edition","event-place":"Chichester, West Sussex, UK ; New York","ISBN":"978-0-273-74355-2","language":"English","number-of-pages":"320","publisher":"FT Publishing International","publisher-place":"Chichester, West Sussex, UK ; New York","source":"Amazon","title":"How the Stock Market Really Works: FT Guide to How the Stock Market Really Works","title-short":"How the Stock Market Really Works","author":[{"family":"Gough","given":"Leo"}],"issued":{"date-parts":[["2011",8,18]]}}}],"schema":"https://github.com/citation-style-language/schema/raw/master/csl-citation.json"} </w:instrText>
      </w:r>
      <w:r>
        <w:rPr>
          <w:sz w:val="24"/>
          <w:szCs w:val="24"/>
        </w:rPr>
        <w:fldChar w:fldCharType="separate"/>
      </w:r>
      <w:r w:rsidR="007931FB">
        <w:rPr>
          <w:rFonts w:ascii="Calibri" w:hAnsi="Calibri" w:cs="Calibri"/>
          <w:sz w:val="24"/>
        </w:rPr>
        <w:t>(Gough, 2011)</w:t>
      </w:r>
      <w:r>
        <w:rPr>
          <w:sz w:val="24"/>
          <w:szCs w:val="24"/>
        </w:rPr>
        <w:fldChar w:fldCharType="end"/>
      </w:r>
      <w:r>
        <w:rPr>
          <w:sz w:val="24"/>
          <w:szCs w:val="24"/>
        </w:rPr>
        <w:t xml:space="preserve">. Financial Ratios for analysis have been calculated using company’s published reports with defined reporting periods; therefore, in order to gain a realistic selling price, the average selling price for the shares </w:t>
      </w:r>
      <w:r w:rsidR="008F1955">
        <w:rPr>
          <w:sz w:val="24"/>
          <w:szCs w:val="24"/>
        </w:rPr>
        <w:t>was</w:t>
      </w:r>
      <w:r>
        <w:rPr>
          <w:sz w:val="24"/>
          <w:szCs w:val="24"/>
        </w:rPr>
        <w:t xml:space="preserve"> calculated over the defined reporting period. Historical share price data was sourced from </w:t>
      </w:r>
      <w:r>
        <w:rPr>
          <w:sz w:val="24"/>
          <w:szCs w:val="24"/>
        </w:rPr>
        <w:fldChar w:fldCharType="begin"/>
      </w:r>
      <w:r w:rsidR="0017469B">
        <w:rPr>
          <w:sz w:val="24"/>
          <w:szCs w:val="24"/>
        </w:rPr>
        <w:instrText xml:space="preserve"> ADDIN ZOTERO_ITEM CSL_CITATION {"citationID":"g1iBS3ly","properties":{"formattedCitation":"(Yahoo! Finance, 2023)","plainCitation":"(Yahoo! Finance, 2023)","dontUpdate":true,"noteIndex":0},"citationItems":[{"id":560,"uris":["http://zotero.org/users/local/RRCsWsp6/items/ADKNRJUG"],"itemData":{"id":560,"type":"webpage","abstract":"At Yahoo Finance, you get free stock quotes, up-to-date news, portfolio management resources, international market data, social interaction and mortgage rates that help you manage your financial life.","language":"en-US","title":"Yahoo Finance - Stock Market Live, Quotes, Business &amp; Finance News","URL":"https://finance.yahoo.com/","author":[{"literal":"Yahoo! Finance"}],"accessed":{"date-parts":[["2022",7,31]]},"issued":{"date-parts":[["2023",5,12]]}}}],"schema":"https://github.com/citation-style-language/schema/raw/master/csl-citation.json"} </w:instrText>
      </w:r>
      <w:r>
        <w:rPr>
          <w:sz w:val="24"/>
          <w:szCs w:val="24"/>
        </w:rPr>
        <w:fldChar w:fldCharType="separate"/>
      </w:r>
      <w:r w:rsidR="00CC6925">
        <w:rPr>
          <w:rFonts w:ascii="Calibri" w:hAnsi="Calibri" w:cs="Calibri"/>
          <w:sz w:val="24"/>
        </w:rPr>
        <w:t>Yahoo! Finance, (2023)</w:t>
      </w:r>
      <w:r>
        <w:rPr>
          <w:sz w:val="24"/>
          <w:szCs w:val="24"/>
        </w:rPr>
        <w:fldChar w:fldCharType="end"/>
      </w:r>
      <w:r>
        <w:rPr>
          <w:sz w:val="24"/>
          <w:szCs w:val="24"/>
        </w:rPr>
        <w:t xml:space="preserve"> acting as a financial history database for each company analysed, with average share price calculated using the adjusted close price for the stock for the company’s reported financial year e.g. 1</w:t>
      </w:r>
      <w:r w:rsidRPr="00986668">
        <w:rPr>
          <w:sz w:val="24"/>
          <w:szCs w:val="24"/>
          <w:vertAlign w:val="superscript"/>
        </w:rPr>
        <w:t>st</w:t>
      </w:r>
      <w:r>
        <w:rPr>
          <w:sz w:val="24"/>
          <w:szCs w:val="24"/>
        </w:rPr>
        <w:t xml:space="preserve"> January to 31</w:t>
      </w:r>
      <w:r w:rsidRPr="00986668">
        <w:rPr>
          <w:sz w:val="24"/>
          <w:szCs w:val="24"/>
          <w:vertAlign w:val="superscript"/>
        </w:rPr>
        <w:t>st</w:t>
      </w:r>
      <w:r>
        <w:rPr>
          <w:sz w:val="24"/>
          <w:szCs w:val="24"/>
        </w:rPr>
        <w:t xml:space="preserve"> December. This average share </w:t>
      </w:r>
      <w:r w:rsidRPr="003D2A40">
        <w:rPr>
          <w:sz w:val="24"/>
          <w:szCs w:val="24"/>
        </w:rPr>
        <w:t xml:space="preserve">price was calculated for the 3 years being analysed and entered into the ratio calculations as the Market Share Price.  </w:t>
      </w:r>
    </w:p>
    <w:p w14:paraId="4BEFDA55" w14:textId="77777777" w:rsidR="00E47FE9" w:rsidRPr="00527EB5" w:rsidRDefault="00E47FE9" w:rsidP="007656AE">
      <w:pPr>
        <w:pStyle w:val="Heading3"/>
        <w:numPr>
          <w:ilvl w:val="2"/>
          <w:numId w:val="3"/>
        </w:numPr>
        <w:spacing w:line="480" w:lineRule="auto"/>
        <w:jc w:val="both"/>
        <w:rPr>
          <w:szCs w:val="24"/>
        </w:rPr>
      </w:pPr>
      <w:bookmarkStart w:id="26" w:name="_Toc141646709"/>
      <w:r w:rsidRPr="00527EB5">
        <w:rPr>
          <w:szCs w:val="24"/>
        </w:rPr>
        <w:t>FTSE 250 Index Performance</w:t>
      </w:r>
      <w:bookmarkEnd w:id="26"/>
      <w:r w:rsidRPr="00527EB5">
        <w:rPr>
          <w:szCs w:val="24"/>
        </w:rPr>
        <w:t xml:space="preserve"> </w:t>
      </w:r>
    </w:p>
    <w:p w14:paraId="509A080A" w14:textId="67E87F3C" w:rsidR="00D961B6" w:rsidRPr="00527EB5" w:rsidRDefault="00E47FE9" w:rsidP="00AA22B0">
      <w:pPr>
        <w:spacing w:line="480" w:lineRule="auto"/>
        <w:jc w:val="both"/>
        <w:rPr>
          <w:sz w:val="24"/>
          <w:szCs w:val="24"/>
        </w:rPr>
      </w:pPr>
      <w:r w:rsidRPr="00527EB5">
        <w:rPr>
          <w:sz w:val="24"/>
          <w:szCs w:val="24"/>
        </w:rPr>
        <w:t xml:space="preserve">Historical performance information </w:t>
      </w:r>
      <w:r w:rsidR="008F1955">
        <w:rPr>
          <w:sz w:val="24"/>
          <w:szCs w:val="24"/>
        </w:rPr>
        <w:t>was</w:t>
      </w:r>
      <w:r w:rsidRPr="00527EB5">
        <w:rPr>
          <w:sz w:val="24"/>
          <w:szCs w:val="24"/>
        </w:rPr>
        <w:t xml:space="preserve"> gathered for the FTSE 250 index to allow for macro-economic trend analysis. This </w:t>
      </w:r>
      <w:r w:rsidR="00922E8A">
        <w:rPr>
          <w:sz w:val="24"/>
          <w:szCs w:val="24"/>
        </w:rPr>
        <w:t>was</w:t>
      </w:r>
      <w:r w:rsidR="00922E8A" w:rsidRPr="00527EB5">
        <w:rPr>
          <w:sz w:val="24"/>
          <w:szCs w:val="24"/>
        </w:rPr>
        <w:t xml:space="preserve"> not</w:t>
      </w:r>
      <w:r w:rsidRPr="00527EB5">
        <w:rPr>
          <w:sz w:val="24"/>
          <w:szCs w:val="24"/>
        </w:rPr>
        <w:t xml:space="preserve"> looked at in fine detail, as index comparative analysis throughout the pandemic would be a thesis in itself. Comparisons </w:t>
      </w:r>
      <w:r w:rsidR="004A27AB">
        <w:rPr>
          <w:sz w:val="24"/>
          <w:szCs w:val="24"/>
        </w:rPr>
        <w:t xml:space="preserve">were </w:t>
      </w:r>
      <w:r w:rsidRPr="00527EB5">
        <w:rPr>
          <w:sz w:val="24"/>
          <w:szCs w:val="24"/>
        </w:rPr>
        <w:t xml:space="preserve">made with historic </w:t>
      </w:r>
      <w:r w:rsidRPr="00527EB5">
        <w:rPr>
          <w:sz w:val="24"/>
          <w:szCs w:val="24"/>
        </w:rPr>
        <w:lastRenderedPageBreak/>
        <w:t xml:space="preserve">performances of other indices to see if there </w:t>
      </w:r>
      <w:r w:rsidR="004A27AB">
        <w:rPr>
          <w:sz w:val="24"/>
          <w:szCs w:val="24"/>
        </w:rPr>
        <w:t>were</w:t>
      </w:r>
      <w:r w:rsidRPr="00527EB5">
        <w:rPr>
          <w:sz w:val="24"/>
          <w:szCs w:val="24"/>
        </w:rPr>
        <w:t xml:space="preserve"> large scale differences in the impact of COVID on global financial performance.</w:t>
      </w:r>
    </w:p>
    <w:p w14:paraId="4A0EABE9" w14:textId="599781D8" w:rsidR="00CE5C03" w:rsidRPr="00527EB5" w:rsidRDefault="003B589F" w:rsidP="007656AE">
      <w:pPr>
        <w:pStyle w:val="Heading2"/>
        <w:numPr>
          <w:ilvl w:val="1"/>
          <w:numId w:val="3"/>
        </w:numPr>
        <w:spacing w:line="480" w:lineRule="auto"/>
        <w:jc w:val="both"/>
        <w:rPr>
          <w:szCs w:val="24"/>
        </w:rPr>
      </w:pPr>
      <w:bookmarkStart w:id="27" w:name="_Toc141646710"/>
      <w:r w:rsidRPr="00527EB5">
        <w:rPr>
          <w:szCs w:val="24"/>
        </w:rPr>
        <w:t>Financial Ratio Analysis</w:t>
      </w:r>
      <w:bookmarkEnd w:id="27"/>
    </w:p>
    <w:p w14:paraId="2FE5D579" w14:textId="064DFCD5" w:rsidR="00432EDB" w:rsidRPr="00527EB5" w:rsidRDefault="00726988" w:rsidP="007656AE">
      <w:pPr>
        <w:pStyle w:val="Heading3"/>
        <w:numPr>
          <w:ilvl w:val="2"/>
          <w:numId w:val="3"/>
        </w:numPr>
        <w:spacing w:line="480" w:lineRule="auto"/>
        <w:jc w:val="both"/>
        <w:rPr>
          <w:szCs w:val="24"/>
        </w:rPr>
      </w:pPr>
      <w:bookmarkStart w:id="28" w:name="_Toc141646711"/>
      <w:r w:rsidRPr="00527EB5">
        <w:rPr>
          <w:szCs w:val="24"/>
        </w:rPr>
        <w:t>Financial Ratios</w:t>
      </w:r>
      <w:bookmarkEnd w:id="28"/>
    </w:p>
    <w:p w14:paraId="3CD9ABD2" w14:textId="1745B009" w:rsidR="00D33E06" w:rsidRPr="00527EB5" w:rsidRDefault="00B27D80" w:rsidP="00464E55">
      <w:pPr>
        <w:spacing w:line="480" w:lineRule="auto"/>
        <w:jc w:val="both"/>
        <w:rPr>
          <w:sz w:val="24"/>
          <w:szCs w:val="24"/>
        </w:rPr>
      </w:pPr>
      <w:r w:rsidRPr="00527EB5">
        <w:rPr>
          <w:sz w:val="24"/>
          <w:szCs w:val="24"/>
        </w:rPr>
        <w:t xml:space="preserve">As has been mentioned previously, financial statement analysis is most commonly completed using financial ratios, as only then is it possible to evenly weigh and compare two different companies. </w:t>
      </w:r>
      <w:r w:rsidR="000830EC" w:rsidRPr="00527EB5">
        <w:rPr>
          <w:sz w:val="24"/>
          <w:szCs w:val="24"/>
        </w:rPr>
        <w:t xml:space="preserve">The type, depth and breadth of financial ratios used in conducting an analysis will vary and depend on a variety of factors including: industry, </w:t>
      </w:r>
      <w:r w:rsidR="00C2503A" w:rsidRPr="00527EB5">
        <w:rPr>
          <w:sz w:val="24"/>
          <w:szCs w:val="24"/>
        </w:rPr>
        <w:t xml:space="preserve">analysis parameters, </w:t>
      </w:r>
      <w:r w:rsidR="00711E09" w:rsidRPr="00527EB5">
        <w:rPr>
          <w:sz w:val="24"/>
          <w:szCs w:val="24"/>
        </w:rPr>
        <w:t>focus areas and the available information</w:t>
      </w:r>
      <w:r w:rsidR="007979D0" w:rsidRPr="00527EB5">
        <w:rPr>
          <w:sz w:val="24"/>
          <w:szCs w:val="24"/>
        </w:rPr>
        <w:t xml:space="preserve"> </w:t>
      </w:r>
      <w:r w:rsidR="0083492D" w:rsidRPr="00527EB5">
        <w:rPr>
          <w:sz w:val="24"/>
          <w:szCs w:val="24"/>
        </w:rPr>
        <w:fldChar w:fldCharType="begin"/>
      </w:r>
      <w:r w:rsidR="00725B04" w:rsidRPr="00527EB5">
        <w:rPr>
          <w:sz w:val="24"/>
          <w:szCs w:val="24"/>
        </w:rPr>
        <w:instrText xml:space="preserve"> ADDIN ZOTERO_ITEM CSL_CITATION {"citationID":"n1zNO7g4","properties":{"formattedCitation":"(Alvarez and Fridson, 2011)","plainCitation":"(Alvarez and Fridson, 2011)","noteIndex":0},"citationItems":[{"id":633,"uris":["http://zotero.org/users/local/RRCsWsp6/items/TICP97KX"],"itemData":{"id":633,"type":"book","abstract":"An updated guide to the essential discipline of financial statement analysis In Financial Statement Analysis, Fourth Edition, leading investment authority Martin Fridson returns with Fernando Alvarez to provide the analytical framework you need to scrutinize financial statements, whether you're evaluating a company's stock price or determining valuations for a merger or acquisition. This fully revised and up-to-date Fourth Edition offers fresh information that will help you to evaluate financial statements in today's volatile markets and uncertain economy, and allow yo","collection-title":"Wiley Finance ; v.597","edition":"4th ed.","event-place":"Hoboken","ISBN":"978-1-119-20148-9","language":"eng","number-of-pages":"400","publisher":"Wiley","publisher-place":"Hoboken","source":"librarysearch.uwtsd.ac.uk","title":"Financial Statement Analysis A Practitioner's Guide","author":[{"family":"Alvarez","given":"Fernando"},{"family":"Fridson","given":"Martin S"}],"issued":{"date-parts":[["2011"]]}}}],"schema":"https://github.com/citation-style-language/schema/raw/master/csl-citation.json"} </w:instrText>
      </w:r>
      <w:r w:rsidR="0083492D" w:rsidRPr="00527EB5">
        <w:rPr>
          <w:sz w:val="24"/>
          <w:szCs w:val="24"/>
        </w:rPr>
        <w:fldChar w:fldCharType="separate"/>
      </w:r>
      <w:r w:rsidR="007931FB">
        <w:rPr>
          <w:noProof/>
          <w:sz w:val="24"/>
          <w:szCs w:val="24"/>
        </w:rPr>
        <w:t>(Alvarez and Fridson, 2011)</w:t>
      </w:r>
      <w:r w:rsidR="0083492D" w:rsidRPr="00527EB5">
        <w:rPr>
          <w:sz w:val="24"/>
          <w:szCs w:val="24"/>
        </w:rPr>
        <w:fldChar w:fldCharType="end"/>
      </w:r>
      <w:r w:rsidR="00711E09" w:rsidRPr="00527EB5">
        <w:rPr>
          <w:sz w:val="24"/>
          <w:szCs w:val="24"/>
        </w:rPr>
        <w:t xml:space="preserve">. </w:t>
      </w:r>
    </w:p>
    <w:p w14:paraId="7C4FCCC7" w14:textId="44110837" w:rsidR="00DD5481" w:rsidRPr="00527EB5" w:rsidRDefault="00DD5481" w:rsidP="00464E55">
      <w:pPr>
        <w:spacing w:line="480" w:lineRule="auto"/>
        <w:jc w:val="both"/>
        <w:rPr>
          <w:sz w:val="24"/>
          <w:szCs w:val="24"/>
        </w:rPr>
      </w:pPr>
      <w:r w:rsidRPr="00527EB5">
        <w:rPr>
          <w:sz w:val="24"/>
          <w:szCs w:val="24"/>
        </w:rPr>
        <w:t xml:space="preserve">For this analysis, given the range of industries constituting the </w:t>
      </w:r>
      <w:r w:rsidR="00D06C36">
        <w:rPr>
          <w:sz w:val="24"/>
          <w:szCs w:val="24"/>
        </w:rPr>
        <w:t>FTSE 250</w:t>
      </w:r>
      <w:r w:rsidRPr="00527EB5">
        <w:rPr>
          <w:sz w:val="24"/>
          <w:szCs w:val="24"/>
        </w:rPr>
        <w:t xml:space="preserve"> and the </w:t>
      </w:r>
      <w:r w:rsidR="00E55F9F" w:rsidRPr="00527EB5">
        <w:rPr>
          <w:sz w:val="24"/>
          <w:szCs w:val="24"/>
        </w:rPr>
        <w:t>intention to analyse performance between industry sectors, the</w:t>
      </w:r>
      <w:r w:rsidR="004B49F3" w:rsidRPr="00527EB5">
        <w:rPr>
          <w:sz w:val="24"/>
          <w:szCs w:val="24"/>
        </w:rPr>
        <w:t xml:space="preserve"> financial</w:t>
      </w:r>
      <w:r w:rsidR="00E55F9F" w:rsidRPr="00527EB5">
        <w:rPr>
          <w:sz w:val="24"/>
          <w:szCs w:val="24"/>
        </w:rPr>
        <w:t xml:space="preserve"> ratios selected for use </w:t>
      </w:r>
      <w:r w:rsidR="004B49F3" w:rsidRPr="00527EB5">
        <w:rPr>
          <w:sz w:val="24"/>
          <w:szCs w:val="24"/>
        </w:rPr>
        <w:t xml:space="preserve">are the ‘standard’ range that are used globally for essential </w:t>
      </w:r>
      <w:r w:rsidR="00B308AE" w:rsidRPr="00527EB5">
        <w:rPr>
          <w:sz w:val="24"/>
          <w:szCs w:val="24"/>
        </w:rPr>
        <w:t>company analysis.</w:t>
      </w:r>
      <w:r w:rsidR="00564784" w:rsidRPr="00527EB5">
        <w:rPr>
          <w:sz w:val="24"/>
          <w:szCs w:val="24"/>
        </w:rPr>
        <w:t xml:space="preserve"> </w:t>
      </w:r>
      <w:r w:rsidR="009D08A0" w:rsidRPr="00527EB5">
        <w:rPr>
          <w:sz w:val="24"/>
          <w:szCs w:val="24"/>
        </w:rPr>
        <w:t xml:space="preserve">These can be divided into 4 distinct </w:t>
      </w:r>
      <w:r w:rsidR="00E20565" w:rsidRPr="00527EB5">
        <w:rPr>
          <w:sz w:val="24"/>
          <w:szCs w:val="24"/>
        </w:rPr>
        <w:t xml:space="preserve">categories: </w:t>
      </w:r>
      <w:r w:rsidR="004145D5" w:rsidRPr="00527EB5">
        <w:rPr>
          <w:sz w:val="24"/>
          <w:szCs w:val="24"/>
        </w:rPr>
        <w:t xml:space="preserve">Profitability, Efficiency, Liquidity, </w:t>
      </w:r>
      <w:r w:rsidR="00F639E5" w:rsidRPr="00527EB5">
        <w:rPr>
          <w:sz w:val="24"/>
          <w:szCs w:val="24"/>
        </w:rPr>
        <w:t>Investment and Gearing,</w:t>
      </w:r>
      <w:r w:rsidR="009D08A0" w:rsidRPr="00527EB5">
        <w:rPr>
          <w:sz w:val="24"/>
          <w:szCs w:val="24"/>
        </w:rPr>
        <w:t xml:space="preserve"> with m</w:t>
      </w:r>
      <w:r w:rsidR="0059471D" w:rsidRPr="00527EB5">
        <w:rPr>
          <w:sz w:val="24"/>
          <w:szCs w:val="24"/>
        </w:rPr>
        <w:t>an</w:t>
      </w:r>
      <w:r w:rsidR="009D08A0" w:rsidRPr="00527EB5">
        <w:rPr>
          <w:sz w:val="24"/>
          <w:szCs w:val="24"/>
        </w:rPr>
        <w:t xml:space="preserve">y of these </w:t>
      </w:r>
      <w:r w:rsidR="00F639E5" w:rsidRPr="00527EB5">
        <w:rPr>
          <w:sz w:val="24"/>
          <w:szCs w:val="24"/>
        </w:rPr>
        <w:t>categories</w:t>
      </w:r>
      <w:r w:rsidR="009D08A0" w:rsidRPr="00527EB5">
        <w:rPr>
          <w:sz w:val="24"/>
          <w:szCs w:val="24"/>
        </w:rPr>
        <w:t xml:space="preserve"> containing multiple </w:t>
      </w:r>
      <w:r w:rsidR="00E20565" w:rsidRPr="00527EB5">
        <w:rPr>
          <w:sz w:val="24"/>
          <w:szCs w:val="24"/>
        </w:rPr>
        <w:t>ratios</w:t>
      </w:r>
      <w:r w:rsidR="00F639E5" w:rsidRPr="00527EB5">
        <w:rPr>
          <w:sz w:val="24"/>
          <w:szCs w:val="24"/>
        </w:rPr>
        <w:t xml:space="preserve">. </w:t>
      </w:r>
      <w:r w:rsidR="00D1743C" w:rsidRPr="00527EB5">
        <w:rPr>
          <w:sz w:val="24"/>
          <w:szCs w:val="24"/>
        </w:rPr>
        <w:t>Due to the</w:t>
      </w:r>
      <w:r w:rsidR="00FB3A4B" w:rsidRPr="00527EB5">
        <w:rPr>
          <w:sz w:val="24"/>
          <w:szCs w:val="24"/>
        </w:rPr>
        <w:t xml:space="preserve"> large amount of reporting lines contained within a FTSE indexed </w:t>
      </w:r>
      <w:r w:rsidR="006B323E" w:rsidRPr="00527EB5">
        <w:rPr>
          <w:sz w:val="24"/>
          <w:szCs w:val="24"/>
        </w:rPr>
        <w:t>company’s</w:t>
      </w:r>
      <w:r w:rsidR="00FB3A4B" w:rsidRPr="00527EB5">
        <w:rPr>
          <w:sz w:val="24"/>
          <w:szCs w:val="24"/>
        </w:rPr>
        <w:t xml:space="preserve"> financial statements </w:t>
      </w:r>
      <w:r w:rsidR="0085305C" w:rsidRPr="00527EB5">
        <w:rPr>
          <w:sz w:val="24"/>
          <w:szCs w:val="24"/>
        </w:rPr>
        <w:t>there is a large scope for comparing various items with each other. Therefore</w:t>
      </w:r>
      <w:r w:rsidR="006B323E" w:rsidRPr="00527EB5">
        <w:rPr>
          <w:sz w:val="24"/>
          <w:szCs w:val="24"/>
        </w:rPr>
        <w:t>,</w:t>
      </w:r>
      <w:r w:rsidR="0085305C" w:rsidRPr="00527EB5">
        <w:rPr>
          <w:sz w:val="24"/>
          <w:szCs w:val="24"/>
        </w:rPr>
        <w:t xml:space="preserve"> we have selected the key ratios </w:t>
      </w:r>
      <w:r w:rsidR="00511E11" w:rsidRPr="00527EB5">
        <w:rPr>
          <w:sz w:val="24"/>
          <w:szCs w:val="24"/>
        </w:rPr>
        <w:t xml:space="preserve">and grouped these logically </w:t>
      </w:r>
      <w:r w:rsidR="006B4F43" w:rsidRPr="00527EB5">
        <w:rPr>
          <w:sz w:val="24"/>
          <w:szCs w:val="24"/>
        </w:rPr>
        <w:t xml:space="preserve">to make analysis and reporting as streamlined as possible. </w:t>
      </w:r>
    </w:p>
    <w:p w14:paraId="431F03F4" w14:textId="4BF2B424" w:rsidR="00CC680D" w:rsidRPr="00527EB5" w:rsidRDefault="00CC680D" w:rsidP="00F2575C">
      <w:pPr>
        <w:spacing w:line="480" w:lineRule="auto"/>
        <w:ind w:firstLine="720"/>
        <w:jc w:val="both"/>
        <w:rPr>
          <w:b/>
          <w:bCs/>
          <w:sz w:val="24"/>
          <w:szCs w:val="24"/>
        </w:rPr>
      </w:pPr>
      <w:r w:rsidRPr="00527EB5">
        <w:rPr>
          <w:b/>
          <w:bCs/>
          <w:sz w:val="24"/>
          <w:szCs w:val="24"/>
        </w:rPr>
        <w:t>Profitability</w:t>
      </w:r>
    </w:p>
    <w:p w14:paraId="649C136C" w14:textId="7404E239" w:rsidR="00FF7198" w:rsidRPr="00527EB5" w:rsidRDefault="00B37C7B" w:rsidP="00464E55">
      <w:pPr>
        <w:spacing w:line="480" w:lineRule="auto"/>
        <w:jc w:val="both"/>
        <w:rPr>
          <w:sz w:val="24"/>
          <w:szCs w:val="24"/>
        </w:rPr>
      </w:pPr>
      <w:r w:rsidRPr="00527EB5">
        <w:rPr>
          <w:sz w:val="24"/>
          <w:szCs w:val="24"/>
        </w:rPr>
        <w:t xml:space="preserve">The following ratios </w:t>
      </w:r>
      <w:r w:rsidR="006E180D" w:rsidRPr="00527EB5">
        <w:rPr>
          <w:sz w:val="24"/>
          <w:szCs w:val="24"/>
        </w:rPr>
        <w:t xml:space="preserve">were </w:t>
      </w:r>
      <w:r w:rsidRPr="00527EB5">
        <w:rPr>
          <w:sz w:val="24"/>
          <w:szCs w:val="24"/>
        </w:rPr>
        <w:t>analysed: Gross Profit, Cost of Sales, Tax</w:t>
      </w:r>
      <w:r w:rsidR="005566FB" w:rsidRPr="00527EB5">
        <w:rPr>
          <w:sz w:val="24"/>
          <w:szCs w:val="24"/>
        </w:rPr>
        <w:t xml:space="preserve"> Paid, Operating Profit, Net Profit, Return on Capital Employed and Sales Growth/Decline. </w:t>
      </w:r>
    </w:p>
    <w:p w14:paraId="32492B0F" w14:textId="25899E88" w:rsidR="006E180D" w:rsidRPr="00527EB5" w:rsidRDefault="006E180D" w:rsidP="005C5814">
      <w:pPr>
        <w:spacing w:line="480" w:lineRule="auto"/>
        <w:ind w:firstLine="720"/>
        <w:jc w:val="both"/>
        <w:rPr>
          <w:b/>
          <w:bCs/>
          <w:sz w:val="24"/>
          <w:szCs w:val="24"/>
        </w:rPr>
      </w:pPr>
      <w:r w:rsidRPr="00527EB5">
        <w:rPr>
          <w:b/>
          <w:bCs/>
          <w:sz w:val="24"/>
          <w:szCs w:val="24"/>
        </w:rPr>
        <w:t>Efficiency</w:t>
      </w:r>
    </w:p>
    <w:p w14:paraId="6353C102" w14:textId="7032A06D" w:rsidR="000F0104" w:rsidRPr="00527EB5" w:rsidRDefault="006E180D" w:rsidP="00464E55">
      <w:pPr>
        <w:spacing w:line="480" w:lineRule="auto"/>
        <w:jc w:val="both"/>
        <w:rPr>
          <w:sz w:val="24"/>
          <w:szCs w:val="24"/>
        </w:rPr>
      </w:pPr>
      <w:r w:rsidRPr="00527EB5">
        <w:rPr>
          <w:sz w:val="24"/>
          <w:szCs w:val="24"/>
        </w:rPr>
        <w:lastRenderedPageBreak/>
        <w:t>The following ratio were analysed</w:t>
      </w:r>
      <w:r w:rsidR="000F0104" w:rsidRPr="00527EB5">
        <w:rPr>
          <w:sz w:val="24"/>
          <w:szCs w:val="24"/>
        </w:rPr>
        <w:t>: Asset Turnover, Return on Assets, Non-current Asset Productivity, Debtors (</w:t>
      </w:r>
      <w:r w:rsidR="00AE5305" w:rsidRPr="00527EB5">
        <w:rPr>
          <w:sz w:val="24"/>
          <w:szCs w:val="24"/>
        </w:rPr>
        <w:t>Receivables</w:t>
      </w:r>
      <w:r w:rsidR="000F0104" w:rsidRPr="00527EB5">
        <w:rPr>
          <w:sz w:val="24"/>
          <w:szCs w:val="24"/>
        </w:rPr>
        <w:t>)</w:t>
      </w:r>
      <w:r w:rsidR="00D86C71" w:rsidRPr="00527EB5">
        <w:rPr>
          <w:sz w:val="24"/>
          <w:szCs w:val="24"/>
        </w:rPr>
        <w:t xml:space="preserve"> Control, Creditors (Payables) Control, Stock Turnover in Days and Capital Employed </w:t>
      </w:r>
      <w:r w:rsidR="00C12E1E" w:rsidRPr="00527EB5">
        <w:rPr>
          <w:sz w:val="24"/>
          <w:szCs w:val="24"/>
        </w:rPr>
        <w:t xml:space="preserve">Turnover. </w:t>
      </w:r>
    </w:p>
    <w:p w14:paraId="45274338" w14:textId="690F09B6" w:rsidR="00C12E1E" w:rsidRPr="00527EB5" w:rsidRDefault="00C12E1E" w:rsidP="005C5814">
      <w:pPr>
        <w:spacing w:line="480" w:lineRule="auto"/>
        <w:ind w:firstLine="720"/>
        <w:jc w:val="both"/>
        <w:rPr>
          <w:b/>
          <w:bCs/>
          <w:sz w:val="24"/>
          <w:szCs w:val="24"/>
        </w:rPr>
      </w:pPr>
      <w:r w:rsidRPr="00527EB5">
        <w:rPr>
          <w:b/>
          <w:bCs/>
          <w:sz w:val="24"/>
          <w:szCs w:val="24"/>
        </w:rPr>
        <w:t>Liquidity</w:t>
      </w:r>
    </w:p>
    <w:p w14:paraId="3CE5A4C0" w14:textId="69E9005C" w:rsidR="00C12E1E" w:rsidRPr="00527EB5" w:rsidRDefault="00C12E1E" w:rsidP="00464E55">
      <w:pPr>
        <w:spacing w:line="480" w:lineRule="auto"/>
        <w:jc w:val="both"/>
        <w:rPr>
          <w:sz w:val="24"/>
          <w:szCs w:val="24"/>
        </w:rPr>
      </w:pPr>
      <w:r w:rsidRPr="00527EB5">
        <w:rPr>
          <w:sz w:val="24"/>
          <w:szCs w:val="24"/>
        </w:rPr>
        <w:t>The following ratios were analysed: Current Ratio and the Quick Ratio (Acid Test).</w:t>
      </w:r>
    </w:p>
    <w:p w14:paraId="18E95BD9" w14:textId="7B8BF447" w:rsidR="00C12E1E" w:rsidRPr="00527EB5" w:rsidRDefault="00C12E1E" w:rsidP="005C5814">
      <w:pPr>
        <w:spacing w:line="480" w:lineRule="auto"/>
        <w:ind w:firstLine="720"/>
        <w:jc w:val="both"/>
        <w:rPr>
          <w:b/>
          <w:bCs/>
          <w:sz w:val="24"/>
          <w:szCs w:val="24"/>
        </w:rPr>
      </w:pPr>
      <w:r w:rsidRPr="00527EB5">
        <w:rPr>
          <w:b/>
          <w:bCs/>
          <w:sz w:val="24"/>
          <w:szCs w:val="24"/>
        </w:rPr>
        <w:t>Investment</w:t>
      </w:r>
    </w:p>
    <w:p w14:paraId="0082BDDF" w14:textId="5F6473DE" w:rsidR="00C12E1E" w:rsidRPr="00527EB5" w:rsidRDefault="00C12E1E" w:rsidP="00464E55">
      <w:pPr>
        <w:spacing w:line="480" w:lineRule="auto"/>
        <w:jc w:val="both"/>
        <w:rPr>
          <w:sz w:val="24"/>
          <w:szCs w:val="24"/>
        </w:rPr>
      </w:pPr>
      <w:r w:rsidRPr="00527EB5">
        <w:rPr>
          <w:sz w:val="24"/>
          <w:szCs w:val="24"/>
        </w:rPr>
        <w:t xml:space="preserve">The following ratios were analysed: </w:t>
      </w:r>
      <w:r w:rsidR="00AE5305" w:rsidRPr="00527EB5">
        <w:rPr>
          <w:sz w:val="24"/>
          <w:szCs w:val="24"/>
        </w:rPr>
        <w:t>Revenue</w:t>
      </w:r>
      <w:r w:rsidRPr="00527EB5">
        <w:rPr>
          <w:sz w:val="24"/>
          <w:szCs w:val="24"/>
        </w:rPr>
        <w:t xml:space="preserve"> per Share, Earnings per Share, </w:t>
      </w:r>
      <w:r w:rsidR="00B61683" w:rsidRPr="00527EB5">
        <w:rPr>
          <w:sz w:val="24"/>
          <w:szCs w:val="24"/>
        </w:rPr>
        <w:t>Cash per Share, Interest Cover, Dividend Cover, Return on Equity</w:t>
      </w:r>
      <w:r w:rsidR="008806DC" w:rsidRPr="00527EB5">
        <w:rPr>
          <w:sz w:val="24"/>
          <w:szCs w:val="24"/>
        </w:rPr>
        <w:t xml:space="preserve">, P/E Ratio and the Market Share Price (used for ratio calculation but also </w:t>
      </w:r>
      <w:r w:rsidR="00FC29FC" w:rsidRPr="00527EB5">
        <w:rPr>
          <w:sz w:val="24"/>
          <w:szCs w:val="24"/>
        </w:rPr>
        <w:t>compared on a Year-on-Year basis.</w:t>
      </w:r>
    </w:p>
    <w:p w14:paraId="3FC33D2B" w14:textId="73B63FC8" w:rsidR="00FC29FC" w:rsidRPr="00527EB5" w:rsidRDefault="00FC29FC" w:rsidP="005C5814">
      <w:pPr>
        <w:spacing w:line="480" w:lineRule="auto"/>
        <w:ind w:firstLine="720"/>
        <w:jc w:val="both"/>
        <w:rPr>
          <w:b/>
          <w:bCs/>
          <w:sz w:val="24"/>
          <w:szCs w:val="24"/>
        </w:rPr>
      </w:pPr>
      <w:r w:rsidRPr="00527EB5">
        <w:rPr>
          <w:b/>
          <w:bCs/>
          <w:sz w:val="24"/>
          <w:szCs w:val="24"/>
        </w:rPr>
        <w:t>Gearing</w:t>
      </w:r>
    </w:p>
    <w:p w14:paraId="42A7537F" w14:textId="28762E55" w:rsidR="00FC29FC" w:rsidRPr="00527EB5" w:rsidRDefault="00FC29FC" w:rsidP="00464E55">
      <w:pPr>
        <w:spacing w:line="480" w:lineRule="auto"/>
        <w:jc w:val="both"/>
        <w:rPr>
          <w:sz w:val="24"/>
          <w:szCs w:val="24"/>
        </w:rPr>
      </w:pPr>
      <w:r w:rsidRPr="00527EB5">
        <w:rPr>
          <w:sz w:val="24"/>
          <w:szCs w:val="24"/>
        </w:rPr>
        <w:t>The following ratios were analysed: Pref</w:t>
      </w:r>
      <w:r w:rsidR="005C5814" w:rsidRPr="00527EB5">
        <w:rPr>
          <w:sz w:val="24"/>
          <w:szCs w:val="24"/>
        </w:rPr>
        <w:t xml:space="preserve">erred Ratio. </w:t>
      </w:r>
    </w:p>
    <w:p w14:paraId="31605271" w14:textId="2E79BA74" w:rsidR="00AC6287" w:rsidRPr="00527EB5" w:rsidRDefault="00E50D0A" w:rsidP="00464E55">
      <w:pPr>
        <w:spacing w:line="480" w:lineRule="auto"/>
        <w:jc w:val="both"/>
        <w:rPr>
          <w:sz w:val="24"/>
          <w:szCs w:val="24"/>
        </w:rPr>
      </w:pPr>
      <w:r w:rsidRPr="00527EB5">
        <w:rPr>
          <w:sz w:val="24"/>
          <w:szCs w:val="24"/>
        </w:rPr>
        <w:t xml:space="preserve">All the ratios used for the analysis and the </w:t>
      </w:r>
      <w:r w:rsidR="00E14245" w:rsidRPr="00527EB5">
        <w:rPr>
          <w:sz w:val="24"/>
          <w:szCs w:val="24"/>
        </w:rPr>
        <w:t xml:space="preserve">component </w:t>
      </w:r>
      <w:r w:rsidR="00E8243C" w:rsidRPr="00527EB5">
        <w:rPr>
          <w:sz w:val="24"/>
          <w:szCs w:val="24"/>
        </w:rPr>
        <w:t xml:space="preserve">financial statement figures used can be found </w:t>
      </w:r>
      <w:r w:rsidR="00E8243C" w:rsidRPr="00A20C54">
        <w:rPr>
          <w:sz w:val="24"/>
          <w:szCs w:val="24"/>
        </w:rPr>
        <w:t xml:space="preserve">in Appendix </w:t>
      </w:r>
      <w:r w:rsidR="00A20C54" w:rsidRPr="00A20C54">
        <w:rPr>
          <w:sz w:val="24"/>
          <w:szCs w:val="24"/>
        </w:rPr>
        <w:t>8.3</w:t>
      </w:r>
      <w:r w:rsidR="00527EB5" w:rsidRPr="00A20C54">
        <w:rPr>
          <w:sz w:val="24"/>
          <w:szCs w:val="24"/>
        </w:rPr>
        <w:t>.</w:t>
      </w:r>
    </w:p>
    <w:p w14:paraId="498FE8A5" w14:textId="5E510FC4" w:rsidR="00D35A3B" w:rsidRPr="00D35A3B" w:rsidRDefault="00D35A3B" w:rsidP="007656AE">
      <w:pPr>
        <w:pStyle w:val="Heading3"/>
        <w:numPr>
          <w:ilvl w:val="2"/>
          <w:numId w:val="3"/>
        </w:numPr>
        <w:spacing w:line="480" w:lineRule="auto"/>
        <w:jc w:val="both"/>
        <w:rPr>
          <w:szCs w:val="24"/>
        </w:rPr>
      </w:pPr>
      <w:bookmarkStart w:id="29" w:name="_Toc141646712"/>
      <w:r>
        <w:rPr>
          <w:szCs w:val="24"/>
        </w:rPr>
        <w:t>Financial Ratios</w:t>
      </w:r>
      <w:r w:rsidR="00445984">
        <w:rPr>
          <w:szCs w:val="24"/>
        </w:rPr>
        <w:t xml:space="preserve"> Processing</w:t>
      </w:r>
      <w:bookmarkEnd w:id="29"/>
    </w:p>
    <w:p w14:paraId="3FD3BF4C" w14:textId="670D7F51" w:rsidR="00432EDB" w:rsidRDefault="002470BA" w:rsidP="00F121BC">
      <w:pPr>
        <w:spacing w:line="480" w:lineRule="auto"/>
        <w:jc w:val="both"/>
        <w:rPr>
          <w:sz w:val="24"/>
          <w:szCs w:val="24"/>
        </w:rPr>
      </w:pPr>
      <w:r>
        <w:rPr>
          <w:sz w:val="24"/>
          <w:szCs w:val="24"/>
        </w:rPr>
        <w:t>The f</w:t>
      </w:r>
      <w:r w:rsidR="00F57432">
        <w:rPr>
          <w:sz w:val="24"/>
          <w:szCs w:val="24"/>
        </w:rPr>
        <w:t xml:space="preserve">inancial ratios </w:t>
      </w:r>
      <w:r w:rsidR="002E22B0">
        <w:rPr>
          <w:sz w:val="24"/>
          <w:szCs w:val="24"/>
        </w:rPr>
        <w:t xml:space="preserve">for each company were automatically calculated by Excel using linked formulas from the </w:t>
      </w:r>
      <w:r w:rsidR="00D93BAE">
        <w:rPr>
          <w:sz w:val="24"/>
          <w:szCs w:val="24"/>
        </w:rPr>
        <w:t xml:space="preserve">financial report information as it was transcribed. </w:t>
      </w:r>
      <w:r w:rsidR="00026C3B">
        <w:rPr>
          <w:sz w:val="24"/>
          <w:szCs w:val="24"/>
        </w:rPr>
        <w:t xml:space="preserve">Further manipulation of the Financial Ratio data was anticipated, due to the desire to look at an industry level analysis. </w:t>
      </w:r>
      <w:r w:rsidR="000C2BF6">
        <w:rPr>
          <w:sz w:val="24"/>
          <w:szCs w:val="24"/>
        </w:rPr>
        <w:t xml:space="preserve">The Financial Ratios for each company required manual checks to ensure there were no </w:t>
      </w:r>
      <w:r w:rsidR="00B96CAC">
        <w:rPr>
          <w:sz w:val="24"/>
          <w:szCs w:val="24"/>
        </w:rPr>
        <w:t>E</w:t>
      </w:r>
      <w:r w:rsidR="002F5905">
        <w:rPr>
          <w:sz w:val="24"/>
          <w:szCs w:val="24"/>
        </w:rPr>
        <w:t xml:space="preserve">xcel formatting/formula errors introduced. </w:t>
      </w:r>
      <w:r w:rsidR="00527EB5">
        <w:rPr>
          <w:sz w:val="24"/>
          <w:szCs w:val="24"/>
        </w:rPr>
        <w:t xml:space="preserve">An example of the output financial ratios spreadsheet may be found in </w:t>
      </w:r>
      <w:r w:rsidR="00902E71">
        <w:rPr>
          <w:sz w:val="24"/>
          <w:szCs w:val="24"/>
        </w:rPr>
        <w:t>Appendix 8.4</w:t>
      </w:r>
      <w:r w:rsidR="00527EB5">
        <w:rPr>
          <w:sz w:val="24"/>
          <w:szCs w:val="24"/>
        </w:rPr>
        <w:t>.</w:t>
      </w:r>
    </w:p>
    <w:p w14:paraId="53829049" w14:textId="31713C46" w:rsidR="002F5905" w:rsidRPr="00212580" w:rsidRDefault="002F5905" w:rsidP="00F121BC">
      <w:pPr>
        <w:spacing w:line="480" w:lineRule="auto"/>
        <w:jc w:val="both"/>
        <w:rPr>
          <w:sz w:val="24"/>
          <w:szCs w:val="24"/>
        </w:rPr>
      </w:pPr>
      <w:r>
        <w:rPr>
          <w:sz w:val="24"/>
          <w:szCs w:val="24"/>
        </w:rPr>
        <w:lastRenderedPageBreak/>
        <w:t xml:space="preserve">Microsoft Excel </w:t>
      </w:r>
      <w:r w:rsidR="00782237">
        <w:rPr>
          <w:sz w:val="24"/>
          <w:szCs w:val="24"/>
        </w:rPr>
        <w:t>div0 errors are produced whenever a formula is dividing by a zero value</w:t>
      </w:r>
      <w:r w:rsidR="00035A56">
        <w:rPr>
          <w:sz w:val="24"/>
          <w:szCs w:val="24"/>
        </w:rPr>
        <w:t xml:space="preserve">. </w:t>
      </w:r>
      <w:r w:rsidR="0025264A">
        <w:rPr>
          <w:sz w:val="24"/>
          <w:szCs w:val="24"/>
        </w:rPr>
        <w:t xml:space="preserve">This thesis is not the forum for an </w:t>
      </w:r>
      <w:r w:rsidR="000B4176">
        <w:rPr>
          <w:sz w:val="24"/>
          <w:szCs w:val="24"/>
        </w:rPr>
        <w:t>in-depth</w:t>
      </w:r>
      <w:r w:rsidR="0025264A">
        <w:rPr>
          <w:sz w:val="24"/>
          <w:szCs w:val="24"/>
        </w:rPr>
        <w:t xml:space="preserve"> discussion on mathematical </w:t>
      </w:r>
      <w:r w:rsidR="000B4176">
        <w:rPr>
          <w:sz w:val="24"/>
          <w:szCs w:val="24"/>
        </w:rPr>
        <w:t xml:space="preserve">theory, technically any value divided by 0 is classed as ‘undefined’, however in order to allow further analysis including </w:t>
      </w:r>
      <w:r w:rsidR="00832D5F">
        <w:rPr>
          <w:sz w:val="24"/>
          <w:szCs w:val="24"/>
        </w:rPr>
        <w:t xml:space="preserve">industry sector averages div0 errors were altered to show a 0 value </w:t>
      </w:r>
      <w:r w:rsidR="00C91CB6">
        <w:rPr>
          <w:sz w:val="24"/>
          <w:szCs w:val="24"/>
        </w:rPr>
        <w:fldChar w:fldCharType="begin"/>
      </w:r>
      <w:r w:rsidR="007931FB">
        <w:rPr>
          <w:sz w:val="24"/>
          <w:szCs w:val="24"/>
        </w:rPr>
        <w:instrText xml:space="preserve"> ADDIN ZOTERO_ITEM CSL_CITATION {"citationID":"s4sGGYuM","properties":{"formattedCitation":"(Mooney et al., 2018)","plainCitation":"(Mooney et al., 2018)","noteIndex":0},"citationItems":[{"id":631,"uris":["http://zotero.org/users/local/RRCsWsp6/items/L4JJDGIK"],"itemData":{"id":631,"type":"book","abstract":"Secure subject knowledge and understanding is the foundation of confident, creative and effective teaching. To help your students master this, the 8th edition of this established text now comes with a range of online resources:   Interactive Maths subject knowledge audit: to assess your students&amp;#39; overall performance and ensure they have an accurate picture of their ability. Reflective self-assessment questions: to help consolidate students’ understanding of each chapter topic and monitor their learning as they work through the book. Glossary: building students&amp;#39; knowledge of tricky terminology.  Covering the whole primary curriculum, this edition also includes updated interactive activities throughout the book to engage students in their learning and enable discussion. Using this book in conjunction with the free online resources really makes this the complete package for developing Mathematics subject knowledge.","ISBN":"978-1-5264-4865-1","language":"en","number-of-pages":"265","publisher":"Learning Matters","source":"Google Books","title":"Primary Mathematics: Knowledge and Understanding","title-short":"Primary Mathematics","author":[{"family":"Mooney","given":"Claire"},{"family":"Hansen","given":"Alice"},{"family":"Davidson","given":"Lindsey"},{"family":"Ferrie","given":"Lindsey"},{"family":"Fox","given":"Sue"},{"family":"Wrathmell","given":"Reg"}],"issued":{"date-parts":[["2018",2,12]]}}}],"schema":"https://github.com/citation-style-language/schema/raw/master/csl-citation.json"} </w:instrText>
      </w:r>
      <w:r w:rsidR="00C91CB6">
        <w:rPr>
          <w:sz w:val="24"/>
          <w:szCs w:val="24"/>
        </w:rPr>
        <w:fldChar w:fldCharType="separate"/>
      </w:r>
      <w:r w:rsidR="007931FB">
        <w:rPr>
          <w:rFonts w:ascii="Calibri" w:cs="Calibri"/>
          <w:sz w:val="24"/>
        </w:rPr>
        <w:t>(Mooney et al., 2018)</w:t>
      </w:r>
      <w:r w:rsidR="00C91CB6">
        <w:rPr>
          <w:sz w:val="24"/>
          <w:szCs w:val="24"/>
        </w:rPr>
        <w:fldChar w:fldCharType="end"/>
      </w:r>
      <w:r w:rsidR="00832D5F">
        <w:rPr>
          <w:sz w:val="24"/>
          <w:szCs w:val="24"/>
        </w:rPr>
        <w:t xml:space="preserve">. </w:t>
      </w:r>
      <w:r w:rsidR="00C91CB6">
        <w:rPr>
          <w:sz w:val="24"/>
          <w:szCs w:val="24"/>
        </w:rPr>
        <w:t xml:space="preserve"> </w:t>
      </w:r>
      <w:r w:rsidR="007F3E9C">
        <w:rPr>
          <w:sz w:val="24"/>
          <w:szCs w:val="24"/>
        </w:rPr>
        <w:t xml:space="preserve">The most common </w:t>
      </w:r>
      <w:r w:rsidR="006B28A6">
        <w:rPr>
          <w:sz w:val="24"/>
          <w:szCs w:val="24"/>
        </w:rPr>
        <w:t>occurrences</w:t>
      </w:r>
      <w:r w:rsidR="007F3E9C">
        <w:rPr>
          <w:sz w:val="24"/>
          <w:szCs w:val="24"/>
        </w:rPr>
        <w:t xml:space="preserve"> of this were relating to Dividend and Interest</w:t>
      </w:r>
      <w:r w:rsidR="00C25FA6">
        <w:rPr>
          <w:sz w:val="24"/>
          <w:szCs w:val="24"/>
        </w:rPr>
        <w:t xml:space="preserve"> Cover ratios where the company may not have had any loans</w:t>
      </w:r>
      <w:r w:rsidR="00F1766E">
        <w:rPr>
          <w:sz w:val="24"/>
          <w:szCs w:val="24"/>
        </w:rPr>
        <w:t xml:space="preserve"> in place and therefore no Interest due/applied, or years where no dividends were paid</w:t>
      </w:r>
      <w:r w:rsidR="006B28A6">
        <w:rPr>
          <w:sz w:val="24"/>
          <w:szCs w:val="24"/>
        </w:rPr>
        <w:t xml:space="preserve">. </w:t>
      </w:r>
    </w:p>
    <w:p w14:paraId="77E8A587" w14:textId="485E9465" w:rsidR="003D2A40" w:rsidRPr="003D2A40" w:rsidRDefault="006417AF" w:rsidP="007656AE">
      <w:pPr>
        <w:pStyle w:val="Heading3"/>
        <w:numPr>
          <w:ilvl w:val="2"/>
          <w:numId w:val="3"/>
        </w:numPr>
        <w:spacing w:line="480" w:lineRule="auto"/>
        <w:jc w:val="both"/>
        <w:rPr>
          <w:szCs w:val="24"/>
        </w:rPr>
      </w:pPr>
      <w:bookmarkStart w:id="30" w:name="_Toc141646713"/>
      <w:r>
        <w:rPr>
          <w:szCs w:val="24"/>
        </w:rPr>
        <w:t>Effect of Inflation on Financial Ratio Analysis</w:t>
      </w:r>
      <w:bookmarkEnd w:id="30"/>
    </w:p>
    <w:p w14:paraId="0670EAB8" w14:textId="5FD11495" w:rsidR="00E95EAF" w:rsidRDefault="003D2A40" w:rsidP="003D2A40">
      <w:pPr>
        <w:spacing w:line="480" w:lineRule="auto"/>
        <w:jc w:val="both"/>
        <w:rPr>
          <w:sz w:val="24"/>
          <w:szCs w:val="24"/>
        </w:rPr>
      </w:pPr>
      <w:r>
        <w:rPr>
          <w:sz w:val="24"/>
          <w:szCs w:val="24"/>
        </w:rPr>
        <w:t>It is important to consider the rate of inflation when conducting any financial analysis</w:t>
      </w:r>
      <w:r w:rsidR="00C568A8">
        <w:rPr>
          <w:sz w:val="24"/>
          <w:szCs w:val="24"/>
        </w:rPr>
        <w:t>, as financial statements can be distorted by high inflationary pressures.</w:t>
      </w:r>
      <w:r w:rsidR="00F800F5">
        <w:rPr>
          <w:sz w:val="24"/>
          <w:szCs w:val="24"/>
        </w:rPr>
        <w:t xml:space="preserve"> All economies experience inflationary (or deflationary) pressure throughout their annual reporting period. This pressure causes distortion when preforming financial analysis over a period of time, leading to companies having to restate financial results after applying a </w:t>
      </w:r>
      <w:r w:rsidR="00A254DF">
        <w:rPr>
          <w:sz w:val="24"/>
          <w:szCs w:val="24"/>
        </w:rPr>
        <w:t xml:space="preserve">ratio based on the preferred price index. This is particularly important if conducting an analysis over a substantial number of years, or if the economy is experiencing hyperinflation </w:t>
      </w:r>
      <w:r w:rsidR="005E3E0C">
        <w:rPr>
          <w:sz w:val="24"/>
          <w:szCs w:val="24"/>
        </w:rPr>
        <w:fldChar w:fldCharType="begin"/>
      </w:r>
      <w:r w:rsidR="003D7414">
        <w:rPr>
          <w:sz w:val="24"/>
          <w:szCs w:val="24"/>
        </w:rPr>
        <w:instrText xml:space="preserve"> ADDIN ZOTERO_ITEM CSL_CITATION {"citationID":"kObq965k","properties":{"unsorted":true,"formattedCitation":"(Riordan and Riordan, 2009; Konchitchki, 2011)","plainCitation":"(Riordan and Riordan, 2009; Konchitchki, 2011)","noteIndex":0},"citationItems":[{"id":567,"uris":["http://zotero.org/users/local/RRCsWsp6/items/ED3QTB4I"],"itemData":{"id":567,"type":"article-journal","container-title":"Journal of Teaching in International Business","DOI":"10.1080/08975930902827890","ISSN":"0897-5930","issue":"2","journalAbbreviation":"null","note":"number: 2\npublisher: Routledge","page":"174-187","title":"Inflation and Financial Statement Analysis in the International Accounting Classroom","volume":"20","author":[{"family":"Riordan","given":"Diane A."},{"family":"Riordan","given":"Michael P."}],"issued":{"date-parts":[["2009",4,1]]}},"label":"page"},{"id":564,"uris":["http://zotero.org/users/local/RRCsWsp6/items/NDPDWJA5"],"itemData":{"id":564,"type":"article-journal","abstract":"ABSTRACT: The monetary unit assumption of financial accounting assumes a stable currency (i.e., constant purchasing power over time). Yet, even during periods of low inflation or deflation, nominal financial statements violate this assumption. I posit that, while the effects of inflation are not recognized in nominal statements, such effects may have economic consequences. I find that unrecognized inflation gains and losses help predict future cash flows as these gains and losses turn into cash flows over time. I also find significant abnormal returns to inflation-based trading strategies, suggesting that stock prices do not fully reflect the implications of the inflation effects for future cash flows. Additional analysis reveals that stock prices act as if investors do not fully distinguish monetary and nonmonetary assets, which is fundamental to determining the effects of inflation. Overall, this study is the first to show that, although inflation effects are not recognized in nominal financial statements, they have significant economic consequences, even during a period in which inflation is relatively low.","container-title":"The Accounting Review","DOI":"10.2308/accr.00000044","ISSN":"0001-4826","issue":"3","journalAbbreviation":"The Accounting Review","note":"number: 3","page":"1045-1085","source":"Silverchair","title":"Inflation and Nominal Financial Reporting: Implications for Performance and Stock Prices","title-short":"Inflation and Nominal Financial Reporting","volume":"86","author":[{"family":"Konchitchki","given":"Yaniv"}],"issued":{"date-parts":[["2011",5,1]]}},"label":"page"}],"schema":"https://github.com/citation-style-language/schema/raw/master/csl-citation.json"} </w:instrText>
      </w:r>
      <w:r w:rsidR="005E3E0C">
        <w:rPr>
          <w:sz w:val="24"/>
          <w:szCs w:val="24"/>
        </w:rPr>
        <w:fldChar w:fldCharType="separate"/>
      </w:r>
      <w:r w:rsidR="003D7414">
        <w:rPr>
          <w:rFonts w:ascii="Calibri" w:hAnsi="Calibri" w:cs="Calibri"/>
          <w:sz w:val="24"/>
        </w:rPr>
        <w:t>(Riordan and Riordan, 2009; Konchitchki, 2011)</w:t>
      </w:r>
      <w:r w:rsidR="005E3E0C">
        <w:rPr>
          <w:sz w:val="24"/>
          <w:szCs w:val="24"/>
        </w:rPr>
        <w:fldChar w:fldCharType="end"/>
      </w:r>
      <w:r w:rsidR="00A254DF">
        <w:rPr>
          <w:sz w:val="24"/>
          <w:szCs w:val="24"/>
        </w:rPr>
        <w:t xml:space="preserve">. </w:t>
      </w:r>
      <w:r w:rsidR="00C568A8">
        <w:rPr>
          <w:sz w:val="24"/>
          <w:szCs w:val="24"/>
        </w:rPr>
        <w:t>Prior to study commencing the rate of inflation</w:t>
      </w:r>
      <w:r w:rsidR="005B6C6C">
        <w:rPr>
          <w:sz w:val="24"/>
          <w:szCs w:val="24"/>
        </w:rPr>
        <w:t xml:space="preserve"> in the UK</w:t>
      </w:r>
      <w:r w:rsidR="00C568A8">
        <w:rPr>
          <w:sz w:val="24"/>
          <w:szCs w:val="24"/>
        </w:rPr>
        <w:t xml:space="preserve"> for the study period were investigated, and while inflation began to rise throughout the 2021 calendar year (which would affect December to December financial year reports)</w:t>
      </w:r>
      <w:r w:rsidR="00EE0F2B">
        <w:rPr>
          <w:sz w:val="24"/>
          <w:szCs w:val="24"/>
        </w:rPr>
        <w:t>.</w:t>
      </w:r>
      <w:r w:rsidR="00C568A8">
        <w:rPr>
          <w:sz w:val="24"/>
          <w:szCs w:val="24"/>
        </w:rPr>
        <w:t xml:space="preserve"> </w:t>
      </w:r>
      <w:r w:rsidR="00EE0F2B">
        <w:rPr>
          <w:sz w:val="24"/>
          <w:szCs w:val="24"/>
        </w:rPr>
        <w:t>T</w:t>
      </w:r>
      <w:r w:rsidR="00C568A8">
        <w:rPr>
          <w:sz w:val="24"/>
          <w:szCs w:val="24"/>
        </w:rPr>
        <w:t xml:space="preserve">he annual average rate of </w:t>
      </w:r>
      <w:r w:rsidR="00C568A8" w:rsidRPr="00281F03">
        <w:rPr>
          <w:sz w:val="24"/>
          <w:szCs w:val="24"/>
        </w:rPr>
        <w:t>inflation</w:t>
      </w:r>
      <w:r w:rsidR="00416515" w:rsidRPr="00281F03">
        <w:rPr>
          <w:sz w:val="24"/>
          <w:szCs w:val="24"/>
        </w:rPr>
        <w:t xml:space="preserve"> (</w:t>
      </w:r>
      <w:r w:rsidR="00764AC5" w:rsidRPr="00281F03">
        <w:rPr>
          <w:sz w:val="24"/>
          <w:szCs w:val="24"/>
        </w:rPr>
        <w:t>Table 3.</w:t>
      </w:r>
      <w:r w:rsidR="00416515" w:rsidRPr="00281F03">
        <w:rPr>
          <w:sz w:val="24"/>
          <w:szCs w:val="24"/>
        </w:rPr>
        <w:t>)</w:t>
      </w:r>
      <w:r w:rsidR="00C568A8" w:rsidRPr="00281F03">
        <w:rPr>
          <w:sz w:val="24"/>
          <w:szCs w:val="24"/>
        </w:rPr>
        <w:t xml:space="preserve"> is in</w:t>
      </w:r>
      <w:r w:rsidR="00C568A8">
        <w:rPr>
          <w:sz w:val="24"/>
          <w:szCs w:val="24"/>
        </w:rPr>
        <w:t xml:space="preserve"> line with the past ten </w:t>
      </w:r>
      <w:r w:rsidR="00EE0F2B">
        <w:rPr>
          <w:sz w:val="24"/>
          <w:szCs w:val="24"/>
        </w:rPr>
        <w:t xml:space="preserve">years; therefore, </w:t>
      </w:r>
      <w:r w:rsidR="00C568A8">
        <w:rPr>
          <w:sz w:val="24"/>
          <w:szCs w:val="24"/>
        </w:rPr>
        <w:t>inflationary rises are not likely to have</w:t>
      </w:r>
      <w:r w:rsidR="005E3E0C">
        <w:rPr>
          <w:sz w:val="24"/>
          <w:szCs w:val="24"/>
        </w:rPr>
        <w:t xml:space="preserve"> significantly</w:t>
      </w:r>
      <w:r w:rsidR="00C568A8">
        <w:rPr>
          <w:sz w:val="24"/>
          <w:szCs w:val="24"/>
        </w:rPr>
        <w:t xml:space="preserve"> distorted our analysis</w:t>
      </w:r>
      <w:r w:rsidR="003F18E3">
        <w:rPr>
          <w:sz w:val="24"/>
          <w:szCs w:val="24"/>
        </w:rPr>
        <w:t xml:space="preserve"> </w:t>
      </w:r>
      <w:r w:rsidR="007A6EB4">
        <w:rPr>
          <w:sz w:val="24"/>
          <w:szCs w:val="24"/>
        </w:rPr>
        <w:fldChar w:fldCharType="begin"/>
      </w:r>
      <w:r w:rsidR="004A7A13">
        <w:rPr>
          <w:sz w:val="24"/>
          <w:szCs w:val="24"/>
        </w:rPr>
        <w:instrText xml:space="preserve"> ADDIN ZOTERO_ITEM CSL_CITATION {"citationID":"T9s1sP2p","properties":{"formattedCitation":"(The World Bank, 2023)","plainCitation":"(The World Bank, 2023)","noteIndex":0},"citationItems":[{"id":562,"uris":["http://zotero.org/users/local/RRCsWsp6/items/K39HUSZP"],"itemData":{"id":562,"type":"webpage","container-title":"The World Bank Data","title":"Inflation, consumer prices (annual %) - United Kingdom | The World Bank Data","URL":"https://data.worldbank.org/indicator/FP.CPI.TOTL.ZG?end=2021&amp;locations=GB&amp;start=1960&amp;view=chart","author":[{"literal":"The World Bank"}],"accessed":{"date-parts":[["2022",7,31]]},"issued":{"date-parts":[["2023",5,15]]}}}],"schema":"https://github.com/citation-style-language/schema/raw/master/csl-citation.json"} </w:instrText>
      </w:r>
      <w:r w:rsidR="007A6EB4">
        <w:rPr>
          <w:sz w:val="24"/>
          <w:szCs w:val="24"/>
        </w:rPr>
        <w:fldChar w:fldCharType="separate"/>
      </w:r>
      <w:r w:rsidR="004A7A13">
        <w:rPr>
          <w:rFonts w:ascii="Calibri" w:hAnsi="Calibri" w:cs="Calibri"/>
          <w:sz w:val="24"/>
        </w:rPr>
        <w:t>(The World Bank, 2023)</w:t>
      </w:r>
      <w:r w:rsidR="007A6EB4">
        <w:rPr>
          <w:sz w:val="24"/>
          <w:szCs w:val="24"/>
        </w:rPr>
        <w:fldChar w:fldCharType="end"/>
      </w:r>
      <w:r w:rsidR="00C568A8">
        <w:rPr>
          <w:sz w:val="24"/>
          <w:szCs w:val="24"/>
        </w:rPr>
        <w:t xml:space="preserve">. </w:t>
      </w:r>
    </w:p>
    <w:p w14:paraId="0246CD5A" w14:textId="77777777" w:rsidR="00E95EAF" w:rsidRDefault="00E95EAF">
      <w:pPr>
        <w:rPr>
          <w:sz w:val="24"/>
          <w:szCs w:val="24"/>
        </w:rPr>
      </w:pPr>
      <w:r>
        <w:rPr>
          <w:sz w:val="24"/>
          <w:szCs w:val="24"/>
        </w:rPr>
        <w:br w:type="page"/>
      </w:r>
    </w:p>
    <w:p w14:paraId="1BC818D3" w14:textId="77777777" w:rsidR="003D2A40" w:rsidRDefault="003D2A40" w:rsidP="003D2A40">
      <w:pPr>
        <w:spacing w:line="480" w:lineRule="auto"/>
        <w:jc w:val="both"/>
        <w:rPr>
          <w:sz w:val="24"/>
          <w:szCs w:val="24"/>
        </w:rPr>
      </w:pPr>
    </w:p>
    <w:p w14:paraId="43C7E76A" w14:textId="77917162" w:rsidR="003F18E3" w:rsidRPr="00E95EAF" w:rsidRDefault="00764AC5" w:rsidP="003D2A40">
      <w:pPr>
        <w:spacing w:line="480" w:lineRule="auto"/>
        <w:jc w:val="both"/>
        <w:rPr>
          <w:b/>
          <w:bCs/>
          <w:sz w:val="18"/>
          <w:szCs w:val="18"/>
        </w:rPr>
      </w:pPr>
      <w:r w:rsidRPr="00E95EAF">
        <w:rPr>
          <w:b/>
          <w:bCs/>
          <w:sz w:val="18"/>
          <w:szCs w:val="18"/>
        </w:rPr>
        <w:t xml:space="preserve">Table 3. Inflation </w:t>
      </w:r>
      <w:r w:rsidR="00B712C6" w:rsidRPr="00E95EAF">
        <w:rPr>
          <w:b/>
          <w:bCs/>
          <w:sz w:val="18"/>
          <w:szCs w:val="18"/>
        </w:rPr>
        <w:t>(Annual Consumer Prices)</w:t>
      </w:r>
      <w:r w:rsidR="00E95EAF" w:rsidRPr="00E95EAF">
        <w:rPr>
          <w:b/>
          <w:bCs/>
          <w:sz w:val="18"/>
          <w:szCs w:val="18"/>
        </w:rPr>
        <w:t xml:space="preserve"> percentages</w:t>
      </w:r>
      <w:r w:rsidR="00B712C6" w:rsidRPr="00E95EAF">
        <w:rPr>
          <w:b/>
          <w:bCs/>
          <w:sz w:val="18"/>
          <w:szCs w:val="18"/>
        </w:rPr>
        <w:t xml:space="preserve"> over 10 years from 2011 to 2021</w:t>
      </w:r>
      <w:r w:rsidR="00E95EAF" w:rsidRPr="00E95EAF">
        <w:rPr>
          <w:b/>
          <w:bCs/>
          <w:sz w:val="18"/>
          <w:szCs w:val="18"/>
        </w:rPr>
        <w:t>.</w:t>
      </w:r>
    </w:p>
    <w:p w14:paraId="0491B441" w14:textId="63E7222E" w:rsidR="006417AF" w:rsidRPr="003D2A40" w:rsidRDefault="00232B01" w:rsidP="003D2A40">
      <w:pPr>
        <w:spacing w:line="480" w:lineRule="auto"/>
        <w:jc w:val="both"/>
        <w:rPr>
          <w:sz w:val="24"/>
          <w:szCs w:val="24"/>
        </w:rPr>
      </w:pPr>
      <w:r>
        <w:rPr>
          <w:noProof/>
          <w:sz w:val="24"/>
          <w:szCs w:val="24"/>
        </w:rPr>
        <w:drawing>
          <wp:inline distT="0" distB="0" distL="0" distR="0" wp14:anchorId="3517365F" wp14:editId="6A2861FE">
            <wp:extent cx="5953107" cy="1132449"/>
            <wp:effectExtent l="0" t="0" r="0" b="0"/>
            <wp:docPr id="1718300369" name="Picture 3" descr="A number of numbers on a white backgroun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18300369" name="Picture 3" descr="A number of numbers on a white background&#10;&#10;Description automatically generated"/>
                    <pic:cNvPicPr/>
                  </pic:nvPicPr>
                  <pic:blipFill>
                    <a:blip r:embed="rId15" cstate="print">
                      <a:extLst>
                        <a:ext uri="{28A0092B-C50C-407E-A947-70E740481C1C}">
                          <a14:useLocalDpi xmlns:a14="http://schemas.microsoft.com/office/drawing/2010/main" val="0"/>
                        </a:ext>
                      </a:extLst>
                    </a:blip>
                    <a:stretch>
                      <a:fillRect/>
                    </a:stretch>
                  </pic:blipFill>
                  <pic:spPr>
                    <a:xfrm>
                      <a:off x="0" y="0"/>
                      <a:ext cx="6052299" cy="1151318"/>
                    </a:xfrm>
                    <a:prstGeom prst="rect">
                      <a:avLst/>
                    </a:prstGeom>
                  </pic:spPr>
                </pic:pic>
              </a:graphicData>
            </a:graphic>
          </wp:inline>
        </w:drawing>
      </w:r>
    </w:p>
    <w:p w14:paraId="6EEF5658" w14:textId="7377152B" w:rsidR="00726988" w:rsidRPr="00212580" w:rsidRDefault="00726988" w:rsidP="007656AE">
      <w:pPr>
        <w:pStyle w:val="Heading3"/>
        <w:numPr>
          <w:ilvl w:val="2"/>
          <w:numId w:val="3"/>
        </w:numPr>
        <w:spacing w:line="480" w:lineRule="auto"/>
        <w:jc w:val="both"/>
        <w:rPr>
          <w:szCs w:val="24"/>
        </w:rPr>
      </w:pPr>
      <w:bookmarkStart w:id="31" w:name="_Toc141646714"/>
      <w:r>
        <w:rPr>
          <w:szCs w:val="24"/>
        </w:rPr>
        <w:t>Financial Ratio Limitations</w:t>
      </w:r>
      <w:bookmarkEnd w:id="31"/>
    </w:p>
    <w:p w14:paraId="71EE9CFF" w14:textId="6659C560" w:rsidR="00981635" w:rsidRDefault="003D775F" w:rsidP="00F121BC">
      <w:pPr>
        <w:spacing w:line="480" w:lineRule="auto"/>
        <w:jc w:val="both"/>
        <w:rPr>
          <w:sz w:val="24"/>
          <w:szCs w:val="24"/>
        </w:rPr>
      </w:pPr>
      <w:r>
        <w:rPr>
          <w:sz w:val="24"/>
          <w:szCs w:val="24"/>
        </w:rPr>
        <w:t xml:space="preserve">Section </w:t>
      </w:r>
      <w:r w:rsidR="002E0129">
        <w:rPr>
          <w:sz w:val="24"/>
          <w:szCs w:val="24"/>
        </w:rPr>
        <w:t>2.4</w:t>
      </w:r>
      <w:r>
        <w:rPr>
          <w:sz w:val="24"/>
          <w:szCs w:val="24"/>
        </w:rPr>
        <w:t xml:space="preserve"> within the literature review has discussed in greater detail the majority of the </w:t>
      </w:r>
      <w:r w:rsidR="00D54E35">
        <w:rPr>
          <w:sz w:val="24"/>
          <w:szCs w:val="24"/>
        </w:rPr>
        <w:t>potential</w:t>
      </w:r>
      <w:r>
        <w:rPr>
          <w:sz w:val="24"/>
          <w:szCs w:val="24"/>
        </w:rPr>
        <w:t xml:space="preserve"> issues and the limitations of </w:t>
      </w:r>
      <w:r w:rsidR="003A230C">
        <w:rPr>
          <w:sz w:val="24"/>
          <w:szCs w:val="24"/>
        </w:rPr>
        <w:t xml:space="preserve">analysing financial ratios for a company. </w:t>
      </w:r>
      <w:r w:rsidR="00D54E35">
        <w:rPr>
          <w:sz w:val="24"/>
          <w:szCs w:val="24"/>
        </w:rPr>
        <w:t xml:space="preserve">Due to the complexity and ability to </w:t>
      </w:r>
      <w:r w:rsidR="00F61CE2">
        <w:rPr>
          <w:sz w:val="24"/>
          <w:szCs w:val="24"/>
        </w:rPr>
        <w:t>express any financial statement lines as a ratio, it is important t</w:t>
      </w:r>
      <w:r w:rsidR="005328E5">
        <w:rPr>
          <w:sz w:val="24"/>
          <w:szCs w:val="24"/>
        </w:rPr>
        <w:t xml:space="preserve">o ensure that the ratios selected will present </w:t>
      </w:r>
      <w:r w:rsidR="0082633F">
        <w:rPr>
          <w:sz w:val="24"/>
          <w:szCs w:val="24"/>
        </w:rPr>
        <w:t>relational information which can be used to assess the fiscal strengths and weakness</w:t>
      </w:r>
      <w:r w:rsidR="00D74109">
        <w:rPr>
          <w:sz w:val="24"/>
          <w:szCs w:val="24"/>
        </w:rPr>
        <w:t>es</w:t>
      </w:r>
      <w:r w:rsidR="0082633F">
        <w:rPr>
          <w:sz w:val="24"/>
          <w:szCs w:val="24"/>
        </w:rPr>
        <w:t xml:space="preserve"> of a business. </w:t>
      </w:r>
    </w:p>
    <w:p w14:paraId="054AF497" w14:textId="2A12241B" w:rsidR="00D961B6" w:rsidRPr="00212580" w:rsidRDefault="00981635" w:rsidP="00F121BC">
      <w:pPr>
        <w:spacing w:line="480" w:lineRule="auto"/>
        <w:jc w:val="both"/>
        <w:rPr>
          <w:sz w:val="24"/>
          <w:szCs w:val="24"/>
        </w:rPr>
      </w:pPr>
      <w:r>
        <w:rPr>
          <w:sz w:val="24"/>
          <w:szCs w:val="24"/>
        </w:rPr>
        <w:t xml:space="preserve">In relation to this study care was taken to </w:t>
      </w:r>
      <w:r w:rsidR="00755C0B">
        <w:rPr>
          <w:sz w:val="24"/>
          <w:szCs w:val="24"/>
        </w:rPr>
        <w:t xml:space="preserve">ensure that </w:t>
      </w:r>
      <w:r w:rsidR="009645BE">
        <w:rPr>
          <w:sz w:val="24"/>
          <w:szCs w:val="24"/>
        </w:rPr>
        <w:t>standardised</w:t>
      </w:r>
      <w:r w:rsidR="00755C0B">
        <w:rPr>
          <w:sz w:val="24"/>
          <w:szCs w:val="24"/>
        </w:rPr>
        <w:t xml:space="preserve"> calculations were used and applied to each company analysed</w:t>
      </w:r>
      <w:r w:rsidR="00745CA8">
        <w:rPr>
          <w:sz w:val="24"/>
          <w:szCs w:val="24"/>
        </w:rPr>
        <w:t xml:space="preserve">; and primary data sources were used exclusively to ensure </w:t>
      </w:r>
      <w:r w:rsidR="007C3423">
        <w:rPr>
          <w:sz w:val="24"/>
          <w:szCs w:val="24"/>
        </w:rPr>
        <w:t>accurate comparison between the companies</w:t>
      </w:r>
      <w:r w:rsidR="00BB1F81">
        <w:rPr>
          <w:sz w:val="24"/>
          <w:szCs w:val="24"/>
        </w:rPr>
        <w:t xml:space="preserve"> </w:t>
      </w:r>
      <w:r w:rsidR="00BB1F81">
        <w:rPr>
          <w:sz w:val="24"/>
          <w:szCs w:val="24"/>
        </w:rPr>
        <w:fldChar w:fldCharType="begin"/>
      </w:r>
      <w:r w:rsidR="00946CA1">
        <w:rPr>
          <w:sz w:val="24"/>
          <w:szCs w:val="24"/>
        </w:rPr>
        <w:instrText xml:space="preserve"> ADDIN ZOTERO_ITEM CSL_CITATION {"citationID":"GJW0W5Ji","properties":{"formattedCitation":"(Alvarez and Fridson, 2011; Atrill and McLaney, 2018)","plainCitation":"(Alvarez and Fridson, 2011; Atrill and McLaney, 2018)","noteIndex":0},"citationItems":[{"id":633,"uris":["http://zotero.org/users/local/RRCsWsp6/items/TICP97KX"],"itemData":{"id":633,"type":"book","abstract":"An updated guide to the essential discipline of financial statement analysis In Financial Statement Analysis, Fourth Edition, leading investment authority Martin Fridson returns with Fernando Alvarez to provide the analytical framework you need to scrutinize financial statements, whether you're evaluating a company's stock price or determining valuations for a merger or acquisition. This fully revised and up-to-date Fourth Edition offers fresh information that will help you to evaluate financial statements in today's volatile markets and uncertain economy, and allow yo","collection-title":"Wiley Finance ; v.597","edition":"4th ed.","event-place":"Hoboken","ISBN":"978-1-119-20148-9","language":"eng","number-of-pages":"400","publisher":"Wiley","publisher-place":"Hoboken","source":"librarysearch.uwtsd.ac.uk","title":"Financial Statement Analysis A Practitioner's Guide","author":[{"family":"Alvarez","given":"Fernando"},{"family":"Fridson","given":"Martin S"}],"issued":{"date-parts":[["2011"]]}},"label":"page"},{"id":766,"uris":["http://zotero.org/users/local/RRCsWsp6/items/DV4TDK2G"],"itemData":{"id":766,"type":"book","event-place":"Harlow, United Kingdom, UNITED KINGDOM","ISBN":"978-1-292-24405-1","publisher":"Pearson Education, Limited","publisher-place":"Harlow, United Kingdom, UNITED KINGDOM","source":"ProQuest Ebook Central","title":"Accounting and Finance for Non-Specialists 11th Edition","URL":"http://ebookcentral.proquest.com/lib/trinity/detail.action?docID=6399594","author":[{"family":"Atrill","given":"Peter"},{"family":"McLaney","given":"Eddie"}],"accessed":{"date-parts":[["2021",3,8]]},"issued":{"date-parts":[["2018"]]}},"label":"page"}],"schema":"https://github.com/citation-style-language/schema/raw/master/csl-citation.json"} </w:instrText>
      </w:r>
      <w:r w:rsidR="00BB1F81">
        <w:rPr>
          <w:sz w:val="24"/>
          <w:szCs w:val="24"/>
        </w:rPr>
        <w:fldChar w:fldCharType="separate"/>
      </w:r>
      <w:r w:rsidR="007931FB">
        <w:rPr>
          <w:noProof/>
          <w:sz w:val="24"/>
          <w:szCs w:val="24"/>
        </w:rPr>
        <w:t>(Alvarez and Fridson, 2011; Atrill and McLaney, 2018)</w:t>
      </w:r>
      <w:r w:rsidR="00BB1F81">
        <w:rPr>
          <w:sz w:val="24"/>
          <w:szCs w:val="24"/>
        </w:rPr>
        <w:fldChar w:fldCharType="end"/>
      </w:r>
      <w:r w:rsidR="009645BE">
        <w:rPr>
          <w:sz w:val="24"/>
          <w:szCs w:val="24"/>
        </w:rPr>
        <w:t>.</w:t>
      </w:r>
      <w:r w:rsidR="00A13E20">
        <w:rPr>
          <w:sz w:val="24"/>
          <w:szCs w:val="24"/>
        </w:rPr>
        <w:t xml:space="preserve"> The strength of financial ratios</w:t>
      </w:r>
      <w:r w:rsidR="00AC20C3">
        <w:rPr>
          <w:sz w:val="24"/>
          <w:szCs w:val="24"/>
        </w:rPr>
        <w:t xml:space="preserve"> for this study</w:t>
      </w:r>
      <w:r w:rsidR="00A13E20">
        <w:rPr>
          <w:sz w:val="24"/>
          <w:szCs w:val="24"/>
        </w:rPr>
        <w:t xml:space="preserve"> lies in </w:t>
      </w:r>
      <w:r w:rsidR="00AC20C3">
        <w:rPr>
          <w:sz w:val="24"/>
          <w:szCs w:val="24"/>
        </w:rPr>
        <w:t>the</w:t>
      </w:r>
      <w:r w:rsidR="00A13E20">
        <w:rPr>
          <w:sz w:val="24"/>
          <w:szCs w:val="24"/>
        </w:rPr>
        <w:t xml:space="preserve"> ability to </w:t>
      </w:r>
      <w:r w:rsidR="00AC20C3">
        <w:rPr>
          <w:sz w:val="24"/>
          <w:szCs w:val="24"/>
        </w:rPr>
        <w:t xml:space="preserve">compare businesses of differing sizes; however, </w:t>
      </w:r>
      <w:r w:rsidR="007C0634">
        <w:rPr>
          <w:sz w:val="24"/>
          <w:szCs w:val="24"/>
        </w:rPr>
        <w:t>explanation</w:t>
      </w:r>
      <w:r w:rsidR="00047C9A">
        <w:rPr>
          <w:sz w:val="24"/>
          <w:szCs w:val="24"/>
        </w:rPr>
        <w:t xml:space="preserve"> of operational practise and </w:t>
      </w:r>
      <w:r w:rsidR="007C0634">
        <w:rPr>
          <w:sz w:val="24"/>
          <w:szCs w:val="24"/>
        </w:rPr>
        <w:t xml:space="preserve">decisions that make them are not accounted for. </w:t>
      </w:r>
      <w:r w:rsidR="00670ADF">
        <w:rPr>
          <w:sz w:val="24"/>
          <w:szCs w:val="24"/>
        </w:rPr>
        <w:t xml:space="preserve">Financial ratios can only be applied onto data in the past, </w:t>
      </w:r>
      <w:r w:rsidR="00CC0387">
        <w:rPr>
          <w:sz w:val="24"/>
          <w:szCs w:val="24"/>
        </w:rPr>
        <w:t>care must be taken</w:t>
      </w:r>
      <w:r w:rsidR="00670ADF">
        <w:rPr>
          <w:sz w:val="24"/>
          <w:szCs w:val="24"/>
        </w:rPr>
        <w:t xml:space="preserve"> when being used by financial analysts to predict possible future business performance</w:t>
      </w:r>
      <w:r w:rsidR="00361498">
        <w:rPr>
          <w:sz w:val="24"/>
          <w:szCs w:val="24"/>
        </w:rPr>
        <w:t xml:space="preserve"> </w:t>
      </w:r>
      <w:r w:rsidR="00D030FF">
        <w:rPr>
          <w:sz w:val="24"/>
          <w:szCs w:val="24"/>
        </w:rPr>
        <w:fldChar w:fldCharType="begin"/>
      </w:r>
      <w:r w:rsidR="003D7414">
        <w:rPr>
          <w:sz w:val="24"/>
          <w:szCs w:val="24"/>
        </w:rPr>
        <w:instrText xml:space="preserve"> ADDIN ZOTERO_ITEM CSL_CITATION {"citationID":"b37ZsjW8","properties":{"unsorted":true,"formattedCitation":"(Walsh, 2009; Marsh, 2012; Faello, 2015; Vaidya, 2019)","plainCitation":"(Walsh, 2009; Marsh, 2012; Faello, 2015; Vaidya, 2019)","noteIndex":0},"citationItems":[{"id":763,"uris":["http://zotero.org/users/local/RRCsWsp6/items/LNMBLUEM"],"itemData":{"id":763,"type":"book","event-place":"Harlow, UNITED KINGDOM","ISBN":"978-0-273-72976-1","publisher":"Pearson Education","publisher-place":"Harlow, UNITED KINGDOM","source":"ProQuest Ebook Central","title":"Key Management Ratios","URL":"http://ebookcentral.proquest.com/lib/trinity/detail.action?docID=5185636","author":[{"family":"Walsh","given":"Ciaran"}],"accessed":{"date-parts":[["2021",3,8]]},"issued":{"date-parts":[["2009"]]}},"label":"page"},{"id":953,"uris":["http://zotero.org/users/local/RRCsWsp6/items/F7B7AKYW","http://zotero.org/users/local/RRCsWsp6/items/CW5HAX62"],"itemData":{"id":953,"type":"book","abstract":"Unique in its clarity and breadth of coverage, Financial Management for Non-Financial Managers explains the essentials of accounting and finance for managers and professionals from non-financial backgrounds.","collection-title":"Strategic success series","event-place":"London ;","ISBN":"978-1-62198-382-8","language":"eng","number-of-pages":"256","publisher":"Kogan Page","publisher-place":"London ;","source":"librarysearch.uwtsd.ac.uk","title":"Financial management for non-financial managers","author":[{"family":"Marsh","given":"Clive"}],"issued":{"date-parts":[["2012"]]}},"label":"page"},{"id":770,"uris":["http://zotero.org/users/local/RRCsWsp6/items/KIMZLVUJ"],"itemData":{"id":770,"type":"article-journal","abstract":"The purpose of this paper is to provide financial statement users and accounting academics with some useful insights when working with financial ratios. Initially, the uses and benefits of financial ratios and the limitations of using financial ratios are discussed from the financial statement users' and accounting academics' perspectives. Then, practical advice is provided to both financial statement users and accounting academics alike to mitigate the limitations of using financial ratios. Financial statement users and accounting academics will find the issues discussed in this paper useful in their work with financial ratios.","container-title":"Academy of Accounting and Financial Studies Journal","ISSN":"10963685","issue":"3","language":"English","license":"Copyright Jordan Whitney Enterprises, Inc 2015","note":"number: 3\nnumber-of-pages: 11\npublisher-place: Arden, United States\npublisher: Jordan Whitney Enterprises, Inc","page":"75-85","source":"ProQuest","title":"Understanding the Limitations of Financial Ratios","volume":"19","author":[{"family":"Faello","given":"Joseph"}],"issued":{"date-parts":[["2015"]]}},"label":"page"},{"id":772,"uris":["http://zotero.org/users/local/RRCsWsp6/items/JYCVYSDT"],"itemData":{"id":772,"type":"post-weblog","abstract":"Guide to Limitations of Ratio Analysis. There are the top 10 financial ratio analysis limitations including not considering business size, contingent liabilities, seasonality, the effect of changes in accounting policies and more.","container-title":"WallStreetMojo","language":"en-US","title":"Limitations of Ratio Analysis | Top 10 Financial Ratio Limitations","URL":"https://www.wallstreetmojo.com/ratio-analysis-limitations/","author":[{"family":"Vaidya","given":"Dheeraj"}],"accessed":{"date-parts":[["2023",3,8]]},"issued":{"date-parts":[["2019",1,7]]}},"label":"page"}],"schema":"https://github.com/citation-style-language/schema/raw/master/csl-citation.json"} </w:instrText>
      </w:r>
      <w:r w:rsidR="00D030FF">
        <w:rPr>
          <w:sz w:val="24"/>
          <w:szCs w:val="24"/>
        </w:rPr>
        <w:fldChar w:fldCharType="separate"/>
      </w:r>
      <w:r w:rsidR="003D7414">
        <w:rPr>
          <w:noProof/>
          <w:sz w:val="24"/>
          <w:szCs w:val="24"/>
        </w:rPr>
        <w:t>(Walsh, 2009; Marsh, 2012; Faello, 2015; Vaidya, 2019)</w:t>
      </w:r>
      <w:r w:rsidR="00D030FF">
        <w:rPr>
          <w:sz w:val="24"/>
          <w:szCs w:val="24"/>
        </w:rPr>
        <w:fldChar w:fldCharType="end"/>
      </w:r>
      <w:r w:rsidR="00CC0387">
        <w:rPr>
          <w:sz w:val="24"/>
          <w:szCs w:val="24"/>
        </w:rPr>
        <w:t>.</w:t>
      </w:r>
      <w:r w:rsidR="00D1684E">
        <w:rPr>
          <w:sz w:val="24"/>
          <w:szCs w:val="24"/>
        </w:rPr>
        <w:t xml:space="preserve"> In order to reduce</w:t>
      </w:r>
      <w:r w:rsidR="002C6DB4">
        <w:rPr>
          <w:sz w:val="24"/>
          <w:szCs w:val="24"/>
        </w:rPr>
        <w:t xml:space="preserve"> the impacts of individual company operational practise throughout the COVID-19 pandemic we</w:t>
      </w:r>
      <w:r w:rsidR="00D1684E">
        <w:rPr>
          <w:sz w:val="24"/>
          <w:szCs w:val="24"/>
        </w:rPr>
        <w:t xml:space="preserve"> analys</w:t>
      </w:r>
      <w:r w:rsidR="0099234E">
        <w:rPr>
          <w:sz w:val="24"/>
          <w:szCs w:val="24"/>
        </w:rPr>
        <w:t>ed</w:t>
      </w:r>
      <w:r w:rsidR="00D1684E">
        <w:rPr>
          <w:sz w:val="24"/>
          <w:szCs w:val="24"/>
        </w:rPr>
        <w:t xml:space="preserve"> the average financial ratios of industries</w:t>
      </w:r>
      <w:r w:rsidR="0099234E">
        <w:rPr>
          <w:sz w:val="24"/>
          <w:szCs w:val="24"/>
        </w:rPr>
        <w:t>.</w:t>
      </w:r>
      <w:r w:rsidR="00CC0387">
        <w:rPr>
          <w:sz w:val="24"/>
          <w:szCs w:val="24"/>
        </w:rPr>
        <w:t xml:space="preserve"> The scope of this study is not therefore to </w:t>
      </w:r>
      <w:r w:rsidR="00A22D63">
        <w:rPr>
          <w:sz w:val="24"/>
          <w:szCs w:val="24"/>
        </w:rPr>
        <w:t xml:space="preserve">issue projections </w:t>
      </w:r>
      <w:r w:rsidR="00D1684E">
        <w:rPr>
          <w:sz w:val="24"/>
          <w:szCs w:val="24"/>
        </w:rPr>
        <w:t>on</w:t>
      </w:r>
      <w:r w:rsidR="0099234E">
        <w:rPr>
          <w:sz w:val="24"/>
          <w:szCs w:val="24"/>
        </w:rPr>
        <w:t xml:space="preserve"> the possible future performance of either individual companies or </w:t>
      </w:r>
      <w:r w:rsidR="008C05C9">
        <w:rPr>
          <w:sz w:val="24"/>
          <w:szCs w:val="24"/>
        </w:rPr>
        <w:lastRenderedPageBreak/>
        <w:t>industries</w:t>
      </w:r>
      <w:r w:rsidR="0099234E">
        <w:rPr>
          <w:sz w:val="24"/>
          <w:szCs w:val="24"/>
        </w:rPr>
        <w:t xml:space="preserve">, but to use the available past data to </w:t>
      </w:r>
      <w:r w:rsidR="008C05C9">
        <w:rPr>
          <w:sz w:val="24"/>
          <w:szCs w:val="24"/>
        </w:rPr>
        <w:t>investigate the effects of the global pandemic on UK industry.</w:t>
      </w:r>
    </w:p>
    <w:p w14:paraId="5E35AB52" w14:textId="77777777" w:rsidR="00CE5C03" w:rsidRPr="00212580" w:rsidRDefault="006126EF" w:rsidP="007656AE">
      <w:pPr>
        <w:pStyle w:val="Heading2"/>
        <w:numPr>
          <w:ilvl w:val="1"/>
          <w:numId w:val="3"/>
        </w:numPr>
        <w:spacing w:line="480" w:lineRule="auto"/>
        <w:jc w:val="both"/>
        <w:rPr>
          <w:szCs w:val="24"/>
        </w:rPr>
      </w:pPr>
      <w:bookmarkStart w:id="32" w:name="_Toc141646715"/>
      <w:r w:rsidRPr="00212580">
        <w:rPr>
          <w:szCs w:val="24"/>
        </w:rPr>
        <w:t>Data</w:t>
      </w:r>
      <w:r w:rsidR="00CE5C03" w:rsidRPr="00212580">
        <w:rPr>
          <w:szCs w:val="24"/>
        </w:rPr>
        <w:t xml:space="preserve"> Analysis</w:t>
      </w:r>
      <w:bookmarkEnd w:id="32"/>
    </w:p>
    <w:p w14:paraId="4BFA488C" w14:textId="0F38D763" w:rsidR="00022F01" w:rsidRPr="00212580" w:rsidRDefault="00FE27FE" w:rsidP="007656AE">
      <w:pPr>
        <w:pStyle w:val="Heading3"/>
        <w:numPr>
          <w:ilvl w:val="2"/>
          <w:numId w:val="3"/>
        </w:numPr>
        <w:spacing w:line="480" w:lineRule="auto"/>
        <w:jc w:val="both"/>
        <w:rPr>
          <w:szCs w:val="24"/>
        </w:rPr>
      </w:pPr>
      <w:bookmarkStart w:id="33" w:name="_Toc141646716"/>
      <w:r>
        <w:rPr>
          <w:szCs w:val="24"/>
        </w:rPr>
        <w:t xml:space="preserve">Company </w:t>
      </w:r>
      <w:r w:rsidR="0000341C">
        <w:rPr>
          <w:szCs w:val="24"/>
        </w:rPr>
        <w:t>to Sector Analysis</w:t>
      </w:r>
      <w:bookmarkEnd w:id="33"/>
    </w:p>
    <w:p w14:paraId="166239C8" w14:textId="22CF1DDD" w:rsidR="008871FD" w:rsidRDefault="00477074" w:rsidP="00F121BC">
      <w:pPr>
        <w:spacing w:line="480" w:lineRule="auto"/>
        <w:jc w:val="both"/>
        <w:rPr>
          <w:sz w:val="24"/>
          <w:szCs w:val="24"/>
        </w:rPr>
      </w:pPr>
      <w:r>
        <w:rPr>
          <w:sz w:val="24"/>
          <w:szCs w:val="24"/>
        </w:rPr>
        <w:t xml:space="preserve">Individual </w:t>
      </w:r>
      <w:r w:rsidR="007B5C7F">
        <w:rPr>
          <w:sz w:val="24"/>
          <w:szCs w:val="24"/>
        </w:rPr>
        <w:t xml:space="preserve">company’s ratios were extracted from the data gathering/processing Excel files and were </w:t>
      </w:r>
      <w:r w:rsidR="00A93809">
        <w:rPr>
          <w:sz w:val="24"/>
          <w:szCs w:val="24"/>
        </w:rPr>
        <w:t>divided between companies with full year annual reports for 2021</w:t>
      </w:r>
      <w:r w:rsidR="002E1EB8">
        <w:rPr>
          <w:sz w:val="24"/>
          <w:szCs w:val="24"/>
        </w:rPr>
        <w:t>.</w:t>
      </w:r>
      <w:r w:rsidR="00F67B3A">
        <w:rPr>
          <w:sz w:val="24"/>
          <w:szCs w:val="24"/>
        </w:rPr>
        <w:t xml:space="preserve"> </w:t>
      </w:r>
      <w:r w:rsidR="00EB5EDA">
        <w:rPr>
          <w:sz w:val="24"/>
          <w:szCs w:val="24"/>
        </w:rPr>
        <w:t xml:space="preserve">This is a key component in </w:t>
      </w:r>
      <w:r w:rsidR="000F661E">
        <w:rPr>
          <w:sz w:val="24"/>
          <w:szCs w:val="24"/>
        </w:rPr>
        <w:t>ensuring</w:t>
      </w:r>
      <w:r w:rsidR="00EB5EDA">
        <w:rPr>
          <w:sz w:val="24"/>
          <w:szCs w:val="24"/>
        </w:rPr>
        <w:t xml:space="preserve"> that only ‘like for like’ company ratios are compared</w:t>
      </w:r>
      <w:r w:rsidR="000F661E">
        <w:rPr>
          <w:sz w:val="24"/>
          <w:szCs w:val="24"/>
        </w:rPr>
        <w:t xml:space="preserve">, even if </w:t>
      </w:r>
      <w:r w:rsidR="00FE33DB">
        <w:rPr>
          <w:sz w:val="24"/>
          <w:szCs w:val="24"/>
        </w:rPr>
        <w:t xml:space="preserve">some of the </w:t>
      </w:r>
      <w:r w:rsidR="000F661E">
        <w:rPr>
          <w:sz w:val="24"/>
          <w:szCs w:val="24"/>
        </w:rPr>
        <w:t xml:space="preserve">ratio results from the interim reporting </w:t>
      </w:r>
      <w:r w:rsidR="00FE33DB">
        <w:rPr>
          <w:sz w:val="24"/>
          <w:szCs w:val="24"/>
        </w:rPr>
        <w:t xml:space="preserve">could </w:t>
      </w:r>
      <w:r w:rsidR="000F661E">
        <w:rPr>
          <w:sz w:val="24"/>
          <w:szCs w:val="24"/>
        </w:rPr>
        <w:t xml:space="preserve">seem </w:t>
      </w:r>
      <w:r w:rsidR="005006A1">
        <w:rPr>
          <w:sz w:val="24"/>
          <w:szCs w:val="24"/>
        </w:rPr>
        <w:t xml:space="preserve">closely aligned to companies with full annual reports for the 2021 year. </w:t>
      </w:r>
    </w:p>
    <w:p w14:paraId="09CCF8A9" w14:textId="2EAB959A" w:rsidR="00FC737A" w:rsidRDefault="003F678B" w:rsidP="00F121BC">
      <w:pPr>
        <w:spacing w:line="480" w:lineRule="auto"/>
        <w:jc w:val="both"/>
        <w:rPr>
          <w:sz w:val="24"/>
          <w:szCs w:val="24"/>
        </w:rPr>
      </w:pPr>
      <w:r>
        <w:rPr>
          <w:sz w:val="24"/>
          <w:szCs w:val="24"/>
        </w:rPr>
        <w:t>Companies</w:t>
      </w:r>
      <w:r w:rsidR="000A6352">
        <w:rPr>
          <w:sz w:val="24"/>
          <w:szCs w:val="24"/>
        </w:rPr>
        <w:t xml:space="preserve"> </w:t>
      </w:r>
      <w:r w:rsidR="00015211">
        <w:rPr>
          <w:sz w:val="24"/>
          <w:szCs w:val="24"/>
        </w:rPr>
        <w:t>were</w:t>
      </w:r>
      <w:r w:rsidR="000A6352">
        <w:rPr>
          <w:sz w:val="24"/>
          <w:szCs w:val="24"/>
        </w:rPr>
        <w:t xml:space="preserve"> grouped by </w:t>
      </w:r>
      <w:r w:rsidR="00D06C36">
        <w:rPr>
          <w:sz w:val="24"/>
          <w:szCs w:val="24"/>
        </w:rPr>
        <w:t>FTSE 250</w:t>
      </w:r>
      <w:r>
        <w:rPr>
          <w:sz w:val="24"/>
          <w:szCs w:val="24"/>
        </w:rPr>
        <w:t xml:space="preserve"> industry </w:t>
      </w:r>
      <w:r w:rsidR="00922E8A">
        <w:rPr>
          <w:sz w:val="24"/>
          <w:szCs w:val="24"/>
        </w:rPr>
        <w:t>sector;</w:t>
      </w:r>
      <w:r>
        <w:rPr>
          <w:sz w:val="24"/>
          <w:szCs w:val="24"/>
        </w:rPr>
        <w:t xml:space="preserve"> </w:t>
      </w:r>
      <w:r w:rsidR="00ED7556">
        <w:rPr>
          <w:sz w:val="24"/>
          <w:szCs w:val="24"/>
        </w:rPr>
        <w:t xml:space="preserve">industry </w:t>
      </w:r>
      <w:r>
        <w:rPr>
          <w:sz w:val="24"/>
          <w:szCs w:val="24"/>
        </w:rPr>
        <w:t>sub-sectors</w:t>
      </w:r>
      <w:r w:rsidR="00ED7556">
        <w:rPr>
          <w:sz w:val="24"/>
          <w:szCs w:val="24"/>
        </w:rPr>
        <w:t xml:space="preserve"> were not used to ensure each industry group contained multiple compan</w:t>
      </w:r>
      <w:r w:rsidR="00653728">
        <w:rPr>
          <w:sz w:val="24"/>
          <w:szCs w:val="24"/>
        </w:rPr>
        <w:t>ies for average analysis and to keep the analysis</w:t>
      </w:r>
      <w:r w:rsidR="001D2A24">
        <w:rPr>
          <w:sz w:val="24"/>
          <w:szCs w:val="24"/>
        </w:rPr>
        <w:t xml:space="preserve"> of the COVID-19 impact on industries</w:t>
      </w:r>
      <w:r w:rsidR="00653728">
        <w:rPr>
          <w:sz w:val="24"/>
          <w:szCs w:val="24"/>
        </w:rPr>
        <w:t xml:space="preserve"> </w:t>
      </w:r>
      <w:r w:rsidR="006F4270">
        <w:rPr>
          <w:sz w:val="24"/>
          <w:szCs w:val="24"/>
        </w:rPr>
        <w:t xml:space="preserve">being performed at a ‘high altitude’ rather than fine detail. </w:t>
      </w:r>
    </w:p>
    <w:p w14:paraId="4398138C" w14:textId="789EEEC6" w:rsidR="00E73458" w:rsidRDefault="00D83A35" w:rsidP="00F121BC">
      <w:pPr>
        <w:spacing w:line="480" w:lineRule="auto"/>
        <w:jc w:val="both"/>
        <w:rPr>
          <w:sz w:val="24"/>
          <w:szCs w:val="24"/>
        </w:rPr>
      </w:pPr>
      <w:r>
        <w:rPr>
          <w:sz w:val="24"/>
          <w:szCs w:val="24"/>
        </w:rPr>
        <w:t xml:space="preserve">Once the data for each industry was compiled, the company data was inspected to ensure that no errors/missing values were contained within the datasets. </w:t>
      </w:r>
      <w:r w:rsidR="00671B2D">
        <w:rPr>
          <w:sz w:val="24"/>
          <w:szCs w:val="24"/>
        </w:rPr>
        <w:t>Industry</w:t>
      </w:r>
      <w:r w:rsidR="004244A6">
        <w:rPr>
          <w:sz w:val="24"/>
          <w:szCs w:val="24"/>
        </w:rPr>
        <w:t xml:space="preserve"> average </w:t>
      </w:r>
      <w:r w:rsidR="00671B2D">
        <w:rPr>
          <w:sz w:val="24"/>
          <w:szCs w:val="24"/>
        </w:rPr>
        <w:t xml:space="preserve">ratios </w:t>
      </w:r>
      <w:r w:rsidR="004244A6">
        <w:rPr>
          <w:sz w:val="24"/>
          <w:szCs w:val="24"/>
        </w:rPr>
        <w:t>were then calculated</w:t>
      </w:r>
      <w:r w:rsidR="00671B2D">
        <w:rPr>
          <w:sz w:val="24"/>
          <w:szCs w:val="24"/>
        </w:rPr>
        <w:t xml:space="preserve"> using the individual company ratios. During this averaging process values of </w:t>
      </w:r>
      <w:r w:rsidR="006F6057">
        <w:rPr>
          <w:sz w:val="24"/>
          <w:szCs w:val="24"/>
        </w:rPr>
        <w:t>zero</w:t>
      </w:r>
      <w:r w:rsidR="00671B2D">
        <w:rPr>
          <w:sz w:val="24"/>
          <w:szCs w:val="24"/>
        </w:rPr>
        <w:t xml:space="preserve"> were included within the average calculation</w:t>
      </w:r>
      <w:r w:rsidR="006F6057">
        <w:rPr>
          <w:sz w:val="24"/>
          <w:szCs w:val="24"/>
        </w:rPr>
        <w:t xml:space="preserve"> as the zero value indicates that the company has a result of 0 for that ratio</w:t>
      </w:r>
      <w:r w:rsidR="00B75003">
        <w:rPr>
          <w:sz w:val="24"/>
          <w:szCs w:val="24"/>
        </w:rPr>
        <w:t xml:space="preserve"> i.e. A gearing of </w:t>
      </w:r>
      <w:r w:rsidR="000F69C2">
        <w:rPr>
          <w:sz w:val="24"/>
          <w:szCs w:val="24"/>
        </w:rPr>
        <w:t>0</w:t>
      </w:r>
      <w:r w:rsidR="00B75003">
        <w:rPr>
          <w:sz w:val="24"/>
          <w:szCs w:val="24"/>
        </w:rPr>
        <w:t xml:space="preserve"> is not a non-value within the spreadsheet, rather </w:t>
      </w:r>
      <w:r w:rsidR="005F2775">
        <w:rPr>
          <w:sz w:val="24"/>
          <w:szCs w:val="24"/>
        </w:rPr>
        <w:t>that the company is not leveraged and therefore th</w:t>
      </w:r>
      <w:r w:rsidR="00F851FC">
        <w:rPr>
          <w:sz w:val="24"/>
          <w:szCs w:val="24"/>
        </w:rPr>
        <w:t>e</w:t>
      </w:r>
      <w:r w:rsidR="005F2775">
        <w:rPr>
          <w:sz w:val="24"/>
          <w:szCs w:val="24"/>
        </w:rPr>
        <w:t xml:space="preserve"> zero</w:t>
      </w:r>
      <w:r w:rsidR="00F851FC">
        <w:rPr>
          <w:sz w:val="24"/>
          <w:szCs w:val="24"/>
        </w:rPr>
        <w:t xml:space="preserve"> value</w:t>
      </w:r>
      <w:r w:rsidR="005F2775">
        <w:rPr>
          <w:sz w:val="24"/>
          <w:szCs w:val="24"/>
        </w:rPr>
        <w:t xml:space="preserve"> should be contained within the </w:t>
      </w:r>
      <w:r w:rsidR="00F851FC">
        <w:rPr>
          <w:sz w:val="24"/>
          <w:szCs w:val="24"/>
        </w:rPr>
        <w:t xml:space="preserve">industry averages. </w:t>
      </w:r>
    </w:p>
    <w:p w14:paraId="005AF459" w14:textId="7E6E076A" w:rsidR="00DB74CD" w:rsidRDefault="00691891" w:rsidP="00F121BC">
      <w:pPr>
        <w:spacing w:line="480" w:lineRule="auto"/>
        <w:jc w:val="both"/>
        <w:rPr>
          <w:sz w:val="24"/>
          <w:szCs w:val="24"/>
        </w:rPr>
      </w:pPr>
      <w:r>
        <w:rPr>
          <w:sz w:val="24"/>
          <w:szCs w:val="24"/>
        </w:rPr>
        <w:t>Quant</w:t>
      </w:r>
      <w:r w:rsidR="00282CEA">
        <w:rPr>
          <w:sz w:val="24"/>
          <w:szCs w:val="24"/>
        </w:rPr>
        <w:t>itative</w:t>
      </w:r>
      <w:r>
        <w:rPr>
          <w:sz w:val="24"/>
          <w:szCs w:val="24"/>
        </w:rPr>
        <w:t xml:space="preserve"> data was now ready for analysis, which was completed within Excel outputting </w:t>
      </w:r>
      <w:r w:rsidR="00405F2C">
        <w:rPr>
          <w:sz w:val="24"/>
          <w:szCs w:val="24"/>
        </w:rPr>
        <w:t xml:space="preserve">values, </w:t>
      </w:r>
      <w:r w:rsidR="00282CEA">
        <w:rPr>
          <w:sz w:val="24"/>
          <w:szCs w:val="24"/>
        </w:rPr>
        <w:t>comparative</w:t>
      </w:r>
      <w:r w:rsidR="00405F2C">
        <w:rPr>
          <w:sz w:val="24"/>
          <w:szCs w:val="24"/>
        </w:rPr>
        <w:t xml:space="preserve"> data and graphs. </w:t>
      </w:r>
      <w:r w:rsidR="00282CEA">
        <w:rPr>
          <w:sz w:val="24"/>
          <w:szCs w:val="24"/>
        </w:rPr>
        <w:t>Qualitative</w:t>
      </w:r>
      <w:r w:rsidR="00405F2C">
        <w:rPr>
          <w:sz w:val="24"/>
          <w:szCs w:val="24"/>
        </w:rPr>
        <w:t xml:space="preserve"> inductive </w:t>
      </w:r>
      <w:r w:rsidR="00436CC4">
        <w:rPr>
          <w:sz w:val="24"/>
          <w:szCs w:val="24"/>
        </w:rPr>
        <w:t>reasoning</w:t>
      </w:r>
      <w:r w:rsidR="00405F2C">
        <w:rPr>
          <w:sz w:val="24"/>
          <w:szCs w:val="24"/>
        </w:rPr>
        <w:t xml:space="preserve"> could then be </w:t>
      </w:r>
      <w:r w:rsidR="00405F2C">
        <w:rPr>
          <w:sz w:val="24"/>
          <w:szCs w:val="24"/>
        </w:rPr>
        <w:lastRenderedPageBreak/>
        <w:t xml:space="preserve">completed </w:t>
      </w:r>
      <w:r w:rsidR="00436CC4">
        <w:rPr>
          <w:sz w:val="24"/>
          <w:szCs w:val="24"/>
        </w:rPr>
        <w:t>on the information to</w:t>
      </w:r>
      <w:r w:rsidR="009D6798">
        <w:rPr>
          <w:sz w:val="24"/>
          <w:szCs w:val="24"/>
        </w:rPr>
        <w:t xml:space="preserve"> provide an </w:t>
      </w:r>
      <w:r w:rsidR="00282CEA">
        <w:rPr>
          <w:sz w:val="24"/>
          <w:szCs w:val="24"/>
        </w:rPr>
        <w:t>interpretative</w:t>
      </w:r>
      <w:r w:rsidR="009D6798">
        <w:rPr>
          <w:sz w:val="24"/>
          <w:szCs w:val="24"/>
        </w:rPr>
        <w:t xml:space="preserve"> analysis guided by the objectives stated in section </w:t>
      </w:r>
      <w:r w:rsidR="00282CEA">
        <w:rPr>
          <w:sz w:val="24"/>
          <w:szCs w:val="24"/>
        </w:rPr>
        <w:t>1.4</w:t>
      </w:r>
      <w:r w:rsidR="009D6798">
        <w:rPr>
          <w:sz w:val="24"/>
          <w:szCs w:val="24"/>
        </w:rPr>
        <w:t xml:space="preserve">. </w:t>
      </w:r>
      <w:r w:rsidR="00DF4C4F">
        <w:rPr>
          <w:sz w:val="24"/>
          <w:szCs w:val="24"/>
        </w:rPr>
        <w:t xml:space="preserve">The data was analysed </w:t>
      </w:r>
      <w:r w:rsidR="004336F2">
        <w:rPr>
          <w:sz w:val="24"/>
          <w:szCs w:val="24"/>
        </w:rPr>
        <w:t xml:space="preserve">and </w:t>
      </w:r>
      <w:r w:rsidR="00A0730F">
        <w:rPr>
          <w:sz w:val="24"/>
          <w:szCs w:val="24"/>
        </w:rPr>
        <w:t xml:space="preserve">industry averages were compared for the component companies to </w:t>
      </w:r>
      <w:r w:rsidR="000A34D9">
        <w:rPr>
          <w:sz w:val="24"/>
          <w:szCs w:val="24"/>
        </w:rPr>
        <w:t xml:space="preserve">check for outliers that could be causing skew within the data. </w:t>
      </w:r>
      <w:r w:rsidR="00DB3FA3">
        <w:rPr>
          <w:sz w:val="24"/>
          <w:szCs w:val="24"/>
        </w:rPr>
        <w:t>Three companies were removed from to account for outliers</w:t>
      </w:r>
      <w:r w:rsidR="0043121E">
        <w:rPr>
          <w:sz w:val="24"/>
          <w:szCs w:val="24"/>
        </w:rPr>
        <w:t>: Puretech from Healthcare, Hammerson</w:t>
      </w:r>
      <w:r w:rsidR="00B45688">
        <w:rPr>
          <w:sz w:val="24"/>
          <w:szCs w:val="24"/>
        </w:rPr>
        <w:t xml:space="preserve"> from real estate and Chemring from Industrials. While no companies were removed from the Consumer Discretionary </w:t>
      </w:r>
      <w:r w:rsidR="00372914">
        <w:rPr>
          <w:sz w:val="24"/>
          <w:szCs w:val="24"/>
        </w:rPr>
        <w:t xml:space="preserve">group, this group contained the travel industry companies which </w:t>
      </w:r>
      <w:r w:rsidR="001741B9">
        <w:rPr>
          <w:sz w:val="24"/>
          <w:szCs w:val="24"/>
        </w:rPr>
        <w:t>were more heavily affected by the COVID-19 pandemic than others within the group.</w:t>
      </w:r>
    </w:p>
    <w:p w14:paraId="3C32BCBF" w14:textId="44812EDF" w:rsidR="00C11E3F" w:rsidRPr="00212580" w:rsidRDefault="00DB74CD" w:rsidP="00F121BC">
      <w:pPr>
        <w:spacing w:line="480" w:lineRule="auto"/>
        <w:jc w:val="both"/>
        <w:rPr>
          <w:sz w:val="24"/>
          <w:szCs w:val="24"/>
        </w:rPr>
      </w:pPr>
      <w:r>
        <w:rPr>
          <w:sz w:val="24"/>
          <w:szCs w:val="24"/>
        </w:rPr>
        <w:t>C</w:t>
      </w:r>
      <w:r w:rsidR="004336F2">
        <w:rPr>
          <w:sz w:val="24"/>
          <w:szCs w:val="24"/>
        </w:rPr>
        <w:t>harts</w:t>
      </w:r>
      <w:r>
        <w:rPr>
          <w:sz w:val="24"/>
          <w:szCs w:val="24"/>
        </w:rPr>
        <w:t xml:space="preserve"> were</w:t>
      </w:r>
      <w:r w:rsidR="004336F2">
        <w:rPr>
          <w:sz w:val="24"/>
          <w:szCs w:val="24"/>
        </w:rPr>
        <w:t xml:space="preserve"> created </w:t>
      </w:r>
      <w:r w:rsidR="00BF6B06">
        <w:rPr>
          <w:sz w:val="24"/>
          <w:szCs w:val="24"/>
        </w:rPr>
        <w:t xml:space="preserve">in Microsoft Office Excel </w:t>
      </w:r>
      <w:r>
        <w:rPr>
          <w:sz w:val="24"/>
          <w:szCs w:val="24"/>
        </w:rPr>
        <w:t>to</w:t>
      </w:r>
      <w:r w:rsidR="004336F2">
        <w:rPr>
          <w:sz w:val="24"/>
          <w:szCs w:val="24"/>
        </w:rPr>
        <w:t xml:space="preserve"> display the result of each financial ratio </w:t>
      </w:r>
      <w:r w:rsidR="003B3F44">
        <w:rPr>
          <w:sz w:val="24"/>
          <w:szCs w:val="24"/>
        </w:rPr>
        <w:t>for</w:t>
      </w:r>
      <w:r w:rsidR="004336F2">
        <w:rPr>
          <w:sz w:val="24"/>
          <w:szCs w:val="24"/>
        </w:rPr>
        <w:t xml:space="preserve"> industry comparison</w:t>
      </w:r>
      <w:r w:rsidR="00765B0F">
        <w:rPr>
          <w:sz w:val="24"/>
          <w:szCs w:val="24"/>
        </w:rPr>
        <w:t xml:space="preserve"> and to allow for </w:t>
      </w:r>
      <w:r>
        <w:rPr>
          <w:sz w:val="24"/>
          <w:szCs w:val="24"/>
        </w:rPr>
        <w:t xml:space="preserve">more general industry performance analysis. </w:t>
      </w:r>
      <w:r w:rsidR="00BC2187" w:rsidRPr="00212580">
        <w:rPr>
          <w:sz w:val="24"/>
          <w:szCs w:val="24"/>
          <w:lang w:eastAsia="en-GB"/>
        </w:rPr>
        <w:br w:type="page"/>
      </w:r>
    </w:p>
    <w:p w14:paraId="017FD1E5" w14:textId="77777777" w:rsidR="005A72D3" w:rsidRPr="00212580" w:rsidRDefault="005A72D3" w:rsidP="007656AE">
      <w:pPr>
        <w:pStyle w:val="Heading1"/>
        <w:numPr>
          <w:ilvl w:val="0"/>
          <w:numId w:val="3"/>
        </w:numPr>
        <w:spacing w:line="480" w:lineRule="auto"/>
        <w:jc w:val="both"/>
        <w:rPr>
          <w:szCs w:val="24"/>
        </w:rPr>
      </w:pPr>
      <w:bookmarkStart w:id="34" w:name="_Toc141646717"/>
      <w:r w:rsidRPr="00212580">
        <w:rPr>
          <w:szCs w:val="24"/>
        </w:rPr>
        <w:lastRenderedPageBreak/>
        <w:t>Results</w:t>
      </w:r>
      <w:bookmarkEnd w:id="34"/>
    </w:p>
    <w:p w14:paraId="1FA3DDE3" w14:textId="1C915AF1" w:rsidR="00CE5C03" w:rsidRPr="00212580" w:rsidRDefault="00AB0102" w:rsidP="007656AE">
      <w:pPr>
        <w:pStyle w:val="Heading2"/>
        <w:numPr>
          <w:ilvl w:val="1"/>
          <w:numId w:val="3"/>
        </w:numPr>
        <w:spacing w:line="480" w:lineRule="auto"/>
        <w:jc w:val="both"/>
        <w:rPr>
          <w:szCs w:val="24"/>
        </w:rPr>
      </w:pPr>
      <w:bookmarkStart w:id="35" w:name="_Toc141646718"/>
      <w:r>
        <w:rPr>
          <w:szCs w:val="24"/>
        </w:rPr>
        <w:t xml:space="preserve">FTSE 250 Index Stock </w:t>
      </w:r>
      <w:r w:rsidR="00711256">
        <w:rPr>
          <w:szCs w:val="24"/>
        </w:rPr>
        <w:t>Value 2019-2021</w:t>
      </w:r>
      <w:bookmarkStart w:id="36" w:name="OLE_LINK3"/>
      <w:bookmarkEnd w:id="35"/>
    </w:p>
    <w:bookmarkEnd w:id="36"/>
    <w:p w14:paraId="4B4F79D2" w14:textId="47EB71C7" w:rsidR="00867671" w:rsidRDefault="00B92254" w:rsidP="00102E03">
      <w:pPr>
        <w:spacing w:line="480" w:lineRule="auto"/>
        <w:jc w:val="both"/>
        <w:rPr>
          <w:sz w:val="24"/>
          <w:szCs w:val="24"/>
        </w:rPr>
      </w:pPr>
      <w:r w:rsidRPr="00886D17">
        <w:rPr>
          <w:b/>
          <w:bCs/>
          <w:noProof/>
          <w:sz w:val="18"/>
          <w:szCs w:val="18"/>
        </w:rPr>
        <w:drawing>
          <wp:anchor distT="0" distB="0" distL="114300" distR="114300" simplePos="0" relativeHeight="251658240" behindDoc="0" locked="0" layoutInCell="1" allowOverlap="1" wp14:anchorId="7E29F4AE" wp14:editId="398E5A18">
            <wp:simplePos x="0" y="0"/>
            <wp:positionH relativeFrom="margin">
              <wp:posOffset>-332105</wp:posOffset>
            </wp:positionH>
            <wp:positionV relativeFrom="paragraph">
              <wp:posOffset>2759075</wp:posOffset>
            </wp:positionV>
            <wp:extent cx="6394450" cy="3102610"/>
            <wp:effectExtent l="0" t="0" r="0" b="0"/>
            <wp:wrapTopAndBottom/>
            <wp:docPr id="2" name="Picture 2" descr="Chart, histo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Chart, histogram&#10;&#10;Description automatically generated"/>
                    <pic:cNvPicPr/>
                  </pic:nvPicPr>
                  <pic:blipFill>
                    <a:blip r:embed="rId16" cstate="print">
                      <a:extLst>
                        <a:ext uri="{28A0092B-C50C-407E-A947-70E740481C1C}">
                          <a14:useLocalDpi xmlns:a14="http://schemas.microsoft.com/office/drawing/2010/main" val="0"/>
                        </a:ext>
                      </a:extLst>
                    </a:blip>
                    <a:stretch>
                      <a:fillRect/>
                    </a:stretch>
                  </pic:blipFill>
                  <pic:spPr>
                    <a:xfrm>
                      <a:off x="0" y="0"/>
                      <a:ext cx="6394450" cy="3102610"/>
                    </a:xfrm>
                    <a:prstGeom prst="rect">
                      <a:avLst/>
                    </a:prstGeom>
                  </pic:spPr>
                </pic:pic>
              </a:graphicData>
            </a:graphic>
            <wp14:sizeRelH relativeFrom="page">
              <wp14:pctWidth>0</wp14:pctWidth>
            </wp14:sizeRelH>
            <wp14:sizeRelV relativeFrom="page">
              <wp14:pctHeight>0</wp14:pctHeight>
            </wp14:sizeRelV>
          </wp:anchor>
        </w:drawing>
      </w:r>
      <w:r w:rsidR="00867671">
        <w:rPr>
          <w:sz w:val="24"/>
          <w:szCs w:val="24"/>
        </w:rPr>
        <w:t xml:space="preserve">Analysis of the </w:t>
      </w:r>
      <w:r w:rsidR="00CA3206">
        <w:rPr>
          <w:sz w:val="24"/>
          <w:szCs w:val="24"/>
        </w:rPr>
        <w:t xml:space="preserve">FTSE 250 index against the </w:t>
      </w:r>
      <w:r w:rsidR="00867671">
        <w:rPr>
          <w:sz w:val="24"/>
          <w:szCs w:val="24"/>
        </w:rPr>
        <w:t xml:space="preserve">major </w:t>
      </w:r>
      <w:r w:rsidR="00A85FDA">
        <w:rPr>
          <w:sz w:val="24"/>
          <w:szCs w:val="24"/>
        </w:rPr>
        <w:t>global financial indices</w:t>
      </w:r>
      <w:r w:rsidR="004A58DF">
        <w:rPr>
          <w:sz w:val="24"/>
          <w:szCs w:val="24"/>
        </w:rPr>
        <w:t xml:space="preserve"> shows</w:t>
      </w:r>
      <w:r w:rsidR="000B1443">
        <w:rPr>
          <w:sz w:val="24"/>
          <w:szCs w:val="24"/>
        </w:rPr>
        <w:t xml:space="preserve"> </w:t>
      </w:r>
      <w:r w:rsidR="00DE6E92">
        <w:rPr>
          <w:sz w:val="24"/>
          <w:szCs w:val="24"/>
        </w:rPr>
        <w:t>similar</w:t>
      </w:r>
      <w:r w:rsidR="003B6B52">
        <w:rPr>
          <w:sz w:val="24"/>
          <w:szCs w:val="24"/>
        </w:rPr>
        <w:t xml:space="preserve"> trends </w:t>
      </w:r>
      <w:r w:rsidR="00B026F6">
        <w:rPr>
          <w:sz w:val="24"/>
          <w:szCs w:val="24"/>
        </w:rPr>
        <w:t xml:space="preserve">in the </w:t>
      </w:r>
      <w:r w:rsidR="00A6276B">
        <w:rPr>
          <w:sz w:val="24"/>
          <w:szCs w:val="24"/>
        </w:rPr>
        <w:t>share prices of the indices. T</w:t>
      </w:r>
      <w:r w:rsidR="004A58DF">
        <w:rPr>
          <w:sz w:val="24"/>
          <w:szCs w:val="24"/>
        </w:rPr>
        <w:t xml:space="preserve">he </w:t>
      </w:r>
      <w:r w:rsidR="006C2F59">
        <w:rPr>
          <w:sz w:val="24"/>
          <w:szCs w:val="24"/>
        </w:rPr>
        <w:t>impact</w:t>
      </w:r>
      <w:r w:rsidR="004A58DF">
        <w:rPr>
          <w:sz w:val="24"/>
          <w:szCs w:val="24"/>
        </w:rPr>
        <w:t xml:space="preserve"> of the COVID-19 pandemic </w:t>
      </w:r>
      <w:r w:rsidR="003B6B52">
        <w:rPr>
          <w:sz w:val="24"/>
          <w:szCs w:val="24"/>
        </w:rPr>
        <w:t>was</w:t>
      </w:r>
      <w:r w:rsidR="006C2F59">
        <w:rPr>
          <w:sz w:val="24"/>
          <w:szCs w:val="24"/>
        </w:rPr>
        <w:t xml:space="preserve"> seen across all markets, with </w:t>
      </w:r>
      <w:r w:rsidR="00FE1554">
        <w:rPr>
          <w:sz w:val="24"/>
          <w:szCs w:val="24"/>
        </w:rPr>
        <w:t>Figure 2</w:t>
      </w:r>
      <w:r w:rsidR="006C2F59">
        <w:rPr>
          <w:sz w:val="24"/>
          <w:szCs w:val="24"/>
        </w:rPr>
        <w:t xml:space="preserve"> showing the percentage change </w:t>
      </w:r>
      <w:r w:rsidR="00870B4D">
        <w:rPr>
          <w:sz w:val="24"/>
          <w:szCs w:val="24"/>
        </w:rPr>
        <w:t>between January 2019 and December 2022 for the FTSE 250, NASDAQ, S&amp;P 500</w:t>
      </w:r>
      <w:r w:rsidR="0056052A">
        <w:rPr>
          <w:sz w:val="24"/>
          <w:szCs w:val="24"/>
        </w:rPr>
        <w:t>, DOW and NIKKEI 225. The FTSE 250 showed a</w:t>
      </w:r>
      <w:r w:rsidR="00AC31DD">
        <w:rPr>
          <w:sz w:val="24"/>
          <w:szCs w:val="24"/>
        </w:rPr>
        <w:t xml:space="preserve"> sudden loss of value during </w:t>
      </w:r>
      <w:r w:rsidR="00DE3AD6">
        <w:rPr>
          <w:sz w:val="24"/>
          <w:szCs w:val="24"/>
        </w:rPr>
        <w:t xml:space="preserve">at the end of February 2020, accelerating throughout </w:t>
      </w:r>
      <w:r w:rsidR="00AC31DD">
        <w:rPr>
          <w:sz w:val="24"/>
          <w:szCs w:val="24"/>
        </w:rPr>
        <w:t>March 2020</w:t>
      </w:r>
      <w:r w:rsidR="00460309">
        <w:rPr>
          <w:sz w:val="24"/>
          <w:szCs w:val="24"/>
        </w:rPr>
        <w:t xml:space="preserve">, due to the impact of national </w:t>
      </w:r>
      <w:r w:rsidR="00630E67">
        <w:rPr>
          <w:sz w:val="24"/>
          <w:szCs w:val="24"/>
        </w:rPr>
        <w:t>lockdowns</w:t>
      </w:r>
      <w:r w:rsidR="00DE3AD6">
        <w:rPr>
          <w:sz w:val="24"/>
          <w:szCs w:val="24"/>
        </w:rPr>
        <w:t xml:space="preserve">. </w:t>
      </w:r>
      <w:r w:rsidR="008168FC">
        <w:rPr>
          <w:sz w:val="24"/>
          <w:szCs w:val="24"/>
        </w:rPr>
        <w:t xml:space="preserve">All market </w:t>
      </w:r>
      <w:r w:rsidR="0035435E">
        <w:rPr>
          <w:sz w:val="24"/>
          <w:szCs w:val="24"/>
        </w:rPr>
        <w:t>indices</w:t>
      </w:r>
      <w:r w:rsidR="008168FC">
        <w:rPr>
          <w:sz w:val="24"/>
          <w:szCs w:val="24"/>
        </w:rPr>
        <w:t xml:space="preserve"> show recovery throughout 2021 and onwards into 2022 at different rates but on a similar </w:t>
      </w:r>
      <w:r w:rsidR="0035435E">
        <w:rPr>
          <w:sz w:val="24"/>
          <w:szCs w:val="24"/>
        </w:rPr>
        <w:t>trajectory.</w:t>
      </w:r>
    </w:p>
    <w:p w14:paraId="4651AD6C" w14:textId="7D1A8CD9" w:rsidR="00711256" w:rsidRPr="00B92254" w:rsidRDefault="00EA61AC" w:rsidP="002D1F8F">
      <w:pPr>
        <w:spacing w:line="240" w:lineRule="auto"/>
        <w:jc w:val="both"/>
        <w:rPr>
          <w:b/>
          <w:bCs/>
          <w:sz w:val="18"/>
          <w:szCs w:val="18"/>
        </w:rPr>
      </w:pPr>
      <w:r w:rsidRPr="00886D17">
        <w:rPr>
          <w:b/>
          <w:bCs/>
          <w:sz w:val="18"/>
          <w:szCs w:val="18"/>
        </w:rPr>
        <w:t xml:space="preserve">Figure 2. </w:t>
      </w:r>
      <w:r w:rsidR="0002274C" w:rsidRPr="00886D17">
        <w:rPr>
          <w:b/>
          <w:bCs/>
          <w:sz w:val="18"/>
          <w:szCs w:val="18"/>
        </w:rPr>
        <w:t xml:space="preserve">Comparative stock index prices </w:t>
      </w:r>
      <w:r w:rsidR="00673B8E" w:rsidRPr="00886D17">
        <w:rPr>
          <w:b/>
          <w:bCs/>
          <w:sz w:val="18"/>
          <w:szCs w:val="18"/>
        </w:rPr>
        <w:t>for the major ind</w:t>
      </w:r>
      <w:r w:rsidR="00673B8E" w:rsidRPr="00E42F66">
        <w:rPr>
          <w:b/>
          <w:bCs/>
          <w:sz w:val="18"/>
          <w:szCs w:val="18"/>
        </w:rPr>
        <w:t xml:space="preserve">ices between </w:t>
      </w:r>
      <w:r w:rsidR="00886D17" w:rsidRPr="00E42F66">
        <w:rPr>
          <w:b/>
          <w:bCs/>
          <w:sz w:val="18"/>
          <w:szCs w:val="18"/>
        </w:rPr>
        <w:t xml:space="preserve">January </w:t>
      </w:r>
      <w:r w:rsidR="00673B8E" w:rsidRPr="00E42F66">
        <w:rPr>
          <w:b/>
          <w:bCs/>
          <w:sz w:val="18"/>
          <w:szCs w:val="18"/>
        </w:rPr>
        <w:t xml:space="preserve">2019 and </w:t>
      </w:r>
      <w:r w:rsidR="00886D17" w:rsidRPr="00E42F66">
        <w:rPr>
          <w:b/>
          <w:bCs/>
          <w:sz w:val="18"/>
          <w:szCs w:val="18"/>
        </w:rPr>
        <w:t>December 2021</w:t>
      </w:r>
      <w:r w:rsidR="0002274C" w:rsidRPr="00E42F66">
        <w:rPr>
          <w:b/>
          <w:bCs/>
          <w:sz w:val="18"/>
          <w:szCs w:val="18"/>
        </w:rPr>
        <w:t xml:space="preserve"> </w:t>
      </w:r>
      <w:r w:rsidR="00102E03" w:rsidRPr="00E42F66">
        <w:rPr>
          <w:b/>
          <w:bCs/>
          <w:sz w:val="18"/>
          <w:szCs w:val="18"/>
        </w:rPr>
        <w:fldChar w:fldCharType="begin"/>
      </w:r>
      <w:r w:rsidR="006E6ACC" w:rsidRPr="00E42F66">
        <w:rPr>
          <w:b/>
          <w:bCs/>
          <w:sz w:val="18"/>
          <w:szCs w:val="18"/>
        </w:rPr>
        <w:instrText xml:space="preserve"> ADDIN ZOTERO_ITEM CSL_CITATION {"citationID":"P3G58iTB","properties":{"formattedCitation":"(London Stock Exchange, 2022b; Yahoo Finance, 2022)","plainCitation":"(London Stock Exchange, 2022b; Yahoo Finance, 2022)","noteIndex":0},"citationItems":[{"id":605,"uris":["http://zotero.org/users/local/RRCsWsp6/items/B3NVHS5E"],"itemData":{"id":605,"type":"webpage","abstract":"FTSE constituents prices, list of FTSE constituents and news","language":"en","title":"FTSE 250 News and Prices","URL":"https://www.londonstockexchange.com/indices/about:blank","author":[{"family":"London Stock Exchange","given":""}],"accessed":{"date-parts":[["2022",9,4]]},"issued":{"date-parts":[["2022",9,4]]}},"label":"page"},{"id":609,"uris":["http://zotero.org/users/local/RRCsWsp6/items/3XRIWGDX"],"itemData":{"id":609,"type":"webpage","abstract":"See the complete list of world stock indexes with points and percentage change, volume, intra-day highs and lows, 52-week range and day chart.","language":"en-GB","title":"Major world indices – Yahoo Finance","URL":"https://uk.finance.yahoo.com/world-indices/","author":[{"family":"Yahoo Finance","given":""}],"accessed":{"date-parts":[["2022",9,4]]},"issued":{"date-parts":[["2022",9,4]]}},"label":"page"}],"schema":"https://github.com/citation-style-language/schema/raw/master/csl-citation.json"} </w:instrText>
      </w:r>
      <w:r w:rsidR="00102E03" w:rsidRPr="00E42F66">
        <w:rPr>
          <w:b/>
          <w:bCs/>
          <w:sz w:val="18"/>
          <w:szCs w:val="18"/>
        </w:rPr>
        <w:fldChar w:fldCharType="separate"/>
      </w:r>
      <w:r w:rsidR="007931FB" w:rsidRPr="00E42F66">
        <w:rPr>
          <w:b/>
          <w:bCs/>
          <w:noProof/>
          <w:sz w:val="18"/>
          <w:szCs w:val="18"/>
        </w:rPr>
        <w:t>(London Stock Exchange, 2022b; Yahoo Finance, 2022)</w:t>
      </w:r>
      <w:r w:rsidR="00102E03" w:rsidRPr="00E42F66">
        <w:rPr>
          <w:b/>
          <w:bCs/>
          <w:sz w:val="18"/>
          <w:szCs w:val="18"/>
        </w:rPr>
        <w:fldChar w:fldCharType="end"/>
      </w:r>
      <w:r w:rsidR="00E42F66" w:rsidRPr="00E42F66">
        <w:rPr>
          <w:b/>
          <w:bCs/>
          <w:sz w:val="18"/>
          <w:szCs w:val="18"/>
        </w:rPr>
        <w:t>.</w:t>
      </w:r>
    </w:p>
    <w:p w14:paraId="12AF21CA" w14:textId="06A953D1" w:rsidR="00083C3F" w:rsidRDefault="00083C3F" w:rsidP="00F121BC">
      <w:pPr>
        <w:spacing w:line="480" w:lineRule="auto"/>
        <w:jc w:val="both"/>
        <w:rPr>
          <w:sz w:val="24"/>
          <w:szCs w:val="24"/>
        </w:rPr>
      </w:pPr>
      <w:r>
        <w:rPr>
          <w:sz w:val="24"/>
          <w:szCs w:val="24"/>
        </w:rPr>
        <w:t xml:space="preserve">The comparison of the FTSE 250 to other global indices </w:t>
      </w:r>
      <w:r w:rsidR="002D2669">
        <w:rPr>
          <w:sz w:val="24"/>
          <w:szCs w:val="24"/>
        </w:rPr>
        <w:t xml:space="preserve">confirms a similarity in macro-economic </w:t>
      </w:r>
      <w:r w:rsidR="00074225">
        <w:rPr>
          <w:sz w:val="24"/>
          <w:szCs w:val="24"/>
        </w:rPr>
        <w:t>trends and</w:t>
      </w:r>
      <w:r w:rsidR="002D2669">
        <w:rPr>
          <w:sz w:val="24"/>
          <w:szCs w:val="24"/>
        </w:rPr>
        <w:t xml:space="preserve"> confirms that the </w:t>
      </w:r>
      <w:r w:rsidR="00702DF5">
        <w:rPr>
          <w:sz w:val="24"/>
          <w:szCs w:val="24"/>
        </w:rPr>
        <w:t xml:space="preserve">impact on the companies comprising the </w:t>
      </w:r>
      <w:r w:rsidR="002D2669">
        <w:rPr>
          <w:sz w:val="24"/>
          <w:szCs w:val="24"/>
        </w:rPr>
        <w:t>FTSE 250</w:t>
      </w:r>
      <w:r w:rsidR="00702DF5">
        <w:rPr>
          <w:sz w:val="24"/>
          <w:szCs w:val="24"/>
        </w:rPr>
        <w:t xml:space="preserve"> would not appear to be an outlier from </w:t>
      </w:r>
      <w:r w:rsidR="00F63612">
        <w:rPr>
          <w:sz w:val="24"/>
          <w:szCs w:val="24"/>
        </w:rPr>
        <w:t xml:space="preserve">global </w:t>
      </w:r>
      <w:bookmarkStart w:id="37" w:name="OLE_LINK1"/>
      <w:r w:rsidR="00F63612">
        <w:rPr>
          <w:sz w:val="24"/>
          <w:szCs w:val="24"/>
        </w:rPr>
        <w:t xml:space="preserve">trends. </w:t>
      </w:r>
      <w:bookmarkEnd w:id="37"/>
    </w:p>
    <w:p w14:paraId="6E63617D" w14:textId="70C8761E" w:rsidR="00B24FA3" w:rsidRDefault="001E4606" w:rsidP="007656AE">
      <w:pPr>
        <w:pStyle w:val="Heading2"/>
        <w:numPr>
          <w:ilvl w:val="1"/>
          <w:numId w:val="3"/>
        </w:numPr>
        <w:spacing w:line="480" w:lineRule="auto"/>
        <w:jc w:val="both"/>
        <w:rPr>
          <w:szCs w:val="24"/>
        </w:rPr>
      </w:pPr>
      <w:bookmarkStart w:id="38" w:name="_Toc141646719"/>
      <w:r>
        <w:rPr>
          <w:szCs w:val="24"/>
        </w:rPr>
        <w:lastRenderedPageBreak/>
        <w:t xml:space="preserve">All Companies </w:t>
      </w:r>
      <w:r w:rsidR="00B24FA3">
        <w:rPr>
          <w:szCs w:val="24"/>
        </w:rPr>
        <w:t>– Averages</w:t>
      </w:r>
      <w:bookmarkEnd w:id="38"/>
    </w:p>
    <w:p w14:paraId="5338E6A0" w14:textId="77777777" w:rsidR="008D6AC5" w:rsidRDefault="008F08A1" w:rsidP="008F08A1">
      <w:pPr>
        <w:rPr>
          <w:b/>
          <w:bCs/>
          <w:sz w:val="18"/>
          <w:szCs w:val="18"/>
        </w:rPr>
      </w:pPr>
      <w:r>
        <w:rPr>
          <w:noProof/>
          <w:szCs w:val="24"/>
        </w:rPr>
        <w:drawing>
          <wp:anchor distT="0" distB="0" distL="114300" distR="114300" simplePos="0" relativeHeight="251666459" behindDoc="1" locked="0" layoutInCell="1" allowOverlap="1" wp14:anchorId="40F2C061" wp14:editId="4FFFE25F">
            <wp:simplePos x="0" y="0"/>
            <wp:positionH relativeFrom="column">
              <wp:posOffset>635</wp:posOffset>
            </wp:positionH>
            <wp:positionV relativeFrom="paragraph">
              <wp:posOffset>280035</wp:posOffset>
            </wp:positionV>
            <wp:extent cx="5731510" cy="6694805"/>
            <wp:effectExtent l="0" t="0" r="0" b="0"/>
            <wp:wrapTight wrapText="bothSides">
              <wp:wrapPolygon edited="0">
                <wp:start x="0" y="0"/>
                <wp:lineTo x="0" y="21553"/>
                <wp:lineTo x="21538" y="21553"/>
                <wp:lineTo x="21538" y="0"/>
                <wp:lineTo x="0" y="0"/>
              </wp:wrapPolygon>
            </wp:wrapTight>
            <wp:docPr id="138433133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84331330" name="Picture 1384331330"/>
                    <pic:cNvPicPr/>
                  </pic:nvPicPr>
                  <pic:blipFill>
                    <a:blip r:embed="rId17" cstate="print">
                      <a:extLst>
                        <a:ext uri="{28A0092B-C50C-407E-A947-70E740481C1C}">
                          <a14:useLocalDpi xmlns:a14="http://schemas.microsoft.com/office/drawing/2010/main" val="0"/>
                        </a:ext>
                      </a:extLst>
                    </a:blip>
                    <a:stretch>
                      <a:fillRect/>
                    </a:stretch>
                  </pic:blipFill>
                  <pic:spPr>
                    <a:xfrm>
                      <a:off x="0" y="0"/>
                      <a:ext cx="5731510" cy="6694805"/>
                    </a:xfrm>
                    <a:prstGeom prst="rect">
                      <a:avLst/>
                    </a:prstGeom>
                  </pic:spPr>
                </pic:pic>
              </a:graphicData>
            </a:graphic>
            <wp14:sizeRelH relativeFrom="page">
              <wp14:pctWidth>0</wp14:pctWidth>
            </wp14:sizeRelH>
            <wp14:sizeRelV relativeFrom="page">
              <wp14:pctHeight>0</wp14:pctHeight>
            </wp14:sizeRelV>
          </wp:anchor>
        </w:drawing>
      </w:r>
      <w:r w:rsidR="009C3A40" w:rsidRPr="00E6555A">
        <w:rPr>
          <w:b/>
          <w:bCs/>
          <w:sz w:val="18"/>
          <w:szCs w:val="18"/>
        </w:rPr>
        <w:t>Ta</w:t>
      </w:r>
      <w:r w:rsidR="006E39D8" w:rsidRPr="00E6555A">
        <w:rPr>
          <w:b/>
          <w:bCs/>
          <w:sz w:val="18"/>
          <w:szCs w:val="18"/>
        </w:rPr>
        <w:t xml:space="preserve">ble 4. </w:t>
      </w:r>
      <w:r w:rsidR="00E6555A">
        <w:rPr>
          <w:b/>
          <w:bCs/>
          <w:sz w:val="18"/>
          <w:szCs w:val="18"/>
        </w:rPr>
        <w:t>F</w:t>
      </w:r>
      <w:r w:rsidR="006E39D8" w:rsidRPr="00E6555A">
        <w:rPr>
          <w:b/>
          <w:bCs/>
          <w:sz w:val="18"/>
          <w:szCs w:val="18"/>
        </w:rPr>
        <w:t xml:space="preserve">inancial ratio results for all companies across all sectors analysed </w:t>
      </w:r>
      <w:r w:rsidR="00E6555A" w:rsidRPr="00E6555A">
        <w:rPr>
          <w:b/>
          <w:bCs/>
          <w:sz w:val="18"/>
          <w:szCs w:val="18"/>
        </w:rPr>
        <w:t>for the period 2019 to 2021.</w:t>
      </w:r>
    </w:p>
    <w:p w14:paraId="64F71487" w14:textId="77777777" w:rsidR="008D6AC5" w:rsidRDefault="008D6AC5" w:rsidP="008F08A1">
      <w:pPr>
        <w:rPr>
          <w:b/>
          <w:bCs/>
          <w:sz w:val="18"/>
          <w:szCs w:val="18"/>
        </w:rPr>
      </w:pPr>
    </w:p>
    <w:p w14:paraId="1761132F" w14:textId="39C5A2CF" w:rsidR="00104BF0" w:rsidRPr="008F08A1" w:rsidRDefault="00EF5F18" w:rsidP="008D6AC5">
      <w:pPr>
        <w:spacing w:line="480" w:lineRule="auto"/>
        <w:jc w:val="both"/>
        <w:rPr>
          <w:b/>
          <w:bCs/>
          <w:sz w:val="18"/>
          <w:szCs w:val="18"/>
        </w:rPr>
      </w:pPr>
      <w:r w:rsidRPr="00E6555A">
        <w:rPr>
          <w:sz w:val="24"/>
          <w:szCs w:val="24"/>
        </w:rPr>
        <w:t>T</w:t>
      </w:r>
      <w:r w:rsidR="00E6555A">
        <w:rPr>
          <w:sz w:val="24"/>
          <w:szCs w:val="24"/>
        </w:rPr>
        <w:t>able</w:t>
      </w:r>
      <w:r w:rsidRPr="00E6555A">
        <w:rPr>
          <w:sz w:val="24"/>
          <w:szCs w:val="24"/>
        </w:rPr>
        <w:t xml:space="preserve"> </w:t>
      </w:r>
      <w:r w:rsidR="00E6555A" w:rsidRPr="00E6555A">
        <w:rPr>
          <w:sz w:val="24"/>
          <w:szCs w:val="24"/>
        </w:rPr>
        <w:t>4</w:t>
      </w:r>
      <w:r w:rsidR="00E6555A">
        <w:rPr>
          <w:sz w:val="24"/>
          <w:szCs w:val="24"/>
        </w:rPr>
        <w:t xml:space="preserve"> </w:t>
      </w:r>
      <w:r>
        <w:rPr>
          <w:sz w:val="24"/>
          <w:szCs w:val="24"/>
        </w:rPr>
        <w:t xml:space="preserve">shows </w:t>
      </w:r>
      <w:r w:rsidR="0063065E">
        <w:rPr>
          <w:sz w:val="24"/>
          <w:szCs w:val="24"/>
        </w:rPr>
        <w:t>the financial ratio</w:t>
      </w:r>
      <w:r w:rsidR="00046937">
        <w:rPr>
          <w:sz w:val="24"/>
          <w:szCs w:val="24"/>
        </w:rPr>
        <w:t>s</w:t>
      </w:r>
      <w:r w:rsidR="0063065E">
        <w:rPr>
          <w:sz w:val="24"/>
          <w:szCs w:val="24"/>
        </w:rPr>
        <w:t xml:space="preserve"> applied to all the companies analysed combined, </w:t>
      </w:r>
      <w:r w:rsidR="002172A3">
        <w:rPr>
          <w:sz w:val="24"/>
          <w:szCs w:val="24"/>
        </w:rPr>
        <w:t>which we will use to identify larger index</w:t>
      </w:r>
      <w:r w:rsidR="00920449">
        <w:rPr>
          <w:sz w:val="24"/>
          <w:szCs w:val="24"/>
        </w:rPr>
        <w:t xml:space="preserve"> (macro)</w:t>
      </w:r>
      <w:r w:rsidR="002172A3">
        <w:rPr>
          <w:sz w:val="24"/>
          <w:szCs w:val="24"/>
        </w:rPr>
        <w:t xml:space="preserve"> level trends before looking at a breakdown of the sectors</w:t>
      </w:r>
      <w:r w:rsidR="00920449">
        <w:rPr>
          <w:sz w:val="24"/>
          <w:szCs w:val="24"/>
        </w:rPr>
        <w:t xml:space="preserve"> performance</w:t>
      </w:r>
      <w:r w:rsidR="002172A3">
        <w:rPr>
          <w:sz w:val="24"/>
          <w:szCs w:val="24"/>
        </w:rPr>
        <w:t>.</w:t>
      </w:r>
      <w:r w:rsidR="00997B9D">
        <w:rPr>
          <w:sz w:val="24"/>
          <w:szCs w:val="24"/>
        </w:rPr>
        <w:t xml:space="preserve"> </w:t>
      </w:r>
      <w:r w:rsidR="001C3768">
        <w:rPr>
          <w:sz w:val="24"/>
          <w:szCs w:val="24"/>
        </w:rPr>
        <w:t xml:space="preserve">Overall, every financial ratio showed a </w:t>
      </w:r>
      <w:r w:rsidR="002B3102">
        <w:rPr>
          <w:sz w:val="24"/>
          <w:szCs w:val="24"/>
        </w:rPr>
        <w:t xml:space="preserve">worsening position </w:t>
      </w:r>
      <w:r w:rsidR="0060358C">
        <w:rPr>
          <w:sz w:val="24"/>
          <w:szCs w:val="24"/>
        </w:rPr>
        <w:lastRenderedPageBreak/>
        <w:t>between 2019 and 2020</w:t>
      </w:r>
      <w:r w:rsidR="00550891">
        <w:rPr>
          <w:sz w:val="24"/>
          <w:szCs w:val="24"/>
        </w:rPr>
        <w:t>, with the exceptions of Market Share Price, which grew by 2.4%,</w:t>
      </w:r>
      <w:r w:rsidR="00C17A6A">
        <w:rPr>
          <w:sz w:val="24"/>
          <w:szCs w:val="24"/>
        </w:rPr>
        <w:t xml:space="preserve"> </w:t>
      </w:r>
      <w:r w:rsidR="00415FC5">
        <w:rPr>
          <w:sz w:val="24"/>
          <w:szCs w:val="24"/>
        </w:rPr>
        <w:t>D</w:t>
      </w:r>
      <w:r w:rsidR="00010CF8">
        <w:rPr>
          <w:sz w:val="24"/>
          <w:szCs w:val="24"/>
        </w:rPr>
        <w:t xml:space="preserve">ividend </w:t>
      </w:r>
      <w:r w:rsidR="00415FC5">
        <w:rPr>
          <w:sz w:val="24"/>
          <w:szCs w:val="24"/>
        </w:rPr>
        <w:t>Y</w:t>
      </w:r>
      <w:r w:rsidR="00010CF8">
        <w:rPr>
          <w:sz w:val="24"/>
          <w:szCs w:val="24"/>
        </w:rPr>
        <w:t>ield growing by 3.1%</w:t>
      </w:r>
      <w:r w:rsidR="00C17A6A">
        <w:rPr>
          <w:sz w:val="24"/>
          <w:szCs w:val="24"/>
        </w:rPr>
        <w:t xml:space="preserve"> and Cash Per Share</w:t>
      </w:r>
      <w:r w:rsidR="00415FC5">
        <w:rPr>
          <w:sz w:val="24"/>
          <w:szCs w:val="24"/>
        </w:rPr>
        <w:t xml:space="preserve"> growing by 14.2%</w:t>
      </w:r>
      <w:r w:rsidR="00010CF8">
        <w:rPr>
          <w:sz w:val="24"/>
          <w:szCs w:val="24"/>
        </w:rPr>
        <w:t>.</w:t>
      </w:r>
      <w:r w:rsidR="00415FC5">
        <w:rPr>
          <w:sz w:val="24"/>
          <w:szCs w:val="24"/>
        </w:rPr>
        <w:t xml:space="preserve"> </w:t>
      </w:r>
      <w:r w:rsidR="00163990">
        <w:rPr>
          <w:sz w:val="24"/>
          <w:szCs w:val="24"/>
        </w:rPr>
        <w:t xml:space="preserve">Between 2020 and 2021, the majority of </w:t>
      </w:r>
      <w:r w:rsidR="00D46B08">
        <w:rPr>
          <w:sz w:val="24"/>
          <w:szCs w:val="24"/>
        </w:rPr>
        <w:t xml:space="preserve">financial ratios </w:t>
      </w:r>
      <w:r w:rsidR="008073D6">
        <w:rPr>
          <w:sz w:val="24"/>
          <w:szCs w:val="24"/>
        </w:rPr>
        <w:t xml:space="preserve">showed an improving position </w:t>
      </w:r>
      <w:r w:rsidR="00F5746B">
        <w:rPr>
          <w:sz w:val="24"/>
          <w:szCs w:val="24"/>
        </w:rPr>
        <w:t>as compan</w:t>
      </w:r>
      <w:r w:rsidR="00D87F4D">
        <w:rPr>
          <w:sz w:val="24"/>
          <w:szCs w:val="24"/>
        </w:rPr>
        <w:t>ies</w:t>
      </w:r>
      <w:r w:rsidR="00F5746B">
        <w:rPr>
          <w:sz w:val="24"/>
          <w:szCs w:val="24"/>
        </w:rPr>
        <w:t xml:space="preserve"> recovered from the initial impact of COVID-19</w:t>
      </w:r>
      <w:r w:rsidR="00F17E85">
        <w:rPr>
          <w:sz w:val="24"/>
          <w:szCs w:val="24"/>
        </w:rPr>
        <w:t xml:space="preserve">. </w:t>
      </w:r>
      <w:r w:rsidR="00357621">
        <w:rPr>
          <w:sz w:val="24"/>
          <w:szCs w:val="24"/>
        </w:rPr>
        <w:t xml:space="preserve">The liquidity ratios continued to decline </w:t>
      </w:r>
      <w:r w:rsidR="004E68E2">
        <w:rPr>
          <w:sz w:val="24"/>
          <w:szCs w:val="24"/>
        </w:rPr>
        <w:t xml:space="preserve">between 2020 and 2021, </w:t>
      </w:r>
      <w:r w:rsidR="0091581D">
        <w:rPr>
          <w:sz w:val="24"/>
          <w:szCs w:val="24"/>
        </w:rPr>
        <w:t xml:space="preserve">with the current ratio showing a </w:t>
      </w:r>
      <w:r w:rsidR="00DE30DA">
        <w:rPr>
          <w:sz w:val="24"/>
          <w:szCs w:val="24"/>
        </w:rPr>
        <w:t xml:space="preserve">18.5% decrease, after a 5% decline between 2019 and 2020; the quick ratio </w:t>
      </w:r>
      <w:r w:rsidR="00AA115B">
        <w:rPr>
          <w:sz w:val="24"/>
          <w:szCs w:val="24"/>
        </w:rPr>
        <w:t xml:space="preserve">declined by 3.7 between 2020 and 2021 after a decline of 20% between 2019 and 2020. </w:t>
      </w:r>
      <w:r w:rsidR="00D20E62">
        <w:rPr>
          <w:sz w:val="24"/>
          <w:szCs w:val="24"/>
        </w:rPr>
        <w:t xml:space="preserve">Cash Per Share decreased </w:t>
      </w:r>
      <w:r w:rsidR="009B0E10">
        <w:rPr>
          <w:sz w:val="24"/>
          <w:szCs w:val="24"/>
        </w:rPr>
        <w:t xml:space="preserve">by 0.7% between 2020 and 2021, however it remained </w:t>
      </w:r>
      <w:r w:rsidR="003D5C6C">
        <w:rPr>
          <w:sz w:val="24"/>
          <w:szCs w:val="24"/>
        </w:rPr>
        <w:t xml:space="preserve">13.42% higher than 2019. </w:t>
      </w:r>
      <w:r w:rsidR="009A16F3">
        <w:rPr>
          <w:sz w:val="24"/>
          <w:szCs w:val="24"/>
        </w:rPr>
        <w:t>Interest cover declined year-on-year by 83.99% between 2019 and 2021, however the majority (</w:t>
      </w:r>
      <w:r w:rsidR="00D47F86">
        <w:rPr>
          <w:sz w:val="24"/>
          <w:szCs w:val="24"/>
        </w:rPr>
        <w:t xml:space="preserve">79.4%) of this was seen between 2019 and 2020. </w:t>
      </w:r>
      <w:r w:rsidR="00621E50">
        <w:rPr>
          <w:sz w:val="24"/>
          <w:szCs w:val="24"/>
        </w:rPr>
        <w:t xml:space="preserve">Dividend cover continued to decline between 2020 and 2021 </w:t>
      </w:r>
      <w:r w:rsidR="00D77E1A">
        <w:rPr>
          <w:sz w:val="24"/>
          <w:szCs w:val="24"/>
        </w:rPr>
        <w:t>to -5</w:t>
      </w:r>
      <w:r w:rsidR="001E5877">
        <w:rPr>
          <w:sz w:val="24"/>
          <w:szCs w:val="24"/>
        </w:rPr>
        <w:t xml:space="preserve">.3, showing on average that companies were paying out more in dividends than they are taking in revenue. </w:t>
      </w:r>
      <w:r w:rsidR="007D1300">
        <w:rPr>
          <w:sz w:val="24"/>
          <w:szCs w:val="24"/>
        </w:rPr>
        <w:t xml:space="preserve">Dividend Yield continued to decline between 2020 to 2021 to 2.9%, however both dividend related ratios should be treated with caution due to </w:t>
      </w:r>
      <w:r w:rsidR="004D5904">
        <w:rPr>
          <w:sz w:val="24"/>
          <w:szCs w:val="24"/>
        </w:rPr>
        <w:t xml:space="preserve">companies cancelling dividend payments due to the impact of the COVID-19. </w:t>
      </w:r>
      <w:r w:rsidR="00270CAE">
        <w:rPr>
          <w:sz w:val="24"/>
          <w:szCs w:val="24"/>
        </w:rPr>
        <w:t xml:space="preserve">The P/E ratio showed a </w:t>
      </w:r>
      <w:r w:rsidR="001F53EA">
        <w:rPr>
          <w:sz w:val="24"/>
          <w:szCs w:val="24"/>
        </w:rPr>
        <w:t>substantial</w:t>
      </w:r>
      <w:r w:rsidR="00270CAE">
        <w:rPr>
          <w:sz w:val="24"/>
          <w:szCs w:val="24"/>
        </w:rPr>
        <w:t xml:space="preserve"> decline between 2020 and 2021, </w:t>
      </w:r>
      <w:r w:rsidR="001F53EA">
        <w:rPr>
          <w:sz w:val="24"/>
          <w:szCs w:val="24"/>
        </w:rPr>
        <w:t xml:space="preserve">however deeper sectorial analysis shows that the 2020 figure was skewed by a single industry. </w:t>
      </w:r>
      <w:r w:rsidR="00F024D0">
        <w:rPr>
          <w:sz w:val="24"/>
          <w:szCs w:val="24"/>
        </w:rPr>
        <w:t>Gearing held at a steady level between 2019 and 2020</w:t>
      </w:r>
      <w:r w:rsidR="004E42FB">
        <w:rPr>
          <w:sz w:val="24"/>
          <w:szCs w:val="24"/>
        </w:rPr>
        <w:t xml:space="preserve"> at 17%, before declining in 2021 to 14.6%; showing companies maintaining borrowing throughout the COVID-19 impact, before beginning to reduce their borrowings </w:t>
      </w:r>
      <w:r w:rsidR="00326A68">
        <w:rPr>
          <w:sz w:val="24"/>
          <w:szCs w:val="24"/>
        </w:rPr>
        <w:t xml:space="preserve">during recovery in 2021. </w:t>
      </w:r>
    </w:p>
    <w:p w14:paraId="0B087073" w14:textId="4665B364" w:rsidR="00844331" w:rsidRDefault="00326A68" w:rsidP="008D6AC5">
      <w:pPr>
        <w:spacing w:line="480" w:lineRule="auto"/>
        <w:jc w:val="both"/>
        <w:rPr>
          <w:sz w:val="24"/>
          <w:szCs w:val="24"/>
        </w:rPr>
      </w:pPr>
      <w:r>
        <w:rPr>
          <w:sz w:val="24"/>
          <w:szCs w:val="24"/>
        </w:rPr>
        <w:t xml:space="preserve">The overall </w:t>
      </w:r>
      <w:r w:rsidR="00046937">
        <w:rPr>
          <w:sz w:val="24"/>
          <w:szCs w:val="24"/>
        </w:rPr>
        <w:t xml:space="preserve">“general” </w:t>
      </w:r>
      <w:r>
        <w:rPr>
          <w:sz w:val="24"/>
          <w:szCs w:val="24"/>
        </w:rPr>
        <w:t xml:space="preserve">COVID-19 trend that can be seen </w:t>
      </w:r>
      <w:r w:rsidR="00CD57FE">
        <w:rPr>
          <w:sz w:val="24"/>
          <w:szCs w:val="24"/>
        </w:rPr>
        <w:t xml:space="preserve">across </w:t>
      </w:r>
      <w:r w:rsidR="00A34B2F">
        <w:rPr>
          <w:sz w:val="24"/>
          <w:szCs w:val="24"/>
        </w:rPr>
        <w:t xml:space="preserve">all companies during </w:t>
      </w:r>
      <w:r w:rsidR="00CD57FE">
        <w:rPr>
          <w:sz w:val="24"/>
          <w:szCs w:val="24"/>
        </w:rPr>
        <w:t xml:space="preserve">the 2019 to 2021 years is a </w:t>
      </w:r>
      <w:r w:rsidR="00E16B47">
        <w:rPr>
          <w:sz w:val="24"/>
          <w:szCs w:val="24"/>
        </w:rPr>
        <w:t xml:space="preserve">decline in financial position between 2019 to 2020 as the </w:t>
      </w:r>
      <w:r w:rsidR="00C041AD">
        <w:rPr>
          <w:sz w:val="24"/>
          <w:szCs w:val="24"/>
        </w:rPr>
        <w:t xml:space="preserve">pandemic impacted </w:t>
      </w:r>
      <w:r w:rsidR="00A34B2F">
        <w:rPr>
          <w:sz w:val="24"/>
          <w:szCs w:val="24"/>
        </w:rPr>
        <w:t>performance</w:t>
      </w:r>
      <w:r w:rsidR="00C041AD">
        <w:rPr>
          <w:sz w:val="24"/>
          <w:szCs w:val="24"/>
        </w:rPr>
        <w:t xml:space="preserve"> and market conditions, before a </w:t>
      </w:r>
      <w:r w:rsidR="00A34B2F">
        <w:rPr>
          <w:sz w:val="24"/>
          <w:szCs w:val="24"/>
        </w:rPr>
        <w:t xml:space="preserve">positive recovery in position </w:t>
      </w:r>
      <w:r w:rsidR="00A34B2F">
        <w:rPr>
          <w:sz w:val="24"/>
          <w:szCs w:val="24"/>
        </w:rPr>
        <w:lastRenderedPageBreak/>
        <w:t xml:space="preserve">between 2020 and 2021. </w:t>
      </w:r>
      <w:r w:rsidR="00A36541">
        <w:rPr>
          <w:sz w:val="24"/>
          <w:szCs w:val="24"/>
        </w:rPr>
        <w:t xml:space="preserve">A deeper analysis will now be investigated by comparing the financial ratios for the </w:t>
      </w:r>
      <w:r w:rsidR="00D06C36">
        <w:rPr>
          <w:sz w:val="24"/>
          <w:szCs w:val="24"/>
        </w:rPr>
        <w:t>FTSE 250</w:t>
      </w:r>
      <w:r w:rsidR="00A36541">
        <w:rPr>
          <w:sz w:val="24"/>
          <w:szCs w:val="24"/>
        </w:rPr>
        <w:t xml:space="preserve"> sectors. </w:t>
      </w:r>
    </w:p>
    <w:p w14:paraId="31C3D713" w14:textId="204D2CDF" w:rsidR="001143A2" w:rsidRPr="00212580" w:rsidRDefault="001143A2" w:rsidP="00F121BC">
      <w:pPr>
        <w:spacing w:line="480" w:lineRule="auto"/>
        <w:jc w:val="both"/>
        <w:rPr>
          <w:sz w:val="24"/>
          <w:szCs w:val="24"/>
        </w:rPr>
      </w:pPr>
      <w:r>
        <w:rPr>
          <w:sz w:val="24"/>
          <w:szCs w:val="24"/>
        </w:rPr>
        <w:t>Complete ratio analysis for each individual sector may be found in</w:t>
      </w:r>
      <w:r w:rsidR="005A23F8">
        <w:rPr>
          <w:sz w:val="24"/>
          <w:szCs w:val="24"/>
        </w:rPr>
        <w:t xml:space="preserve"> Appendix 8.5</w:t>
      </w:r>
      <w:r>
        <w:rPr>
          <w:sz w:val="24"/>
          <w:szCs w:val="24"/>
        </w:rPr>
        <w:t xml:space="preserve">. </w:t>
      </w:r>
    </w:p>
    <w:p w14:paraId="46E36303" w14:textId="2227106D" w:rsidR="00195C3B" w:rsidRDefault="00234D2F" w:rsidP="007656AE">
      <w:pPr>
        <w:pStyle w:val="Heading2"/>
        <w:numPr>
          <w:ilvl w:val="1"/>
          <w:numId w:val="3"/>
        </w:numPr>
        <w:spacing w:line="480" w:lineRule="auto"/>
        <w:jc w:val="both"/>
        <w:rPr>
          <w:szCs w:val="24"/>
        </w:rPr>
      </w:pPr>
      <w:bookmarkStart w:id="39" w:name="OLE_LINK12"/>
      <w:bookmarkStart w:id="40" w:name="OLE_LINK13"/>
      <w:bookmarkStart w:id="41" w:name="_Toc141646720"/>
      <w:r>
        <w:rPr>
          <w:szCs w:val="24"/>
        </w:rPr>
        <w:t>Profitability</w:t>
      </w:r>
      <w:bookmarkEnd w:id="41"/>
      <w:r w:rsidR="00EF4B89">
        <w:rPr>
          <w:szCs w:val="24"/>
        </w:rPr>
        <w:t xml:space="preserve"> </w:t>
      </w:r>
    </w:p>
    <w:p w14:paraId="2018EE69" w14:textId="5356CF2A" w:rsidR="00315AC2" w:rsidRDefault="000B2863" w:rsidP="007656AE">
      <w:pPr>
        <w:pStyle w:val="Heading3"/>
        <w:numPr>
          <w:ilvl w:val="2"/>
          <w:numId w:val="3"/>
        </w:numPr>
        <w:rPr>
          <w:szCs w:val="24"/>
        </w:rPr>
      </w:pPr>
      <w:bookmarkStart w:id="42" w:name="_Toc141646721"/>
      <w:r>
        <w:rPr>
          <w:noProof/>
        </w:rPr>
        <w:drawing>
          <wp:anchor distT="0" distB="0" distL="114300" distR="114300" simplePos="0" relativeHeight="251658242" behindDoc="0" locked="0" layoutInCell="1" allowOverlap="1" wp14:anchorId="49B63B55" wp14:editId="33AD8915">
            <wp:simplePos x="0" y="0"/>
            <wp:positionH relativeFrom="margin">
              <wp:align>center</wp:align>
            </wp:positionH>
            <wp:positionV relativeFrom="paragraph">
              <wp:posOffset>501650</wp:posOffset>
            </wp:positionV>
            <wp:extent cx="6696000" cy="3852000"/>
            <wp:effectExtent l="0" t="0" r="0" b="0"/>
            <wp:wrapTopAndBottom/>
            <wp:docPr id="1350232725" name="Chart 1">
              <a:extLst xmlns:a="http://schemas.openxmlformats.org/drawingml/2006/main">
                <a:ext uri="{FF2B5EF4-FFF2-40B4-BE49-F238E27FC236}">
                  <a16:creationId xmlns:a16="http://schemas.microsoft.com/office/drawing/2014/main" id="{DC41913E-6E33-D0A1-DA6F-CE8677B364C8}"/>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8"/>
              </a:graphicData>
            </a:graphic>
            <wp14:sizeRelH relativeFrom="page">
              <wp14:pctWidth>0</wp14:pctWidth>
            </wp14:sizeRelH>
            <wp14:sizeRelV relativeFrom="page">
              <wp14:pctHeight>0</wp14:pctHeight>
            </wp14:sizeRelV>
          </wp:anchor>
        </w:drawing>
      </w:r>
      <w:r w:rsidR="0045324A">
        <w:rPr>
          <w:szCs w:val="24"/>
        </w:rPr>
        <w:t xml:space="preserve">Gross </w:t>
      </w:r>
      <w:r w:rsidR="002B0914">
        <w:rPr>
          <w:szCs w:val="24"/>
        </w:rPr>
        <w:t>Margin</w:t>
      </w:r>
      <w:bookmarkEnd w:id="42"/>
    </w:p>
    <w:p w14:paraId="6C7CFC8E" w14:textId="5729E0BA" w:rsidR="00390D74" w:rsidRPr="000F2693" w:rsidRDefault="00403A94" w:rsidP="00C7156C">
      <w:pPr>
        <w:spacing w:line="480" w:lineRule="auto"/>
        <w:rPr>
          <w:b/>
          <w:bCs/>
          <w:sz w:val="18"/>
          <w:szCs w:val="18"/>
        </w:rPr>
      </w:pPr>
      <w:r w:rsidRPr="000F2693">
        <w:rPr>
          <w:b/>
          <w:bCs/>
          <w:sz w:val="18"/>
          <w:szCs w:val="18"/>
        </w:rPr>
        <w:t xml:space="preserve">Figure 3. </w:t>
      </w:r>
      <w:r w:rsidR="0011042C" w:rsidRPr="000F2693">
        <w:rPr>
          <w:b/>
          <w:bCs/>
          <w:sz w:val="18"/>
          <w:szCs w:val="18"/>
        </w:rPr>
        <w:t xml:space="preserve">Gross Margin financial ratio results for all </w:t>
      </w:r>
      <w:r w:rsidR="00D06C36">
        <w:rPr>
          <w:b/>
          <w:bCs/>
          <w:sz w:val="18"/>
          <w:szCs w:val="18"/>
        </w:rPr>
        <w:t>FTSE 250</w:t>
      </w:r>
      <w:r w:rsidR="0011042C" w:rsidRPr="000F2693">
        <w:rPr>
          <w:b/>
          <w:bCs/>
          <w:sz w:val="18"/>
          <w:szCs w:val="18"/>
        </w:rPr>
        <w:t xml:space="preserve"> industry sectors between 2019 and 2021. </w:t>
      </w:r>
    </w:p>
    <w:p w14:paraId="104D599A" w14:textId="3A207C42" w:rsidR="00513C92" w:rsidRPr="00390D74" w:rsidRDefault="0026009A" w:rsidP="00C7156C">
      <w:pPr>
        <w:spacing w:line="480" w:lineRule="auto"/>
        <w:jc w:val="both"/>
      </w:pPr>
      <w:bookmarkStart w:id="43" w:name="OLE_LINK5"/>
      <w:r>
        <w:rPr>
          <w:sz w:val="24"/>
          <w:szCs w:val="24"/>
        </w:rPr>
        <w:t>Gross profit margin</w:t>
      </w:r>
      <w:r w:rsidR="006924E7">
        <w:rPr>
          <w:sz w:val="24"/>
          <w:szCs w:val="24"/>
        </w:rPr>
        <w:t xml:space="preserve"> </w:t>
      </w:r>
      <w:r>
        <w:rPr>
          <w:sz w:val="24"/>
          <w:szCs w:val="24"/>
        </w:rPr>
        <w:t xml:space="preserve">in </w:t>
      </w:r>
      <w:r w:rsidR="008A1347">
        <w:rPr>
          <w:sz w:val="24"/>
          <w:szCs w:val="24"/>
        </w:rPr>
        <w:t xml:space="preserve">measure of </w:t>
      </w:r>
      <w:r w:rsidR="004F00DA">
        <w:rPr>
          <w:sz w:val="24"/>
          <w:szCs w:val="24"/>
        </w:rPr>
        <w:t xml:space="preserve">a </w:t>
      </w:r>
      <w:r w:rsidR="00443150">
        <w:rPr>
          <w:sz w:val="24"/>
          <w:szCs w:val="24"/>
        </w:rPr>
        <w:t>compan</w:t>
      </w:r>
      <w:r w:rsidR="00D87F4D">
        <w:rPr>
          <w:sz w:val="24"/>
          <w:szCs w:val="24"/>
        </w:rPr>
        <w:t>y’s</w:t>
      </w:r>
      <w:r w:rsidR="004F00DA">
        <w:rPr>
          <w:sz w:val="24"/>
          <w:szCs w:val="24"/>
        </w:rPr>
        <w:t xml:space="preserve"> profitability and indicates how much money </w:t>
      </w:r>
      <w:r w:rsidR="005717FC">
        <w:rPr>
          <w:sz w:val="24"/>
          <w:szCs w:val="24"/>
        </w:rPr>
        <w:t>remains after t</w:t>
      </w:r>
      <w:bookmarkEnd w:id="43"/>
      <w:r w:rsidR="005717FC">
        <w:rPr>
          <w:sz w:val="24"/>
          <w:szCs w:val="24"/>
        </w:rPr>
        <w:t xml:space="preserve">he </w:t>
      </w:r>
      <w:r w:rsidR="004D380A">
        <w:rPr>
          <w:sz w:val="24"/>
          <w:szCs w:val="24"/>
        </w:rPr>
        <w:t xml:space="preserve">removal of the </w:t>
      </w:r>
      <w:r w:rsidR="00443150">
        <w:rPr>
          <w:sz w:val="24"/>
          <w:szCs w:val="24"/>
        </w:rPr>
        <w:t>compan</w:t>
      </w:r>
      <w:r w:rsidR="00D87F4D">
        <w:rPr>
          <w:sz w:val="24"/>
          <w:szCs w:val="24"/>
        </w:rPr>
        <w:t>y’s</w:t>
      </w:r>
      <w:r w:rsidR="004D380A">
        <w:rPr>
          <w:sz w:val="24"/>
          <w:szCs w:val="24"/>
        </w:rPr>
        <w:t xml:space="preserve"> direct costs</w:t>
      </w:r>
      <w:r w:rsidR="002E1677">
        <w:rPr>
          <w:sz w:val="24"/>
          <w:szCs w:val="24"/>
        </w:rPr>
        <w:t xml:space="preserve"> (Figure 3.)</w:t>
      </w:r>
      <w:r w:rsidR="004D380A">
        <w:rPr>
          <w:sz w:val="24"/>
          <w:szCs w:val="24"/>
        </w:rPr>
        <w:t>.</w:t>
      </w:r>
      <w:r w:rsidR="005B1AE9">
        <w:rPr>
          <w:sz w:val="24"/>
          <w:szCs w:val="24"/>
        </w:rPr>
        <w:t xml:space="preserve"> </w:t>
      </w:r>
      <w:r w:rsidR="00CE0DBC">
        <w:rPr>
          <w:sz w:val="24"/>
          <w:szCs w:val="24"/>
        </w:rPr>
        <w:t xml:space="preserve">Some industries showed a more stable gross profit margin than others over the 3 years </w:t>
      </w:r>
      <w:r w:rsidR="007A3DF0">
        <w:rPr>
          <w:sz w:val="24"/>
          <w:szCs w:val="24"/>
        </w:rPr>
        <w:t>analysed</w:t>
      </w:r>
      <w:r w:rsidR="00CE0DBC">
        <w:rPr>
          <w:sz w:val="24"/>
          <w:szCs w:val="24"/>
        </w:rPr>
        <w:t>.</w:t>
      </w:r>
      <w:r w:rsidR="004D380A">
        <w:rPr>
          <w:sz w:val="24"/>
          <w:szCs w:val="24"/>
        </w:rPr>
        <w:t xml:space="preserve"> </w:t>
      </w:r>
      <w:r w:rsidR="00004035">
        <w:rPr>
          <w:sz w:val="24"/>
          <w:szCs w:val="24"/>
        </w:rPr>
        <w:t xml:space="preserve">The financial sector </w:t>
      </w:r>
      <w:r w:rsidR="002B0914">
        <w:rPr>
          <w:sz w:val="24"/>
          <w:szCs w:val="24"/>
        </w:rPr>
        <w:t>had a consistently high gross profit margin</w:t>
      </w:r>
      <w:r w:rsidR="00C7156C">
        <w:rPr>
          <w:sz w:val="24"/>
          <w:szCs w:val="24"/>
        </w:rPr>
        <w:t xml:space="preserve"> with values between </w:t>
      </w:r>
      <w:r w:rsidR="00292596">
        <w:rPr>
          <w:sz w:val="24"/>
          <w:szCs w:val="24"/>
        </w:rPr>
        <w:t xml:space="preserve">10 percentage points above </w:t>
      </w:r>
      <w:r w:rsidR="001557C6">
        <w:rPr>
          <w:sz w:val="24"/>
          <w:szCs w:val="24"/>
        </w:rPr>
        <w:t xml:space="preserve">the nearest sector (Real Estate). </w:t>
      </w:r>
      <w:r w:rsidR="007C03A0">
        <w:rPr>
          <w:sz w:val="24"/>
          <w:szCs w:val="24"/>
        </w:rPr>
        <w:t>The t</w:t>
      </w:r>
      <w:r w:rsidR="002B01FE">
        <w:rPr>
          <w:sz w:val="24"/>
          <w:szCs w:val="24"/>
        </w:rPr>
        <w:t>ele</w:t>
      </w:r>
      <w:r w:rsidR="007C03A0">
        <w:rPr>
          <w:sz w:val="24"/>
          <w:szCs w:val="24"/>
        </w:rPr>
        <w:t xml:space="preserve">communications sector </w:t>
      </w:r>
      <w:r w:rsidR="0097448E">
        <w:rPr>
          <w:sz w:val="24"/>
          <w:szCs w:val="24"/>
        </w:rPr>
        <w:t xml:space="preserve">maintained the most stable gross margin across 2019-2021 period </w:t>
      </w:r>
      <w:r w:rsidR="00D40C7D">
        <w:rPr>
          <w:sz w:val="24"/>
          <w:szCs w:val="24"/>
        </w:rPr>
        <w:t xml:space="preserve">with a range between </w:t>
      </w:r>
      <w:r w:rsidR="0058795B">
        <w:rPr>
          <w:sz w:val="24"/>
          <w:szCs w:val="24"/>
        </w:rPr>
        <w:t xml:space="preserve">52.6% and 54.6% with a slight </w:t>
      </w:r>
      <w:r w:rsidR="0058795B">
        <w:rPr>
          <w:sz w:val="24"/>
          <w:szCs w:val="24"/>
        </w:rPr>
        <w:lastRenderedPageBreak/>
        <w:t xml:space="preserve">increase during 2020 followed by a slight decline in 2021, showing a reverse of the </w:t>
      </w:r>
      <w:r w:rsidR="00493420">
        <w:rPr>
          <w:sz w:val="24"/>
          <w:szCs w:val="24"/>
        </w:rPr>
        <w:t xml:space="preserve">general trend over the </w:t>
      </w:r>
      <w:r w:rsidR="00125266">
        <w:rPr>
          <w:sz w:val="24"/>
          <w:szCs w:val="24"/>
        </w:rPr>
        <w:t>3-year</w:t>
      </w:r>
      <w:r w:rsidR="00493420">
        <w:rPr>
          <w:sz w:val="24"/>
          <w:szCs w:val="24"/>
        </w:rPr>
        <w:t xml:space="preserve"> period. </w:t>
      </w:r>
      <w:r w:rsidR="007C03A0">
        <w:rPr>
          <w:sz w:val="24"/>
          <w:szCs w:val="24"/>
        </w:rPr>
        <w:t xml:space="preserve"> </w:t>
      </w:r>
      <w:r w:rsidR="00F97F10">
        <w:rPr>
          <w:sz w:val="24"/>
          <w:szCs w:val="24"/>
        </w:rPr>
        <w:t xml:space="preserve">The utilities, basic materials and health care sectors </w:t>
      </w:r>
      <w:r w:rsidR="00BF7A22">
        <w:rPr>
          <w:sz w:val="24"/>
          <w:szCs w:val="24"/>
        </w:rPr>
        <w:t xml:space="preserve">also demonstrated </w:t>
      </w:r>
      <w:r w:rsidR="00AE7534">
        <w:rPr>
          <w:sz w:val="24"/>
          <w:szCs w:val="24"/>
        </w:rPr>
        <w:t xml:space="preserve">variance from the general 2019-2021 trend. </w:t>
      </w:r>
      <w:r w:rsidR="00942D07">
        <w:rPr>
          <w:sz w:val="24"/>
          <w:szCs w:val="24"/>
        </w:rPr>
        <w:t>The u</w:t>
      </w:r>
      <w:r w:rsidR="00B17946">
        <w:rPr>
          <w:sz w:val="24"/>
          <w:szCs w:val="24"/>
        </w:rPr>
        <w:t>tilities</w:t>
      </w:r>
      <w:r w:rsidR="00942D07">
        <w:rPr>
          <w:sz w:val="24"/>
          <w:szCs w:val="24"/>
        </w:rPr>
        <w:t xml:space="preserve"> sector</w:t>
      </w:r>
      <w:r w:rsidR="00B17946">
        <w:rPr>
          <w:sz w:val="24"/>
          <w:szCs w:val="24"/>
        </w:rPr>
        <w:t xml:space="preserve"> showed an increase </w:t>
      </w:r>
      <w:r w:rsidR="00000A32">
        <w:rPr>
          <w:sz w:val="24"/>
          <w:szCs w:val="24"/>
        </w:rPr>
        <w:t>of 4.3</w:t>
      </w:r>
      <w:r w:rsidR="009D6D7B">
        <w:rPr>
          <w:sz w:val="24"/>
          <w:szCs w:val="24"/>
        </w:rPr>
        <w:t>% from 18.8% in 2019 to 23.1% in 2020, before a decline</w:t>
      </w:r>
      <w:r w:rsidR="009E1734">
        <w:rPr>
          <w:sz w:val="24"/>
          <w:szCs w:val="24"/>
        </w:rPr>
        <w:t xml:space="preserve"> of </w:t>
      </w:r>
      <w:r w:rsidR="00FE3F3A">
        <w:rPr>
          <w:sz w:val="24"/>
          <w:szCs w:val="24"/>
        </w:rPr>
        <w:t>7.1%</w:t>
      </w:r>
      <w:r w:rsidR="009D6D7B">
        <w:rPr>
          <w:sz w:val="24"/>
          <w:szCs w:val="24"/>
        </w:rPr>
        <w:t xml:space="preserve"> to </w:t>
      </w:r>
      <w:r w:rsidR="009E1734">
        <w:rPr>
          <w:sz w:val="24"/>
          <w:szCs w:val="24"/>
        </w:rPr>
        <w:t>16%</w:t>
      </w:r>
      <w:r w:rsidR="00AE7534">
        <w:rPr>
          <w:sz w:val="24"/>
          <w:szCs w:val="24"/>
        </w:rPr>
        <w:t xml:space="preserve"> </w:t>
      </w:r>
      <w:r w:rsidR="00FE3F3A">
        <w:rPr>
          <w:sz w:val="24"/>
          <w:szCs w:val="24"/>
        </w:rPr>
        <w:t xml:space="preserve">in 2021. </w:t>
      </w:r>
      <w:r w:rsidR="00942D07">
        <w:rPr>
          <w:sz w:val="24"/>
          <w:szCs w:val="24"/>
        </w:rPr>
        <w:t xml:space="preserve">The healthcare sector </w:t>
      </w:r>
      <w:r w:rsidR="00561426">
        <w:rPr>
          <w:sz w:val="24"/>
          <w:szCs w:val="24"/>
        </w:rPr>
        <w:t>showed a</w:t>
      </w:r>
      <w:r w:rsidR="00AF4022">
        <w:rPr>
          <w:sz w:val="24"/>
          <w:szCs w:val="24"/>
        </w:rPr>
        <w:t xml:space="preserve">n </w:t>
      </w:r>
      <w:r w:rsidR="00561426">
        <w:rPr>
          <w:sz w:val="24"/>
          <w:szCs w:val="24"/>
        </w:rPr>
        <w:t xml:space="preserve">increase of </w:t>
      </w:r>
      <w:r w:rsidR="00AF4022">
        <w:rPr>
          <w:sz w:val="24"/>
          <w:szCs w:val="24"/>
        </w:rPr>
        <w:t xml:space="preserve">4.4% between </w:t>
      </w:r>
      <w:r w:rsidR="00A5375F">
        <w:rPr>
          <w:sz w:val="24"/>
          <w:szCs w:val="24"/>
        </w:rPr>
        <w:t>2019 and 2020, remaining at a similar level for 2021 at 53.4%</w:t>
      </w:r>
      <w:r w:rsidR="00942D07">
        <w:rPr>
          <w:sz w:val="24"/>
          <w:szCs w:val="24"/>
        </w:rPr>
        <w:t>.</w:t>
      </w:r>
      <w:r w:rsidR="00A5375F">
        <w:rPr>
          <w:sz w:val="24"/>
          <w:szCs w:val="24"/>
        </w:rPr>
        <w:t xml:space="preserve"> The basic materials sector was the only sector to show a continual year-on-year growth </w:t>
      </w:r>
      <w:r w:rsidR="002039FF">
        <w:rPr>
          <w:sz w:val="24"/>
          <w:szCs w:val="24"/>
        </w:rPr>
        <w:t>between 2019-2021</w:t>
      </w:r>
      <w:r w:rsidR="004478F4">
        <w:rPr>
          <w:sz w:val="24"/>
          <w:szCs w:val="24"/>
        </w:rPr>
        <w:t xml:space="preserve"> increasing from </w:t>
      </w:r>
      <w:r w:rsidR="0080198B">
        <w:rPr>
          <w:sz w:val="24"/>
          <w:szCs w:val="24"/>
        </w:rPr>
        <w:t>33.6% to 35.8%</w:t>
      </w:r>
      <w:r w:rsidR="002039FF">
        <w:rPr>
          <w:sz w:val="24"/>
          <w:szCs w:val="24"/>
        </w:rPr>
        <w:t>.</w:t>
      </w:r>
      <w:r w:rsidR="00CE0DBC">
        <w:rPr>
          <w:sz w:val="24"/>
          <w:szCs w:val="24"/>
        </w:rPr>
        <w:t xml:space="preserve"> </w:t>
      </w:r>
      <w:r w:rsidR="00FE0233">
        <w:rPr>
          <w:sz w:val="24"/>
          <w:szCs w:val="24"/>
        </w:rPr>
        <w:t>The consumer discretionary sector showed an annual decline</w:t>
      </w:r>
      <w:r w:rsidR="00DA58FE">
        <w:rPr>
          <w:sz w:val="24"/>
          <w:szCs w:val="24"/>
        </w:rPr>
        <w:t xml:space="preserve"> of 9.2% between 201</w:t>
      </w:r>
      <w:r w:rsidR="001D180B">
        <w:rPr>
          <w:sz w:val="24"/>
          <w:szCs w:val="24"/>
        </w:rPr>
        <w:t xml:space="preserve">9 and 2020, and a smaller decrease of </w:t>
      </w:r>
      <w:r w:rsidR="003E3F97">
        <w:rPr>
          <w:sz w:val="24"/>
          <w:szCs w:val="24"/>
        </w:rPr>
        <w:t>1.3% between 2020 and 2021</w:t>
      </w:r>
      <w:r w:rsidR="00405A96">
        <w:rPr>
          <w:sz w:val="24"/>
          <w:szCs w:val="24"/>
        </w:rPr>
        <w:t xml:space="preserve"> with a total change</w:t>
      </w:r>
      <w:r w:rsidR="00FE0233">
        <w:rPr>
          <w:sz w:val="24"/>
          <w:szCs w:val="24"/>
        </w:rPr>
        <w:t xml:space="preserve"> </w:t>
      </w:r>
      <w:r w:rsidR="001B6B2D">
        <w:rPr>
          <w:sz w:val="24"/>
          <w:szCs w:val="24"/>
        </w:rPr>
        <w:t>from 36.1% to 25.6% over the</w:t>
      </w:r>
      <w:r w:rsidR="00536995">
        <w:rPr>
          <w:sz w:val="24"/>
          <w:szCs w:val="24"/>
        </w:rPr>
        <w:t xml:space="preserve"> </w:t>
      </w:r>
      <w:r w:rsidR="00ED445A">
        <w:rPr>
          <w:sz w:val="24"/>
          <w:szCs w:val="24"/>
        </w:rPr>
        <w:t>3-year period</w:t>
      </w:r>
      <w:r w:rsidR="00405A96">
        <w:rPr>
          <w:sz w:val="24"/>
          <w:szCs w:val="24"/>
        </w:rPr>
        <w:t xml:space="preserve">. </w:t>
      </w:r>
      <w:r w:rsidR="00942D07">
        <w:rPr>
          <w:sz w:val="24"/>
          <w:szCs w:val="24"/>
        </w:rPr>
        <w:t xml:space="preserve"> </w:t>
      </w:r>
    </w:p>
    <w:p w14:paraId="5DB525F0" w14:textId="336E92E5" w:rsidR="00315AC2" w:rsidRDefault="000F2693" w:rsidP="007656AE">
      <w:pPr>
        <w:pStyle w:val="Heading3"/>
        <w:numPr>
          <w:ilvl w:val="2"/>
          <w:numId w:val="3"/>
        </w:numPr>
        <w:rPr>
          <w:szCs w:val="24"/>
        </w:rPr>
      </w:pPr>
      <w:bookmarkStart w:id="44" w:name="_Toc141646722"/>
      <w:r>
        <w:rPr>
          <w:noProof/>
        </w:rPr>
        <w:drawing>
          <wp:anchor distT="0" distB="0" distL="114300" distR="114300" simplePos="0" relativeHeight="251658243" behindDoc="0" locked="0" layoutInCell="1" allowOverlap="1" wp14:anchorId="00B6066E" wp14:editId="7A0F7585">
            <wp:simplePos x="0" y="0"/>
            <wp:positionH relativeFrom="margin">
              <wp:posOffset>-483235</wp:posOffset>
            </wp:positionH>
            <wp:positionV relativeFrom="paragraph">
              <wp:posOffset>348615</wp:posOffset>
            </wp:positionV>
            <wp:extent cx="6696000" cy="3852000"/>
            <wp:effectExtent l="0" t="0" r="0" b="0"/>
            <wp:wrapTopAndBottom/>
            <wp:docPr id="1286681179" name="Chart 1">
              <a:extLst xmlns:a="http://schemas.openxmlformats.org/drawingml/2006/main">
                <a:ext uri="{FF2B5EF4-FFF2-40B4-BE49-F238E27FC236}">
                  <a16:creationId xmlns:a16="http://schemas.microsoft.com/office/drawing/2014/main" id="{C3461BCF-6D71-5D49-991B-113D3FC1B138}"/>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9"/>
              </a:graphicData>
            </a:graphic>
            <wp14:sizeRelH relativeFrom="page">
              <wp14:pctWidth>0</wp14:pctWidth>
            </wp14:sizeRelH>
            <wp14:sizeRelV relativeFrom="page">
              <wp14:pctHeight>0</wp14:pctHeight>
            </wp14:sizeRelV>
          </wp:anchor>
        </w:drawing>
      </w:r>
      <w:r w:rsidR="00315AC2">
        <w:rPr>
          <w:szCs w:val="24"/>
        </w:rPr>
        <w:t>Cost of Sales</w:t>
      </w:r>
      <w:bookmarkEnd w:id="44"/>
    </w:p>
    <w:p w14:paraId="63C11521" w14:textId="021F7A79" w:rsidR="000F2693" w:rsidRPr="000F2693" w:rsidRDefault="000F2693" w:rsidP="000F2693">
      <w:pPr>
        <w:spacing w:line="480" w:lineRule="auto"/>
        <w:rPr>
          <w:b/>
          <w:bCs/>
          <w:sz w:val="18"/>
          <w:szCs w:val="18"/>
        </w:rPr>
      </w:pPr>
      <w:r w:rsidRPr="000F2693">
        <w:rPr>
          <w:b/>
          <w:bCs/>
          <w:sz w:val="18"/>
          <w:szCs w:val="18"/>
        </w:rPr>
        <w:t xml:space="preserve">Figure </w:t>
      </w:r>
      <w:r>
        <w:rPr>
          <w:b/>
          <w:bCs/>
          <w:sz w:val="18"/>
          <w:szCs w:val="18"/>
        </w:rPr>
        <w:t>4</w:t>
      </w:r>
      <w:r w:rsidRPr="000F2693">
        <w:rPr>
          <w:b/>
          <w:bCs/>
          <w:sz w:val="18"/>
          <w:szCs w:val="18"/>
        </w:rPr>
        <w:t xml:space="preserve">. </w:t>
      </w:r>
      <w:r>
        <w:rPr>
          <w:b/>
          <w:bCs/>
          <w:sz w:val="18"/>
          <w:szCs w:val="18"/>
        </w:rPr>
        <w:t>Cost of Sales</w:t>
      </w:r>
      <w:r w:rsidRPr="000F2693">
        <w:rPr>
          <w:b/>
          <w:bCs/>
          <w:sz w:val="18"/>
          <w:szCs w:val="18"/>
        </w:rPr>
        <w:t xml:space="preserve"> financial ratio results for all </w:t>
      </w:r>
      <w:r w:rsidR="00D06C36">
        <w:rPr>
          <w:b/>
          <w:bCs/>
          <w:sz w:val="18"/>
          <w:szCs w:val="18"/>
        </w:rPr>
        <w:t>FTSE 250</w:t>
      </w:r>
      <w:r w:rsidRPr="000F2693">
        <w:rPr>
          <w:b/>
          <w:bCs/>
          <w:sz w:val="18"/>
          <w:szCs w:val="18"/>
        </w:rPr>
        <w:t xml:space="preserve"> industry sectors between 2019 and 2021. </w:t>
      </w:r>
    </w:p>
    <w:p w14:paraId="35D9C19B" w14:textId="0A2B1FC6" w:rsidR="00B84879" w:rsidRDefault="00B84879" w:rsidP="00B84879">
      <w:pPr>
        <w:spacing w:line="480" w:lineRule="auto"/>
        <w:jc w:val="both"/>
        <w:rPr>
          <w:sz w:val="24"/>
          <w:szCs w:val="24"/>
        </w:rPr>
      </w:pPr>
    </w:p>
    <w:p w14:paraId="673C0392" w14:textId="460499E6" w:rsidR="00871DE5" w:rsidRPr="00871DE5" w:rsidRDefault="001A6F79" w:rsidP="00B84879">
      <w:pPr>
        <w:spacing w:line="480" w:lineRule="auto"/>
        <w:jc w:val="both"/>
      </w:pPr>
      <w:bookmarkStart w:id="45" w:name="OLE_LINK6"/>
      <w:r>
        <w:rPr>
          <w:sz w:val="24"/>
          <w:szCs w:val="24"/>
        </w:rPr>
        <w:lastRenderedPageBreak/>
        <w:t xml:space="preserve">The cost </w:t>
      </w:r>
      <w:bookmarkEnd w:id="45"/>
      <w:r>
        <w:rPr>
          <w:sz w:val="24"/>
          <w:szCs w:val="24"/>
        </w:rPr>
        <w:t xml:space="preserve">of sales ratio shows the percentage of revenue that the </w:t>
      </w:r>
      <w:r w:rsidR="00443150">
        <w:rPr>
          <w:sz w:val="24"/>
          <w:szCs w:val="24"/>
        </w:rPr>
        <w:t>compan</w:t>
      </w:r>
      <w:r w:rsidR="00772715">
        <w:rPr>
          <w:sz w:val="24"/>
          <w:szCs w:val="24"/>
        </w:rPr>
        <w:t>y</w:t>
      </w:r>
      <w:r>
        <w:rPr>
          <w:sz w:val="24"/>
          <w:szCs w:val="24"/>
        </w:rPr>
        <w:t xml:space="preserve"> </w:t>
      </w:r>
      <w:r w:rsidR="002B75E3">
        <w:rPr>
          <w:sz w:val="24"/>
          <w:szCs w:val="24"/>
        </w:rPr>
        <w:t>spend</w:t>
      </w:r>
      <w:r w:rsidR="00772715">
        <w:rPr>
          <w:sz w:val="24"/>
          <w:szCs w:val="24"/>
        </w:rPr>
        <w:t>s</w:t>
      </w:r>
      <w:r w:rsidR="002B75E3">
        <w:rPr>
          <w:sz w:val="24"/>
          <w:szCs w:val="24"/>
        </w:rPr>
        <w:t xml:space="preserve"> on producing and delivering its products or services</w:t>
      </w:r>
      <w:r w:rsidR="002E1677">
        <w:rPr>
          <w:sz w:val="24"/>
          <w:szCs w:val="24"/>
        </w:rPr>
        <w:t xml:space="preserve"> (Figure 4.)</w:t>
      </w:r>
      <w:r w:rsidR="00740FE1">
        <w:rPr>
          <w:sz w:val="24"/>
          <w:szCs w:val="24"/>
        </w:rPr>
        <w:t xml:space="preserve">. </w:t>
      </w:r>
      <w:r w:rsidR="00F4579A">
        <w:rPr>
          <w:sz w:val="24"/>
          <w:szCs w:val="24"/>
        </w:rPr>
        <w:t>Most sectors show relatively little change in their cost of sales over the 2019-202</w:t>
      </w:r>
      <w:r w:rsidR="00575F6E">
        <w:rPr>
          <w:sz w:val="24"/>
          <w:szCs w:val="24"/>
        </w:rPr>
        <w:t>1</w:t>
      </w:r>
      <w:r w:rsidR="00F4579A">
        <w:rPr>
          <w:sz w:val="24"/>
          <w:szCs w:val="24"/>
        </w:rPr>
        <w:t xml:space="preserve"> period</w:t>
      </w:r>
      <w:r w:rsidR="008156FA">
        <w:rPr>
          <w:sz w:val="24"/>
          <w:szCs w:val="24"/>
        </w:rPr>
        <w:t>, with the exception of the energy secto</w:t>
      </w:r>
      <w:r w:rsidR="00575F6E">
        <w:rPr>
          <w:sz w:val="24"/>
          <w:szCs w:val="24"/>
        </w:rPr>
        <w:t>r.</w:t>
      </w:r>
      <w:r w:rsidR="008156FA">
        <w:rPr>
          <w:sz w:val="24"/>
          <w:szCs w:val="24"/>
        </w:rPr>
        <w:t xml:space="preserve"> </w:t>
      </w:r>
      <w:r w:rsidR="00575F6E">
        <w:rPr>
          <w:sz w:val="24"/>
          <w:szCs w:val="24"/>
        </w:rPr>
        <w:t>This sector</w:t>
      </w:r>
      <w:r w:rsidR="008156FA">
        <w:rPr>
          <w:sz w:val="24"/>
          <w:szCs w:val="24"/>
        </w:rPr>
        <w:t xml:space="preserve"> showed a </w:t>
      </w:r>
      <w:r w:rsidR="007705F3">
        <w:rPr>
          <w:sz w:val="24"/>
          <w:szCs w:val="24"/>
        </w:rPr>
        <w:t>35.8%</w:t>
      </w:r>
      <w:r w:rsidR="00575F6E">
        <w:rPr>
          <w:sz w:val="24"/>
          <w:szCs w:val="24"/>
        </w:rPr>
        <w:t xml:space="preserve"> increase between 2019-2020 from 65.8% to 101.6% of revenue, before showing a </w:t>
      </w:r>
      <w:r w:rsidR="00892A33">
        <w:rPr>
          <w:sz w:val="24"/>
          <w:szCs w:val="24"/>
        </w:rPr>
        <w:t xml:space="preserve">decline of </w:t>
      </w:r>
      <w:r w:rsidR="00C6235E">
        <w:rPr>
          <w:sz w:val="24"/>
          <w:szCs w:val="24"/>
        </w:rPr>
        <w:t xml:space="preserve">30.5% between 2020 to 2021 to </w:t>
      </w:r>
      <w:r w:rsidR="00345595">
        <w:rPr>
          <w:sz w:val="24"/>
          <w:szCs w:val="24"/>
        </w:rPr>
        <w:t xml:space="preserve">71.1% of revenue. This indicates that during the 2020 year that the </w:t>
      </w:r>
      <w:r w:rsidR="00A726A7">
        <w:rPr>
          <w:sz w:val="24"/>
          <w:szCs w:val="24"/>
        </w:rPr>
        <w:t>energy sector had to spend more than its revenue to produce and deliver its products.</w:t>
      </w:r>
      <w:r w:rsidR="00CB32A4">
        <w:rPr>
          <w:sz w:val="24"/>
          <w:szCs w:val="24"/>
        </w:rPr>
        <w:t xml:space="preserve"> Four of the eleven industry sectors</w:t>
      </w:r>
      <w:r w:rsidR="006C0B4D">
        <w:rPr>
          <w:sz w:val="24"/>
          <w:szCs w:val="24"/>
        </w:rPr>
        <w:t xml:space="preserve"> (telecommunications, utilities, basic materials and </w:t>
      </w:r>
      <w:r w:rsidR="005A4955">
        <w:rPr>
          <w:sz w:val="24"/>
          <w:szCs w:val="24"/>
        </w:rPr>
        <w:t>healthcare</w:t>
      </w:r>
      <w:r w:rsidR="006C0B4D">
        <w:rPr>
          <w:sz w:val="24"/>
          <w:szCs w:val="24"/>
        </w:rPr>
        <w:t xml:space="preserve">) demonstrated a decrease in cost of sales </w:t>
      </w:r>
      <w:r w:rsidR="005A4955">
        <w:rPr>
          <w:sz w:val="24"/>
          <w:szCs w:val="24"/>
        </w:rPr>
        <w:t>during the 2020 year.</w:t>
      </w:r>
      <w:r w:rsidR="00ED2280">
        <w:rPr>
          <w:sz w:val="24"/>
          <w:szCs w:val="24"/>
        </w:rPr>
        <w:t xml:space="preserve"> The average </w:t>
      </w:r>
      <w:r w:rsidR="00265AA1">
        <w:rPr>
          <w:sz w:val="24"/>
          <w:szCs w:val="24"/>
        </w:rPr>
        <w:t>cost of sales</w:t>
      </w:r>
      <w:r w:rsidR="00ED61AE">
        <w:rPr>
          <w:sz w:val="24"/>
          <w:szCs w:val="24"/>
        </w:rPr>
        <w:t xml:space="preserve"> across the 3 years analysed</w:t>
      </w:r>
      <w:r w:rsidR="00265AA1">
        <w:rPr>
          <w:sz w:val="24"/>
          <w:szCs w:val="24"/>
        </w:rPr>
        <w:t xml:space="preserve"> for both</w:t>
      </w:r>
      <w:r w:rsidR="00ED61AE">
        <w:rPr>
          <w:sz w:val="24"/>
          <w:szCs w:val="24"/>
        </w:rPr>
        <w:t xml:space="preserve"> the financial</w:t>
      </w:r>
      <w:r w:rsidR="008A2E9C">
        <w:rPr>
          <w:sz w:val="24"/>
          <w:szCs w:val="24"/>
        </w:rPr>
        <w:t xml:space="preserve"> (15.7%)</w:t>
      </w:r>
      <w:r w:rsidR="00ED61AE">
        <w:rPr>
          <w:sz w:val="24"/>
          <w:szCs w:val="24"/>
        </w:rPr>
        <w:t xml:space="preserve"> sector</w:t>
      </w:r>
      <w:r w:rsidR="008A2E9C">
        <w:rPr>
          <w:sz w:val="24"/>
          <w:szCs w:val="24"/>
        </w:rPr>
        <w:t xml:space="preserve"> </w:t>
      </w:r>
      <w:r w:rsidR="008E25C1">
        <w:rPr>
          <w:sz w:val="24"/>
          <w:szCs w:val="24"/>
        </w:rPr>
        <w:t>was</w:t>
      </w:r>
      <w:r w:rsidR="00ED61AE">
        <w:rPr>
          <w:sz w:val="24"/>
          <w:szCs w:val="24"/>
        </w:rPr>
        <w:t xml:space="preserve"> </w:t>
      </w:r>
      <w:r w:rsidR="00A05713">
        <w:rPr>
          <w:sz w:val="24"/>
          <w:szCs w:val="24"/>
        </w:rPr>
        <w:t>lower than for the other sectors investigated (62.5%)</w:t>
      </w:r>
      <w:r w:rsidR="008E25C1">
        <w:rPr>
          <w:sz w:val="24"/>
          <w:szCs w:val="24"/>
        </w:rPr>
        <w:t>; likely due to</w:t>
      </w:r>
      <w:r w:rsidR="00583B18">
        <w:rPr>
          <w:sz w:val="24"/>
          <w:szCs w:val="24"/>
        </w:rPr>
        <w:t xml:space="preserve"> the only cost of sales</w:t>
      </w:r>
      <w:r w:rsidR="00272BA9">
        <w:rPr>
          <w:sz w:val="24"/>
          <w:szCs w:val="24"/>
        </w:rPr>
        <w:t xml:space="preserve"> for this sector being costs related to investment management and customer access. </w:t>
      </w:r>
    </w:p>
    <w:p w14:paraId="55BE0110" w14:textId="77777777" w:rsidR="00D83556" w:rsidRDefault="00D83556">
      <w:pPr>
        <w:rPr>
          <w:rFonts w:eastAsiaTheme="majorEastAsia" w:cstheme="majorBidi"/>
          <w:b/>
          <w:bCs/>
          <w:i/>
          <w:sz w:val="24"/>
          <w:szCs w:val="24"/>
        </w:rPr>
      </w:pPr>
      <w:r>
        <w:rPr>
          <w:szCs w:val="24"/>
        </w:rPr>
        <w:br w:type="page"/>
      </w:r>
    </w:p>
    <w:p w14:paraId="57E2F6DD" w14:textId="519C8877" w:rsidR="00315AC2" w:rsidRDefault="00D83556" w:rsidP="007656AE">
      <w:pPr>
        <w:pStyle w:val="Heading3"/>
        <w:numPr>
          <w:ilvl w:val="2"/>
          <w:numId w:val="3"/>
        </w:numPr>
        <w:rPr>
          <w:szCs w:val="24"/>
        </w:rPr>
      </w:pPr>
      <w:bookmarkStart w:id="46" w:name="_Toc141646723"/>
      <w:r>
        <w:rPr>
          <w:noProof/>
        </w:rPr>
        <w:lastRenderedPageBreak/>
        <w:drawing>
          <wp:anchor distT="0" distB="0" distL="114300" distR="114300" simplePos="0" relativeHeight="251658244" behindDoc="0" locked="0" layoutInCell="1" allowOverlap="1" wp14:anchorId="32D349C9" wp14:editId="640A82DB">
            <wp:simplePos x="0" y="0"/>
            <wp:positionH relativeFrom="margin">
              <wp:posOffset>-481965</wp:posOffset>
            </wp:positionH>
            <wp:positionV relativeFrom="paragraph">
              <wp:posOffset>346221</wp:posOffset>
            </wp:positionV>
            <wp:extent cx="6696000" cy="3852000"/>
            <wp:effectExtent l="0" t="0" r="0" b="0"/>
            <wp:wrapTopAndBottom/>
            <wp:docPr id="2105225146" name="Chart 1">
              <a:extLst xmlns:a="http://schemas.openxmlformats.org/drawingml/2006/main">
                <a:ext uri="{FF2B5EF4-FFF2-40B4-BE49-F238E27FC236}">
                  <a16:creationId xmlns:a16="http://schemas.microsoft.com/office/drawing/2014/main" id="{7585986D-4430-3F41-9DE6-1A623EDACF69}"/>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20"/>
              </a:graphicData>
            </a:graphic>
            <wp14:sizeRelH relativeFrom="page">
              <wp14:pctWidth>0</wp14:pctWidth>
            </wp14:sizeRelH>
            <wp14:sizeRelV relativeFrom="page">
              <wp14:pctHeight>0</wp14:pctHeight>
            </wp14:sizeRelV>
          </wp:anchor>
        </w:drawing>
      </w:r>
      <w:r w:rsidR="00315AC2">
        <w:rPr>
          <w:szCs w:val="24"/>
        </w:rPr>
        <w:t>Tax</w:t>
      </w:r>
      <w:bookmarkEnd w:id="46"/>
    </w:p>
    <w:p w14:paraId="20F9012C" w14:textId="73AF81EA" w:rsidR="0076336F" w:rsidRPr="00D83556" w:rsidRDefault="00D83556" w:rsidP="0076336F">
      <w:pPr>
        <w:spacing w:line="480" w:lineRule="auto"/>
        <w:rPr>
          <w:b/>
          <w:bCs/>
          <w:sz w:val="18"/>
          <w:szCs w:val="18"/>
        </w:rPr>
      </w:pPr>
      <w:r w:rsidRPr="00D83556">
        <w:rPr>
          <w:b/>
          <w:bCs/>
          <w:sz w:val="18"/>
          <w:szCs w:val="18"/>
        </w:rPr>
        <w:t xml:space="preserve">Figure </w:t>
      </w:r>
      <w:r>
        <w:rPr>
          <w:b/>
          <w:bCs/>
          <w:sz w:val="18"/>
          <w:szCs w:val="18"/>
        </w:rPr>
        <w:t>5</w:t>
      </w:r>
      <w:r w:rsidRPr="00D83556">
        <w:rPr>
          <w:b/>
          <w:bCs/>
          <w:sz w:val="18"/>
          <w:szCs w:val="18"/>
        </w:rPr>
        <w:t xml:space="preserve">. </w:t>
      </w:r>
      <w:r>
        <w:rPr>
          <w:b/>
          <w:bCs/>
          <w:sz w:val="18"/>
          <w:szCs w:val="18"/>
        </w:rPr>
        <w:t>Tax</w:t>
      </w:r>
      <w:r w:rsidRPr="00D83556">
        <w:rPr>
          <w:b/>
          <w:bCs/>
          <w:sz w:val="18"/>
          <w:szCs w:val="18"/>
        </w:rPr>
        <w:t xml:space="preserve"> financial ratio results for all </w:t>
      </w:r>
      <w:r w:rsidR="00D06C36">
        <w:rPr>
          <w:b/>
          <w:bCs/>
          <w:sz w:val="18"/>
          <w:szCs w:val="18"/>
        </w:rPr>
        <w:t>FTSE 250</w:t>
      </w:r>
      <w:r w:rsidRPr="00D83556">
        <w:rPr>
          <w:b/>
          <w:bCs/>
          <w:sz w:val="18"/>
          <w:szCs w:val="18"/>
        </w:rPr>
        <w:t xml:space="preserve"> industry sectors between 2019 and 2021. </w:t>
      </w:r>
    </w:p>
    <w:p w14:paraId="700B6516" w14:textId="333652C1" w:rsidR="00F91FEC" w:rsidRPr="008F4CFB" w:rsidRDefault="00895AA1" w:rsidP="008F4CFB">
      <w:pPr>
        <w:spacing w:line="480" w:lineRule="auto"/>
        <w:jc w:val="both"/>
        <w:rPr>
          <w:sz w:val="24"/>
          <w:szCs w:val="24"/>
        </w:rPr>
      </w:pPr>
      <w:r w:rsidRPr="00997CF9">
        <w:rPr>
          <w:sz w:val="24"/>
          <w:szCs w:val="24"/>
        </w:rPr>
        <w:t xml:space="preserve">The tax ratio shows the percentage of tax paid on </w:t>
      </w:r>
      <w:r w:rsidR="00CB0056" w:rsidRPr="00997CF9">
        <w:rPr>
          <w:sz w:val="24"/>
          <w:szCs w:val="24"/>
        </w:rPr>
        <w:t xml:space="preserve">pre-tax </w:t>
      </w:r>
      <w:r w:rsidR="00922E8A" w:rsidRPr="00997CF9">
        <w:rPr>
          <w:sz w:val="24"/>
          <w:szCs w:val="24"/>
        </w:rPr>
        <w:t>profit</w:t>
      </w:r>
      <w:r w:rsidR="00922E8A">
        <w:rPr>
          <w:sz w:val="24"/>
          <w:szCs w:val="24"/>
        </w:rPr>
        <w:t xml:space="preserve"> (</w:t>
      </w:r>
      <w:r w:rsidR="002E1677">
        <w:rPr>
          <w:sz w:val="24"/>
          <w:szCs w:val="24"/>
        </w:rPr>
        <w:t>Figure 5.)</w:t>
      </w:r>
      <w:r w:rsidR="005C68DC" w:rsidRPr="00997CF9">
        <w:rPr>
          <w:sz w:val="24"/>
          <w:szCs w:val="24"/>
        </w:rPr>
        <w:t xml:space="preserve">. </w:t>
      </w:r>
      <w:r w:rsidR="001045CA" w:rsidRPr="00997CF9">
        <w:rPr>
          <w:sz w:val="24"/>
          <w:szCs w:val="24"/>
        </w:rPr>
        <w:t>Tax</w:t>
      </w:r>
      <w:r w:rsidR="008A09DF" w:rsidRPr="00997CF9">
        <w:rPr>
          <w:sz w:val="24"/>
          <w:szCs w:val="24"/>
        </w:rPr>
        <w:t>ation</w:t>
      </w:r>
      <w:r w:rsidR="001045CA" w:rsidRPr="00997CF9">
        <w:rPr>
          <w:sz w:val="24"/>
          <w:szCs w:val="24"/>
        </w:rPr>
        <w:t xml:space="preserve"> rates across the sectors were highly variable over the </w:t>
      </w:r>
      <w:r w:rsidR="00B66778" w:rsidRPr="00997CF9">
        <w:rPr>
          <w:sz w:val="24"/>
          <w:szCs w:val="24"/>
        </w:rPr>
        <w:t>2019 to 2021 years</w:t>
      </w:r>
      <w:r w:rsidR="00F613DA" w:rsidRPr="00997CF9">
        <w:rPr>
          <w:sz w:val="24"/>
          <w:szCs w:val="24"/>
        </w:rPr>
        <w:t xml:space="preserve">, this is to be expected as sector and company taxation has a large number of </w:t>
      </w:r>
      <w:r w:rsidR="00D50CFE" w:rsidRPr="00997CF9">
        <w:rPr>
          <w:sz w:val="24"/>
          <w:szCs w:val="24"/>
        </w:rPr>
        <w:t xml:space="preserve">impacting variables. </w:t>
      </w:r>
      <w:r w:rsidR="008A09DF" w:rsidRPr="00997CF9">
        <w:rPr>
          <w:sz w:val="24"/>
          <w:szCs w:val="24"/>
        </w:rPr>
        <w:t xml:space="preserve">These range from industry specific </w:t>
      </w:r>
      <w:r w:rsidR="00F82DB4" w:rsidRPr="00997CF9">
        <w:rPr>
          <w:sz w:val="24"/>
          <w:szCs w:val="24"/>
        </w:rPr>
        <w:t xml:space="preserve">corporation tax rates through to the carrying forward of losses for individual </w:t>
      </w:r>
      <w:r w:rsidR="00E97F3B" w:rsidRPr="00997CF9">
        <w:rPr>
          <w:sz w:val="24"/>
          <w:szCs w:val="24"/>
        </w:rPr>
        <w:t xml:space="preserve">companies. </w:t>
      </w:r>
      <w:r w:rsidR="0003091B" w:rsidRPr="00997CF9">
        <w:rPr>
          <w:sz w:val="24"/>
          <w:szCs w:val="24"/>
        </w:rPr>
        <w:t xml:space="preserve">Most industry sectors </w:t>
      </w:r>
      <w:r w:rsidR="00993DEB" w:rsidRPr="00997CF9">
        <w:rPr>
          <w:sz w:val="24"/>
          <w:szCs w:val="24"/>
        </w:rPr>
        <w:t xml:space="preserve">displayed tax ratios under 60% across the 2019 to 2021 period; however, </w:t>
      </w:r>
      <w:r w:rsidR="00767C61" w:rsidRPr="00997CF9">
        <w:rPr>
          <w:sz w:val="24"/>
          <w:szCs w:val="24"/>
        </w:rPr>
        <w:t>for the 2020 year both consumer discretionary and the industrial sectors showed extremely high tax</w:t>
      </w:r>
      <w:r w:rsidR="00084B27" w:rsidRPr="00997CF9">
        <w:rPr>
          <w:sz w:val="24"/>
          <w:szCs w:val="24"/>
        </w:rPr>
        <w:t xml:space="preserve"> liabilities in relation to pre-tax profit at 233.6% and </w:t>
      </w:r>
      <w:r w:rsidR="00CB0056" w:rsidRPr="00997CF9">
        <w:rPr>
          <w:sz w:val="24"/>
          <w:szCs w:val="24"/>
        </w:rPr>
        <w:t xml:space="preserve">166.4% respectively. </w:t>
      </w:r>
      <w:r w:rsidR="007B6B87" w:rsidRPr="00997CF9">
        <w:rPr>
          <w:sz w:val="24"/>
          <w:szCs w:val="24"/>
        </w:rPr>
        <w:t xml:space="preserve">Both of these sectors returned to more normal tax ratio levels for the 2021 year. </w:t>
      </w:r>
      <w:r w:rsidR="00704031" w:rsidRPr="00997CF9">
        <w:rPr>
          <w:sz w:val="24"/>
          <w:szCs w:val="24"/>
        </w:rPr>
        <w:t xml:space="preserve">The telecommunications sector was the only sector analysed that maintained negative </w:t>
      </w:r>
      <w:r w:rsidR="00922E8A" w:rsidRPr="00997CF9">
        <w:rPr>
          <w:sz w:val="24"/>
          <w:szCs w:val="24"/>
        </w:rPr>
        <w:t>ratios</w:t>
      </w:r>
      <w:r w:rsidR="00704031" w:rsidRPr="00997CF9">
        <w:rPr>
          <w:sz w:val="24"/>
          <w:szCs w:val="24"/>
        </w:rPr>
        <w:t xml:space="preserve"> over the analysis </w:t>
      </w:r>
      <w:r w:rsidR="00CB6B9A" w:rsidRPr="00997CF9">
        <w:rPr>
          <w:sz w:val="24"/>
          <w:szCs w:val="24"/>
        </w:rPr>
        <w:t>period, however this decreased over the three years from -34.8% to -8.5%</w:t>
      </w:r>
      <w:r w:rsidR="00A52DD9" w:rsidRPr="00997CF9">
        <w:rPr>
          <w:sz w:val="24"/>
          <w:szCs w:val="24"/>
        </w:rPr>
        <w:t xml:space="preserve">. More detailed investigation showed that the sample size for this industry </w:t>
      </w:r>
      <w:r w:rsidR="00A52DD9" w:rsidRPr="00997CF9">
        <w:rPr>
          <w:sz w:val="24"/>
          <w:szCs w:val="24"/>
        </w:rPr>
        <w:lastRenderedPageBreak/>
        <w:t xml:space="preserve">sector was limited and one company </w:t>
      </w:r>
      <w:r w:rsidR="00713446" w:rsidRPr="00997CF9">
        <w:rPr>
          <w:sz w:val="24"/>
          <w:szCs w:val="24"/>
        </w:rPr>
        <w:t>showed large negative tax ratios due to company losses being carried forward.</w:t>
      </w:r>
      <w:r w:rsidR="00305181" w:rsidRPr="00997CF9">
        <w:rPr>
          <w:sz w:val="24"/>
          <w:szCs w:val="24"/>
        </w:rPr>
        <w:t xml:space="preserve"> </w:t>
      </w:r>
      <w:r w:rsidR="00AF481A" w:rsidRPr="00997CF9">
        <w:rPr>
          <w:sz w:val="24"/>
          <w:szCs w:val="24"/>
        </w:rPr>
        <w:t>The i</w:t>
      </w:r>
      <w:r w:rsidR="00305181" w:rsidRPr="00997CF9">
        <w:rPr>
          <w:sz w:val="24"/>
          <w:szCs w:val="24"/>
        </w:rPr>
        <w:t>ndustrials</w:t>
      </w:r>
      <w:r w:rsidR="00AF481A" w:rsidRPr="00997CF9">
        <w:rPr>
          <w:sz w:val="24"/>
          <w:szCs w:val="24"/>
        </w:rPr>
        <w:t xml:space="preserve"> sector</w:t>
      </w:r>
      <w:r w:rsidR="00305181" w:rsidRPr="00997CF9">
        <w:rPr>
          <w:sz w:val="24"/>
          <w:szCs w:val="24"/>
        </w:rPr>
        <w:t xml:space="preserve"> similarly showed </w:t>
      </w:r>
      <w:r w:rsidR="00AF481A" w:rsidRPr="00997CF9">
        <w:rPr>
          <w:sz w:val="24"/>
          <w:szCs w:val="24"/>
        </w:rPr>
        <w:t xml:space="preserve">a </w:t>
      </w:r>
      <w:r w:rsidR="00E51B5C" w:rsidRPr="00997CF9">
        <w:rPr>
          <w:sz w:val="24"/>
          <w:szCs w:val="24"/>
        </w:rPr>
        <w:t xml:space="preserve">few companies with correct but large tax liabilities </w:t>
      </w:r>
      <w:r w:rsidR="007C3BF4" w:rsidRPr="00997CF9">
        <w:rPr>
          <w:sz w:val="24"/>
          <w:szCs w:val="24"/>
        </w:rPr>
        <w:t xml:space="preserve">vs COVID-19 impacted profits leading to the </w:t>
      </w:r>
      <w:r w:rsidR="00FA3880" w:rsidRPr="00997CF9">
        <w:rPr>
          <w:sz w:val="24"/>
          <w:szCs w:val="24"/>
        </w:rPr>
        <w:t>higher-than-expected</w:t>
      </w:r>
      <w:r w:rsidR="007C3BF4" w:rsidRPr="00997CF9">
        <w:rPr>
          <w:sz w:val="24"/>
          <w:szCs w:val="24"/>
        </w:rPr>
        <w:t xml:space="preserve"> </w:t>
      </w:r>
      <w:r w:rsidR="00BE5999" w:rsidRPr="00997CF9">
        <w:rPr>
          <w:sz w:val="24"/>
          <w:szCs w:val="24"/>
        </w:rPr>
        <w:t>2021 tax liabilities</w:t>
      </w:r>
      <w:r w:rsidR="007C3BF4" w:rsidRPr="00997CF9">
        <w:rPr>
          <w:sz w:val="24"/>
          <w:szCs w:val="24"/>
        </w:rPr>
        <w:t xml:space="preserve">. </w:t>
      </w:r>
    </w:p>
    <w:p w14:paraId="5E7B0E4F" w14:textId="1B8875B0" w:rsidR="00315AC2" w:rsidRDefault="00C03CBB" w:rsidP="007656AE">
      <w:pPr>
        <w:pStyle w:val="Heading3"/>
        <w:numPr>
          <w:ilvl w:val="2"/>
          <w:numId w:val="3"/>
        </w:numPr>
        <w:rPr>
          <w:szCs w:val="24"/>
        </w:rPr>
      </w:pPr>
      <w:bookmarkStart w:id="47" w:name="_Toc141646724"/>
      <w:r>
        <w:rPr>
          <w:noProof/>
        </w:rPr>
        <w:drawing>
          <wp:anchor distT="0" distB="0" distL="114300" distR="114300" simplePos="0" relativeHeight="251658246" behindDoc="0" locked="0" layoutInCell="1" allowOverlap="1" wp14:anchorId="5A0DB531" wp14:editId="3DFE2651">
            <wp:simplePos x="0" y="0"/>
            <wp:positionH relativeFrom="margin">
              <wp:align>center</wp:align>
            </wp:positionH>
            <wp:positionV relativeFrom="paragraph">
              <wp:posOffset>453879</wp:posOffset>
            </wp:positionV>
            <wp:extent cx="6696000" cy="3852000"/>
            <wp:effectExtent l="0" t="0" r="0" b="0"/>
            <wp:wrapTopAndBottom/>
            <wp:docPr id="158023190" name="Chart 1">
              <a:extLst xmlns:a="http://schemas.openxmlformats.org/drawingml/2006/main">
                <a:ext uri="{FF2B5EF4-FFF2-40B4-BE49-F238E27FC236}">
                  <a16:creationId xmlns:a16="http://schemas.microsoft.com/office/drawing/2014/main" id="{6AA1529F-4A81-8244-B959-4EAEF8EF88B7}"/>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21"/>
              </a:graphicData>
            </a:graphic>
            <wp14:sizeRelH relativeFrom="page">
              <wp14:pctWidth>0</wp14:pctWidth>
            </wp14:sizeRelH>
            <wp14:sizeRelV relativeFrom="page">
              <wp14:pctHeight>0</wp14:pctHeight>
            </wp14:sizeRelV>
          </wp:anchor>
        </w:drawing>
      </w:r>
      <w:r w:rsidR="007F2C4E">
        <w:rPr>
          <w:szCs w:val="24"/>
        </w:rPr>
        <w:t>Opera</w:t>
      </w:r>
      <w:r w:rsidR="005D2A42">
        <w:rPr>
          <w:szCs w:val="24"/>
        </w:rPr>
        <w:t>ting Profit</w:t>
      </w:r>
      <w:bookmarkEnd w:id="47"/>
    </w:p>
    <w:p w14:paraId="71DB5A54" w14:textId="1EA5DB6E" w:rsidR="0085174B" w:rsidRPr="00A35BA5" w:rsidRDefault="00A35BA5" w:rsidP="00A35BA5">
      <w:pPr>
        <w:spacing w:line="480" w:lineRule="auto"/>
        <w:rPr>
          <w:b/>
          <w:bCs/>
          <w:sz w:val="18"/>
          <w:szCs w:val="18"/>
        </w:rPr>
      </w:pPr>
      <w:bookmarkStart w:id="48" w:name="OLE_LINK7"/>
      <w:r w:rsidRPr="00A35BA5">
        <w:rPr>
          <w:b/>
          <w:bCs/>
          <w:sz w:val="18"/>
          <w:szCs w:val="18"/>
        </w:rPr>
        <w:t xml:space="preserve">Figure </w:t>
      </w:r>
      <w:r w:rsidR="006B40AB">
        <w:rPr>
          <w:b/>
          <w:bCs/>
          <w:sz w:val="18"/>
          <w:szCs w:val="18"/>
        </w:rPr>
        <w:t>6</w:t>
      </w:r>
      <w:r w:rsidRPr="00A35BA5">
        <w:rPr>
          <w:b/>
          <w:bCs/>
          <w:sz w:val="18"/>
          <w:szCs w:val="18"/>
        </w:rPr>
        <w:t xml:space="preserve">. </w:t>
      </w:r>
      <w:r>
        <w:rPr>
          <w:b/>
          <w:bCs/>
          <w:sz w:val="18"/>
          <w:szCs w:val="18"/>
        </w:rPr>
        <w:t>Operating Profit</w:t>
      </w:r>
      <w:r w:rsidRPr="00A35BA5">
        <w:rPr>
          <w:b/>
          <w:bCs/>
          <w:sz w:val="18"/>
          <w:szCs w:val="18"/>
        </w:rPr>
        <w:t xml:space="preserve"> financial ratio results for all </w:t>
      </w:r>
      <w:r w:rsidR="00D06C36">
        <w:rPr>
          <w:b/>
          <w:bCs/>
          <w:sz w:val="18"/>
          <w:szCs w:val="18"/>
        </w:rPr>
        <w:t>FTSE 250</w:t>
      </w:r>
      <w:r w:rsidRPr="00A35BA5">
        <w:rPr>
          <w:b/>
          <w:bCs/>
          <w:sz w:val="18"/>
          <w:szCs w:val="18"/>
        </w:rPr>
        <w:t xml:space="preserve"> industry sectors between 2019 and 2021. </w:t>
      </w:r>
    </w:p>
    <w:p w14:paraId="094883A0" w14:textId="51F66493" w:rsidR="00671C6E" w:rsidRPr="00A35BA5" w:rsidRDefault="00C7617E" w:rsidP="00A35BA5">
      <w:pPr>
        <w:spacing w:line="480" w:lineRule="auto"/>
        <w:jc w:val="both"/>
        <w:rPr>
          <w:sz w:val="24"/>
          <w:szCs w:val="24"/>
        </w:rPr>
      </w:pPr>
      <w:r>
        <w:rPr>
          <w:sz w:val="24"/>
          <w:szCs w:val="24"/>
        </w:rPr>
        <w:t xml:space="preserve">The operating profit ratio </w:t>
      </w:r>
      <w:r w:rsidR="00BC03AE">
        <w:rPr>
          <w:sz w:val="24"/>
          <w:szCs w:val="24"/>
        </w:rPr>
        <w:t xml:space="preserve">shows the percentage of profit a </w:t>
      </w:r>
      <w:r w:rsidR="00FA3880">
        <w:rPr>
          <w:sz w:val="24"/>
          <w:szCs w:val="24"/>
        </w:rPr>
        <w:t>company</w:t>
      </w:r>
      <w:r w:rsidR="00BC03AE">
        <w:rPr>
          <w:sz w:val="24"/>
          <w:szCs w:val="24"/>
        </w:rPr>
        <w:t xml:space="preserve"> makes for </w:t>
      </w:r>
      <w:r w:rsidR="001B0CFF">
        <w:rPr>
          <w:sz w:val="24"/>
          <w:szCs w:val="24"/>
        </w:rPr>
        <w:t>each Pound/Dollar/Euro of sales generated</w:t>
      </w:r>
      <w:r w:rsidR="007C4E09">
        <w:rPr>
          <w:sz w:val="24"/>
          <w:szCs w:val="24"/>
        </w:rPr>
        <w:t xml:space="preserve">; representing </w:t>
      </w:r>
      <w:r w:rsidR="009E4FA0">
        <w:rPr>
          <w:sz w:val="24"/>
          <w:szCs w:val="24"/>
        </w:rPr>
        <w:t>the profitability of the compan</w:t>
      </w:r>
      <w:r w:rsidR="002F1F65">
        <w:rPr>
          <w:sz w:val="24"/>
          <w:szCs w:val="24"/>
        </w:rPr>
        <w:t>y</w:t>
      </w:r>
      <w:r w:rsidR="009E4FA0">
        <w:rPr>
          <w:sz w:val="24"/>
          <w:szCs w:val="24"/>
        </w:rPr>
        <w:t>’s operat</w:t>
      </w:r>
      <w:r w:rsidR="0085174B">
        <w:rPr>
          <w:sz w:val="24"/>
          <w:szCs w:val="24"/>
        </w:rPr>
        <w:t>ions</w:t>
      </w:r>
      <w:r w:rsidR="002E1677">
        <w:rPr>
          <w:sz w:val="24"/>
          <w:szCs w:val="24"/>
        </w:rPr>
        <w:t xml:space="preserve"> (Figure 6.)</w:t>
      </w:r>
      <w:r w:rsidR="0085174B">
        <w:rPr>
          <w:sz w:val="24"/>
          <w:szCs w:val="24"/>
        </w:rPr>
        <w:t xml:space="preserve">. </w:t>
      </w:r>
      <w:r w:rsidR="00D56CA2">
        <w:rPr>
          <w:sz w:val="24"/>
          <w:szCs w:val="24"/>
        </w:rPr>
        <w:t xml:space="preserve">The </w:t>
      </w:r>
      <w:r w:rsidR="006B2F96">
        <w:rPr>
          <w:sz w:val="24"/>
          <w:szCs w:val="24"/>
        </w:rPr>
        <w:t xml:space="preserve">financial sector had </w:t>
      </w:r>
      <w:r w:rsidR="0073213F">
        <w:rPr>
          <w:sz w:val="24"/>
          <w:szCs w:val="24"/>
        </w:rPr>
        <w:t xml:space="preserve">a </w:t>
      </w:r>
      <w:r w:rsidR="006B2F96">
        <w:rPr>
          <w:sz w:val="24"/>
          <w:szCs w:val="24"/>
        </w:rPr>
        <w:t>consistently high operating profit throughout the 2019 to 2021 years</w:t>
      </w:r>
      <w:r w:rsidR="0073213F">
        <w:rPr>
          <w:sz w:val="24"/>
          <w:szCs w:val="24"/>
        </w:rPr>
        <w:t xml:space="preserve">, with </w:t>
      </w:r>
      <w:r w:rsidR="003148BC">
        <w:rPr>
          <w:sz w:val="24"/>
          <w:szCs w:val="24"/>
        </w:rPr>
        <w:t xml:space="preserve">2020 showing the </w:t>
      </w:r>
      <w:r w:rsidR="006C2766">
        <w:rPr>
          <w:sz w:val="24"/>
          <w:szCs w:val="24"/>
        </w:rPr>
        <w:t xml:space="preserve">normal COVID-19 impact dip in performance. </w:t>
      </w:r>
      <w:r w:rsidR="000D0187" w:rsidRPr="000D0187">
        <w:rPr>
          <w:sz w:val="24"/>
          <w:szCs w:val="24"/>
        </w:rPr>
        <w:t xml:space="preserve">The </w:t>
      </w:r>
      <w:r w:rsidR="00AA09B9">
        <w:rPr>
          <w:sz w:val="24"/>
          <w:szCs w:val="24"/>
        </w:rPr>
        <w:t>industrial</w:t>
      </w:r>
      <w:r w:rsidR="003A13F7">
        <w:rPr>
          <w:sz w:val="24"/>
          <w:szCs w:val="24"/>
        </w:rPr>
        <w:t>s, utilities, consumer staples</w:t>
      </w:r>
      <w:r w:rsidR="00AE22FE">
        <w:rPr>
          <w:sz w:val="24"/>
          <w:szCs w:val="24"/>
        </w:rPr>
        <w:t xml:space="preserve"> </w:t>
      </w:r>
      <w:r w:rsidR="000D0187" w:rsidRPr="000D0187">
        <w:rPr>
          <w:sz w:val="24"/>
          <w:szCs w:val="24"/>
        </w:rPr>
        <w:t xml:space="preserve">and basic materials </w:t>
      </w:r>
      <w:r w:rsidR="000D0187">
        <w:rPr>
          <w:sz w:val="24"/>
          <w:szCs w:val="24"/>
        </w:rPr>
        <w:t>sectors</w:t>
      </w:r>
      <w:r w:rsidR="000D0187" w:rsidRPr="000D0187">
        <w:rPr>
          <w:sz w:val="24"/>
          <w:szCs w:val="24"/>
        </w:rPr>
        <w:t xml:space="preserve"> had steady operating profits over the years</w:t>
      </w:r>
      <w:r w:rsidR="00DA7B3D">
        <w:rPr>
          <w:sz w:val="24"/>
          <w:szCs w:val="24"/>
        </w:rPr>
        <w:t>, apart from a slight decline in each from 2019 to 2020.</w:t>
      </w:r>
      <w:r w:rsidR="00AE22FE">
        <w:rPr>
          <w:sz w:val="24"/>
          <w:szCs w:val="24"/>
        </w:rPr>
        <w:t xml:space="preserve"> The real estate sector saw a drastic decline in operating profits of 111.3% from 2019 </w:t>
      </w:r>
      <w:r w:rsidR="00AE22FE">
        <w:rPr>
          <w:sz w:val="24"/>
          <w:szCs w:val="24"/>
        </w:rPr>
        <w:lastRenderedPageBreak/>
        <w:t>to 2020, from 49.3% to -62.0%; followed by a substantial increase of 183.5% in 2021 to 121.5%.</w:t>
      </w:r>
      <w:r w:rsidR="00DA7B3D">
        <w:rPr>
          <w:sz w:val="24"/>
          <w:szCs w:val="24"/>
        </w:rPr>
        <w:t xml:space="preserve"> </w:t>
      </w:r>
      <w:r w:rsidR="004E57FD" w:rsidRPr="004E57FD">
        <w:rPr>
          <w:sz w:val="24"/>
          <w:szCs w:val="24"/>
        </w:rPr>
        <w:t xml:space="preserve">The consumer discretionary and technology </w:t>
      </w:r>
      <w:r w:rsidR="00997CF9">
        <w:rPr>
          <w:sz w:val="24"/>
          <w:szCs w:val="24"/>
        </w:rPr>
        <w:t>sectors</w:t>
      </w:r>
      <w:r w:rsidR="004E57FD" w:rsidRPr="004E57FD">
        <w:rPr>
          <w:sz w:val="24"/>
          <w:szCs w:val="24"/>
        </w:rPr>
        <w:t xml:space="preserve"> had declines in operating profits </w:t>
      </w:r>
      <w:r w:rsidR="004E57FD">
        <w:rPr>
          <w:sz w:val="24"/>
          <w:szCs w:val="24"/>
        </w:rPr>
        <w:t>from 2019 to</w:t>
      </w:r>
      <w:r w:rsidR="004E57FD" w:rsidRPr="004E57FD">
        <w:rPr>
          <w:sz w:val="24"/>
          <w:szCs w:val="24"/>
        </w:rPr>
        <w:t xml:space="preserve"> 2020</w:t>
      </w:r>
      <w:r w:rsidR="00481759">
        <w:rPr>
          <w:sz w:val="24"/>
          <w:szCs w:val="24"/>
        </w:rPr>
        <w:t xml:space="preserve"> falling into negative </w:t>
      </w:r>
      <w:r w:rsidR="00523B66">
        <w:rPr>
          <w:sz w:val="24"/>
          <w:szCs w:val="24"/>
        </w:rPr>
        <w:t>operating profit for the 2020 year</w:t>
      </w:r>
      <w:r w:rsidR="004E57FD" w:rsidRPr="004E57FD">
        <w:rPr>
          <w:sz w:val="24"/>
          <w:szCs w:val="24"/>
        </w:rPr>
        <w:t xml:space="preserve">, with consumer discretionary seeing </w:t>
      </w:r>
      <w:r w:rsidR="00523B66">
        <w:rPr>
          <w:sz w:val="24"/>
          <w:szCs w:val="24"/>
        </w:rPr>
        <w:t>an increase</w:t>
      </w:r>
      <w:r w:rsidR="001622FB">
        <w:rPr>
          <w:sz w:val="24"/>
          <w:szCs w:val="24"/>
        </w:rPr>
        <w:t xml:space="preserve"> from 2020 to 2021</w:t>
      </w:r>
      <w:r w:rsidR="00523B66">
        <w:rPr>
          <w:sz w:val="24"/>
          <w:szCs w:val="24"/>
        </w:rPr>
        <w:t xml:space="preserve"> from </w:t>
      </w:r>
      <w:r w:rsidR="00272FD3">
        <w:rPr>
          <w:sz w:val="24"/>
          <w:szCs w:val="24"/>
        </w:rPr>
        <w:t>-19.6% to -10.8% however remai</w:t>
      </w:r>
      <w:r w:rsidR="001622FB">
        <w:rPr>
          <w:sz w:val="24"/>
          <w:szCs w:val="24"/>
        </w:rPr>
        <w:t>ned</w:t>
      </w:r>
      <w:r w:rsidR="00272FD3">
        <w:rPr>
          <w:sz w:val="24"/>
          <w:szCs w:val="24"/>
        </w:rPr>
        <w:t xml:space="preserve"> in a negative operating profit</w:t>
      </w:r>
      <w:r w:rsidR="001622FB">
        <w:rPr>
          <w:sz w:val="24"/>
          <w:szCs w:val="24"/>
        </w:rPr>
        <w:t xml:space="preserve"> position</w:t>
      </w:r>
      <w:r w:rsidR="004E57FD" w:rsidRPr="004E57FD">
        <w:rPr>
          <w:sz w:val="24"/>
          <w:szCs w:val="24"/>
        </w:rPr>
        <w:t xml:space="preserve">. The healthcare </w:t>
      </w:r>
      <w:r w:rsidR="00997CF9">
        <w:rPr>
          <w:sz w:val="24"/>
          <w:szCs w:val="24"/>
        </w:rPr>
        <w:t>sector</w:t>
      </w:r>
      <w:r w:rsidR="004E57FD" w:rsidRPr="004E57FD">
        <w:rPr>
          <w:sz w:val="24"/>
          <w:szCs w:val="24"/>
        </w:rPr>
        <w:t xml:space="preserve"> had a decline in operating profits in 2020</w:t>
      </w:r>
      <w:r w:rsidR="003F2F44">
        <w:rPr>
          <w:sz w:val="24"/>
          <w:szCs w:val="24"/>
        </w:rPr>
        <w:t xml:space="preserve"> to -5.0% from 3.6% in </w:t>
      </w:r>
      <w:r w:rsidR="00F24F80">
        <w:rPr>
          <w:sz w:val="24"/>
          <w:szCs w:val="24"/>
        </w:rPr>
        <w:t>2019 but</w:t>
      </w:r>
      <w:r w:rsidR="004E57FD" w:rsidRPr="004E57FD">
        <w:rPr>
          <w:sz w:val="24"/>
          <w:szCs w:val="24"/>
        </w:rPr>
        <w:t xml:space="preserve"> rebounded in 2021 with a significant increase</w:t>
      </w:r>
      <w:r w:rsidR="00F24F80">
        <w:rPr>
          <w:sz w:val="24"/>
          <w:szCs w:val="24"/>
        </w:rPr>
        <w:t xml:space="preserve"> to 14%</w:t>
      </w:r>
      <w:r w:rsidR="004E57FD" w:rsidRPr="004E57FD">
        <w:rPr>
          <w:sz w:val="24"/>
          <w:szCs w:val="24"/>
        </w:rPr>
        <w:t xml:space="preserve">. The utilities and industrials </w:t>
      </w:r>
      <w:r w:rsidR="00997CF9">
        <w:rPr>
          <w:sz w:val="24"/>
          <w:szCs w:val="24"/>
        </w:rPr>
        <w:t>sector</w:t>
      </w:r>
      <w:r w:rsidR="004E57FD" w:rsidRPr="004E57FD">
        <w:rPr>
          <w:sz w:val="24"/>
          <w:szCs w:val="24"/>
        </w:rPr>
        <w:t xml:space="preserve"> had modest increases in operating profits over the years. The consumer staples </w:t>
      </w:r>
      <w:r w:rsidR="00997CF9">
        <w:rPr>
          <w:sz w:val="24"/>
          <w:szCs w:val="24"/>
        </w:rPr>
        <w:t>sector</w:t>
      </w:r>
      <w:r w:rsidR="004E57FD" w:rsidRPr="004E57FD">
        <w:rPr>
          <w:sz w:val="24"/>
          <w:szCs w:val="24"/>
        </w:rPr>
        <w:t xml:space="preserve"> had a slight increase in operating profits in 2021, after a decline in 2020.</w:t>
      </w:r>
      <w:r w:rsidR="000E403B">
        <w:rPr>
          <w:sz w:val="24"/>
          <w:szCs w:val="24"/>
        </w:rPr>
        <w:t xml:space="preserve"> The energy sector</w:t>
      </w:r>
      <w:r w:rsidR="005C5074">
        <w:rPr>
          <w:sz w:val="24"/>
          <w:szCs w:val="24"/>
        </w:rPr>
        <w:t xml:space="preserve"> was impacted in 2020, with a decline in operating pro</w:t>
      </w:r>
      <w:r w:rsidR="000865F2">
        <w:rPr>
          <w:sz w:val="24"/>
          <w:szCs w:val="24"/>
        </w:rPr>
        <w:t>fit from 30.4% in 2019 to -19% in 2020</w:t>
      </w:r>
      <w:r w:rsidR="00B51A08">
        <w:rPr>
          <w:sz w:val="24"/>
          <w:szCs w:val="24"/>
        </w:rPr>
        <w:t xml:space="preserve">. The energy sector was the only </w:t>
      </w:r>
      <w:r w:rsidR="006531CE">
        <w:rPr>
          <w:sz w:val="24"/>
          <w:szCs w:val="24"/>
        </w:rPr>
        <w:t xml:space="preserve">sector that showed </w:t>
      </w:r>
      <w:r w:rsidR="00261358">
        <w:rPr>
          <w:sz w:val="24"/>
          <w:szCs w:val="24"/>
        </w:rPr>
        <w:t>a</w:t>
      </w:r>
      <w:r w:rsidR="006531CE">
        <w:rPr>
          <w:sz w:val="24"/>
          <w:szCs w:val="24"/>
        </w:rPr>
        <w:t xml:space="preserve"> continuing decline in the 2021 year, with further operating profit losses increasing to </w:t>
      </w:r>
      <w:r w:rsidR="00261358">
        <w:rPr>
          <w:sz w:val="24"/>
          <w:szCs w:val="24"/>
        </w:rPr>
        <w:t xml:space="preserve">-83%. </w:t>
      </w:r>
      <w:bookmarkEnd w:id="48"/>
    </w:p>
    <w:p w14:paraId="165DE6C7" w14:textId="77777777" w:rsidR="00A35BA5" w:rsidRDefault="00A35BA5">
      <w:pPr>
        <w:rPr>
          <w:rFonts w:eastAsiaTheme="majorEastAsia" w:cstheme="majorBidi"/>
          <w:b/>
          <w:bCs/>
          <w:i/>
          <w:sz w:val="24"/>
          <w:szCs w:val="24"/>
        </w:rPr>
      </w:pPr>
      <w:r>
        <w:rPr>
          <w:szCs w:val="24"/>
        </w:rPr>
        <w:br w:type="page"/>
      </w:r>
    </w:p>
    <w:p w14:paraId="071915CA" w14:textId="3109B9C7" w:rsidR="00315AC2" w:rsidRDefault="00A35BA5" w:rsidP="007656AE">
      <w:pPr>
        <w:pStyle w:val="Heading3"/>
        <w:numPr>
          <w:ilvl w:val="2"/>
          <w:numId w:val="3"/>
        </w:numPr>
        <w:rPr>
          <w:szCs w:val="24"/>
        </w:rPr>
      </w:pPr>
      <w:bookmarkStart w:id="49" w:name="_Toc141646725"/>
      <w:r>
        <w:rPr>
          <w:noProof/>
        </w:rPr>
        <w:lastRenderedPageBreak/>
        <w:drawing>
          <wp:anchor distT="0" distB="0" distL="114300" distR="114300" simplePos="0" relativeHeight="251658247" behindDoc="0" locked="0" layoutInCell="1" allowOverlap="1" wp14:anchorId="5B23C69A" wp14:editId="469D57D8">
            <wp:simplePos x="0" y="0"/>
            <wp:positionH relativeFrom="margin">
              <wp:posOffset>-481965</wp:posOffset>
            </wp:positionH>
            <wp:positionV relativeFrom="paragraph">
              <wp:posOffset>371641</wp:posOffset>
            </wp:positionV>
            <wp:extent cx="6696000" cy="3852000"/>
            <wp:effectExtent l="0" t="0" r="0" b="0"/>
            <wp:wrapTopAndBottom/>
            <wp:docPr id="1096819381" name="Chart 1">
              <a:extLst xmlns:a="http://schemas.openxmlformats.org/drawingml/2006/main">
                <a:ext uri="{FF2B5EF4-FFF2-40B4-BE49-F238E27FC236}">
                  <a16:creationId xmlns:a16="http://schemas.microsoft.com/office/drawing/2014/main" id="{D9F5AE40-9C91-5449-BAD6-C871C6E7CDCF}"/>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22"/>
              </a:graphicData>
            </a:graphic>
            <wp14:sizeRelH relativeFrom="page">
              <wp14:pctWidth>0</wp14:pctWidth>
            </wp14:sizeRelH>
            <wp14:sizeRelV relativeFrom="page">
              <wp14:pctHeight>0</wp14:pctHeight>
            </wp14:sizeRelV>
          </wp:anchor>
        </w:drawing>
      </w:r>
      <w:r w:rsidR="005D2A42">
        <w:rPr>
          <w:szCs w:val="24"/>
        </w:rPr>
        <w:t>Net Profit</w:t>
      </w:r>
      <w:bookmarkEnd w:id="49"/>
    </w:p>
    <w:p w14:paraId="0A00AEF5" w14:textId="69590B09" w:rsidR="00D9576F" w:rsidRPr="00A35BA5" w:rsidRDefault="00A35BA5" w:rsidP="00A35BA5">
      <w:pPr>
        <w:spacing w:line="480" w:lineRule="auto"/>
        <w:rPr>
          <w:b/>
          <w:bCs/>
          <w:sz w:val="18"/>
          <w:szCs w:val="18"/>
        </w:rPr>
      </w:pPr>
      <w:r w:rsidRPr="00A35BA5">
        <w:rPr>
          <w:b/>
          <w:bCs/>
          <w:sz w:val="18"/>
          <w:szCs w:val="18"/>
        </w:rPr>
        <w:t xml:space="preserve">Figure </w:t>
      </w:r>
      <w:r w:rsidR="0012493F">
        <w:rPr>
          <w:b/>
          <w:bCs/>
          <w:sz w:val="18"/>
          <w:szCs w:val="18"/>
        </w:rPr>
        <w:t>7</w:t>
      </w:r>
      <w:r w:rsidRPr="00A35BA5">
        <w:rPr>
          <w:b/>
          <w:bCs/>
          <w:sz w:val="18"/>
          <w:szCs w:val="18"/>
        </w:rPr>
        <w:t xml:space="preserve">. </w:t>
      </w:r>
      <w:r>
        <w:rPr>
          <w:b/>
          <w:bCs/>
          <w:sz w:val="18"/>
          <w:szCs w:val="18"/>
        </w:rPr>
        <w:t>Net Profit</w:t>
      </w:r>
      <w:r w:rsidRPr="00A35BA5">
        <w:rPr>
          <w:b/>
          <w:bCs/>
          <w:sz w:val="18"/>
          <w:szCs w:val="18"/>
        </w:rPr>
        <w:t xml:space="preserve"> financial ratio results for all </w:t>
      </w:r>
      <w:r w:rsidR="00D06C36">
        <w:rPr>
          <w:b/>
          <w:bCs/>
          <w:sz w:val="18"/>
          <w:szCs w:val="18"/>
        </w:rPr>
        <w:t>FTSE 250</w:t>
      </w:r>
      <w:r w:rsidRPr="00A35BA5">
        <w:rPr>
          <w:b/>
          <w:bCs/>
          <w:sz w:val="18"/>
          <w:szCs w:val="18"/>
        </w:rPr>
        <w:t xml:space="preserve"> industry sectors between 2019 and 2021. </w:t>
      </w:r>
      <w:bookmarkStart w:id="50" w:name="OLE_LINK8"/>
    </w:p>
    <w:p w14:paraId="5B0AD131" w14:textId="5AEA584F" w:rsidR="00DC750F" w:rsidRDefault="002877DA" w:rsidP="00D9576F">
      <w:pPr>
        <w:spacing w:line="480" w:lineRule="auto"/>
        <w:jc w:val="both"/>
        <w:rPr>
          <w:sz w:val="24"/>
          <w:szCs w:val="24"/>
        </w:rPr>
      </w:pPr>
      <w:r>
        <w:rPr>
          <w:sz w:val="24"/>
          <w:szCs w:val="24"/>
        </w:rPr>
        <w:t>The net profit ratio measures the compan</w:t>
      </w:r>
      <w:r w:rsidR="002F1F65">
        <w:rPr>
          <w:sz w:val="24"/>
          <w:szCs w:val="24"/>
        </w:rPr>
        <w:t>y’s</w:t>
      </w:r>
      <w:r>
        <w:rPr>
          <w:sz w:val="24"/>
          <w:szCs w:val="24"/>
        </w:rPr>
        <w:t xml:space="preserve"> </w:t>
      </w:r>
      <w:r w:rsidR="002F4171">
        <w:rPr>
          <w:sz w:val="24"/>
          <w:szCs w:val="24"/>
        </w:rPr>
        <w:t>profit (</w:t>
      </w:r>
      <w:r w:rsidR="00D76A67">
        <w:rPr>
          <w:sz w:val="24"/>
          <w:szCs w:val="24"/>
        </w:rPr>
        <w:t>after taxation)</w:t>
      </w:r>
      <w:r w:rsidR="00B050A3">
        <w:rPr>
          <w:sz w:val="24"/>
          <w:szCs w:val="24"/>
        </w:rPr>
        <w:t xml:space="preserve"> in relation to the total amount of </w:t>
      </w:r>
      <w:r w:rsidR="00544685">
        <w:rPr>
          <w:sz w:val="24"/>
          <w:szCs w:val="24"/>
        </w:rPr>
        <w:t xml:space="preserve">revenue generated by the </w:t>
      </w:r>
      <w:r w:rsidR="00922E8A">
        <w:rPr>
          <w:sz w:val="24"/>
          <w:szCs w:val="24"/>
        </w:rPr>
        <w:t>company (</w:t>
      </w:r>
      <w:r w:rsidR="002E1677">
        <w:rPr>
          <w:sz w:val="24"/>
          <w:szCs w:val="24"/>
        </w:rPr>
        <w:t>Figure 7.)</w:t>
      </w:r>
      <w:r w:rsidR="00544685">
        <w:rPr>
          <w:sz w:val="24"/>
          <w:szCs w:val="24"/>
        </w:rPr>
        <w:t xml:space="preserve">. </w:t>
      </w:r>
      <w:r w:rsidR="004D2CD8">
        <w:rPr>
          <w:sz w:val="24"/>
          <w:szCs w:val="24"/>
        </w:rPr>
        <w:t xml:space="preserve">The net profit ratio </w:t>
      </w:r>
      <w:r w:rsidR="00265D05">
        <w:rPr>
          <w:sz w:val="24"/>
          <w:szCs w:val="24"/>
        </w:rPr>
        <w:t xml:space="preserve">is one of the best </w:t>
      </w:r>
      <w:r w:rsidR="00F91C07">
        <w:rPr>
          <w:sz w:val="24"/>
          <w:szCs w:val="24"/>
        </w:rPr>
        <w:t>measures</w:t>
      </w:r>
      <w:r w:rsidR="00265D05">
        <w:rPr>
          <w:sz w:val="24"/>
          <w:szCs w:val="24"/>
        </w:rPr>
        <w:t xml:space="preserve"> of the overall results for a company</w:t>
      </w:r>
      <w:r w:rsidR="00E7742A">
        <w:rPr>
          <w:sz w:val="24"/>
          <w:szCs w:val="24"/>
        </w:rPr>
        <w:t>.</w:t>
      </w:r>
      <w:r w:rsidR="00D62455">
        <w:rPr>
          <w:sz w:val="24"/>
          <w:szCs w:val="24"/>
        </w:rPr>
        <w:t xml:space="preserve"> </w:t>
      </w:r>
      <w:r w:rsidR="00590BB8">
        <w:rPr>
          <w:sz w:val="24"/>
          <w:szCs w:val="24"/>
        </w:rPr>
        <w:t xml:space="preserve">Three sectors showed positive net profit for the 2019 to 2021 years. </w:t>
      </w:r>
      <w:r w:rsidR="005A01DA" w:rsidRPr="005A01DA">
        <w:rPr>
          <w:sz w:val="24"/>
          <w:szCs w:val="24"/>
        </w:rPr>
        <w:t xml:space="preserve">The </w:t>
      </w:r>
      <w:r w:rsidR="008A1777">
        <w:rPr>
          <w:sz w:val="24"/>
          <w:szCs w:val="24"/>
        </w:rPr>
        <w:t>f</w:t>
      </w:r>
      <w:r w:rsidR="008A1777" w:rsidRPr="005A01DA">
        <w:rPr>
          <w:sz w:val="24"/>
          <w:szCs w:val="24"/>
        </w:rPr>
        <w:t>inancial</w:t>
      </w:r>
      <w:r w:rsidR="005A01DA" w:rsidRPr="005A01DA">
        <w:rPr>
          <w:sz w:val="24"/>
          <w:szCs w:val="24"/>
        </w:rPr>
        <w:t xml:space="preserve"> sector</w:t>
      </w:r>
      <w:r w:rsidR="009A1A9E">
        <w:rPr>
          <w:sz w:val="24"/>
          <w:szCs w:val="24"/>
        </w:rPr>
        <w:t xml:space="preserve">, with </w:t>
      </w:r>
      <w:r w:rsidR="005A01DA" w:rsidRPr="005A01DA">
        <w:rPr>
          <w:sz w:val="24"/>
          <w:szCs w:val="24"/>
        </w:rPr>
        <w:t>a net profit of 67.0% in 2019, which decreased slightly to 58.0% in 2020, but then increased to 70.5% in 2021</w:t>
      </w:r>
      <w:r w:rsidR="0070685D">
        <w:rPr>
          <w:sz w:val="24"/>
          <w:szCs w:val="24"/>
        </w:rPr>
        <w:t xml:space="preserve">. </w:t>
      </w:r>
      <w:r w:rsidR="00DC750F" w:rsidRPr="00231610">
        <w:rPr>
          <w:sz w:val="24"/>
          <w:szCs w:val="24"/>
        </w:rPr>
        <w:t xml:space="preserve">The </w:t>
      </w:r>
      <w:r w:rsidR="0070685D">
        <w:rPr>
          <w:sz w:val="24"/>
          <w:szCs w:val="24"/>
        </w:rPr>
        <w:t>i</w:t>
      </w:r>
      <w:r w:rsidR="00DC750F" w:rsidRPr="00231610">
        <w:rPr>
          <w:sz w:val="24"/>
          <w:szCs w:val="24"/>
        </w:rPr>
        <w:t xml:space="preserve">ndustrials sector had a net profit of 7.2% in 2019, which </w:t>
      </w:r>
      <w:r w:rsidR="008E7C3E">
        <w:rPr>
          <w:sz w:val="24"/>
          <w:szCs w:val="24"/>
        </w:rPr>
        <w:t>decreased</w:t>
      </w:r>
      <w:r w:rsidR="00DC750F" w:rsidRPr="00231610">
        <w:rPr>
          <w:sz w:val="24"/>
          <w:szCs w:val="24"/>
        </w:rPr>
        <w:t xml:space="preserve"> to 1.7% in 2020, </w:t>
      </w:r>
      <w:r w:rsidR="008E7C3E">
        <w:rPr>
          <w:sz w:val="24"/>
          <w:szCs w:val="24"/>
        </w:rPr>
        <w:t>before recovering up</w:t>
      </w:r>
      <w:r w:rsidR="00DC750F" w:rsidRPr="00231610">
        <w:rPr>
          <w:sz w:val="24"/>
          <w:szCs w:val="24"/>
        </w:rPr>
        <w:t xml:space="preserve"> to 6.9% in 2021.</w:t>
      </w:r>
      <w:r w:rsidR="008A1777">
        <w:rPr>
          <w:sz w:val="24"/>
          <w:szCs w:val="24"/>
        </w:rPr>
        <w:t xml:space="preserve"> </w:t>
      </w:r>
      <w:r w:rsidR="00DC750F" w:rsidRPr="00231610">
        <w:rPr>
          <w:sz w:val="24"/>
          <w:szCs w:val="24"/>
        </w:rPr>
        <w:t xml:space="preserve">The </w:t>
      </w:r>
      <w:r w:rsidR="008E7C3E">
        <w:rPr>
          <w:sz w:val="24"/>
          <w:szCs w:val="24"/>
        </w:rPr>
        <w:t>b</w:t>
      </w:r>
      <w:r w:rsidR="00DC750F" w:rsidRPr="00231610">
        <w:rPr>
          <w:sz w:val="24"/>
          <w:szCs w:val="24"/>
        </w:rPr>
        <w:t xml:space="preserve">asic </w:t>
      </w:r>
      <w:r w:rsidR="008E7C3E">
        <w:rPr>
          <w:sz w:val="24"/>
          <w:szCs w:val="24"/>
        </w:rPr>
        <w:t>m</w:t>
      </w:r>
      <w:r w:rsidR="00DC750F" w:rsidRPr="00231610">
        <w:rPr>
          <w:sz w:val="24"/>
          <w:szCs w:val="24"/>
        </w:rPr>
        <w:t xml:space="preserve">aterials sector had a net profit of 11.2% in 2019, which slightly </w:t>
      </w:r>
      <w:r w:rsidR="008A1777">
        <w:rPr>
          <w:sz w:val="24"/>
          <w:szCs w:val="24"/>
        </w:rPr>
        <w:t>decreased</w:t>
      </w:r>
      <w:r w:rsidR="00DC750F" w:rsidRPr="00231610">
        <w:rPr>
          <w:sz w:val="24"/>
          <w:szCs w:val="24"/>
        </w:rPr>
        <w:t xml:space="preserve"> to 10.5% in 2020, and </w:t>
      </w:r>
      <w:r w:rsidR="008A1777">
        <w:rPr>
          <w:sz w:val="24"/>
          <w:szCs w:val="24"/>
        </w:rPr>
        <w:t>grew</w:t>
      </w:r>
      <w:r w:rsidR="00DC750F" w:rsidRPr="00231610">
        <w:rPr>
          <w:sz w:val="24"/>
          <w:szCs w:val="24"/>
        </w:rPr>
        <w:t xml:space="preserve"> to 13.1% in 2021.</w:t>
      </w:r>
      <w:r w:rsidR="007824EB">
        <w:rPr>
          <w:sz w:val="24"/>
          <w:szCs w:val="24"/>
        </w:rPr>
        <w:t xml:space="preserve"> </w:t>
      </w:r>
      <w:r w:rsidR="00D655B7">
        <w:rPr>
          <w:sz w:val="24"/>
          <w:szCs w:val="24"/>
        </w:rPr>
        <w:t>The telecommunications sector was the only</w:t>
      </w:r>
      <w:r w:rsidR="0089672D">
        <w:rPr>
          <w:sz w:val="24"/>
          <w:szCs w:val="24"/>
        </w:rPr>
        <w:t xml:space="preserve"> sector</w:t>
      </w:r>
      <w:r w:rsidR="00D655B7">
        <w:rPr>
          <w:sz w:val="24"/>
          <w:szCs w:val="24"/>
        </w:rPr>
        <w:t xml:space="preserve"> </w:t>
      </w:r>
      <w:r w:rsidR="0094742E">
        <w:rPr>
          <w:sz w:val="24"/>
          <w:szCs w:val="24"/>
        </w:rPr>
        <w:t>to show net profit growth</w:t>
      </w:r>
      <w:r w:rsidR="00BF23FB">
        <w:rPr>
          <w:sz w:val="24"/>
          <w:szCs w:val="24"/>
        </w:rPr>
        <w:t xml:space="preserve"> (13.5%)</w:t>
      </w:r>
      <w:r w:rsidR="0094742E">
        <w:rPr>
          <w:sz w:val="24"/>
          <w:szCs w:val="24"/>
        </w:rPr>
        <w:t xml:space="preserve"> 2019 to 2020, from </w:t>
      </w:r>
      <w:r w:rsidR="00BF23FB">
        <w:rPr>
          <w:sz w:val="24"/>
          <w:szCs w:val="24"/>
        </w:rPr>
        <w:t>-9.9% to 3.6%</w:t>
      </w:r>
      <w:r w:rsidR="003A36D9">
        <w:rPr>
          <w:sz w:val="24"/>
          <w:szCs w:val="24"/>
        </w:rPr>
        <w:t xml:space="preserve">; before net profit returned back to 2019 levels in 2021 (9.6%). </w:t>
      </w:r>
      <w:r w:rsidR="0009433D">
        <w:rPr>
          <w:sz w:val="24"/>
          <w:szCs w:val="24"/>
        </w:rPr>
        <w:t>All other sector</w:t>
      </w:r>
      <w:r w:rsidR="003960AD">
        <w:rPr>
          <w:sz w:val="24"/>
          <w:szCs w:val="24"/>
        </w:rPr>
        <w:t>s</w:t>
      </w:r>
      <w:r w:rsidR="0009433D">
        <w:rPr>
          <w:sz w:val="24"/>
          <w:szCs w:val="24"/>
        </w:rPr>
        <w:t xml:space="preserve"> showed the </w:t>
      </w:r>
      <w:r w:rsidR="00532142">
        <w:rPr>
          <w:sz w:val="24"/>
          <w:szCs w:val="24"/>
        </w:rPr>
        <w:t xml:space="preserve">general COVID-19 impact trend discussed previously. However, of these: the </w:t>
      </w:r>
      <w:r w:rsidR="00532142">
        <w:rPr>
          <w:sz w:val="24"/>
          <w:szCs w:val="24"/>
        </w:rPr>
        <w:lastRenderedPageBreak/>
        <w:t xml:space="preserve">real estate sector showed </w:t>
      </w:r>
      <w:r w:rsidR="009A45F2">
        <w:rPr>
          <w:sz w:val="24"/>
          <w:szCs w:val="24"/>
        </w:rPr>
        <w:t xml:space="preserve">dramatic net profit losses during 2020, decreasing from </w:t>
      </w:r>
      <w:r w:rsidR="00B41496">
        <w:rPr>
          <w:sz w:val="24"/>
          <w:szCs w:val="24"/>
        </w:rPr>
        <w:t xml:space="preserve">3.6% in 2019 to -81% in 2020 but showed a dramatic </w:t>
      </w:r>
      <w:r w:rsidR="00D13A91">
        <w:rPr>
          <w:sz w:val="24"/>
          <w:szCs w:val="24"/>
        </w:rPr>
        <w:t xml:space="preserve">net profit growth in 2021 to 112.2%. This </w:t>
      </w:r>
      <w:r w:rsidR="00CD163B">
        <w:rPr>
          <w:sz w:val="24"/>
          <w:szCs w:val="24"/>
        </w:rPr>
        <w:t xml:space="preserve">trend was also seen in the energy sector, with </w:t>
      </w:r>
      <w:r w:rsidR="002179D8">
        <w:rPr>
          <w:sz w:val="24"/>
          <w:szCs w:val="24"/>
        </w:rPr>
        <w:t xml:space="preserve">dramatic net profit increases in 2021 to 438.6% from </w:t>
      </w:r>
      <w:r w:rsidR="00287229">
        <w:rPr>
          <w:sz w:val="24"/>
          <w:szCs w:val="24"/>
        </w:rPr>
        <w:t xml:space="preserve">-24.8% in </w:t>
      </w:r>
      <w:r w:rsidR="00922E8A">
        <w:rPr>
          <w:sz w:val="24"/>
          <w:szCs w:val="24"/>
        </w:rPr>
        <w:t>2020,</w:t>
      </w:r>
      <w:r w:rsidR="00555E7E">
        <w:rPr>
          <w:sz w:val="24"/>
          <w:szCs w:val="24"/>
        </w:rPr>
        <w:t xml:space="preserve"> potentially due to improved commodity prices.</w:t>
      </w:r>
      <w:r w:rsidR="00287229">
        <w:rPr>
          <w:sz w:val="24"/>
          <w:szCs w:val="24"/>
        </w:rPr>
        <w:t xml:space="preserve"> Both of these sectors net profit increases will merit further investigation in relation to other financial ratio measures. </w:t>
      </w:r>
    </w:p>
    <w:p w14:paraId="0D9F9F6F" w14:textId="02085475" w:rsidR="00FE42A4" w:rsidRDefault="00A35BA5" w:rsidP="007656AE">
      <w:pPr>
        <w:pStyle w:val="Heading3"/>
        <w:numPr>
          <w:ilvl w:val="2"/>
          <w:numId w:val="3"/>
        </w:numPr>
        <w:rPr>
          <w:szCs w:val="24"/>
        </w:rPr>
      </w:pPr>
      <w:bookmarkStart w:id="51" w:name="_Toc141646726"/>
      <w:bookmarkEnd w:id="50"/>
      <w:r>
        <w:rPr>
          <w:noProof/>
        </w:rPr>
        <w:drawing>
          <wp:anchor distT="0" distB="0" distL="114300" distR="114300" simplePos="0" relativeHeight="251658248" behindDoc="0" locked="0" layoutInCell="1" allowOverlap="1" wp14:anchorId="5BF955F9" wp14:editId="65412397">
            <wp:simplePos x="0" y="0"/>
            <wp:positionH relativeFrom="margin">
              <wp:posOffset>-481965</wp:posOffset>
            </wp:positionH>
            <wp:positionV relativeFrom="paragraph">
              <wp:posOffset>446592</wp:posOffset>
            </wp:positionV>
            <wp:extent cx="6696000" cy="3852000"/>
            <wp:effectExtent l="0" t="0" r="0" b="0"/>
            <wp:wrapTopAndBottom/>
            <wp:docPr id="1587741892" name="Chart 1">
              <a:extLst xmlns:a="http://schemas.openxmlformats.org/drawingml/2006/main">
                <a:ext uri="{FF2B5EF4-FFF2-40B4-BE49-F238E27FC236}">
                  <a16:creationId xmlns:a16="http://schemas.microsoft.com/office/drawing/2014/main" id="{2D7D887C-E098-B34F-820A-63B5A087291F}"/>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23"/>
              </a:graphicData>
            </a:graphic>
            <wp14:sizeRelH relativeFrom="page">
              <wp14:pctWidth>0</wp14:pctWidth>
            </wp14:sizeRelH>
            <wp14:sizeRelV relativeFrom="page">
              <wp14:pctHeight>0</wp14:pctHeight>
            </wp14:sizeRelV>
          </wp:anchor>
        </w:drawing>
      </w:r>
      <w:r w:rsidR="005D2A42">
        <w:rPr>
          <w:szCs w:val="24"/>
        </w:rPr>
        <w:t>Return on Capital Employed</w:t>
      </w:r>
      <w:bookmarkEnd w:id="51"/>
      <w:r w:rsidR="00FE42A4">
        <w:rPr>
          <w:szCs w:val="24"/>
        </w:rPr>
        <w:t xml:space="preserve"> </w:t>
      </w:r>
    </w:p>
    <w:p w14:paraId="67FB0915" w14:textId="3999AB5F" w:rsidR="007561A5" w:rsidRPr="00A35BA5" w:rsidRDefault="00A35BA5" w:rsidP="00A35BA5">
      <w:pPr>
        <w:spacing w:line="480" w:lineRule="auto"/>
        <w:rPr>
          <w:b/>
          <w:bCs/>
          <w:sz w:val="18"/>
          <w:szCs w:val="18"/>
        </w:rPr>
      </w:pPr>
      <w:r w:rsidRPr="00A35BA5">
        <w:rPr>
          <w:b/>
          <w:bCs/>
          <w:sz w:val="18"/>
          <w:szCs w:val="18"/>
        </w:rPr>
        <w:t xml:space="preserve">Figure </w:t>
      </w:r>
      <w:r w:rsidR="0012493F">
        <w:rPr>
          <w:b/>
          <w:bCs/>
          <w:sz w:val="18"/>
          <w:szCs w:val="18"/>
        </w:rPr>
        <w:t>8</w:t>
      </w:r>
      <w:r w:rsidRPr="00A35BA5">
        <w:rPr>
          <w:b/>
          <w:bCs/>
          <w:sz w:val="18"/>
          <w:szCs w:val="18"/>
        </w:rPr>
        <w:t xml:space="preserve">. </w:t>
      </w:r>
      <w:r>
        <w:rPr>
          <w:b/>
          <w:bCs/>
          <w:sz w:val="18"/>
          <w:szCs w:val="18"/>
        </w:rPr>
        <w:t>Return on Capital Employed</w:t>
      </w:r>
      <w:r w:rsidRPr="00A35BA5">
        <w:rPr>
          <w:b/>
          <w:bCs/>
          <w:sz w:val="18"/>
          <w:szCs w:val="18"/>
        </w:rPr>
        <w:t xml:space="preserve"> financial ratio results for all </w:t>
      </w:r>
      <w:r w:rsidR="00D06C36">
        <w:rPr>
          <w:b/>
          <w:bCs/>
          <w:sz w:val="18"/>
          <w:szCs w:val="18"/>
        </w:rPr>
        <w:t>FTSE 250</w:t>
      </w:r>
      <w:r w:rsidRPr="00A35BA5">
        <w:rPr>
          <w:b/>
          <w:bCs/>
          <w:sz w:val="18"/>
          <w:szCs w:val="18"/>
        </w:rPr>
        <w:t xml:space="preserve"> industry sectors between 2019 and 2021. </w:t>
      </w:r>
    </w:p>
    <w:p w14:paraId="0AF80596" w14:textId="4D647D08" w:rsidR="007561A5" w:rsidRPr="007561A5" w:rsidRDefault="002C285C" w:rsidP="007561A5">
      <w:pPr>
        <w:spacing w:line="480" w:lineRule="auto"/>
        <w:jc w:val="both"/>
        <w:rPr>
          <w:sz w:val="24"/>
          <w:szCs w:val="24"/>
        </w:rPr>
      </w:pPr>
      <w:r>
        <w:rPr>
          <w:sz w:val="24"/>
          <w:szCs w:val="24"/>
        </w:rPr>
        <w:t xml:space="preserve">The return on capital employed (ROCE) is a </w:t>
      </w:r>
      <w:r w:rsidR="00452381">
        <w:rPr>
          <w:sz w:val="24"/>
          <w:szCs w:val="24"/>
        </w:rPr>
        <w:t>ratio that measures how efficiently</w:t>
      </w:r>
      <w:r w:rsidR="002F1F65">
        <w:rPr>
          <w:sz w:val="24"/>
          <w:szCs w:val="24"/>
        </w:rPr>
        <w:t xml:space="preserve"> a</w:t>
      </w:r>
      <w:r w:rsidR="00452381">
        <w:rPr>
          <w:sz w:val="24"/>
          <w:szCs w:val="24"/>
        </w:rPr>
        <w:t xml:space="preserve"> compan</w:t>
      </w:r>
      <w:r w:rsidR="002F1F65">
        <w:rPr>
          <w:sz w:val="24"/>
          <w:szCs w:val="24"/>
        </w:rPr>
        <w:t>y</w:t>
      </w:r>
      <w:r w:rsidR="00452381">
        <w:rPr>
          <w:sz w:val="24"/>
          <w:szCs w:val="24"/>
        </w:rPr>
        <w:t xml:space="preserve"> is using its capital to generate profits</w:t>
      </w:r>
      <w:r w:rsidR="007E1FF5">
        <w:rPr>
          <w:sz w:val="24"/>
          <w:szCs w:val="24"/>
        </w:rPr>
        <w:t xml:space="preserve"> (Figure 8.)</w:t>
      </w:r>
      <w:r w:rsidR="00452381">
        <w:rPr>
          <w:sz w:val="24"/>
          <w:szCs w:val="24"/>
        </w:rPr>
        <w:t xml:space="preserve">. </w:t>
      </w:r>
      <w:r w:rsidR="00474F6A">
        <w:rPr>
          <w:sz w:val="24"/>
          <w:szCs w:val="24"/>
        </w:rPr>
        <w:t xml:space="preserve">The higher the ROCE is, the stronger the indication that the company is using its capital effectively. </w:t>
      </w:r>
      <w:r w:rsidR="00767A02">
        <w:rPr>
          <w:sz w:val="24"/>
          <w:szCs w:val="24"/>
        </w:rPr>
        <w:t>Seven of the sectors showed</w:t>
      </w:r>
      <w:r w:rsidR="009C4445">
        <w:rPr>
          <w:sz w:val="24"/>
          <w:szCs w:val="24"/>
        </w:rPr>
        <w:t xml:space="preserve"> declines in ROCE from the 2019 to </w:t>
      </w:r>
      <w:r w:rsidR="00B12816">
        <w:rPr>
          <w:sz w:val="24"/>
          <w:szCs w:val="24"/>
        </w:rPr>
        <w:t xml:space="preserve">the </w:t>
      </w:r>
      <w:r w:rsidR="009C4445">
        <w:rPr>
          <w:sz w:val="24"/>
          <w:szCs w:val="24"/>
        </w:rPr>
        <w:t>2020 year, followed by an increase in ROCE</w:t>
      </w:r>
      <w:r w:rsidR="00B12816">
        <w:rPr>
          <w:sz w:val="24"/>
          <w:szCs w:val="24"/>
        </w:rPr>
        <w:t xml:space="preserve"> from the 2020 year to the 2021 year.</w:t>
      </w:r>
      <w:r w:rsidR="00962570">
        <w:rPr>
          <w:sz w:val="24"/>
          <w:szCs w:val="24"/>
        </w:rPr>
        <w:t xml:space="preserve"> </w:t>
      </w:r>
      <w:r w:rsidR="003C29BC">
        <w:rPr>
          <w:sz w:val="24"/>
          <w:szCs w:val="24"/>
        </w:rPr>
        <w:t>The consumer discretionary</w:t>
      </w:r>
      <w:r w:rsidR="00F11202">
        <w:rPr>
          <w:sz w:val="24"/>
          <w:szCs w:val="24"/>
        </w:rPr>
        <w:t xml:space="preserve"> and technology sectors</w:t>
      </w:r>
      <w:r w:rsidR="00AB7F5D">
        <w:rPr>
          <w:sz w:val="24"/>
          <w:szCs w:val="24"/>
        </w:rPr>
        <w:t xml:space="preserve"> </w:t>
      </w:r>
      <w:r w:rsidR="00A73119">
        <w:rPr>
          <w:sz w:val="24"/>
          <w:szCs w:val="24"/>
        </w:rPr>
        <w:t>both</w:t>
      </w:r>
      <w:r w:rsidR="00686CE8">
        <w:rPr>
          <w:sz w:val="24"/>
          <w:szCs w:val="24"/>
        </w:rPr>
        <w:t xml:space="preserve"> had </w:t>
      </w:r>
      <w:r w:rsidR="00B71092">
        <w:rPr>
          <w:sz w:val="24"/>
          <w:szCs w:val="24"/>
        </w:rPr>
        <w:lastRenderedPageBreak/>
        <w:t>declines for ROCE from 2019 to 2020 by a similar percentage</w:t>
      </w:r>
      <w:r w:rsidR="00F34F59">
        <w:rPr>
          <w:sz w:val="24"/>
          <w:szCs w:val="24"/>
        </w:rPr>
        <w:t xml:space="preserve"> (12.4% and 14.2% respectively) before recovering </w:t>
      </w:r>
      <w:r w:rsidR="00FA5BD0">
        <w:rPr>
          <w:sz w:val="24"/>
          <w:szCs w:val="24"/>
        </w:rPr>
        <w:t xml:space="preserve">from 2020 to 2021 </w:t>
      </w:r>
      <w:r w:rsidR="00556AD6">
        <w:rPr>
          <w:sz w:val="24"/>
          <w:szCs w:val="24"/>
        </w:rPr>
        <w:t>but not to 2019 levels</w:t>
      </w:r>
      <w:r w:rsidR="00641DBE">
        <w:rPr>
          <w:sz w:val="24"/>
          <w:szCs w:val="24"/>
        </w:rPr>
        <w:t xml:space="preserve"> (Consumer Discretionary - </w:t>
      </w:r>
      <w:r w:rsidR="00EF74AC">
        <w:rPr>
          <w:sz w:val="24"/>
          <w:szCs w:val="24"/>
        </w:rPr>
        <w:t>2019: 13.4%, 2021: 7.4%</w:t>
      </w:r>
      <w:r w:rsidR="00641DBE">
        <w:rPr>
          <w:sz w:val="24"/>
          <w:szCs w:val="24"/>
        </w:rPr>
        <w:t>. Technology - 2019: 24.6%, 2021: 15.7%).</w:t>
      </w:r>
      <w:r w:rsidR="006B7AB1">
        <w:rPr>
          <w:sz w:val="24"/>
          <w:szCs w:val="24"/>
        </w:rPr>
        <w:t xml:space="preserve"> </w:t>
      </w:r>
      <w:r w:rsidR="00A73119">
        <w:rPr>
          <w:sz w:val="24"/>
          <w:szCs w:val="24"/>
        </w:rPr>
        <w:t xml:space="preserve"> </w:t>
      </w:r>
      <w:r w:rsidR="00E64B64">
        <w:rPr>
          <w:sz w:val="24"/>
          <w:szCs w:val="24"/>
        </w:rPr>
        <w:t>Five</w:t>
      </w:r>
      <w:r w:rsidR="000E4705">
        <w:rPr>
          <w:sz w:val="24"/>
          <w:szCs w:val="24"/>
        </w:rPr>
        <w:t xml:space="preserve"> sectors showed </w:t>
      </w:r>
      <w:r w:rsidR="0000374E">
        <w:rPr>
          <w:sz w:val="24"/>
          <w:szCs w:val="24"/>
        </w:rPr>
        <w:t xml:space="preserve">a recovery in 2021 in ROCE that exceeded their 2019, pre-COVID-19 values. </w:t>
      </w:r>
      <w:r w:rsidR="003D116F">
        <w:rPr>
          <w:sz w:val="24"/>
          <w:szCs w:val="24"/>
        </w:rPr>
        <w:t xml:space="preserve">The financials sector </w:t>
      </w:r>
      <w:r w:rsidR="001D6BF1">
        <w:rPr>
          <w:sz w:val="24"/>
          <w:szCs w:val="24"/>
        </w:rPr>
        <w:t>decreased</w:t>
      </w:r>
      <w:r w:rsidR="003D116F">
        <w:rPr>
          <w:sz w:val="24"/>
          <w:szCs w:val="24"/>
        </w:rPr>
        <w:t xml:space="preserve"> in 2020 to </w:t>
      </w:r>
      <w:r w:rsidR="00F95ED6">
        <w:rPr>
          <w:sz w:val="24"/>
          <w:szCs w:val="24"/>
        </w:rPr>
        <w:t xml:space="preserve">9.2% from 10.6% in 2019, to recover to 16.8% in 2021, the </w:t>
      </w:r>
      <w:r w:rsidR="001D6BF1">
        <w:rPr>
          <w:sz w:val="24"/>
          <w:szCs w:val="24"/>
        </w:rPr>
        <w:t xml:space="preserve">utilities sector decreased in 2020 to -0.9% from -0.4% in 2019, to recover to </w:t>
      </w:r>
      <w:r w:rsidR="003C2FBB">
        <w:rPr>
          <w:sz w:val="24"/>
          <w:szCs w:val="24"/>
        </w:rPr>
        <w:t>8% in 2021</w:t>
      </w:r>
      <w:r w:rsidR="00A84D67">
        <w:rPr>
          <w:sz w:val="24"/>
          <w:szCs w:val="24"/>
        </w:rPr>
        <w:t xml:space="preserve">; </w:t>
      </w:r>
      <w:r w:rsidR="003C2FBB">
        <w:rPr>
          <w:sz w:val="24"/>
          <w:szCs w:val="24"/>
        </w:rPr>
        <w:t xml:space="preserve">the healthcare sector decreased in 2020 to -3.0% </w:t>
      </w:r>
      <w:r w:rsidR="00454790">
        <w:rPr>
          <w:sz w:val="24"/>
          <w:szCs w:val="24"/>
        </w:rPr>
        <w:t>from 2.7% in 2019, to recover to 10.1% in 2021</w:t>
      </w:r>
      <w:r w:rsidR="00A84D67">
        <w:rPr>
          <w:sz w:val="24"/>
          <w:szCs w:val="24"/>
        </w:rPr>
        <w:t xml:space="preserve"> and the consumer staples sector decreased in 2020 to 2.8% from 10.9% in 2019</w:t>
      </w:r>
      <w:r w:rsidR="00D50FBD">
        <w:rPr>
          <w:sz w:val="24"/>
          <w:szCs w:val="24"/>
        </w:rPr>
        <w:t>, to recover to 11.9% in 2021</w:t>
      </w:r>
      <w:r w:rsidR="00454790">
        <w:rPr>
          <w:sz w:val="24"/>
          <w:szCs w:val="24"/>
        </w:rPr>
        <w:t>.</w:t>
      </w:r>
      <w:r w:rsidR="00D50FBD">
        <w:rPr>
          <w:sz w:val="24"/>
          <w:szCs w:val="24"/>
        </w:rPr>
        <w:t xml:space="preserve"> The telecommunications sector increased its ROCE </w:t>
      </w:r>
      <w:r w:rsidR="006F0B9F">
        <w:rPr>
          <w:sz w:val="24"/>
          <w:szCs w:val="24"/>
        </w:rPr>
        <w:t xml:space="preserve">between 2019 from 9.6% to 12% in 2020 and remained </w:t>
      </w:r>
      <w:r w:rsidR="00A97582">
        <w:rPr>
          <w:sz w:val="24"/>
          <w:szCs w:val="24"/>
        </w:rPr>
        <w:t xml:space="preserve">stable in 2021 at 11.9%. Two sectors showed progressive </w:t>
      </w:r>
      <w:r w:rsidR="002546A3">
        <w:rPr>
          <w:sz w:val="24"/>
          <w:szCs w:val="24"/>
        </w:rPr>
        <w:t xml:space="preserve">declines in ROCE over the three years, with the industrials sector </w:t>
      </w:r>
      <w:r w:rsidR="00A55BB5">
        <w:rPr>
          <w:sz w:val="24"/>
          <w:szCs w:val="24"/>
        </w:rPr>
        <w:t xml:space="preserve">declining from 13.4% in 2019 to -8.1% in 2021; and the energy sector declining from </w:t>
      </w:r>
      <w:r w:rsidR="000A0025">
        <w:rPr>
          <w:sz w:val="24"/>
          <w:szCs w:val="24"/>
        </w:rPr>
        <w:t xml:space="preserve">7.3% in 2019 to -7.7% in 2021. </w:t>
      </w:r>
      <w:r w:rsidR="00454790">
        <w:rPr>
          <w:sz w:val="24"/>
          <w:szCs w:val="24"/>
        </w:rPr>
        <w:t xml:space="preserve"> </w:t>
      </w:r>
    </w:p>
    <w:p w14:paraId="7A237D74" w14:textId="77777777" w:rsidR="00611547" w:rsidRDefault="00611547">
      <w:pPr>
        <w:rPr>
          <w:rFonts w:eastAsiaTheme="majorEastAsia" w:cstheme="majorBidi"/>
          <w:b/>
          <w:bCs/>
          <w:i/>
          <w:sz w:val="24"/>
          <w:szCs w:val="24"/>
        </w:rPr>
      </w:pPr>
      <w:bookmarkStart w:id="52" w:name="OLE_LINK4"/>
      <w:r>
        <w:rPr>
          <w:szCs w:val="24"/>
        </w:rPr>
        <w:br w:type="page"/>
      </w:r>
    </w:p>
    <w:p w14:paraId="53AACD89" w14:textId="32E0EE52" w:rsidR="00BD6FD8" w:rsidRDefault="00234D2F" w:rsidP="007656AE">
      <w:pPr>
        <w:pStyle w:val="Heading2"/>
        <w:numPr>
          <w:ilvl w:val="1"/>
          <w:numId w:val="3"/>
        </w:numPr>
        <w:spacing w:line="480" w:lineRule="auto"/>
        <w:jc w:val="both"/>
        <w:rPr>
          <w:szCs w:val="24"/>
        </w:rPr>
      </w:pPr>
      <w:bookmarkStart w:id="53" w:name="_Toc141646727"/>
      <w:r>
        <w:rPr>
          <w:szCs w:val="24"/>
        </w:rPr>
        <w:lastRenderedPageBreak/>
        <w:t>Efficiency</w:t>
      </w:r>
      <w:bookmarkEnd w:id="53"/>
    </w:p>
    <w:p w14:paraId="5846FFB1" w14:textId="7C6D9FC7" w:rsidR="00BD3F4E" w:rsidRPr="00BD6FD8" w:rsidRDefault="00BD3F4E" w:rsidP="007656AE">
      <w:pPr>
        <w:pStyle w:val="Heading3"/>
        <w:numPr>
          <w:ilvl w:val="2"/>
          <w:numId w:val="3"/>
        </w:numPr>
        <w:rPr>
          <w:szCs w:val="24"/>
        </w:rPr>
      </w:pPr>
      <w:bookmarkStart w:id="54" w:name="_Toc141646728"/>
      <w:r>
        <w:rPr>
          <w:szCs w:val="24"/>
        </w:rPr>
        <w:t>Asset Turnover</w:t>
      </w:r>
      <w:bookmarkEnd w:id="54"/>
    </w:p>
    <w:p w14:paraId="3D084B21" w14:textId="336FE739" w:rsidR="00611547" w:rsidRPr="0077717F" w:rsidRDefault="00CC7554" w:rsidP="0077717F">
      <w:pPr>
        <w:spacing w:line="480" w:lineRule="auto"/>
        <w:rPr>
          <w:b/>
          <w:bCs/>
          <w:sz w:val="18"/>
          <w:szCs w:val="18"/>
        </w:rPr>
      </w:pPr>
      <w:r>
        <w:rPr>
          <w:noProof/>
        </w:rPr>
        <w:drawing>
          <wp:anchor distT="0" distB="0" distL="114300" distR="114300" simplePos="0" relativeHeight="251658249" behindDoc="0" locked="0" layoutInCell="1" allowOverlap="1" wp14:anchorId="030116C8" wp14:editId="55E05C35">
            <wp:simplePos x="0" y="0"/>
            <wp:positionH relativeFrom="margin">
              <wp:align>center</wp:align>
            </wp:positionH>
            <wp:positionV relativeFrom="paragraph">
              <wp:posOffset>1270</wp:posOffset>
            </wp:positionV>
            <wp:extent cx="6696000" cy="3852000"/>
            <wp:effectExtent l="0" t="0" r="0" b="0"/>
            <wp:wrapTopAndBottom/>
            <wp:docPr id="1365393001" name="Chart 1">
              <a:extLst xmlns:a="http://schemas.openxmlformats.org/drawingml/2006/main">
                <a:ext uri="{FF2B5EF4-FFF2-40B4-BE49-F238E27FC236}">
                  <a16:creationId xmlns:a16="http://schemas.microsoft.com/office/drawing/2014/main" id="{A6C5EE1F-CBC3-654F-BF4C-4C661C057278}"/>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24"/>
              </a:graphicData>
            </a:graphic>
            <wp14:sizeRelH relativeFrom="page">
              <wp14:pctWidth>0</wp14:pctWidth>
            </wp14:sizeRelH>
            <wp14:sizeRelV relativeFrom="page">
              <wp14:pctHeight>0</wp14:pctHeight>
            </wp14:sizeRelV>
          </wp:anchor>
        </w:drawing>
      </w:r>
      <w:r w:rsidR="00611547" w:rsidRPr="00611547">
        <w:t xml:space="preserve"> </w:t>
      </w:r>
      <w:r w:rsidR="0077717F" w:rsidRPr="000F2693">
        <w:rPr>
          <w:b/>
          <w:bCs/>
          <w:sz w:val="18"/>
          <w:szCs w:val="18"/>
        </w:rPr>
        <w:t xml:space="preserve">Figure </w:t>
      </w:r>
      <w:r w:rsidR="0012493F">
        <w:rPr>
          <w:b/>
          <w:bCs/>
          <w:sz w:val="18"/>
          <w:szCs w:val="18"/>
        </w:rPr>
        <w:t>9</w:t>
      </w:r>
      <w:r w:rsidR="0077717F" w:rsidRPr="000F2693">
        <w:rPr>
          <w:b/>
          <w:bCs/>
          <w:sz w:val="18"/>
          <w:szCs w:val="18"/>
        </w:rPr>
        <w:t xml:space="preserve">. </w:t>
      </w:r>
      <w:r w:rsidR="0077717F">
        <w:rPr>
          <w:b/>
          <w:bCs/>
          <w:sz w:val="18"/>
          <w:szCs w:val="18"/>
        </w:rPr>
        <w:t>Asset Turnover</w:t>
      </w:r>
      <w:r w:rsidR="0077717F" w:rsidRPr="000F2693">
        <w:rPr>
          <w:b/>
          <w:bCs/>
          <w:sz w:val="18"/>
          <w:szCs w:val="18"/>
        </w:rPr>
        <w:t xml:space="preserve"> financial ratio results for all </w:t>
      </w:r>
      <w:r w:rsidR="00D06C36">
        <w:rPr>
          <w:b/>
          <w:bCs/>
          <w:sz w:val="18"/>
          <w:szCs w:val="18"/>
        </w:rPr>
        <w:t>FTSE 250</w:t>
      </w:r>
      <w:r w:rsidR="0077717F" w:rsidRPr="000F2693">
        <w:rPr>
          <w:b/>
          <w:bCs/>
          <w:sz w:val="18"/>
          <w:szCs w:val="18"/>
        </w:rPr>
        <w:t xml:space="preserve"> industry sectors between 2019 and 2021. </w:t>
      </w:r>
    </w:p>
    <w:p w14:paraId="677E8FD1" w14:textId="4D7CC239" w:rsidR="00BD3F4E" w:rsidRDefault="00611547" w:rsidP="00611547">
      <w:pPr>
        <w:spacing w:line="480" w:lineRule="auto"/>
        <w:jc w:val="both"/>
        <w:rPr>
          <w:szCs w:val="24"/>
        </w:rPr>
      </w:pPr>
      <w:r w:rsidRPr="00611547">
        <w:rPr>
          <w:sz w:val="24"/>
          <w:szCs w:val="24"/>
        </w:rPr>
        <w:t>Asset turnover measures how efficiently</w:t>
      </w:r>
      <w:r w:rsidR="00946412">
        <w:rPr>
          <w:sz w:val="24"/>
          <w:szCs w:val="24"/>
        </w:rPr>
        <w:t xml:space="preserve"> </w:t>
      </w:r>
      <w:r w:rsidR="002F1F65">
        <w:rPr>
          <w:sz w:val="24"/>
          <w:szCs w:val="24"/>
        </w:rPr>
        <w:t xml:space="preserve">a </w:t>
      </w:r>
      <w:r w:rsidRPr="00611547">
        <w:rPr>
          <w:sz w:val="24"/>
          <w:szCs w:val="24"/>
        </w:rPr>
        <w:t>compan</w:t>
      </w:r>
      <w:r w:rsidR="002F1F65">
        <w:rPr>
          <w:sz w:val="24"/>
          <w:szCs w:val="24"/>
        </w:rPr>
        <w:t>y</w:t>
      </w:r>
      <w:r w:rsidRPr="00611547">
        <w:rPr>
          <w:sz w:val="24"/>
          <w:szCs w:val="24"/>
        </w:rPr>
        <w:t xml:space="preserve"> use</w:t>
      </w:r>
      <w:r w:rsidR="002F1F65">
        <w:rPr>
          <w:sz w:val="24"/>
          <w:szCs w:val="24"/>
        </w:rPr>
        <w:t>s</w:t>
      </w:r>
      <w:r w:rsidRPr="00611547">
        <w:rPr>
          <w:sz w:val="24"/>
          <w:szCs w:val="24"/>
        </w:rPr>
        <w:t xml:space="preserve"> assets to generate revenue</w:t>
      </w:r>
      <w:r w:rsidR="007E1FF5">
        <w:rPr>
          <w:sz w:val="24"/>
          <w:szCs w:val="24"/>
        </w:rPr>
        <w:t xml:space="preserve"> (Figure</w:t>
      </w:r>
      <w:r w:rsidR="00A733DC">
        <w:rPr>
          <w:sz w:val="24"/>
          <w:szCs w:val="24"/>
        </w:rPr>
        <w:t xml:space="preserve"> 9.)</w:t>
      </w:r>
      <w:r w:rsidRPr="00611547">
        <w:rPr>
          <w:sz w:val="24"/>
          <w:szCs w:val="24"/>
        </w:rPr>
        <w:t>. A high asset turnover ratio indicates that</w:t>
      </w:r>
      <w:r w:rsidR="002F1F65">
        <w:rPr>
          <w:sz w:val="24"/>
          <w:szCs w:val="24"/>
        </w:rPr>
        <w:t xml:space="preserve"> the</w:t>
      </w:r>
      <w:r w:rsidRPr="00611547">
        <w:rPr>
          <w:sz w:val="24"/>
          <w:szCs w:val="24"/>
        </w:rPr>
        <w:t xml:space="preserve"> compa</w:t>
      </w:r>
      <w:r w:rsidR="006E2777">
        <w:rPr>
          <w:sz w:val="24"/>
          <w:szCs w:val="24"/>
        </w:rPr>
        <w:t>n</w:t>
      </w:r>
      <w:r w:rsidR="002F1F65">
        <w:rPr>
          <w:sz w:val="24"/>
          <w:szCs w:val="24"/>
        </w:rPr>
        <w:t>y</w:t>
      </w:r>
      <w:r w:rsidRPr="00611547">
        <w:rPr>
          <w:sz w:val="24"/>
          <w:szCs w:val="24"/>
        </w:rPr>
        <w:t xml:space="preserve"> is generating more revenue per dollar of assets than </w:t>
      </w:r>
      <w:r>
        <w:rPr>
          <w:sz w:val="24"/>
          <w:szCs w:val="24"/>
        </w:rPr>
        <w:t>one</w:t>
      </w:r>
      <w:r w:rsidRPr="00611547">
        <w:rPr>
          <w:sz w:val="24"/>
          <w:szCs w:val="24"/>
        </w:rPr>
        <w:t xml:space="preserve"> with a low asset turnover ratio.</w:t>
      </w:r>
      <w:r w:rsidR="002220C5">
        <w:rPr>
          <w:sz w:val="24"/>
          <w:szCs w:val="24"/>
        </w:rPr>
        <w:t xml:space="preserve"> The </w:t>
      </w:r>
      <w:r w:rsidR="00E504EE">
        <w:rPr>
          <w:sz w:val="24"/>
          <w:szCs w:val="24"/>
        </w:rPr>
        <w:t>financial and real estate sectors displayed the lowest asset turnover</w:t>
      </w:r>
      <w:r w:rsidR="004E5D10">
        <w:rPr>
          <w:sz w:val="24"/>
          <w:szCs w:val="24"/>
        </w:rPr>
        <w:t xml:space="preserve"> across the 3 years</w:t>
      </w:r>
      <w:r w:rsidR="00F61ED9">
        <w:rPr>
          <w:sz w:val="24"/>
          <w:szCs w:val="24"/>
        </w:rPr>
        <w:t>. The financial sector</w:t>
      </w:r>
      <w:r w:rsidR="00B125A2">
        <w:rPr>
          <w:sz w:val="24"/>
          <w:szCs w:val="24"/>
        </w:rPr>
        <w:t xml:space="preserve"> stayed relatively stable in 2019 and 2020 (0.16 and 0.22) before increasing in 2021 to 0.22. </w:t>
      </w:r>
      <w:r w:rsidR="00717B9E">
        <w:rPr>
          <w:sz w:val="24"/>
          <w:szCs w:val="24"/>
        </w:rPr>
        <w:t xml:space="preserve">The real estate sector </w:t>
      </w:r>
      <w:r w:rsidR="00CA3F00">
        <w:rPr>
          <w:sz w:val="24"/>
          <w:szCs w:val="24"/>
        </w:rPr>
        <w:t xml:space="preserve">declined in 2020 to 0.13 from 0.14 in 2019 and remained stable in 2021 at 0.13. </w:t>
      </w:r>
      <w:r w:rsidR="00512ED8">
        <w:rPr>
          <w:sz w:val="24"/>
          <w:szCs w:val="24"/>
        </w:rPr>
        <w:t xml:space="preserve">The energy sector also displayed a </w:t>
      </w:r>
      <w:r w:rsidR="008E743E">
        <w:rPr>
          <w:sz w:val="24"/>
          <w:szCs w:val="24"/>
        </w:rPr>
        <w:t>lower-than-average</w:t>
      </w:r>
      <w:r w:rsidR="00512ED8">
        <w:rPr>
          <w:sz w:val="24"/>
          <w:szCs w:val="24"/>
        </w:rPr>
        <w:t xml:space="preserve"> </w:t>
      </w:r>
      <w:r w:rsidR="00AD18D4">
        <w:rPr>
          <w:sz w:val="24"/>
          <w:szCs w:val="24"/>
        </w:rPr>
        <w:t xml:space="preserve">asset </w:t>
      </w:r>
      <w:r w:rsidR="00512ED8">
        <w:rPr>
          <w:sz w:val="24"/>
          <w:szCs w:val="24"/>
        </w:rPr>
        <w:t>turnover</w:t>
      </w:r>
      <w:r w:rsidR="0064581F">
        <w:rPr>
          <w:sz w:val="24"/>
          <w:szCs w:val="24"/>
        </w:rPr>
        <w:t xml:space="preserve">, with a </w:t>
      </w:r>
      <w:r w:rsidR="008E743E">
        <w:rPr>
          <w:sz w:val="24"/>
          <w:szCs w:val="24"/>
        </w:rPr>
        <w:t>decline for 2020 and 2021 to 0.27 from 0.30 in 2019. These sectors show a lower asset turn</w:t>
      </w:r>
      <w:r w:rsidR="00AD18D4">
        <w:rPr>
          <w:sz w:val="24"/>
          <w:szCs w:val="24"/>
        </w:rPr>
        <w:t>over, suggesting that compared to other sectors they are not using their assets as effectively to produce revenue.</w:t>
      </w:r>
      <w:r w:rsidR="003B5613">
        <w:rPr>
          <w:sz w:val="24"/>
          <w:szCs w:val="24"/>
        </w:rPr>
        <w:t xml:space="preserve"> </w:t>
      </w:r>
      <w:r w:rsidR="00705710">
        <w:rPr>
          <w:sz w:val="24"/>
          <w:szCs w:val="24"/>
        </w:rPr>
        <w:t>The telecommunications</w:t>
      </w:r>
      <w:r w:rsidR="00840815">
        <w:rPr>
          <w:sz w:val="24"/>
          <w:szCs w:val="24"/>
        </w:rPr>
        <w:t xml:space="preserve"> and utilities sectors both showed continually </w:t>
      </w:r>
      <w:r w:rsidR="00840815">
        <w:rPr>
          <w:sz w:val="24"/>
          <w:szCs w:val="24"/>
        </w:rPr>
        <w:lastRenderedPageBreak/>
        <w:t>declining asset turnovers over the 2019 to 2021 years</w:t>
      </w:r>
      <w:r w:rsidR="006117BD">
        <w:rPr>
          <w:sz w:val="24"/>
          <w:szCs w:val="24"/>
        </w:rPr>
        <w:t>,</w:t>
      </w:r>
      <w:r w:rsidR="002E0F94">
        <w:rPr>
          <w:sz w:val="24"/>
          <w:szCs w:val="24"/>
        </w:rPr>
        <w:t xml:space="preserve"> from </w:t>
      </w:r>
      <w:r w:rsidR="00501379">
        <w:rPr>
          <w:sz w:val="24"/>
          <w:szCs w:val="24"/>
        </w:rPr>
        <w:t xml:space="preserve">0.58 to 0.53 and 0.83 to 0.59 respectively, showing </w:t>
      </w:r>
      <w:r w:rsidR="006117BD">
        <w:rPr>
          <w:sz w:val="24"/>
          <w:szCs w:val="24"/>
        </w:rPr>
        <w:t xml:space="preserve">overall asset turnover was more productive in the utilities sector. </w:t>
      </w:r>
      <w:r w:rsidR="00BB7C45">
        <w:rPr>
          <w:sz w:val="24"/>
          <w:szCs w:val="24"/>
        </w:rPr>
        <w:t xml:space="preserve">The consumer discretionary </w:t>
      </w:r>
      <w:r w:rsidR="008B68B1">
        <w:rPr>
          <w:sz w:val="24"/>
          <w:szCs w:val="24"/>
        </w:rPr>
        <w:t xml:space="preserve">sector shows the largest drop in asset turnover with a decline of </w:t>
      </w:r>
      <w:r w:rsidR="005E55FF">
        <w:rPr>
          <w:sz w:val="24"/>
          <w:szCs w:val="24"/>
        </w:rPr>
        <w:t>0.43 between 2019 to 2020 from 1.25 to 0.82</w:t>
      </w:r>
      <w:r w:rsidR="00FD4BB6">
        <w:rPr>
          <w:sz w:val="24"/>
          <w:szCs w:val="24"/>
        </w:rPr>
        <w:t>, with a slight increase in 2021 to 0.86</w:t>
      </w:r>
      <w:r w:rsidR="007F6831">
        <w:rPr>
          <w:sz w:val="24"/>
          <w:szCs w:val="24"/>
        </w:rPr>
        <w:t xml:space="preserve">; indicating that </w:t>
      </w:r>
      <w:r w:rsidR="00A44C76">
        <w:rPr>
          <w:sz w:val="24"/>
          <w:szCs w:val="24"/>
        </w:rPr>
        <w:t xml:space="preserve">there was a </w:t>
      </w:r>
      <w:r w:rsidR="00FA5AE0">
        <w:rPr>
          <w:sz w:val="24"/>
          <w:szCs w:val="24"/>
        </w:rPr>
        <w:t>substantial</w:t>
      </w:r>
      <w:r w:rsidR="00A44C76">
        <w:rPr>
          <w:sz w:val="24"/>
          <w:szCs w:val="24"/>
        </w:rPr>
        <w:t xml:space="preserve"> drop in revenue generation </w:t>
      </w:r>
      <w:r w:rsidR="00FA5AE0">
        <w:rPr>
          <w:sz w:val="24"/>
          <w:szCs w:val="24"/>
        </w:rPr>
        <w:t xml:space="preserve">from the sector’s assets. </w:t>
      </w:r>
      <w:r w:rsidR="001D0EA8">
        <w:rPr>
          <w:sz w:val="24"/>
          <w:szCs w:val="24"/>
        </w:rPr>
        <w:t xml:space="preserve">The consumer staples and healthcare sectors both showed declines in asset turnover from 2019 to 2020 from </w:t>
      </w:r>
      <w:r w:rsidR="00647D0C">
        <w:rPr>
          <w:sz w:val="24"/>
          <w:szCs w:val="24"/>
        </w:rPr>
        <w:t xml:space="preserve">1.26 to </w:t>
      </w:r>
      <w:r w:rsidR="003A2C45">
        <w:rPr>
          <w:sz w:val="24"/>
          <w:szCs w:val="24"/>
        </w:rPr>
        <w:t xml:space="preserve">1.12 and 0.50 to 0.49 respectively, however returned in 2021 to levels higher than 2019 at </w:t>
      </w:r>
      <w:r w:rsidR="000767D1">
        <w:rPr>
          <w:sz w:val="24"/>
          <w:szCs w:val="24"/>
        </w:rPr>
        <w:t xml:space="preserve">1.34 and 0.55 showing they increased the </w:t>
      </w:r>
      <w:r w:rsidR="00CD5EF3">
        <w:rPr>
          <w:sz w:val="24"/>
          <w:szCs w:val="24"/>
        </w:rPr>
        <w:t>utilisation</w:t>
      </w:r>
      <w:r w:rsidR="000767D1">
        <w:rPr>
          <w:sz w:val="24"/>
          <w:szCs w:val="24"/>
        </w:rPr>
        <w:t xml:space="preserve"> of their assets</w:t>
      </w:r>
      <w:r w:rsidR="00CD5EF3">
        <w:rPr>
          <w:sz w:val="24"/>
          <w:szCs w:val="24"/>
        </w:rPr>
        <w:t>.</w:t>
      </w:r>
    </w:p>
    <w:p w14:paraId="2707CBFF" w14:textId="744BC0C3" w:rsidR="00B22E6F" w:rsidRDefault="00B22E6F" w:rsidP="007656AE">
      <w:pPr>
        <w:pStyle w:val="Heading3"/>
        <w:numPr>
          <w:ilvl w:val="2"/>
          <w:numId w:val="3"/>
        </w:numPr>
        <w:rPr>
          <w:szCs w:val="24"/>
        </w:rPr>
      </w:pPr>
      <w:bookmarkStart w:id="55" w:name="_Toc141646729"/>
      <w:r>
        <w:rPr>
          <w:noProof/>
        </w:rPr>
        <w:drawing>
          <wp:anchor distT="0" distB="0" distL="114300" distR="114300" simplePos="0" relativeHeight="251658250" behindDoc="0" locked="0" layoutInCell="1" allowOverlap="1" wp14:anchorId="7DA4DAE4" wp14:editId="47ADDB92">
            <wp:simplePos x="0" y="0"/>
            <wp:positionH relativeFrom="margin">
              <wp:posOffset>-481965</wp:posOffset>
            </wp:positionH>
            <wp:positionV relativeFrom="paragraph">
              <wp:posOffset>455442</wp:posOffset>
            </wp:positionV>
            <wp:extent cx="6696000" cy="3852000"/>
            <wp:effectExtent l="0" t="0" r="0" b="0"/>
            <wp:wrapTopAndBottom/>
            <wp:docPr id="1072423444" name="Chart 1">
              <a:extLst xmlns:a="http://schemas.openxmlformats.org/drawingml/2006/main">
                <a:ext uri="{FF2B5EF4-FFF2-40B4-BE49-F238E27FC236}">
                  <a16:creationId xmlns:a16="http://schemas.microsoft.com/office/drawing/2014/main" id="{EF1F73B3-E63D-0340-9FD9-81096322878D}"/>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25"/>
              </a:graphicData>
            </a:graphic>
            <wp14:sizeRelH relativeFrom="page">
              <wp14:pctWidth>0</wp14:pctWidth>
            </wp14:sizeRelH>
            <wp14:sizeRelV relativeFrom="page">
              <wp14:pctHeight>0</wp14:pctHeight>
            </wp14:sizeRelV>
          </wp:anchor>
        </w:drawing>
      </w:r>
      <w:r>
        <w:rPr>
          <w:szCs w:val="24"/>
        </w:rPr>
        <w:t>Return on Assets</w:t>
      </w:r>
      <w:bookmarkEnd w:id="55"/>
    </w:p>
    <w:p w14:paraId="5513A892" w14:textId="75A57C5E" w:rsidR="0077717F" w:rsidRPr="0077717F" w:rsidRDefault="0077717F" w:rsidP="0077717F">
      <w:pPr>
        <w:spacing w:line="480" w:lineRule="auto"/>
        <w:rPr>
          <w:b/>
          <w:bCs/>
          <w:sz w:val="18"/>
          <w:szCs w:val="18"/>
        </w:rPr>
      </w:pPr>
      <w:r w:rsidRPr="0077717F">
        <w:rPr>
          <w:b/>
          <w:bCs/>
          <w:sz w:val="18"/>
          <w:szCs w:val="18"/>
        </w:rPr>
        <w:t xml:space="preserve">Figure </w:t>
      </w:r>
      <w:r>
        <w:rPr>
          <w:b/>
          <w:bCs/>
          <w:sz w:val="18"/>
          <w:szCs w:val="18"/>
        </w:rPr>
        <w:t>1</w:t>
      </w:r>
      <w:r w:rsidR="0012493F">
        <w:rPr>
          <w:b/>
          <w:bCs/>
          <w:sz w:val="18"/>
          <w:szCs w:val="18"/>
        </w:rPr>
        <w:t>0</w:t>
      </w:r>
      <w:r w:rsidRPr="0077717F">
        <w:rPr>
          <w:b/>
          <w:bCs/>
          <w:sz w:val="18"/>
          <w:szCs w:val="18"/>
        </w:rPr>
        <w:t xml:space="preserve">. </w:t>
      </w:r>
      <w:r>
        <w:rPr>
          <w:b/>
          <w:bCs/>
          <w:sz w:val="18"/>
          <w:szCs w:val="18"/>
        </w:rPr>
        <w:t>Return on Assets</w:t>
      </w:r>
      <w:r w:rsidRPr="0077717F">
        <w:rPr>
          <w:b/>
          <w:bCs/>
          <w:sz w:val="18"/>
          <w:szCs w:val="18"/>
        </w:rPr>
        <w:t xml:space="preserve"> financial ratio results for all </w:t>
      </w:r>
      <w:r w:rsidR="00D06C36">
        <w:rPr>
          <w:b/>
          <w:bCs/>
          <w:sz w:val="18"/>
          <w:szCs w:val="18"/>
        </w:rPr>
        <w:t>FTSE 250</w:t>
      </w:r>
      <w:r w:rsidRPr="0077717F">
        <w:rPr>
          <w:b/>
          <w:bCs/>
          <w:sz w:val="18"/>
          <w:szCs w:val="18"/>
        </w:rPr>
        <w:t xml:space="preserve"> industry sectors between 2019 and 2021. </w:t>
      </w:r>
    </w:p>
    <w:p w14:paraId="0EE21EB2" w14:textId="2C9F3F4A" w:rsidR="00724D59" w:rsidRPr="00724D59" w:rsidRDefault="00724D59" w:rsidP="00724D59">
      <w:pPr>
        <w:spacing w:line="480" w:lineRule="auto"/>
        <w:jc w:val="both"/>
        <w:rPr>
          <w:sz w:val="24"/>
          <w:szCs w:val="24"/>
        </w:rPr>
      </w:pPr>
    </w:p>
    <w:p w14:paraId="4ADCACE8" w14:textId="798F720B" w:rsidR="00724D59" w:rsidRPr="00724D59" w:rsidRDefault="006E2777" w:rsidP="00724D59">
      <w:pPr>
        <w:spacing w:line="480" w:lineRule="auto"/>
        <w:jc w:val="both"/>
      </w:pPr>
      <w:r>
        <w:rPr>
          <w:sz w:val="24"/>
          <w:szCs w:val="24"/>
        </w:rPr>
        <w:lastRenderedPageBreak/>
        <w:t>The return on assets (ROA) ratio measures compan</w:t>
      </w:r>
      <w:r w:rsidR="00FA3880">
        <w:rPr>
          <w:sz w:val="24"/>
          <w:szCs w:val="24"/>
        </w:rPr>
        <w:t>y</w:t>
      </w:r>
      <w:r>
        <w:rPr>
          <w:sz w:val="24"/>
          <w:szCs w:val="24"/>
        </w:rPr>
        <w:t xml:space="preserve"> </w:t>
      </w:r>
      <w:r w:rsidR="00327D71">
        <w:rPr>
          <w:sz w:val="24"/>
          <w:szCs w:val="24"/>
        </w:rPr>
        <w:t xml:space="preserve">profitability </w:t>
      </w:r>
      <w:r w:rsidR="00E3231A">
        <w:rPr>
          <w:sz w:val="24"/>
          <w:szCs w:val="24"/>
        </w:rPr>
        <w:t xml:space="preserve">in relation to </w:t>
      </w:r>
      <w:r w:rsidR="00946412">
        <w:rPr>
          <w:sz w:val="24"/>
          <w:szCs w:val="24"/>
        </w:rPr>
        <w:t>its</w:t>
      </w:r>
      <w:r w:rsidR="00E3231A">
        <w:rPr>
          <w:sz w:val="24"/>
          <w:szCs w:val="24"/>
        </w:rPr>
        <w:t xml:space="preserve"> total assets, to</w:t>
      </w:r>
      <w:r w:rsidR="00946412">
        <w:rPr>
          <w:sz w:val="24"/>
          <w:szCs w:val="24"/>
        </w:rPr>
        <w:t xml:space="preserve"> analyse how efficiently a company is utilising</w:t>
      </w:r>
      <w:r w:rsidR="008A0F89">
        <w:rPr>
          <w:sz w:val="24"/>
          <w:szCs w:val="24"/>
        </w:rPr>
        <w:t xml:space="preserve"> all of</w:t>
      </w:r>
      <w:r w:rsidR="00946412">
        <w:rPr>
          <w:sz w:val="24"/>
          <w:szCs w:val="24"/>
        </w:rPr>
        <w:t xml:space="preserve"> its assets to generate </w:t>
      </w:r>
      <w:r w:rsidR="00922E8A">
        <w:rPr>
          <w:sz w:val="24"/>
          <w:szCs w:val="24"/>
        </w:rPr>
        <w:t>profit (</w:t>
      </w:r>
      <w:r w:rsidR="002E1677">
        <w:rPr>
          <w:sz w:val="24"/>
          <w:szCs w:val="24"/>
        </w:rPr>
        <w:t>Figure 10.)</w:t>
      </w:r>
      <w:r w:rsidR="00946412">
        <w:rPr>
          <w:sz w:val="24"/>
          <w:szCs w:val="24"/>
        </w:rPr>
        <w:t xml:space="preserve">. </w:t>
      </w:r>
      <w:r w:rsidR="00161E39">
        <w:rPr>
          <w:sz w:val="24"/>
          <w:szCs w:val="24"/>
        </w:rPr>
        <w:t xml:space="preserve">Of the eleven sectors analysed only one did not show the </w:t>
      </w:r>
      <w:r w:rsidR="002C2A0E">
        <w:rPr>
          <w:sz w:val="24"/>
          <w:szCs w:val="24"/>
        </w:rPr>
        <w:t xml:space="preserve">general COVID-19 dip within their ROA for the 2020 year. The telecommunications sector </w:t>
      </w:r>
      <w:r w:rsidR="00150CB6">
        <w:rPr>
          <w:sz w:val="24"/>
          <w:szCs w:val="24"/>
        </w:rPr>
        <w:t xml:space="preserve">increased its ROA from 0.9% in 2019 to 5.2% in 2020, before seeing a slight fall back in 2021 to 2.4%. </w:t>
      </w:r>
      <w:r w:rsidR="00EF638C">
        <w:rPr>
          <w:sz w:val="24"/>
          <w:szCs w:val="24"/>
        </w:rPr>
        <w:t>The majority of sectors saw a RO</w:t>
      </w:r>
      <w:r w:rsidR="0027502C">
        <w:rPr>
          <w:sz w:val="24"/>
          <w:szCs w:val="24"/>
        </w:rPr>
        <w:t>A</w:t>
      </w:r>
      <w:r w:rsidR="00CA2559">
        <w:rPr>
          <w:sz w:val="24"/>
          <w:szCs w:val="24"/>
        </w:rPr>
        <w:t xml:space="preserve"> for 2021 that exceeded their 2019 figure</w:t>
      </w:r>
      <w:r w:rsidR="00E57A27">
        <w:rPr>
          <w:sz w:val="24"/>
          <w:szCs w:val="24"/>
        </w:rPr>
        <w:t xml:space="preserve">, only the consumer discretionary (2019: </w:t>
      </w:r>
      <w:r w:rsidR="00F33E12">
        <w:rPr>
          <w:sz w:val="24"/>
          <w:szCs w:val="24"/>
        </w:rPr>
        <w:t>8.7%</w:t>
      </w:r>
      <w:r w:rsidR="00FF309E">
        <w:rPr>
          <w:sz w:val="24"/>
          <w:szCs w:val="24"/>
        </w:rPr>
        <w:t>,</w:t>
      </w:r>
      <w:r w:rsidR="00F33E12">
        <w:rPr>
          <w:sz w:val="24"/>
          <w:szCs w:val="24"/>
        </w:rPr>
        <w:t xml:space="preserve"> 2021: </w:t>
      </w:r>
      <w:r w:rsidR="00FF309E">
        <w:rPr>
          <w:sz w:val="24"/>
          <w:szCs w:val="24"/>
        </w:rPr>
        <w:t>2.4%)</w:t>
      </w:r>
      <w:r w:rsidR="00E57A27">
        <w:rPr>
          <w:sz w:val="24"/>
          <w:szCs w:val="24"/>
        </w:rPr>
        <w:t xml:space="preserve"> </w:t>
      </w:r>
      <w:r w:rsidR="00FF309E">
        <w:rPr>
          <w:sz w:val="24"/>
          <w:szCs w:val="24"/>
        </w:rPr>
        <w:t xml:space="preserve">and the consumer staples sectors (2019: </w:t>
      </w:r>
      <w:r w:rsidR="00297AD3">
        <w:rPr>
          <w:sz w:val="24"/>
          <w:szCs w:val="24"/>
        </w:rPr>
        <w:t xml:space="preserve">5.4%, 2021: 3.2%) </w:t>
      </w:r>
      <w:r w:rsidR="00303CED">
        <w:rPr>
          <w:sz w:val="24"/>
          <w:szCs w:val="24"/>
        </w:rPr>
        <w:t xml:space="preserve">saw a recovering ROA but not to above the 2019 level. </w:t>
      </w:r>
      <w:r w:rsidR="00815D00">
        <w:rPr>
          <w:sz w:val="24"/>
          <w:szCs w:val="24"/>
        </w:rPr>
        <w:t>The</w:t>
      </w:r>
      <w:r w:rsidR="0074494E">
        <w:rPr>
          <w:sz w:val="24"/>
          <w:szCs w:val="24"/>
        </w:rPr>
        <w:t xml:space="preserve"> sectors showing the greatest ROA </w:t>
      </w:r>
      <w:r w:rsidR="003153FB">
        <w:rPr>
          <w:sz w:val="24"/>
          <w:szCs w:val="24"/>
        </w:rPr>
        <w:t>grow</w:t>
      </w:r>
      <w:r w:rsidR="008A0F89">
        <w:rPr>
          <w:sz w:val="24"/>
          <w:szCs w:val="24"/>
        </w:rPr>
        <w:t>th</w:t>
      </w:r>
      <w:r w:rsidR="003153FB">
        <w:rPr>
          <w:sz w:val="24"/>
          <w:szCs w:val="24"/>
        </w:rPr>
        <w:t xml:space="preserve"> between 2019 and 2021 were healthcare (6.2%), </w:t>
      </w:r>
      <w:r w:rsidR="009D16A5">
        <w:rPr>
          <w:sz w:val="24"/>
          <w:szCs w:val="24"/>
        </w:rPr>
        <w:t>financials (5.7%), real estate (5.1%) and energy (</w:t>
      </w:r>
      <w:r w:rsidR="00D312B2">
        <w:rPr>
          <w:sz w:val="24"/>
          <w:szCs w:val="24"/>
        </w:rPr>
        <w:t>4.6%</w:t>
      </w:r>
      <w:r w:rsidR="00922E8A">
        <w:rPr>
          <w:sz w:val="24"/>
          <w:szCs w:val="24"/>
        </w:rPr>
        <w:t>),</w:t>
      </w:r>
      <w:r w:rsidR="00D312B2">
        <w:rPr>
          <w:sz w:val="24"/>
          <w:szCs w:val="24"/>
        </w:rPr>
        <w:t xml:space="preserve"> showing either effective </w:t>
      </w:r>
      <w:r w:rsidR="00150FD3">
        <w:rPr>
          <w:sz w:val="24"/>
          <w:szCs w:val="24"/>
        </w:rPr>
        <w:t xml:space="preserve">recovery from the impacts of the 2020 year. </w:t>
      </w:r>
      <w:r w:rsidR="006E36FE">
        <w:rPr>
          <w:sz w:val="24"/>
          <w:szCs w:val="24"/>
        </w:rPr>
        <w:t>The</w:t>
      </w:r>
      <w:r w:rsidR="00595458">
        <w:rPr>
          <w:sz w:val="24"/>
          <w:szCs w:val="24"/>
        </w:rPr>
        <w:t xml:space="preserve"> utilities sector showed </w:t>
      </w:r>
      <w:r w:rsidR="00BF2E04">
        <w:rPr>
          <w:sz w:val="24"/>
          <w:szCs w:val="24"/>
        </w:rPr>
        <w:t>small but consistent</w:t>
      </w:r>
      <w:r w:rsidR="00595458">
        <w:rPr>
          <w:sz w:val="24"/>
          <w:szCs w:val="24"/>
        </w:rPr>
        <w:t xml:space="preserve"> year-on-year growth over the 2019 to 2021 period in ROA, from </w:t>
      </w:r>
      <w:r w:rsidR="00BF2E04">
        <w:rPr>
          <w:sz w:val="24"/>
          <w:szCs w:val="24"/>
        </w:rPr>
        <w:t xml:space="preserve">-1.9% to 2.3%. </w:t>
      </w:r>
    </w:p>
    <w:p w14:paraId="36747EFE" w14:textId="77777777" w:rsidR="0077717F" w:rsidRDefault="0077717F">
      <w:pPr>
        <w:rPr>
          <w:rFonts w:eastAsiaTheme="majorEastAsia" w:cstheme="majorBidi"/>
          <w:b/>
          <w:bCs/>
          <w:i/>
          <w:sz w:val="24"/>
          <w:szCs w:val="24"/>
        </w:rPr>
      </w:pPr>
      <w:r>
        <w:rPr>
          <w:szCs w:val="24"/>
        </w:rPr>
        <w:br w:type="page"/>
      </w:r>
    </w:p>
    <w:p w14:paraId="7076FE19" w14:textId="6E6140F7" w:rsidR="00BD3F4E" w:rsidRDefault="0077717F" w:rsidP="007656AE">
      <w:pPr>
        <w:pStyle w:val="Heading3"/>
        <w:numPr>
          <w:ilvl w:val="2"/>
          <w:numId w:val="3"/>
        </w:numPr>
        <w:rPr>
          <w:szCs w:val="24"/>
        </w:rPr>
      </w:pPr>
      <w:bookmarkStart w:id="56" w:name="_Toc141646730"/>
      <w:r>
        <w:rPr>
          <w:noProof/>
        </w:rPr>
        <w:lastRenderedPageBreak/>
        <w:drawing>
          <wp:anchor distT="0" distB="0" distL="114300" distR="114300" simplePos="0" relativeHeight="251658251" behindDoc="0" locked="0" layoutInCell="1" allowOverlap="1" wp14:anchorId="7C624594" wp14:editId="2AEA1CF9">
            <wp:simplePos x="0" y="0"/>
            <wp:positionH relativeFrom="margin">
              <wp:posOffset>-481965</wp:posOffset>
            </wp:positionH>
            <wp:positionV relativeFrom="paragraph">
              <wp:posOffset>349157</wp:posOffset>
            </wp:positionV>
            <wp:extent cx="6696000" cy="3852000"/>
            <wp:effectExtent l="0" t="0" r="0" b="0"/>
            <wp:wrapTopAndBottom/>
            <wp:docPr id="1769978916" name="Chart 1">
              <a:extLst xmlns:a="http://schemas.openxmlformats.org/drawingml/2006/main">
                <a:ext uri="{FF2B5EF4-FFF2-40B4-BE49-F238E27FC236}">
                  <a16:creationId xmlns:a16="http://schemas.microsoft.com/office/drawing/2014/main" id="{D7E2852D-F243-734E-9B85-E47322964C97}"/>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26"/>
              </a:graphicData>
            </a:graphic>
            <wp14:sizeRelH relativeFrom="page">
              <wp14:pctWidth>0</wp14:pctWidth>
            </wp14:sizeRelH>
            <wp14:sizeRelV relativeFrom="page">
              <wp14:pctHeight>0</wp14:pctHeight>
            </wp14:sizeRelV>
          </wp:anchor>
        </w:drawing>
      </w:r>
      <w:r w:rsidR="00BD3F4E">
        <w:rPr>
          <w:szCs w:val="24"/>
        </w:rPr>
        <w:t>Non-current Asset Productivity</w:t>
      </w:r>
      <w:bookmarkEnd w:id="56"/>
    </w:p>
    <w:p w14:paraId="71A7EC4E" w14:textId="085C4C1F" w:rsidR="00724D59" w:rsidRPr="0077717F" w:rsidRDefault="0077717F" w:rsidP="0077717F">
      <w:pPr>
        <w:spacing w:line="480" w:lineRule="auto"/>
        <w:rPr>
          <w:b/>
          <w:bCs/>
          <w:sz w:val="18"/>
          <w:szCs w:val="18"/>
        </w:rPr>
      </w:pPr>
      <w:r w:rsidRPr="0077717F">
        <w:rPr>
          <w:b/>
          <w:bCs/>
          <w:sz w:val="18"/>
          <w:szCs w:val="18"/>
        </w:rPr>
        <w:t xml:space="preserve">Figure </w:t>
      </w:r>
      <w:r>
        <w:rPr>
          <w:b/>
          <w:bCs/>
          <w:sz w:val="18"/>
          <w:szCs w:val="18"/>
        </w:rPr>
        <w:t>1</w:t>
      </w:r>
      <w:r w:rsidR="0012493F">
        <w:rPr>
          <w:b/>
          <w:bCs/>
          <w:sz w:val="18"/>
          <w:szCs w:val="18"/>
        </w:rPr>
        <w:t>1</w:t>
      </w:r>
      <w:r w:rsidRPr="0077717F">
        <w:rPr>
          <w:b/>
          <w:bCs/>
          <w:sz w:val="18"/>
          <w:szCs w:val="18"/>
        </w:rPr>
        <w:t xml:space="preserve">. </w:t>
      </w:r>
      <w:r>
        <w:rPr>
          <w:b/>
          <w:bCs/>
          <w:sz w:val="18"/>
          <w:szCs w:val="18"/>
        </w:rPr>
        <w:t>Non-current Asset Productivity</w:t>
      </w:r>
      <w:r w:rsidRPr="0077717F">
        <w:rPr>
          <w:b/>
          <w:bCs/>
          <w:sz w:val="18"/>
          <w:szCs w:val="18"/>
        </w:rPr>
        <w:t xml:space="preserve"> financial ratio results for all </w:t>
      </w:r>
      <w:r w:rsidR="00D06C36">
        <w:rPr>
          <w:b/>
          <w:bCs/>
          <w:sz w:val="18"/>
          <w:szCs w:val="18"/>
        </w:rPr>
        <w:t>FTSE 250</w:t>
      </w:r>
      <w:r w:rsidRPr="0077717F">
        <w:rPr>
          <w:b/>
          <w:bCs/>
          <w:sz w:val="18"/>
          <w:szCs w:val="18"/>
        </w:rPr>
        <w:t xml:space="preserve"> industry sectors between 2019 and 2021. </w:t>
      </w:r>
    </w:p>
    <w:p w14:paraId="404D544D" w14:textId="5A44699B" w:rsidR="00724D59" w:rsidRPr="00724D59" w:rsidRDefault="00724D59" w:rsidP="00724D59">
      <w:pPr>
        <w:spacing w:line="480" w:lineRule="auto"/>
        <w:jc w:val="both"/>
      </w:pPr>
      <w:r w:rsidRPr="00724D59">
        <w:rPr>
          <w:sz w:val="24"/>
          <w:szCs w:val="24"/>
        </w:rPr>
        <w:t xml:space="preserve">The </w:t>
      </w:r>
      <w:r w:rsidR="00024F3B">
        <w:rPr>
          <w:sz w:val="24"/>
          <w:szCs w:val="24"/>
        </w:rPr>
        <w:t>non-current asset productivity ratio</w:t>
      </w:r>
      <w:r w:rsidR="006A7BEB">
        <w:rPr>
          <w:sz w:val="24"/>
          <w:szCs w:val="24"/>
        </w:rPr>
        <w:t xml:space="preserve"> measures</w:t>
      </w:r>
      <w:r w:rsidR="00812E9C">
        <w:rPr>
          <w:sz w:val="24"/>
          <w:szCs w:val="24"/>
        </w:rPr>
        <w:t xml:space="preserve"> a</w:t>
      </w:r>
      <w:r w:rsidR="006A7BEB">
        <w:rPr>
          <w:sz w:val="24"/>
          <w:szCs w:val="24"/>
        </w:rPr>
        <w:t xml:space="preserve"> </w:t>
      </w:r>
      <w:r w:rsidR="00D9765A">
        <w:rPr>
          <w:sz w:val="24"/>
          <w:szCs w:val="24"/>
        </w:rPr>
        <w:t>compan</w:t>
      </w:r>
      <w:r w:rsidR="00812E9C">
        <w:rPr>
          <w:sz w:val="24"/>
          <w:szCs w:val="24"/>
        </w:rPr>
        <w:t>y’s</w:t>
      </w:r>
      <w:r w:rsidR="00D9765A">
        <w:rPr>
          <w:sz w:val="24"/>
          <w:szCs w:val="24"/>
        </w:rPr>
        <w:t xml:space="preserve"> </w:t>
      </w:r>
      <w:r w:rsidR="000B14CD">
        <w:rPr>
          <w:sz w:val="24"/>
          <w:szCs w:val="24"/>
        </w:rPr>
        <w:t xml:space="preserve">ability to use its non-current assets (long term </w:t>
      </w:r>
      <w:r w:rsidR="00264F8D">
        <w:rPr>
          <w:sz w:val="24"/>
          <w:szCs w:val="24"/>
        </w:rPr>
        <w:t>investments,</w:t>
      </w:r>
      <w:r w:rsidR="00406FD8">
        <w:rPr>
          <w:sz w:val="24"/>
          <w:szCs w:val="24"/>
        </w:rPr>
        <w:t xml:space="preserve"> intellectual property, intangible assets, etc</w:t>
      </w:r>
      <w:r w:rsidR="000B14CD">
        <w:rPr>
          <w:sz w:val="24"/>
          <w:szCs w:val="24"/>
        </w:rPr>
        <w:t xml:space="preserve">) </w:t>
      </w:r>
      <w:r w:rsidR="00406FD8">
        <w:rPr>
          <w:sz w:val="24"/>
          <w:szCs w:val="24"/>
        </w:rPr>
        <w:t>to generate revenue</w:t>
      </w:r>
      <w:r w:rsidR="002E1677">
        <w:rPr>
          <w:sz w:val="24"/>
          <w:szCs w:val="24"/>
        </w:rPr>
        <w:t xml:space="preserve"> (Figure 11.)</w:t>
      </w:r>
      <w:r w:rsidR="00406FD8">
        <w:rPr>
          <w:sz w:val="24"/>
          <w:szCs w:val="24"/>
        </w:rPr>
        <w:t xml:space="preserve">. </w:t>
      </w:r>
      <w:r w:rsidR="00570559">
        <w:rPr>
          <w:sz w:val="24"/>
          <w:szCs w:val="24"/>
        </w:rPr>
        <w:t>The</w:t>
      </w:r>
      <w:r w:rsidR="003F0747">
        <w:rPr>
          <w:sz w:val="24"/>
          <w:szCs w:val="24"/>
        </w:rPr>
        <w:t xml:space="preserve"> change in</w:t>
      </w:r>
      <w:r w:rsidR="00570559">
        <w:rPr>
          <w:sz w:val="24"/>
          <w:szCs w:val="24"/>
        </w:rPr>
        <w:t xml:space="preserve"> </w:t>
      </w:r>
      <w:r w:rsidR="00FC0891">
        <w:rPr>
          <w:sz w:val="24"/>
          <w:szCs w:val="24"/>
        </w:rPr>
        <w:t xml:space="preserve">non-current asset productivity </w:t>
      </w:r>
      <w:r w:rsidR="003F0747">
        <w:rPr>
          <w:sz w:val="24"/>
          <w:szCs w:val="24"/>
        </w:rPr>
        <w:t xml:space="preserve">between 2019 and 2021 was </w:t>
      </w:r>
      <w:r w:rsidR="00C136F3">
        <w:rPr>
          <w:sz w:val="24"/>
          <w:szCs w:val="24"/>
        </w:rPr>
        <w:t xml:space="preserve">minimal for </w:t>
      </w:r>
      <w:r w:rsidR="006F7E4D">
        <w:rPr>
          <w:sz w:val="24"/>
          <w:szCs w:val="24"/>
        </w:rPr>
        <w:t>the majority of the sectors, w</w:t>
      </w:r>
      <w:r w:rsidR="008A0F89">
        <w:rPr>
          <w:sz w:val="24"/>
          <w:szCs w:val="24"/>
        </w:rPr>
        <w:t>ith</w:t>
      </w:r>
      <w:r w:rsidR="006F7E4D">
        <w:rPr>
          <w:sz w:val="24"/>
          <w:szCs w:val="24"/>
        </w:rPr>
        <w:t xml:space="preserve"> the technology, consumer discretionary and financial sectors</w:t>
      </w:r>
      <w:r w:rsidR="00F834F2">
        <w:rPr>
          <w:sz w:val="24"/>
          <w:szCs w:val="24"/>
        </w:rPr>
        <w:t xml:space="preserve"> showing alternate trends. </w:t>
      </w:r>
      <w:r w:rsidR="002753DB">
        <w:rPr>
          <w:sz w:val="24"/>
          <w:szCs w:val="24"/>
        </w:rPr>
        <w:t xml:space="preserve">The technology sector </w:t>
      </w:r>
      <w:r w:rsidR="008E2829">
        <w:rPr>
          <w:sz w:val="24"/>
          <w:szCs w:val="24"/>
        </w:rPr>
        <w:t>had the highest non-current asset product</w:t>
      </w:r>
      <w:r w:rsidR="008D0CDD">
        <w:rPr>
          <w:sz w:val="24"/>
          <w:szCs w:val="24"/>
        </w:rPr>
        <w:t xml:space="preserve">ivity in all three years and </w:t>
      </w:r>
      <w:r w:rsidR="002753DB">
        <w:rPr>
          <w:sz w:val="24"/>
          <w:szCs w:val="24"/>
        </w:rPr>
        <w:t>in 2019 had the highest non-current productivity at 19.08</w:t>
      </w:r>
      <w:r w:rsidR="00655C0B">
        <w:rPr>
          <w:sz w:val="24"/>
          <w:szCs w:val="24"/>
        </w:rPr>
        <w:t>, which dropped by 10.85 to 8.23 in 2020</w:t>
      </w:r>
      <w:r w:rsidR="004D1A12">
        <w:rPr>
          <w:sz w:val="24"/>
          <w:szCs w:val="24"/>
        </w:rPr>
        <w:t xml:space="preserve"> and remained similar in 2021 at 8.28. </w:t>
      </w:r>
      <w:r w:rsidR="008D0CDD">
        <w:rPr>
          <w:sz w:val="24"/>
          <w:szCs w:val="24"/>
        </w:rPr>
        <w:t xml:space="preserve">The consumer discretionary sector </w:t>
      </w:r>
      <w:r w:rsidR="00825680">
        <w:rPr>
          <w:sz w:val="24"/>
          <w:szCs w:val="24"/>
        </w:rPr>
        <w:t xml:space="preserve">showed a decline from 2019 to 2020 </w:t>
      </w:r>
      <w:r w:rsidR="00DA47B3">
        <w:rPr>
          <w:sz w:val="24"/>
          <w:szCs w:val="24"/>
        </w:rPr>
        <w:t xml:space="preserve">of 2.57 from 5.78 to 4.05, before recovering in 2021 by 0.84 to </w:t>
      </w:r>
      <w:r w:rsidR="00932600">
        <w:rPr>
          <w:sz w:val="24"/>
          <w:szCs w:val="24"/>
        </w:rPr>
        <w:t xml:space="preserve">4.05, showing that its companies improved their use of non-current assets </w:t>
      </w:r>
      <w:r w:rsidR="00DF518E">
        <w:rPr>
          <w:sz w:val="24"/>
          <w:szCs w:val="24"/>
        </w:rPr>
        <w:t xml:space="preserve">to generate revenue coming out of the 2020 year. The financials sector was the only industry to show an inverted trend across the 2019 to </w:t>
      </w:r>
      <w:r w:rsidR="00DF518E">
        <w:rPr>
          <w:sz w:val="24"/>
          <w:szCs w:val="24"/>
        </w:rPr>
        <w:lastRenderedPageBreak/>
        <w:t xml:space="preserve">2021 years, with an increase from 1.03 in 2019 to </w:t>
      </w:r>
      <w:r w:rsidR="00F47B22">
        <w:rPr>
          <w:sz w:val="24"/>
          <w:szCs w:val="24"/>
        </w:rPr>
        <w:t xml:space="preserve">1.57 in 2020 and decreasing in 2021 to 0.80. </w:t>
      </w:r>
    </w:p>
    <w:p w14:paraId="14835E64" w14:textId="74E00777" w:rsidR="00BD3F4E" w:rsidRDefault="007F7275" w:rsidP="007656AE">
      <w:pPr>
        <w:pStyle w:val="Heading3"/>
        <w:numPr>
          <w:ilvl w:val="2"/>
          <w:numId w:val="3"/>
        </w:numPr>
        <w:rPr>
          <w:szCs w:val="24"/>
        </w:rPr>
      </w:pPr>
      <w:bookmarkStart w:id="57" w:name="_Toc141646731"/>
      <w:r>
        <w:rPr>
          <w:noProof/>
        </w:rPr>
        <w:drawing>
          <wp:anchor distT="0" distB="0" distL="114300" distR="114300" simplePos="0" relativeHeight="251658252" behindDoc="0" locked="0" layoutInCell="1" allowOverlap="1" wp14:anchorId="0028B86C" wp14:editId="7EAC1F39">
            <wp:simplePos x="0" y="0"/>
            <wp:positionH relativeFrom="margin">
              <wp:posOffset>-483870</wp:posOffset>
            </wp:positionH>
            <wp:positionV relativeFrom="paragraph">
              <wp:posOffset>294640</wp:posOffset>
            </wp:positionV>
            <wp:extent cx="6695440" cy="3851910"/>
            <wp:effectExtent l="0" t="0" r="0" b="0"/>
            <wp:wrapTopAndBottom/>
            <wp:docPr id="1649559940" name="Chart 1">
              <a:extLst xmlns:a="http://schemas.openxmlformats.org/drawingml/2006/main">
                <a:ext uri="{FF2B5EF4-FFF2-40B4-BE49-F238E27FC236}">
                  <a16:creationId xmlns:a16="http://schemas.microsoft.com/office/drawing/2014/main" id="{7271F12F-BE6B-544E-9AEE-6984570215E1}"/>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27"/>
              </a:graphicData>
            </a:graphic>
            <wp14:sizeRelH relativeFrom="page">
              <wp14:pctWidth>0</wp14:pctWidth>
            </wp14:sizeRelH>
            <wp14:sizeRelV relativeFrom="page">
              <wp14:pctHeight>0</wp14:pctHeight>
            </wp14:sizeRelV>
          </wp:anchor>
        </w:drawing>
      </w:r>
      <w:r w:rsidR="00BD3F4E">
        <w:rPr>
          <w:szCs w:val="24"/>
        </w:rPr>
        <w:t>Debtors (Receivables) Control</w:t>
      </w:r>
      <w:bookmarkEnd w:id="57"/>
    </w:p>
    <w:p w14:paraId="5C72D9EF" w14:textId="6CB2217A" w:rsidR="00611547" w:rsidRPr="007F7275" w:rsidRDefault="007F7275" w:rsidP="007F7275">
      <w:pPr>
        <w:spacing w:line="480" w:lineRule="auto"/>
        <w:rPr>
          <w:b/>
          <w:bCs/>
          <w:sz w:val="18"/>
          <w:szCs w:val="18"/>
        </w:rPr>
      </w:pPr>
      <w:r w:rsidRPr="007F7275">
        <w:rPr>
          <w:b/>
          <w:bCs/>
          <w:sz w:val="18"/>
          <w:szCs w:val="18"/>
        </w:rPr>
        <w:t xml:space="preserve">Figure </w:t>
      </w:r>
      <w:r>
        <w:rPr>
          <w:b/>
          <w:bCs/>
          <w:sz w:val="18"/>
          <w:szCs w:val="18"/>
        </w:rPr>
        <w:t>1</w:t>
      </w:r>
      <w:r w:rsidR="0012493F">
        <w:rPr>
          <w:b/>
          <w:bCs/>
          <w:sz w:val="18"/>
          <w:szCs w:val="18"/>
        </w:rPr>
        <w:t>2</w:t>
      </w:r>
      <w:r w:rsidRPr="007F7275">
        <w:rPr>
          <w:b/>
          <w:bCs/>
          <w:sz w:val="18"/>
          <w:szCs w:val="18"/>
        </w:rPr>
        <w:t xml:space="preserve">. </w:t>
      </w:r>
      <w:r>
        <w:rPr>
          <w:b/>
          <w:bCs/>
          <w:sz w:val="18"/>
          <w:szCs w:val="18"/>
        </w:rPr>
        <w:t>Debtors (Receivables) Control</w:t>
      </w:r>
      <w:r w:rsidRPr="007F7275">
        <w:rPr>
          <w:b/>
          <w:bCs/>
          <w:sz w:val="18"/>
          <w:szCs w:val="18"/>
        </w:rPr>
        <w:t xml:space="preserve"> financial ratio results for all </w:t>
      </w:r>
      <w:r w:rsidR="00D06C36">
        <w:rPr>
          <w:b/>
          <w:bCs/>
          <w:sz w:val="18"/>
          <w:szCs w:val="18"/>
        </w:rPr>
        <w:t>FTSE 250</w:t>
      </w:r>
      <w:r w:rsidRPr="007F7275">
        <w:rPr>
          <w:b/>
          <w:bCs/>
          <w:sz w:val="18"/>
          <w:szCs w:val="18"/>
        </w:rPr>
        <w:t xml:space="preserve"> industry sectors between 2019 and 2021. </w:t>
      </w:r>
    </w:p>
    <w:p w14:paraId="73B9EAEC" w14:textId="320D67E7" w:rsidR="00724D59" w:rsidRPr="00812E9C" w:rsidRDefault="007A02C7" w:rsidP="00724D59">
      <w:pPr>
        <w:spacing w:line="480" w:lineRule="auto"/>
        <w:jc w:val="both"/>
        <w:rPr>
          <w:sz w:val="24"/>
          <w:szCs w:val="24"/>
        </w:rPr>
      </w:pPr>
      <w:r w:rsidRPr="00812E9C">
        <w:rPr>
          <w:sz w:val="24"/>
          <w:szCs w:val="24"/>
        </w:rPr>
        <w:t>Debtors (</w:t>
      </w:r>
      <w:r w:rsidR="00C64E57" w:rsidRPr="00812E9C">
        <w:rPr>
          <w:sz w:val="24"/>
          <w:szCs w:val="24"/>
        </w:rPr>
        <w:t>receivables</w:t>
      </w:r>
      <w:r w:rsidRPr="00812E9C">
        <w:rPr>
          <w:sz w:val="24"/>
          <w:szCs w:val="24"/>
        </w:rPr>
        <w:t>) control is a measure of</w:t>
      </w:r>
      <w:r w:rsidR="00812E9C">
        <w:rPr>
          <w:sz w:val="24"/>
          <w:szCs w:val="24"/>
        </w:rPr>
        <w:t xml:space="preserve"> a</w:t>
      </w:r>
      <w:r w:rsidRPr="00812E9C">
        <w:rPr>
          <w:sz w:val="24"/>
          <w:szCs w:val="24"/>
        </w:rPr>
        <w:t xml:space="preserve"> compan</w:t>
      </w:r>
      <w:r w:rsidR="00812E9C">
        <w:rPr>
          <w:sz w:val="24"/>
          <w:szCs w:val="24"/>
        </w:rPr>
        <w:t>y’s</w:t>
      </w:r>
      <w:r w:rsidR="00C64E57" w:rsidRPr="00812E9C">
        <w:rPr>
          <w:sz w:val="24"/>
          <w:szCs w:val="24"/>
        </w:rPr>
        <w:t xml:space="preserve"> ability to collect its accounts receivables for products or services sold to clients</w:t>
      </w:r>
      <w:r w:rsidR="00A733DC">
        <w:rPr>
          <w:sz w:val="24"/>
          <w:szCs w:val="24"/>
        </w:rPr>
        <w:t xml:space="preserve"> (Figure 12.)</w:t>
      </w:r>
      <w:r w:rsidR="00C64E57" w:rsidRPr="00812E9C">
        <w:rPr>
          <w:sz w:val="24"/>
          <w:szCs w:val="24"/>
        </w:rPr>
        <w:t xml:space="preserve">. </w:t>
      </w:r>
      <w:r w:rsidR="00C955C3" w:rsidRPr="00812E9C">
        <w:rPr>
          <w:sz w:val="24"/>
          <w:szCs w:val="24"/>
        </w:rPr>
        <w:t xml:space="preserve">The majority of sectors maintained </w:t>
      </w:r>
      <w:r w:rsidR="00947091" w:rsidRPr="00812E9C">
        <w:rPr>
          <w:sz w:val="24"/>
          <w:szCs w:val="24"/>
        </w:rPr>
        <w:t xml:space="preserve">debtors control at under 200 days over the 2019 to 2021 period, with most operating under 100 days. </w:t>
      </w:r>
      <w:r w:rsidR="00205C1D" w:rsidRPr="00812E9C">
        <w:rPr>
          <w:sz w:val="24"/>
          <w:szCs w:val="24"/>
        </w:rPr>
        <w:t>The energy sector</w:t>
      </w:r>
      <w:r w:rsidR="003B4412" w:rsidRPr="00812E9C">
        <w:rPr>
          <w:sz w:val="24"/>
          <w:szCs w:val="24"/>
        </w:rPr>
        <w:t xml:space="preserve"> had a drastic increase in the number of days for debtors payments </w:t>
      </w:r>
      <w:r w:rsidR="00F05DC1" w:rsidRPr="00812E9C">
        <w:rPr>
          <w:sz w:val="24"/>
          <w:szCs w:val="24"/>
        </w:rPr>
        <w:t>from 2019 to</w:t>
      </w:r>
      <w:r w:rsidR="003B4412" w:rsidRPr="00812E9C">
        <w:rPr>
          <w:sz w:val="24"/>
          <w:szCs w:val="24"/>
        </w:rPr>
        <w:t xml:space="preserve"> 2020 </w:t>
      </w:r>
      <w:r w:rsidR="005D456A" w:rsidRPr="00812E9C">
        <w:rPr>
          <w:sz w:val="24"/>
          <w:szCs w:val="24"/>
        </w:rPr>
        <w:t xml:space="preserve">with an increase of </w:t>
      </w:r>
      <w:r w:rsidR="000964FC" w:rsidRPr="00812E9C">
        <w:rPr>
          <w:sz w:val="24"/>
          <w:szCs w:val="24"/>
        </w:rPr>
        <w:t>970.30 days from 140.</w:t>
      </w:r>
      <w:r w:rsidR="00582FB7" w:rsidRPr="00812E9C">
        <w:rPr>
          <w:sz w:val="24"/>
          <w:szCs w:val="24"/>
        </w:rPr>
        <w:t>11</w:t>
      </w:r>
      <w:r w:rsidR="000964FC" w:rsidRPr="00812E9C">
        <w:rPr>
          <w:sz w:val="24"/>
          <w:szCs w:val="24"/>
        </w:rPr>
        <w:t xml:space="preserve"> to 1110.40</w:t>
      </w:r>
      <w:r w:rsidR="00582FB7" w:rsidRPr="00812E9C">
        <w:rPr>
          <w:sz w:val="24"/>
          <w:szCs w:val="24"/>
        </w:rPr>
        <w:t>;</w:t>
      </w:r>
      <w:r w:rsidR="000964FC" w:rsidRPr="00812E9C">
        <w:rPr>
          <w:sz w:val="24"/>
          <w:szCs w:val="24"/>
        </w:rPr>
        <w:t xml:space="preserve"> </w:t>
      </w:r>
      <w:r w:rsidR="003B4412" w:rsidRPr="00812E9C">
        <w:rPr>
          <w:sz w:val="24"/>
          <w:szCs w:val="24"/>
        </w:rPr>
        <w:t xml:space="preserve">and </w:t>
      </w:r>
      <w:r w:rsidR="00582FB7" w:rsidRPr="00812E9C">
        <w:rPr>
          <w:sz w:val="24"/>
          <w:szCs w:val="24"/>
        </w:rPr>
        <w:t xml:space="preserve">again from 2020 to </w:t>
      </w:r>
      <w:r w:rsidR="003B4412" w:rsidRPr="00812E9C">
        <w:rPr>
          <w:sz w:val="24"/>
          <w:szCs w:val="24"/>
        </w:rPr>
        <w:t>2021</w:t>
      </w:r>
      <w:r w:rsidR="00582FB7" w:rsidRPr="00812E9C">
        <w:rPr>
          <w:sz w:val="24"/>
          <w:szCs w:val="24"/>
        </w:rPr>
        <w:t xml:space="preserve"> of 709.91 days from </w:t>
      </w:r>
      <w:r w:rsidR="009E4EDD" w:rsidRPr="00812E9C">
        <w:rPr>
          <w:sz w:val="24"/>
          <w:szCs w:val="24"/>
        </w:rPr>
        <w:t>1110.40 to 1820.32 days</w:t>
      </w:r>
      <w:r w:rsidR="001130E0" w:rsidRPr="00812E9C">
        <w:rPr>
          <w:sz w:val="24"/>
          <w:szCs w:val="24"/>
        </w:rPr>
        <w:t>.</w:t>
      </w:r>
      <w:r w:rsidR="009E4EDD" w:rsidRPr="00812E9C">
        <w:rPr>
          <w:sz w:val="24"/>
          <w:szCs w:val="24"/>
        </w:rPr>
        <w:t xml:space="preserve"> This was also considerably higher compared to the average of the other sectors of </w:t>
      </w:r>
      <w:r w:rsidR="00360D35" w:rsidRPr="00812E9C">
        <w:rPr>
          <w:sz w:val="24"/>
          <w:szCs w:val="24"/>
        </w:rPr>
        <w:t>113.04 days for 2020 and 89.54 days for 2021</w:t>
      </w:r>
      <w:r w:rsidR="00E9596A" w:rsidRPr="00812E9C">
        <w:rPr>
          <w:sz w:val="24"/>
          <w:szCs w:val="24"/>
        </w:rPr>
        <w:t xml:space="preserve">, indicating that the energy sector likely was having issues in collecting payments from the sector’s customers. </w:t>
      </w:r>
      <w:r w:rsidR="005D6595" w:rsidRPr="00812E9C">
        <w:rPr>
          <w:sz w:val="24"/>
          <w:szCs w:val="24"/>
        </w:rPr>
        <w:t>The financ</w:t>
      </w:r>
      <w:r w:rsidR="00D816DB" w:rsidRPr="00812E9C">
        <w:rPr>
          <w:sz w:val="24"/>
          <w:szCs w:val="24"/>
        </w:rPr>
        <w:t>ials</w:t>
      </w:r>
      <w:r w:rsidR="005D6595" w:rsidRPr="00812E9C">
        <w:rPr>
          <w:sz w:val="24"/>
          <w:szCs w:val="24"/>
        </w:rPr>
        <w:t xml:space="preserve"> sector </w:t>
      </w:r>
      <w:r w:rsidR="00011C08" w:rsidRPr="00812E9C">
        <w:rPr>
          <w:sz w:val="24"/>
          <w:szCs w:val="24"/>
        </w:rPr>
        <w:t xml:space="preserve">had the number of </w:t>
      </w:r>
      <w:r w:rsidR="00011C08" w:rsidRPr="00812E9C">
        <w:rPr>
          <w:sz w:val="24"/>
          <w:szCs w:val="24"/>
        </w:rPr>
        <w:lastRenderedPageBreak/>
        <w:t xml:space="preserve">days for </w:t>
      </w:r>
      <w:r w:rsidR="00370F54" w:rsidRPr="00812E9C">
        <w:rPr>
          <w:sz w:val="24"/>
          <w:szCs w:val="24"/>
        </w:rPr>
        <w:t>receivables</w:t>
      </w:r>
      <w:r w:rsidR="00011C08" w:rsidRPr="00812E9C">
        <w:rPr>
          <w:sz w:val="24"/>
          <w:szCs w:val="24"/>
        </w:rPr>
        <w:t xml:space="preserve"> collection increase from 2019 to 2020 by 81.52 days</w:t>
      </w:r>
      <w:r w:rsidR="00370F54" w:rsidRPr="00812E9C">
        <w:rPr>
          <w:sz w:val="24"/>
          <w:szCs w:val="24"/>
        </w:rPr>
        <w:t xml:space="preserve"> from 299.97 days to 381.48 days. This appeared to improve between 2020 and 2021 with the number of days decreasing by </w:t>
      </w:r>
      <w:r w:rsidR="00B61FE3" w:rsidRPr="00812E9C">
        <w:rPr>
          <w:sz w:val="24"/>
          <w:szCs w:val="24"/>
        </w:rPr>
        <w:t xml:space="preserve">195.08 days from 381.48 days to 186.40 days respectively. </w:t>
      </w:r>
      <w:r w:rsidR="00D656FB" w:rsidRPr="00812E9C">
        <w:rPr>
          <w:sz w:val="24"/>
          <w:szCs w:val="24"/>
        </w:rPr>
        <w:t xml:space="preserve">The real estate sector was the only sector in which the </w:t>
      </w:r>
      <w:r w:rsidR="00782D5A" w:rsidRPr="00812E9C">
        <w:rPr>
          <w:sz w:val="24"/>
          <w:szCs w:val="24"/>
        </w:rPr>
        <w:t>number of days decreased year on year from 2019 to 2021</w:t>
      </w:r>
      <w:r w:rsidR="006E6697" w:rsidRPr="00812E9C">
        <w:rPr>
          <w:sz w:val="24"/>
          <w:szCs w:val="24"/>
        </w:rPr>
        <w:t xml:space="preserve"> </w:t>
      </w:r>
      <w:r w:rsidR="00271A95">
        <w:rPr>
          <w:sz w:val="24"/>
          <w:szCs w:val="24"/>
        </w:rPr>
        <w:t>by</w:t>
      </w:r>
      <w:r w:rsidR="006E6697" w:rsidRPr="00812E9C">
        <w:rPr>
          <w:sz w:val="24"/>
          <w:szCs w:val="24"/>
        </w:rPr>
        <w:t xml:space="preserve"> </w:t>
      </w:r>
      <w:r w:rsidR="00B1045E" w:rsidRPr="00812E9C">
        <w:rPr>
          <w:sz w:val="24"/>
          <w:szCs w:val="24"/>
        </w:rPr>
        <w:t>76.1 days</w:t>
      </w:r>
      <w:r w:rsidR="00782D5A" w:rsidRPr="00812E9C">
        <w:rPr>
          <w:sz w:val="24"/>
          <w:szCs w:val="24"/>
        </w:rPr>
        <w:t>, from 182.</w:t>
      </w:r>
      <w:r w:rsidR="006E6697" w:rsidRPr="00812E9C">
        <w:rPr>
          <w:sz w:val="24"/>
          <w:szCs w:val="24"/>
        </w:rPr>
        <w:t>26</w:t>
      </w:r>
      <w:r w:rsidR="00B1045E" w:rsidRPr="00812E9C">
        <w:rPr>
          <w:sz w:val="24"/>
          <w:szCs w:val="24"/>
        </w:rPr>
        <w:t xml:space="preserve"> to 106.16 days</w:t>
      </w:r>
      <w:r w:rsidR="004E6642" w:rsidRPr="00812E9C">
        <w:rPr>
          <w:sz w:val="24"/>
          <w:szCs w:val="24"/>
        </w:rPr>
        <w:t xml:space="preserve"> indicating an improvement on collecting payment from their customers</w:t>
      </w:r>
      <w:r w:rsidR="00B1045E" w:rsidRPr="00812E9C">
        <w:rPr>
          <w:sz w:val="24"/>
          <w:szCs w:val="24"/>
        </w:rPr>
        <w:t xml:space="preserve">. </w:t>
      </w:r>
    </w:p>
    <w:p w14:paraId="4C17D67A" w14:textId="7F375905" w:rsidR="00BD3F4E" w:rsidRDefault="00A0135C" w:rsidP="007656AE">
      <w:pPr>
        <w:pStyle w:val="Heading3"/>
        <w:numPr>
          <w:ilvl w:val="2"/>
          <w:numId w:val="3"/>
        </w:numPr>
        <w:rPr>
          <w:szCs w:val="24"/>
        </w:rPr>
      </w:pPr>
      <w:bookmarkStart w:id="58" w:name="_Toc141646732"/>
      <w:r>
        <w:rPr>
          <w:noProof/>
        </w:rPr>
        <w:drawing>
          <wp:anchor distT="0" distB="0" distL="114300" distR="114300" simplePos="0" relativeHeight="251658253" behindDoc="0" locked="0" layoutInCell="1" allowOverlap="1" wp14:anchorId="039EFC84" wp14:editId="7BB271B8">
            <wp:simplePos x="0" y="0"/>
            <wp:positionH relativeFrom="margin">
              <wp:align>center</wp:align>
            </wp:positionH>
            <wp:positionV relativeFrom="paragraph">
              <wp:posOffset>421347</wp:posOffset>
            </wp:positionV>
            <wp:extent cx="6696000" cy="3852000"/>
            <wp:effectExtent l="0" t="0" r="0" b="0"/>
            <wp:wrapTopAndBottom/>
            <wp:docPr id="335343942" name="Chart 1">
              <a:extLst xmlns:a="http://schemas.openxmlformats.org/drawingml/2006/main">
                <a:ext uri="{FF2B5EF4-FFF2-40B4-BE49-F238E27FC236}">
                  <a16:creationId xmlns:a16="http://schemas.microsoft.com/office/drawing/2014/main" id="{73D6BD14-C2CF-C249-8358-C0BF10BCB8EA}"/>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28"/>
              </a:graphicData>
            </a:graphic>
            <wp14:sizeRelH relativeFrom="page">
              <wp14:pctWidth>0</wp14:pctWidth>
            </wp14:sizeRelH>
            <wp14:sizeRelV relativeFrom="page">
              <wp14:pctHeight>0</wp14:pctHeight>
            </wp14:sizeRelV>
          </wp:anchor>
        </w:drawing>
      </w:r>
      <w:r w:rsidR="00BD3F4E">
        <w:rPr>
          <w:szCs w:val="24"/>
        </w:rPr>
        <w:t>Creditors (Payables) Control</w:t>
      </w:r>
      <w:bookmarkEnd w:id="58"/>
    </w:p>
    <w:p w14:paraId="76C0725F" w14:textId="110DA393" w:rsidR="00724D59" w:rsidRPr="007F7275" w:rsidRDefault="007F7275" w:rsidP="007F7275">
      <w:pPr>
        <w:spacing w:line="480" w:lineRule="auto"/>
        <w:rPr>
          <w:b/>
          <w:bCs/>
          <w:sz w:val="18"/>
          <w:szCs w:val="18"/>
        </w:rPr>
      </w:pPr>
      <w:r w:rsidRPr="007F7275">
        <w:rPr>
          <w:b/>
          <w:bCs/>
          <w:sz w:val="18"/>
          <w:szCs w:val="18"/>
        </w:rPr>
        <w:t xml:space="preserve">Figure </w:t>
      </w:r>
      <w:r>
        <w:rPr>
          <w:b/>
          <w:bCs/>
          <w:sz w:val="18"/>
          <w:szCs w:val="18"/>
        </w:rPr>
        <w:t>1</w:t>
      </w:r>
      <w:r w:rsidR="00C633C2">
        <w:rPr>
          <w:b/>
          <w:bCs/>
          <w:sz w:val="18"/>
          <w:szCs w:val="18"/>
        </w:rPr>
        <w:t>3</w:t>
      </w:r>
      <w:r w:rsidRPr="007F7275">
        <w:rPr>
          <w:b/>
          <w:bCs/>
          <w:sz w:val="18"/>
          <w:szCs w:val="18"/>
        </w:rPr>
        <w:t xml:space="preserve">. </w:t>
      </w:r>
      <w:r>
        <w:rPr>
          <w:b/>
          <w:bCs/>
          <w:sz w:val="18"/>
          <w:szCs w:val="18"/>
        </w:rPr>
        <w:t>Creditors (Payables) Control</w:t>
      </w:r>
      <w:r w:rsidRPr="007F7275">
        <w:rPr>
          <w:b/>
          <w:bCs/>
          <w:sz w:val="18"/>
          <w:szCs w:val="18"/>
        </w:rPr>
        <w:t xml:space="preserve"> financial ratio results for all </w:t>
      </w:r>
      <w:r w:rsidR="00D06C36">
        <w:rPr>
          <w:b/>
          <w:bCs/>
          <w:sz w:val="18"/>
          <w:szCs w:val="18"/>
        </w:rPr>
        <w:t>FTSE 250</w:t>
      </w:r>
      <w:r w:rsidRPr="007F7275">
        <w:rPr>
          <w:b/>
          <w:bCs/>
          <w:sz w:val="18"/>
          <w:szCs w:val="18"/>
        </w:rPr>
        <w:t xml:space="preserve"> industry sectors between 2019 and 2021. </w:t>
      </w:r>
    </w:p>
    <w:p w14:paraId="463702EA" w14:textId="587090AE" w:rsidR="00922709" w:rsidRPr="00812E9C" w:rsidRDefault="005B63F5" w:rsidP="00812E9C">
      <w:pPr>
        <w:spacing w:line="480" w:lineRule="auto"/>
        <w:jc w:val="both"/>
      </w:pPr>
      <w:r>
        <w:rPr>
          <w:sz w:val="24"/>
          <w:szCs w:val="24"/>
        </w:rPr>
        <w:t>Creditors (Payables) contro</w:t>
      </w:r>
      <w:r w:rsidR="0060793B">
        <w:rPr>
          <w:sz w:val="24"/>
          <w:szCs w:val="24"/>
        </w:rPr>
        <w:t>l is a measure of</w:t>
      </w:r>
      <w:r w:rsidR="00812E9C">
        <w:rPr>
          <w:sz w:val="24"/>
          <w:szCs w:val="24"/>
        </w:rPr>
        <w:t xml:space="preserve"> a</w:t>
      </w:r>
      <w:r w:rsidR="0060793B">
        <w:rPr>
          <w:sz w:val="24"/>
          <w:szCs w:val="24"/>
        </w:rPr>
        <w:t xml:space="preserve"> </w:t>
      </w:r>
      <w:r w:rsidR="005D675F">
        <w:rPr>
          <w:sz w:val="24"/>
          <w:szCs w:val="24"/>
        </w:rPr>
        <w:t>compa</w:t>
      </w:r>
      <w:r w:rsidR="00812E9C">
        <w:rPr>
          <w:sz w:val="24"/>
          <w:szCs w:val="24"/>
        </w:rPr>
        <w:t>ny’s</w:t>
      </w:r>
      <w:r w:rsidR="005D675F">
        <w:rPr>
          <w:sz w:val="24"/>
          <w:szCs w:val="24"/>
        </w:rPr>
        <w:t xml:space="preserve"> ability to</w:t>
      </w:r>
      <w:r w:rsidR="00BE6F24">
        <w:rPr>
          <w:sz w:val="24"/>
          <w:szCs w:val="24"/>
        </w:rPr>
        <w:t xml:space="preserve"> pay </w:t>
      </w:r>
      <w:r w:rsidR="00E20DFF">
        <w:rPr>
          <w:sz w:val="24"/>
          <w:szCs w:val="24"/>
        </w:rPr>
        <w:t>its</w:t>
      </w:r>
      <w:r w:rsidR="00BE6F24">
        <w:rPr>
          <w:sz w:val="24"/>
          <w:szCs w:val="24"/>
        </w:rPr>
        <w:t xml:space="preserve"> suppliers</w:t>
      </w:r>
      <w:r w:rsidR="00E20DFF">
        <w:rPr>
          <w:sz w:val="24"/>
          <w:szCs w:val="24"/>
        </w:rPr>
        <w:t xml:space="preserve"> and is an indicator of </w:t>
      </w:r>
      <w:r w:rsidR="00224A4C">
        <w:rPr>
          <w:sz w:val="24"/>
          <w:szCs w:val="24"/>
        </w:rPr>
        <w:t>short-term</w:t>
      </w:r>
      <w:r w:rsidR="0060793B">
        <w:rPr>
          <w:sz w:val="24"/>
          <w:szCs w:val="24"/>
        </w:rPr>
        <w:t xml:space="preserve"> liquidity</w:t>
      </w:r>
      <w:r w:rsidR="00A733DC">
        <w:rPr>
          <w:sz w:val="24"/>
          <w:szCs w:val="24"/>
        </w:rPr>
        <w:t xml:space="preserve"> (Figure 13.)</w:t>
      </w:r>
      <w:r w:rsidR="00E20DFF">
        <w:rPr>
          <w:sz w:val="24"/>
          <w:szCs w:val="24"/>
        </w:rPr>
        <w:t xml:space="preserve">. </w:t>
      </w:r>
      <w:r w:rsidR="001A1CA7">
        <w:rPr>
          <w:sz w:val="24"/>
          <w:szCs w:val="24"/>
        </w:rPr>
        <w:t xml:space="preserve">Across the </w:t>
      </w:r>
      <w:r w:rsidR="00623DB2">
        <w:rPr>
          <w:sz w:val="24"/>
          <w:szCs w:val="24"/>
        </w:rPr>
        <w:t>twenty-two</w:t>
      </w:r>
      <w:r w:rsidR="001A1CA7">
        <w:rPr>
          <w:sz w:val="24"/>
          <w:szCs w:val="24"/>
        </w:rPr>
        <w:t xml:space="preserve"> sectors there were three patterns of change in the creditors control </w:t>
      </w:r>
      <w:r w:rsidR="005327A2">
        <w:rPr>
          <w:sz w:val="24"/>
          <w:szCs w:val="24"/>
        </w:rPr>
        <w:t xml:space="preserve">data, </w:t>
      </w:r>
      <w:r w:rsidR="00DA50B1">
        <w:rPr>
          <w:sz w:val="24"/>
          <w:szCs w:val="24"/>
        </w:rPr>
        <w:t>six</w:t>
      </w:r>
      <w:r w:rsidR="005327A2">
        <w:rPr>
          <w:sz w:val="24"/>
          <w:szCs w:val="24"/>
        </w:rPr>
        <w:t xml:space="preserve"> of the sectors (consumer discretionary, technology, industrials, utilities, basic materials and health care) showed continuing increases in the number of days for the companies comprising these sectors </w:t>
      </w:r>
      <w:r w:rsidR="00D91E83">
        <w:rPr>
          <w:sz w:val="24"/>
          <w:szCs w:val="24"/>
        </w:rPr>
        <w:t xml:space="preserve">took </w:t>
      </w:r>
      <w:r w:rsidR="00D91E83">
        <w:rPr>
          <w:sz w:val="24"/>
          <w:szCs w:val="24"/>
        </w:rPr>
        <w:lastRenderedPageBreak/>
        <w:t>to pay their suppliers</w:t>
      </w:r>
      <w:r w:rsidR="0040184C">
        <w:rPr>
          <w:sz w:val="24"/>
          <w:szCs w:val="24"/>
        </w:rPr>
        <w:t xml:space="preserve">; with an </w:t>
      </w:r>
      <w:r w:rsidR="00100005">
        <w:rPr>
          <w:sz w:val="24"/>
          <w:szCs w:val="24"/>
        </w:rPr>
        <w:t>increase</w:t>
      </w:r>
      <w:r w:rsidR="0040184C">
        <w:rPr>
          <w:sz w:val="24"/>
          <w:szCs w:val="24"/>
        </w:rPr>
        <w:t xml:space="preserve"> of 33.46 days between 2019 and 2020 and </w:t>
      </w:r>
      <w:r w:rsidR="00100005">
        <w:rPr>
          <w:sz w:val="24"/>
          <w:szCs w:val="24"/>
        </w:rPr>
        <w:t>38.02 days between 2020 and 2021</w:t>
      </w:r>
      <w:r w:rsidR="00D91E83">
        <w:rPr>
          <w:sz w:val="24"/>
          <w:szCs w:val="24"/>
        </w:rPr>
        <w:t>.</w:t>
      </w:r>
      <w:r w:rsidR="00100005">
        <w:rPr>
          <w:sz w:val="24"/>
          <w:szCs w:val="24"/>
        </w:rPr>
        <w:t xml:space="preserve"> </w:t>
      </w:r>
      <w:r w:rsidR="00ED7902">
        <w:rPr>
          <w:sz w:val="24"/>
          <w:szCs w:val="24"/>
        </w:rPr>
        <w:t>Healthcare was the only one of the</w:t>
      </w:r>
      <w:r w:rsidR="004A140A">
        <w:rPr>
          <w:sz w:val="24"/>
          <w:szCs w:val="24"/>
        </w:rPr>
        <w:t>se</w:t>
      </w:r>
      <w:r w:rsidR="00ED7902">
        <w:rPr>
          <w:sz w:val="24"/>
          <w:szCs w:val="24"/>
        </w:rPr>
        <w:t xml:space="preserve"> sectors to show above average creditors control </w:t>
      </w:r>
      <w:r w:rsidR="004A140A">
        <w:rPr>
          <w:sz w:val="24"/>
          <w:szCs w:val="24"/>
        </w:rPr>
        <w:t xml:space="preserve">with an increase of 85.26 days </w:t>
      </w:r>
      <w:r w:rsidR="007C2614">
        <w:rPr>
          <w:sz w:val="24"/>
          <w:szCs w:val="24"/>
        </w:rPr>
        <w:t>from 412.73 days in</w:t>
      </w:r>
      <w:r w:rsidR="004A140A">
        <w:rPr>
          <w:sz w:val="24"/>
          <w:szCs w:val="24"/>
        </w:rPr>
        <w:t xml:space="preserve"> 2019 and</w:t>
      </w:r>
      <w:r w:rsidR="007C2614">
        <w:rPr>
          <w:sz w:val="24"/>
          <w:szCs w:val="24"/>
        </w:rPr>
        <w:t xml:space="preserve"> 497.99 days in</w:t>
      </w:r>
      <w:r w:rsidR="004A140A">
        <w:rPr>
          <w:sz w:val="24"/>
          <w:szCs w:val="24"/>
        </w:rPr>
        <w:t xml:space="preserve"> 2020</w:t>
      </w:r>
      <w:r w:rsidR="00924704">
        <w:rPr>
          <w:sz w:val="24"/>
          <w:szCs w:val="24"/>
        </w:rPr>
        <w:t xml:space="preserve"> </w:t>
      </w:r>
      <w:r w:rsidR="004A140A">
        <w:rPr>
          <w:sz w:val="24"/>
          <w:szCs w:val="24"/>
        </w:rPr>
        <w:t xml:space="preserve">and </w:t>
      </w:r>
      <w:r w:rsidR="000947CE">
        <w:rPr>
          <w:sz w:val="24"/>
          <w:szCs w:val="24"/>
        </w:rPr>
        <w:t xml:space="preserve">an increase of </w:t>
      </w:r>
      <w:r w:rsidR="00924704">
        <w:rPr>
          <w:sz w:val="24"/>
          <w:szCs w:val="24"/>
        </w:rPr>
        <w:t xml:space="preserve">40.26 days </w:t>
      </w:r>
      <w:r w:rsidR="00B95E21">
        <w:rPr>
          <w:sz w:val="24"/>
          <w:szCs w:val="24"/>
        </w:rPr>
        <w:t>to 538.26 days in</w:t>
      </w:r>
      <w:r w:rsidR="00924704">
        <w:rPr>
          <w:sz w:val="24"/>
          <w:szCs w:val="24"/>
        </w:rPr>
        <w:t xml:space="preserve"> 2021. This </w:t>
      </w:r>
      <w:r w:rsidR="00B95E21">
        <w:rPr>
          <w:sz w:val="24"/>
          <w:szCs w:val="24"/>
        </w:rPr>
        <w:t>could either indicate that the healthcare sector</w:t>
      </w:r>
      <w:r w:rsidR="001F67C5">
        <w:rPr>
          <w:sz w:val="24"/>
          <w:szCs w:val="24"/>
        </w:rPr>
        <w:t xml:space="preserve"> had negotiated longer payment terms with its suppliers,</w:t>
      </w:r>
      <w:r w:rsidR="00785EE1">
        <w:rPr>
          <w:sz w:val="24"/>
          <w:szCs w:val="24"/>
        </w:rPr>
        <w:t xml:space="preserve"> t</w:t>
      </w:r>
      <w:r w:rsidR="001F67C5">
        <w:rPr>
          <w:sz w:val="24"/>
          <w:szCs w:val="24"/>
        </w:rPr>
        <w:t>hat it was preserving cash flow</w:t>
      </w:r>
      <w:r w:rsidR="00785EE1">
        <w:rPr>
          <w:sz w:val="24"/>
          <w:szCs w:val="24"/>
        </w:rPr>
        <w:t>, or that it was having issues making payments</w:t>
      </w:r>
      <w:r w:rsidR="001F67C5">
        <w:rPr>
          <w:sz w:val="24"/>
          <w:szCs w:val="24"/>
        </w:rPr>
        <w:t>.</w:t>
      </w:r>
      <w:r w:rsidR="00785EE1">
        <w:rPr>
          <w:sz w:val="24"/>
          <w:szCs w:val="24"/>
        </w:rPr>
        <w:t xml:space="preserve"> </w:t>
      </w:r>
      <w:r w:rsidR="00F43FE8">
        <w:rPr>
          <w:sz w:val="24"/>
          <w:szCs w:val="24"/>
        </w:rPr>
        <w:t>Three of the sectors</w:t>
      </w:r>
      <w:r w:rsidR="00B8206A">
        <w:rPr>
          <w:sz w:val="24"/>
          <w:szCs w:val="24"/>
        </w:rPr>
        <w:t xml:space="preserve"> had creditors control that lowered in 2020 before increasing in 2021 (telecommunications, </w:t>
      </w:r>
      <w:r w:rsidR="00DA50B1">
        <w:rPr>
          <w:sz w:val="24"/>
          <w:szCs w:val="24"/>
        </w:rPr>
        <w:t xml:space="preserve">real estate and consumer staples). </w:t>
      </w:r>
      <w:r w:rsidR="001A60A9">
        <w:rPr>
          <w:sz w:val="24"/>
          <w:szCs w:val="24"/>
        </w:rPr>
        <w:t xml:space="preserve">The changes in the telecommunications and consumer staples sectors were </w:t>
      </w:r>
      <w:r w:rsidR="005341E1">
        <w:rPr>
          <w:sz w:val="24"/>
          <w:szCs w:val="24"/>
        </w:rPr>
        <w:t xml:space="preserve">relatively </w:t>
      </w:r>
      <w:r w:rsidR="00DA2328">
        <w:rPr>
          <w:sz w:val="24"/>
          <w:szCs w:val="24"/>
        </w:rPr>
        <w:t xml:space="preserve">small with telecommunications decreasing by 38.87 days between 2019 and 2020 before increasing by </w:t>
      </w:r>
      <w:r w:rsidR="0043270F">
        <w:rPr>
          <w:sz w:val="24"/>
          <w:szCs w:val="24"/>
        </w:rPr>
        <w:t xml:space="preserve">44.60 days between 2020 and 2021; and consumer staples </w:t>
      </w:r>
      <w:r w:rsidR="00F02965">
        <w:rPr>
          <w:sz w:val="24"/>
          <w:szCs w:val="24"/>
        </w:rPr>
        <w:t xml:space="preserve">decreasing by 9.19 days between 2019 and 2020, before increasing by </w:t>
      </w:r>
      <w:r w:rsidR="004D7997">
        <w:rPr>
          <w:sz w:val="24"/>
          <w:szCs w:val="24"/>
        </w:rPr>
        <w:t xml:space="preserve">45.96 days between 2020 and 2021. The real estate sector showed a dramatic difference with a decline of </w:t>
      </w:r>
      <w:r w:rsidR="001317AF">
        <w:rPr>
          <w:sz w:val="24"/>
          <w:szCs w:val="24"/>
        </w:rPr>
        <w:t>589.27 days between 2019 and 2020 from 1861.43 days to 1272.16 days</w:t>
      </w:r>
      <w:r w:rsidR="002A0725">
        <w:rPr>
          <w:sz w:val="24"/>
          <w:szCs w:val="24"/>
        </w:rPr>
        <w:t xml:space="preserve">; and increasing by 181.86 days between </w:t>
      </w:r>
      <w:r w:rsidR="005D0492">
        <w:rPr>
          <w:sz w:val="24"/>
          <w:szCs w:val="24"/>
        </w:rPr>
        <w:t xml:space="preserve">2020 and 2021 to 1454.02 days. </w:t>
      </w:r>
      <w:r w:rsidR="00623DB2">
        <w:rPr>
          <w:sz w:val="24"/>
          <w:szCs w:val="24"/>
        </w:rPr>
        <w:t xml:space="preserve">The cause of this would require further investigation </w:t>
      </w:r>
      <w:r w:rsidR="00374244">
        <w:rPr>
          <w:sz w:val="24"/>
          <w:szCs w:val="24"/>
        </w:rPr>
        <w:t xml:space="preserve">but would indicate that </w:t>
      </w:r>
      <w:r w:rsidR="00E679A1">
        <w:rPr>
          <w:sz w:val="24"/>
          <w:szCs w:val="24"/>
        </w:rPr>
        <w:t xml:space="preserve">events were causing these three sectors to </w:t>
      </w:r>
      <w:r w:rsidR="00941C91">
        <w:rPr>
          <w:sz w:val="24"/>
          <w:szCs w:val="24"/>
        </w:rPr>
        <w:t>shorten the time taken to pay</w:t>
      </w:r>
      <w:r w:rsidR="00E679A1">
        <w:rPr>
          <w:sz w:val="24"/>
          <w:szCs w:val="24"/>
        </w:rPr>
        <w:t xml:space="preserve"> their suppliers in the 2020 year, with the real estate sector in particular being affected. </w:t>
      </w:r>
      <w:r w:rsidR="00853BAA">
        <w:rPr>
          <w:sz w:val="24"/>
          <w:szCs w:val="24"/>
        </w:rPr>
        <w:t xml:space="preserve">The financials and energy sectors showed an </w:t>
      </w:r>
      <w:r w:rsidR="00CE6DA4">
        <w:rPr>
          <w:sz w:val="24"/>
          <w:szCs w:val="24"/>
        </w:rPr>
        <w:t>increase</w:t>
      </w:r>
      <w:r w:rsidR="00853BAA">
        <w:rPr>
          <w:sz w:val="24"/>
          <w:szCs w:val="24"/>
        </w:rPr>
        <w:t xml:space="preserve"> in creditors control between 2019 and 2020</w:t>
      </w:r>
      <w:r w:rsidR="0056286E">
        <w:rPr>
          <w:sz w:val="24"/>
          <w:szCs w:val="24"/>
        </w:rPr>
        <w:t xml:space="preserve">, with the </w:t>
      </w:r>
      <w:r w:rsidR="00C56E18">
        <w:rPr>
          <w:sz w:val="24"/>
          <w:szCs w:val="24"/>
        </w:rPr>
        <w:t>financials</w:t>
      </w:r>
      <w:r w:rsidR="0056286E">
        <w:rPr>
          <w:sz w:val="24"/>
          <w:szCs w:val="24"/>
        </w:rPr>
        <w:t xml:space="preserve"> sector </w:t>
      </w:r>
      <w:bookmarkStart w:id="59" w:name="OLE_LINK9"/>
      <w:r w:rsidR="0056286E">
        <w:rPr>
          <w:sz w:val="24"/>
          <w:szCs w:val="24"/>
        </w:rPr>
        <w:t xml:space="preserve">increasing by </w:t>
      </w:r>
      <w:r w:rsidR="00C56E18">
        <w:rPr>
          <w:sz w:val="24"/>
          <w:szCs w:val="24"/>
        </w:rPr>
        <w:t xml:space="preserve">137.85 days between 2019 and 2020 from 1367.49 to 1505.34, before decreasing </w:t>
      </w:r>
      <w:r w:rsidR="00ED701D">
        <w:rPr>
          <w:sz w:val="24"/>
          <w:szCs w:val="24"/>
        </w:rPr>
        <w:t>by 209.24 days to 1296.10 days in 2021.</w:t>
      </w:r>
      <w:bookmarkEnd w:id="59"/>
      <w:r w:rsidR="00ED701D">
        <w:rPr>
          <w:sz w:val="24"/>
          <w:szCs w:val="24"/>
        </w:rPr>
        <w:t xml:space="preserve"> The energy sector </w:t>
      </w:r>
      <w:r w:rsidR="00FE1D9E">
        <w:rPr>
          <w:sz w:val="24"/>
          <w:szCs w:val="24"/>
        </w:rPr>
        <w:t xml:space="preserve">increased by 340.26 days between 2019 and 2020 from 460.36 to 800.69, before decreasing by </w:t>
      </w:r>
      <w:r w:rsidR="00EC17A1">
        <w:rPr>
          <w:sz w:val="24"/>
          <w:szCs w:val="24"/>
        </w:rPr>
        <w:t>289.67</w:t>
      </w:r>
      <w:r w:rsidR="00FE1D9E">
        <w:rPr>
          <w:sz w:val="24"/>
          <w:szCs w:val="24"/>
        </w:rPr>
        <w:t xml:space="preserve"> days to </w:t>
      </w:r>
      <w:r w:rsidR="00EC17A1">
        <w:rPr>
          <w:sz w:val="24"/>
          <w:szCs w:val="24"/>
        </w:rPr>
        <w:t>511.02</w:t>
      </w:r>
      <w:r w:rsidR="00FE1D9E">
        <w:rPr>
          <w:sz w:val="24"/>
          <w:szCs w:val="24"/>
        </w:rPr>
        <w:t xml:space="preserve"> days in 2021.</w:t>
      </w:r>
      <w:r w:rsidR="00EC17A1">
        <w:rPr>
          <w:sz w:val="24"/>
          <w:szCs w:val="24"/>
        </w:rPr>
        <w:t xml:space="preserve"> </w:t>
      </w:r>
      <w:r w:rsidR="00670444">
        <w:rPr>
          <w:sz w:val="24"/>
          <w:szCs w:val="24"/>
        </w:rPr>
        <w:t xml:space="preserve">While this indicates that these two sectors were taking longer to pay suppliers during 2020, it cannot speak to the causes and could be the result of </w:t>
      </w:r>
      <w:r w:rsidR="0022787E">
        <w:rPr>
          <w:sz w:val="24"/>
          <w:szCs w:val="24"/>
        </w:rPr>
        <w:t xml:space="preserve">maintaining cash flow or delayed payment being negotiated. </w:t>
      </w:r>
    </w:p>
    <w:p w14:paraId="1939D301" w14:textId="626291C7" w:rsidR="00BD3F4E" w:rsidRDefault="00922709" w:rsidP="007656AE">
      <w:pPr>
        <w:pStyle w:val="Heading3"/>
        <w:numPr>
          <w:ilvl w:val="2"/>
          <w:numId w:val="3"/>
        </w:numPr>
        <w:rPr>
          <w:szCs w:val="24"/>
        </w:rPr>
      </w:pPr>
      <w:bookmarkStart w:id="60" w:name="_Toc141646733"/>
      <w:r>
        <w:rPr>
          <w:noProof/>
        </w:rPr>
        <w:lastRenderedPageBreak/>
        <w:drawing>
          <wp:anchor distT="0" distB="0" distL="114300" distR="114300" simplePos="0" relativeHeight="251658254" behindDoc="0" locked="0" layoutInCell="1" allowOverlap="1" wp14:anchorId="5715FBA8" wp14:editId="4ABCC271">
            <wp:simplePos x="0" y="0"/>
            <wp:positionH relativeFrom="margin">
              <wp:posOffset>-483870</wp:posOffset>
            </wp:positionH>
            <wp:positionV relativeFrom="paragraph">
              <wp:posOffset>281305</wp:posOffset>
            </wp:positionV>
            <wp:extent cx="6696000" cy="3852000"/>
            <wp:effectExtent l="0" t="0" r="0" b="0"/>
            <wp:wrapTopAndBottom/>
            <wp:docPr id="758556627" name="Chart 1">
              <a:extLst xmlns:a="http://schemas.openxmlformats.org/drawingml/2006/main">
                <a:ext uri="{FF2B5EF4-FFF2-40B4-BE49-F238E27FC236}">
                  <a16:creationId xmlns:a16="http://schemas.microsoft.com/office/drawing/2014/main" id="{A1BA01EB-D890-E74C-BECF-B5FD439C7B30}"/>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29"/>
              </a:graphicData>
            </a:graphic>
            <wp14:sizeRelH relativeFrom="page">
              <wp14:pctWidth>0</wp14:pctWidth>
            </wp14:sizeRelH>
            <wp14:sizeRelV relativeFrom="page">
              <wp14:pctHeight>0</wp14:pctHeight>
            </wp14:sizeRelV>
          </wp:anchor>
        </w:drawing>
      </w:r>
      <w:r w:rsidR="00BD3F4E">
        <w:rPr>
          <w:szCs w:val="24"/>
        </w:rPr>
        <w:t>Stock Turnover in Days</w:t>
      </w:r>
      <w:bookmarkEnd w:id="60"/>
    </w:p>
    <w:p w14:paraId="0E0A861B" w14:textId="305A3793" w:rsidR="00724D59" w:rsidRPr="00922709" w:rsidRDefault="00922709" w:rsidP="00922709">
      <w:pPr>
        <w:spacing w:line="480" w:lineRule="auto"/>
        <w:rPr>
          <w:b/>
          <w:bCs/>
          <w:sz w:val="18"/>
          <w:szCs w:val="18"/>
        </w:rPr>
      </w:pPr>
      <w:r w:rsidRPr="00922709">
        <w:rPr>
          <w:b/>
          <w:bCs/>
          <w:sz w:val="18"/>
          <w:szCs w:val="18"/>
        </w:rPr>
        <w:t xml:space="preserve">Figure </w:t>
      </w:r>
      <w:r>
        <w:rPr>
          <w:b/>
          <w:bCs/>
          <w:sz w:val="18"/>
          <w:szCs w:val="18"/>
        </w:rPr>
        <w:t>1</w:t>
      </w:r>
      <w:r w:rsidR="00C633C2">
        <w:rPr>
          <w:b/>
          <w:bCs/>
          <w:sz w:val="18"/>
          <w:szCs w:val="18"/>
        </w:rPr>
        <w:t>4</w:t>
      </w:r>
      <w:r w:rsidRPr="00922709">
        <w:rPr>
          <w:b/>
          <w:bCs/>
          <w:sz w:val="18"/>
          <w:szCs w:val="18"/>
        </w:rPr>
        <w:t xml:space="preserve">. </w:t>
      </w:r>
      <w:r>
        <w:rPr>
          <w:b/>
          <w:bCs/>
          <w:sz w:val="18"/>
          <w:szCs w:val="18"/>
        </w:rPr>
        <w:t>Stock Turnover in Days</w:t>
      </w:r>
      <w:r w:rsidRPr="00922709">
        <w:rPr>
          <w:b/>
          <w:bCs/>
          <w:sz w:val="18"/>
          <w:szCs w:val="18"/>
        </w:rPr>
        <w:t xml:space="preserve"> financial ratio results for all </w:t>
      </w:r>
      <w:r w:rsidR="00D06C36">
        <w:rPr>
          <w:b/>
          <w:bCs/>
          <w:sz w:val="18"/>
          <w:szCs w:val="18"/>
        </w:rPr>
        <w:t>FTSE 250</w:t>
      </w:r>
      <w:r w:rsidRPr="00922709">
        <w:rPr>
          <w:b/>
          <w:bCs/>
          <w:sz w:val="18"/>
          <w:szCs w:val="18"/>
        </w:rPr>
        <w:t xml:space="preserve"> industry sectors between 2019 and 2021. </w:t>
      </w:r>
    </w:p>
    <w:p w14:paraId="2733ECA7" w14:textId="77B99AC1" w:rsidR="00724D59" w:rsidRPr="00724D59" w:rsidRDefault="00724D59" w:rsidP="00724D59">
      <w:pPr>
        <w:spacing w:line="480" w:lineRule="auto"/>
        <w:jc w:val="both"/>
      </w:pPr>
      <w:r w:rsidRPr="00724D59">
        <w:rPr>
          <w:sz w:val="24"/>
          <w:szCs w:val="24"/>
        </w:rPr>
        <w:t xml:space="preserve">The </w:t>
      </w:r>
      <w:r w:rsidR="00AA1CA0">
        <w:rPr>
          <w:sz w:val="24"/>
          <w:szCs w:val="24"/>
        </w:rPr>
        <w:t>stock turnover in days measures how</w:t>
      </w:r>
      <w:r w:rsidR="00800CB8">
        <w:rPr>
          <w:sz w:val="24"/>
          <w:szCs w:val="24"/>
        </w:rPr>
        <w:t xml:space="preserve"> long </w:t>
      </w:r>
      <w:r w:rsidR="00D81955">
        <w:rPr>
          <w:sz w:val="24"/>
          <w:szCs w:val="24"/>
        </w:rPr>
        <w:t xml:space="preserve">a </w:t>
      </w:r>
      <w:r w:rsidR="00800CB8">
        <w:rPr>
          <w:sz w:val="24"/>
          <w:szCs w:val="24"/>
        </w:rPr>
        <w:t>compan</w:t>
      </w:r>
      <w:r w:rsidR="00D81955">
        <w:rPr>
          <w:sz w:val="24"/>
          <w:szCs w:val="24"/>
        </w:rPr>
        <w:t>y</w:t>
      </w:r>
      <w:r w:rsidR="00800CB8">
        <w:rPr>
          <w:sz w:val="24"/>
          <w:szCs w:val="24"/>
        </w:rPr>
        <w:t xml:space="preserve"> will hold stock before it is sold</w:t>
      </w:r>
      <w:r w:rsidR="00A733DC">
        <w:rPr>
          <w:sz w:val="24"/>
          <w:szCs w:val="24"/>
        </w:rPr>
        <w:t xml:space="preserve"> (Figure 14.)</w:t>
      </w:r>
      <w:r w:rsidR="00800CB8">
        <w:rPr>
          <w:sz w:val="24"/>
          <w:szCs w:val="24"/>
        </w:rPr>
        <w:t xml:space="preserve">. </w:t>
      </w:r>
      <w:r w:rsidR="00AB1249">
        <w:rPr>
          <w:sz w:val="24"/>
          <w:szCs w:val="24"/>
        </w:rPr>
        <w:t>This will vary between industries and compan</w:t>
      </w:r>
      <w:r w:rsidR="00D81955">
        <w:rPr>
          <w:sz w:val="24"/>
          <w:szCs w:val="24"/>
        </w:rPr>
        <w:t>ies</w:t>
      </w:r>
      <w:r w:rsidR="00AB1249">
        <w:rPr>
          <w:sz w:val="24"/>
          <w:szCs w:val="24"/>
        </w:rPr>
        <w:t xml:space="preserve"> but particular sector</w:t>
      </w:r>
      <w:r w:rsidR="00426154">
        <w:rPr>
          <w:sz w:val="24"/>
          <w:szCs w:val="24"/>
        </w:rPr>
        <w:t>s</w:t>
      </w:r>
      <w:r w:rsidR="00AB1249">
        <w:rPr>
          <w:sz w:val="24"/>
          <w:szCs w:val="24"/>
        </w:rPr>
        <w:t xml:space="preserve"> will have a different stock holding requirement. </w:t>
      </w:r>
      <w:r w:rsidR="000F1F28">
        <w:rPr>
          <w:sz w:val="24"/>
          <w:szCs w:val="24"/>
        </w:rPr>
        <w:t xml:space="preserve">The average stock turnover across all the sectors was </w:t>
      </w:r>
      <w:r w:rsidR="000A68EE">
        <w:rPr>
          <w:sz w:val="24"/>
          <w:szCs w:val="24"/>
        </w:rPr>
        <w:t xml:space="preserve">130.13 days, with most of the sectors </w:t>
      </w:r>
      <w:r w:rsidR="00723963">
        <w:rPr>
          <w:sz w:val="24"/>
          <w:szCs w:val="24"/>
        </w:rPr>
        <w:t xml:space="preserve">3-year average </w:t>
      </w:r>
      <w:r w:rsidR="000A68EE">
        <w:rPr>
          <w:sz w:val="24"/>
          <w:szCs w:val="24"/>
        </w:rPr>
        <w:t xml:space="preserve">being lower than </w:t>
      </w:r>
      <w:r w:rsidR="00723963">
        <w:rPr>
          <w:sz w:val="24"/>
          <w:szCs w:val="24"/>
        </w:rPr>
        <w:t xml:space="preserve">this figure. </w:t>
      </w:r>
      <w:r w:rsidR="00F66F2A">
        <w:rPr>
          <w:sz w:val="24"/>
          <w:szCs w:val="24"/>
        </w:rPr>
        <w:t xml:space="preserve">Two sectors showed stock turnover higher than this on a consistent basis: the financials sector and the real estate sector. The financials sector </w:t>
      </w:r>
      <w:r w:rsidR="00FF6E93">
        <w:rPr>
          <w:sz w:val="24"/>
          <w:szCs w:val="24"/>
        </w:rPr>
        <w:t xml:space="preserve">showed an average stock turnover of 538.07 </w:t>
      </w:r>
      <w:r w:rsidR="00862620">
        <w:rPr>
          <w:sz w:val="24"/>
          <w:szCs w:val="24"/>
        </w:rPr>
        <w:t xml:space="preserve">days </w:t>
      </w:r>
      <w:r w:rsidR="00FF6E93">
        <w:rPr>
          <w:sz w:val="24"/>
          <w:szCs w:val="24"/>
        </w:rPr>
        <w:t xml:space="preserve">for the years 2019 and 2020, before a </w:t>
      </w:r>
      <w:r w:rsidR="00862620">
        <w:rPr>
          <w:sz w:val="24"/>
          <w:szCs w:val="24"/>
        </w:rPr>
        <w:t>large increase in 2021 to 880.28 days. This is likely due to the longer term</w:t>
      </w:r>
      <w:r w:rsidR="00173927">
        <w:rPr>
          <w:sz w:val="24"/>
          <w:szCs w:val="24"/>
        </w:rPr>
        <w:t>s of investments these companies hold as ‘stock’</w:t>
      </w:r>
      <w:r w:rsidR="004D7AFF">
        <w:rPr>
          <w:sz w:val="24"/>
          <w:szCs w:val="24"/>
        </w:rPr>
        <w:t xml:space="preserve">, with these typically not being products that are sold or traded on a daily basis seen in </w:t>
      </w:r>
      <w:r w:rsidR="00BB742D">
        <w:rPr>
          <w:sz w:val="24"/>
          <w:szCs w:val="24"/>
        </w:rPr>
        <w:t xml:space="preserve">the other sectors. The real estate sector showed a declining stock turnover </w:t>
      </w:r>
      <w:r w:rsidR="009A1D90">
        <w:rPr>
          <w:sz w:val="24"/>
          <w:szCs w:val="24"/>
        </w:rPr>
        <w:t xml:space="preserve">between 2019 to 2021, indicating that they were selling more products at a faster rate. </w:t>
      </w:r>
      <w:r w:rsidR="009478E4">
        <w:rPr>
          <w:sz w:val="24"/>
          <w:szCs w:val="24"/>
        </w:rPr>
        <w:t xml:space="preserve">The stock turnover decreased by 11.25 days between 2019 and 2020 from </w:t>
      </w:r>
      <w:r w:rsidR="00D52D8B">
        <w:rPr>
          <w:sz w:val="24"/>
          <w:szCs w:val="24"/>
        </w:rPr>
        <w:t xml:space="preserve">163.65 days to 152.40 days, before decreasing by a </w:t>
      </w:r>
      <w:r w:rsidR="00D52D8B">
        <w:rPr>
          <w:sz w:val="24"/>
          <w:szCs w:val="24"/>
        </w:rPr>
        <w:lastRenderedPageBreak/>
        <w:t xml:space="preserve">further 26.10 days to 126.30 in 2021. The </w:t>
      </w:r>
      <w:r w:rsidR="00C9290B">
        <w:rPr>
          <w:sz w:val="24"/>
          <w:szCs w:val="24"/>
        </w:rPr>
        <w:t>higher-than-average</w:t>
      </w:r>
      <w:r w:rsidR="00D52D8B">
        <w:rPr>
          <w:sz w:val="24"/>
          <w:szCs w:val="24"/>
        </w:rPr>
        <w:t xml:space="preserve"> stock turnover for this sector is likely due to the extended purchasing and processing time for transactions within this sector.</w:t>
      </w:r>
      <w:r w:rsidR="006C0B55">
        <w:rPr>
          <w:sz w:val="24"/>
          <w:szCs w:val="24"/>
        </w:rPr>
        <w:t xml:space="preserve"> </w:t>
      </w:r>
      <w:r w:rsidR="002B41FB">
        <w:rPr>
          <w:sz w:val="24"/>
          <w:szCs w:val="24"/>
        </w:rPr>
        <w:t xml:space="preserve">The consumer discretionary, healthcare and energy sectors all showed an increase in </w:t>
      </w:r>
      <w:r w:rsidR="00123275">
        <w:rPr>
          <w:sz w:val="24"/>
          <w:szCs w:val="24"/>
        </w:rPr>
        <w:t>the days stock was held for</w:t>
      </w:r>
      <w:r w:rsidR="00512CAB">
        <w:rPr>
          <w:sz w:val="24"/>
          <w:szCs w:val="24"/>
        </w:rPr>
        <w:t xml:space="preserve"> between 2019 and 2020</w:t>
      </w:r>
      <w:r w:rsidR="000A4C07">
        <w:rPr>
          <w:sz w:val="24"/>
          <w:szCs w:val="24"/>
        </w:rPr>
        <w:t xml:space="preserve"> of 30.09 days, </w:t>
      </w:r>
      <w:r w:rsidR="00DE60CA">
        <w:rPr>
          <w:sz w:val="24"/>
          <w:szCs w:val="24"/>
        </w:rPr>
        <w:t xml:space="preserve">97.55 days and 41.42 days respectively, before decreasing in 2021 by 20.84 days, </w:t>
      </w:r>
      <w:r w:rsidR="00F0580E">
        <w:rPr>
          <w:sz w:val="24"/>
          <w:szCs w:val="24"/>
        </w:rPr>
        <w:t>99.52 days and 17.69 days respectively. I</w:t>
      </w:r>
      <w:r w:rsidR="00512CAB">
        <w:rPr>
          <w:sz w:val="24"/>
          <w:szCs w:val="24"/>
        </w:rPr>
        <w:t xml:space="preserve">n the case of the energy and consumer discretionary </w:t>
      </w:r>
      <w:r w:rsidR="00F0580E">
        <w:rPr>
          <w:sz w:val="24"/>
          <w:szCs w:val="24"/>
        </w:rPr>
        <w:t>this is likely due to lockdown limiting activity during 2020, aligning with the COVID-19 trend already discussed</w:t>
      </w:r>
      <w:r w:rsidR="00C9290B">
        <w:rPr>
          <w:sz w:val="24"/>
          <w:szCs w:val="24"/>
        </w:rPr>
        <w:t>. The healthcare sector following this trend but with a lower</w:t>
      </w:r>
      <w:r w:rsidR="007A746C">
        <w:rPr>
          <w:sz w:val="24"/>
          <w:szCs w:val="24"/>
        </w:rPr>
        <w:t xml:space="preserve"> decrease from 2020 to 2021 is likely due to the direct impact of COVID-19 on </w:t>
      </w:r>
      <w:r w:rsidR="00515050">
        <w:rPr>
          <w:sz w:val="24"/>
          <w:szCs w:val="24"/>
        </w:rPr>
        <w:t xml:space="preserve">hospitalisation duration and insurance </w:t>
      </w:r>
      <w:r w:rsidR="000C436A">
        <w:rPr>
          <w:sz w:val="24"/>
          <w:szCs w:val="24"/>
        </w:rPr>
        <w:t xml:space="preserve">processing times increasing. </w:t>
      </w:r>
    </w:p>
    <w:p w14:paraId="45CDCC29" w14:textId="2A0CF406" w:rsidR="00BD3F4E" w:rsidRDefault="000E57B2" w:rsidP="007656AE">
      <w:pPr>
        <w:pStyle w:val="Heading3"/>
        <w:numPr>
          <w:ilvl w:val="2"/>
          <w:numId w:val="3"/>
        </w:numPr>
        <w:rPr>
          <w:szCs w:val="24"/>
        </w:rPr>
      </w:pPr>
      <w:bookmarkStart w:id="61" w:name="_Toc141646734"/>
      <w:r>
        <w:rPr>
          <w:noProof/>
        </w:rPr>
        <w:drawing>
          <wp:anchor distT="0" distB="0" distL="114300" distR="114300" simplePos="0" relativeHeight="251658255" behindDoc="0" locked="0" layoutInCell="1" allowOverlap="1" wp14:anchorId="17034AEF" wp14:editId="7FA4F41C">
            <wp:simplePos x="0" y="0"/>
            <wp:positionH relativeFrom="margin">
              <wp:align>center</wp:align>
            </wp:positionH>
            <wp:positionV relativeFrom="paragraph">
              <wp:posOffset>435610</wp:posOffset>
            </wp:positionV>
            <wp:extent cx="6695440" cy="3851910"/>
            <wp:effectExtent l="0" t="0" r="0" b="0"/>
            <wp:wrapTopAndBottom/>
            <wp:docPr id="1588730644" name="Chart 1">
              <a:extLst xmlns:a="http://schemas.openxmlformats.org/drawingml/2006/main">
                <a:ext uri="{FF2B5EF4-FFF2-40B4-BE49-F238E27FC236}">
                  <a16:creationId xmlns:a16="http://schemas.microsoft.com/office/drawing/2014/main" id="{19C43A64-E782-F743-A408-17C17F3B39C8}"/>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30"/>
              </a:graphicData>
            </a:graphic>
            <wp14:sizeRelH relativeFrom="page">
              <wp14:pctWidth>0</wp14:pctWidth>
            </wp14:sizeRelH>
            <wp14:sizeRelV relativeFrom="page">
              <wp14:pctHeight>0</wp14:pctHeight>
            </wp14:sizeRelV>
          </wp:anchor>
        </w:drawing>
      </w:r>
      <w:r w:rsidR="00BD3F4E">
        <w:rPr>
          <w:szCs w:val="24"/>
        </w:rPr>
        <w:t>Capital Employed Turnover</w:t>
      </w:r>
      <w:bookmarkEnd w:id="61"/>
    </w:p>
    <w:p w14:paraId="687EF270" w14:textId="3E55EB2C" w:rsidR="00922709" w:rsidRPr="00922709" w:rsidRDefault="00922709" w:rsidP="00922709">
      <w:pPr>
        <w:spacing w:line="480" w:lineRule="auto"/>
        <w:rPr>
          <w:b/>
          <w:bCs/>
          <w:sz w:val="18"/>
          <w:szCs w:val="18"/>
        </w:rPr>
      </w:pPr>
      <w:r w:rsidRPr="00922709">
        <w:rPr>
          <w:b/>
          <w:bCs/>
          <w:sz w:val="18"/>
          <w:szCs w:val="18"/>
        </w:rPr>
        <w:t xml:space="preserve">Figure </w:t>
      </w:r>
      <w:r>
        <w:rPr>
          <w:b/>
          <w:bCs/>
          <w:sz w:val="18"/>
          <w:szCs w:val="18"/>
        </w:rPr>
        <w:t>1</w:t>
      </w:r>
      <w:r w:rsidR="00C633C2">
        <w:rPr>
          <w:b/>
          <w:bCs/>
          <w:sz w:val="18"/>
          <w:szCs w:val="18"/>
        </w:rPr>
        <w:t>5</w:t>
      </w:r>
      <w:r w:rsidRPr="00922709">
        <w:rPr>
          <w:b/>
          <w:bCs/>
          <w:sz w:val="18"/>
          <w:szCs w:val="18"/>
        </w:rPr>
        <w:t xml:space="preserve">. </w:t>
      </w:r>
      <w:r>
        <w:rPr>
          <w:b/>
          <w:bCs/>
          <w:sz w:val="18"/>
          <w:szCs w:val="18"/>
        </w:rPr>
        <w:t>Capital Employed Turnover</w:t>
      </w:r>
      <w:r w:rsidRPr="00922709">
        <w:rPr>
          <w:b/>
          <w:bCs/>
          <w:sz w:val="18"/>
          <w:szCs w:val="18"/>
        </w:rPr>
        <w:t xml:space="preserve"> financial ratio results for all </w:t>
      </w:r>
      <w:r w:rsidR="00D06C36">
        <w:rPr>
          <w:b/>
          <w:bCs/>
          <w:sz w:val="18"/>
          <w:szCs w:val="18"/>
        </w:rPr>
        <w:t>FTSE 250</w:t>
      </w:r>
      <w:r w:rsidRPr="00922709">
        <w:rPr>
          <w:b/>
          <w:bCs/>
          <w:sz w:val="18"/>
          <w:szCs w:val="18"/>
        </w:rPr>
        <w:t xml:space="preserve"> industry sectors between 2019 and 2021. </w:t>
      </w:r>
    </w:p>
    <w:p w14:paraId="6699B9E3" w14:textId="7CDC49ED" w:rsidR="00724D59" w:rsidRPr="00724D59" w:rsidRDefault="00724D59" w:rsidP="00724D59">
      <w:pPr>
        <w:spacing w:line="480" w:lineRule="auto"/>
        <w:jc w:val="both"/>
        <w:rPr>
          <w:sz w:val="24"/>
          <w:szCs w:val="24"/>
        </w:rPr>
      </w:pPr>
    </w:p>
    <w:p w14:paraId="0BF0209E" w14:textId="49695F2C" w:rsidR="006E67BE" w:rsidRDefault="00724D59" w:rsidP="00724D59">
      <w:pPr>
        <w:spacing w:line="480" w:lineRule="auto"/>
        <w:jc w:val="both"/>
        <w:rPr>
          <w:sz w:val="24"/>
          <w:szCs w:val="24"/>
        </w:rPr>
      </w:pPr>
      <w:r w:rsidRPr="00724D59">
        <w:rPr>
          <w:sz w:val="24"/>
          <w:szCs w:val="24"/>
        </w:rPr>
        <w:lastRenderedPageBreak/>
        <w:t xml:space="preserve">The </w:t>
      </w:r>
      <w:r w:rsidR="00F97004">
        <w:rPr>
          <w:sz w:val="24"/>
          <w:szCs w:val="24"/>
        </w:rPr>
        <w:t xml:space="preserve">capital employed turnover ratio measures how effectively </w:t>
      </w:r>
      <w:r w:rsidR="00426154">
        <w:rPr>
          <w:sz w:val="24"/>
          <w:szCs w:val="24"/>
        </w:rPr>
        <w:t xml:space="preserve">a </w:t>
      </w:r>
      <w:r w:rsidR="00F97004">
        <w:rPr>
          <w:sz w:val="24"/>
          <w:szCs w:val="24"/>
        </w:rPr>
        <w:t>compan</w:t>
      </w:r>
      <w:r w:rsidR="00426154">
        <w:rPr>
          <w:sz w:val="24"/>
          <w:szCs w:val="24"/>
        </w:rPr>
        <w:t>y</w:t>
      </w:r>
      <w:r w:rsidR="00F97004">
        <w:rPr>
          <w:sz w:val="24"/>
          <w:szCs w:val="24"/>
        </w:rPr>
        <w:t xml:space="preserve"> </w:t>
      </w:r>
      <w:r w:rsidR="00426154">
        <w:rPr>
          <w:sz w:val="24"/>
          <w:szCs w:val="24"/>
        </w:rPr>
        <w:t>is</w:t>
      </w:r>
      <w:r w:rsidR="00F97004">
        <w:rPr>
          <w:sz w:val="24"/>
          <w:szCs w:val="24"/>
        </w:rPr>
        <w:t xml:space="preserve"> </w:t>
      </w:r>
      <w:r w:rsidR="000F14C3">
        <w:rPr>
          <w:sz w:val="24"/>
          <w:szCs w:val="24"/>
        </w:rPr>
        <w:t xml:space="preserve">using their capital to generate </w:t>
      </w:r>
      <w:r w:rsidR="00922E8A">
        <w:rPr>
          <w:sz w:val="24"/>
          <w:szCs w:val="24"/>
        </w:rPr>
        <w:t>revenue (</w:t>
      </w:r>
      <w:r w:rsidR="002E1677">
        <w:rPr>
          <w:sz w:val="24"/>
          <w:szCs w:val="24"/>
        </w:rPr>
        <w:t>Figure 15.)</w:t>
      </w:r>
      <w:r w:rsidR="000F14C3">
        <w:rPr>
          <w:sz w:val="24"/>
          <w:szCs w:val="24"/>
        </w:rPr>
        <w:t>.</w:t>
      </w:r>
      <w:r w:rsidR="00EB62B0">
        <w:rPr>
          <w:sz w:val="24"/>
          <w:szCs w:val="24"/>
        </w:rPr>
        <w:t xml:space="preserve"> The higher the ratio the more efficiently the capital employed is being used to generate revenue. </w:t>
      </w:r>
      <w:r w:rsidR="008B472D">
        <w:rPr>
          <w:sz w:val="24"/>
          <w:szCs w:val="24"/>
        </w:rPr>
        <w:t xml:space="preserve">Comparison of the 2019 to 2021 trend across the sectors </w:t>
      </w:r>
      <w:r w:rsidR="006C34B9">
        <w:rPr>
          <w:sz w:val="24"/>
          <w:szCs w:val="24"/>
        </w:rPr>
        <w:t>shows that only the telecommunications and technology sectors are not following the general COVID-19 trend</w:t>
      </w:r>
      <w:r w:rsidR="00863D79">
        <w:rPr>
          <w:sz w:val="24"/>
          <w:szCs w:val="24"/>
        </w:rPr>
        <w:t>. The t</w:t>
      </w:r>
      <w:r w:rsidR="006C34B9">
        <w:rPr>
          <w:sz w:val="24"/>
          <w:szCs w:val="24"/>
        </w:rPr>
        <w:t xml:space="preserve">elecommunications </w:t>
      </w:r>
      <w:r w:rsidR="00863D79">
        <w:rPr>
          <w:sz w:val="24"/>
          <w:szCs w:val="24"/>
        </w:rPr>
        <w:t xml:space="preserve">sector </w:t>
      </w:r>
      <w:r w:rsidR="00D553B8">
        <w:rPr>
          <w:sz w:val="24"/>
          <w:szCs w:val="24"/>
        </w:rPr>
        <w:t>maintain</w:t>
      </w:r>
      <w:r w:rsidR="00863D79">
        <w:rPr>
          <w:sz w:val="24"/>
          <w:szCs w:val="24"/>
        </w:rPr>
        <w:t>ed</w:t>
      </w:r>
      <w:r w:rsidR="00D553B8">
        <w:rPr>
          <w:sz w:val="24"/>
          <w:szCs w:val="24"/>
        </w:rPr>
        <w:t xml:space="preserve"> the same value in 2021 as 2020 at 0.70</w:t>
      </w:r>
      <w:r w:rsidR="00863D79">
        <w:rPr>
          <w:sz w:val="24"/>
          <w:szCs w:val="24"/>
        </w:rPr>
        <w:t xml:space="preserve"> after declining from </w:t>
      </w:r>
      <w:r w:rsidR="00AE0651">
        <w:rPr>
          <w:sz w:val="24"/>
          <w:szCs w:val="24"/>
        </w:rPr>
        <w:t>0.76</w:t>
      </w:r>
      <w:r w:rsidR="00D553B8">
        <w:rPr>
          <w:sz w:val="24"/>
          <w:szCs w:val="24"/>
        </w:rPr>
        <w:t>, and</w:t>
      </w:r>
      <w:r w:rsidR="00AE0651">
        <w:rPr>
          <w:sz w:val="24"/>
          <w:szCs w:val="24"/>
        </w:rPr>
        <w:t xml:space="preserve"> the</w:t>
      </w:r>
      <w:r w:rsidR="00D553B8">
        <w:rPr>
          <w:sz w:val="24"/>
          <w:szCs w:val="24"/>
        </w:rPr>
        <w:t xml:space="preserve"> technology</w:t>
      </w:r>
      <w:r w:rsidR="00AE0651">
        <w:rPr>
          <w:sz w:val="24"/>
          <w:szCs w:val="24"/>
        </w:rPr>
        <w:t xml:space="preserve"> sector</w:t>
      </w:r>
      <w:r w:rsidR="00D553B8">
        <w:rPr>
          <w:sz w:val="24"/>
          <w:szCs w:val="24"/>
        </w:rPr>
        <w:t xml:space="preserve"> showing a continuing decline</w:t>
      </w:r>
      <w:r w:rsidR="006024B5">
        <w:rPr>
          <w:sz w:val="24"/>
          <w:szCs w:val="24"/>
        </w:rPr>
        <w:t xml:space="preserve"> from 2.87 in 2019, to 2.39 in 2020 to 2.29 in 2021.</w:t>
      </w:r>
      <w:r w:rsidR="00D802F0">
        <w:rPr>
          <w:sz w:val="24"/>
          <w:szCs w:val="24"/>
        </w:rPr>
        <w:t xml:space="preserve"> However, the technology sector had the highest ratio in all three years</w:t>
      </w:r>
      <w:r w:rsidR="00EB62B0">
        <w:rPr>
          <w:sz w:val="24"/>
          <w:szCs w:val="24"/>
        </w:rPr>
        <w:t>.</w:t>
      </w:r>
      <w:r w:rsidR="006024B5">
        <w:rPr>
          <w:sz w:val="24"/>
          <w:szCs w:val="24"/>
        </w:rPr>
        <w:t xml:space="preserve"> </w:t>
      </w:r>
      <w:r w:rsidR="00B9079A">
        <w:rPr>
          <w:sz w:val="24"/>
          <w:szCs w:val="24"/>
        </w:rPr>
        <w:t>The average capital employed turnover across all the sectors for 2019 to 2020 was 1.08</w:t>
      </w:r>
      <w:r w:rsidR="00AE6F87">
        <w:rPr>
          <w:sz w:val="24"/>
          <w:szCs w:val="24"/>
        </w:rPr>
        <w:t xml:space="preserve">. </w:t>
      </w:r>
    </w:p>
    <w:p w14:paraId="01726A83" w14:textId="78D764AD" w:rsidR="00C45332" w:rsidRPr="0053640E" w:rsidRDefault="00CD7B77" w:rsidP="00724D59">
      <w:pPr>
        <w:spacing w:line="480" w:lineRule="auto"/>
        <w:jc w:val="both"/>
        <w:rPr>
          <w:sz w:val="24"/>
          <w:szCs w:val="24"/>
        </w:rPr>
      </w:pPr>
      <w:r>
        <w:rPr>
          <w:sz w:val="24"/>
          <w:szCs w:val="24"/>
        </w:rPr>
        <w:t>C</w:t>
      </w:r>
      <w:r w:rsidR="006E67BE" w:rsidRPr="006E67BE">
        <w:rPr>
          <w:sz w:val="24"/>
          <w:szCs w:val="24"/>
        </w:rPr>
        <w:t xml:space="preserve">onsumer </w:t>
      </w:r>
      <w:r>
        <w:rPr>
          <w:sz w:val="24"/>
          <w:szCs w:val="24"/>
        </w:rPr>
        <w:t>d</w:t>
      </w:r>
      <w:r w:rsidR="006E67BE" w:rsidRPr="006E67BE">
        <w:rPr>
          <w:sz w:val="24"/>
          <w:szCs w:val="24"/>
        </w:rPr>
        <w:t xml:space="preserve">iscretionary, </w:t>
      </w:r>
      <w:r>
        <w:rPr>
          <w:sz w:val="24"/>
          <w:szCs w:val="24"/>
        </w:rPr>
        <w:t>c</w:t>
      </w:r>
      <w:r w:rsidR="006E67BE" w:rsidRPr="006E67BE">
        <w:rPr>
          <w:sz w:val="24"/>
          <w:szCs w:val="24"/>
        </w:rPr>
        <w:t xml:space="preserve">onsumer </w:t>
      </w:r>
      <w:r>
        <w:rPr>
          <w:sz w:val="24"/>
          <w:szCs w:val="24"/>
        </w:rPr>
        <w:t>s</w:t>
      </w:r>
      <w:r w:rsidR="006E67BE" w:rsidRPr="006E67BE">
        <w:rPr>
          <w:sz w:val="24"/>
          <w:szCs w:val="24"/>
        </w:rPr>
        <w:t xml:space="preserve">taples, and </w:t>
      </w:r>
      <w:r>
        <w:rPr>
          <w:sz w:val="24"/>
          <w:szCs w:val="24"/>
        </w:rPr>
        <w:t>u</w:t>
      </w:r>
      <w:r w:rsidR="006E67BE" w:rsidRPr="006E67BE">
        <w:rPr>
          <w:sz w:val="24"/>
          <w:szCs w:val="24"/>
        </w:rPr>
        <w:t>tilities</w:t>
      </w:r>
      <w:r>
        <w:rPr>
          <w:sz w:val="24"/>
          <w:szCs w:val="24"/>
        </w:rPr>
        <w:t xml:space="preserve"> sectors</w:t>
      </w:r>
      <w:r w:rsidR="00FA390B">
        <w:rPr>
          <w:sz w:val="24"/>
          <w:szCs w:val="24"/>
        </w:rPr>
        <w:t xml:space="preserve"> all demonstrated relatively high </w:t>
      </w:r>
      <w:r>
        <w:rPr>
          <w:sz w:val="24"/>
          <w:szCs w:val="24"/>
        </w:rPr>
        <w:t>capital employed turnover ratios</w:t>
      </w:r>
      <w:r w:rsidR="006E67BE" w:rsidRPr="006E67BE">
        <w:rPr>
          <w:sz w:val="24"/>
          <w:szCs w:val="24"/>
        </w:rPr>
        <w:t xml:space="preserve">. However, </w:t>
      </w:r>
      <w:r>
        <w:rPr>
          <w:sz w:val="24"/>
          <w:szCs w:val="24"/>
        </w:rPr>
        <w:t>the consumer discretionary sector showed the highest annual decline from 2019 to 2020 of all sectors of 0.70 from 1.96 to 1.26</w:t>
      </w:r>
      <w:r w:rsidR="00F040E3">
        <w:rPr>
          <w:sz w:val="24"/>
          <w:szCs w:val="24"/>
        </w:rPr>
        <w:t xml:space="preserve"> before a slight recovery to 1.36 in 2021. </w:t>
      </w:r>
      <w:r w:rsidR="00D935EF">
        <w:rPr>
          <w:sz w:val="24"/>
          <w:szCs w:val="24"/>
        </w:rPr>
        <w:t>The c</w:t>
      </w:r>
      <w:r w:rsidR="00F040E3">
        <w:rPr>
          <w:sz w:val="24"/>
          <w:szCs w:val="24"/>
        </w:rPr>
        <w:t>onsumer staples</w:t>
      </w:r>
      <w:r w:rsidR="00D935EF">
        <w:rPr>
          <w:sz w:val="24"/>
          <w:szCs w:val="24"/>
        </w:rPr>
        <w:t xml:space="preserve"> sector</w:t>
      </w:r>
      <w:r w:rsidR="00F040E3">
        <w:rPr>
          <w:sz w:val="24"/>
          <w:szCs w:val="24"/>
        </w:rPr>
        <w:t xml:space="preserve"> showed a decline of </w:t>
      </w:r>
      <w:r w:rsidR="00376F8A">
        <w:rPr>
          <w:sz w:val="24"/>
          <w:szCs w:val="24"/>
        </w:rPr>
        <w:t xml:space="preserve">0.28 between 2019 and 2020 from 1.94 to 1.65, however had the best recovery in 2021 </w:t>
      </w:r>
      <w:r w:rsidR="00737D50">
        <w:rPr>
          <w:sz w:val="24"/>
          <w:szCs w:val="24"/>
        </w:rPr>
        <w:t xml:space="preserve">increasing by 0.61 to 2.26. </w:t>
      </w:r>
      <w:r w:rsidR="00D935EF">
        <w:rPr>
          <w:sz w:val="24"/>
          <w:szCs w:val="24"/>
        </w:rPr>
        <w:t xml:space="preserve">The financials sector and </w:t>
      </w:r>
      <w:r w:rsidR="009C7266">
        <w:rPr>
          <w:sz w:val="24"/>
          <w:szCs w:val="24"/>
        </w:rPr>
        <w:t xml:space="preserve">the real estate sector showed had the lowest capital </w:t>
      </w:r>
      <w:r w:rsidR="004B7EFD">
        <w:rPr>
          <w:sz w:val="24"/>
          <w:szCs w:val="24"/>
        </w:rPr>
        <w:t>employed</w:t>
      </w:r>
      <w:r w:rsidR="009C7266">
        <w:rPr>
          <w:sz w:val="24"/>
          <w:szCs w:val="24"/>
        </w:rPr>
        <w:t xml:space="preserve"> turnover ratios </w:t>
      </w:r>
      <w:r w:rsidR="004B7EFD">
        <w:rPr>
          <w:sz w:val="24"/>
          <w:szCs w:val="24"/>
        </w:rPr>
        <w:t xml:space="preserve">with averages for 2019 to 2021 of </w:t>
      </w:r>
      <w:r w:rsidR="00B54A28">
        <w:rPr>
          <w:sz w:val="24"/>
          <w:szCs w:val="24"/>
        </w:rPr>
        <w:t xml:space="preserve">0.24 and 0.20 respectively. These two sectors are less efficient in generating revenue from their capital </w:t>
      </w:r>
      <w:r w:rsidR="00F27C05">
        <w:rPr>
          <w:sz w:val="24"/>
          <w:szCs w:val="24"/>
        </w:rPr>
        <w:t xml:space="preserve">employed, however both sectors showed improvement </w:t>
      </w:r>
      <w:r w:rsidR="00E0437F">
        <w:rPr>
          <w:sz w:val="24"/>
          <w:szCs w:val="24"/>
        </w:rPr>
        <w:t xml:space="preserve">in 2021 with from </w:t>
      </w:r>
      <w:r w:rsidR="0053640E">
        <w:rPr>
          <w:sz w:val="24"/>
          <w:szCs w:val="24"/>
        </w:rPr>
        <w:t xml:space="preserve">0.21 to 0.28 and 0.19 to 0.21 respectively. </w:t>
      </w:r>
      <w:r w:rsidR="00E0437F">
        <w:rPr>
          <w:sz w:val="24"/>
          <w:szCs w:val="24"/>
        </w:rPr>
        <w:t xml:space="preserve"> </w:t>
      </w:r>
    </w:p>
    <w:p w14:paraId="4DABB744" w14:textId="77777777" w:rsidR="00960648" w:rsidRDefault="00960648">
      <w:pPr>
        <w:rPr>
          <w:rFonts w:eastAsiaTheme="majorEastAsia" w:cstheme="majorBidi"/>
          <w:b/>
          <w:bCs/>
          <w:i/>
          <w:sz w:val="24"/>
          <w:szCs w:val="24"/>
        </w:rPr>
      </w:pPr>
      <w:r>
        <w:rPr>
          <w:szCs w:val="24"/>
        </w:rPr>
        <w:br w:type="page"/>
      </w:r>
    </w:p>
    <w:p w14:paraId="33CE4825" w14:textId="7FC8993D" w:rsidR="00EE6AD1" w:rsidRDefault="00234D2F" w:rsidP="007656AE">
      <w:pPr>
        <w:pStyle w:val="Heading2"/>
        <w:numPr>
          <w:ilvl w:val="1"/>
          <w:numId w:val="3"/>
        </w:numPr>
        <w:spacing w:line="480" w:lineRule="auto"/>
        <w:jc w:val="both"/>
        <w:rPr>
          <w:szCs w:val="24"/>
        </w:rPr>
      </w:pPr>
      <w:bookmarkStart w:id="62" w:name="_Toc141646735"/>
      <w:r>
        <w:rPr>
          <w:szCs w:val="24"/>
        </w:rPr>
        <w:lastRenderedPageBreak/>
        <w:t>Liquidity</w:t>
      </w:r>
      <w:bookmarkEnd w:id="62"/>
    </w:p>
    <w:p w14:paraId="4E32FF0D" w14:textId="796071D2" w:rsidR="008C2167" w:rsidRDefault="00993EA0" w:rsidP="007656AE">
      <w:pPr>
        <w:pStyle w:val="Heading3"/>
        <w:numPr>
          <w:ilvl w:val="2"/>
          <w:numId w:val="3"/>
        </w:numPr>
        <w:rPr>
          <w:szCs w:val="24"/>
        </w:rPr>
      </w:pPr>
      <w:bookmarkStart w:id="63" w:name="_Toc141646736"/>
      <w:r>
        <w:rPr>
          <w:noProof/>
        </w:rPr>
        <w:drawing>
          <wp:anchor distT="0" distB="0" distL="114300" distR="114300" simplePos="0" relativeHeight="251658256" behindDoc="0" locked="0" layoutInCell="1" allowOverlap="1" wp14:anchorId="69C215B0" wp14:editId="1FE983CD">
            <wp:simplePos x="0" y="0"/>
            <wp:positionH relativeFrom="margin">
              <wp:align>center</wp:align>
            </wp:positionH>
            <wp:positionV relativeFrom="paragraph">
              <wp:posOffset>546312</wp:posOffset>
            </wp:positionV>
            <wp:extent cx="6696000" cy="3852000"/>
            <wp:effectExtent l="0" t="0" r="0" b="0"/>
            <wp:wrapTopAndBottom/>
            <wp:docPr id="330604248" name="Chart 1">
              <a:extLst xmlns:a="http://schemas.openxmlformats.org/drawingml/2006/main">
                <a:ext uri="{FF2B5EF4-FFF2-40B4-BE49-F238E27FC236}">
                  <a16:creationId xmlns:a16="http://schemas.microsoft.com/office/drawing/2014/main" id="{E33E1386-0E48-0D4E-9C61-8BD32FDA126F}"/>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31"/>
              </a:graphicData>
            </a:graphic>
            <wp14:sizeRelH relativeFrom="page">
              <wp14:pctWidth>0</wp14:pctWidth>
            </wp14:sizeRelH>
            <wp14:sizeRelV relativeFrom="page">
              <wp14:pctHeight>0</wp14:pctHeight>
            </wp14:sizeRelV>
          </wp:anchor>
        </w:drawing>
      </w:r>
      <w:r w:rsidR="008C2167">
        <w:rPr>
          <w:szCs w:val="24"/>
        </w:rPr>
        <w:t>Current Ratio</w:t>
      </w:r>
      <w:bookmarkEnd w:id="63"/>
    </w:p>
    <w:p w14:paraId="08122A74" w14:textId="05DAC427" w:rsidR="00BA0690" w:rsidRPr="00960648" w:rsidRDefault="00960648" w:rsidP="00960648">
      <w:pPr>
        <w:spacing w:line="480" w:lineRule="auto"/>
        <w:rPr>
          <w:b/>
          <w:bCs/>
          <w:sz w:val="18"/>
          <w:szCs w:val="18"/>
        </w:rPr>
      </w:pPr>
      <w:r w:rsidRPr="00960648">
        <w:rPr>
          <w:b/>
          <w:bCs/>
          <w:sz w:val="18"/>
          <w:szCs w:val="18"/>
        </w:rPr>
        <w:t xml:space="preserve">Figure </w:t>
      </w:r>
      <w:r>
        <w:rPr>
          <w:b/>
          <w:bCs/>
          <w:sz w:val="18"/>
          <w:szCs w:val="18"/>
        </w:rPr>
        <w:t>1</w:t>
      </w:r>
      <w:r w:rsidR="00C633C2">
        <w:rPr>
          <w:b/>
          <w:bCs/>
          <w:sz w:val="18"/>
          <w:szCs w:val="18"/>
        </w:rPr>
        <w:t>6</w:t>
      </w:r>
      <w:r w:rsidRPr="00960648">
        <w:rPr>
          <w:b/>
          <w:bCs/>
          <w:sz w:val="18"/>
          <w:szCs w:val="18"/>
        </w:rPr>
        <w:t xml:space="preserve">. </w:t>
      </w:r>
      <w:r>
        <w:rPr>
          <w:b/>
          <w:bCs/>
          <w:sz w:val="18"/>
          <w:szCs w:val="18"/>
        </w:rPr>
        <w:t>Current Ratio</w:t>
      </w:r>
      <w:r w:rsidRPr="00960648">
        <w:rPr>
          <w:b/>
          <w:bCs/>
          <w:sz w:val="18"/>
          <w:szCs w:val="18"/>
        </w:rPr>
        <w:t xml:space="preserve"> financial ratio results for all </w:t>
      </w:r>
      <w:r w:rsidR="00D06C36">
        <w:rPr>
          <w:b/>
          <w:bCs/>
          <w:sz w:val="18"/>
          <w:szCs w:val="18"/>
        </w:rPr>
        <w:t>FTSE 250</w:t>
      </w:r>
      <w:r w:rsidRPr="00960648">
        <w:rPr>
          <w:b/>
          <w:bCs/>
          <w:sz w:val="18"/>
          <w:szCs w:val="18"/>
        </w:rPr>
        <w:t xml:space="preserve"> industry sectors between 2019 and 2021. </w:t>
      </w:r>
    </w:p>
    <w:p w14:paraId="0C392A23" w14:textId="266AC57C" w:rsidR="00BA0690" w:rsidRPr="00BA0690" w:rsidRDefault="00BA0690" w:rsidP="00BA0690">
      <w:pPr>
        <w:spacing w:line="480" w:lineRule="auto"/>
        <w:jc w:val="both"/>
      </w:pPr>
      <w:r w:rsidRPr="00BA0690">
        <w:rPr>
          <w:sz w:val="24"/>
          <w:szCs w:val="24"/>
        </w:rPr>
        <w:t xml:space="preserve">The </w:t>
      </w:r>
      <w:r w:rsidR="00FC7CA7">
        <w:rPr>
          <w:sz w:val="24"/>
          <w:szCs w:val="24"/>
        </w:rPr>
        <w:t xml:space="preserve">current ratio </w:t>
      </w:r>
      <w:r w:rsidR="00887E4F">
        <w:rPr>
          <w:sz w:val="24"/>
          <w:szCs w:val="24"/>
        </w:rPr>
        <w:t>measures a compan</w:t>
      </w:r>
      <w:r w:rsidR="008677B2">
        <w:rPr>
          <w:sz w:val="24"/>
          <w:szCs w:val="24"/>
        </w:rPr>
        <w:t>y’s</w:t>
      </w:r>
      <w:r w:rsidR="00887E4F">
        <w:rPr>
          <w:sz w:val="24"/>
          <w:szCs w:val="24"/>
        </w:rPr>
        <w:t xml:space="preserve"> ability to pay its </w:t>
      </w:r>
      <w:r w:rsidR="00AF03C5">
        <w:rPr>
          <w:sz w:val="24"/>
          <w:szCs w:val="24"/>
        </w:rPr>
        <w:t>current</w:t>
      </w:r>
      <w:r w:rsidR="00887E4F">
        <w:rPr>
          <w:sz w:val="24"/>
          <w:szCs w:val="24"/>
        </w:rPr>
        <w:t xml:space="preserve"> liabilities </w:t>
      </w:r>
      <w:r w:rsidR="004A753E">
        <w:rPr>
          <w:sz w:val="24"/>
          <w:szCs w:val="24"/>
        </w:rPr>
        <w:t>using its current assets</w:t>
      </w:r>
      <w:r w:rsidR="00971061">
        <w:rPr>
          <w:sz w:val="24"/>
          <w:szCs w:val="24"/>
        </w:rPr>
        <w:t>, therefore a higher ratio indicates that the company should be in a stronger</w:t>
      </w:r>
      <w:r w:rsidR="003B5C33">
        <w:rPr>
          <w:sz w:val="24"/>
          <w:szCs w:val="24"/>
        </w:rPr>
        <w:t xml:space="preserve"> short-term liquidity position</w:t>
      </w:r>
      <w:r w:rsidR="002E1677">
        <w:rPr>
          <w:sz w:val="24"/>
          <w:szCs w:val="24"/>
        </w:rPr>
        <w:t xml:space="preserve"> (Figure 16.)</w:t>
      </w:r>
      <w:r w:rsidR="003B5C33">
        <w:rPr>
          <w:sz w:val="24"/>
          <w:szCs w:val="24"/>
        </w:rPr>
        <w:t xml:space="preserve">. </w:t>
      </w:r>
      <w:r w:rsidR="00E7149B">
        <w:rPr>
          <w:sz w:val="24"/>
          <w:szCs w:val="24"/>
        </w:rPr>
        <w:t xml:space="preserve">It is however important to note this ratio is a single ‘snapshot’ available at a </w:t>
      </w:r>
      <w:r w:rsidR="002D546D">
        <w:rPr>
          <w:sz w:val="24"/>
          <w:szCs w:val="24"/>
        </w:rPr>
        <w:t>single</w:t>
      </w:r>
      <w:r w:rsidR="00E7149B">
        <w:rPr>
          <w:sz w:val="24"/>
          <w:szCs w:val="24"/>
        </w:rPr>
        <w:t xml:space="preserve"> point in the year with the financial statements and cannot be taken as a wider measure of </w:t>
      </w:r>
      <w:r w:rsidR="002D546D">
        <w:rPr>
          <w:sz w:val="24"/>
          <w:szCs w:val="24"/>
        </w:rPr>
        <w:t xml:space="preserve">liquidity throughout a year. </w:t>
      </w:r>
      <w:r w:rsidR="006C5D1B">
        <w:rPr>
          <w:sz w:val="24"/>
          <w:szCs w:val="24"/>
        </w:rPr>
        <w:t xml:space="preserve">Across the 2019 to 2020 period, </w:t>
      </w:r>
      <w:r w:rsidR="00BA3CB1">
        <w:rPr>
          <w:sz w:val="24"/>
          <w:szCs w:val="24"/>
        </w:rPr>
        <w:t xml:space="preserve">the average current ratio for all sectors was </w:t>
      </w:r>
      <w:r w:rsidR="004715BB">
        <w:rPr>
          <w:sz w:val="24"/>
          <w:szCs w:val="24"/>
        </w:rPr>
        <w:t>3.84, however this is skewed by the financials sector</w:t>
      </w:r>
      <w:r w:rsidR="00316E8A">
        <w:rPr>
          <w:sz w:val="24"/>
          <w:szCs w:val="24"/>
        </w:rPr>
        <w:t xml:space="preserve"> (average 22.16), the average for the remaining ten sectors is 2.01. </w:t>
      </w:r>
      <w:r w:rsidR="00550A2B">
        <w:rPr>
          <w:sz w:val="24"/>
          <w:szCs w:val="24"/>
        </w:rPr>
        <w:t xml:space="preserve">The </w:t>
      </w:r>
      <w:r w:rsidR="008216CC">
        <w:rPr>
          <w:sz w:val="24"/>
          <w:szCs w:val="24"/>
        </w:rPr>
        <w:t xml:space="preserve">financials sector ratio has been declined over the 2019-2021 period, </w:t>
      </w:r>
      <w:r w:rsidR="00677205">
        <w:rPr>
          <w:sz w:val="24"/>
          <w:szCs w:val="24"/>
        </w:rPr>
        <w:t>from 25.04 in 2019</w:t>
      </w:r>
      <w:r w:rsidR="003C1CCA">
        <w:rPr>
          <w:sz w:val="24"/>
          <w:szCs w:val="24"/>
        </w:rPr>
        <w:t xml:space="preserve">, </w:t>
      </w:r>
      <w:r w:rsidR="00677205">
        <w:rPr>
          <w:sz w:val="24"/>
          <w:szCs w:val="24"/>
        </w:rPr>
        <w:t xml:space="preserve">23.24 in 2020 </w:t>
      </w:r>
      <w:r w:rsidR="003C1CCA">
        <w:rPr>
          <w:sz w:val="24"/>
          <w:szCs w:val="24"/>
        </w:rPr>
        <w:t xml:space="preserve">to 18.21 in 2021; however, this is still </w:t>
      </w:r>
      <w:r w:rsidR="00865CF4">
        <w:rPr>
          <w:sz w:val="24"/>
          <w:szCs w:val="24"/>
        </w:rPr>
        <w:t xml:space="preserve">very strong in comparison to the other sectors. </w:t>
      </w:r>
      <w:r w:rsidR="00BA2D0F">
        <w:rPr>
          <w:sz w:val="24"/>
          <w:szCs w:val="24"/>
        </w:rPr>
        <w:t>The utilities sector showed a</w:t>
      </w:r>
      <w:r w:rsidR="00C46EDD">
        <w:rPr>
          <w:sz w:val="24"/>
          <w:szCs w:val="24"/>
        </w:rPr>
        <w:t>n overall decline in the current ratio across the 2019 to 2021 period</w:t>
      </w:r>
      <w:r w:rsidR="00026822">
        <w:rPr>
          <w:sz w:val="24"/>
          <w:szCs w:val="24"/>
        </w:rPr>
        <w:t xml:space="preserve"> from 1.18 in </w:t>
      </w:r>
      <w:r w:rsidR="00026822">
        <w:rPr>
          <w:sz w:val="24"/>
          <w:szCs w:val="24"/>
        </w:rPr>
        <w:lastRenderedPageBreak/>
        <w:t>2019 to 1.07 in 2021</w:t>
      </w:r>
      <w:r w:rsidR="00C46EDD">
        <w:rPr>
          <w:sz w:val="24"/>
          <w:szCs w:val="24"/>
        </w:rPr>
        <w:t>, despite an increase in 2020</w:t>
      </w:r>
      <w:r w:rsidR="00026822">
        <w:rPr>
          <w:sz w:val="24"/>
          <w:szCs w:val="24"/>
        </w:rPr>
        <w:t xml:space="preserve"> to 1.30 indicating a weakening liquidity position. </w:t>
      </w:r>
      <w:r w:rsidR="0022171A">
        <w:rPr>
          <w:sz w:val="24"/>
          <w:szCs w:val="24"/>
        </w:rPr>
        <w:t xml:space="preserve">The </w:t>
      </w:r>
      <w:r w:rsidR="00B92332">
        <w:rPr>
          <w:sz w:val="24"/>
          <w:szCs w:val="24"/>
        </w:rPr>
        <w:t xml:space="preserve">consumer discretionary </w:t>
      </w:r>
      <w:r w:rsidR="002E7801">
        <w:rPr>
          <w:sz w:val="24"/>
          <w:szCs w:val="24"/>
        </w:rPr>
        <w:t>consumer staples</w:t>
      </w:r>
      <w:r w:rsidR="002928D8">
        <w:rPr>
          <w:sz w:val="24"/>
          <w:szCs w:val="24"/>
        </w:rPr>
        <w:t xml:space="preserve"> </w:t>
      </w:r>
      <w:r w:rsidR="002E7801">
        <w:rPr>
          <w:sz w:val="24"/>
          <w:szCs w:val="24"/>
        </w:rPr>
        <w:t xml:space="preserve">and health care sectors all recorded a relatively stable current ratio between 2019 and 2020 averaging </w:t>
      </w:r>
      <w:r w:rsidR="004169CB">
        <w:rPr>
          <w:sz w:val="24"/>
          <w:szCs w:val="24"/>
        </w:rPr>
        <w:t xml:space="preserve">a change of </w:t>
      </w:r>
      <w:r w:rsidR="00FC44AC">
        <w:rPr>
          <w:sz w:val="24"/>
          <w:szCs w:val="24"/>
        </w:rPr>
        <w:t>0</w:t>
      </w:r>
      <w:r w:rsidR="004169CB">
        <w:rPr>
          <w:sz w:val="24"/>
          <w:szCs w:val="24"/>
        </w:rPr>
        <w:t xml:space="preserve">, before showing </w:t>
      </w:r>
      <w:r w:rsidR="006F01A0">
        <w:rPr>
          <w:sz w:val="24"/>
          <w:szCs w:val="24"/>
        </w:rPr>
        <w:t xml:space="preserve">an average increase of </w:t>
      </w:r>
      <w:r w:rsidR="00967152">
        <w:rPr>
          <w:sz w:val="24"/>
          <w:szCs w:val="24"/>
        </w:rPr>
        <w:t>0.2</w:t>
      </w:r>
      <w:r w:rsidR="00FC44AC">
        <w:rPr>
          <w:sz w:val="24"/>
          <w:szCs w:val="24"/>
        </w:rPr>
        <w:t>0</w:t>
      </w:r>
      <w:r w:rsidR="00967152">
        <w:rPr>
          <w:sz w:val="24"/>
          <w:szCs w:val="24"/>
        </w:rPr>
        <w:t xml:space="preserve"> between 2020 and 2021. </w:t>
      </w:r>
      <w:r w:rsidR="00B12A4D">
        <w:rPr>
          <w:sz w:val="24"/>
          <w:szCs w:val="24"/>
        </w:rPr>
        <w:t xml:space="preserve">The industrials and basic materials sectors both </w:t>
      </w:r>
      <w:r w:rsidR="00F31853">
        <w:rPr>
          <w:sz w:val="24"/>
          <w:szCs w:val="24"/>
        </w:rPr>
        <w:t>increased their current ratios between 2019 and 202</w:t>
      </w:r>
      <w:r w:rsidR="00C57AED">
        <w:rPr>
          <w:sz w:val="24"/>
          <w:szCs w:val="24"/>
        </w:rPr>
        <w:t>0 before showing slight falls in 2021. The technology an</w:t>
      </w:r>
      <w:r w:rsidR="0050677F">
        <w:rPr>
          <w:sz w:val="24"/>
          <w:szCs w:val="24"/>
        </w:rPr>
        <w:t>d energy sectors both had relatively</w:t>
      </w:r>
      <w:r w:rsidR="00686294">
        <w:rPr>
          <w:sz w:val="24"/>
          <w:szCs w:val="24"/>
        </w:rPr>
        <w:t xml:space="preserve"> stable current ratios in 2019 and 2020</w:t>
      </w:r>
      <w:r w:rsidR="003D5264">
        <w:rPr>
          <w:sz w:val="24"/>
          <w:szCs w:val="24"/>
        </w:rPr>
        <w:t xml:space="preserve">, before showing </w:t>
      </w:r>
      <w:r w:rsidR="00A1172B">
        <w:rPr>
          <w:sz w:val="24"/>
          <w:szCs w:val="24"/>
        </w:rPr>
        <w:t>current ratios in that increased substantially in 2021</w:t>
      </w:r>
      <w:r w:rsidR="00B80B4B">
        <w:rPr>
          <w:sz w:val="24"/>
          <w:szCs w:val="24"/>
        </w:rPr>
        <w:t xml:space="preserve">. The technology sector increased from </w:t>
      </w:r>
      <w:r w:rsidR="00F00F19">
        <w:rPr>
          <w:sz w:val="24"/>
          <w:szCs w:val="24"/>
        </w:rPr>
        <w:t>1.21 in 2019 by 2.84 to 4.05 in 2021, and the energy sector increased from 1.60 in 2019</w:t>
      </w:r>
      <w:r w:rsidR="00287438">
        <w:rPr>
          <w:sz w:val="24"/>
          <w:szCs w:val="24"/>
        </w:rPr>
        <w:t xml:space="preserve"> by 1.53</w:t>
      </w:r>
      <w:r w:rsidR="00F00F19">
        <w:rPr>
          <w:sz w:val="24"/>
          <w:szCs w:val="24"/>
        </w:rPr>
        <w:t xml:space="preserve"> to </w:t>
      </w:r>
      <w:r w:rsidR="00287438">
        <w:rPr>
          <w:sz w:val="24"/>
          <w:szCs w:val="24"/>
        </w:rPr>
        <w:t xml:space="preserve">3.13 in 2021, </w:t>
      </w:r>
      <w:r w:rsidR="00B80B4B">
        <w:rPr>
          <w:sz w:val="24"/>
          <w:szCs w:val="24"/>
        </w:rPr>
        <w:t xml:space="preserve">showing </w:t>
      </w:r>
      <w:r w:rsidR="00287438">
        <w:rPr>
          <w:sz w:val="24"/>
          <w:szCs w:val="24"/>
        </w:rPr>
        <w:t>improved</w:t>
      </w:r>
      <w:r w:rsidR="00B80B4B">
        <w:rPr>
          <w:sz w:val="24"/>
          <w:szCs w:val="24"/>
        </w:rPr>
        <w:t xml:space="preserve"> </w:t>
      </w:r>
      <w:r w:rsidR="00032126">
        <w:rPr>
          <w:sz w:val="24"/>
          <w:szCs w:val="24"/>
        </w:rPr>
        <w:t>short-term</w:t>
      </w:r>
      <w:r w:rsidR="00B80B4B">
        <w:rPr>
          <w:sz w:val="24"/>
          <w:szCs w:val="24"/>
        </w:rPr>
        <w:t xml:space="preserve"> liquidity</w:t>
      </w:r>
      <w:r w:rsidR="00287438">
        <w:rPr>
          <w:sz w:val="24"/>
          <w:szCs w:val="24"/>
        </w:rPr>
        <w:t>.</w:t>
      </w:r>
      <w:r w:rsidR="0063323E">
        <w:rPr>
          <w:sz w:val="24"/>
          <w:szCs w:val="24"/>
        </w:rPr>
        <w:t xml:space="preserve"> The real estate sector </w:t>
      </w:r>
      <w:r w:rsidR="00DB7F0D">
        <w:rPr>
          <w:sz w:val="24"/>
          <w:szCs w:val="24"/>
        </w:rPr>
        <w:t>saw</w:t>
      </w:r>
      <w:r w:rsidR="0063323E">
        <w:rPr>
          <w:sz w:val="24"/>
          <w:szCs w:val="24"/>
        </w:rPr>
        <w:t xml:space="preserve"> a larger increase from 2019 to 2020</w:t>
      </w:r>
      <w:r w:rsidR="009301DE">
        <w:rPr>
          <w:sz w:val="24"/>
          <w:szCs w:val="24"/>
        </w:rPr>
        <w:t xml:space="preserve"> of 1.61 from 2.45 to </w:t>
      </w:r>
      <w:r w:rsidR="00922E8A">
        <w:rPr>
          <w:sz w:val="24"/>
          <w:szCs w:val="24"/>
        </w:rPr>
        <w:t>4.06 and</w:t>
      </w:r>
      <w:r w:rsidR="009301DE">
        <w:rPr>
          <w:sz w:val="24"/>
          <w:szCs w:val="24"/>
        </w:rPr>
        <w:t xml:space="preserve"> continued to increase the current ratio in 2021 by </w:t>
      </w:r>
      <w:r w:rsidR="00032126">
        <w:rPr>
          <w:sz w:val="24"/>
          <w:szCs w:val="24"/>
        </w:rPr>
        <w:t xml:space="preserve">0.36 to 4.42. </w:t>
      </w:r>
    </w:p>
    <w:p w14:paraId="0AB33F3E" w14:textId="77777777" w:rsidR="0020214E" w:rsidRDefault="0020214E">
      <w:pPr>
        <w:rPr>
          <w:rFonts w:eastAsiaTheme="majorEastAsia" w:cstheme="majorBidi"/>
          <w:b/>
          <w:bCs/>
          <w:i/>
          <w:sz w:val="24"/>
          <w:szCs w:val="24"/>
        </w:rPr>
      </w:pPr>
      <w:r>
        <w:rPr>
          <w:szCs w:val="24"/>
        </w:rPr>
        <w:br w:type="page"/>
      </w:r>
    </w:p>
    <w:p w14:paraId="6F73B4D8" w14:textId="2FCCEF04" w:rsidR="008C2167" w:rsidRDefault="0020214E" w:rsidP="007656AE">
      <w:pPr>
        <w:pStyle w:val="Heading3"/>
        <w:numPr>
          <w:ilvl w:val="2"/>
          <w:numId w:val="3"/>
        </w:numPr>
        <w:rPr>
          <w:szCs w:val="24"/>
        </w:rPr>
      </w:pPr>
      <w:bookmarkStart w:id="64" w:name="_Toc141646737"/>
      <w:r>
        <w:rPr>
          <w:noProof/>
        </w:rPr>
        <w:lastRenderedPageBreak/>
        <w:drawing>
          <wp:anchor distT="0" distB="0" distL="114300" distR="114300" simplePos="0" relativeHeight="251658257" behindDoc="0" locked="0" layoutInCell="1" allowOverlap="1" wp14:anchorId="428BC25B" wp14:editId="18B10615">
            <wp:simplePos x="0" y="0"/>
            <wp:positionH relativeFrom="margin">
              <wp:posOffset>-483870</wp:posOffset>
            </wp:positionH>
            <wp:positionV relativeFrom="paragraph">
              <wp:posOffset>326390</wp:posOffset>
            </wp:positionV>
            <wp:extent cx="6696000" cy="3852000"/>
            <wp:effectExtent l="0" t="0" r="0" b="0"/>
            <wp:wrapTopAndBottom/>
            <wp:docPr id="1285453607" name="Chart 1">
              <a:extLst xmlns:a="http://schemas.openxmlformats.org/drawingml/2006/main">
                <a:ext uri="{FF2B5EF4-FFF2-40B4-BE49-F238E27FC236}">
                  <a16:creationId xmlns:a16="http://schemas.microsoft.com/office/drawing/2014/main" id="{948099A6-7552-C94F-8C5C-7EC3AFA72DE9}"/>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32"/>
              </a:graphicData>
            </a:graphic>
            <wp14:sizeRelH relativeFrom="page">
              <wp14:pctWidth>0</wp14:pctWidth>
            </wp14:sizeRelH>
            <wp14:sizeRelV relativeFrom="page">
              <wp14:pctHeight>0</wp14:pctHeight>
            </wp14:sizeRelV>
          </wp:anchor>
        </w:drawing>
      </w:r>
      <w:r w:rsidR="008C2167">
        <w:rPr>
          <w:szCs w:val="24"/>
        </w:rPr>
        <w:t>Quick Ratio (Acid Test)</w:t>
      </w:r>
      <w:bookmarkEnd w:id="64"/>
    </w:p>
    <w:p w14:paraId="3C8AF48C" w14:textId="07836B0F" w:rsidR="00BA0690" w:rsidRPr="0020214E" w:rsidRDefault="0020214E" w:rsidP="0020214E">
      <w:pPr>
        <w:spacing w:line="480" w:lineRule="auto"/>
        <w:rPr>
          <w:b/>
          <w:bCs/>
          <w:sz w:val="18"/>
          <w:szCs w:val="18"/>
        </w:rPr>
      </w:pPr>
      <w:r w:rsidRPr="0020214E">
        <w:rPr>
          <w:b/>
          <w:bCs/>
          <w:sz w:val="18"/>
          <w:szCs w:val="18"/>
        </w:rPr>
        <w:t xml:space="preserve">Figure </w:t>
      </w:r>
      <w:r>
        <w:rPr>
          <w:b/>
          <w:bCs/>
          <w:sz w:val="18"/>
          <w:szCs w:val="18"/>
        </w:rPr>
        <w:t>1</w:t>
      </w:r>
      <w:r w:rsidR="00C633C2">
        <w:rPr>
          <w:b/>
          <w:bCs/>
          <w:sz w:val="18"/>
          <w:szCs w:val="18"/>
        </w:rPr>
        <w:t>7</w:t>
      </w:r>
      <w:r w:rsidRPr="0020214E">
        <w:rPr>
          <w:b/>
          <w:bCs/>
          <w:sz w:val="18"/>
          <w:szCs w:val="18"/>
        </w:rPr>
        <w:t xml:space="preserve">. </w:t>
      </w:r>
      <w:r>
        <w:rPr>
          <w:b/>
          <w:bCs/>
          <w:sz w:val="18"/>
          <w:szCs w:val="18"/>
        </w:rPr>
        <w:t>Quick (Acid-test) Ratio</w:t>
      </w:r>
      <w:r w:rsidRPr="0020214E">
        <w:rPr>
          <w:b/>
          <w:bCs/>
          <w:sz w:val="18"/>
          <w:szCs w:val="18"/>
        </w:rPr>
        <w:t xml:space="preserve"> financial ratio results for all </w:t>
      </w:r>
      <w:r w:rsidR="00D06C36">
        <w:rPr>
          <w:b/>
          <w:bCs/>
          <w:sz w:val="18"/>
          <w:szCs w:val="18"/>
        </w:rPr>
        <w:t>FTSE 250</w:t>
      </w:r>
      <w:r w:rsidRPr="0020214E">
        <w:rPr>
          <w:b/>
          <w:bCs/>
          <w:sz w:val="18"/>
          <w:szCs w:val="18"/>
        </w:rPr>
        <w:t xml:space="preserve"> industry sectors between 2019 and 2021. </w:t>
      </w:r>
    </w:p>
    <w:p w14:paraId="5986A53B" w14:textId="74FC25FD" w:rsidR="00386B55" w:rsidRDefault="00BA0690" w:rsidP="00386B55">
      <w:pPr>
        <w:spacing w:line="480" w:lineRule="auto"/>
        <w:jc w:val="both"/>
        <w:rPr>
          <w:sz w:val="24"/>
          <w:szCs w:val="24"/>
        </w:rPr>
      </w:pPr>
      <w:r w:rsidRPr="00BA0690">
        <w:rPr>
          <w:sz w:val="24"/>
          <w:szCs w:val="24"/>
        </w:rPr>
        <w:t>The</w:t>
      </w:r>
      <w:r w:rsidR="004C3068">
        <w:rPr>
          <w:sz w:val="24"/>
          <w:szCs w:val="24"/>
        </w:rPr>
        <w:t xml:space="preserve"> quick or acid-test ratio </w:t>
      </w:r>
      <w:r w:rsidR="00DA539B">
        <w:rPr>
          <w:sz w:val="24"/>
          <w:szCs w:val="24"/>
        </w:rPr>
        <w:t xml:space="preserve">is a more conservative liquidity measure than the current ratio, as it </w:t>
      </w:r>
      <w:r w:rsidR="00A03DDD">
        <w:rPr>
          <w:sz w:val="24"/>
          <w:szCs w:val="24"/>
        </w:rPr>
        <w:t>excludes inventory</w:t>
      </w:r>
      <w:r w:rsidR="00AD180F">
        <w:rPr>
          <w:sz w:val="24"/>
          <w:szCs w:val="24"/>
        </w:rPr>
        <w:t>, therefore only looking at the compan</w:t>
      </w:r>
      <w:r w:rsidR="006D2F02">
        <w:rPr>
          <w:sz w:val="24"/>
          <w:szCs w:val="24"/>
        </w:rPr>
        <w:t>y’s</w:t>
      </w:r>
      <w:r w:rsidR="00AD180F">
        <w:rPr>
          <w:sz w:val="24"/>
          <w:szCs w:val="24"/>
        </w:rPr>
        <w:t xml:space="preserve"> most </w:t>
      </w:r>
      <w:r w:rsidR="00014FC6">
        <w:rPr>
          <w:sz w:val="24"/>
          <w:szCs w:val="24"/>
        </w:rPr>
        <w:t xml:space="preserve">liquid </w:t>
      </w:r>
      <w:r w:rsidR="00922E8A">
        <w:rPr>
          <w:sz w:val="24"/>
          <w:szCs w:val="24"/>
        </w:rPr>
        <w:t>assets (</w:t>
      </w:r>
      <w:r w:rsidR="002E1677">
        <w:rPr>
          <w:sz w:val="24"/>
          <w:szCs w:val="24"/>
        </w:rPr>
        <w:t>Figure 17.)</w:t>
      </w:r>
      <w:r w:rsidR="00014FC6">
        <w:rPr>
          <w:sz w:val="24"/>
          <w:szCs w:val="24"/>
        </w:rPr>
        <w:t xml:space="preserve">. As with the current ratio companies with a ratio less than 1 do not have enough </w:t>
      </w:r>
      <w:r w:rsidR="008A204E">
        <w:rPr>
          <w:sz w:val="24"/>
          <w:szCs w:val="24"/>
        </w:rPr>
        <w:t>liquid assets to cover their current liabilities</w:t>
      </w:r>
      <w:r w:rsidR="001271DA">
        <w:rPr>
          <w:sz w:val="24"/>
          <w:szCs w:val="24"/>
        </w:rPr>
        <w:t xml:space="preserve"> and when comparing to the current ratio will indicate how dependant on inventory</w:t>
      </w:r>
      <w:r w:rsidR="0085443C">
        <w:rPr>
          <w:sz w:val="24"/>
          <w:szCs w:val="24"/>
        </w:rPr>
        <w:t xml:space="preserve"> the current assets are. </w:t>
      </w:r>
      <w:r w:rsidR="00393C85">
        <w:rPr>
          <w:sz w:val="24"/>
          <w:szCs w:val="24"/>
        </w:rPr>
        <w:t xml:space="preserve">Overall, the sectors all show the same trends across the 2019 to 2021 years as </w:t>
      </w:r>
      <w:r w:rsidR="007C6AB8">
        <w:rPr>
          <w:sz w:val="24"/>
          <w:szCs w:val="24"/>
        </w:rPr>
        <w:t>has been discussed in the current ratio result section. Rather than repeating these</w:t>
      </w:r>
      <w:r w:rsidR="000D7BD9">
        <w:rPr>
          <w:sz w:val="24"/>
          <w:szCs w:val="24"/>
        </w:rPr>
        <w:t>, comparisons in the two ratios will be made as to how dependant the sectors are on their inventory assets.</w:t>
      </w:r>
      <w:r w:rsidR="00C53BFE">
        <w:rPr>
          <w:sz w:val="24"/>
          <w:szCs w:val="24"/>
        </w:rPr>
        <w:t xml:space="preserve"> </w:t>
      </w:r>
      <w:r w:rsidR="00976F2D">
        <w:rPr>
          <w:sz w:val="24"/>
          <w:szCs w:val="24"/>
        </w:rPr>
        <w:t>Table 5</w:t>
      </w:r>
      <w:r w:rsidR="00C53BFE">
        <w:rPr>
          <w:sz w:val="24"/>
          <w:szCs w:val="24"/>
        </w:rPr>
        <w:t xml:space="preserve"> below </w:t>
      </w:r>
      <w:r w:rsidR="00296C5A">
        <w:rPr>
          <w:sz w:val="24"/>
          <w:szCs w:val="24"/>
        </w:rPr>
        <w:t xml:space="preserve">uses both the current and quick </w:t>
      </w:r>
      <w:r w:rsidR="00922E8A">
        <w:rPr>
          <w:sz w:val="24"/>
          <w:szCs w:val="24"/>
        </w:rPr>
        <w:t>ratios</w:t>
      </w:r>
      <w:r w:rsidR="00296C5A">
        <w:rPr>
          <w:sz w:val="24"/>
          <w:szCs w:val="24"/>
        </w:rPr>
        <w:t xml:space="preserve"> to show the </w:t>
      </w:r>
      <w:r w:rsidR="008200FF">
        <w:rPr>
          <w:sz w:val="24"/>
          <w:szCs w:val="24"/>
        </w:rPr>
        <w:t>proportion</w:t>
      </w:r>
      <w:r w:rsidR="00296C5A">
        <w:rPr>
          <w:sz w:val="24"/>
          <w:szCs w:val="24"/>
        </w:rPr>
        <w:t xml:space="preserve"> of the current ratio that is comprised of inventory. </w:t>
      </w:r>
      <w:r w:rsidR="000D7BD9">
        <w:rPr>
          <w:sz w:val="24"/>
          <w:szCs w:val="24"/>
        </w:rPr>
        <w:t xml:space="preserve"> </w:t>
      </w:r>
      <w:r w:rsidR="00EB1658">
        <w:rPr>
          <w:sz w:val="24"/>
          <w:szCs w:val="24"/>
        </w:rPr>
        <w:t xml:space="preserve">Two sectors, the consumer discretionary and the consumer staples have quick ratios that for the period of 2019 to 2021 </w:t>
      </w:r>
      <w:r w:rsidR="00A67B14">
        <w:rPr>
          <w:sz w:val="24"/>
          <w:szCs w:val="24"/>
        </w:rPr>
        <w:t xml:space="preserve">remain below the 1 threshold </w:t>
      </w:r>
      <w:r w:rsidR="00386B55">
        <w:rPr>
          <w:sz w:val="24"/>
          <w:szCs w:val="24"/>
        </w:rPr>
        <w:t xml:space="preserve">and therefore would need to be treated with caution until the reasons for this have been </w:t>
      </w:r>
      <w:r w:rsidR="00284DE8">
        <w:rPr>
          <w:sz w:val="24"/>
          <w:szCs w:val="24"/>
        </w:rPr>
        <w:t>investigated</w:t>
      </w:r>
      <w:r w:rsidR="00386B55">
        <w:rPr>
          <w:sz w:val="24"/>
          <w:szCs w:val="24"/>
        </w:rPr>
        <w:t xml:space="preserve">. </w:t>
      </w:r>
      <w:r w:rsidR="00A67B14">
        <w:rPr>
          <w:sz w:val="24"/>
          <w:szCs w:val="24"/>
        </w:rPr>
        <w:t xml:space="preserve"> </w:t>
      </w:r>
    </w:p>
    <w:p w14:paraId="7FD6147D" w14:textId="5AAA12F0" w:rsidR="009148D7" w:rsidRDefault="00976F2D" w:rsidP="00976F2D">
      <w:pPr>
        <w:spacing w:after="0"/>
        <w:rPr>
          <w:rFonts w:ascii="Calibri" w:eastAsia="Times New Roman" w:hAnsi="Calibri" w:cs="Calibri"/>
          <w:b/>
          <w:color w:val="000000"/>
          <w:sz w:val="18"/>
          <w:szCs w:val="18"/>
          <w:lang w:eastAsia="en-GB"/>
        </w:rPr>
      </w:pPr>
      <w:r w:rsidRPr="00976F2D">
        <w:rPr>
          <w:rFonts w:ascii="Calibri" w:eastAsia="Times New Roman" w:hAnsi="Calibri" w:cs="Calibri"/>
          <w:b/>
          <w:color w:val="000000"/>
          <w:sz w:val="18"/>
          <w:szCs w:val="18"/>
          <w:lang w:eastAsia="en-GB"/>
        </w:rPr>
        <w:lastRenderedPageBreak/>
        <w:t>Table 5. Comparison of Current and Quick Ratios for all sectors to account for inventory.</w:t>
      </w:r>
    </w:p>
    <w:p w14:paraId="1D53B8AC" w14:textId="77777777" w:rsidR="00976F2D" w:rsidRPr="00976F2D" w:rsidRDefault="00976F2D" w:rsidP="00976F2D">
      <w:pPr>
        <w:spacing w:after="0"/>
        <w:rPr>
          <w:rFonts w:ascii="Calibri" w:eastAsia="Times New Roman" w:hAnsi="Calibri" w:cs="Calibri"/>
          <w:b/>
          <w:color w:val="000000"/>
          <w:sz w:val="18"/>
          <w:szCs w:val="18"/>
          <w:lang w:eastAsia="en-GB"/>
        </w:rPr>
      </w:pPr>
    </w:p>
    <w:p w14:paraId="0331B8AA" w14:textId="14DE124D" w:rsidR="00E7043F" w:rsidRDefault="003E2068" w:rsidP="00E7043F">
      <w:pPr>
        <w:spacing w:line="480" w:lineRule="auto"/>
        <w:jc w:val="both"/>
      </w:pPr>
      <w:r>
        <w:rPr>
          <w:noProof/>
        </w:rPr>
        <w:drawing>
          <wp:inline distT="0" distB="0" distL="0" distR="0" wp14:anchorId="2670C2F4" wp14:editId="3CCA8D9E">
            <wp:extent cx="5731510" cy="2971165"/>
            <wp:effectExtent l="0" t="0" r="0" b="0"/>
            <wp:docPr id="624326879" name="Picture 4" descr="A table with numbers and a few different number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24326879" name="Picture 4" descr="A table with numbers and a few different numbers&#10;&#10;Description automatically generated"/>
                    <pic:cNvPicPr/>
                  </pic:nvPicPr>
                  <pic:blipFill>
                    <a:blip r:embed="rId33" cstate="print">
                      <a:extLst>
                        <a:ext uri="{28A0092B-C50C-407E-A947-70E740481C1C}">
                          <a14:useLocalDpi xmlns:a14="http://schemas.microsoft.com/office/drawing/2010/main" val="0"/>
                        </a:ext>
                      </a:extLst>
                    </a:blip>
                    <a:stretch>
                      <a:fillRect/>
                    </a:stretch>
                  </pic:blipFill>
                  <pic:spPr>
                    <a:xfrm>
                      <a:off x="0" y="0"/>
                      <a:ext cx="5741321" cy="2976251"/>
                    </a:xfrm>
                    <a:prstGeom prst="rect">
                      <a:avLst/>
                    </a:prstGeom>
                  </pic:spPr>
                </pic:pic>
              </a:graphicData>
            </a:graphic>
          </wp:inline>
        </w:drawing>
      </w:r>
    </w:p>
    <w:p w14:paraId="0FECC372" w14:textId="1F2990F5" w:rsidR="00284DE8" w:rsidRPr="00BA0690" w:rsidRDefault="002E5852" w:rsidP="00E7043F">
      <w:pPr>
        <w:spacing w:line="480" w:lineRule="auto"/>
        <w:jc w:val="both"/>
      </w:pPr>
      <w:r>
        <w:rPr>
          <w:sz w:val="24"/>
          <w:szCs w:val="24"/>
        </w:rPr>
        <w:t>Both of these sectors have seen an improving quick ratio during the 2019 to 2021 period, with</w:t>
      </w:r>
      <w:r w:rsidR="00E75BF2">
        <w:rPr>
          <w:sz w:val="24"/>
          <w:szCs w:val="24"/>
        </w:rPr>
        <w:t xml:space="preserve"> the</w:t>
      </w:r>
      <w:r>
        <w:rPr>
          <w:sz w:val="24"/>
          <w:szCs w:val="24"/>
        </w:rPr>
        <w:t xml:space="preserve"> consumer discretionary</w:t>
      </w:r>
      <w:r w:rsidR="00E75BF2">
        <w:rPr>
          <w:sz w:val="24"/>
          <w:szCs w:val="24"/>
        </w:rPr>
        <w:t xml:space="preserve"> sector</w:t>
      </w:r>
      <w:r>
        <w:rPr>
          <w:sz w:val="24"/>
          <w:szCs w:val="24"/>
        </w:rPr>
        <w:t xml:space="preserve"> </w:t>
      </w:r>
      <w:r w:rsidR="00E75BF2">
        <w:rPr>
          <w:sz w:val="24"/>
          <w:szCs w:val="24"/>
        </w:rPr>
        <w:t xml:space="preserve">increasing 0.14 from 0.76 to 0.91, and the consumer staples sector increasing </w:t>
      </w:r>
      <w:r w:rsidR="00071D3B">
        <w:rPr>
          <w:sz w:val="24"/>
          <w:szCs w:val="24"/>
        </w:rPr>
        <w:t>0.13 from 0.72 to 0.85</w:t>
      </w:r>
      <w:r w:rsidR="00A613D5">
        <w:rPr>
          <w:sz w:val="24"/>
          <w:szCs w:val="24"/>
        </w:rPr>
        <w:t>. Over the same period</w:t>
      </w:r>
      <w:r w:rsidR="00F916E4">
        <w:rPr>
          <w:sz w:val="24"/>
          <w:szCs w:val="24"/>
        </w:rPr>
        <w:t xml:space="preserve"> these sectors decreased their percentage of current ratio attributed to inventory from 50% to 43% for the consumer discretionary sector and </w:t>
      </w:r>
      <w:r w:rsidR="00E93B90">
        <w:rPr>
          <w:sz w:val="24"/>
          <w:szCs w:val="24"/>
        </w:rPr>
        <w:t xml:space="preserve">27% to 24% for the consumer staples showing they have taken action to reduce risk. </w:t>
      </w:r>
      <w:r w:rsidR="006639DA">
        <w:rPr>
          <w:sz w:val="24"/>
          <w:szCs w:val="24"/>
        </w:rPr>
        <w:t xml:space="preserve">The </w:t>
      </w:r>
      <w:r w:rsidR="006E5983">
        <w:rPr>
          <w:sz w:val="24"/>
          <w:szCs w:val="24"/>
        </w:rPr>
        <w:t xml:space="preserve">financial, </w:t>
      </w:r>
      <w:r w:rsidR="006639DA">
        <w:rPr>
          <w:sz w:val="24"/>
          <w:szCs w:val="24"/>
        </w:rPr>
        <w:t xml:space="preserve">basic materials and industrial </w:t>
      </w:r>
      <w:r w:rsidR="006E5983">
        <w:rPr>
          <w:sz w:val="24"/>
          <w:szCs w:val="24"/>
        </w:rPr>
        <w:t xml:space="preserve">sectors all show a higher percentage than the average </w:t>
      </w:r>
      <w:r w:rsidR="00C41308">
        <w:rPr>
          <w:sz w:val="24"/>
          <w:szCs w:val="24"/>
        </w:rPr>
        <w:t xml:space="preserve">(19%) of inventory makeup, however these all show a quick ratio above 1 </w:t>
      </w:r>
      <w:r w:rsidR="00461673">
        <w:rPr>
          <w:sz w:val="24"/>
          <w:szCs w:val="24"/>
        </w:rPr>
        <w:t xml:space="preserve">indicating that they have sufficient liquidity </w:t>
      </w:r>
      <w:r w:rsidR="00274A1B">
        <w:rPr>
          <w:sz w:val="24"/>
          <w:szCs w:val="24"/>
        </w:rPr>
        <w:t xml:space="preserve">without utilising their inventories. </w:t>
      </w:r>
    </w:p>
    <w:p w14:paraId="7630EE4D" w14:textId="4B41FAFC" w:rsidR="008C2167" w:rsidRPr="008C2167" w:rsidRDefault="008C2167" w:rsidP="008C2167"/>
    <w:p w14:paraId="24EC0810" w14:textId="77777777" w:rsidR="0020214E" w:rsidRDefault="0020214E">
      <w:pPr>
        <w:rPr>
          <w:rFonts w:eastAsiaTheme="majorEastAsia" w:cstheme="majorBidi"/>
          <w:b/>
          <w:bCs/>
          <w:i/>
          <w:sz w:val="24"/>
          <w:szCs w:val="24"/>
        </w:rPr>
      </w:pPr>
      <w:r>
        <w:rPr>
          <w:szCs w:val="24"/>
        </w:rPr>
        <w:br w:type="page"/>
      </w:r>
    </w:p>
    <w:p w14:paraId="566D101C" w14:textId="49F3B177" w:rsidR="00524BCA" w:rsidRDefault="00234D2F" w:rsidP="007656AE">
      <w:pPr>
        <w:pStyle w:val="Heading2"/>
        <w:numPr>
          <w:ilvl w:val="1"/>
          <w:numId w:val="3"/>
        </w:numPr>
        <w:spacing w:line="480" w:lineRule="auto"/>
        <w:jc w:val="both"/>
        <w:rPr>
          <w:szCs w:val="24"/>
        </w:rPr>
      </w:pPr>
      <w:bookmarkStart w:id="65" w:name="_Toc141646738"/>
      <w:r>
        <w:rPr>
          <w:szCs w:val="24"/>
        </w:rPr>
        <w:lastRenderedPageBreak/>
        <w:t>Investment</w:t>
      </w:r>
      <w:bookmarkEnd w:id="65"/>
    </w:p>
    <w:p w14:paraId="79D30A5D" w14:textId="0F23EE62" w:rsidR="002950DD" w:rsidRDefault="0020214E" w:rsidP="007656AE">
      <w:pPr>
        <w:pStyle w:val="Heading3"/>
        <w:numPr>
          <w:ilvl w:val="2"/>
          <w:numId w:val="3"/>
        </w:numPr>
        <w:rPr>
          <w:szCs w:val="24"/>
        </w:rPr>
      </w:pPr>
      <w:bookmarkStart w:id="66" w:name="_Toc141646739"/>
      <w:r>
        <w:rPr>
          <w:noProof/>
        </w:rPr>
        <w:drawing>
          <wp:anchor distT="0" distB="0" distL="114300" distR="114300" simplePos="0" relativeHeight="251658258" behindDoc="0" locked="0" layoutInCell="1" allowOverlap="1" wp14:anchorId="7B31291E" wp14:editId="0E845A44">
            <wp:simplePos x="0" y="0"/>
            <wp:positionH relativeFrom="margin">
              <wp:posOffset>-483870</wp:posOffset>
            </wp:positionH>
            <wp:positionV relativeFrom="paragraph">
              <wp:posOffset>461010</wp:posOffset>
            </wp:positionV>
            <wp:extent cx="6696000" cy="3852000"/>
            <wp:effectExtent l="0" t="0" r="0" b="0"/>
            <wp:wrapTopAndBottom/>
            <wp:docPr id="1352096831" name="Chart 1">
              <a:extLst xmlns:a="http://schemas.openxmlformats.org/drawingml/2006/main">
                <a:ext uri="{FF2B5EF4-FFF2-40B4-BE49-F238E27FC236}">
                  <a16:creationId xmlns:a16="http://schemas.microsoft.com/office/drawing/2014/main" id="{2CDB93E4-AA9B-9E48-8AC1-0028A67B5728}"/>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34"/>
              </a:graphicData>
            </a:graphic>
            <wp14:sizeRelH relativeFrom="page">
              <wp14:pctWidth>0</wp14:pctWidth>
            </wp14:sizeRelH>
            <wp14:sizeRelV relativeFrom="page">
              <wp14:pctHeight>0</wp14:pctHeight>
            </wp14:sizeRelV>
          </wp:anchor>
        </w:drawing>
      </w:r>
      <w:r w:rsidR="002950DD">
        <w:rPr>
          <w:szCs w:val="24"/>
        </w:rPr>
        <w:t>Revenue Per Share</w:t>
      </w:r>
      <w:bookmarkEnd w:id="66"/>
    </w:p>
    <w:p w14:paraId="5BCD8E2A" w14:textId="6B43557A" w:rsidR="00BA0690" w:rsidRPr="0020214E" w:rsidRDefault="0020214E" w:rsidP="0020214E">
      <w:pPr>
        <w:spacing w:line="480" w:lineRule="auto"/>
        <w:rPr>
          <w:b/>
          <w:bCs/>
          <w:sz w:val="18"/>
          <w:szCs w:val="18"/>
        </w:rPr>
      </w:pPr>
      <w:r w:rsidRPr="0020214E">
        <w:rPr>
          <w:b/>
          <w:bCs/>
          <w:sz w:val="18"/>
          <w:szCs w:val="18"/>
        </w:rPr>
        <w:t xml:space="preserve">Figure </w:t>
      </w:r>
      <w:r>
        <w:rPr>
          <w:b/>
          <w:bCs/>
          <w:sz w:val="18"/>
          <w:szCs w:val="18"/>
        </w:rPr>
        <w:t>1</w:t>
      </w:r>
      <w:r w:rsidR="00C633C2">
        <w:rPr>
          <w:b/>
          <w:bCs/>
          <w:sz w:val="18"/>
          <w:szCs w:val="18"/>
        </w:rPr>
        <w:t>8</w:t>
      </w:r>
      <w:r w:rsidRPr="0020214E">
        <w:rPr>
          <w:b/>
          <w:bCs/>
          <w:sz w:val="18"/>
          <w:szCs w:val="18"/>
        </w:rPr>
        <w:t xml:space="preserve">. </w:t>
      </w:r>
      <w:r>
        <w:rPr>
          <w:b/>
          <w:bCs/>
          <w:sz w:val="18"/>
          <w:szCs w:val="18"/>
        </w:rPr>
        <w:t>Revenue Per Share</w:t>
      </w:r>
      <w:r w:rsidRPr="0020214E">
        <w:rPr>
          <w:b/>
          <w:bCs/>
          <w:sz w:val="18"/>
          <w:szCs w:val="18"/>
        </w:rPr>
        <w:t xml:space="preserve"> financial ratio results for all </w:t>
      </w:r>
      <w:r w:rsidR="00D06C36">
        <w:rPr>
          <w:b/>
          <w:bCs/>
          <w:sz w:val="18"/>
          <w:szCs w:val="18"/>
        </w:rPr>
        <w:t>FTSE 250</w:t>
      </w:r>
      <w:r w:rsidRPr="0020214E">
        <w:rPr>
          <w:b/>
          <w:bCs/>
          <w:sz w:val="18"/>
          <w:szCs w:val="18"/>
        </w:rPr>
        <w:t xml:space="preserve"> industry sectors between 2019 and 2021. </w:t>
      </w:r>
    </w:p>
    <w:p w14:paraId="422D3816" w14:textId="16EF2CF7" w:rsidR="00BA0690" w:rsidRPr="00BA0690" w:rsidRDefault="005940C9" w:rsidP="00BA0690">
      <w:pPr>
        <w:spacing w:line="480" w:lineRule="auto"/>
        <w:jc w:val="both"/>
      </w:pPr>
      <w:r>
        <w:rPr>
          <w:sz w:val="24"/>
          <w:szCs w:val="24"/>
        </w:rPr>
        <w:t>Revenue per</w:t>
      </w:r>
      <w:r w:rsidR="00430EA0">
        <w:rPr>
          <w:sz w:val="24"/>
          <w:szCs w:val="24"/>
        </w:rPr>
        <w:t xml:space="preserve"> share measures the total revenue per share </w:t>
      </w:r>
      <w:r w:rsidR="00B05AFD">
        <w:rPr>
          <w:sz w:val="24"/>
          <w:szCs w:val="24"/>
        </w:rPr>
        <w:t>earned annually vs the number of share</w:t>
      </w:r>
      <w:r w:rsidR="00024140">
        <w:rPr>
          <w:sz w:val="24"/>
          <w:szCs w:val="24"/>
        </w:rPr>
        <w:t>s</w:t>
      </w:r>
      <w:r w:rsidR="00A16756">
        <w:rPr>
          <w:sz w:val="24"/>
          <w:szCs w:val="24"/>
        </w:rPr>
        <w:t xml:space="preserve"> in ordinary stock</w:t>
      </w:r>
      <w:r w:rsidR="00A733DC">
        <w:rPr>
          <w:sz w:val="24"/>
          <w:szCs w:val="24"/>
        </w:rPr>
        <w:t xml:space="preserve"> (Figure 18.)</w:t>
      </w:r>
      <w:r w:rsidR="00024140">
        <w:rPr>
          <w:sz w:val="24"/>
          <w:szCs w:val="24"/>
        </w:rPr>
        <w:t>.</w:t>
      </w:r>
      <w:r w:rsidR="008F4B81">
        <w:rPr>
          <w:sz w:val="24"/>
          <w:szCs w:val="24"/>
        </w:rPr>
        <w:t xml:space="preserve"> </w:t>
      </w:r>
      <w:r w:rsidR="001C149D">
        <w:rPr>
          <w:sz w:val="24"/>
          <w:szCs w:val="24"/>
        </w:rPr>
        <w:t>Five sectors</w:t>
      </w:r>
      <w:r w:rsidR="00733619">
        <w:rPr>
          <w:sz w:val="24"/>
          <w:szCs w:val="24"/>
        </w:rPr>
        <w:t xml:space="preserve"> (real estate, industrials, utilities, basic materials and energy)</w:t>
      </w:r>
      <w:r w:rsidR="001C149D">
        <w:rPr>
          <w:sz w:val="24"/>
          <w:szCs w:val="24"/>
        </w:rPr>
        <w:t xml:space="preserve"> showed </w:t>
      </w:r>
      <w:r w:rsidR="007B44FF">
        <w:rPr>
          <w:sz w:val="24"/>
          <w:szCs w:val="24"/>
        </w:rPr>
        <w:t xml:space="preserve">a dip in revenue per share between 2019 and 2020, before recovering in 2021 despite variances in </w:t>
      </w:r>
      <w:r w:rsidR="00733619">
        <w:rPr>
          <w:sz w:val="24"/>
          <w:szCs w:val="24"/>
        </w:rPr>
        <w:t xml:space="preserve">the revenue per share between sectors. </w:t>
      </w:r>
      <w:r w:rsidR="002B6008">
        <w:rPr>
          <w:sz w:val="24"/>
          <w:szCs w:val="24"/>
        </w:rPr>
        <w:t>Telecommunications had the lowest revenue per share between 2019 and 2021, ho</w:t>
      </w:r>
      <w:r w:rsidR="00772D52">
        <w:rPr>
          <w:sz w:val="24"/>
          <w:szCs w:val="24"/>
        </w:rPr>
        <w:t xml:space="preserve">wever this remained relatively stable with a £0.04 variance. </w:t>
      </w:r>
      <w:r w:rsidR="003B57B0">
        <w:rPr>
          <w:sz w:val="24"/>
          <w:szCs w:val="24"/>
        </w:rPr>
        <w:t xml:space="preserve">The </w:t>
      </w:r>
      <w:r w:rsidR="006F4F49">
        <w:rPr>
          <w:sz w:val="24"/>
          <w:szCs w:val="24"/>
        </w:rPr>
        <w:t>financials</w:t>
      </w:r>
      <w:r w:rsidR="003B57B0">
        <w:rPr>
          <w:sz w:val="24"/>
          <w:szCs w:val="24"/>
        </w:rPr>
        <w:t xml:space="preserve"> sector showed stable revenue </w:t>
      </w:r>
      <w:r w:rsidR="006F4F49">
        <w:rPr>
          <w:sz w:val="24"/>
          <w:szCs w:val="24"/>
        </w:rPr>
        <w:t xml:space="preserve">per share in 2019 and 2020, with a £0.04 decline, but showed an increase in 2021 to £4.17. </w:t>
      </w:r>
      <w:r w:rsidR="00AD504D">
        <w:rPr>
          <w:sz w:val="24"/>
          <w:szCs w:val="24"/>
        </w:rPr>
        <w:t xml:space="preserve">The consumer discretionary sector showed the largest decline of £3.18 </w:t>
      </w:r>
      <w:r w:rsidR="00B71409">
        <w:rPr>
          <w:sz w:val="24"/>
          <w:szCs w:val="24"/>
        </w:rPr>
        <w:t xml:space="preserve">between 2019 and 2020 from £8.47 to </w:t>
      </w:r>
      <w:r w:rsidR="00970ADB">
        <w:rPr>
          <w:sz w:val="24"/>
          <w:szCs w:val="24"/>
        </w:rPr>
        <w:t>£</w:t>
      </w:r>
      <w:r w:rsidR="00B71409">
        <w:rPr>
          <w:sz w:val="24"/>
          <w:szCs w:val="24"/>
        </w:rPr>
        <w:t xml:space="preserve">5.29 and remained at the lower level for 2021 at £5.41. </w:t>
      </w:r>
      <w:r w:rsidR="0025569D">
        <w:rPr>
          <w:sz w:val="24"/>
          <w:szCs w:val="24"/>
        </w:rPr>
        <w:t xml:space="preserve">The consumer staples sector in </w:t>
      </w:r>
      <w:r w:rsidR="00092F31">
        <w:rPr>
          <w:sz w:val="24"/>
          <w:szCs w:val="24"/>
        </w:rPr>
        <w:t xml:space="preserve">comparison </w:t>
      </w:r>
      <w:r w:rsidR="00D725CA">
        <w:rPr>
          <w:sz w:val="24"/>
          <w:szCs w:val="24"/>
        </w:rPr>
        <w:t>increased the revenue per share</w:t>
      </w:r>
      <w:r w:rsidR="00970ADB">
        <w:rPr>
          <w:sz w:val="24"/>
          <w:szCs w:val="24"/>
        </w:rPr>
        <w:t xml:space="preserve"> by £2.76</w:t>
      </w:r>
      <w:r w:rsidR="00162B7F">
        <w:rPr>
          <w:sz w:val="24"/>
          <w:szCs w:val="24"/>
        </w:rPr>
        <w:t xml:space="preserve"> between </w:t>
      </w:r>
      <w:r w:rsidR="00162B7F">
        <w:rPr>
          <w:sz w:val="24"/>
          <w:szCs w:val="24"/>
        </w:rPr>
        <w:lastRenderedPageBreak/>
        <w:t>2019 and 2021 from £8.1</w:t>
      </w:r>
      <w:r w:rsidR="00970ADB">
        <w:rPr>
          <w:sz w:val="24"/>
          <w:szCs w:val="24"/>
        </w:rPr>
        <w:t xml:space="preserve">6 </w:t>
      </w:r>
      <w:r w:rsidR="00114866">
        <w:rPr>
          <w:sz w:val="24"/>
          <w:szCs w:val="24"/>
        </w:rPr>
        <w:t xml:space="preserve">to £10.92. The technology sector showed </w:t>
      </w:r>
      <w:r w:rsidR="0076225C">
        <w:rPr>
          <w:sz w:val="24"/>
          <w:szCs w:val="24"/>
        </w:rPr>
        <w:t xml:space="preserve">a large increase of </w:t>
      </w:r>
      <w:r w:rsidR="00564F78">
        <w:rPr>
          <w:sz w:val="24"/>
          <w:szCs w:val="24"/>
        </w:rPr>
        <w:t>£2.56</w:t>
      </w:r>
      <w:r w:rsidR="0076225C">
        <w:rPr>
          <w:sz w:val="24"/>
          <w:szCs w:val="24"/>
        </w:rPr>
        <w:t xml:space="preserve"> in revenue from 2019 to 2020</w:t>
      </w:r>
      <w:r w:rsidR="00564F78">
        <w:rPr>
          <w:sz w:val="24"/>
          <w:szCs w:val="24"/>
        </w:rPr>
        <w:t xml:space="preserve"> from £10.62 to £13.18 before </w:t>
      </w:r>
      <w:r w:rsidR="00884FEE">
        <w:rPr>
          <w:sz w:val="24"/>
          <w:szCs w:val="24"/>
        </w:rPr>
        <w:t>declining by £3.19</w:t>
      </w:r>
      <w:r w:rsidR="00D0084A">
        <w:rPr>
          <w:sz w:val="24"/>
          <w:szCs w:val="24"/>
        </w:rPr>
        <w:t xml:space="preserve"> to £9.99 in 2021. </w:t>
      </w:r>
    </w:p>
    <w:p w14:paraId="5EBE2654" w14:textId="7BD38C25" w:rsidR="002950DD" w:rsidRDefault="001C57AC" w:rsidP="007656AE">
      <w:pPr>
        <w:pStyle w:val="Heading3"/>
        <w:numPr>
          <w:ilvl w:val="2"/>
          <w:numId w:val="3"/>
        </w:numPr>
        <w:rPr>
          <w:szCs w:val="24"/>
        </w:rPr>
      </w:pPr>
      <w:bookmarkStart w:id="67" w:name="_Toc141646740"/>
      <w:r>
        <w:rPr>
          <w:noProof/>
        </w:rPr>
        <w:drawing>
          <wp:anchor distT="0" distB="0" distL="114300" distR="114300" simplePos="0" relativeHeight="251658259" behindDoc="0" locked="0" layoutInCell="1" allowOverlap="1" wp14:anchorId="35C4E560" wp14:editId="2DC517B3">
            <wp:simplePos x="0" y="0"/>
            <wp:positionH relativeFrom="margin">
              <wp:align>center</wp:align>
            </wp:positionH>
            <wp:positionV relativeFrom="paragraph">
              <wp:posOffset>411040</wp:posOffset>
            </wp:positionV>
            <wp:extent cx="6696000" cy="3852000"/>
            <wp:effectExtent l="0" t="0" r="0" b="0"/>
            <wp:wrapTopAndBottom/>
            <wp:docPr id="988250755" name="Chart 1">
              <a:extLst xmlns:a="http://schemas.openxmlformats.org/drawingml/2006/main">
                <a:ext uri="{FF2B5EF4-FFF2-40B4-BE49-F238E27FC236}">
                  <a16:creationId xmlns:a16="http://schemas.microsoft.com/office/drawing/2014/main" id="{51D3F50E-9AE3-8943-95E4-6296844CA319}"/>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35"/>
              </a:graphicData>
            </a:graphic>
            <wp14:sizeRelH relativeFrom="page">
              <wp14:pctWidth>0</wp14:pctWidth>
            </wp14:sizeRelH>
            <wp14:sizeRelV relativeFrom="page">
              <wp14:pctHeight>0</wp14:pctHeight>
            </wp14:sizeRelV>
          </wp:anchor>
        </w:drawing>
      </w:r>
      <w:r w:rsidR="002950DD">
        <w:rPr>
          <w:szCs w:val="24"/>
        </w:rPr>
        <w:t>Earnings Per Share</w:t>
      </w:r>
      <w:r w:rsidR="00242FC2">
        <w:rPr>
          <w:szCs w:val="24"/>
        </w:rPr>
        <w:t xml:space="preserve"> (EPS)</w:t>
      </w:r>
      <w:bookmarkEnd w:id="67"/>
    </w:p>
    <w:p w14:paraId="6A6CFD64" w14:textId="1894B3D4" w:rsidR="00BA0690" w:rsidRPr="0020214E" w:rsidRDefault="0020214E" w:rsidP="0020214E">
      <w:pPr>
        <w:spacing w:line="480" w:lineRule="auto"/>
        <w:rPr>
          <w:b/>
          <w:bCs/>
          <w:sz w:val="18"/>
          <w:szCs w:val="18"/>
        </w:rPr>
      </w:pPr>
      <w:r w:rsidRPr="0020214E">
        <w:rPr>
          <w:b/>
          <w:bCs/>
          <w:sz w:val="18"/>
          <w:szCs w:val="18"/>
        </w:rPr>
        <w:t xml:space="preserve">Figure </w:t>
      </w:r>
      <w:r w:rsidR="00C633C2">
        <w:rPr>
          <w:b/>
          <w:bCs/>
          <w:sz w:val="18"/>
          <w:szCs w:val="18"/>
        </w:rPr>
        <w:t>19</w:t>
      </w:r>
      <w:r w:rsidRPr="0020214E">
        <w:rPr>
          <w:b/>
          <w:bCs/>
          <w:sz w:val="18"/>
          <w:szCs w:val="18"/>
        </w:rPr>
        <w:t xml:space="preserve">. </w:t>
      </w:r>
      <w:r>
        <w:rPr>
          <w:b/>
          <w:bCs/>
          <w:sz w:val="18"/>
          <w:szCs w:val="18"/>
        </w:rPr>
        <w:t>Earnings per Share</w:t>
      </w:r>
      <w:r w:rsidRPr="0020214E">
        <w:rPr>
          <w:b/>
          <w:bCs/>
          <w:sz w:val="18"/>
          <w:szCs w:val="18"/>
        </w:rPr>
        <w:t xml:space="preserve"> financial ratio results for all </w:t>
      </w:r>
      <w:r w:rsidR="00D06C36">
        <w:rPr>
          <w:b/>
          <w:bCs/>
          <w:sz w:val="18"/>
          <w:szCs w:val="18"/>
        </w:rPr>
        <w:t>FTSE 250</w:t>
      </w:r>
      <w:r w:rsidRPr="0020214E">
        <w:rPr>
          <w:b/>
          <w:bCs/>
          <w:sz w:val="18"/>
          <w:szCs w:val="18"/>
        </w:rPr>
        <w:t xml:space="preserve"> industry sectors between 2019 and 2021. </w:t>
      </w:r>
    </w:p>
    <w:p w14:paraId="17B2ECBE" w14:textId="5E91853E" w:rsidR="00F92019" w:rsidRPr="00F92019" w:rsidRDefault="00242FC2" w:rsidP="00BA0690">
      <w:pPr>
        <w:spacing w:line="480" w:lineRule="auto"/>
        <w:jc w:val="both"/>
        <w:rPr>
          <w:sz w:val="24"/>
          <w:szCs w:val="24"/>
        </w:rPr>
      </w:pPr>
      <w:r>
        <w:rPr>
          <w:sz w:val="24"/>
          <w:szCs w:val="24"/>
        </w:rPr>
        <w:t>EPS is a</w:t>
      </w:r>
      <w:r w:rsidR="00BC4FA9">
        <w:rPr>
          <w:sz w:val="24"/>
          <w:szCs w:val="24"/>
        </w:rPr>
        <w:t xml:space="preserve">n important </w:t>
      </w:r>
      <w:r w:rsidR="00251FB9">
        <w:rPr>
          <w:sz w:val="24"/>
          <w:szCs w:val="24"/>
        </w:rPr>
        <w:t>ratio reflecting a compan</w:t>
      </w:r>
      <w:r w:rsidR="006D2F02">
        <w:rPr>
          <w:sz w:val="24"/>
          <w:szCs w:val="24"/>
        </w:rPr>
        <w:t>y’s</w:t>
      </w:r>
      <w:r w:rsidR="00BB117A">
        <w:rPr>
          <w:sz w:val="24"/>
          <w:szCs w:val="24"/>
        </w:rPr>
        <w:t xml:space="preserve"> </w:t>
      </w:r>
      <w:r w:rsidR="00AD2D93">
        <w:rPr>
          <w:sz w:val="24"/>
          <w:szCs w:val="24"/>
        </w:rPr>
        <w:t>profitability</w:t>
      </w:r>
      <w:r w:rsidR="00A16756">
        <w:rPr>
          <w:sz w:val="24"/>
          <w:szCs w:val="24"/>
        </w:rPr>
        <w:t xml:space="preserve">, by dividing the </w:t>
      </w:r>
      <w:r w:rsidR="00F256A1">
        <w:rPr>
          <w:sz w:val="24"/>
          <w:szCs w:val="24"/>
        </w:rPr>
        <w:t xml:space="preserve">net </w:t>
      </w:r>
      <w:r w:rsidR="00A16756">
        <w:rPr>
          <w:sz w:val="24"/>
          <w:szCs w:val="24"/>
        </w:rPr>
        <w:t>profit by the number of shares in ordinary stock</w:t>
      </w:r>
      <w:r w:rsidR="00A733DC">
        <w:rPr>
          <w:sz w:val="24"/>
          <w:szCs w:val="24"/>
        </w:rPr>
        <w:t xml:space="preserve"> (Figure 19.)</w:t>
      </w:r>
      <w:r w:rsidR="00CD7D1F">
        <w:rPr>
          <w:sz w:val="24"/>
          <w:szCs w:val="24"/>
        </w:rPr>
        <w:t xml:space="preserve">. </w:t>
      </w:r>
      <w:r w:rsidR="008D063F">
        <w:rPr>
          <w:sz w:val="24"/>
          <w:szCs w:val="24"/>
        </w:rPr>
        <w:t xml:space="preserve">A higher EPS indicates </w:t>
      </w:r>
      <w:r w:rsidR="00B52EFE">
        <w:rPr>
          <w:sz w:val="24"/>
          <w:szCs w:val="24"/>
        </w:rPr>
        <w:t>greater value for investors</w:t>
      </w:r>
      <w:r w:rsidR="00F92019">
        <w:rPr>
          <w:sz w:val="24"/>
          <w:szCs w:val="24"/>
        </w:rPr>
        <w:t xml:space="preserve"> and is used to compared profits to share price. </w:t>
      </w:r>
      <w:r w:rsidR="000F1D8C">
        <w:rPr>
          <w:sz w:val="24"/>
          <w:szCs w:val="24"/>
        </w:rPr>
        <w:t xml:space="preserve">The financials sector showed the </w:t>
      </w:r>
      <w:r w:rsidR="00786340">
        <w:rPr>
          <w:sz w:val="24"/>
          <w:szCs w:val="24"/>
        </w:rPr>
        <w:t>highest EPS</w:t>
      </w:r>
      <w:r w:rsidR="006C43CA">
        <w:rPr>
          <w:sz w:val="24"/>
          <w:szCs w:val="24"/>
        </w:rPr>
        <w:t xml:space="preserve"> </w:t>
      </w:r>
      <w:r w:rsidR="00945AD9">
        <w:rPr>
          <w:sz w:val="24"/>
          <w:szCs w:val="24"/>
        </w:rPr>
        <w:t xml:space="preserve">for all three years </w:t>
      </w:r>
      <w:r w:rsidR="00EC05D4">
        <w:rPr>
          <w:sz w:val="24"/>
          <w:szCs w:val="24"/>
        </w:rPr>
        <w:t xml:space="preserve">despite declining </w:t>
      </w:r>
      <w:r w:rsidR="009A6711">
        <w:rPr>
          <w:sz w:val="24"/>
          <w:szCs w:val="24"/>
        </w:rPr>
        <w:t xml:space="preserve">£0.12 from £2.04 in 2019 to </w:t>
      </w:r>
      <w:r w:rsidR="00667913">
        <w:rPr>
          <w:sz w:val="24"/>
          <w:szCs w:val="24"/>
        </w:rPr>
        <w:t xml:space="preserve">£1.92 in </w:t>
      </w:r>
      <w:r w:rsidR="009A6711">
        <w:rPr>
          <w:sz w:val="24"/>
          <w:szCs w:val="24"/>
        </w:rPr>
        <w:t>2020</w:t>
      </w:r>
      <w:r w:rsidR="00667913">
        <w:rPr>
          <w:sz w:val="24"/>
          <w:szCs w:val="24"/>
        </w:rPr>
        <w:t>, before increasing by £1.09 to £3.01 in 2021.</w:t>
      </w:r>
      <w:r w:rsidR="009C3275">
        <w:rPr>
          <w:sz w:val="24"/>
          <w:szCs w:val="24"/>
        </w:rPr>
        <w:t xml:space="preserve"> </w:t>
      </w:r>
      <w:r w:rsidR="00752016">
        <w:rPr>
          <w:sz w:val="24"/>
          <w:szCs w:val="24"/>
        </w:rPr>
        <w:t xml:space="preserve">The industrials, basic materials and consumer staples sectors all </w:t>
      </w:r>
      <w:r w:rsidR="00B85A9A">
        <w:rPr>
          <w:sz w:val="24"/>
          <w:szCs w:val="24"/>
        </w:rPr>
        <w:t>maintained</w:t>
      </w:r>
      <w:r w:rsidR="00752016">
        <w:rPr>
          <w:sz w:val="24"/>
          <w:szCs w:val="24"/>
        </w:rPr>
        <w:t xml:space="preserve"> at positive EPS during 2021, despite a decline in EPS from </w:t>
      </w:r>
      <w:r w:rsidR="00B85A9A">
        <w:rPr>
          <w:sz w:val="24"/>
          <w:szCs w:val="24"/>
        </w:rPr>
        <w:t xml:space="preserve">2019, and all three sectors showed an increased EPS in 2021 compared to </w:t>
      </w:r>
      <w:r w:rsidR="002B5543">
        <w:rPr>
          <w:sz w:val="24"/>
          <w:szCs w:val="24"/>
        </w:rPr>
        <w:t xml:space="preserve">2019. </w:t>
      </w:r>
      <w:r w:rsidR="009C3275">
        <w:rPr>
          <w:sz w:val="24"/>
          <w:szCs w:val="24"/>
        </w:rPr>
        <w:t>The consumer discretionary sector was the only sector that maintained a negative EPS in 2021 (</w:t>
      </w:r>
      <w:r w:rsidR="000F333E">
        <w:rPr>
          <w:sz w:val="24"/>
          <w:szCs w:val="24"/>
        </w:rPr>
        <w:t>-</w:t>
      </w:r>
      <w:r w:rsidR="000F333E">
        <w:rPr>
          <w:sz w:val="24"/>
          <w:szCs w:val="24"/>
        </w:rPr>
        <w:lastRenderedPageBreak/>
        <w:t>£0.10)</w:t>
      </w:r>
      <w:r w:rsidR="009C3275">
        <w:rPr>
          <w:sz w:val="24"/>
          <w:szCs w:val="24"/>
        </w:rPr>
        <w:t xml:space="preserve">, </w:t>
      </w:r>
      <w:r w:rsidR="000F333E">
        <w:rPr>
          <w:sz w:val="24"/>
          <w:szCs w:val="24"/>
        </w:rPr>
        <w:t xml:space="preserve">after declining to </w:t>
      </w:r>
      <w:r w:rsidR="00CC5D11">
        <w:rPr>
          <w:sz w:val="24"/>
          <w:szCs w:val="24"/>
        </w:rPr>
        <w:t>-£0.57 in 2020 from £0.64 in 2019</w:t>
      </w:r>
      <w:r w:rsidR="009C3275">
        <w:rPr>
          <w:sz w:val="24"/>
          <w:szCs w:val="24"/>
        </w:rPr>
        <w:t>.</w:t>
      </w:r>
      <w:r w:rsidR="00CC5D11">
        <w:rPr>
          <w:sz w:val="24"/>
          <w:szCs w:val="24"/>
        </w:rPr>
        <w:t xml:space="preserve"> </w:t>
      </w:r>
      <w:r w:rsidR="00B44FCE">
        <w:rPr>
          <w:sz w:val="24"/>
          <w:szCs w:val="24"/>
        </w:rPr>
        <w:t>The technology sector showed the largest decrease in EP</w:t>
      </w:r>
      <w:r w:rsidR="00FC50DF">
        <w:rPr>
          <w:sz w:val="24"/>
          <w:szCs w:val="24"/>
        </w:rPr>
        <w:t>S of -£1.91 from -£1.02 in 2019 to -£2.94</w:t>
      </w:r>
      <w:r w:rsidR="00521D2D">
        <w:rPr>
          <w:sz w:val="24"/>
          <w:szCs w:val="24"/>
        </w:rPr>
        <w:t xml:space="preserve"> in 2020, however recovered </w:t>
      </w:r>
      <w:r w:rsidR="00D33211">
        <w:rPr>
          <w:sz w:val="24"/>
          <w:szCs w:val="24"/>
        </w:rPr>
        <w:t xml:space="preserve">£3.14 </w:t>
      </w:r>
      <w:r w:rsidR="00521D2D">
        <w:rPr>
          <w:sz w:val="24"/>
          <w:szCs w:val="24"/>
        </w:rPr>
        <w:t>to a positive EPS in 2021 at</w:t>
      </w:r>
      <w:r w:rsidR="00D33211">
        <w:rPr>
          <w:sz w:val="24"/>
          <w:szCs w:val="24"/>
        </w:rPr>
        <w:t xml:space="preserve"> £0.21.</w:t>
      </w:r>
    </w:p>
    <w:p w14:paraId="5AADCB15" w14:textId="2133AA9D" w:rsidR="002950DD" w:rsidRDefault="00836445" w:rsidP="007656AE">
      <w:pPr>
        <w:pStyle w:val="Heading3"/>
        <w:numPr>
          <w:ilvl w:val="2"/>
          <w:numId w:val="3"/>
        </w:numPr>
        <w:rPr>
          <w:szCs w:val="24"/>
        </w:rPr>
      </w:pPr>
      <w:bookmarkStart w:id="68" w:name="_Toc141646741"/>
      <w:r>
        <w:rPr>
          <w:noProof/>
        </w:rPr>
        <w:drawing>
          <wp:anchor distT="0" distB="0" distL="114300" distR="114300" simplePos="0" relativeHeight="251658260" behindDoc="0" locked="0" layoutInCell="1" allowOverlap="1" wp14:anchorId="662D3466" wp14:editId="5BEE7D0E">
            <wp:simplePos x="0" y="0"/>
            <wp:positionH relativeFrom="margin">
              <wp:align>center</wp:align>
            </wp:positionH>
            <wp:positionV relativeFrom="paragraph">
              <wp:posOffset>476201</wp:posOffset>
            </wp:positionV>
            <wp:extent cx="6696000" cy="3852000"/>
            <wp:effectExtent l="0" t="0" r="0" b="0"/>
            <wp:wrapTopAndBottom/>
            <wp:docPr id="1334586766" name="Chart 1">
              <a:extLst xmlns:a="http://schemas.openxmlformats.org/drawingml/2006/main">
                <a:ext uri="{FF2B5EF4-FFF2-40B4-BE49-F238E27FC236}">
                  <a16:creationId xmlns:a16="http://schemas.microsoft.com/office/drawing/2014/main" id="{99C5445D-9587-894D-A34C-CC47CAFD6AAE}"/>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36"/>
              </a:graphicData>
            </a:graphic>
            <wp14:sizeRelH relativeFrom="page">
              <wp14:pctWidth>0</wp14:pctWidth>
            </wp14:sizeRelH>
            <wp14:sizeRelV relativeFrom="page">
              <wp14:pctHeight>0</wp14:pctHeight>
            </wp14:sizeRelV>
          </wp:anchor>
        </w:drawing>
      </w:r>
      <w:r w:rsidR="002950DD">
        <w:rPr>
          <w:szCs w:val="24"/>
        </w:rPr>
        <w:t>Cash Per Share</w:t>
      </w:r>
      <w:bookmarkEnd w:id="68"/>
    </w:p>
    <w:p w14:paraId="4CB7204E" w14:textId="37212962" w:rsidR="00836445" w:rsidRPr="0020214E" w:rsidRDefault="0020214E" w:rsidP="0020214E">
      <w:pPr>
        <w:spacing w:line="480" w:lineRule="auto"/>
        <w:rPr>
          <w:b/>
          <w:bCs/>
          <w:sz w:val="18"/>
          <w:szCs w:val="18"/>
        </w:rPr>
      </w:pPr>
      <w:r w:rsidRPr="0020214E">
        <w:rPr>
          <w:b/>
          <w:bCs/>
          <w:sz w:val="18"/>
          <w:szCs w:val="18"/>
        </w:rPr>
        <w:t xml:space="preserve">Figure </w:t>
      </w:r>
      <w:r>
        <w:rPr>
          <w:b/>
          <w:bCs/>
          <w:sz w:val="18"/>
          <w:szCs w:val="18"/>
        </w:rPr>
        <w:t>2</w:t>
      </w:r>
      <w:r w:rsidR="00C633C2">
        <w:rPr>
          <w:b/>
          <w:bCs/>
          <w:sz w:val="18"/>
          <w:szCs w:val="18"/>
        </w:rPr>
        <w:t>0</w:t>
      </w:r>
      <w:r w:rsidRPr="0020214E">
        <w:rPr>
          <w:b/>
          <w:bCs/>
          <w:sz w:val="18"/>
          <w:szCs w:val="18"/>
        </w:rPr>
        <w:t xml:space="preserve">. </w:t>
      </w:r>
      <w:r>
        <w:rPr>
          <w:b/>
          <w:bCs/>
          <w:sz w:val="18"/>
          <w:szCs w:val="18"/>
        </w:rPr>
        <w:t>Cash per Share</w:t>
      </w:r>
      <w:r w:rsidRPr="0020214E">
        <w:rPr>
          <w:b/>
          <w:bCs/>
          <w:sz w:val="18"/>
          <w:szCs w:val="18"/>
        </w:rPr>
        <w:t xml:space="preserve"> financial ratio results for all </w:t>
      </w:r>
      <w:r w:rsidR="00D06C36">
        <w:rPr>
          <w:b/>
          <w:bCs/>
          <w:sz w:val="18"/>
          <w:szCs w:val="18"/>
        </w:rPr>
        <w:t>FTSE 250</w:t>
      </w:r>
      <w:r w:rsidRPr="0020214E">
        <w:rPr>
          <w:b/>
          <w:bCs/>
          <w:sz w:val="18"/>
          <w:szCs w:val="18"/>
        </w:rPr>
        <w:t xml:space="preserve"> industry sectors between 2019 and 2021. </w:t>
      </w:r>
    </w:p>
    <w:p w14:paraId="4AFD4A7B" w14:textId="3D221492" w:rsidR="00836445" w:rsidRDefault="006C60F9" w:rsidP="00BA0690">
      <w:pPr>
        <w:spacing w:line="480" w:lineRule="auto"/>
        <w:jc w:val="both"/>
        <w:rPr>
          <w:sz w:val="24"/>
          <w:szCs w:val="24"/>
        </w:rPr>
      </w:pPr>
      <w:r>
        <w:rPr>
          <w:sz w:val="24"/>
          <w:szCs w:val="24"/>
        </w:rPr>
        <w:t xml:space="preserve">The cash per share ratio </w:t>
      </w:r>
      <w:r w:rsidR="000C326E">
        <w:rPr>
          <w:sz w:val="24"/>
          <w:szCs w:val="24"/>
        </w:rPr>
        <w:t xml:space="preserve">is a broad measure of the amount of cash that a company has </w:t>
      </w:r>
      <w:r w:rsidR="00001690">
        <w:rPr>
          <w:sz w:val="24"/>
          <w:szCs w:val="24"/>
        </w:rPr>
        <w:t>compared to the number of shares outstanding</w:t>
      </w:r>
      <w:r w:rsidR="00570F11">
        <w:rPr>
          <w:sz w:val="24"/>
          <w:szCs w:val="24"/>
        </w:rPr>
        <w:t xml:space="preserve"> (Figure 20.)</w:t>
      </w:r>
      <w:r w:rsidR="00001690">
        <w:rPr>
          <w:sz w:val="24"/>
          <w:szCs w:val="24"/>
        </w:rPr>
        <w:t xml:space="preserve">. </w:t>
      </w:r>
      <w:r w:rsidR="00843E39">
        <w:rPr>
          <w:sz w:val="24"/>
          <w:szCs w:val="24"/>
        </w:rPr>
        <w:t>Six of the sectors (</w:t>
      </w:r>
      <w:r w:rsidR="004114F5">
        <w:rPr>
          <w:sz w:val="24"/>
          <w:szCs w:val="24"/>
        </w:rPr>
        <w:t xml:space="preserve">consumer discretionary, </w:t>
      </w:r>
      <w:r w:rsidR="00BC6A70">
        <w:rPr>
          <w:sz w:val="24"/>
          <w:szCs w:val="24"/>
        </w:rPr>
        <w:t>real estate, industrials, basic materials, consumer staples and healthcare)</w:t>
      </w:r>
      <w:r w:rsidR="00843E39">
        <w:rPr>
          <w:sz w:val="24"/>
          <w:szCs w:val="24"/>
        </w:rPr>
        <w:t xml:space="preserve"> increased their cash per share ratio for each year between 2019 and 2021</w:t>
      </w:r>
      <w:r w:rsidR="000928EE">
        <w:rPr>
          <w:sz w:val="24"/>
          <w:szCs w:val="24"/>
        </w:rPr>
        <w:t>, with an average increase of 0.42 over this period</w:t>
      </w:r>
      <w:r w:rsidR="00843E39">
        <w:rPr>
          <w:sz w:val="24"/>
          <w:szCs w:val="24"/>
        </w:rPr>
        <w:t>.</w:t>
      </w:r>
      <w:r w:rsidR="000928EE">
        <w:rPr>
          <w:sz w:val="24"/>
          <w:szCs w:val="24"/>
        </w:rPr>
        <w:t xml:space="preserve"> </w:t>
      </w:r>
      <w:r w:rsidR="00020D44">
        <w:rPr>
          <w:sz w:val="24"/>
          <w:szCs w:val="24"/>
        </w:rPr>
        <w:t>The financials sector</w:t>
      </w:r>
      <w:r w:rsidR="00D823C1">
        <w:rPr>
          <w:sz w:val="24"/>
          <w:szCs w:val="24"/>
        </w:rPr>
        <w:t xml:space="preserve"> showed a </w:t>
      </w:r>
      <w:r w:rsidR="00C76CB1">
        <w:rPr>
          <w:sz w:val="24"/>
          <w:szCs w:val="24"/>
        </w:rPr>
        <w:t>consistently</w:t>
      </w:r>
      <w:r w:rsidR="00D823C1">
        <w:rPr>
          <w:sz w:val="24"/>
          <w:szCs w:val="24"/>
        </w:rPr>
        <w:t xml:space="preserve"> higher average </w:t>
      </w:r>
      <w:r w:rsidR="00524BCE">
        <w:rPr>
          <w:sz w:val="24"/>
          <w:szCs w:val="24"/>
        </w:rPr>
        <w:t>cash per share ratio that the other sectors</w:t>
      </w:r>
      <w:r w:rsidR="00B1353E">
        <w:rPr>
          <w:sz w:val="24"/>
          <w:szCs w:val="24"/>
        </w:rPr>
        <w:t xml:space="preserve"> </w:t>
      </w:r>
      <w:r w:rsidR="00524BCE">
        <w:rPr>
          <w:sz w:val="24"/>
          <w:szCs w:val="24"/>
        </w:rPr>
        <w:t>at 2.01</w:t>
      </w:r>
      <w:r w:rsidR="00D3619C">
        <w:rPr>
          <w:sz w:val="24"/>
          <w:szCs w:val="24"/>
        </w:rPr>
        <w:t xml:space="preserve"> (</w:t>
      </w:r>
      <w:r w:rsidR="00C76CB1">
        <w:rPr>
          <w:sz w:val="24"/>
          <w:szCs w:val="24"/>
        </w:rPr>
        <w:t>with a 0.03 variance over the 3 years)</w:t>
      </w:r>
      <w:r w:rsidR="00524BCE">
        <w:rPr>
          <w:sz w:val="24"/>
          <w:szCs w:val="24"/>
        </w:rPr>
        <w:t>,</w:t>
      </w:r>
      <w:r w:rsidR="00B1353E">
        <w:rPr>
          <w:sz w:val="24"/>
          <w:szCs w:val="24"/>
        </w:rPr>
        <w:t xml:space="preserve"> against an average of 0.90</w:t>
      </w:r>
      <w:r w:rsidR="00D3619C">
        <w:rPr>
          <w:sz w:val="24"/>
          <w:szCs w:val="24"/>
        </w:rPr>
        <w:t xml:space="preserve"> showing it maintaining a larger cash position.</w:t>
      </w:r>
      <w:r w:rsidR="00524BCE">
        <w:rPr>
          <w:sz w:val="24"/>
          <w:szCs w:val="24"/>
        </w:rPr>
        <w:t xml:space="preserve"> </w:t>
      </w:r>
      <w:r w:rsidR="00E15333">
        <w:rPr>
          <w:sz w:val="24"/>
          <w:szCs w:val="24"/>
        </w:rPr>
        <w:t xml:space="preserve">Two sectors (technology and utilities) showed an increase in the cash per share ratio between 2019 and </w:t>
      </w:r>
      <w:r w:rsidR="00E15333">
        <w:rPr>
          <w:sz w:val="24"/>
          <w:szCs w:val="24"/>
        </w:rPr>
        <w:lastRenderedPageBreak/>
        <w:t>2020</w:t>
      </w:r>
      <w:r w:rsidR="00680426">
        <w:rPr>
          <w:sz w:val="24"/>
          <w:szCs w:val="24"/>
        </w:rPr>
        <w:t xml:space="preserve">, before a drop between 2020 to 2021. The technology sector had the largest change </w:t>
      </w:r>
      <w:r w:rsidR="0007761D">
        <w:rPr>
          <w:sz w:val="24"/>
          <w:szCs w:val="24"/>
        </w:rPr>
        <w:t xml:space="preserve">during the period, increasing from 1.46 in 2019 by 1.19 to 2.66 in 2020, before falling by </w:t>
      </w:r>
      <w:r w:rsidR="008C1B86">
        <w:rPr>
          <w:sz w:val="24"/>
          <w:szCs w:val="24"/>
        </w:rPr>
        <w:t xml:space="preserve">1.42 to 1.23 in 2021. </w:t>
      </w:r>
    </w:p>
    <w:p w14:paraId="460D73EA" w14:textId="10A7BF45" w:rsidR="002950DD" w:rsidRDefault="00836445" w:rsidP="007656AE">
      <w:pPr>
        <w:pStyle w:val="Heading3"/>
        <w:numPr>
          <w:ilvl w:val="2"/>
          <w:numId w:val="3"/>
        </w:numPr>
        <w:rPr>
          <w:szCs w:val="24"/>
        </w:rPr>
      </w:pPr>
      <w:bookmarkStart w:id="69" w:name="_Toc141646742"/>
      <w:r>
        <w:rPr>
          <w:noProof/>
        </w:rPr>
        <w:drawing>
          <wp:anchor distT="0" distB="0" distL="114300" distR="114300" simplePos="0" relativeHeight="251658261" behindDoc="0" locked="0" layoutInCell="1" allowOverlap="1" wp14:anchorId="5DABCE54" wp14:editId="4BD3B23C">
            <wp:simplePos x="0" y="0"/>
            <wp:positionH relativeFrom="margin">
              <wp:align>center</wp:align>
            </wp:positionH>
            <wp:positionV relativeFrom="paragraph">
              <wp:posOffset>537893</wp:posOffset>
            </wp:positionV>
            <wp:extent cx="6695440" cy="3851910"/>
            <wp:effectExtent l="0" t="0" r="0" b="0"/>
            <wp:wrapTopAndBottom/>
            <wp:docPr id="1223741080" name="Chart 1">
              <a:extLst xmlns:a="http://schemas.openxmlformats.org/drawingml/2006/main">
                <a:ext uri="{FF2B5EF4-FFF2-40B4-BE49-F238E27FC236}">
                  <a16:creationId xmlns:a16="http://schemas.microsoft.com/office/drawing/2014/main" id="{5246056A-6312-9744-9CDD-DF1896361C7F}"/>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37"/>
              </a:graphicData>
            </a:graphic>
            <wp14:sizeRelH relativeFrom="page">
              <wp14:pctWidth>0</wp14:pctWidth>
            </wp14:sizeRelH>
            <wp14:sizeRelV relativeFrom="page">
              <wp14:pctHeight>0</wp14:pctHeight>
            </wp14:sizeRelV>
          </wp:anchor>
        </w:drawing>
      </w:r>
      <w:r w:rsidR="002950DD">
        <w:rPr>
          <w:szCs w:val="24"/>
        </w:rPr>
        <w:t>Interest Cover</w:t>
      </w:r>
      <w:bookmarkEnd w:id="69"/>
    </w:p>
    <w:p w14:paraId="4DA14D36" w14:textId="668ECD8A" w:rsidR="00836445" w:rsidRPr="0020214E" w:rsidRDefault="0020214E" w:rsidP="0020214E">
      <w:pPr>
        <w:spacing w:line="480" w:lineRule="auto"/>
        <w:rPr>
          <w:b/>
          <w:bCs/>
          <w:sz w:val="18"/>
          <w:szCs w:val="18"/>
        </w:rPr>
      </w:pPr>
      <w:r w:rsidRPr="0020214E">
        <w:rPr>
          <w:b/>
          <w:bCs/>
          <w:sz w:val="18"/>
          <w:szCs w:val="18"/>
        </w:rPr>
        <w:t xml:space="preserve">Figure </w:t>
      </w:r>
      <w:r>
        <w:rPr>
          <w:b/>
          <w:bCs/>
          <w:sz w:val="18"/>
          <w:szCs w:val="18"/>
        </w:rPr>
        <w:t>2</w:t>
      </w:r>
      <w:r w:rsidR="00C633C2">
        <w:rPr>
          <w:b/>
          <w:bCs/>
          <w:sz w:val="18"/>
          <w:szCs w:val="18"/>
        </w:rPr>
        <w:t>1</w:t>
      </w:r>
      <w:r w:rsidRPr="0020214E">
        <w:rPr>
          <w:b/>
          <w:bCs/>
          <w:sz w:val="18"/>
          <w:szCs w:val="18"/>
        </w:rPr>
        <w:t xml:space="preserve">. </w:t>
      </w:r>
      <w:r>
        <w:rPr>
          <w:b/>
          <w:bCs/>
          <w:sz w:val="18"/>
          <w:szCs w:val="18"/>
        </w:rPr>
        <w:t>Interest Cover</w:t>
      </w:r>
      <w:r w:rsidRPr="0020214E">
        <w:rPr>
          <w:b/>
          <w:bCs/>
          <w:sz w:val="18"/>
          <w:szCs w:val="18"/>
        </w:rPr>
        <w:t xml:space="preserve"> financial ratio results for all </w:t>
      </w:r>
      <w:r w:rsidR="00D06C36">
        <w:rPr>
          <w:b/>
          <w:bCs/>
          <w:sz w:val="18"/>
          <w:szCs w:val="18"/>
        </w:rPr>
        <w:t>FTSE 250</w:t>
      </w:r>
      <w:r w:rsidRPr="0020214E">
        <w:rPr>
          <w:b/>
          <w:bCs/>
          <w:sz w:val="18"/>
          <w:szCs w:val="18"/>
        </w:rPr>
        <w:t xml:space="preserve"> industry sectors between 2019 and 2021. </w:t>
      </w:r>
    </w:p>
    <w:p w14:paraId="04948BC6" w14:textId="216B78BE" w:rsidR="0053208C" w:rsidRPr="009D7734" w:rsidRDefault="00BA0690" w:rsidP="00BA0690">
      <w:pPr>
        <w:spacing w:line="480" w:lineRule="auto"/>
        <w:jc w:val="both"/>
        <w:rPr>
          <w:sz w:val="24"/>
          <w:szCs w:val="24"/>
        </w:rPr>
      </w:pPr>
      <w:r w:rsidRPr="00BA0690">
        <w:rPr>
          <w:sz w:val="24"/>
          <w:szCs w:val="24"/>
        </w:rPr>
        <w:t xml:space="preserve">The </w:t>
      </w:r>
      <w:r w:rsidR="006B1275">
        <w:rPr>
          <w:sz w:val="24"/>
          <w:szCs w:val="24"/>
        </w:rPr>
        <w:t xml:space="preserve">interest cover ratio measures </w:t>
      </w:r>
      <w:r w:rsidR="006D2F02">
        <w:rPr>
          <w:sz w:val="24"/>
          <w:szCs w:val="24"/>
        </w:rPr>
        <w:t xml:space="preserve">a </w:t>
      </w:r>
      <w:r w:rsidR="006B1275">
        <w:rPr>
          <w:sz w:val="24"/>
          <w:szCs w:val="24"/>
        </w:rPr>
        <w:t>compan</w:t>
      </w:r>
      <w:r w:rsidR="006D2F02">
        <w:rPr>
          <w:sz w:val="24"/>
          <w:szCs w:val="24"/>
        </w:rPr>
        <w:t>y’s</w:t>
      </w:r>
      <w:r w:rsidR="006B1275">
        <w:rPr>
          <w:sz w:val="24"/>
          <w:szCs w:val="24"/>
        </w:rPr>
        <w:t xml:space="preserve"> </w:t>
      </w:r>
      <w:r w:rsidR="0053294F">
        <w:rPr>
          <w:sz w:val="24"/>
          <w:szCs w:val="24"/>
        </w:rPr>
        <w:t>ability to pay the interest on the debt that it has outstanding</w:t>
      </w:r>
      <w:r w:rsidR="00570F11">
        <w:rPr>
          <w:sz w:val="24"/>
          <w:szCs w:val="24"/>
        </w:rPr>
        <w:t xml:space="preserve"> (Figure 21.)</w:t>
      </w:r>
      <w:r w:rsidR="0053294F">
        <w:rPr>
          <w:sz w:val="24"/>
          <w:szCs w:val="24"/>
        </w:rPr>
        <w:t>.</w:t>
      </w:r>
      <w:r w:rsidR="00561123">
        <w:rPr>
          <w:sz w:val="24"/>
          <w:szCs w:val="24"/>
        </w:rPr>
        <w:t xml:space="preserve"> The technology sector had the highest interest cover in each year between 2019 and 2021, however the interest cover ratio declined </w:t>
      </w:r>
      <w:r w:rsidR="00B763D7">
        <w:rPr>
          <w:sz w:val="24"/>
          <w:szCs w:val="24"/>
        </w:rPr>
        <w:t>in this period, from 1298.96 in 2019 by 1038.64 to 260.32</w:t>
      </w:r>
      <w:r w:rsidR="00C90145">
        <w:rPr>
          <w:sz w:val="24"/>
          <w:szCs w:val="24"/>
        </w:rPr>
        <w:t xml:space="preserve"> in 2020, and a further 84.08 to 176.24 in 2021</w:t>
      </w:r>
      <w:r w:rsidR="00FE63C7">
        <w:rPr>
          <w:sz w:val="24"/>
          <w:szCs w:val="24"/>
        </w:rPr>
        <w:t xml:space="preserve">; suggesting a weaking position however, still much stronger than the other sectors. </w:t>
      </w:r>
      <w:r w:rsidR="00266A1B">
        <w:rPr>
          <w:sz w:val="24"/>
          <w:szCs w:val="24"/>
        </w:rPr>
        <w:t>Seven</w:t>
      </w:r>
      <w:r w:rsidR="000369E6">
        <w:rPr>
          <w:sz w:val="24"/>
          <w:szCs w:val="24"/>
        </w:rPr>
        <w:t xml:space="preserve"> of the other sectors</w:t>
      </w:r>
      <w:r w:rsidR="00242D57">
        <w:rPr>
          <w:sz w:val="24"/>
          <w:szCs w:val="24"/>
        </w:rPr>
        <w:t xml:space="preserve"> </w:t>
      </w:r>
      <w:r w:rsidR="00576322">
        <w:rPr>
          <w:sz w:val="24"/>
          <w:szCs w:val="24"/>
        </w:rPr>
        <w:t>(consumer discretionary, real estate, industrials,</w:t>
      </w:r>
      <w:r w:rsidR="00266A1B">
        <w:rPr>
          <w:sz w:val="24"/>
          <w:szCs w:val="24"/>
        </w:rPr>
        <w:t xml:space="preserve"> utilities,</w:t>
      </w:r>
      <w:r w:rsidR="00576322">
        <w:rPr>
          <w:sz w:val="24"/>
          <w:szCs w:val="24"/>
        </w:rPr>
        <w:t xml:space="preserve"> consumer staples, energy and health care)</w:t>
      </w:r>
      <w:r w:rsidR="000369E6">
        <w:rPr>
          <w:sz w:val="24"/>
          <w:szCs w:val="24"/>
        </w:rPr>
        <w:t xml:space="preserve"> demonstrated a decline in interest cover</w:t>
      </w:r>
      <w:r w:rsidR="00C90145">
        <w:rPr>
          <w:sz w:val="24"/>
          <w:szCs w:val="24"/>
        </w:rPr>
        <w:t xml:space="preserve"> </w:t>
      </w:r>
      <w:r w:rsidR="002644F3">
        <w:rPr>
          <w:sz w:val="24"/>
          <w:szCs w:val="24"/>
        </w:rPr>
        <w:t>from 2019 to 2020</w:t>
      </w:r>
      <w:r w:rsidR="009F2A4B">
        <w:rPr>
          <w:sz w:val="24"/>
          <w:szCs w:val="24"/>
        </w:rPr>
        <w:t xml:space="preserve">, with an increase in from 2020 to 2021. </w:t>
      </w:r>
      <w:r w:rsidR="0060799B">
        <w:rPr>
          <w:sz w:val="24"/>
          <w:szCs w:val="24"/>
        </w:rPr>
        <w:t xml:space="preserve">While </w:t>
      </w:r>
      <w:r w:rsidR="009B3D8E">
        <w:rPr>
          <w:sz w:val="24"/>
          <w:szCs w:val="24"/>
        </w:rPr>
        <w:t>these 2019 to 2020</w:t>
      </w:r>
      <w:r w:rsidR="0060799B">
        <w:rPr>
          <w:sz w:val="24"/>
          <w:szCs w:val="24"/>
        </w:rPr>
        <w:t xml:space="preserve"> declines were less </w:t>
      </w:r>
      <w:r w:rsidR="0060799B">
        <w:rPr>
          <w:sz w:val="24"/>
          <w:szCs w:val="24"/>
        </w:rPr>
        <w:lastRenderedPageBreak/>
        <w:t>than the financial</w:t>
      </w:r>
      <w:r w:rsidR="009B3D8E">
        <w:rPr>
          <w:sz w:val="24"/>
          <w:szCs w:val="24"/>
        </w:rPr>
        <w:t xml:space="preserve"> sectors in ratio terms,</w:t>
      </w:r>
      <w:r w:rsidR="00DF7BDF">
        <w:rPr>
          <w:sz w:val="24"/>
          <w:szCs w:val="24"/>
        </w:rPr>
        <w:t xml:space="preserve"> as the sectors began with a lower ratio the decline still represented a </w:t>
      </w:r>
      <w:r w:rsidR="00822C16">
        <w:rPr>
          <w:sz w:val="24"/>
          <w:szCs w:val="24"/>
        </w:rPr>
        <w:t>substantial</w:t>
      </w:r>
      <w:r w:rsidR="00DF7BDF">
        <w:rPr>
          <w:sz w:val="24"/>
          <w:szCs w:val="24"/>
        </w:rPr>
        <w:t xml:space="preserve"> percentage drop </w:t>
      </w:r>
      <w:r w:rsidR="00822C16">
        <w:rPr>
          <w:sz w:val="24"/>
          <w:szCs w:val="24"/>
        </w:rPr>
        <w:t xml:space="preserve">in interest cover </w:t>
      </w:r>
      <w:r w:rsidR="00DF7BDF">
        <w:rPr>
          <w:sz w:val="24"/>
          <w:szCs w:val="24"/>
        </w:rPr>
        <w:t xml:space="preserve">with an average of </w:t>
      </w:r>
      <w:r w:rsidR="00822C16">
        <w:rPr>
          <w:sz w:val="24"/>
          <w:szCs w:val="24"/>
        </w:rPr>
        <w:t>97% (84% if</w:t>
      </w:r>
      <w:r w:rsidR="008B59C2">
        <w:rPr>
          <w:sz w:val="24"/>
          <w:szCs w:val="24"/>
        </w:rPr>
        <w:t xml:space="preserve"> </w:t>
      </w:r>
      <w:r w:rsidR="00822C16">
        <w:rPr>
          <w:sz w:val="24"/>
          <w:szCs w:val="24"/>
        </w:rPr>
        <w:t>the energy sector</w:t>
      </w:r>
      <w:r w:rsidR="008B59C2">
        <w:rPr>
          <w:sz w:val="24"/>
          <w:szCs w:val="24"/>
        </w:rPr>
        <w:t xml:space="preserve"> is removed</w:t>
      </w:r>
      <w:r w:rsidR="00822C16">
        <w:rPr>
          <w:sz w:val="24"/>
          <w:szCs w:val="24"/>
        </w:rPr>
        <w:t>).</w:t>
      </w:r>
      <w:r w:rsidR="00271DBA">
        <w:rPr>
          <w:sz w:val="24"/>
          <w:szCs w:val="24"/>
        </w:rPr>
        <w:t xml:space="preserve"> </w:t>
      </w:r>
      <w:r w:rsidR="007E5BE4">
        <w:rPr>
          <w:sz w:val="24"/>
          <w:szCs w:val="24"/>
        </w:rPr>
        <w:t>These sector</w:t>
      </w:r>
      <w:r w:rsidR="000D5E20">
        <w:rPr>
          <w:sz w:val="24"/>
          <w:szCs w:val="24"/>
        </w:rPr>
        <w:t>’</w:t>
      </w:r>
      <w:r w:rsidR="007E5BE4">
        <w:rPr>
          <w:sz w:val="24"/>
          <w:szCs w:val="24"/>
        </w:rPr>
        <w:t>s</w:t>
      </w:r>
      <w:r w:rsidR="00B72465">
        <w:rPr>
          <w:sz w:val="24"/>
          <w:szCs w:val="24"/>
        </w:rPr>
        <w:t xml:space="preserve"> interest cover ratio</w:t>
      </w:r>
      <w:r w:rsidR="00576322">
        <w:rPr>
          <w:sz w:val="24"/>
          <w:szCs w:val="24"/>
        </w:rPr>
        <w:t xml:space="preserve"> recovered from 202</w:t>
      </w:r>
      <w:r w:rsidR="00B72465">
        <w:rPr>
          <w:sz w:val="24"/>
          <w:szCs w:val="24"/>
        </w:rPr>
        <w:t xml:space="preserve">0 to 2021 to </w:t>
      </w:r>
      <w:r w:rsidR="00100AB6">
        <w:rPr>
          <w:sz w:val="24"/>
          <w:szCs w:val="24"/>
        </w:rPr>
        <w:t>an average change of -17%</w:t>
      </w:r>
      <w:r w:rsidR="00306F21">
        <w:rPr>
          <w:sz w:val="24"/>
          <w:szCs w:val="24"/>
        </w:rPr>
        <w:t xml:space="preserve"> (133% if including </w:t>
      </w:r>
      <w:r w:rsidR="00C124D6">
        <w:rPr>
          <w:sz w:val="24"/>
          <w:szCs w:val="24"/>
        </w:rPr>
        <w:t>utilities sector</w:t>
      </w:r>
      <w:r w:rsidR="00306F21">
        <w:rPr>
          <w:sz w:val="24"/>
          <w:szCs w:val="24"/>
        </w:rPr>
        <w:t xml:space="preserve"> that </w:t>
      </w:r>
      <w:r w:rsidR="00C124D6">
        <w:rPr>
          <w:sz w:val="24"/>
          <w:szCs w:val="24"/>
        </w:rPr>
        <w:t>recovered</w:t>
      </w:r>
      <w:r w:rsidR="00306F21">
        <w:rPr>
          <w:sz w:val="24"/>
          <w:szCs w:val="24"/>
        </w:rPr>
        <w:t xml:space="preserve"> 1033% due to a very </w:t>
      </w:r>
      <w:r w:rsidR="00C124D6">
        <w:rPr>
          <w:sz w:val="24"/>
          <w:szCs w:val="24"/>
        </w:rPr>
        <w:t>negative 2019 interest cover)</w:t>
      </w:r>
      <w:r w:rsidR="00100AB6">
        <w:rPr>
          <w:sz w:val="24"/>
          <w:szCs w:val="24"/>
        </w:rPr>
        <w:t xml:space="preserve"> from the 2019 value</w:t>
      </w:r>
      <w:r w:rsidR="00E1314B">
        <w:rPr>
          <w:sz w:val="24"/>
          <w:szCs w:val="24"/>
        </w:rPr>
        <w:t>.</w:t>
      </w:r>
      <w:r w:rsidR="00C124D6">
        <w:rPr>
          <w:sz w:val="24"/>
          <w:szCs w:val="24"/>
        </w:rPr>
        <w:t xml:space="preserve"> </w:t>
      </w:r>
      <w:r w:rsidR="00E1096B">
        <w:rPr>
          <w:sz w:val="24"/>
          <w:szCs w:val="24"/>
        </w:rPr>
        <w:t>Three sectors showed year on year increases in interest cover (telecommunications, technology and basic ma</w:t>
      </w:r>
      <w:r w:rsidR="00895692">
        <w:rPr>
          <w:sz w:val="24"/>
          <w:szCs w:val="24"/>
        </w:rPr>
        <w:t xml:space="preserve">terials), with an average increase of 140% between 2019 to 2020, and </w:t>
      </w:r>
      <w:r w:rsidR="009E4FEE">
        <w:rPr>
          <w:sz w:val="24"/>
          <w:szCs w:val="24"/>
        </w:rPr>
        <w:t>a further 64% to 2021.</w:t>
      </w:r>
    </w:p>
    <w:p w14:paraId="510D22EE" w14:textId="78F3138F" w:rsidR="002950DD" w:rsidRDefault="009D7734" w:rsidP="007656AE">
      <w:pPr>
        <w:pStyle w:val="Heading3"/>
        <w:numPr>
          <w:ilvl w:val="2"/>
          <w:numId w:val="3"/>
        </w:numPr>
        <w:rPr>
          <w:szCs w:val="24"/>
        </w:rPr>
      </w:pPr>
      <w:bookmarkStart w:id="70" w:name="_Toc141646743"/>
      <w:r>
        <w:rPr>
          <w:noProof/>
        </w:rPr>
        <w:drawing>
          <wp:anchor distT="0" distB="0" distL="114300" distR="114300" simplePos="0" relativeHeight="251658262" behindDoc="0" locked="0" layoutInCell="1" allowOverlap="1" wp14:anchorId="6313B169" wp14:editId="5461A065">
            <wp:simplePos x="0" y="0"/>
            <wp:positionH relativeFrom="margin">
              <wp:align>center</wp:align>
            </wp:positionH>
            <wp:positionV relativeFrom="paragraph">
              <wp:posOffset>494877</wp:posOffset>
            </wp:positionV>
            <wp:extent cx="6695440" cy="3851910"/>
            <wp:effectExtent l="0" t="0" r="0" b="0"/>
            <wp:wrapTopAndBottom/>
            <wp:docPr id="925160341" name="Chart 1">
              <a:extLst xmlns:a="http://schemas.openxmlformats.org/drawingml/2006/main">
                <a:ext uri="{FF2B5EF4-FFF2-40B4-BE49-F238E27FC236}">
                  <a16:creationId xmlns:a16="http://schemas.microsoft.com/office/drawing/2014/main" id="{BD8BCB86-0269-914C-8F93-6CE015FDF1DB}"/>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38"/>
              </a:graphicData>
            </a:graphic>
            <wp14:sizeRelH relativeFrom="page">
              <wp14:pctWidth>0</wp14:pctWidth>
            </wp14:sizeRelH>
            <wp14:sizeRelV relativeFrom="page">
              <wp14:pctHeight>0</wp14:pctHeight>
            </wp14:sizeRelV>
          </wp:anchor>
        </w:drawing>
      </w:r>
      <w:r w:rsidR="002950DD">
        <w:rPr>
          <w:szCs w:val="24"/>
        </w:rPr>
        <w:t>Dividend Cover</w:t>
      </w:r>
      <w:bookmarkEnd w:id="70"/>
    </w:p>
    <w:p w14:paraId="33B43589" w14:textId="58F5EA34" w:rsidR="00BA0690" w:rsidRPr="0020214E" w:rsidRDefault="0020214E" w:rsidP="0020214E">
      <w:pPr>
        <w:spacing w:line="480" w:lineRule="auto"/>
        <w:rPr>
          <w:b/>
          <w:bCs/>
          <w:sz w:val="18"/>
          <w:szCs w:val="18"/>
        </w:rPr>
      </w:pPr>
      <w:r w:rsidRPr="0020214E">
        <w:rPr>
          <w:b/>
          <w:bCs/>
          <w:sz w:val="18"/>
          <w:szCs w:val="18"/>
        </w:rPr>
        <w:t xml:space="preserve">Figure </w:t>
      </w:r>
      <w:r>
        <w:rPr>
          <w:b/>
          <w:bCs/>
          <w:sz w:val="18"/>
          <w:szCs w:val="18"/>
        </w:rPr>
        <w:t>2</w:t>
      </w:r>
      <w:r w:rsidR="00C633C2">
        <w:rPr>
          <w:b/>
          <w:bCs/>
          <w:sz w:val="18"/>
          <w:szCs w:val="18"/>
        </w:rPr>
        <w:t>2</w:t>
      </w:r>
      <w:r w:rsidRPr="0020214E">
        <w:rPr>
          <w:b/>
          <w:bCs/>
          <w:sz w:val="18"/>
          <w:szCs w:val="18"/>
        </w:rPr>
        <w:t xml:space="preserve">. </w:t>
      </w:r>
      <w:r>
        <w:rPr>
          <w:b/>
          <w:bCs/>
          <w:sz w:val="18"/>
          <w:szCs w:val="18"/>
        </w:rPr>
        <w:t>Dividend Cover</w:t>
      </w:r>
      <w:r w:rsidRPr="0020214E">
        <w:rPr>
          <w:b/>
          <w:bCs/>
          <w:sz w:val="18"/>
          <w:szCs w:val="18"/>
        </w:rPr>
        <w:t xml:space="preserve"> financial ratio results for all </w:t>
      </w:r>
      <w:r w:rsidR="00D06C36">
        <w:rPr>
          <w:b/>
          <w:bCs/>
          <w:sz w:val="18"/>
          <w:szCs w:val="18"/>
        </w:rPr>
        <w:t>FTSE 250</w:t>
      </w:r>
      <w:r w:rsidRPr="0020214E">
        <w:rPr>
          <w:b/>
          <w:bCs/>
          <w:sz w:val="18"/>
          <w:szCs w:val="18"/>
        </w:rPr>
        <w:t xml:space="preserve"> industry sectors between 2019 and 2021. </w:t>
      </w:r>
    </w:p>
    <w:p w14:paraId="18C5893D" w14:textId="29489FB6" w:rsidR="0053208C" w:rsidRDefault="00EA4487" w:rsidP="00BA0690">
      <w:pPr>
        <w:spacing w:line="480" w:lineRule="auto"/>
        <w:jc w:val="both"/>
        <w:rPr>
          <w:sz w:val="24"/>
          <w:szCs w:val="24"/>
        </w:rPr>
      </w:pPr>
      <w:r>
        <w:rPr>
          <w:sz w:val="24"/>
          <w:szCs w:val="24"/>
        </w:rPr>
        <w:t xml:space="preserve">Dividend cover is a measure of </w:t>
      </w:r>
      <w:r w:rsidR="00F133BF">
        <w:rPr>
          <w:sz w:val="24"/>
          <w:szCs w:val="24"/>
        </w:rPr>
        <w:t xml:space="preserve">the number of times a </w:t>
      </w:r>
      <w:r>
        <w:rPr>
          <w:sz w:val="24"/>
          <w:szCs w:val="24"/>
        </w:rPr>
        <w:t>compan</w:t>
      </w:r>
      <w:r w:rsidR="006D2F02">
        <w:rPr>
          <w:sz w:val="24"/>
          <w:szCs w:val="24"/>
        </w:rPr>
        <w:t>y</w:t>
      </w:r>
      <w:r w:rsidR="00A65330">
        <w:rPr>
          <w:sz w:val="24"/>
          <w:szCs w:val="24"/>
        </w:rPr>
        <w:t>’s earnings can cover its dividend payments</w:t>
      </w:r>
      <w:r w:rsidR="00570F11">
        <w:rPr>
          <w:sz w:val="24"/>
          <w:szCs w:val="24"/>
        </w:rPr>
        <w:t xml:space="preserve"> (Figure 22.)</w:t>
      </w:r>
      <w:r w:rsidR="00A65330">
        <w:rPr>
          <w:sz w:val="24"/>
          <w:szCs w:val="24"/>
        </w:rPr>
        <w:t xml:space="preserve">. </w:t>
      </w:r>
      <w:r w:rsidR="00173987">
        <w:rPr>
          <w:sz w:val="24"/>
          <w:szCs w:val="24"/>
        </w:rPr>
        <w:t xml:space="preserve">A ratio less than 1 </w:t>
      </w:r>
      <w:r w:rsidR="0015226A">
        <w:rPr>
          <w:sz w:val="24"/>
          <w:szCs w:val="24"/>
        </w:rPr>
        <w:t xml:space="preserve">indicates that a company is paying more in dividends to the shareholders than it is earning. </w:t>
      </w:r>
      <w:r w:rsidR="006324DC" w:rsidRPr="00BD5476">
        <w:rPr>
          <w:b/>
          <w:bCs/>
          <w:sz w:val="24"/>
          <w:szCs w:val="24"/>
        </w:rPr>
        <w:t xml:space="preserve">This ratio has been included as an </w:t>
      </w:r>
      <w:r w:rsidR="00DF02FB" w:rsidRPr="00BD5476">
        <w:rPr>
          <w:b/>
          <w:bCs/>
          <w:sz w:val="24"/>
          <w:szCs w:val="24"/>
        </w:rPr>
        <w:lastRenderedPageBreak/>
        <w:t>indicator</w:t>
      </w:r>
      <w:r w:rsidR="006324DC" w:rsidRPr="00BD5476">
        <w:rPr>
          <w:b/>
          <w:bCs/>
          <w:sz w:val="24"/>
          <w:szCs w:val="24"/>
        </w:rPr>
        <w:t xml:space="preserve"> only, the </w:t>
      </w:r>
      <w:r w:rsidR="000A717A">
        <w:rPr>
          <w:b/>
          <w:bCs/>
          <w:sz w:val="24"/>
          <w:szCs w:val="24"/>
        </w:rPr>
        <w:t xml:space="preserve">overwhelming </w:t>
      </w:r>
      <w:r w:rsidR="006324DC" w:rsidRPr="00BD5476">
        <w:rPr>
          <w:b/>
          <w:bCs/>
          <w:sz w:val="24"/>
          <w:szCs w:val="24"/>
        </w:rPr>
        <w:t xml:space="preserve">majority of companies </w:t>
      </w:r>
      <w:r w:rsidR="000046EC" w:rsidRPr="00BD5476">
        <w:rPr>
          <w:b/>
          <w:bCs/>
          <w:sz w:val="24"/>
          <w:szCs w:val="24"/>
        </w:rPr>
        <w:t xml:space="preserve">as the COVID-19 pandemic impacted the world chose to cancel dividend payments </w:t>
      </w:r>
      <w:r w:rsidR="00DF02FB" w:rsidRPr="00BD5476">
        <w:rPr>
          <w:b/>
          <w:bCs/>
          <w:sz w:val="24"/>
          <w:szCs w:val="24"/>
        </w:rPr>
        <w:t>for 2</w:t>
      </w:r>
      <w:r w:rsidR="00B321C0">
        <w:rPr>
          <w:b/>
          <w:bCs/>
          <w:sz w:val="24"/>
          <w:szCs w:val="24"/>
        </w:rPr>
        <w:t>019 and 2020</w:t>
      </w:r>
      <w:r w:rsidR="00DF02FB" w:rsidRPr="00BD5476">
        <w:rPr>
          <w:b/>
          <w:bCs/>
          <w:sz w:val="24"/>
          <w:szCs w:val="24"/>
        </w:rPr>
        <w:t xml:space="preserve"> revis</w:t>
      </w:r>
      <w:r w:rsidR="00B321C0">
        <w:rPr>
          <w:b/>
          <w:bCs/>
          <w:sz w:val="24"/>
          <w:szCs w:val="24"/>
        </w:rPr>
        <w:t>ing</w:t>
      </w:r>
      <w:r w:rsidR="00DF02FB" w:rsidRPr="00BD5476">
        <w:rPr>
          <w:b/>
          <w:bCs/>
          <w:sz w:val="24"/>
          <w:szCs w:val="24"/>
        </w:rPr>
        <w:t xml:space="preserve"> annual reports to account for this. </w:t>
      </w:r>
      <w:r w:rsidR="00F94E53">
        <w:rPr>
          <w:sz w:val="24"/>
          <w:szCs w:val="24"/>
        </w:rPr>
        <w:t>The financials sector showed the most robust dividend cover across the 2019 to 2021 period</w:t>
      </w:r>
      <w:r w:rsidR="008E4A3F">
        <w:rPr>
          <w:sz w:val="24"/>
          <w:szCs w:val="24"/>
        </w:rPr>
        <w:t xml:space="preserve">, with increase of </w:t>
      </w:r>
      <w:r w:rsidR="00FC3698">
        <w:rPr>
          <w:sz w:val="24"/>
          <w:szCs w:val="24"/>
        </w:rPr>
        <w:t xml:space="preserve">4.76 from 23.08 in 2019 to </w:t>
      </w:r>
      <w:r w:rsidR="00F845E2">
        <w:rPr>
          <w:sz w:val="24"/>
          <w:szCs w:val="24"/>
        </w:rPr>
        <w:t xml:space="preserve">27.84 in 2020, </w:t>
      </w:r>
      <w:r w:rsidR="00C3169D">
        <w:rPr>
          <w:sz w:val="24"/>
          <w:szCs w:val="24"/>
        </w:rPr>
        <w:t xml:space="preserve">followed by a decline of 17.98 to 9.86 in 2021. </w:t>
      </w:r>
      <w:r w:rsidR="00B24A03">
        <w:rPr>
          <w:sz w:val="24"/>
          <w:szCs w:val="24"/>
        </w:rPr>
        <w:t xml:space="preserve">In 2019, </w:t>
      </w:r>
      <w:r w:rsidR="005D5B39">
        <w:rPr>
          <w:sz w:val="24"/>
          <w:szCs w:val="24"/>
        </w:rPr>
        <w:t xml:space="preserve">4 of the remaining sectors had a dividend cover over 1, indicating adequate </w:t>
      </w:r>
      <w:r w:rsidR="0047375C">
        <w:rPr>
          <w:sz w:val="24"/>
          <w:szCs w:val="24"/>
        </w:rPr>
        <w:t xml:space="preserve">dividend cover; </w:t>
      </w:r>
      <w:r w:rsidR="00EE7B19">
        <w:rPr>
          <w:sz w:val="24"/>
          <w:szCs w:val="24"/>
        </w:rPr>
        <w:t>while 6 companies had cover less than 1</w:t>
      </w:r>
      <w:r w:rsidR="00450DBD">
        <w:rPr>
          <w:sz w:val="24"/>
          <w:szCs w:val="24"/>
        </w:rPr>
        <w:t xml:space="preserve">, with 3 of these having negative dividend cover. </w:t>
      </w:r>
    </w:p>
    <w:p w14:paraId="63411B90" w14:textId="6C82DBCB" w:rsidR="002950DD" w:rsidRDefault="0020214E" w:rsidP="007656AE">
      <w:pPr>
        <w:pStyle w:val="Heading3"/>
        <w:numPr>
          <w:ilvl w:val="2"/>
          <w:numId w:val="3"/>
        </w:numPr>
        <w:rPr>
          <w:szCs w:val="24"/>
        </w:rPr>
      </w:pPr>
      <w:bookmarkStart w:id="71" w:name="_Toc141646744"/>
      <w:r>
        <w:rPr>
          <w:noProof/>
        </w:rPr>
        <w:drawing>
          <wp:anchor distT="0" distB="0" distL="114300" distR="114300" simplePos="0" relativeHeight="251658263" behindDoc="0" locked="0" layoutInCell="1" allowOverlap="1" wp14:anchorId="73995A0F" wp14:editId="0065A1CB">
            <wp:simplePos x="0" y="0"/>
            <wp:positionH relativeFrom="margin">
              <wp:posOffset>-483870</wp:posOffset>
            </wp:positionH>
            <wp:positionV relativeFrom="paragraph">
              <wp:posOffset>348615</wp:posOffset>
            </wp:positionV>
            <wp:extent cx="6696000" cy="3852000"/>
            <wp:effectExtent l="0" t="0" r="0" b="0"/>
            <wp:wrapTopAndBottom/>
            <wp:docPr id="1479190872" name="Chart 1">
              <a:extLst xmlns:a="http://schemas.openxmlformats.org/drawingml/2006/main">
                <a:ext uri="{FF2B5EF4-FFF2-40B4-BE49-F238E27FC236}">
                  <a16:creationId xmlns:a16="http://schemas.microsoft.com/office/drawing/2014/main" id="{4E2EE2E1-3E98-6141-87C6-71BBDF2F9351}"/>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39"/>
              </a:graphicData>
            </a:graphic>
            <wp14:sizeRelH relativeFrom="page">
              <wp14:pctWidth>0</wp14:pctWidth>
            </wp14:sizeRelH>
            <wp14:sizeRelV relativeFrom="page">
              <wp14:pctHeight>0</wp14:pctHeight>
            </wp14:sizeRelV>
          </wp:anchor>
        </w:drawing>
      </w:r>
      <w:r w:rsidR="002950DD">
        <w:rPr>
          <w:szCs w:val="24"/>
        </w:rPr>
        <w:t>Dividend Yield</w:t>
      </w:r>
      <w:bookmarkEnd w:id="71"/>
    </w:p>
    <w:p w14:paraId="39A8FB6B" w14:textId="7F80BDF9" w:rsidR="00BA0690" w:rsidRPr="0020214E" w:rsidRDefault="0020214E" w:rsidP="0020214E">
      <w:pPr>
        <w:spacing w:line="480" w:lineRule="auto"/>
        <w:rPr>
          <w:b/>
          <w:bCs/>
          <w:sz w:val="18"/>
          <w:szCs w:val="18"/>
        </w:rPr>
      </w:pPr>
      <w:r w:rsidRPr="0020214E">
        <w:rPr>
          <w:b/>
          <w:bCs/>
          <w:sz w:val="18"/>
          <w:szCs w:val="18"/>
        </w:rPr>
        <w:t xml:space="preserve">Figure </w:t>
      </w:r>
      <w:r>
        <w:rPr>
          <w:b/>
          <w:bCs/>
          <w:sz w:val="18"/>
          <w:szCs w:val="18"/>
        </w:rPr>
        <w:t>2</w:t>
      </w:r>
      <w:r w:rsidR="00C633C2">
        <w:rPr>
          <w:b/>
          <w:bCs/>
          <w:sz w:val="18"/>
          <w:szCs w:val="18"/>
        </w:rPr>
        <w:t>3</w:t>
      </w:r>
      <w:r w:rsidRPr="0020214E">
        <w:rPr>
          <w:b/>
          <w:bCs/>
          <w:sz w:val="18"/>
          <w:szCs w:val="18"/>
        </w:rPr>
        <w:t xml:space="preserve">. </w:t>
      </w:r>
      <w:r>
        <w:rPr>
          <w:b/>
          <w:bCs/>
          <w:sz w:val="18"/>
          <w:szCs w:val="18"/>
        </w:rPr>
        <w:t>Dividend Yield</w:t>
      </w:r>
      <w:r w:rsidRPr="0020214E">
        <w:rPr>
          <w:b/>
          <w:bCs/>
          <w:sz w:val="18"/>
          <w:szCs w:val="18"/>
        </w:rPr>
        <w:t xml:space="preserve"> financial ratio results for all </w:t>
      </w:r>
      <w:r w:rsidR="00D06C36">
        <w:rPr>
          <w:b/>
          <w:bCs/>
          <w:sz w:val="18"/>
          <w:szCs w:val="18"/>
        </w:rPr>
        <w:t>FTSE 250</w:t>
      </w:r>
      <w:r w:rsidRPr="0020214E">
        <w:rPr>
          <w:b/>
          <w:bCs/>
          <w:sz w:val="18"/>
          <w:szCs w:val="18"/>
        </w:rPr>
        <w:t xml:space="preserve"> industry sectors between 2019 and 2021. </w:t>
      </w:r>
    </w:p>
    <w:p w14:paraId="313AD924" w14:textId="096F1751" w:rsidR="00BA0690" w:rsidRPr="00BA0690" w:rsidRDefault="00B96F4F" w:rsidP="00BA0690">
      <w:pPr>
        <w:spacing w:line="480" w:lineRule="auto"/>
        <w:jc w:val="both"/>
      </w:pPr>
      <w:r>
        <w:rPr>
          <w:sz w:val="24"/>
          <w:szCs w:val="24"/>
        </w:rPr>
        <w:t xml:space="preserve">The dividend yield ratio </w:t>
      </w:r>
      <w:r w:rsidR="007C797E">
        <w:rPr>
          <w:sz w:val="24"/>
          <w:szCs w:val="24"/>
        </w:rPr>
        <w:t>shows the return that investors would earn from their investment</w:t>
      </w:r>
      <w:r w:rsidR="0059347A">
        <w:rPr>
          <w:sz w:val="24"/>
          <w:szCs w:val="24"/>
        </w:rPr>
        <w:t xml:space="preserve"> from only dividend payments</w:t>
      </w:r>
      <w:r w:rsidR="00570F11">
        <w:rPr>
          <w:sz w:val="24"/>
          <w:szCs w:val="24"/>
        </w:rPr>
        <w:t xml:space="preserve"> (Figure 23.)</w:t>
      </w:r>
      <w:r w:rsidR="0059347A">
        <w:rPr>
          <w:sz w:val="24"/>
          <w:szCs w:val="24"/>
        </w:rPr>
        <w:t xml:space="preserve"> (</w:t>
      </w:r>
      <w:r w:rsidR="00570F11">
        <w:rPr>
          <w:sz w:val="24"/>
          <w:szCs w:val="24"/>
        </w:rPr>
        <w:t>N</w:t>
      </w:r>
      <w:r w:rsidR="0059347A">
        <w:rPr>
          <w:sz w:val="24"/>
          <w:szCs w:val="24"/>
        </w:rPr>
        <w:t xml:space="preserve">ot accounting for any </w:t>
      </w:r>
      <w:r w:rsidR="00D160E3">
        <w:rPr>
          <w:sz w:val="24"/>
          <w:szCs w:val="24"/>
        </w:rPr>
        <w:t xml:space="preserve">financial benefit/loss relating to a change in the share price). </w:t>
      </w:r>
      <w:r w:rsidR="00993EA0">
        <w:rPr>
          <w:b/>
          <w:bCs/>
          <w:sz w:val="24"/>
          <w:szCs w:val="24"/>
        </w:rPr>
        <w:t>As with</w:t>
      </w:r>
      <w:r w:rsidR="00257E59" w:rsidRPr="009C1075">
        <w:rPr>
          <w:b/>
          <w:bCs/>
          <w:sz w:val="24"/>
          <w:szCs w:val="24"/>
        </w:rPr>
        <w:t xml:space="preserve"> dividend cover, this ratio has been included as an indicator only, as it also relies on the declared dividend payment figure</w:t>
      </w:r>
      <w:r w:rsidRPr="009C1075">
        <w:rPr>
          <w:b/>
          <w:bCs/>
          <w:sz w:val="24"/>
          <w:szCs w:val="24"/>
        </w:rPr>
        <w:t>.</w:t>
      </w:r>
      <w:r>
        <w:rPr>
          <w:sz w:val="24"/>
          <w:szCs w:val="24"/>
        </w:rPr>
        <w:t xml:space="preserve"> </w:t>
      </w:r>
      <w:r w:rsidR="00476759">
        <w:rPr>
          <w:sz w:val="24"/>
          <w:szCs w:val="24"/>
        </w:rPr>
        <w:t xml:space="preserve">The average </w:t>
      </w:r>
      <w:r w:rsidR="00476759">
        <w:rPr>
          <w:sz w:val="24"/>
          <w:szCs w:val="24"/>
        </w:rPr>
        <w:lastRenderedPageBreak/>
        <w:t xml:space="preserve">dividend yield across all sectors was </w:t>
      </w:r>
      <w:r w:rsidR="00FC4F8D">
        <w:rPr>
          <w:sz w:val="24"/>
          <w:szCs w:val="24"/>
        </w:rPr>
        <w:t>4.9% (3.1% if the real estate sector is removed)</w:t>
      </w:r>
      <w:r w:rsidR="00D81548">
        <w:rPr>
          <w:sz w:val="24"/>
          <w:szCs w:val="24"/>
        </w:rPr>
        <w:t>.</w:t>
      </w:r>
      <w:r w:rsidR="00FC4F8D">
        <w:rPr>
          <w:sz w:val="24"/>
          <w:szCs w:val="24"/>
        </w:rPr>
        <w:t xml:space="preserve"> </w:t>
      </w:r>
      <w:r w:rsidR="00D81548">
        <w:rPr>
          <w:sz w:val="24"/>
          <w:szCs w:val="24"/>
        </w:rPr>
        <w:t>T</w:t>
      </w:r>
      <w:r w:rsidR="00FC4F8D">
        <w:rPr>
          <w:sz w:val="24"/>
          <w:szCs w:val="24"/>
        </w:rPr>
        <w:t xml:space="preserve">he real estate sector was the </w:t>
      </w:r>
      <w:r w:rsidR="00C74A38">
        <w:rPr>
          <w:sz w:val="24"/>
          <w:szCs w:val="24"/>
        </w:rPr>
        <w:t>preforming sector in all three years</w:t>
      </w:r>
      <w:r w:rsidR="00D81548">
        <w:rPr>
          <w:sz w:val="24"/>
          <w:szCs w:val="24"/>
        </w:rPr>
        <w:t xml:space="preserve">, with a dividend yield of 29.3% in 2019, increasing by </w:t>
      </w:r>
      <w:r w:rsidR="00435797">
        <w:rPr>
          <w:sz w:val="24"/>
          <w:szCs w:val="24"/>
        </w:rPr>
        <w:t xml:space="preserve">6.72% to </w:t>
      </w:r>
      <w:r w:rsidR="002E3AD2">
        <w:rPr>
          <w:sz w:val="24"/>
          <w:szCs w:val="24"/>
        </w:rPr>
        <w:t xml:space="preserve">36% in 2020, followed by a decline of 30.45% in 2021. </w:t>
      </w:r>
      <w:r w:rsidR="00CD0357">
        <w:rPr>
          <w:sz w:val="24"/>
          <w:szCs w:val="24"/>
        </w:rPr>
        <w:t>With more companies declaring a return to dividend payment in 2021,</w:t>
      </w:r>
      <w:r w:rsidR="0032628F">
        <w:rPr>
          <w:sz w:val="24"/>
          <w:szCs w:val="24"/>
        </w:rPr>
        <w:t xml:space="preserve"> basic analysis can be completed by comparing the 2019 to the 2021 dividend yield (most 2019 dividends were however </w:t>
      </w:r>
      <w:r w:rsidR="00E06299">
        <w:rPr>
          <w:sz w:val="24"/>
          <w:szCs w:val="24"/>
        </w:rPr>
        <w:t>cancelled at the onset of COVID-19)</w:t>
      </w:r>
      <w:r w:rsidR="0032628F">
        <w:rPr>
          <w:sz w:val="24"/>
          <w:szCs w:val="24"/>
        </w:rPr>
        <w:t>.</w:t>
      </w:r>
      <w:r w:rsidR="00E06299">
        <w:rPr>
          <w:sz w:val="24"/>
          <w:szCs w:val="24"/>
        </w:rPr>
        <w:t xml:space="preserve"> All sectors apart from the </w:t>
      </w:r>
      <w:r w:rsidR="00D926A8">
        <w:rPr>
          <w:sz w:val="24"/>
          <w:szCs w:val="24"/>
        </w:rPr>
        <w:t xml:space="preserve">basic materials sector showed a decline in dividend yield between 2019 and 2021, with an average decrease of </w:t>
      </w:r>
      <w:r w:rsidR="0016336A">
        <w:rPr>
          <w:sz w:val="24"/>
          <w:szCs w:val="24"/>
        </w:rPr>
        <w:t xml:space="preserve">3.12% (1.06% if real estate sector is removed). The basic materials sector’s </w:t>
      </w:r>
      <w:r w:rsidR="00760EB8">
        <w:rPr>
          <w:sz w:val="24"/>
          <w:szCs w:val="24"/>
        </w:rPr>
        <w:t xml:space="preserve">dividend yield increased by 1.57% from 3.5% in 2019 to 5.1% in 2021. </w:t>
      </w:r>
      <w:r w:rsidR="00AD5B31">
        <w:rPr>
          <w:sz w:val="24"/>
          <w:szCs w:val="24"/>
        </w:rPr>
        <w:t xml:space="preserve">The prevailing trend for declining dividend yield indicates companies/sectors remaining cautious in preserving cash assets. </w:t>
      </w:r>
      <w:r w:rsidR="002D7176">
        <w:rPr>
          <w:sz w:val="24"/>
          <w:szCs w:val="24"/>
        </w:rPr>
        <w:t xml:space="preserve"> </w:t>
      </w:r>
    </w:p>
    <w:p w14:paraId="6E9FA870" w14:textId="50518980" w:rsidR="00BA0690" w:rsidRPr="006A5C8B" w:rsidRDefault="002950DD" w:rsidP="007656AE">
      <w:pPr>
        <w:pStyle w:val="Heading3"/>
        <w:numPr>
          <w:ilvl w:val="2"/>
          <w:numId w:val="3"/>
        </w:numPr>
        <w:rPr>
          <w:szCs w:val="24"/>
        </w:rPr>
      </w:pPr>
      <w:bookmarkStart w:id="72" w:name="_Toc141646745"/>
      <w:r>
        <w:rPr>
          <w:szCs w:val="24"/>
        </w:rPr>
        <w:t>Return on Equi</w:t>
      </w:r>
      <w:r w:rsidR="0034592D">
        <w:rPr>
          <w:szCs w:val="24"/>
        </w:rPr>
        <w:t>ty</w:t>
      </w:r>
      <w:r w:rsidR="006A5C8B">
        <w:rPr>
          <w:noProof/>
        </w:rPr>
        <w:drawing>
          <wp:anchor distT="0" distB="0" distL="114300" distR="114300" simplePos="0" relativeHeight="251658264" behindDoc="0" locked="0" layoutInCell="1" allowOverlap="1" wp14:anchorId="2C9DA46D" wp14:editId="721470F6">
            <wp:simplePos x="0" y="0"/>
            <wp:positionH relativeFrom="margin">
              <wp:align>center</wp:align>
            </wp:positionH>
            <wp:positionV relativeFrom="paragraph">
              <wp:posOffset>552547</wp:posOffset>
            </wp:positionV>
            <wp:extent cx="6696000" cy="3852000"/>
            <wp:effectExtent l="0" t="0" r="0" b="0"/>
            <wp:wrapTopAndBottom/>
            <wp:docPr id="1565258287" name="Chart 1">
              <a:extLst xmlns:a="http://schemas.openxmlformats.org/drawingml/2006/main">
                <a:ext uri="{FF2B5EF4-FFF2-40B4-BE49-F238E27FC236}">
                  <a16:creationId xmlns:a16="http://schemas.microsoft.com/office/drawing/2014/main" id="{5910990A-F7E1-884B-ABA9-89643617C51F}"/>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40"/>
              </a:graphicData>
            </a:graphic>
            <wp14:sizeRelH relativeFrom="page">
              <wp14:pctWidth>0</wp14:pctWidth>
            </wp14:sizeRelH>
            <wp14:sizeRelV relativeFrom="page">
              <wp14:pctHeight>0</wp14:pctHeight>
            </wp14:sizeRelV>
          </wp:anchor>
        </w:drawing>
      </w:r>
      <w:r w:rsidR="001413ED">
        <w:rPr>
          <w:szCs w:val="24"/>
        </w:rPr>
        <w:t xml:space="preserve"> (RO</w:t>
      </w:r>
      <w:r w:rsidR="008A77E7">
        <w:rPr>
          <w:szCs w:val="24"/>
        </w:rPr>
        <w:t>E)</w:t>
      </w:r>
      <w:bookmarkEnd w:id="72"/>
    </w:p>
    <w:p w14:paraId="0AC45381" w14:textId="1CEAF12A" w:rsidR="0020214E" w:rsidRPr="0020214E" w:rsidRDefault="0020214E" w:rsidP="0020214E">
      <w:pPr>
        <w:spacing w:line="480" w:lineRule="auto"/>
        <w:rPr>
          <w:b/>
          <w:bCs/>
          <w:sz w:val="18"/>
          <w:szCs w:val="18"/>
        </w:rPr>
      </w:pPr>
      <w:r w:rsidRPr="0020214E">
        <w:rPr>
          <w:b/>
          <w:bCs/>
          <w:sz w:val="18"/>
          <w:szCs w:val="18"/>
        </w:rPr>
        <w:t xml:space="preserve">Figure </w:t>
      </w:r>
      <w:r>
        <w:rPr>
          <w:b/>
          <w:bCs/>
          <w:sz w:val="18"/>
          <w:szCs w:val="18"/>
        </w:rPr>
        <w:t>2</w:t>
      </w:r>
      <w:r w:rsidR="00C633C2">
        <w:rPr>
          <w:b/>
          <w:bCs/>
          <w:sz w:val="18"/>
          <w:szCs w:val="18"/>
        </w:rPr>
        <w:t>4</w:t>
      </w:r>
      <w:r w:rsidRPr="0020214E">
        <w:rPr>
          <w:b/>
          <w:bCs/>
          <w:sz w:val="18"/>
          <w:szCs w:val="18"/>
        </w:rPr>
        <w:t xml:space="preserve">. </w:t>
      </w:r>
      <w:r>
        <w:rPr>
          <w:b/>
          <w:bCs/>
          <w:sz w:val="18"/>
          <w:szCs w:val="18"/>
        </w:rPr>
        <w:t>Return on Equ</w:t>
      </w:r>
      <w:r w:rsidR="00D102A5">
        <w:rPr>
          <w:b/>
          <w:bCs/>
          <w:sz w:val="18"/>
          <w:szCs w:val="18"/>
        </w:rPr>
        <w:t>ity (ROE)</w:t>
      </w:r>
      <w:r w:rsidRPr="0020214E">
        <w:rPr>
          <w:b/>
          <w:bCs/>
          <w:sz w:val="18"/>
          <w:szCs w:val="18"/>
        </w:rPr>
        <w:t xml:space="preserve"> financial ratio results for all </w:t>
      </w:r>
      <w:r w:rsidR="00D06C36">
        <w:rPr>
          <w:b/>
          <w:bCs/>
          <w:sz w:val="18"/>
          <w:szCs w:val="18"/>
        </w:rPr>
        <w:t>FTSE 250</w:t>
      </w:r>
      <w:r w:rsidRPr="0020214E">
        <w:rPr>
          <w:b/>
          <w:bCs/>
          <w:sz w:val="18"/>
          <w:szCs w:val="18"/>
        </w:rPr>
        <w:t xml:space="preserve"> industry sectors between 2019 and 2021. </w:t>
      </w:r>
    </w:p>
    <w:p w14:paraId="249F3516" w14:textId="77777777" w:rsidR="0020214E" w:rsidRDefault="0020214E" w:rsidP="00BA0690">
      <w:pPr>
        <w:spacing w:line="480" w:lineRule="auto"/>
        <w:jc w:val="both"/>
        <w:rPr>
          <w:sz w:val="24"/>
          <w:szCs w:val="24"/>
        </w:rPr>
      </w:pPr>
    </w:p>
    <w:p w14:paraId="69940563" w14:textId="3D78CCEB" w:rsidR="00BA0690" w:rsidRPr="00D91518" w:rsidRDefault="008A77E7" w:rsidP="00BA0690">
      <w:pPr>
        <w:spacing w:line="480" w:lineRule="auto"/>
        <w:jc w:val="both"/>
        <w:rPr>
          <w:sz w:val="24"/>
          <w:szCs w:val="24"/>
        </w:rPr>
      </w:pPr>
      <w:r w:rsidRPr="00D91518">
        <w:rPr>
          <w:sz w:val="24"/>
          <w:szCs w:val="24"/>
        </w:rPr>
        <w:lastRenderedPageBreak/>
        <w:t>The return on equity (ROE) ratio</w:t>
      </w:r>
      <w:r w:rsidR="00F055BF" w:rsidRPr="00D91518">
        <w:rPr>
          <w:sz w:val="24"/>
          <w:szCs w:val="24"/>
        </w:rPr>
        <w:t xml:space="preserve"> provides a measure of</w:t>
      </w:r>
      <w:r w:rsidR="006D2F02">
        <w:rPr>
          <w:sz w:val="24"/>
          <w:szCs w:val="24"/>
        </w:rPr>
        <w:t xml:space="preserve"> a</w:t>
      </w:r>
      <w:r w:rsidR="00F055BF" w:rsidRPr="00D91518">
        <w:rPr>
          <w:sz w:val="24"/>
          <w:szCs w:val="24"/>
        </w:rPr>
        <w:t xml:space="preserve"> compan</w:t>
      </w:r>
      <w:r w:rsidR="006D2F02">
        <w:rPr>
          <w:sz w:val="24"/>
          <w:szCs w:val="24"/>
        </w:rPr>
        <w:t>y</w:t>
      </w:r>
      <w:r w:rsidR="00A8275F" w:rsidRPr="00D91518">
        <w:rPr>
          <w:sz w:val="24"/>
          <w:szCs w:val="24"/>
        </w:rPr>
        <w:t xml:space="preserve">’s </w:t>
      </w:r>
      <w:r w:rsidR="00D25902" w:rsidRPr="00D91518">
        <w:rPr>
          <w:sz w:val="24"/>
          <w:szCs w:val="24"/>
        </w:rPr>
        <w:t>profitability</w:t>
      </w:r>
      <w:r w:rsidR="00A8275F" w:rsidRPr="00D91518">
        <w:rPr>
          <w:sz w:val="24"/>
          <w:szCs w:val="24"/>
        </w:rPr>
        <w:t xml:space="preserve"> by calculating</w:t>
      </w:r>
      <w:r w:rsidR="00A95B89" w:rsidRPr="00D91518">
        <w:rPr>
          <w:sz w:val="24"/>
          <w:szCs w:val="24"/>
        </w:rPr>
        <w:t xml:space="preserve"> how much profit has been generated</w:t>
      </w:r>
      <w:r w:rsidR="00D25902" w:rsidRPr="00D91518">
        <w:rPr>
          <w:sz w:val="24"/>
          <w:szCs w:val="24"/>
        </w:rPr>
        <w:t xml:space="preserve"> by the shareholders equity</w:t>
      </w:r>
      <w:r w:rsidR="00570F11">
        <w:rPr>
          <w:sz w:val="24"/>
          <w:szCs w:val="24"/>
        </w:rPr>
        <w:t xml:space="preserve"> (Figure 24.)</w:t>
      </w:r>
      <w:r w:rsidR="00D25902" w:rsidRPr="00D91518">
        <w:rPr>
          <w:sz w:val="24"/>
          <w:szCs w:val="24"/>
        </w:rPr>
        <w:t xml:space="preserve">. </w:t>
      </w:r>
      <w:r w:rsidR="004E56D5" w:rsidRPr="00D91518">
        <w:rPr>
          <w:sz w:val="24"/>
          <w:szCs w:val="24"/>
        </w:rPr>
        <w:t>The higher the ROE, the mo</w:t>
      </w:r>
      <w:r w:rsidR="00D91518">
        <w:rPr>
          <w:sz w:val="24"/>
          <w:szCs w:val="24"/>
        </w:rPr>
        <w:t>r</w:t>
      </w:r>
      <w:r w:rsidR="004E56D5" w:rsidRPr="00D91518">
        <w:rPr>
          <w:sz w:val="24"/>
          <w:szCs w:val="24"/>
        </w:rPr>
        <w:t xml:space="preserve">e efficiently the company/sector is acting to </w:t>
      </w:r>
      <w:r w:rsidR="00FC3961" w:rsidRPr="00D91518">
        <w:rPr>
          <w:sz w:val="24"/>
          <w:szCs w:val="24"/>
        </w:rPr>
        <w:t xml:space="preserve">generate profits. </w:t>
      </w:r>
      <w:r w:rsidR="005A3A5F">
        <w:rPr>
          <w:sz w:val="24"/>
          <w:szCs w:val="24"/>
        </w:rPr>
        <w:t>Four sectors showed positive ROE each year between 2019 and 2021 (</w:t>
      </w:r>
      <w:r w:rsidR="00447438">
        <w:rPr>
          <w:sz w:val="24"/>
          <w:szCs w:val="24"/>
        </w:rPr>
        <w:t xml:space="preserve">financials, technology, basic materials and consumer staples) each demonstrating a decline in ROE during 2020 before recovering in 2021. </w:t>
      </w:r>
      <w:r w:rsidR="00EF24EC">
        <w:rPr>
          <w:sz w:val="24"/>
          <w:szCs w:val="24"/>
        </w:rPr>
        <w:t>The telecommunications sector was the only sector to show negative ROE each year between 2019 and 2021,</w:t>
      </w:r>
      <w:r w:rsidR="00A84603">
        <w:rPr>
          <w:sz w:val="24"/>
          <w:szCs w:val="24"/>
        </w:rPr>
        <w:t xml:space="preserve"> however showed </w:t>
      </w:r>
      <w:r w:rsidR="00922E8A">
        <w:rPr>
          <w:sz w:val="24"/>
          <w:szCs w:val="24"/>
        </w:rPr>
        <w:t>an</w:t>
      </w:r>
      <w:r w:rsidR="00A84603">
        <w:rPr>
          <w:sz w:val="24"/>
          <w:szCs w:val="24"/>
        </w:rPr>
        <w:t xml:space="preserve"> increase of 24.71% from -29.3%</w:t>
      </w:r>
      <w:r w:rsidR="00E06118">
        <w:rPr>
          <w:sz w:val="24"/>
          <w:szCs w:val="24"/>
        </w:rPr>
        <w:t xml:space="preserve"> in 2019 to -4.6% in 2020, before declining by </w:t>
      </w:r>
      <w:r w:rsidR="00AC10EF">
        <w:rPr>
          <w:sz w:val="24"/>
          <w:szCs w:val="24"/>
        </w:rPr>
        <w:t xml:space="preserve">31.97% to -36.5% in 2021. </w:t>
      </w:r>
      <w:r w:rsidR="00D84EA7">
        <w:rPr>
          <w:sz w:val="24"/>
          <w:szCs w:val="24"/>
        </w:rPr>
        <w:t xml:space="preserve">Both the consumer </w:t>
      </w:r>
      <w:r w:rsidR="007805F6">
        <w:rPr>
          <w:sz w:val="24"/>
          <w:szCs w:val="24"/>
        </w:rPr>
        <w:t>discretionary</w:t>
      </w:r>
      <w:r w:rsidR="00D84EA7">
        <w:rPr>
          <w:sz w:val="24"/>
          <w:szCs w:val="24"/>
        </w:rPr>
        <w:t xml:space="preserve"> and health care sector showed </w:t>
      </w:r>
      <w:r w:rsidR="007C55DD">
        <w:rPr>
          <w:sz w:val="24"/>
          <w:szCs w:val="24"/>
        </w:rPr>
        <w:t xml:space="preserve">significant declines in ROE between 2019 and 2020 (Consumer Discretionary: 9.2% to -127.3% Health Care: 9.1% to </w:t>
      </w:r>
      <w:r w:rsidR="007805F6">
        <w:rPr>
          <w:sz w:val="24"/>
          <w:szCs w:val="24"/>
        </w:rPr>
        <w:t>-40.9%), indicating that profitability was heavily impacted in 2020, however recovered in 2021</w:t>
      </w:r>
      <w:r w:rsidR="004F46BA">
        <w:rPr>
          <w:sz w:val="24"/>
          <w:szCs w:val="24"/>
        </w:rPr>
        <w:t xml:space="preserve"> to above 2019 ROE</w:t>
      </w:r>
      <w:r w:rsidR="00172A3B">
        <w:rPr>
          <w:sz w:val="24"/>
          <w:szCs w:val="24"/>
        </w:rPr>
        <w:t xml:space="preserve"> at 16.1% and 25.2% respectively. </w:t>
      </w:r>
      <w:r w:rsidR="007E2CBF">
        <w:rPr>
          <w:sz w:val="24"/>
          <w:szCs w:val="24"/>
        </w:rPr>
        <w:t xml:space="preserve">The utilities sector </w:t>
      </w:r>
      <w:r w:rsidR="00636549">
        <w:rPr>
          <w:sz w:val="24"/>
          <w:szCs w:val="24"/>
        </w:rPr>
        <w:t xml:space="preserve">showed continually improving ROE </w:t>
      </w:r>
      <w:r w:rsidR="0045499A">
        <w:rPr>
          <w:sz w:val="24"/>
          <w:szCs w:val="24"/>
        </w:rPr>
        <w:t xml:space="preserve">with a substantial improvement </w:t>
      </w:r>
      <w:r w:rsidR="00636549">
        <w:rPr>
          <w:sz w:val="24"/>
          <w:szCs w:val="24"/>
        </w:rPr>
        <w:t xml:space="preserve">across the </w:t>
      </w:r>
      <w:r w:rsidR="0023166C">
        <w:rPr>
          <w:sz w:val="24"/>
          <w:szCs w:val="24"/>
        </w:rPr>
        <w:t>3-year</w:t>
      </w:r>
      <w:r w:rsidR="00636549">
        <w:rPr>
          <w:sz w:val="24"/>
          <w:szCs w:val="24"/>
        </w:rPr>
        <w:t xml:space="preserve"> period</w:t>
      </w:r>
      <w:r w:rsidR="0045499A">
        <w:rPr>
          <w:sz w:val="24"/>
          <w:szCs w:val="24"/>
        </w:rPr>
        <w:t xml:space="preserve"> of 42.</w:t>
      </w:r>
      <w:r w:rsidR="00EF750A">
        <w:rPr>
          <w:sz w:val="24"/>
          <w:szCs w:val="24"/>
        </w:rPr>
        <w:t xml:space="preserve">5% from -19.1% in 2019 to 23.4% in 2021. </w:t>
      </w:r>
    </w:p>
    <w:p w14:paraId="5F561CAA" w14:textId="07C384B8" w:rsidR="002950DD" w:rsidRDefault="00EF750A" w:rsidP="007656AE">
      <w:pPr>
        <w:pStyle w:val="Heading3"/>
        <w:numPr>
          <w:ilvl w:val="2"/>
          <w:numId w:val="3"/>
        </w:numPr>
        <w:rPr>
          <w:szCs w:val="24"/>
        </w:rPr>
      </w:pPr>
      <w:bookmarkStart w:id="73" w:name="OLE_LINK10"/>
      <w:bookmarkStart w:id="74" w:name="OLE_LINK11"/>
      <w:bookmarkStart w:id="75" w:name="_Toc141646746"/>
      <w:r>
        <w:rPr>
          <w:noProof/>
        </w:rPr>
        <w:lastRenderedPageBreak/>
        <w:drawing>
          <wp:anchor distT="0" distB="0" distL="114300" distR="114300" simplePos="0" relativeHeight="251658265" behindDoc="0" locked="0" layoutInCell="1" allowOverlap="1" wp14:anchorId="30F2F4F0" wp14:editId="23DBE3E6">
            <wp:simplePos x="0" y="0"/>
            <wp:positionH relativeFrom="margin">
              <wp:posOffset>-482600</wp:posOffset>
            </wp:positionH>
            <wp:positionV relativeFrom="paragraph">
              <wp:posOffset>414655</wp:posOffset>
            </wp:positionV>
            <wp:extent cx="6695440" cy="3851910"/>
            <wp:effectExtent l="0" t="0" r="0" b="0"/>
            <wp:wrapTopAndBottom/>
            <wp:docPr id="1638382816" name="Chart 1">
              <a:extLst xmlns:a="http://schemas.openxmlformats.org/drawingml/2006/main">
                <a:ext uri="{FF2B5EF4-FFF2-40B4-BE49-F238E27FC236}">
                  <a16:creationId xmlns:a16="http://schemas.microsoft.com/office/drawing/2014/main" id="{0A014476-F55A-864C-8E64-CB7BB8AC44E5}"/>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41"/>
              </a:graphicData>
            </a:graphic>
            <wp14:sizeRelH relativeFrom="page">
              <wp14:pctWidth>0</wp14:pctWidth>
            </wp14:sizeRelH>
            <wp14:sizeRelV relativeFrom="page">
              <wp14:pctHeight>0</wp14:pctHeight>
            </wp14:sizeRelV>
          </wp:anchor>
        </w:drawing>
      </w:r>
      <w:r w:rsidR="0034592D">
        <w:rPr>
          <w:szCs w:val="24"/>
        </w:rPr>
        <w:t>P</w:t>
      </w:r>
      <w:r w:rsidR="00CB3659">
        <w:rPr>
          <w:szCs w:val="24"/>
        </w:rPr>
        <w:t>/</w:t>
      </w:r>
      <w:r w:rsidR="0034592D">
        <w:rPr>
          <w:szCs w:val="24"/>
        </w:rPr>
        <w:t>E Ratio</w:t>
      </w:r>
      <w:bookmarkEnd w:id="75"/>
    </w:p>
    <w:p w14:paraId="17A6B8BF" w14:textId="3BD3C9B3" w:rsidR="00BA0690" w:rsidRPr="00D102A5" w:rsidRDefault="00D102A5" w:rsidP="00D102A5">
      <w:pPr>
        <w:spacing w:line="480" w:lineRule="auto"/>
        <w:rPr>
          <w:b/>
          <w:bCs/>
          <w:sz w:val="18"/>
          <w:szCs w:val="18"/>
        </w:rPr>
      </w:pPr>
      <w:r w:rsidRPr="00D102A5">
        <w:rPr>
          <w:b/>
          <w:bCs/>
          <w:sz w:val="18"/>
          <w:szCs w:val="18"/>
        </w:rPr>
        <w:t xml:space="preserve">Figure </w:t>
      </w:r>
      <w:r>
        <w:rPr>
          <w:b/>
          <w:bCs/>
          <w:sz w:val="18"/>
          <w:szCs w:val="18"/>
        </w:rPr>
        <w:t>2</w:t>
      </w:r>
      <w:r w:rsidR="00C633C2">
        <w:rPr>
          <w:b/>
          <w:bCs/>
          <w:sz w:val="18"/>
          <w:szCs w:val="18"/>
        </w:rPr>
        <w:t>5</w:t>
      </w:r>
      <w:r w:rsidRPr="00D102A5">
        <w:rPr>
          <w:b/>
          <w:bCs/>
          <w:sz w:val="18"/>
          <w:szCs w:val="18"/>
        </w:rPr>
        <w:t xml:space="preserve">. </w:t>
      </w:r>
      <w:r>
        <w:rPr>
          <w:b/>
          <w:bCs/>
          <w:sz w:val="18"/>
          <w:szCs w:val="18"/>
        </w:rPr>
        <w:t>P/E Ratio</w:t>
      </w:r>
      <w:r w:rsidRPr="00D102A5">
        <w:rPr>
          <w:b/>
          <w:bCs/>
          <w:sz w:val="18"/>
          <w:szCs w:val="18"/>
        </w:rPr>
        <w:t xml:space="preserve"> financial ratio results for all </w:t>
      </w:r>
      <w:r w:rsidR="00D06C36">
        <w:rPr>
          <w:b/>
          <w:bCs/>
          <w:sz w:val="18"/>
          <w:szCs w:val="18"/>
        </w:rPr>
        <w:t>FTSE 250</w:t>
      </w:r>
      <w:r w:rsidRPr="00D102A5">
        <w:rPr>
          <w:b/>
          <w:bCs/>
          <w:sz w:val="18"/>
          <w:szCs w:val="18"/>
        </w:rPr>
        <w:t xml:space="preserve"> industry sectors between 2019 and 2021. </w:t>
      </w:r>
    </w:p>
    <w:p w14:paraId="5E0241E4" w14:textId="73379D97" w:rsidR="00BA0690" w:rsidRPr="00BA0690" w:rsidRDefault="00BA0690" w:rsidP="00BA0690">
      <w:pPr>
        <w:spacing w:line="480" w:lineRule="auto"/>
        <w:jc w:val="both"/>
      </w:pPr>
      <w:r w:rsidRPr="00BA0690">
        <w:rPr>
          <w:sz w:val="24"/>
          <w:szCs w:val="24"/>
        </w:rPr>
        <w:t>Th</w:t>
      </w:r>
      <w:r w:rsidR="00A504B7">
        <w:rPr>
          <w:sz w:val="24"/>
          <w:szCs w:val="24"/>
        </w:rPr>
        <w:t>e Price-to-Earnings (P/E) ratio</w:t>
      </w:r>
      <w:r w:rsidR="00860314">
        <w:rPr>
          <w:sz w:val="24"/>
          <w:szCs w:val="24"/>
        </w:rPr>
        <w:t xml:space="preserve"> is used to compare </w:t>
      </w:r>
      <w:r w:rsidR="006D2F02">
        <w:rPr>
          <w:sz w:val="24"/>
          <w:szCs w:val="24"/>
        </w:rPr>
        <w:t xml:space="preserve">a </w:t>
      </w:r>
      <w:r w:rsidR="00860314">
        <w:rPr>
          <w:sz w:val="24"/>
          <w:szCs w:val="24"/>
        </w:rPr>
        <w:t>compan</w:t>
      </w:r>
      <w:r w:rsidR="006D2F02">
        <w:rPr>
          <w:sz w:val="24"/>
          <w:szCs w:val="24"/>
        </w:rPr>
        <w:t>y’s</w:t>
      </w:r>
      <w:r w:rsidR="00860314">
        <w:rPr>
          <w:sz w:val="24"/>
          <w:szCs w:val="24"/>
        </w:rPr>
        <w:t xml:space="preserve"> current </w:t>
      </w:r>
      <w:r w:rsidR="00A86AE3">
        <w:rPr>
          <w:sz w:val="24"/>
          <w:szCs w:val="24"/>
        </w:rPr>
        <w:t xml:space="preserve">share price to </w:t>
      </w:r>
      <w:r w:rsidR="00B91A87">
        <w:rPr>
          <w:sz w:val="24"/>
          <w:szCs w:val="24"/>
        </w:rPr>
        <w:t>its</w:t>
      </w:r>
      <w:r w:rsidR="00A86AE3">
        <w:rPr>
          <w:sz w:val="24"/>
          <w:szCs w:val="24"/>
        </w:rPr>
        <w:t xml:space="preserve"> Earnings per Share (EPS), </w:t>
      </w:r>
      <w:r w:rsidR="00B06297">
        <w:rPr>
          <w:sz w:val="24"/>
          <w:szCs w:val="24"/>
        </w:rPr>
        <w:t>a higher ratio indicates that</w:t>
      </w:r>
      <w:r w:rsidR="0008290A">
        <w:rPr>
          <w:sz w:val="24"/>
          <w:szCs w:val="24"/>
        </w:rPr>
        <w:t xml:space="preserve"> either</w:t>
      </w:r>
      <w:r w:rsidR="00B06297">
        <w:rPr>
          <w:sz w:val="24"/>
          <w:szCs w:val="24"/>
        </w:rPr>
        <w:t xml:space="preserve"> the market is willing to pay a premium for the </w:t>
      </w:r>
      <w:r w:rsidR="0008290A">
        <w:rPr>
          <w:sz w:val="24"/>
          <w:szCs w:val="24"/>
        </w:rPr>
        <w:t>company</w:t>
      </w:r>
      <w:r w:rsidR="00B736AE">
        <w:rPr>
          <w:sz w:val="24"/>
          <w:szCs w:val="24"/>
        </w:rPr>
        <w:t xml:space="preserve"> </w:t>
      </w:r>
      <w:r w:rsidR="00B91A87">
        <w:rPr>
          <w:sz w:val="24"/>
          <w:szCs w:val="24"/>
        </w:rPr>
        <w:t xml:space="preserve">expecting high growth rates </w:t>
      </w:r>
      <w:r w:rsidR="00B736AE">
        <w:rPr>
          <w:sz w:val="24"/>
          <w:szCs w:val="24"/>
        </w:rPr>
        <w:t xml:space="preserve">or it is </w:t>
      </w:r>
      <w:r w:rsidR="00AF01F7">
        <w:rPr>
          <w:sz w:val="24"/>
          <w:szCs w:val="24"/>
        </w:rPr>
        <w:t>possibly</w:t>
      </w:r>
      <w:r w:rsidR="00B736AE">
        <w:rPr>
          <w:sz w:val="24"/>
          <w:szCs w:val="24"/>
        </w:rPr>
        <w:t xml:space="preserve"> overvalued</w:t>
      </w:r>
      <w:r w:rsidR="00570F11">
        <w:rPr>
          <w:sz w:val="24"/>
          <w:szCs w:val="24"/>
        </w:rPr>
        <w:t xml:space="preserve"> (Figure 25.)</w:t>
      </w:r>
      <w:r w:rsidR="00B736AE">
        <w:rPr>
          <w:sz w:val="24"/>
          <w:szCs w:val="24"/>
        </w:rPr>
        <w:t xml:space="preserve">. </w:t>
      </w:r>
      <w:r w:rsidR="00217F2B">
        <w:rPr>
          <w:sz w:val="24"/>
          <w:szCs w:val="24"/>
        </w:rPr>
        <w:t xml:space="preserve">Nine of the eleven sectors saw declines in their P/E ratios between 2019 and 2020, with the </w:t>
      </w:r>
      <w:r w:rsidR="00D14249">
        <w:rPr>
          <w:sz w:val="24"/>
          <w:szCs w:val="24"/>
        </w:rPr>
        <w:t>most impact seen in the Consumer Discretionary (569.40 to 45.52),</w:t>
      </w:r>
      <w:r w:rsidR="00CF5E10">
        <w:rPr>
          <w:sz w:val="24"/>
          <w:szCs w:val="24"/>
        </w:rPr>
        <w:t xml:space="preserve"> Utilities (733.85 to 8.18) and Health Care (131.98 to -2.25) sectors</w:t>
      </w:r>
      <w:r w:rsidR="00850ABE">
        <w:rPr>
          <w:sz w:val="24"/>
          <w:szCs w:val="24"/>
        </w:rPr>
        <w:t xml:space="preserve">, with only the </w:t>
      </w:r>
      <w:r w:rsidR="006336E4">
        <w:rPr>
          <w:sz w:val="24"/>
          <w:szCs w:val="24"/>
        </w:rPr>
        <w:t xml:space="preserve">consumer discretionary sector not showing a recovery from 2020 to 2021. </w:t>
      </w:r>
      <w:r w:rsidR="00696B9D">
        <w:rPr>
          <w:sz w:val="24"/>
          <w:szCs w:val="24"/>
        </w:rPr>
        <w:t xml:space="preserve">Five of the sectors </w:t>
      </w:r>
      <w:r w:rsidR="0042344A">
        <w:rPr>
          <w:sz w:val="24"/>
          <w:szCs w:val="24"/>
        </w:rPr>
        <w:t>reported negative P/E ratios in 2020 indicating losses for this year, but all apart from the energy sector</w:t>
      </w:r>
      <w:r w:rsidR="000E42ED">
        <w:rPr>
          <w:sz w:val="24"/>
          <w:szCs w:val="24"/>
        </w:rPr>
        <w:t xml:space="preserve"> recovered to a positive P/E ratio for 2021. </w:t>
      </w:r>
      <w:r w:rsidR="004859CF">
        <w:rPr>
          <w:sz w:val="24"/>
          <w:szCs w:val="24"/>
        </w:rPr>
        <w:t xml:space="preserve">Two sectors showed </w:t>
      </w:r>
      <w:r w:rsidR="00807B23">
        <w:rPr>
          <w:sz w:val="24"/>
          <w:szCs w:val="24"/>
        </w:rPr>
        <w:t>increases in the P/E ratio between</w:t>
      </w:r>
      <w:r w:rsidR="00C73253">
        <w:rPr>
          <w:sz w:val="24"/>
          <w:szCs w:val="24"/>
        </w:rPr>
        <w:t xml:space="preserve"> 2019 and 2020, </w:t>
      </w:r>
      <w:r w:rsidR="00F67BD9">
        <w:rPr>
          <w:sz w:val="24"/>
          <w:szCs w:val="24"/>
        </w:rPr>
        <w:t xml:space="preserve">industrials from by 297.28 from 14.29 to 311.57 and </w:t>
      </w:r>
      <w:r w:rsidR="007F5825">
        <w:rPr>
          <w:sz w:val="24"/>
          <w:szCs w:val="24"/>
        </w:rPr>
        <w:t xml:space="preserve">basic materials </w:t>
      </w:r>
      <w:r w:rsidR="00E1782D">
        <w:rPr>
          <w:sz w:val="24"/>
          <w:szCs w:val="24"/>
        </w:rPr>
        <w:t xml:space="preserve">by </w:t>
      </w:r>
      <w:r w:rsidR="003163D8">
        <w:rPr>
          <w:sz w:val="24"/>
          <w:szCs w:val="24"/>
        </w:rPr>
        <w:t xml:space="preserve">76.29 from 11.78 to 88.07. Both of these sectors showed declines in their P/E ratios </w:t>
      </w:r>
      <w:r w:rsidR="003B3372">
        <w:rPr>
          <w:sz w:val="24"/>
          <w:szCs w:val="24"/>
        </w:rPr>
        <w:t xml:space="preserve">from 2020 to </w:t>
      </w:r>
      <w:r w:rsidR="003B3372">
        <w:rPr>
          <w:sz w:val="24"/>
          <w:szCs w:val="24"/>
        </w:rPr>
        <w:lastRenderedPageBreak/>
        <w:t xml:space="preserve">2021, with </w:t>
      </w:r>
      <w:r w:rsidR="00A54A40">
        <w:rPr>
          <w:sz w:val="24"/>
          <w:szCs w:val="24"/>
        </w:rPr>
        <w:t>industrials</w:t>
      </w:r>
      <w:r w:rsidR="003B3372">
        <w:rPr>
          <w:sz w:val="24"/>
          <w:szCs w:val="24"/>
        </w:rPr>
        <w:t xml:space="preserve"> being the most affected, falling by 288.90 to 22.67, with basic materials falling </w:t>
      </w:r>
      <w:r w:rsidR="00A54A40">
        <w:rPr>
          <w:sz w:val="24"/>
          <w:szCs w:val="24"/>
        </w:rPr>
        <w:t xml:space="preserve">27.18 to 60.89. </w:t>
      </w:r>
    </w:p>
    <w:p w14:paraId="7B4D8F5E" w14:textId="058DABA1" w:rsidR="002950DD" w:rsidRDefault="00D102A5" w:rsidP="007656AE">
      <w:pPr>
        <w:pStyle w:val="Heading3"/>
        <w:numPr>
          <w:ilvl w:val="2"/>
          <w:numId w:val="3"/>
        </w:numPr>
        <w:rPr>
          <w:szCs w:val="24"/>
        </w:rPr>
      </w:pPr>
      <w:bookmarkStart w:id="76" w:name="_Toc141646747"/>
      <w:bookmarkEnd w:id="73"/>
      <w:bookmarkEnd w:id="74"/>
      <w:r>
        <w:rPr>
          <w:noProof/>
        </w:rPr>
        <w:drawing>
          <wp:anchor distT="0" distB="0" distL="114300" distR="114300" simplePos="0" relativeHeight="251658266" behindDoc="0" locked="0" layoutInCell="1" allowOverlap="1" wp14:anchorId="4021F4B6" wp14:editId="2EA853E5">
            <wp:simplePos x="0" y="0"/>
            <wp:positionH relativeFrom="margin">
              <wp:posOffset>-483870</wp:posOffset>
            </wp:positionH>
            <wp:positionV relativeFrom="paragraph">
              <wp:posOffset>296545</wp:posOffset>
            </wp:positionV>
            <wp:extent cx="6696000" cy="3852000"/>
            <wp:effectExtent l="0" t="0" r="0" b="0"/>
            <wp:wrapTopAndBottom/>
            <wp:docPr id="863388603" name="Chart 1">
              <a:extLst xmlns:a="http://schemas.openxmlformats.org/drawingml/2006/main">
                <a:ext uri="{FF2B5EF4-FFF2-40B4-BE49-F238E27FC236}">
                  <a16:creationId xmlns:a16="http://schemas.microsoft.com/office/drawing/2014/main" id="{D9DEFB80-9D7A-564A-A7B1-B821EBFA80FD}"/>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42"/>
              </a:graphicData>
            </a:graphic>
            <wp14:sizeRelH relativeFrom="page">
              <wp14:pctWidth>0</wp14:pctWidth>
            </wp14:sizeRelH>
            <wp14:sizeRelV relativeFrom="page">
              <wp14:pctHeight>0</wp14:pctHeight>
            </wp14:sizeRelV>
          </wp:anchor>
        </w:drawing>
      </w:r>
      <w:r w:rsidR="0034592D">
        <w:rPr>
          <w:szCs w:val="24"/>
        </w:rPr>
        <w:t>Market Share Price</w:t>
      </w:r>
      <w:bookmarkEnd w:id="76"/>
    </w:p>
    <w:p w14:paraId="3CAB0EBA" w14:textId="27B6645B" w:rsidR="00BA0690" w:rsidRPr="00D102A5" w:rsidRDefault="00D102A5" w:rsidP="00D102A5">
      <w:pPr>
        <w:spacing w:line="480" w:lineRule="auto"/>
        <w:rPr>
          <w:b/>
          <w:bCs/>
          <w:sz w:val="18"/>
          <w:szCs w:val="18"/>
        </w:rPr>
      </w:pPr>
      <w:r w:rsidRPr="00D102A5">
        <w:rPr>
          <w:b/>
          <w:bCs/>
          <w:sz w:val="18"/>
          <w:szCs w:val="18"/>
        </w:rPr>
        <w:t xml:space="preserve">Figure </w:t>
      </w:r>
      <w:r>
        <w:rPr>
          <w:b/>
          <w:bCs/>
          <w:sz w:val="18"/>
          <w:szCs w:val="18"/>
        </w:rPr>
        <w:t>2</w:t>
      </w:r>
      <w:r w:rsidR="00C633C2">
        <w:rPr>
          <w:b/>
          <w:bCs/>
          <w:sz w:val="18"/>
          <w:szCs w:val="18"/>
        </w:rPr>
        <w:t>6</w:t>
      </w:r>
      <w:r w:rsidRPr="00D102A5">
        <w:rPr>
          <w:b/>
          <w:bCs/>
          <w:sz w:val="18"/>
          <w:szCs w:val="18"/>
        </w:rPr>
        <w:t xml:space="preserve">. </w:t>
      </w:r>
      <w:r>
        <w:rPr>
          <w:b/>
          <w:bCs/>
          <w:sz w:val="18"/>
          <w:szCs w:val="18"/>
        </w:rPr>
        <w:t>Market Share Price</w:t>
      </w:r>
      <w:r w:rsidRPr="00D102A5">
        <w:rPr>
          <w:b/>
          <w:bCs/>
          <w:sz w:val="18"/>
          <w:szCs w:val="18"/>
        </w:rPr>
        <w:t xml:space="preserve"> financial ratio results for all </w:t>
      </w:r>
      <w:r w:rsidR="00D06C36">
        <w:rPr>
          <w:b/>
          <w:bCs/>
          <w:sz w:val="18"/>
          <w:szCs w:val="18"/>
        </w:rPr>
        <w:t>FTSE 250</w:t>
      </w:r>
      <w:r w:rsidRPr="00D102A5">
        <w:rPr>
          <w:b/>
          <w:bCs/>
          <w:sz w:val="18"/>
          <w:szCs w:val="18"/>
        </w:rPr>
        <w:t xml:space="preserve"> industry sectors between 2019 and 2021. </w:t>
      </w:r>
    </w:p>
    <w:p w14:paraId="5309DE89" w14:textId="28DEA975" w:rsidR="00BA0690" w:rsidRPr="00BA0690" w:rsidRDefault="00C062E9" w:rsidP="00BA0690">
      <w:pPr>
        <w:spacing w:line="480" w:lineRule="auto"/>
        <w:jc w:val="both"/>
      </w:pPr>
      <w:r>
        <w:rPr>
          <w:sz w:val="24"/>
          <w:szCs w:val="24"/>
        </w:rPr>
        <w:t xml:space="preserve">These average market share prices </w:t>
      </w:r>
      <w:r w:rsidR="00D21089">
        <w:rPr>
          <w:sz w:val="24"/>
          <w:szCs w:val="24"/>
        </w:rPr>
        <w:t>for each sector were</w:t>
      </w:r>
      <w:r>
        <w:rPr>
          <w:sz w:val="24"/>
          <w:szCs w:val="24"/>
        </w:rPr>
        <w:t xml:space="preserve"> </w:t>
      </w:r>
      <w:r w:rsidR="007541F5">
        <w:rPr>
          <w:sz w:val="24"/>
          <w:szCs w:val="24"/>
        </w:rPr>
        <w:t>utilised</w:t>
      </w:r>
      <w:r>
        <w:rPr>
          <w:sz w:val="24"/>
          <w:szCs w:val="24"/>
        </w:rPr>
        <w:t xml:space="preserve"> in ratio calculations</w:t>
      </w:r>
      <w:r w:rsidR="0054405A">
        <w:rPr>
          <w:sz w:val="24"/>
          <w:szCs w:val="24"/>
        </w:rPr>
        <w:t xml:space="preserve"> however when charted, give an indication to well preforming sectors on the </w:t>
      </w:r>
      <w:r w:rsidR="007541F5">
        <w:rPr>
          <w:sz w:val="24"/>
          <w:szCs w:val="24"/>
        </w:rPr>
        <w:t xml:space="preserve">markets, with the general trend following the </w:t>
      </w:r>
      <w:r w:rsidR="00D06C36">
        <w:rPr>
          <w:sz w:val="24"/>
          <w:szCs w:val="24"/>
        </w:rPr>
        <w:t>FTSE 250</w:t>
      </w:r>
      <w:r w:rsidR="007541F5">
        <w:rPr>
          <w:sz w:val="24"/>
          <w:szCs w:val="24"/>
        </w:rPr>
        <w:t xml:space="preserve"> index trend previously </w:t>
      </w:r>
      <w:r w:rsidR="00D21089">
        <w:rPr>
          <w:sz w:val="24"/>
          <w:szCs w:val="24"/>
        </w:rPr>
        <w:t>discussed</w:t>
      </w:r>
      <w:r w:rsidR="00570F11">
        <w:rPr>
          <w:sz w:val="24"/>
          <w:szCs w:val="24"/>
        </w:rPr>
        <w:t xml:space="preserve"> (Figure 26.)</w:t>
      </w:r>
      <w:r w:rsidR="00D21089">
        <w:rPr>
          <w:sz w:val="24"/>
          <w:szCs w:val="24"/>
        </w:rPr>
        <w:t xml:space="preserve">. Overall price data suggests a positive trend in the market after the COVID-19 impact on the 2020 year. </w:t>
      </w:r>
      <w:r w:rsidR="0037034E">
        <w:rPr>
          <w:sz w:val="24"/>
          <w:szCs w:val="24"/>
        </w:rPr>
        <w:t xml:space="preserve">The </w:t>
      </w:r>
      <w:r w:rsidR="001E3902">
        <w:rPr>
          <w:sz w:val="24"/>
          <w:szCs w:val="24"/>
        </w:rPr>
        <w:t xml:space="preserve">larger ‘utilities’ sectors covered by the telecommunications, utilities and energy sectors showed the </w:t>
      </w:r>
      <w:r w:rsidR="008E7487">
        <w:rPr>
          <w:sz w:val="24"/>
          <w:szCs w:val="24"/>
        </w:rPr>
        <w:t xml:space="preserve">smallest increases in share price </w:t>
      </w:r>
      <w:r w:rsidR="003D6E90">
        <w:rPr>
          <w:sz w:val="24"/>
          <w:szCs w:val="24"/>
        </w:rPr>
        <w:t xml:space="preserve">indicating relative stability and lower impact. The </w:t>
      </w:r>
      <w:r w:rsidR="00FF5971">
        <w:rPr>
          <w:sz w:val="24"/>
          <w:szCs w:val="24"/>
        </w:rPr>
        <w:t xml:space="preserve">consumer discretionary sector showed the largest decrease in price (£1.13) between 2019 and 2020, as consumers reduced </w:t>
      </w:r>
      <w:r w:rsidR="00382FFE">
        <w:rPr>
          <w:sz w:val="24"/>
          <w:szCs w:val="24"/>
        </w:rPr>
        <w:t xml:space="preserve">non-essential purchases due to the COVID-19 uncertainty. </w:t>
      </w:r>
      <w:r w:rsidR="0008612E">
        <w:rPr>
          <w:sz w:val="24"/>
          <w:szCs w:val="24"/>
        </w:rPr>
        <w:t xml:space="preserve">The health care sector showed a </w:t>
      </w:r>
      <w:r w:rsidR="0043168D">
        <w:rPr>
          <w:sz w:val="24"/>
          <w:szCs w:val="24"/>
        </w:rPr>
        <w:t>substantial</w:t>
      </w:r>
      <w:r w:rsidR="0008612E">
        <w:rPr>
          <w:sz w:val="24"/>
          <w:szCs w:val="24"/>
        </w:rPr>
        <w:t xml:space="preserve"> increase of </w:t>
      </w:r>
      <w:r w:rsidR="0043168D">
        <w:rPr>
          <w:sz w:val="24"/>
          <w:szCs w:val="24"/>
        </w:rPr>
        <w:t xml:space="preserve">£1.68 from </w:t>
      </w:r>
      <w:r w:rsidR="0043168D">
        <w:rPr>
          <w:sz w:val="24"/>
          <w:szCs w:val="24"/>
        </w:rPr>
        <w:lastRenderedPageBreak/>
        <w:t xml:space="preserve">2019 to 2020 as the COVID-19 pandemic increased demand for this sectors services, and as the pandemic </w:t>
      </w:r>
      <w:r w:rsidR="005A57FD">
        <w:rPr>
          <w:sz w:val="24"/>
          <w:szCs w:val="24"/>
        </w:rPr>
        <w:t xml:space="preserve">progressed from 2020 to 2021, the consumer discretionary, technology, industrials and heath care sectors continued to see increasing demand with share prices increasing </w:t>
      </w:r>
      <w:r w:rsidR="00EB165C">
        <w:rPr>
          <w:sz w:val="24"/>
          <w:szCs w:val="24"/>
        </w:rPr>
        <w:t>by an average of £3.35.</w:t>
      </w:r>
    </w:p>
    <w:p w14:paraId="75216BD0" w14:textId="10450471" w:rsidR="00524BCA" w:rsidRDefault="00234D2F" w:rsidP="007656AE">
      <w:pPr>
        <w:pStyle w:val="Heading2"/>
        <w:numPr>
          <w:ilvl w:val="1"/>
          <w:numId w:val="3"/>
        </w:numPr>
        <w:spacing w:line="480" w:lineRule="auto"/>
        <w:jc w:val="both"/>
        <w:rPr>
          <w:szCs w:val="24"/>
        </w:rPr>
      </w:pPr>
      <w:bookmarkStart w:id="77" w:name="_Toc141646748"/>
      <w:r>
        <w:rPr>
          <w:szCs w:val="24"/>
        </w:rPr>
        <w:t>Gearing</w:t>
      </w:r>
      <w:bookmarkEnd w:id="77"/>
    </w:p>
    <w:p w14:paraId="26110565" w14:textId="0610457A" w:rsidR="0034592D" w:rsidRDefault="00DA7C98" w:rsidP="007656AE">
      <w:pPr>
        <w:pStyle w:val="Heading3"/>
        <w:numPr>
          <w:ilvl w:val="2"/>
          <w:numId w:val="3"/>
        </w:numPr>
        <w:rPr>
          <w:szCs w:val="24"/>
        </w:rPr>
      </w:pPr>
      <w:bookmarkStart w:id="78" w:name="_Toc141646749"/>
      <w:r>
        <w:rPr>
          <w:noProof/>
        </w:rPr>
        <w:drawing>
          <wp:anchor distT="0" distB="0" distL="114300" distR="114300" simplePos="0" relativeHeight="251658267" behindDoc="0" locked="0" layoutInCell="1" allowOverlap="1" wp14:anchorId="5649C1C8" wp14:editId="38C5A218">
            <wp:simplePos x="0" y="0"/>
            <wp:positionH relativeFrom="margin">
              <wp:align>center</wp:align>
            </wp:positionH>
            <wp:positionV relativeFrom="paragraph">
              <wp:posOffset>552450</wp:posOffset>
            </wp:positionV>
            <wp:extent cx="6695440" cy="3851910"/>
            <wp:effectExtent l="0" t="0" r="0" b="0"/>
            <wp:wrapTopAndBottom/>
            <wp:docPr id="2119721019" name="Chart 1">
              <a:extLst xmlns:a="http://schemas.openxmlformats.org/drawingml/2006/main">
                <a:ext uri="{FF2B5EF4-FFF2-40B4-BE49-F238E27FC236}">
                  <a16:creationId xmlns:a16="http://schemas.microsoft.com/office/drawing/2014/main" id="{052EF71C-9470-7246-AD82-95277AFE75B4}"/>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43"/>
              </a:graphicData>
            </a:graphic>
            <wp14:sizeRelH relativeFrom="page">
              <wp14:pctWidth>0</wp14:pctWidth>
            </wp14:sizeRelH>
            <wp14:sizeRelV relativeFrom="page">
              <wp14:pctHeight>0</wp14:pctHeight>
            </wp14:sizeRelV>
          </wp:anchor>
        </w:drawing>
      </w:r>
      <w:r w:rsidR="0034592D">
        <w:rPr>
          <w:szCs w:val="24"/>
        </w:rPr>
        <w:t>Preferred Ratio</w:t>
      </w:r>
      <w:bookmarkEnd w:id="78"/>
    </w:p>
    <w:p w14:paraId="55D38A18" w14:textId="535EA350" w:rsidR="00BA0690" w:rsidRPr="00D102A5" w:rsidRDefault="00D102A5" w:rsidP="00D102A5">
      <w:pPr>
        <w:spacing w:line="480" w:lineRule="auto"/>
        <w:rPr>
          <w:b/>
          <w:bCs/>
          <w:sz w:val="18"/>
          <w:szCs w:val="18"/>
        </w:rPr>
      </w:pPr>
      <w:r w:rsidRPr="00D102A5">
        <w:rPr>
          <w:b/>
          <w:bCs/>
          <w:sz w:val="18"/>
          <w:szCs w:val="18"/>
        </w:rPr>
        <w:t xml:space="preserve">Figure </w:t>
      </w:r>
      <w:r>
        <w:rPr>
          <w:b/>
          <w:bCs/>
          <w:sz w:val="18"/>
          <w:szCs w:val="18"/>
        </w:rPr>
        <w:t>2</w:t>
      </w:r>
      <w:r w:rsidR="00C633C2">
        <w:rPr>
          <w:b/>
          <w:bCs/>
          <w:sz w:val="18"/>
          <w:szCs w:val="18"/>
        </w:rPr>
        <w:t>7</w:t>
      </w:r>
      <w:r w:rsidRPr="00D102A5">
        <w:rPr>
          <w:b/>
          <w:bCs/>
          <w:sz w:val="18"/>
          <w:szCs w:val="18"/>
        </w:rPr>
        <w:t xml:space="preserve">. </w:t>
      </w:r>
      <w:r>
        <w:rPr>
          <w:b/>
          <w:bCs/>
          <w:sz w:val="18"/>
          <w:szCs w:val="18"/>
        </w:rPr>
        <w:t>Preferred Ratio</w:t>
      </w:r>
      <w:r w:rsidRPr="00D102A5">
        <w:rPr>
          <w:b/>
          <w:bCs/>
          <w:sz w:val="18"/>
          <w:szCs w:val="18"/>
        </w:rPr>
        <w:t xml:space="preserve"> financial ratio results for all </w:t>
      </w:r>
      <w:r w:rsidR="00D06C36">
        <w:rPr>
          <w:b/>
          <w:bCs/>
          <w:sz w:val="18"/>
          <w:szCs w:val="18"/>
        </w:rPr>
        <w:t>FTSE 250</w:t>
      </w:r>
      <w:r w:rsidRPr="00D102A5">
        <w:rPr>
          <w:b/>
          <w:bCs/>
          <w:sz w:val="18"/>
          <w:szCs w:val="18"/>
        </w:rPr>
        <w:t xml:space="preserve"> industry sectors between 2019 and 2021. </w:t>
      </w:r>
    </w:p>
    <w:p w14:paraId="4C8AC4DE" w14:textId="6CA1A4E8" w:rsidR="00E57D12" w:rsidRDefault="00047ABB" w:rsidP="00BA0690">
      <w:pPr>
        <w:spacing w:line="480" w:lineRule="auto"/>
        <w:jc w:val="both"/>
        <w:rPr>
          <w:sz w:val="24"/>
          <w:szCs w:val="24"/>
        </w:rPr>
      </w:pPr>
      <w:r>
        <w:rPr>
          <w:sz w:val="24"/>
          <w:szCs w:val="24"/>
        </w:rPr>
        <w:t xml:space="preserve">Gearing </w:t>
      </w:r>
      <w:r w:rsidR="00010F1A">
        <w:rPr>
          <w:sz w:val="24"/>
          <w:szCs w:val="24"/>
        </w:rPr>
        <w:t xml:space="preserve">ratios analyse the proportion of </w:t>
      </w:r>
      <w:r w:rsidR="00C61ECF">
        <w:rPr>
          <w:sz w:val="24"/>
          <w:szCs w:val="24"/>
        </w:rPr>
        <w:t xml:space="preserve">a company’s long-term capital </w:t>
      </w:r>
      <w:r w:rsidR="00FC00D6">
        <w:rPr>
          <w:sz w:val="24"/>
          <w:szCs w:val="24"/>
        </w:rPr>
        <w:t>which</w:t>
      </w:r>
      <w:r w:rsidR="00C61ECF">
        <w:rPr>
          <w:sz w:val="24"/>
          <w:szCs w:val="24"/>
        </w:rPr>
        <w:t xml:space="preserve"> originates from loans</w:t>
      </w:r>
      <w:r w:rsidR="00914CDA">
        <w:rPr>
          <w:sz w:val="24"/>
          <w:szCs w:val="24"/>
        </w:rPr>
        <w:t xml:space="preserve"> and preferred shares</w:t>
      </w:r>
      <w:r w:rsidR="00570F11">
        <w:rPr>
          <w:sz w:val="24"/>
          <w:szCs w:val="24"/>
        </w:rPr>
        <w:t xml:space="preserve"> (Figure 27.)</w:t>
      </w:r>
      <w:r w:rsidR="00914CDA">
        <w:rPr>
          <w:sz w:val="24"/>
          <w:szCs w:val="24"/>
        </w:rPr>
        <w:t xml:space="preserve">. The preferred ratio analysed the amount </w:t>
      </w:r>
      <w:r w:rsidR="00482857">
        <w:rPr>
          <w:sz w:val="24"/>
          <w:szCs w:val="24"/>
        </w:rPr>
        <w:t xml:space="preserve">of </w:t>
      </w:r>
      <w:r w:rsidR="00ED781A">
        <w:rPr>
          <w:sz w:val="24"/>
          <w:szCs w:val="24"/>
        </w:rPr>
        <w:t>long-term</w:t>
      </w:r>
      <w:r w:rsidR="00482857">
        <w:rPr>
          <w:sz w:val="24"/>
          <w:szCs w:val="24"/>
        </w:rPr>
        <w:t xml:space="preserve"> de</w:t>
      </w:r>
      <w:r w:rsidR="00C071EC">
        <w:rPr>
          <w:sz w:val="24"/>
          <w:szCs w:val="24"/>
        </w:rPr>
        <w:t xml:space="preserve">bt </w:t>
      </w:r>
      <w:r w:rsidR="00914CDA">
        <w:rPr>
          <w:sz w:val="24"/>
          <w:szCs w:val="24"/>
        </w:rPr>
        <w:t xml:space="preserve">held in </w:t>
      </w:r>
      <w:r w:rsidR="009D3B65">
        <w:rPr>
          <w:sz w:val="24"/>
          <w:szCs w:val="24"/>
        </w:rPr>
        <w:t xml:space="preserve">loans and </w:t>
      </w:r>
      <w:r w:rsidR="00914CDA">
        <w:rPr>
          <w:sz w:val="24"/>
          <w:szCs w:val="24"/>
        </w:rPr>
        <w:t xml:space="preserve">preferred shares. </w:t>
      </w:r>
      <w:r w:rsidR="00342189">
        <w:rPr>
          <w:sz w:val="24"/>
          <w:szCs w:val="24"/>
        </w:rPr>
        <w:t xml:space="preserve">Gearing is usually looked at on a relative scale, in comparison with </w:t>
      </w:r>
      <w:r w:rsidR="00165E8E">
        <w:rPr>
          <w:sz w:val="24"/>
          <w:szCs w:val="24"/>
        </w:rPr>
        <w:t xml:space="preserve">individual </w:t>
      </w:r>
      <w:r w:rsidR="00342189">
        <w:rPr>
          <w:sz w:val="24"/>
          <w:szCs w:val="24"/>
        </w:rPr>
        <w:t>companies within the same sector</w:t>
      </w:r>
      <w:r w:rsidR="00165E8E">
        <w:rPr>
          <w:sz w:val="24"/>
          <w:szCs w:val="24"/>
        </w:rPr>
        <w:t>, or an industry average. As we are looking on a wider scale, a brief comparison of outlier</w:t>
      </w:r>
      <w:r w:rsidR="00CC77C8">
        <w:rPr>
          <w:sz w:val="24"/>
          <w:szCs w:val="24"/>
        </w:rPr>
        <w:t xml:space="preserve"> sectors will be identified, but the main focus is on within sector annual change. </w:t>
      </w:r>
      <w:r w:rsidR="006247F4">
        <w:rPr>
          <w:sz w:val="24"/>
          <w:szCs w:val="24"/>
        </w:rPr>
        <w:t xml:space="preserve">Across the </w:t>
      </w:r>
      <w:r w:rsidR="00AD7724">
        <w:rPr>
          <w:sz w:val="24"/>
          <w:szCs w:val="24"/>
        </w:rPr>
        <w:t xml:space="preserve">2019 to 2021 </w:t>
      </w:r>
      <w:r w:rsidR="00AD7724">
        <w:rPr>
          <w:sz w:val="24"/>
          <w:szCs w:val="24"/>
        </w:rPr>
        <w:lastRenderedPageBreak/>
        <w:t xml:space="preserve">period, </w:t>
      </w:r>
      <w:r w:rsidR="00A31CF0">
        <w:rPr>
          <w:sz w:val="24"/>
          <w:szCs w:val="24"/>
        </w:rPr>
        <w:t>with average preferred ratio across all sectors was 31.87%.</w:t>
      </w:r>
      <w:r w:rsidR="00EF5769">
        <w:rPr>
          <w:sz w:val="24"/>
          <w:szCs w:val="24"/>
        </w:rPr>
        <w:t xml:space="preserve"> </w:t>
      </w:r>
      <w:r w:rsidR="005418FE">
        <w:rPr>
          <w:sz w:val="24"/>
          <w:szCs w:val="24"/>
        </w:rPr>
        <w:t>Generally,</w:t>
      </w:r>
      <w:r w:rsidR="00EF5769">
        <w:rPr>
          <w:sz w:val="24"/>
          <w:szCs w:val="24"/>
        </w:rPr>
        <w:t xml:space="preserve"> a low gearing ratio is below 25%, a high </w:t>
      </w:r>
      <w:r w:rsidR="00A00811">
        <w:rPr>
          <w:sz w:val="24"/>
          <w:szCs w:val="24"/>
        </w:rPr>
        <w:t>gearing ratio is above 50%, with the optimal range being 25-50%.</w:t>
      </w:r>
      <w:r w:rsidR="00A31CF0">
        <w:rPr>
          <w:sz w:val="24"/>
          <w:szCs w:val="24"/>
        </w:rPr>
        <w:t xml:space="preserve"> T</w:t>
      </w:r>
      <w:r w:rsidR="00AD7724">
        <w:rPr>
          <w:sz w:val="24"/>
          <w:szCs w:val="24"/>
        </w:rPr>
        <w:t xml:space="preserve">he financials </w:t>
      </w:r>
      <w:r w:rsidR="00F331F5">
        <w:rPr>
          <w:sz w:val="24"/>
          <w:szCs w:val="24"/>
        </w:rPr>
        <w:t xml:space="preserve">sector had consistently the lowest preferred ratio, </w:t>
      </w:r>
      <w:r w:rsidR="00F76DFB">
        <w:rPr>
          <w:sz w:val="24"/>
          <w:szCs w:val="24"/>
        </w:rPr>
        <w:t xml:space="preserve">with </w:t>
      </w:r>
      <w:r w:rsidR="008D360A">
        <w:rPr>
          <w:sz w:val="24"/>
          <w:szCs w:val="24"/>
        </w:rPr>
        <w:t xml:space="preserve">an average of 6.52% (range </w:t>
      </w:r>
      <w:r w:rsidR="00F76DFB">
        <w:rPr>
          <w:sz w:val="24"/>
          <w:szCs w:val="24"/>
        </w:rPr>
        <w:t>under 1%</w:t>
      </w:r>
      <w:r w:rsidR="008D360A">
        <w:rPr>
          <w:sz w:val="24"/>
          <w:szCs w:val="24"/>
        </w:rPr>
        <w:t>)</w:t>
      </w:r>
      <w:r w:rsidR="00CE417A">
        <w:rPr>
          <w:sz w:val="24"/>
          <w:szCs w:val="24"/>
        </w:rPr>
        <w:t xml:space="preserve">. The </w:t>
      </w:r>
      <w:r w:rsidR="008A68BF">
        <w:rPr>
          <w:sz w:val="24"/>
          <w:szCs w:val="24"/>
        </w:rPr>
        <w:t>utilities</w:t>
      </w:r>
      <w:r w:rsidR="00CE417A">
        <w:rPr>
          <w:sz w:val="24"/>
          <w:szCs w:val="24"/>
        </w:rPr>
        <w:t xml:space="preserve"> sector consistently had the largest </w:t>
      </w:r>
      <w:r w:rsidR="008A68BF">
        <w:rPr>
          <w:sz w:val="24"/>
          <w:szCs w:val="24"/>
        </w:rPr>
        <w:t xml:space="preserve">preferred ratio </w:t>
      </w:r>
      <w:r w:rsidR="00B619C5">
        <w:rPr>
          <w:sz w:val="24"/>
          <w:szCs w:val="24"/>
        </w:rPr>
        <w:t>with a</w:t>
      </w:r>
      <w:r w:rsidR="008D360A">
        <w:rPr>
          <w:sz w:val="24"/>
          <w:szCs w:val="24"/>
        </w:rPr>
        <w:t xml:space="preserve">verage of </w:t>
      </w:r>
      <w:r w:rsidR="00783DA4">
        <w:rPr>
          <w:sz w:val="24"/>
          <w:szCs w:val="24"/>
        </w:rPr>
        <w:t>67.88% (range under 6%).</w:t>
      </w:r>
      <w:r w:rsidR="007D4953">
        <w:rPr>
          <w:sz w:val="24"/>
          <w:szCs w:val="24"/>
        </w:rPr>
        <w:t xml:space="preserve"> Four sectors (Financials, Technology</w:t>
      </w:r>
      <w:r w:rsidR="00DF4321">
        <w:rPr>
          <w:sz w:val="24"/>
          <w:szCs w:val="24"/>
        </w:rPr>
        <w:t>, industrials and Energy) decreased their preferred ratio between 2019 to 2020</w:t>
      </w:r>
      <w:r w:rsidR="005B79EF">
        <w:rPr>
          <w:sz w:val="24"/>
          <w:szCs w:val="24"/>
        </w:rPr>
        <w:t xml:space="preserve">, showing </w:t>
      </w:r>
      <w:r w:rsidR="00E66EF1">
        <w:rPr>
          <w:sz w:val="24"/>
          <w:szCs w:val="24"/>
        </w:rPr>
        <w:t>sectors seeing to reduce risk and debt exposure</w:t>
      </w:r>
      <w:r w:rsidR="001434D5">
        <w:rPr>
          <w:sz w:val="24"/>
          <w:szCs w:val="24"/>
        </w:rPr>
        <w:t xml:space="preserve">, </w:t>
      </w:r>
      <w:r w:rsidR="003E2732">
        <w:rPr>
          <w:sz w:val="24"/>
          <w:szCs w:val="24"/>
        </w:rPr>
        <w:t>these sectors continued to decrease their preferred ratios with the exception of the energy sector; which s</w:t>
      </w:r>
      <w:r w:rsidR="000D7FC6">
        <w:rPr>
          <w:sz w:val="24"/>
          <w:szCs w:val="24"/>
        </w:rPr>
        <w:t xml:space="preserve">aw </w:t>
      </w:r>
      <w:r w:rsidR="00C925E2">
        <w:rPr>
          <w:sz w:val="24"/>
          <w:szCs w:val="24"/>
        </w:rPr>
        <w:t xml:space="preserve">an increase of 22.09% from 21.94% to 44.03%. </w:t>
      </w:r>
      <w:r w:rsidR="00AA6845">
        <w:rPr>
          <w:sz w:val="24"/>
          <w:szCs w:val="24"/>
        </w:rPr>
        <w:t xml:space="preserve">The telecommunications sector </w:t>
      </w:r>
      <w:r w:rsidR="00A5796E">
        <w:rPr>
          <w:sz w:val="24"/>
          <w:szCs w:val="24"/>
        </w:rPr>
        <w:t>saw an increase of 4.60% from 39.57% in 2019 to 44.17% in 2020, which remained steady</w:t>
      </w:r>
      <w:r w:rsidR="00CF5637">
        <w:rPr>
          <w:sz w:val="24"/>
          <w:szCs w:val="24"/>
        </w:rPr>
        <w:t xml:space="preserve"> in 2021 at 44.25%. </w:t>
      </w:r>
      <w:r w:rsidR="00E42933">
        <w:rPr>
          <w:sz w:val="24"/>
          <w:szCs w:val="24"/>
        </w:rPr>
        <w:t>The remaining sectors (consumer discretionary, real estate</w:t>
      </w:r>
      <w:r w:rsidR="00C24ECD">
        <w:rPr>
          <w:sz w:val="24"/>
          <w:szCs w:val="24"/>
        </w:rPr>
        <w:t xml:space="preserve">, utilities, basic materials, </w:t>
      </w:r>
      <w:r w:rsidR="00FB46ED">
        <w:rPr>
          <w:sz w:val="24"/>
          <w:szCs w:val="24"/>
        </w:rPr>
        <w:t xml:space="preserve">consumer staples and health care) saw increases in their preferred ratios between 2019 and 2020, before </w:t>
      </w:r>
      <w:r w:rsidR="00281C9E">
        <w:rPr>
          <w:sz w:val="24"/>
          <w:szCs w:val="24"/>
        </w:rPr>
        <w:t xml:space="preserve">reducing their gearing again in 2021. </w:t>
      </w:r>
    </w:p>
    <w:bookmarkEnd w:id="39"/>
    <w:bookmarkEnd w:id="40"/>
    <w:p w14:paraId="7313A53E" w14:textId="77777777" w:rsidR="00E57D12" w:rsidRDefault="00E57D12">
      <w:pPr>
        <w:rPr>
          <w:sz w:val="24"/>
          <w:szCs w:val="24"/>
        </w:rPr>
      </w:pPr>
      <w:r>
        <w:rPr>
          <w:sz w:val="24"/>
          <w:szCs w:val="24"/>
        </w:rPr>
        <w:br w:type="page"/>
      </w:r>
    </w:p>
    <w:p w14:paraId="09818C6A" w14:textId="77777777" w:rsidR="005D4D65" w:rsidRDefault="005D4D65" w:rsidP="00E57D12">
      <w:pPr>
        <w:pStyle w:val="Heading2"/>
        <w:numPr>
          <w:ilvl w:val="1"/>
          <w:numId w:val="3"/>
        </w:numPr>
        <w:spacing w:line="480" w:lineRule="auto"/>
        <w:jc w:val="both"/>
        <w:rPr>
          <w:szCs w:val="24"/>
        </w:rPr>
        <w:sectPr w:rsidR="005D4D65" w:rsidSect="00C55467">
          <w:footerReference w:type="default" r:id="rId44"/>
          <w:type w:val="continuous"/>
          <w:pgSz w:w="11906" w:h="16838"/>
          <w:pgMar w:top="1440" w:right="1440" w:bottom="1440" w:left="1440" w:header="708" w:footer="708" w:gutter="0"/>
          <w:pgNumType w:start="1"/>
          <w:cols w:space="708"/>
          <w:docGrid w:linePitch="360"/>
        </w:sectPr>
      </w:pPr>
    </w:p>
    <w:p w14:paraId="64179686" w14:textId="0552D7C9" w:rsidR="00E57D12" w:rsidRDefault="003C5404" w:rsidP="00E57D12">
      <w:pPr>
        <w:pStyle w:val="Heading2"/>
        <w:numPr>
          <w:ilvl w:val="1"/>
          <w:numId w:val="3"/>
        </w:numPr>
        <w:spacing w:line="480" w:lineRule="auto"/>
        <w:jc w:val="both"/>
        <w:rPr>
          <w:szCs w:val="24"/>
        </w:rPr>
      </w:pPr>
      <w:bookmarkStart w:id="79" w:name="_Toc141646750"/>
      <w:r>
        <w:rPr>
          <w:noProof/>
          <w:szCs w:val="24"/>
        </w:rPr>
        <w:lastRenderedPageBreak/>
        <w:drawing>
          <wp:anchor distT="0" distB="0" distL="114300" distR="114300" simplePos="0" relativeHeight="251667483" behindDoc="1" locked="0" layoutInCell="1" allowOverlap="1" wp14:anchorId="4CA0A8AC" wp14:editId="111EADC0">
            <wp:simplePos x="0" y="0"/>
            <wp:positionH relativeFrom="margin">
              <wp:align>center</wp:align>
            </wp:positionH>
            <wp:positionV relativeFrom="paragraph">
              <wp:posOffset>389255</wp:posOffset>
            </wp:positionV>
            <wp:extent cx="8415655" cy="5935980"/>
            <wp:effectExtent l="0" t="0" r="0" b="0"/>
            <wp:wrapTight wrapText="bothSides">
              <wp:wrapPolygon edited="0">
                <wp:start x="0" y="0"/>
                <wp:lineTo x="0" y="21535"/>
                <wp:lineTo x="21579" y="21535"/>
                <wp:lineTo x="21579" y="0"/>
                <wp:lineTo x="0" y="0"/>
              </wp:wrapPolygon>
            </wp:wrapTight>
            <wp:docPr id="22630311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26303113" name="Picture 226303113"/>
                    <pic:cNvPicPr/>
                  </pic:nvPicPr>
                  <pic:blipFill>
                    <a:blip r:embed="rId45" cstate="print">
                      <a:extLst>
                        <a:ext uri="{28A0092B-C50C-407E-A947-70E740481C1C}">
                          <a14:useLocalDpi xmlns:a14="http://schemas.microsoft.com/office/drawing/2010/main" val="0"/>
                        </a:ext>
                      </a:extLst>
                    </a:blip>
                    <a:stretch>
                      <a:fillRect/>
                    </a:stretch>
                  </pic:blipFill>
                  <pic:spPr>
                    <a:xfrm>
                      <a:off x="0" y="0"/>
                      <a:ext cx="8415655" cy="5935980"/>
                    </a:xfrm>
                    <a:prstGeom prst="rect">
                      <a:avLst/>
                    </a:prstGeom>
                  </pic:spPr>
                </pic:pic>
              </a:graphicData>
            </a:graphic>
            <wp14:sizeRelH relativeFrom="page">
              <wp14:pctWidth>0</wp14:pctWidth>
            </wp14:sizeRelH>
            <wp14:sizeRelV relativeFrom="page">
              <wp14:pctHeight>0</wp14:pctHeight>
            </wp14:sizeRelV>
          </wp:anchor>
        </w:drawing>
      </w:r>
      <w:r w:rsidR="00E57D12">
        <w:rPr>
          <w:szCs w:val="24"/>
        </w:rPr>
        <w:t>Summary of Results</w:t>
      </w:r>
      <w:r w:rsidR="00CF7B1E">
        <w:rPr>
          <w:szCs w:val="24"/>
        </w:rPr>
        <w:t xml:space="preserve"> – (Table 6.)</w:t>
      </w:r>
      <w:bookmarkEnd w:id="79"/>
    </w:p>
    <w:p w14:paraId="543BCAA6" w14:textId="70DDBAC4" w:rsidR="003C5404" w:rsidRDefault="003C5404" w:rsidP="003C5404">
      <w:pPr>
        <w:tabs>
          <w:tab w:val="left" w:pos="907"/>
        </w:tabs>
        <w:rPr>
          <w:sz w:val="24"/>
          <w:szCs w:val="24"/>
        </w:rPr>
      </w:pPr>
      <w:r>
        <w:rPr>
          <w:sz w:val="24"/>
          <w:szCs w:val="24"/>
        </w:rPr>
        <w:tab/>
      </w:r>
    </w:p>
    <w:p w14:paraId="0844E0D0" w14:textId="7205F87D" w:rsidR="007255CE" w:rsidRDefault="007255CE">
      <w:pPr>
        <w:rPr>
          <w:sz w:val="24"/>
          <w:szCs w:val="24"/>
        </w:rPr>
      </w:pPr>
      <w:r w:rsidRPr="003C5404">
        <w:rPr>
          <w:sz w:val="24"/>
          <w:szCs w:val="24"/>
        </w:rPr>
        <w:br w:type="page"/>
      </w:r>
      <w:r w:rsidR="00C2702D">
        <w:rPr>
          <w:sz w:val="24"/>
          <w:szCs w:val="24"/>
        </w:rPr>
        <w:lastRenderedPageBreak/>
        <w:t xml:space="preserve"> </w:t>
      </w:r>
    </w:p>
    <w:p w14:paraId="773B25AC" w14:textId="6A1AD8B5" w:rsidR="003C5404" w:rsidRDefault="001E245B">
      <w:pPr>
        <w:rPr>
          <w:sz w:val="24"/>
          <w:szCs w:val="24"/>
        </w:rPr>
      </w:pPr>
      <w:r>
        <w:rPr>
          <w:noProof/>
          <w:sz w:val="24"/>
          <w:szCs w:val="24"/>
        </w:rPr>
        <w:drawing>
          <wp:anchor distT="0" distB="0" distL="114300" distR="114300" simplePos="0" relativeHeight="251669531" behindDoc="1" locked="0" layoutInCell="1" allowOverlap="1" wp14:anchorId="789B0174" wp14:editId="4B84C22B">
            <wp:simplePos x="0" y="0"/>
            <wp:positionH relativeFrom="margin">
              <wp:posOffset>676910</wp:posOffset>
            </wp:positionH>
            <wp:positionV relativeFrom="margin">
              <wp:posOffset>466725</wp:posOffset>
            </wp:positionV>
            <wp:extent cx="8415655" cy="5374005"/>
            <wp:effectExtent l="0" t="0" r="0" b="0"/>
            <wp:wrapTight wrapText="bothSides">
              <wp:wrapPolygon edited="0">
                <wp:start x="0" y="0"/>
                <wp:lineTo x="0" y="21541"/>
                <wp:lineTo x="21579" y="21541"/>
                <wp:lineTo x="21579" y="0"/>
                <wp:lineTo x="0" y="0"/>
              </wp:wrapPolygon>
            </wp:wrapTight>
            <wp:docPr id="1005554794" name="Picture 100555479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05554794" name="Picture 1005554794"/>
                    <pic:cNvPicPr/>
                  </pic:nvPicPr>
                  <pic:blipFill>
                    <a:blip r:embed="rId46" cstate="print">
                      <a:extLst>
                        <a:ext uri="{28A0092B-C50C-407E-A947-70E740481C1C}">
                          <a14:useLocalDpi xmlns:a14="http://schemas.microsoft.com/office/drawing/2010/main" val="0"/>
                        </a:ext>
                      </a:extLst>
                    </a:blip>
                    <a:stretch>
                      <a:fillRect/>
                    </a:stretch>
                  </pic:blipFill>
                  <pic:spPr>
                    <a:xfrm>
                      <a:off x="0" y="0"/>
                      <a:ext cx="8415655" cy="5374005"/>
                    </a:xfrm>
                    <a:prstGeom prst="rect">
                      <a:avLst/>
                    </a:prstGeom>
                  </pic:spPr>
                </pic:pic>
              </a:graphicData>
            </a:graphic>
            <wp14:sizeRelH relativeFrom="page">
              <wp14:pctWidth>0</wp14:pctWidth>
            </wp14:sizeRelH>
            <wp14:sizeRelV relativeFrom="page">
              <wp14:pctHeight>0</wp14:pctHeight>
            </wp14:sizeRelV>
          </wp:anchor>
        </w:drawing>
      </w:r>
      <w:r w:rsidR="007255CE">
        <w:rPr>
          <w:sz w:val="24"/>
          <w:szCs w:val="24"/>
        </w:rPr>
        <w:br w:type="page"/>
      </w:r>
      <w:bookmarkEnd w:id="52"/>
      <w:r>
        <w:rPr>
          <w:noProof/>
          <w:sz w:val="24"/>
          <w:szCs w:val="24"/>
        </w:rPr>
        <w:lastRenderedPageBreak/>
        <w:drawing>
          <wp:anchor distT="0" distB="0" distL="114300" distR="114300" simplePos="0" relativeHeight="251671579" behindDoc="1" locked="0" layoutInCell="1" allowOverlap="1" wp14:anchorId="1CE551B8" wp14:editId="4C1B1676">
            <wp:simplePos x="0" y="0"/>
            <wp:positionH relativeFrom="margin">
              <wp:posOffset>730885</wp:posOffset>
            </wp:positionH>
            <wp:positionV relativeFrom="margin">
              <wp:posOffset>186055</wp:posOffset>
            </wp:positionV>
            <wp:extent cx="8307070" cy="5935980"/>
            <wp:effectExtent l="0" t="0" r="0" b="0"/>
            <wp:wrapTight wrapText="bothSides">
              <wp:wrapPolygon edited="0">
                <wp:start x="0" y="0"/>
                <wp:lineTo x="0" y="21535"/>
                <wp:lineTo x="21564" y="21535"/>
                <wp:lineTo x="21564" y="0"/>
                <wp:lineTo x="0" y="0"/>
              </wp:wrapPolygon>
            </wp:wrapTight>
            <wp:docPr id="872542608" name="Picture 87254260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72542608" name="Picture 872542608"/>
                    <pic:cNvPicPr/>
                  </pic:nvPicPr>
                  <pic:blipFill>
                    <a:blip r:embed="rId47" cstate="print">
                      <a:extLst>
                        <a:ext uri="{28A0092B-C50C-407E-A947-70E740481C1C}">
                          <a14:useLocalDpi xmlns:a14="http://schemas.microsoft.com/office/drawing/2010/main" val="0"/>
                        </a:ext>
                      </a:extLst>
                    </a:blip>
                    <a:stretch>
                      <a:fillRect/>
                    </a:stretch>
                  </pic:blipFill>
                  <pic:spPr>
                    <a:xfrm>
                      <a:off x="0" y="0"/>
                      <a:ext cx="8307070" cy="5935980"/>
                    </a:xfrm>
                    <a:prstGeom prst="rect">
                      <a:avLst/>
                    </a:prstGeom>
                  </pic:spPr>
                </pic:pic>
              </a:graphicData>
            </a:graphic>
            <wp14:sizeRelH relativeFrom="page">
              <wp14:pctWidth>0</wp14:pctWidth>
            </wp14:sizeRelH>
            <wp14:sizeRelV relativeFrom="page">
              <wp14:pctHeight>0</wp14:pctHeight>
            </wp14:sizeRelV>
          </wp:anchor>
        </w:drawing>
      </w:r>
      <w:r w:rsidR="003C5404">
        <w:rPr>
          <w:sz w:val="24"/>
          <w:szCs w:val="24"/>
        </w:rPr>
        <w:br w:type="page"/>
      </w:r>
    </w:p>
    <w:p w14:paraId="4D6F2FC6" w14:textId="77777777" w:rsidR="005D4D65" w:rsidRPr="00B950EA" w:rsidRDefault="005D4D65" w:rsidP="00E03D4F">
      <w:pPr>
        <w:rPr>
          <w:sz w:val="24"/>
          <w:szCs w:val="24"/>
        </w:rPr>
        <w:sectPr w:rsidR="005D4D65" w:rsidRPr="00B950EA" w:rsidSect="0022259E">
          <w:footerReference w:type="default" r:id="rId48"/>
          <w:pgSz w:w="16838" w:h="11906" w:orient="landscape"/>
          <w:pgMar w:top="720" w:right="720" w:bottom="720" w:left="720" w:header="708" w:footer="708" w:gutter="0"/>
          <w:cols w:space="708"/>
          <w:docGrid w:linePitch="360"/>
        </w:sectPr>
      </w:pPr>
    </w:p>
    <w:p w14:paraId="069203DE" w14:textId="1CC5BCA8" w:rsidR="00112407" w:rsidRDefault="00E21ECD" w:rsidP="00112407">
      <w:pPr>
        <w:pStyle w:val="Heading2"/>
        <w:numPr>
          <w:ilvl w:val="1"/>
          <w:numId w:val="3"/>
        </w:numPr>
        <w:spacing w:line="480" w:lineRule="auto"/>
        <w:jc w:val="both"/>
        <w:rPr>
          <w:szCs w:val="24"/>
        </w:rPr>
      </w:pPr>
      <w:bookmarkStart w:id="80" w:name="_Toc141646751"/>
      <w:r>
        <w:rPr>
          <w:noProof/>
        </w:rPr>
        <w:lastRenderedPageBreak/>
        <w:drawing>
          <wp:anchor distT="0" distB="0" distL="114300" distR="114300" simplePos="0" relativeHeight="251672603" behindDoc="0" locked="0" layoutInCell="1" allowOverlap="1" wp14:anchorId="53D164FF" wp14:editId="68E32FF4">
            <wp:simplePos x="0" y="0"/>
            <wp:positionH relativeFrom="margin">
              <wp:align>center</wp:align>
            </wp:positionH>
            <wp:positionV relativeFrom="paragraph">
              <wp:posOffset>372110</wp:posOffset>
            </wp:positionV>
            <wp:extent cx="5706110" cy="8542655"/>
            <wp:effectExtent l="0" t="0" r="0" b="0"/>
            <wp:wrapTopAndBottom/>
            <wp:docPr id="1257524304" name="Picture 3" descr="A close-up of a documen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57524304" name="Picture 3" descr="A close-up of a document&#10;&#10;Description automatically generated"/>
                    <pic:cNvPicPr/>
                  </pic:nvPicPr>
                  <pic:blipFill>
                    <a:blip r:embed="rId49" cstate="print">
                      <a:extLst>
                        <a:ext uri="{28A0092B-C50C-407E-A947-70E740481C1C}">
                          <a14:useLocalDpi xmlns:a14="http://schemas.microsoft.com/office/drawing/2010/main" val="0"/>
                        </a:ext>
                      </a:extLst>
                    </a:blip>
                    <a:stretch>
                      <a:fillRect/>
                    </a:stretch>
                  </pic:blipFill>
                  <pic:spPr>
                    <a:xfrm>
                      <a:off x="0" y="0"/>
                      <a:ext cx="5706110" cy="8542655"/>
                    </a:xfrm>
                    <a:prstGeom prst="rect">
                      <a:avLst/>
                    </a:prstGeom>
                  </pic:spPr>
                </pic:pic>
              </a:graphicData>
            </a:graphic>
            <wp14:sizeRelH relativeFrom="page">
              <wp14:pctWidth>0</wp14:pctWidth>
            </wp14:sizeRelH>
            <wp14:sizeRelV relativeFrom="page">
              <wp14:pctHeight>0</wp14:pctHeight>
            </wp14:sizeRelV>
          </wp:anchor>
        </w:drawing>
      </w:r>
      <w:r w:rsidR="00112407">
        <w:rPr>
          <w:szCs w:val="24"/>
        </w:rPr>
        <w:t>Summary of Sectors – (Table 7.)</w:t>
      </w:r>
      <w:bookmarkEnd w:id="80"/>
    </w:p>
    <w:p w14:paraId="55A7DA06" w14:textId="17C3F9E8" w:rsidR="00E21ECD" w:rsidRDefault="00E21ECD">
      <w:r>
        <w:rPr>
          <w:noProof/>
        </w:rPr>
        <w:lastRenderedPageBreak/>
        <w:drawing>
          <wp:anchor distT="0" distB="0" distL="114300" distR="114300" simplePos="0" relativeHeight="251674651" behindDoc="0" locked="0" layoutInCell="1" allowOverlap="1" wp14:anchorId="5456E69D" wp14:editId="42E283AA">
            <wp:simplePos x="0" y="0"/>
            <wp:positionH relativeFrom="margin">
              <wp:posOffset>238125</wp:posOffset>
            </wp:positionH>
            <wp:positionV relativeFrom="margin">
              <wp:posOffset>160655</wp:posOffset>
            </wp:positionV>
            <wp:extent cx="5262880" cy="8542655"/>
            <wp:effectExtent l="0" t="0" r="0" b="0"/>
            <wp:wrapTopAndBottom/>
            <wp:docPr id="1133208669" name="Picture 113320866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33208669" name="Picture 1133208669"/>
                    <pic:cNvPicPr/>
                  </pic:nvPicPr>
                  <pic:blipFill>
                    <a:blip r:embed="rId50" cstate="print">
                      <a:extLst>
                        <a:ext uri="{28A0092B-C50C-407E-A947-70E740481C1C}">
                          <a14:useLocalDpi xmlns:a14="http://schemas.microsoft.com/office/drawing/2010/main" val="0"/>
                        </a:ext>
                      </a:extLst>
                    </a:blip>
                    <a:stretch>
                      <a:fillRect/>
                    </a:stretch>
                  </pic:blipFill>
                  <pic:spPr>
                    <a:xfrm>
                      <a:off x="0" y="0"/>
                      <a:ext cx="5262880" cy="8542655"/>
                    </a:xfrm>
                    <a:prstGeom prst="rect">
                      <a:avLst/>
                    </a:prstGeom>
                  </pic:spPr>
                </pic:pic>
              </a:graphicData>
            </a:graphic>
            <wp14:sizeRelH relativeFrom="page">
              <wp14:pctWidth>0</wp14:pctWidth>
            </wp14:sizeRelH>
            <wp14:sizeRelV relativeFrom="page">
              <wp14:pctHeight>0</wp14:pctHeight>
            </wp14:sizeRelV>
          </wp:anchor>
        </w:drawing>
      </w:r>
      <w:r>
        <w:br w:type="page"/>
      </w:r>
    </w:p>
    <w:p w14:paraId="78841ED2" w14:textId="3DCB07EF" w:rsidR="00B65E7C" w:rsidRPr="00E21ECD" w:rsidRDefault="00E21ECD" w:rsidP="00E03D4F">
      <w:r>
        <w:rPr>
          <w:noProof/>
        </w:rPr>
        <w:lastRenderedPageBreak/>
        <w:drawing>
          <wp:anchor distT="0" distB="0" distL="114300" distR="114300" simplePos="0" relativeHeight="251676699" behindDoc="0" locked="0" layoutInCell="1" allowOverlap="1" wp14:anchorId="79ABDF67" wp14:editId="19E6DAF8">
            <wp:simplePos x="0" y="0"/>
            <wp:positionH relativeFrom="margin">
              <wp:posOffset>68580</wp:posOffset>
            </wp:positionH>
            <wp:positionV relativeFrom="margin">
              <wp:posOffset>160655</wp:posOffset>
            </wp:positionV>
            <wp:extent cx="5601970" cy="8542655"/>
            <wp:effectExtent l="0" t="0" r="0" b="0"/>
            <wp:wrapTopAndBottom/>
            <wp:docPr id="1865049949" name="Picture 186504994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65049949" name="Picture 1865049949"/>
                    <pic:cNvPicPr/>
                  </pic:nvPicPr>
                  <pic:blipFill>
                    <a:blip r:embed="rId51" cstate="print">
                      <a:extLst>
                        <a:ext uri="{28A0092B-C50C-407E-A947-70E740481C1C}">
                          <a14:useLocalDpi xmlns:a14="http://schemas.microsoft.com/office/drawing/2010/main" val="0"/>
                        </a:ext>
                      </a:extLst>
                    </a:blip>
                    <a:stretch>
                      <a:fillRect/>
                    </a:stretch>
                  </pic:blipFill>
                  <pic:spPr>
                    <a:xfrm>
                      <a:off x="0" y="0"/>
                      <a:ext cx="5601970" cy="8542655"/>
                    </a:xfrm>
                    <a:prstGeom prst="rect">
                      <a:avLst/>
                    </a:prstGeom>
                  </pic:spPr>
                </pic:pic>
              </a:graphicData>
            </a:graphic>
            <wp14:sizeRelH relativeFrom="page">
              <wp14:pctWidth>0</wp14:pctWidth>
            </wp14:sizeRelH>
            <wp14:sizeRelV relativeFrom="page">
              <wp14:pctHeight>0</wp14:pctHeight>
            </wp14:sizeRelV>
          </wp:anchor>
        </w:drawing>
      </w:r>
    </w:p>
    <w:p w14:paraId="74D95115" w14:textId="0599CE18" w:rsidR="00666C84" w:rsidRPr="00212580" w:rsidRDefault="005A72D3" w:rsidP="00112407">
      <w:pPr>
        <w:pStyle w:val="Heading1"/>
        <w:numPr>
          <w:ilvl w:val="0"/>
          <w:numId w:val="3"/>
        </w:numPr>
        <w:spacing w:line="480" w:lineRule="auto"/>
        <w:jc w:val="both"/>
        <w:rPr>
          <w:szCs w:val="24"/>
        </w:rPr>
      </w:pPr>
      <w:bookmarkStart w:id="81" w:name="_Toc141646752"/>
      <w:r w:rsidRPr="00212580">
        <w:rPr>
          <w:szCs w:val="24"/>
        </w:rPr>
        <w:lastRenderedPageBreak/>
        <w:t>Discussion</w:t>
      </w:r>
      <w:bookmarkEnd w:id="81"/>
    </w:p>
    <w:p w14:paraId="50089740" w14:textId="1767641C" w:rsidR="00666C84" w:rsidRDefault="00334007" w:rsidP="00112407">
      <w:pPr>
        <w:pStyle w:val="Heading2"/>
        <w:numPr>
          <w:ilvl w:val="1"/>
          <w:numId w:val="3"/>
        </w:numPr>
        <w:spacing w:line="480" w:lineRule="auto"/>
        <w:jc w:val="both"/>
        <w:rPr>
          <w:szCs w:val="24"/>
        </w:rPr>
      </w:pPr>
      <w:bookmarkStart w:id="82" w:name="_Toc141646753"/>
      <w:r>
        <w:rPr>
          <w:szCs w:val="24"/>
        </w:rPr>
        <w:t>Key findings</w:t>
      </w:r>
      <w:r w:rsidR="00B26965">
        <w:rPr>
          <w:szCs w:val="24"/>
        </w:rPr>
        <w:t xml:space="preserve"> – Overall </w:t>
      </w:r>
      <w:r w:rsidR="00D06C36">
        <w:rPr>
          <w:szCs w:val="24"/>
        </w:rPr>
        <w:t>FTSE 250</w:t>
      </w:r>
      <w:r w:rsidR="00B26965">
        <w:rPr>
          <w:szCs w:val="24"/>
        </w:rPr>
        <w:t xml:space="preserve"> Indexed Companies</w:t>
      </w:r>
      <w:bookmarkEnd w:id="82"/>
    </w:p>
    <w:p w14:paraId="25D0A13A" w14:textId="5A430C30" w:rsidR="00D945BC" w:rsidRDefault="00B37E04" w:rsidP="009735F6">
      <w:pPr>
        <w:spacing w:line="480" w:lineRule="auto"/>
        <w:jc w:val="both"/>
        <w:rPr>
          <w:sz w:val="24"/>
          <w:szCs w:val="24"/>
        </w:rPr>
      </w:pPr>
      <w:r w:rsidRPr="00AA0198">
        <w:rPr>
          <w:sz w:val="24"/>
          <w:szCs w:val="24"/>
        </w:rPr>
        <w:t xml:space="preserve">The aim of this study was to investigate </w:t>
      </w:r>
      <w:r w:rsidR="000F3B63">
        <w:rPr>
          <w:sz w:val="24"/>
          <w:szCs w:val="24"/>
        </w:rPr>
        <w:t xml:space="preserve">how </w:t>
      </w:r>
      <w:r w:rsidRPr="00AA0198">
        <w:rPr>
          <w:sz w:val="24"/>
          <w:szCs w:val="24"/>
        </w:rPr>
        <w:t>the different industries of the UK economy affected on a financial basis by the COVID-19 Pandemic</w:t>
      </w:r>
      <w:r w:rsidR="00235813" w:rsidRPr="00AA0198">
        <w:rPr>
          <w:sz w:val="24"/>
          <w:szCs w:val="24"/>
        </w:rPr>
        <w:t xml:space="preserve">. </w:t>
      </w:r>
      <w:r w:rsidR="004F7D11">
        <w:rPr>
          <w:sz w:val="24"/>
          <w:szCs w:val="24"/>
        </w:rPr>
        <w:t xml:space="preserve">As the pandemic spread globally and </w:t>
      </w:r>
      <w:r w:rsidR="00F410C8">
        <w:rPr>
          <w:sz w:val="24"/>
          <w:szCs w:val="24"/>
        </w:rPr>
        <w:t xml:space="preserve">cases rose in the UK the governments implemented </w:t>
      </w:r>
      <w:r w:rsidR="00462EF4">
        <w:rPr>
          <w:sz w:val="24"/>
          <w:szCs w:val="24"/>
        </w:rPr>
        <w:t>restrictions</w:t>
      </w:r>
      <w:r w:rsidR="00F410C8">
        <w:rPr>
          <w:sz w:val="24"/>
          <w:szCs w:val="24"/>
        </w:rPr>
        <w:t xml:space="preserve"> affected</w:t>
      </w:r>
      <w:r w:rsidR="00462EF4">
        <w:rPr>
          <w:sz w:val="24"/>
          <w:szCs w:val="24"/>
        </w:rPr>
        <w:t xml:space="preserve"> businesses across sectors. </w:t>
      </w:r>
      <w:r w:rsidR="009642EF">
        <w:rPr>
          <w:sz w:val="24"/>
          <w:szCs w:val="24"/>
        </w:rPr>
        <w:t xml:space="preserve">At the commencement of this study (September 2021), there was </w:t>
      </w:r>
      <w:r w:rsidR="00A24818">
        <w:rPr>
          <w:sz w:val="24"/>
          <w:szCs w:val="24"/>
        </w:rPr>
        <w:t>limited</w:t>
      </w:r>
      <w:r w:rsidR="009642EF">
        <w:rPr>
          <w:sz w:val="24"/>
          <w:szCs w:val="24"/>
        </w:rPr>
        <w:t xml:space="preserve"> literature </w:t>
      </w:r>
      <w:r w:rsidR="00032BAF">
        <w:rPr>
          <w:sz w:val="24"/>
          <w:szCs w:val="24"/>
        </w:rPr>
        <w:t>investigating the</w:t>
      </w:r>
      <w:r w:rsidR="009642EF">
        <w:rPr>
          <w:sz w:val="24"/>
          <w:szCs w:val="24"/>
        </w:rPr>
        <w:t xml:space="preserve"> effects</w:t>
      </w:r>
      <w:r w:rsidR="00032BAF">
        <w:rPr>
          <w:sz w:val="24"/>
          <w:szCs w:val="24"/>
        </w:rPr>
        <w:t xml:space="preserve"> and recovery</w:t>
      </w:r>
      <w:r w:rsidR="009642EF">
        <w:rPr>
          <w:sz w:val="24"/>
          <w:szCs w:val="24"/>
        </w:rPr>
        <w:t xml:space="preserve"> </w:t>
      </w:r>
      <w:r w:rsidR="00032BAF">
        <w:rPr>
          <w:sz w:val="24"/>
          <w:szCs w:val="24"/>
        </w:rPr>
        <w:t>from</w:t>
      </w:r>
      <w:r w:rsidR="009642EF">
        <w:rPr>
          <w:sz w:val="24"/>
          <w:szCs w:val="24"/>
        </w:rPr>
        <w:t xml:space="preserve"> the pandemic impact </w:t>
      </w:r>
      <w:r w:rsidR="00032BAF">
        <w:rPr>
          <w:sz w:val="24"/>
          <w:szCs w:val="24"/>
        </w:rPr>
        <w:t xml:space="preserve">with most publications being </w:t>
      </w:r>
      <w:r w:rsidR="009642EF">
        <w:rPr>
          <w:sz w:val="24"/>
          <w:szCs w:val="24"/>
        </w:rPr>
        <w:t>initial</w:t>
      </w:r>
      <w:r w:rsidR="00032BAF">
        <w:rPr>
          <w:sz w:val="24"/>
          <w:szCs w:val="24"/>
        </w:rPr>
        <w:t xml:space="preserve"> raw data</w:t>
      </w:r>
      <w:r w:rsidR="009642EF">
        <w:rPr>
          <w:sz w:val="24"/>
          <w:szCs w:val="24"/>
        </w:rPr>
        <w:t xml:space="preserve"> studies</w:t>
      </w:r>
      <w:r w:rsidR="00A77A13">
        <w:rPr>
          <w:sz w:val="24"/>
          <w:szCs w:val="24"/>
        </w:rPr>
        <w:t xml:space="preserve"> and</w:t>
      </w:r>
      <w:r w:rsidR="006242CC">
        <w:rPr>
          <w:sz w:val="24"/>
          <w:szCs w:val="24"/>
        </w:rPr>
        <w:t xml:space="preserve"> opinion papers from organisations</w:t>
      </w:r>
      <w:r w:rsidR="009642EF">
        <w:rPr>
          <w:sz w:val="24"/>
          <w:szCs w:val="24"/>
        </w:rPr>
        <w:t xml:space="preserve"> on the immediate impact of COVID-19 containment measures</w:t>
      </w:r>
      <w:r w:rsidR="00A77A13">
        <w:rPr>
          <w:sz w:val="24"/>
          <w:szCs w:val="24"/>
        </w:rPr>
        <w:t xml:space="preserve"> </w:t>
      </w:r>
      <w:r w:rsidR="00A77A13">
        <w:rPr>
          <w:sz w:val="24"/>
          <w:szCs w:val="24"/>
        </w:rPr>
        <w:fldChar w:fldCharType="begin"/>
      </w:r>
      <w:r w:rsidR="00A06B5E">
        <w:rPr>
          <w:sz w:val="24"/>
          <w:szCs w:val="24"/>
        </w:rPr>
        <w:instrText xml:space="preserve"> ADDIN ZOTERO_ITEM CSL_CITATION {"citationID":"EzyhmsI6","properties":{"formattedCitation":"(Apedo-Amah et al., 2020; Fairlie and Fossen, 2021)","plainCitation":"(Apedo-Amah et al., 2020; Fairlie and Fossen, 2021)","noteIndex":0},"citationItems":[{"id":1063,"uris":["http://zotero.org/users/local/RRCsWsp6/items/E4C5FL29"],"itemData":{"id":1063,"type":"book","collection-title":"Policy Research Working Papers","note":"DOI: 10.1596/1813-9450-9434","number-of-pages":"61","publisher":"The World Bank","source":"elibrary.worldbank.org (Atypon)","title":"Unmasking the Impact of COVID-19 on Businesses : Firm Level Evidence from across the World","title-short":"Unmasking the Impact of COVID-19 on Businesses","URL":"https://elibrary.worldbank.org/doi/abs/10.1596/1813-9450-9434","author":[{"family":"Apedo-Amah","given":"Marie Christine"},{"family":"Avdiu","given":"Besart"},{"family":"Cirera","given":"Xavier"},{"family":"Cruz","given":"Marcio"},{"family":"Davies","given":"Elwyn"},{"family":"Grover","given":"Arti"},{"family":"Iacovone","given":"Leonardo"},{"family":"Kilinc","given":"Umut"},{"family":"Medvedev","given":"Denis"},{"family":"Maduko","given":"Franklin Okechukwu"},{"family":"Poupakis","given":"Stavros"},{"family":"Torres","given":"Jesica"},{"family":"Tran","given":"Trang Thu"}],"accessed":{"date-parts":[["2023",7,29]]},"issued":{"date-parts":[["2020",10,9]]}},"label":"page"},{"id":1056,"uris":["http://zotero.org/users/local/RRCsWsp6/items/I59D66VB"],"itemData":{"id":1056,"type":"article-journal","abstract":"COVID-19 led to a massive shutdown of businesses in the second quarter of 2020. Estimates from the Current Population Survey, for example, indicate that the number of active business owners dropped by 22% from February to April 2020. We provide the first analysis of losses in sales among the universe of businesses in California using administrative data from the California Department of Tax and Fee Administration. Losses in taxable sales average 17% in the second quarter of 2020 relative to the second quarter of 2019 even though year-over-year sales typically grow by 3-4%. We find that sales losses were largest in businesses affected by mandatory lockdowns such as accommodations, which lost 91%, whereas online sales grew by 180%. Placing business types into different categories based on whether they were considered essential or nonessential (and thus subject to early lockdowns) and whether they have a moderate or high level of person-to-person contact, we find interesting correlations between sales losses and COVID-19 cases per capita across counties in California. The results suggest that local implementation and enforcement of lockdown restrictions as safety measures for public health and voluntary behavioral responses as reactions to the perceived local COVID-19 spread both played a role.","container-title":"Small Business Economics","DOI":"10.1007/s11187-021-00479-4","ISSN":"1573-0913","issue":"4","journalAbbreviation":"Small Bus Econ","language":"en","page":"1853-1864","source":"Springer Link","title":"The early impacts of the COVID-19 pandemic on business sales","volume":"58","author":[{"family":"Fairlie","given":"Robert"},{"family":"Fossen","given":"Frank M."}],"issued":{"date-parts":[["2021",3,31]]}},"label":"page"}],"schema":"https://github.com/citation-style-language/schema/raw/master/csl-citation.json"} </w:instrText>
      </w:r>
      <w:r w:rsidR="00A77A13">
        <w:rPr>
          <w:sz w:val="24"/>
          <w:szCs w:val="24"/>
        </w:rPr>
        <w:fldChar w:fldCharType="separate"/>
      </w:r>
      <w:r w:rsidR="00A06B5E">
        <w:rPr>
          <w:noProof/>
          <w:sz w:val="24"/>
          <w:szCs w:val="24"/>
        </w:rPr>
        <w:t>(Apedo-Amah et al., 2020; Fairlie and Fossen, 2021)</w:t>
      </w:r>
      <w:r w:rsidR="00A77A13">
        <w:rPr>
          <w:sz w:val="24"/>
          <w:szCs w:val="24"/>
        </w:rPr>
        <w:fldChar w:fldCharType="end"/>
      </w:r>
      <w:r w:rsidR="009642EF">
        <w:rPr>
          <w:sz w:val="24"/>
          <w:szCs w:val="24"/>
        </w:rPr>
        <w:t>.</w:t>
      </w:r>
      <w:r w:rsidR="00DC19F6">
        <w:rPr>
          <w:sz w:val="24"/>
          <w:szCs w:val="24"/>
        </w:rPr>
        <w:t xml:space="preserve"> </w:t>
      </w:r>
      <w:r w:rsidR="00AA0198" w:rsidRPr="00AA0198">
        <w:rPr>
          <w:sz w:val="24"/>
          <w:szCs w:val="24"/>
        </w:rPr>
        <w:t>Overall, the trend observed across all companies during 2019 to 2021 was a decline in financial position in 2020 due to the pandemic's impact, followed by a positive recovery in 2021</w:t>
      </w:r>
      <w:r w:rsidR="00D945BC">
        <w:rPr>
          <w:sz w:val="24"/>
          <w:szCs w:val="24"/>
        </w:rPr>
        <w:t xml:space="preserve"> in most sectors</w:t>
      </w:r>
      <w:r w:rsidR="00907AE5">
        <w:rPr>
          <w:sz w:val="24"/>
          <w:szCs w:val="24"/>
        </w:rPr>
        <w:t xml:space="preserve">. </w:t>
      </w:r>
      <w:r w:rsidR="003A44CF">
        <w:rPr>
          <w:sz w:val="24"/>
          <w:szCs w:val="24"/>
        </w:rPr>
        <w:t xml:space="preserve"> </w:t>
      </w:r>
    </w:p>
    <w:p w14:paraId="5AF5B32C" w14:textId="45AA10EA" w:rsidR="00193ACB" w:rsidRDefault="00F43B4E" w:rsidP="009735F6">
      <w:pPr>
        <w:spacing w:line="480" w:lineRule="auto"/>
        <w:jc w:val="both"/>
        <w:rPr>
          <w:sz w:val="24"/>
          <w:szCs w:val="24"/>
        </w:rPr>
      </w:pPr>
      <w:r>
        <w:rPr>
          <w:sz w:val="24"/>
          <w:szCs w:val="24"/>
        </w:rPr>
        <w:t>Studies have shown th</w:t>
      </w:r>
      <w:r w:rsidR="00173ECA">
        <w:rPr>
          <w:sz w:val="24"/>
          <w:szCs w:val="24"/>
        </w:rPr>
        <w:t>e</w:t>
      </w:r>
      <w:r>
        <w:rPr>
          <w:sz w:val="24"/>
          <w:szCs w:val="24"/>
        </w:rPr>
        <w:t xml:space="preserve"> trend</w:t>
      </w:r>
      <w:r w:rsidR="00173ECA">
        <w:rPr>
          <w:sz w:val="24"/>
          <w:szCs w:val="24"/>
        </w:rPr>
        <w:t>s observed in this study</w:t>
      </w:r>
      <w:r>
        <w:rPr>
          <w:sz w:val="24"/>
          <w:szCs w:val="24"/>
        </w:rPr>
        <w:t xml:space="preserve"> to be globally representative</w:t>
      </w:r>
      <w:r w:rsidR="000F3B63">
        <w:rPr>
          <w:sz w:val="24"/>
          <w:szCs w:val="24"/>
        </w:rPr>
        <w:t>,</w:t>
      </w:r>
      <w:r>
        <w:rPr>
          <w:sz w:val="24"/>
          <w:szCs w:val="24"/>
        </w:rPr>
        <w:t xml:space="preserve"> 8</w:t>
      </w:r>
      <w:r w:rsidRPr="005D50EB">
        <w:rPr>
          <w:sz w:val="24"/>
          <w:szCs w:val="24"/>
        </w:rPr>
        <w:t>4% of</w:t>
      </w:r>
      <w:r w:rsidRPr="00D96E00">
        <w:rPr>
          <w:sz w:val="24"/>
          <w:szCs w:val="24"/>
        </w:rPr>
        <w:t xml:space="preserve"> firms showing </w:t>
      </w:r>
      <w:r>
        <w:rPr>
          <w:sz w:val="24"/>
          <w:szCs w:val="24"/>
        </w:rPr>
        <w:t>a</w:t>
      </w:r>
      <w:r w:rsidRPr="00D96E00">
        <w:rPr>
          <w:sz w:val="24"/>
          <w:szCs w:val="24"/>
        </w:rPr>
        <w:t xml:space="preserve"> </w:t>
      </w:r>
      <w:r>
        <w:rPr>
          <w:sz w:val="24"/>
          <w:szCs w:val="24"/>
        </w:rPr>
        <w:t>reduction</w:t>
      </w:r>
      <w:r w:rsidRPr="00D96E00">
        <w:rPr>
          <w:sz w:val="24"/>
          <w:szCs w:val="24"/>
        </w:rPr>
        <w:t xml:space="preserve"> </w:t>
      </w:r>
      <w:r>
        <w:rPr>
          <w:sz w:val="24"/>
          <w:szCs w:val="24"/>
        </w:rPr>
        <w:t>of</w:t>
      </w:r>
      <w:r w:rsidRPr="00D96E00">
        <w:rPr>
          <w:sz w:val="24"/>
          <w:szCs w:val="24"/>
        </w:rPr>
        <w:t xml:space="preserve"> sales year on year</w:t>
      </w:r>
      <w:r>
        <w:rPr>
          <w:sz w:val="24"/>
          <w:szCs w:val="24"/>
        </w:rPr>
        <w:t xml:space="preserve"> and </w:t>
      </w:r>
      <w:r w:rsidR="007F2C11">
        <w:rPr>
          <w:sz w:val="24"/>
          <w:szCs w:val="24"/>
        </w:rPr>
        <w:t xml:space="preserve">worldwide markets displaying the same impacts </w:t>
      </w:r>
      <w:r>
        <w:rPr>
          <w:sz w:val="24"/>
          <w:szCs w:val="24"/>
        </w:rPr>
        <w:fldChar w:fldCharType="begin"/>
      </w:r>
      <w:r w:rsidR="00583DE7">
        <w:rPr>
          <w:sz w:val="24"/>
          <w:szCs w:val="24"/>
        </w:rPr>
        <w:instrText xml:space="preserve"> ADDIN ZOTERO_ITEM CSL_CITATION {"citationID":"rkcFnKGy","properties":{"unsorted":true,"formattedCitation":"(Apedo-Amah et al., 2020; Christelis et al., 2020; Barua, 2021)","plainCitation":"(Apedo-Amah et al., 2020; Christelis et al., 2020; Barua, 2021)","noteIndex":0},"citationItems":[{"id":1063,"uris":["http://zotero.org/users/local/RRCsWsp6/items/E4C5FL29"],"itemData":{"id":1063,"type":"book","collection-title":"Policy Research Working Papers","note":"DOI: 10.1596/1813-9450-9434","number-of-pages":"61","publisher":"The World Bank","source":"elibrary.worldbank.org (Atypon)","title":"Unmasking the Impact of COVID-19 on Businesses : Firm Level Evidence from across the World","title-short":"Unmasking the Impact of COVID-19 on Businesses","URL":"https://elibrary.worldbank.org/doi/abs/10.1596/1813-9450-9434","author":[{"family":"Apedo-Amah","given":"Marie Christine"},{"family":"Avdiu","given":"Besart"},{"family":"Cirera","given":"Xavier"},{"family":"Cruz","given":"Marcio"},{"family":"Davies","given":"Elwyn"},{"family":"Grover","given":"Arti"},{"family":"Iacovone","given":"Leonardo"},{"family":"Kilinc","given":"Umut"},{"family":"Medvedev","given":"Denis"},{"family":"Maduko","given":"Franklin Okechukwu"},{"family":"Poupakis","given":"Stavros"},{"family":"Torres","given":"Jesica"},{"family":"Tran","given":"Trang Thu"}],"accessed":{"date-parts":[["2023",7,29]]},"issued":{"date-parts":[["2020",10,9]]}},"label":"page"},{"id":1067,"uris":["http://zotero.org/users/local/RRCsWsp6/items/CHYQ7BSM"],"itemData":{"id":1067,"type":"report","collection-title":"Working Paper Series","event-place":"LU","genre":"Working Paper","language":"en","number":"2507","publisher":"European Central Bank","publisher-place":"LU","source":"DOI.org (CSL JSON)","title":"The Covid-19 crisis and consumption: survey evidence from six EU countries.","title-short":"The Covid-19 crisis and consumption","URL":"https://data.europa.eu/doi/10.2866/453216","author":[{"family":"Christelis","given":"Dimitris"},{"family":"Georgarakos","given":"Dimitris"},{"family":"Jappelli","given":"Tullio"},{"family":"Kenny","given":"Geoff"}],"accessed":{"date-parts":[["2023",7,29]]},"issued":{"date-parts":[["2020",12]]}},"label":"page"},{"id":1068,"uris":["http://zotero.org/users/local/RRCsWsp6/items/EEGT2WDY"],"itemData":{"id":1068,"type":"article-magazine","abstract":"With the US economy slowly returning to prepandemic levels, consumer spending is likely to get a shot in the arm as consumers eagerly spend on activities that had screeched to a halt during the COVID-19 pandemic.","container-title":"Deloitte Insights","language":"en-us","title":"A spring in consumers’ steps: Americans prepare to get back to their spending ways","title-short":"A spring in consumers’ steps","URL":"https://www2.deloitte.com/us/en/insights/economy/us-consumer-spending-after-covid.html","volume":"Economic Spotlight","author":[{"family":"Barua","given":"Akrur"}],"accessed":{"date-parts":[["2023",7,29]]},"issued":{"date-parts":[["2021",6,28]]}},"label":"page"}],"schema":"https://github.com/citation-style-language/schema/raw/master/csl-citation.json"} </w:instrText>
      </w:r>
      <w:r>
        <w:rPr>
          <w:sz w:val="24"/>
          <w:szCs w:val="24"/>
        </w:rPr>
        <w:fldChar w:fldCharType="separate"/>
      </w:r>
      <w:r w:rsidR="00583DE7">
        <w:rPr>
          <w:noProof/>
          <w:sz w:val="24"/>
          <w:szCs w:val="24"/>
        </w:rPr>
        <w:t>(Apedo-Amah et al., 2020; Christelis et al., 2020; Barua, 2021)</w:t>
      </w:r>
      <w:r>
        <w:rPr>
          <w:sz w:val="24"/>
          <w:szCs w:val="24"/>
        </w:rPr>
        <w:fldChar w:fldCharType="end"/>
      </w:r>
      <w:r>
        <w:rPr>
          <w:sz w:val="24"/>
          <w:szCs w:val="24"/>
        </w:rPr>
        <w:t>.</w:t>
      </w:r>
      <w:r w:rsidR="004D063C">
        <w:rPr>
          <w:sz w:val="24"/>
          <w:szCs w:val="24"/>
        </w:rPr>
        <w:t xml:space="preserve"> </w:t>
      </w:r>
      <w:r w:rsidR="00D3249C" w:rsidRPr="00D3249C">
        <w:rPr>
          <w:sz w:val="24"/>
          <w:szCs w:val="24"/>
        </w:rPr>
        <w:t>Cost of s</w:t>
      </w:r>
      <w:r w:rsidR="004D063C">
        <w:rPr>
          <w:sz w:val="24"/>
          <w:szCs w:val="24"/>
        </w:rPr>
        <w:t>ales</w:t>
      </w:r>
      <w:r w:rsidR="00D3249C" w:rsidRPr="00D3249C">
        <w:rPr>
          <w:sz w:val="24"/>
          <w:szCs w:val="24"/>
        </w:rPr>
        <w:t xml:space="preserve"> increased in 2020</w:t>
      </w:r>
      <w:r w:rsidR="000035B7">
        <w:rPr>
          <w:sz w:val="24"/>
          <w:szCs w:val="24"/>
        </w:rPr>
        <w:t xml:space="preserve"> and,</w:t>
      </w:r>
      <w:r w:rsidR="00D3249C" w:rsidRPr="00D3249C">
        <w:rPr>
          <w:sz w:val="24"/>
          <w:szCs w:val="24"/>
        </w:rPr>
        <w:t xml:space="preserve"> as a result</w:t>
      </w:r>
      <w:r w:rsidR="000035B7">
        <w:rPr>
          <w:sz w:val="24"/>
          <w:szCs w:val="24"/>
        </w:rPr>
        <w:t>,</w:t>
      </w:r>
      <w:r w:rsidR="00173ECA">
        <w:rPr>
          <w:sz w:val="24"/>
          <w:szCs w:val="24"/>
        </w:rPr>
        <w:t xml:space="preserve"> th</w:t>
      </w:r>
      <w:r w:rsidR="001D5CE5">
        <w:rPr>
          <w:sz w:val="24"/>
          <w:szCs w:val="24"/>
        </w:rPr>
        <w:t xml:space="preserve">e asset productivity of most companies declined due to </w:t>
      </w:r>
      <w:r w:rsidR="00D3249C" w:rsidRPr="00D3249C">
        <w:rPr>
          <w:sz w:val="24"/>
          <w:szCs w:val="24"/>
        </w:rPr>
        <w:t xml:space="preserve">implementing measures to protect consumers and in response to government </w:t>
      </w:r>
      <w:r w:rsidR="004D063C">
        <w:rPr>
          <w:sz w:val="24"/>
          <w:szCs w:val="24"/>
        </w:rPr>
        <w:t>directives</w:t>
      </w:r>
      <w:r w:rsidR="00D3249C" w:rsidRPr="00D3249C">
        <w:rPr>
          <w:sz w:val="24"/>
          <w:szCs w:val="24"/>
        </w:rPr>
        <w:t>.</w:t>
      </w:r>
      <w:r w:rsidR="00A4069B">
        <w:rPr>
          <w:sz w:val="24"/>
          <w:szCs w:val="24"/>
        </w:rPr>
        <w:t xml:space="preserve"> </w:t>
      </w:r>
      <w:r w:rsidR="00983886">
        <w:rPr>
          <w:sz w:val="24"/>
          <w:szCs w:val="24"/>
        </w:rPr>
        <w:t xml:space="preserve">Company liquidity preservation became essential to hedge against </w:t>
      </w:r>
      <w:r w:rsidR="00CE0C85">
        <w:rPr>
          <w:sz w:val="24"/>
          <w:szCs w:val="24"/>
        </w:rPr>
        <w:t>yet</w:t>
      </w:r>
      <w:r w:rsidR="00983886">
        <w:rPr>
          <w:sz w:val="24"/>
          <w:szCs w:val="24"/>
        </w:rPr>
        <w:t xml:space="preserve"> unseen </w:t>
      </w:r>
      <w:r w:rsidR="00F9081E">
        <w:rPr>
          <w:sz w:val="24"/>
          <w:szCs w:val="24"/>
        </w:rPr>
        <w:t xml:space="preserve">impacts on financial positions, with most company’s extending and increasing their credit and cash positions where possible to </w:t>
      </w:r>
      <w:r w:rsidR="00194BD0">
        <w:rPr>
          <w:sz w:val="24"/>
          <w:szCs w:val="24"/>
        </w:rPr>
        <w:t>allow flexibility and ‘safety’ room</w:t>
      </w:r>
      <w:r w:rsidR="003D4168">
        <w:rPr>
          <w:sz w:val="24"/>
          <w:szCs w:val="24"/>
        </w:rPr>
        <w:t xml:space="preserve"> as public policy developed</w:t>
      </w:r>
      <w:r w:rsidR="00194BD0">
        <w:rPr>
          <w:sz w:val="24"/>
          <w:szCs w:val="24"/>
        </w:rPr>
        <w:t>.</w:t>
      </w:r>
      <w:r w:rsidR="0081458B">
        <w:rPr>
          <w:sz w:val="24"/>
          <w:szCs w:val="24"/>
        </w:rPr>
        <w:t xml:space="preserve"> This </w:t>
      </w:r>
      <w:r w:rsidR="007E176F">
        <w:rPr>
          <w:sz w:val="24"/>
          <w:szCs w:val="24"/>
        </w:rPr>
        <w:t xml:space="preserve">trend </w:t>
      </w:r>
      <w:r w:rsidR="0081458B">
        <w:rPr>
          <w:sz w:val="24"/>
          <w:szCs w:val="24"/>
        </w:rPr>
        <w:t xml:space="preserve">was seen throughout the </w:t>
      </w:r>
      <w:r w:rsidR="00CE0C85">
        <w:rPr>
          <w:sz w:val="24"/>
          <w:szCs w:val="24"/>
        </w:rPr>
        <w:t>world markets</w:t>
      </w:r>
      <w:r w:rsidR="00EC5276">
        <w:rPr>
          <w:sz w:val="24"/>
          <w:szCs w:val="24"/>
        </w:rPr>
        <w:t>,</w:t>
      </w:r>
      <w:r w:rsidR="00CE0C85">
        <w:rPr>
          <w:sz w:val="24"/>
          <w:szCs w:val="24"/>
        </w:rPr>
        <w:t xml:space="preserve"> however</w:t>
      </w:r>
      <w:r w:rsidR="00EC5276">
        <w:rPr>
          <w:sz w:val="24"/>
          <w:szCs w:val="24"/>
        </w:rPr>
        <w:t>;</w:t>
      </w:r>
      <w:r w:rsidR="00CE0C85">
        <w:rPr>
          <w:sz w:val="24"/>
          <w:szCs w:val="24"/>
        </w:rPr>
        <w:t xml:space="preserve"> as indicated in our results</w:t>
      </w:r>
      <w:r w:rsidR="00EC5276">
        <w:rPr>
          <w:sz w:val="24"/>
          <w:szCs w:val="24"/>
        </w:rPr>
        <w:t xml:space="preserve"> this appeared to be a largely temporary measure with companies seeking to reduce exposure </w:t>
      </w:r>
      <w:r w:rsidR="00EC5276">
        <w:rPr>
          <w:sz w:val="24"/>
          <w:szCs w:val="24"/>
        </w:rPr>
        <w:lastRenderedPageBreak/>
        <w:t xml:space="preserve">through 2021 where possible </w:t>
      </w:r>
      <w:r w:rsidR="00EC5276">
        <w:rPr>
          <w:sz w:val="24"/>
          <w:szCs w:val="24"/>
        </w:rPr>
        <w:fldChar w:fldCharType="begin"/>
      </w:r>
      <w:r w:rsidR="00F753C4">
        <w:rPr>
          <w:sz w:val="24"/>
          <w:szCs w:val="24"/>
        </w:rPr>
        <w:instrText xml:space="preserve"> ADDIN ZOTERO_ITEM CSL_CITATION {"citationID":"rHFbTRtk","properties":{"unsorted":true,"formattedCitation":"(Banerjee et al., 2020; Deloitte, 2020; World Bank Group, 2020; Karim et al., 2021; Newma and Telling, 2021)","plainCitation":"(Banerjee et al., 2020; Deloitte, 2020; World Bank Group, 2020; Karim et al., 2021; Newma and Telling, 2021)","noteIndex":0},"citationItems":[{"id":1085,"uris":["http://zotero.org/users/local/RRCsWsp6/items/G4J3KZSY"],"itemData":{"id":1085,"type":"article-journal","abstract":"The Covid-19 shock is placing enormous strains on corporates cash buffers. Corporate financial statements from 2019 suggest that 50% of firms do not have sufficient cash to cover total debt servicing costs over the coming year. Credit lines could provide firms with additional liquidity. On average undrawn credit stood around 120% of debt servicing costs at end 2019. However, access is uneven and banks may be reluctant to renew or extend them in the current environment. Sticky operating expenses result in many firms running operating losses, placing an additional burden on cash buffers. Estimates indicate that following a 10% drop in revenues, operating expenses only fall by 6% on average. Simulations suggest that if revenues fall by 25% in 2020, then closing the entire funding gap with debt would raise firm leverage by around 10 percentage points.","language":"en","source":"www.bis.org","title":"Covid-19 and corporate sector liquidity","URL":"https://www.bis.org/publ/bisbull10.htm","author":[{"family":"Banerjee","given":"Ryan Niladri"},{"family":"Illes","given":"Anamaria"},{"family":"Kharroubi","given":"Enisse"},{"family":"Garralda","given":"José María Serena"}],"accessed":{"date-parts":[["2023",7,29]]},"issued":{"date-parts":[["2020",4,28]]}},"label":"page"},{"id":1082,"uris":["http://zotero.org/users/local/RRCsWsp6/items/SICWHRZM"],"itemData":{"id":1082,"type":"webpage","container-title":"Deloitte Perspectives","title":"Addressing the financial impact of COVID-19 - Liquidity","URL":"https://www2.deloitte.com/content/dam/Deloitte/ch/Documents/financial-advisory/deloitte-dh-fa-addressing-the-financial-impact-of-covid-19-liquidity.pdf","author":[{"family":"Deloitte","given":""}],"accessed":{"date-parts":[["2023",7,29]]},"issued":{"date-parts":[["2020"]]}},"label":"page"},{"id":1084,"uris":["http://zotero.org/users/local/RRCsWsp6/items/R7GP6T2U"],"itemData":{"id":1084,"type":"report","collection-title":"Finance Series","genre":"COVID-19 Notes","page":"26","publisher":"The World Bank Group","title":"COVID-19 Outbreak: Capital Markets Implications and Response","URL":"https://pubdocs.worldbank.org/en/776691586478873523/COVID-19-Outbreak-Capital-Markets.pdf","author":[{"family":"World Bank Group","given":""}],"accessed":{"date-parts":[["2023",7,29]]},"issued":{"date-parts":[["2020",3,25]]}},"label":"page"},{"id":1086,"uris":["http://zotero.org/users/local/RRCsWsp6/items/BB2B27YZ"],"itemData":{"id":1086,"type":"article-journal","abstract":"Purpose The pandemic COVID-19 has affected every sector of an economy in every possible way. Banking sector of Bangladesh has been affected by it badly. The purpose of this paper is to find out the impact of COVID-19 on the liquidity and financial health of the listed banks in Bangladesh. Design/methodology/approach Liquidity ratios are calculated to measure the liquidity condition of the banks and revised Altman's Z-Score Model for non-manufacturing companies is used to measure the financial health. The ratios are compared before and during the COVID-19 periods to assess the impact. Findings The findings of this study indicate a deterioration of liquidity position and financial health of the listed banks after the emergence of this pandemic. Though the banks have poor liquidity ratios and financial health prior to the emergence of this pandemic, they have decreased more in the second quarter of 2020. Most of the banks have poor liquidity ratios and cash position. The listed Islamic Banks have poor financial health than the listed Commercial Banks and all the banks belong to the red zone in all the quarters. Practical implications The results of this study will have policy implications for companies and regulators of money market. Originality/value This paper is a pioneer initiative in assessing the impact of COVID-19 pandemic on liquidity and financial health based on empirical data.","container-title":"Asian Journal of Economics and Banking","DOI":"10.1108/AJEB-03-2021-0033","ISSN":"2633-7991","issue":"3","note":"publisher: Emerald Publishing Limited","page":"307-323","source":"Emerald Insight","title":"COVID-19, liquidity and financial health: empirical evidence from South Asian economy","title-short":"COVID-19, liquidity and financial health","volume":"5","author":[{"family":"Karim","given":"Md. Rezaul"},{"family":"Shetu","given":"Samia Afrin"},{"family":"Razia","given":"Sultana"}],"issued":{"date-parts":[["2021",1,1]]}},"label":"page"},{"id":1092,"uris":["http://zotero.org/users/local/RRCsWsp6/items/AY6QJ8V2"],"itemData":{"id":1092,"type":"article-journal","abstract":"According to a survey in July by the Federation of Small Businesses (FSB), some 62 per cent of companies suffered late or frozen payments in the wake of the Covid-19 outbreak.\n\nAccording to the FSB, about 50,000 firms a year close due to late payments.\n\nThe government and regulators have introduced measures to clamp down on the most exploitative companies.\n\nSince 2017, businesses with an annual turnover of £36m, £18m on their balance sheet and at least 250 employees have been required to submit data on their payment practices to the government's website every six months.\n\nThe head office of GKN Automotive, the driveline manufacturer Melrose acquired as part of its hostile takeover of GKN in 2018, paid just 14 per cent of invoices within agreed terms in the six months to June, compared with 77 per cent in the first half of 2019.","archive":"ProQuest Central","archive_location":"2504962102","container-title":"Investors Chronicle","ISSN":"02613115","language":"English","note":"publisher-place: London\npublisher: The Financial Times Limited","page":"16","title":"Cash-strapped FTSE 100 companies delay payments to suppliers during Covid crisis","author":[{"family":"Newma","given":"Alex"},{"family":"Telling","given":"Oliver"}],"issued":{"date-parts":[["2021",3,26]]}},"label":"page"}],"schema":"https://github.com/citation-style-language/schema/raw/master/csl-citation.json"} </w:instrText>
      </w:r>
      <w:r w:rsidR="00EC5276">
        <w:rPr>
          <w:sz w:val="24"/>
          <w:szCs w:val="24"/>
        </w:rPr>
        <w:fldChar w:fldCharType="separate"/>
      </w:r>
      <w:r w:rsidR="00F753C4">
        <w:rPr>
          <w:noProof/>
          <w:sz w:val="24"/>
          <w:szCs w:val="24"/>
        </w:rPr>
        <w:t>(Banerjee et al., 2020; Deloitte, 2020; World Bank Group, 2020; Karim et al., 2021; Newma and Telling, 2021)</w:t>
      </w:r>
      <w:r w:rsidR="00EC5276">
        <w:rPr>
          <w:sz w:val="24"/>
          <w:szCs w:val="24"/>
        </w:rPr>
        <w:fldChar w:fldCharType="end"/>
      </w:r>
      <w:r w:rsidR="00EC5276">
        <w:rPr>
          <w:sz w:val="24"/>
          <w:szCs w:val="24"/>
        </w:rPr>
        <w:t xml:space="preserve">. </w:t>
      </w:r>
    </w:p>
    <w:p w14:paraId="0A07D6AB" w14:textId="59CD2787" w:rsidR="000971B4" w:rsidRPr="00212580" w:rsidRDefault="00DE290D" w:rsidP="009735F6">
      <w:pPr>
        <w:spacing w:line="480" w:lineRule="auto"/>
        <w:jc w:val="both"/>
        <w:rPr>
          <w:sz w:val="24"/>
          <w:szCs w:val="24"/>
        </w:rPr>
      </w:pPr>
      <w:r>
        <w:rPr>
          <w:sz w:val="24"/>
          <w:szCs w:val="24"/>
        </w:rPr>
        <w:t xml:space="preserve">The disruption of COVID-19 forced consumers to </w:t>
      </w:r>
      <w:r w:rsidR="00B061F4">
        <w:rPr>
          <w:sz w:val="24"/>
          <w:szCs w:val="24"/>
        </w:rPr>
        <w:t xml:space="preserve">significantly change their habits, with businesses being required to </w:t>
      </w:r>
      <w:r w:rsidR="002B6F38">
        <w:rPr>
          <w:sz w:val="24"/>
          <w:szCs w:val="24"/>
        </w:rPr>
        <w:t xml:space="preserve">understand and identify </w:t>
      </w:r>
      <w:r w:rsidR="00F200CE">
        <w:rPr>
          <w:sz w:val="24"/>
          <w:szCs w:val="24"/>
        </w:rPr>
        <w:t xml:space="preserve">new opportunities and growth areas to </w:t>
      </w:r>
      <w:r w:rsidR="00314053">
        <w:rPr>
          <w:sz w:val="24"/>
          <w:szCs w:val="24"/>
        </w:rPr>
        <w:t xml:space="preserve">offer value within a new paradigm </w:t>
      </w:r>
      <w:r w:rsidR="005B42C4">
        <w:rPr>
          <w:sz w:val="24"/>
          <w:szCs w:val="24"/>
        </w:rPr>
        <w:t>– usually with an increase in costs</w:t>
      </w:r>
      <w:r w:rsidR="004E42F2">
        <w:rPr>
          <w:sz w:val="24"/>
          <w:szCs w:val="24"/>
        </w:rPr>
        <w:t xml:space="preserve">. </w:t>
      </w:r>
      <w:r w:rsidR="00250202">
        <w:rPr>
          <w:sz w:val="24"/>
          <w:szCs w:val="24"/>
        </w:rPr>
        <w:t>Evidence from the FTSE</w:t>
      </w:r>
      <w:r w:rsidR="007E176F">
        <w:rPr>
          <w:sz w:val="24"/>
          <w:szCs w:val="24"/>
        </w:rPr>
        <w:t xml:space="preserve"> 250</w:t>
      </w:r>
      <w:r w:rsidR="00250202">
        <w:rPr>
          <w:sz w:val="24"/>
          <w:szCs w:val="24"/>
        </w:rPr>
        <w:t xml:space="preserve"> index overall shows that </w:t>
      </w:r>
      <w:r w:rsidR="00033AA6">
        <w:rPr>
          <w:sz w:val="24"/>
          <w:szCs w:val="24"/>
        </w:rPr>
        <w:t xml:space="preserve">companies in the index were successful in this adaptation, with </w:t>
      </w:r>
      <w:r w:rsidR="002B72F3">
        <w:rPr>
          <w:sz w:val="24"/>
          <w:szCs w:val="24"/>
        </w:rPr>
        <w:t xml:space="preserve">ratios indicating growth on pre-pandemic (2019) performance </w:t>
      </w:r>
      <w:r w:rsidR="005B42C4">
        <w:rPr>
          <w:sz w:val="24"/>
          <w:szCs w:val="24"/>
        </w:rPr>
        <w:t xml:space="preserve"> </w:t>
      </w:r>
      <w:r w:rsidR="00054CD0">
        <w:rPr>
          <w:sz w:val="24"/>
          <w:szCs w:val="24"/>
        </w:rPr>
        <w:fldChar w:fldCharType="begin"/>
      </w:r>
      <w:r w:rsidR="00F753C4">
        <w:rPr>
          <w:sz w:val="24"/>
          <w:szCs w:val="24"/>
        </w:rPr>
        <w:instrText xml:space="preserve"> ADDIN ZOTERO_ITEM CSL_CITATION {"citationID":"8mVPHCsB","properties":{"unsorted":true,"formattedCitation":"(Jacobides and Reeves, 2020; Phil Bunn et al., 2021; Foster, 2021; Semer\\uc0\\u225{}dov\\uc0\\u225{} and Weinlich, 2022)","plainCitation":"(Jacobides and Reeves, 2020; Phil Bunn et al., 2021; Foster, 2021; Semerádová and Weinlich, 2022)","noteIndex":0},"citationItems":[{"id":1070,"uris":["http://zotero.org/users/local/RRCsWsp6/items/LSLLUEGZ"],"itemData":{"id":1070,"type":"article-magazine","abstract":"Even in severe economic downturns and recessions, some companies are able to gain advantage. In the past four downturns, 14% of large companies increased both their sales growth rate and their EBIT margin. A shock like the Covid-19 pandemic can produce lasting changes in customer behavior. To survive and thrive in a crisis, begin by examining how people are spending their time and money. Challenge traditional ideas and use data to actively seek out anomalies and surprises. Next, adjust your business model to reflect behavioral changes, considering what the new trends might mean for how you create and deliver value, whom you need to partner with, and who your customers should be. Finally, put your money where your analysis takes you and be prepared to make more-aggressive, dynamic investments.","container-title":"Harvard Business Review","ISSN":"0017-8012","note":"section: Strategy","source":"hbr.org","title":"Adapt Your Business to the New Reality","URL":"https://hbr.org/2020/09/adapt-your-business-to-the-new-reality","author":[{"family":"Jacobides","given":"Michael G."},{"family":"Reeves","given":"Martin"}],"accessed":{"date-parts":[["2023",7,29]]},"issued":{"date-parts":[["2020",9,1]]}},"label":"page"},{"id":1079,"uris":["http://zotero.org/users/local/RRCsWsp6/items/U3PVSJYA"],"itemData":{"id":1079,"type":"document","abstract":"The purpose of Bank Overground is to share our internal analysis. Each bite-sized post summarises a piece of analysis that supported a policy or operational decision.","language":"en","publisher":"Bank of England","title":"How has Covid affected firms’ costs and prices?","URL":"https://www.bankofengland.co.uk/bank-overground/2021/how-has-covid-affected-firms-costs-and-prices","author":[{"family":"Bunn","given":"Phil"},{"family":"Co","given":"Lai Wah"},{"family":"Shadbolt","given":"Nicola"}],"accessed":{"date-parts":[["2023",7,29]]},"issued":{"date-parts":[["2021",4,7]]}},"label":"page"},{"id":1073,"uris":["http://zotero.org/users/local/RRCsWsp6/items/LW5G7EKW"],"itemData":{"id":1073,"type":"article-journal","abstract":"At a price of $600 per ton, if STEEL Company could sell 60,000 tons (50,000 units produced in 2020 and 10,000 units from beginning inventory units), the company's sales would total $36 million.\n\n[...]the SFAS 151 adjustment of $350,000 for 2020 would be close to 1% of sales.\n\n[...]the Company excludes certain unallocated overhead such as severance costs, duplicative facility overhead costs, and spoilage from the calculation and expenses them as period costs as required in Financial Accounting Standards Board (\"FASB\") Statement No. 151, Inventory Costs, an amendment of Accounting Research Bulletin (\"ARB\") No. 43, Chapter 4 (\"SFAS No. 151\").\n\nPlan for Disclosure Many companies have experienced severely reduced sales and cost of goods sold during 2020 that should be considered \"abnormal.\"\n\n[...]CFOs and auditors of companies that experience large unused capacity costs should plan for the calculation and disclosure of SFAS 151 adjustments.","archive":"ProQuest Central","archive_location":"2500011829","container-title":"The CPA Journal","ISSN":"07328435","issue":"2/3","language":"English","note":"publisher-place: New York\npublisher: New York State Society of Certified Public Accountants","page":"66-68","title":"The Impact of COVID-19 on Sales and Production: Certified Public Accountant","volume":"91","author":[{"family":"Foster","given":"Benjamin P"}],"issued":{"date-parts":[["2021",3]]}},"label":"page"},{"id":1072,"uris":["http://zotero.org/users/local/RRCsWsp6/items/XAVVMFAA"],"itemData":{"id":1072,"type":"book","event-place":"Hershey, PA, USA","ISBN":"978-1-79988-294-7","note":"page: 275\nDOI: 10.4018/978-1-7998-8294-7","number-of-pages":"1","publisher":"IGI Global","publisher-place":"Hershey, PA, USA","title":"Moving Businesses Online and Embracing E-Commerce: Impact and Opportunities Caused by COVID-19","URL":"https://services.igi-global.com/resolvedoi/resolve.aspx?doi=10.4018/978-1-7998-8294-7","editor":[{"family":"Semerádová","given":"Tereza"},{"family":"Weinlich","given":"Petr"}],"issued":{"date-parts":[["2022"]]}},"label":"page"}],"schema":"https://github.com/citation-style-language/schema/raw/master/csl-citation.json"} </w:instrText>
      </w:r>
      <w:r w:rsidR="00054CD0">
        <w:rPr>
          <w:sz w:val="24"/>
          <w:szCs w:val="24"/>
        </w:rPr>
        <w:fldChar w:fldCharType="separate"/>
      </w:r>
      <w:r w:rsidR="00F753C4" w:rsidRPr="00F753C4">
        <w:rPr>
          <w:rFonts w:ascii="Calibri" w:cs="Calibri"/>
          <w:sz w:val="24"/>
        </w:rPr>
        <w:t>(Jacobides and Reeves, 2020; Phil Bunn et al., 2021; Foster, 2021; Semerádová and Weinlich, 2022)</w:t>
      </w:r>
      <w:r w:rsidR="00054CD0">
        <w:rPr>
          <w:sz w:val="24"/>
          <w:szCs w:val="24"/>
        </w:rPr>
        <w:fldChar w:fldCharType="end"/>
      </w:r>
      <w:r w:rsidR="00314053">
        <w:rPr>
          <w:sz w:val="24"/>
          <w:szCs w:val="24"/>
        </w:rPr>
        <w:t>.</w:t>
      </w:r>
      <w:r w:rsidR="00E77BA2">
        <w:rPr>
          <w:sz w:val="24"/>
          <w:szCs w:val="24"/>
        </w:rPr>
        <w:t xml:space="preserve"> </w:t>
      </w:r>
      <w:r w:rsidR="0066620B">
        <w:rPr>
          <w:sz w:val="24"/>
          <w:szCs w:val="24"/>
        </w:rPr>
        <w:t xml:space="preserve">Part of this </w:t>
      </w:r>
      <w:r w:rsidR="00F3448A">
        <w:rPr>
          <w:sz w:val="24"/>
          <w:szCs w:val="24"/>
        </w:rPr>
        <w:t>could</w:t>
      </w:r>
      <w:r w:rsidR="00FB1D66">
        <w:rPr>
          <w:sz w:val="24"/>
          <w:szCs w:val="24"/>
        </w:rPr>
        <w:t xml:space="preserve"> be a result of</w:t>
      </w:r>
      <w:r w:rsidR="0045501E">
        <w:rPr>
          <w:sz w:val="24"/>
          <w:szCs w:val="24"/>
        </w:rPr>
        <w:t xml:space="preserve"> lockdown restrictions being lifted early in 2021</w:t>
      </w:r>
      <w:r w:rsidR="00F3448A">
        <w:rPr>
          <w:sz w:val="24"/>
          <w:szCs w:val="24"/>
        </w:rPr>
        <w:t xml:space="preserve">, allowing </w:t>
      </w:r>
      <w:r w:rsidR="00206E25">
        <w:rPr>
          <w:sz w:val="24"/>
          <w:szCs w:val="24"/>
        </w:rPr>
        <w:t>wider economic activity to resume</w:t>
      </w:r>
      <w:r w:rsidR="00CB7F54">
        <w:rPr>
          <w:sz w:val="24"/>
          <w:szCs w:val="24"/>
        </w:rPr>
        <w:t xml:space="preserve"> and traditional revenue streams to boost</w:t>
      </w:r>
      <w:r w:rsidR="00765154">
        <w:rPr>
          <w:sz w:val="24"/>
          <w:szCs w:val="24"/>
        </w:rPr>
        <w:t xml:space="preserve"> newer</w:t>
      </w:r>
      <w:r w:rsidR="00CB7F54">
        <w:rPr>
          <w:sz w:val="24"/>
          <w:szCs w:val="24"/>
        </w:rPr>
        <w:t xml:space="preserve"> </w:t>
      </w:r>
      <w:r w:rsidR="00765154">
        <w:rPr>
          <w:sz w:val="24"/>
          <w:szCs w:val="24"/>
        </w:rPr>
        <w:t>digital/online streams</w:t>
      </w:r>
      <w:r w:rsidR="00CF6057">
        <w:rPr>
          <w:sz w:val="24"/>
          <w:szCs w:val="24"/>
        </w:rPr>
        <w:t xml:space="preserve"> </w:t>
      </w:r>
      <w:r w:rsidR="00F65482">
        <w:rPr>
          <w:sz w:val="24"/>
          <w:szCs w:val="24"/>
        </w:rPr>
        <w:fldChar w:fldCharType="begin"/>
      </w:r>
      <w:r w:rsidR="00CB36B0">
        <w:rPr>
          <w:sz w:val="24"/>
          <w:szCs w:val="24"/>
        </w:rPr>
        <w:instrText xml:space="preserve"> ADDIN ZOTERO_ITEM CSL_CITATION {"citationID":"xbVEhdFr","properties":{"unsorted":true,"formattedCitation":"(Philip Bunn et al., 2021; Lund et al., 2021; Keep, 2022)","plainCitation":"(Philip Bunn et al., 2021; Lund et al., 2021; Keep, 2022)","noteIndex":0},"citationItems":[{"id":1089,"uris":["http://zotero.org/users/local/RRCsWsp6/items/HH6GUIN2"],"itemData":{"id":1089,"type":"article-journal","container-title":"University of Chicago, Becker Friedman Institute for Economics Working Paper","issue":"2021-135","title":"COVID-19 Uncertainty: A tale of two tails","author":[{"family":"Bunn","given":"Philip"},{"family":"Altig","given":"David"},{"family":"Anayi","given":"Lena"},{"family":"Barrero","given":"Jose Maria"},{"family":"Bloom","given":"Nicholas"},{"family":"Davis","given":"Steven J."},{"family":"Meyer","given":"Brent"},{"family":"Mihaylov","given":"Emil"},{"family":"Mizen","given":"Paul"},{"family":"Thwaites","given":"Greg"}],"issued":{"date-parts":[["2021"]]}},"label":"page"},{"id":1088,"uris":["http://zotero.org/users/local/RRCsWsp6/items/BYLJSTM4"],"itemData":{"id":1088,"type":"article-journal","container-title":"McKinsey &amp; Company","title":"What’s next for consumers, workers, and companies in the post-COVID-19 recovery","author":[{"family":"Lund","given":"Susan"},{"family":"Madgavkar","given":"Anu"},{"family":"Mischke","given":"Jan"},{"family":"Remes","given":"Jaana"}],"issued":{"date-parts":[["2021"]]}},"label":"page"},{"id":1090,"uris":["http://zotero.org/users/local/RRCsWsp6/items/UFY2ZQ2Q"],"itemData":{"id":1090,"type":"article-journal","abstract":"The UK economy grew above its pre-pandemic size for the first time in November 2021, before Omicron.","collection-title":"Insight","container-title":"House of Commons Library","language":"en-GB","source":"commonslibrary.parliament.uk","title":"Economic update: Economy was back to pre-pandemic level before Omicron","title-short":"Economic update","URL":"https://commonslibrary.parliament.uk/economic-update-economy-was-back-to-pre-pandemic-level-before-omicron/","author":[{"family":"Keep","given":"Matt"}],"accessed":{"date-parts":[["2023",7,29]]},"issued":{"date-parts":[["2022",1,25]]}},"label":"page"}],"schema":"https://github.com/citation-style-language/schema/raw/master/csl-citation.json"} </w:instrText>
      </w:r>
      <w:r w:rsidR="00F65482">
        <w:rPr>
          <w:sz w:val="24"/>
          <w:szCs w:val="24"/>
        </w:rPr>
        <w:fldChar w:fldCharType="separate"/>
      </w:r>
      <w:r w:rsidR="00CB36B0">
        <w:rPr>
          <w:noProof/>
          <w:sz w:val="24"/>
          <w:szCs w:val="24"/>
        </w:rPr>
        <w:t>(Philip Bunn et al., 2021; Lund et al., 2021; Keep, 2022)</w:t>
      </w:r>
      <w:r w:rsidR="00F65482">
        <w:rPr>
          <w:sz w:val="24"/>
          <w:szCs w:val="24"/>
        </w:rPr>
        <w:fldChar w:fldCharType="end"/>
      </w:r>
      <w:r w:rsidR="00CF6057">
        <w:rPr>
          <w:sz w:val="24"/>
          <w:szCs w:val="24"/>
        </w:rPr>
        <w:t>.</w:t>
      </w:r>
    </w:p>
    <w:p w14:paraId="69C31E7B" w14:textId="4C2809D2" w:rsidR="003A2B96" w:rsidRDefault="00CE4984" w:rsidP="00112407">
      <w:pPr>
        <w:pStyle w:val="Heading2"/>
        <w:numPr>
          <w:ilvl w:val="1"/>
          <w:numId w:val="3"/>
        </w:numPr>
        <w:spacing w:line="480" w:lineRule="auto"/>
        <w:jc w:val="both"/>
        <w:rPr>
          <w:szCs w:val="24"/>
        </w:rPr>
      </w:pPr>
      <w:bookmarkStart w:id="83" w:name="_Toc141646754"/>
      <w:r>
        <w:rPr>
          <w:szCs w:val="24"/>
        </w:rPr>
        <w:t>E</w:t>
      </w:r>
      <w:r w:rsidR="001700FC">
        <w:rPr>
          <w:szCs w:val="24"/>
        </w:rPr>
        <w:t xml:space="preserve">ffects of the COVID-19 Pandemic on </w:t>
      </w:r>
      <w:r w:rsidR="00F73758">
        <w:rPr>
          <w:szCs w:val="24"/>
        </w:rPr>
        <w:t>industry sectors</w:t>
      </w:r>
      <w:r w:rsidR="00DF019F">
        <w:rPr>
          <w:szCs w:val="24"/>
        </w:rPr>
        <w:t xml:space="preserve"> in the </w:t>
      </w:r>
      <w:r w:rsidR="00715DBE">
        <w:rPr>
          <w:szCs w:val="24"/>
        </w:rPr>
        <w:t>UK</w:t>
      </w:r>
      <w:bookmarkEnd w:id="83"/>
    </w:p>
    <w:p w14:paraId="388E728F" w14:textId="03674020" w:rsidR="00502941" w:rsidRPr="00212580" w:rsidRDefault="006157DE" w:rsidP="00502941">
      <w:pPr>
        <w:spacing w:line="480" w:lineRule="auto"/>
        <w:jc w:val="both"/>
        <w:rPr>
          <w:sz w:val="24"/>
          <w:szCs w:val="24"/>
        </w:rPr>
      </w:pPr>
      <w:r w:rsidRPr="009735F6">
        <w:rPr>
          <w:sz w:val="24"/>
          <w:szCs w:val="24"/>
        </w:rPr>
        <w:t xml:space="preserve">Consumers adapted quickly initially to </w:t>
      </w:r>
      <w:r w:rsidR="00CA5926" w:rsidRPr="009735F6">
        <w:rPr>
          <w:sz w:val="24"/>
          <w:szCs w:val="24"/>
        </w:rPr>
        <w:t xml:space="preserve">new approaches to manage within the restrictions placed by </w:t>
      </w:r>
      <w:r w:rsidR="00BA13C4" w:rsidRPr="009735F6">
        <w:rPr>
          <w:sz w:val="24"/>
          <w:szCs w:val="24"/>
        </w:rPr>
        <w:t xml:space="preserve">the government </w:t>
      </w:r>
      <w:r w:rsidR="009735F6" w:rsidRPr="009735F6">
        <w:rPr>
          <w:sz w:val="24"/>
          <w:szCs w:val="24"/>
        </w:rPr>
        <w:t>which</w:t>
      </w:r>
      <w:r w:rsidR="00BA13C4" w:rsidRPr="009735F6">
        <w:rPr>
          <w:sz w:val="24"/>
          <w:szCs w:val="24"/>
        </w:rPr>
        <w:t xml:space="preserve"> helped in many sectors to alleviate losses and impact</w:t>
      </w:r>
      <w:r w:rsidR="003F105D" w:rsidRPr="009735F6">
        <w:rPr>
          <w:sz w:val="24"/>
          <w:szCs w:val="24"/>
        </w:rPr>
        <w:t xml:space="preserve"> </w:t>
      </w:r>
      <w:r w:rsidR="003E25D3" w:rsidRPr="009735F6">
        <w:rPr>
          <w:sz w:val="24"/>
          <w:szCs w:val="24"/>
        </w:rPr>
        <w:fldChar w:fldCharType="begin"/>
      </w:r>
      <w:r w:rsidR="003E25D3" w:rsidRPr="009735F6">
        <w:rPr>
          <w:sz w:val="24"/>
          <w:szCs w:val="24"/>
        </w:rPr>
        <w:instrText xml:space="preserve"> ADDIN ZOTERO_ITEM CSL_CITATION {"citationID":"YsT5xj2W","properties":{"formattedCitation":"(Sheth, 2020)","plainCitation":"(Sheth, 2020)","noteIndex":0},"citationItems":[{"id":1058,"uris":["http://zotero.org/users/local/RRCsWsp6/items/NG9VSJ29"],"itemData":{"id":1058,"type":"article-journal","abstract":"The COVID-19 pandemic and the lockdown and social distancing mandates have disrupted the consumer habits of buying as well as shopping. Consumers are learning to improvise and learn new habits. For example, consumers cannot go to the store, so the store comes to home. While consumers go back to old habits, it is likely that they will be modified by new regulations and procedures in the way consumers shop and buy products and services. New habits will also emerge by technology advances, changing demographics and innovative ways consumers have learned to cope with blurring the work, leisure, and education boundaries.","container-title":"Journal of Business Research","DOI":"10.1016/j.jbusres.2020.05.059","ISSN":"0148-2963","journalAbbreviation":"Journal of Business Research","language":"en","page":"280-283","source":"ScienceDirect","title":"Impact of Covid-19 on consumer behavior: Will the old habits return or die?","title-short":"Impact of Covid-19 on consumer behavior","volume":"117","author":[{"family":"Sheth","given":"Jagdish"}],"issued":{"date-parts":[["2020",9,1]]}}}],"schema":"https://github.com/citation-style-language/schema/raw/master/csl-citation.json"} </w:instrText>
      </w:r>
      <w:r w:rsidR="003E25D3" w:rsidRPr="009735F6">
        <w:rPr>
          <w:sz w:val="24"/>
          <w:szCs w:val="24"/>
        </w:rPr>
        <w:fldChar w:fldCharType="separate"/>
      </w:r>
      <w:r w:rsidR="003E25D3" w:rsidRPr="009735F6">
        <w:rPr>
          <w:noProof/>
          <w:sz w:val="24"/>
          <w:szCs w:val="24"/>
        </w:rPr>
        <w:t>(Sheth, 2020)</w:t>
      </w:r>
      <w:r w:rsidR="003E25D3" w:rsidRPr="009735F6">
        <w:rPr>
          <w:sz w:val="24"/>
          <w:szCs w:val="24"/>
        </w:rPr>
        <w:fldChar w:fldCharType="end"/>
      </w:r>
      <w:r w:rsidR="00BA13C4" w:rsidRPr="009735F6">
        <w:rPr>
          <w:sz w:val="24"/>
          <w:szCs w:val="24"/>
        </w:rPr>
        <w:t xml:space="preserve">. </w:t>
      </w:r>
      <w:r w:rsidR="003F105D" w:rsidRPr="009735F6">
        <w:rPr>
          <w:sz w:val="24"/>
          <w:szCs w:val="24"/>
        </w:rPr>
        <w:t xml:space="preserve">Technology </w:t>
      </w:r>
      <w:r w:rsidR="008F226F" w:rsidRPr="009735F6">
        <w:rPr>
          <w:sz w:val="24"/>
          <w:szCs w:val="24"/>
        </w:rPr>
        <w:t xml:space="preserve">embracement was a key component of managing through the pandemic, to facilitate </w:t>
      </w:r>
      <w:r w:rsidR="009E3900" w:rsidRPr="009735F6">
        <w:rPr>
          <w:sz w:val="24"/>
          <w:szCs w:val="24"/>
        </w:rPr>
        <w:t xml:space="preserve">new </w:t>
      </w:r>
      <w:r w:rsidR="008F226F" w:rsidRPr="009735F6">
        <w:rPr>
          <w:sz w:val="24"/>
          <w:szCs w:val="24"/>
        </w:rPr>
        <w:t>consumer beha</w:t>
      </w:r>
      <w:r w:rsidR="009E3900" w:rsidRPr="009735F6">
        <w:rPr>
          <w:sz w:val="24"/>
          <w:szCs w:val="24"/>
        </w:rPr>
        <w:t>viours and allowing</w:t>
      </w:r>
      <w:r w:rsidR="00DC6DB6" w:rsidRPr="009735F6">
        <w:rPr>
          <w:sz w:val="24"/>
          <w:szCs w:val="24"/>
        </w:rPr>
        <w:t xml:space="preserve"> continued operations through organisational pivoting through necessity </w:t>
      </w:r>
      <w:r w:rsidR="00D83800" w:rsidRPr="009735F6">
        <w:rPr>
          <w:sz w:val="24"/>
          <w:szCs w:val="24"/>
        </w:rPr>
        <w:fldChar w:fldCharType="begin"/>
      </w:r>
      <w:r w:rsidR="00F74643">
        <w:rPr>
          <w:sz w:val="24"/>
          <w:szCs w:val="24"/>
        </w:rPr>
        <w:instrText xml:space="preserve"> ADDIN ZOTERO_ITEM CSL_CITATION {"citationID":"DZmevQE9","properties":{"formattedCitation":"(Seetharaman, 2020; Sharma et al., 2020)","plainCitation":"(Seetharaman, 2020; Sharma et al., 2020)","noteIndex":0},"citationItems":[{"id":1106,"uris":["http://zotero.org/users/local/RRCsWsp6/items/4H42EVJ3"],"itemData":{"id":1106,"type":"article-journal","abstract":"No amount of crystal ball gazing may help us fathom the full impact of the Covid-19 (C-19) crisis on business organizations in a distinct manner. Given the lack of precedence, any such analyses seem to demand routine revisions as we progress further up the “number of infected” curve. Most countries of the world have imposed restrictions on social congregations or even people working in close proximity to each other. Industries that produce and deliver information products and services therefore, have continued to function while those that manufacture physical products especially labor-intensive firms were forced to minimize operations or temporarily shut down. However, in most countries, physical products which were essential in nature were reluctantly permitted to be manufactured given the need for them in people’s everyday life. In this viewpoint, I draw upon three dimensions – information intensity of product/service, information intensity of process/value chain; along with a third dimension – essential nature of the product/service to help understand the immediate implications of C-19. I also present some anecdotal evidences of attempts to alter business models in these circumstances in order to address the challenges that certain product characteristics impose but at the same capitalize on the business opportunities presented by the essentiality of the products.","container-title":"International Journal of Information Management","DOI":"10.1016/j.ijinfomgt.2020.102173","ISSN":"0268-4012","journalAbbreviation":"International Journal of Information Management","language":"en","page":"102173","source":"ScienceDirect","title":"Business models shifts: Impact of Covid-19","title-short":"Business models shifts","volume":"54","author":[{"family":"Seetharaman","given":"Priya"}],"issued":{"date-parts":[["2020",10,1]]}},"label":"page"},{"id":1061,"uris":["http://zotero.org/users/local/RRCsWsp6/items/BUQYBTCE"],"itemData":{"id":1061,"type":"article-journal","abstract":"Despite the perennial need to understand and manage uncertainty in international business, there is no comprehensive framework that incorporates different types of uncertainty, their antecedents and outcomes, and the different coping strategies used by managers and their outcomes. This makes it difficult for international business managers to understand the types of uncertainty in their businesses and develop appropriate strategies to deal with it effectively, especially during times such as the ongoing Covid-19 pandemic. This paper uses an extensive review of the international business literature to address the above research gap by identifying the different types of uncertainty, their antecedents and outcomes, the coping strategies used to mitigate their impact, and the consequences of these actions. The authors also use examples from the current Covid-19 crisis to assess the firms’ responses and their consequences. The paper concludes with some implications for international business managers and directions for future research.","container-title":"Journal of Business Research","DOI":"10.1016/j.jbusres.2020.05.026","ISSN":"0148-2963","journalAbbreviation":"Journal of Business Research","language":"en","page":"188-192","source":"ScienceDirect","title":"Managing uncertainty during a global pandemic: An international business perspective","title-short":"Managing uncertainty during a global pandemic","volume":"116","author":[{"family":"Sharma","given":"Piyush"},{"family":"Leung","given":"T. Y."},{"family":"Kingshott","given":"Russel P. J."},{"family":"Davcik","given":"Nebojsa S."},{"family":"Cardinali","given":"Silvio"}],"issued":{"date-parts":[["2020",8,1]]}},"label":"page"}],"schema":"https://github.com/citation-style-language/schema/raw/master/csl-citation.json"} </w:instrText>
      </w:r>
      <w:r w:rsidR="00D83800" w:rsidRPr="009735F6">
        <w:rPr>
          <w:sz w:val="24"/>
          <w:szCs w:val="24"/>
        </w:rPr>
        <w:fldChar w:fldCharType="separate"/>
      </w:r>
      <w:r w:rsidR="00F74643">
        <w:rPr>
          <w:noProof/>
          <w:sz w:val="24"/>
          <w:szCs w:val="24"/>
        </w:rPr>
        <w:t>(Seetharaman, 2020; Sharma et al., 2020)</w:t>
      </w:r>
      <w:r w:rsidR="00D83800" w:rsidRPr="009735F6">
        <w:rPr>
          <w:sz w:val="24"/>
          <w:szCs w:val="24"/>
        </w:rPr>
        <w:fldChar w:fldCharType="end"/>
      </w:r>
      <w:r w:rsidR="00DC6DB6" w:rsidRPr="009735F6">
        <w:rPr>
          <w:sz w:val="24"/>
          <w:szCs w:val="24"/>
        </w:rPr>
        <w:t xml:space="preserve">. </w:t>
      </w:r>
      <w:r w:rsidR="001A3CDF">
        <w:rPr>
          <w:sz w:val="24"/>
          <w:szCs w:val="24"/>
        </w:rPr>
        <w:fldChar w:fldCharType="begin"/>
      </w:r>
      <w:r w:rsidR="00023389">
        <w:rPr>
          <w:sz w:val="24"/>
          <w:szCs w:val="24"/>
        </w:rPr>
        <w:instrText xml:space="preserve"> ADDIN ZOTERO_ITEM CSL_CITATION {"citationID":"1I0ZNY5R","properties":{"formattedCitation":"(Butler, 2021)","plainCitation":"(Butler, 2021)","dontUpdate":true,"noteIndex":0},"citationItems":[{"id":911,"uris":["http://zotero.org/users/local/RRCsWsp6/items/GBSDHVM4"],"itemData":{"id":911,"type":"article-newspaper","abstract":"Independent shops and villages fared far better than chains and city centres but study fears full Covid impact yet to come","container-title":"The Guardian","ISSN":"0261-3077","language":"en-GB","section":"Business","source":"The Guardian","title":"British high street lost 11,000 shops in 2020, study shows","URL":"https://www.theguardian.com/business/2021/mar/24/british-high-street-lost-11000-shops-in-2020-study-shows","author":[{"family":"Butler","given":"Sarah"}],"accessed":{"date-parts":[["2023",7,17]]},"issued":{"date-parts":[["2021",3,24]]}}}],"schema":"https://github.com/citation-style-language/schema/raw/master/csl-citation.json"} </w:instrText>
      </w:r>
      <w:r w:rsidR="001A3CDF">
        <w:rPr>
          <w:sz w:val="24"/>
          <w:szCs w:val="24"/>
        </w:rPr>
        <w:fldChar w:fldCharType="separate"/>
      </w:r>
      <w:r w:rsidR="00356C24">
        <w:rPr>
          <w:noProof/>
          <w:sz w:val="24"/>
          <w:szCs w:val="24"/>
        </w:rPr>
        <w:t>Butler, (2021)</w:t>
      </w:r>
      <w:r w:rsidR="001A3CDF">
        <w:rPr>
          <w:sz w:val="24"/>
          <w:szCs w:val="24"/>
        </w:rPr>
        <w:fldChar w:fldCharType="end"/>
      </w:r>
      <w:r w:rsidR="00356C24">
        <w:rPr>
          <w:sz w:val="24"/>
          <w:szCs w:val="24"/>
        </w:rPr>
        <w:t xml:space="preserve"> observed </w:t>
      </w:r>
      <w:r w:rsidR="00E737CC">
        <w:rPr>
          <w:sz w:val="24"/>
          <w:szCs w:val="24"/>
        </w:rPr>
        <w:t xml:space="preserve">the shift in </w:t>
      </w:r>
      <w:r w:rsidR="00955E93">
        <w:rPr>
          <w:sz w:val="24"/>
          <w:szCs w:val="24"/>
        </w:rPr>
        <w:t xml:space="preserve">consumer </w:t>
      </w:r>
      <w:r w:rsidR="00E737CC">
        <w:rPr>
          <w:sz w:val="24"/>
          <w:szCs w:val="24"/>
        </w:rPr>
        <w:t xml:space="preserve">spending priority caused by the impact of </w:t>
      </w:r>
      <w:r w:rsidR="00955E93">
        <w:rPr>
          <w:sz w:val="24"/>
          <w:szCs w:val="24"/>
        </w:rPr>
        <w:t xml:space="preserve">lockdowns, with hospitality (Consumer Discretionary) </w:t>
      </w:r>
      <w:r w:rsidR="0035222A">
        <w:rPr>
          <w:sz w:val="24"/>
          <w:szCs w:val="24"/>
        </w:rPr>
        <w:t xml:space="preserve">spending being restricted, retail </w:t>
      </w:r>
      <w:r w:rsidR="005A0E39">
        <w:rPr>
          <w:sz w:val="24"/>
          <w:szCs w:val="24"/>
        </w:rPr>
        <w:t>sales increased (Consumer Staples) as more people spent time at home.</w:t>
      </w:r>
      <w:r w:rsidR="00966C1F">
        <w:rPr>
          <w:sz w:val="24"/>
          <w:szCs w:val="24"/>
        </w:rPr>
        <w:t xml:space="preserve"> </w:t>
      </w:r>
      <w:r w:rsidR="00EC274A">
        <w:rPr>
          <w:sz w:val="24"/>
          <w:szCs w:val="24"/>
        </w:rPr>
        <w:t>In the UK</w:t>
      </w:r>
      <w:r w:rsidR="007E176F">
        <w:rPr>
          <w:sz w:val="24"/>
          <w:szCs w:val="24"/>
        </w:rPr>
        <w:t>,</w:t>
      </w:r>
      <w:r w:rsidR="00EC274A">
        <w:rPr>
          <w:sz w:val="24"/>
          <w:szCs w:val="24"/>
        </w:rPr>
        <w:t xml:space="preserve"> </w:t>
      </w:r>
      <w:r w:rsidR="00DA22FD">
        <w:rPr>
          <w:sz w:val="24"/>
          <w:szCs w:val="24"/>
        </w:rPr>
        <w:t>the retail sector showed a</w:t>
      </w:r>
      <w:r w:rsidR="006940EC">
        <w:rPr>
          <w:sz w:val="24"/>
          <w:szCs w:val="24"/>
        </w:rPr>
        <w:t>n</w:t>
      </w:r>
      <w:r w:rsidR="00DA22FD">
        <w:rPr>
          <w:sz w:val="24"/>
          <w:szCs w:val="24"/>
        </w:rPr>
        <w:t xml:space="preserve"> uplift in e-commerce channels and product delivery, even as physical retail shops reopened</w:t>
      </w:r>
      <w:r w:rsidR="006940EC">
        <w:rPr>
          <w:sz w:val="24"/>
          <w:szCs w:val="24"/>
        </w:rPr>
        <w:t>, due to social distancing policies complicating the shopping process</w:t>
      </w:r>
      <w:r w:rsidR="00DA22FD">
        <w:rPr>
          <w:sz w:val="24"/>
          <w:szCs w:val="24"/>
        </w:rPr>
        <w:t>.</w:t>
      </w:r>
      <w:r w:rsidR="009908C7">
        <w:rPr>
          <w:sz w:val="24"/>
          <w:szCs w:val="24"/>
        </w:rPr>
        <w:t xml:space="preserve"> This likely encouraged our observed </w:t>
      </w:r>
      <w:r w:rsidR="00183FBB">
        <w:rPr>
          <w:sz w:val="24"/>
          <w:szCs w:val="24"/>
        </w:rPr>
        <w:t>positive impact on the technology sector.</w:t>
      </w:r>
      <w:r w:rsidR="006940EC">
        <w:rPr>
          <w:sz w:val="24"/>
          <w:szCs w:val="24"/>
        </w:rPr>
        <w:t xml:space="preserve"> </w:t>
      </w:r>
      <w:r w:rsidR="003B1C87">
        <w:rPr>
          <w:sz w:val="24"/>
          <w:szCs w:val="24"/>
        </w:rPr>
        <w:t>However,</w:t>
      </w:r>
      <w:r w:rsidR="00737592">
        <w:rPr>
          <w:sz w:val="24"/>
          <w:szCs w:val="24"/>
        </w:rPr>
        <w:t xml:space="preserve"> </w:t>
      </w:r>
      <w:r w:rsidR="00737592">
        <w:rPr>
          <w:sz w:val="24"/>
          <w:szCs w:val="24"/>
        </w:rPr>
        <w:lastRenderedPageBreak/>
        <w:t xml:space="preserve">studies seem to suggest that rather than having new diversification in e-commerce, companies already operating within this environment </w:t>
      </w:r>
      <w:r w:rsidR="00131306">
        <w:rPr>
          <w:sz w:val="24"/>
          <w:szCs w:val="24"/>
        </w:rPr>
        <w:t xml:space="preserve">focused on increasing their capacity – reflected in our observed cost of sales increase in 2020 </w:t>
      </w:r>
      <w:r w:rsidR="00FF38E4">
        <w:rPr>
          <w:sz w:val="24"/>
          <w:szCs w:val="24"/>
        </w:rPr>
        <w:fldChar w:fldCharType="begin"/>
      </w:r>
      <w:r w:rsidR="007571FA">
        <w:rPr>
          <w:sz w:val="24"/>
          <w:szCs w:val="24"/>
        </w:rPr>
        <w:instrText xml:space="preserve"> ADDIN ZOTERO_ITEM CSL_CITATION {"citationID":"n5VXB9gj","properties":{"unsorted":true,"formattedCitation":"(Briedis et al., 2020; Dannenberg et al., 2020; Nazir, 2020)","plainCitation":"(Briedis et al., 2020; Dannenberg et al., 2020; Nazir, 2020)","noteIndex":0},"citationItems":[{"id":1110,"uris":["http://zotero.org/users/local/RRCsWsp6/items/H62ELBGD"],"itemData":{"id":1110,"type":"post-weblog","container-title":"McKinsey &amp; Company Insights","genre":"Financial Analysis","title":"Adapting to the next normal in retail","URL":"https://www.mckinsey.com/industries/retail/our-insights/adapting-to-the-next-normal-in-retail-the-customer-experience-imperative","author":[{"family":"Briedis","given":"Holly"},{"family":"Kronschnabl","given":"Anne"},{"family":"Rodriguez","given":"Alex"},{"family":"Ungerman","given":"Kelly"}],"accessed":{"date-parts":[["2023",7,29]]},"issued":{"date-parts":[["2020",5,14]]}},"label":"page"},{"id":1109,"uris":["http://zotero.org/users/local/RRCsWsp6/items/I3WZH3EI"],"itemData":{"id":1109,"type":"article-journal","abstract":"The COVID-19 pandemic has led to a sharp increase in online trade. This article examines the impact of the pandemic on online grocery retail in Germany. Here we follow and refine the multi-level perspective by Geels, and examine to what extent and why the online grocery retail expanded during the pandemic. A particular focus is on the spatial expansion into rural areas. The study shows a general upswing in the grocery trade and disproportionately high growth in online grocery trade and identifies driving and limiting factors. While COVID-19 has opened a window of opportunity, our results indicate little transition of grocery to e-grocery. This finding can be explained by the sudden and temporary constellation at the level of the socio-technical regime during the pandemic. As a result, we argue for a rethinking the temporality of windows of opportunities and the related vulnerability of the innovations which need them.","container-title":"Tijdschrift voor Economische en Sociale Geografie","DOI":"10.1111/tesg.12453","ISSN":"1467-9663","issue":"3","language":"en","license":"© 2020 The Authors. Tijdschrift voor Economische en Sociale Geografie published by John Wiley &amp; Sons Ltd on behalf of Royal Dutch Geographical Society / Koninklijk Nederlands Aardrijkskundig","note":"_eprint: https://onlinelibrary.wiley.com/doi/pdf/10.1111/tesg.12453","page":"543-560","source":"Wiley Online Library","title":"Digital Transition by COVID-19 Pandemic? The German Food Online Retail","title-short":"Digital Transition by COVID-19 Pandemic?","volume":"111","author":[{"family":"Dannenberg","given":"Peter"},{"family":"Fuchs","given":"Martina"},{"family":"Riedler","given":"Tim"},{"family":"Wiedemann","given":"Cathrin"}],"issued":{"date-parts":[["2020"]]}},"label":"page"},{"id":1113,"uris":["http://zotero.org/users/local/RRCsWsp6/items/IMUAEZAS"],"itemData":{"id":1113,"type":"article-newspaper","abstract":"Once the lockdown is eased and non-essential retailers begin to reopen, many will need to think outside the box in regards to their business strategy.","container-title":"Retail Gazette","language":"en-GB","note":"section: Feature Articles","title":"The dos &amp; don'ts retailers should consider post lockdown","URL":"https://www.retailgazette.co.uk/blog/2020/05/dos-donts-retailers-lockdown-guidance-coronavirus-safety-social-distancing/","author":[{"family":"Nazir","given":"Sahar"}],"accessed":{"date-parts":[["2023",7,29]]},"issued":{"date-parts":[["2020",5,7]]}},"label":"page"}],"schema":"https://github.com/citation-style-language/schema/raw/master/csl-citation.json"} </w:instrText>
      </w:r>
      <w:r w:rsidR="00FF38E4">
        <w:rPr>
          <w:sz w:val="24"/>
          <w:szCs w:val="24"/>
        </w:rPr>
        <w:fldChar w:fldCharType="separate"/>
      </w:r>
      <w:r w:rsidR="007571FA">
        <w:rPr>
          <w:noProof/>
          <w:sz w:val="24"/>
          <w:szCs w:val="24"/>
        </w:rPr>
        <w:t>(Briedis et al., 2020; Dannenberg et al., 2020; Nazir, 2020)</w:t>
      </w:r>
      <w:r w:rsidR="00FF38E4">
        <w:rPr>
          <w:sz w:val="24"/>
          <w:szCs w:val="24"/>
        </w:rPr>
        <w:fldChar w:fldCharType="end"/>
      </w:r>
      <w:r w:rsidR="00131306">
        <w:rPr>
          <w:sz w:val="24"/>
          <w:szCs w:val="24"/>
        </w:rPr>
        <w:t>.</w:t>
      </w:r>
      <w:r w:rsidR="00737592">
        <w:rPr>
          <w:sz w:val="24"/>
          <w:szCs w:val="24"/>
        </w:rPr>
        <w:t xml:space="preserve"> </w:t>
      </w:r>
      <w:r w:rsidR="00785D85">
        <w:rPr>
          <w:sz w:val="24"/>
          <w:szCs w:val="24"/>
        </w:rPr>
        <w:t>In contrast, g</w:t>
      </w:r>
      <w:r w:rsidR="00502941" w:rsidRPr="00CE62B5">
        <w:rPr>
          <w:sz w:val="24"/>
          <w:szCs w:val="24"/>
        </w:rPr>
        <w:t xml:space="preserve">lobally the travel and hospitality sector was widely affected (Consumer Discretionary), with this pressure extending into 2021 as while mitigations and a ‘new normal’ was found for most daily activities; countries continued to impose restrictions on international travel </w:t>
      </w:r>
      <w:r w:rsidR="00502941" w:rsidRPr="00CE62B5">
        <w:rPr>
          <w:sz w:val="24"/>
          <w:szCs w:val="24"/>
        </w:rPr>
        <w:fldChar w:fldCharType="begin"/>
      </w:r>
      <w:r w:rsidR="00023B9A">
        <w:rPr>
          <w:sz w:val="24"/>
          <w:szCs w:val="24"/>
        </w:rPr>
        <w:instrText xml:space="preserve"> ADDIN ZOTERO_ITEM CSL_CITATION {"citationID":"PvcJMzIH","properties":{"unsorted":true,"formattedCitation":"(Sokol and Pataccini, 2020; Fairlie and Fossen, 2021)","plainCitation":"(Sokol and Pataccini, 2020; Fairlie and Fossen, 2021)","noteIndex":0},"citationItems":[{"id":1098,"uris":["http://zotero.org/users/local/RRCsWsp6/items/ZSY4YE74"],"itemData":{"id":1098,"type":"article-journal","abstract":"This paper has two interrelated aims. First, it attempts to sketch a preliminary map of economic winners and losers to highlight the emerging economic geographies of the coronavirus pandemic. Second, it aims to explore the links between these emerging economic geographies and the processes of ‘financialisation’, drawing on the concept of ‘financial chains’. Regarding the first aim, the paper argues that the pandemic-induced crisis will exacerbate social inequalities and deepen uneven development at multiple geographical scales. Regarding the second aim, the paper argues that the ‘financialisation’ perspective in general, and the concept of ‘financial chains’ in particular, provide useful insights into the crisis and its uneven effects, by shedding light on the complex web of flows of value and power relations established/emerging between the prospective winners and losers. It also highlights the prominent role of debt and debt-based financial chains in shaping economic geographies in times of major global crisis.","container-title":"Tijdschrift voor Economische en Sociale Geografie","DOI":"10.1111/tesg.12433","ISSN":"1467-9663","issue":"3","language":"en","license":"© 2020 The Authors. Tijdschrift voor Economische en Sociale Geografie published by John Wiley &amp; Sons Ltd on behalf of Royal Dutch Geographical Society / Koninklijk Nederlands Aardrijkskundig","note":"_eprint: https://onlinelibrary.wiley.com/doi/pdf/10.1111/tesg.12433","page":"401-415","source":"Wiley Online Library","title":"Winners And Losers In Coronavirus Times: Financialisation, Financial Chains and Emerging Economic Geographies of The Covid-19 Pandemic","title-short":"Winners And Losers In Coronavirus Times","volume":"111","author":[{"family":"Sokol","given":"Martin"},{"family":"Pataccini","given":"Leonardo"}],"issued":{"date-parts":[["2020"]]}},"label":"page"},{"id":1056,"uris":["http://zotero.org/users/local/RRCsWsp6/items/I59D66VB"],"itemData":{"id":1056,"type":"article-journal","abstract":"COVID-19 led to a massive shutdown of businesses in the second quarter of 2020. Estimates from the Current Population Survey, for example, indicate that the number of active business owners dropped by 22% from February to April 2020. We provide the first analysis of losses in sales among the universe of businesses in California using administrative data from the California Department of Tax and Fee Administration. Losses in taxable sales average 17% in the second quarter of 2020 relative to the second quarter of 2019 even though year-over-year sales typically grow by 3-4%. We find that sales losses were largest in businesses affected by mandatory lockdowns such as accommodations, which lost 91%, whereas online sales grew by 180%. Placing business types into different categories based on whether they were considered essential or nonessential (and thus subject to early lockdowns) and whether they have a moderate or high level of person-to-person contact, we find interesting correlations between sales losses and COVID-19 cases per capita across counties in California. The results suggest that local implementation and enforcement of lockdown restrictions as safety measures for public health and voluntary behavioral responses as reactions to the perceived local COVID-19 spread both played a role.","container-title":"Small Business Economics","DOI":"10.1007/s11187-021-00479-4","ISSN":"1573-0913","issue":"4","journalAbbreviation":"Small Bus Econ","language":"en","page":"1853-1864","source":"Springer Link","title":"The early impacts of the COVID-19 pandemic on business sales","volume":"58","author":[{"family":"Fairlie","given":"Robert"},{"family":"Fossen","given":"Frank M."}],"issued":{"date-parts":[["2021",3,31]]}},"label":"page"}],"schema":"https://github.com/citation-style-language/schema/raw/master/csl-citation.json"} </w:instrText>
      </w:r>
      <w:r w:rsidR="00502941" w:rsidRPr="00CE62B5">
        <w:rPr>
          <w:sz w:val="24"/>
          <w:szCs w:val="24"/>
        </w:rPr>
        <w:fldChar w:fldCharType="separate"/>
      </w:r>
      <w:r w:rsidR="00023B9A">
        <w:rPr>
          <w:noProof/>
          <w:sz w:val="24"/>
          <w:szCs w:val="24"/>
        </w:rPr>
        <w:t>(Sokol and Pataccini, 2020; Fairlie and Fossen, 2021)</w:t>
      </w:r>
      <w:r w:rsidR="00502941" w:rsidRPr="00CE62B5">
        <w:rPr>
          <w:sz w:val="24"/>
          <w:szCs w:val="24"/>
        </w:rPr>
        <w:fldChar w:fldCharType="end"/>
      </w:r>
      <w:r w:rsidR="00502941" w:rsidRPr="00CE62B5">
        <w:rPr>
          <w:sz w:val="24"/>
          <w:szCs w:val="24"/>
        </w:rPr>
        <w:t xml:space="preserve">. Our findings were supported for this sector by studies and data from multiple other economies </w:t>
      </w:r>
      <w:r w:rsidR="00502941" w:rsidRPr="00CE62B5">
        <w:rPr>
          <w:sz w:val="24"/>
          <w:szCs w:val="24"/>
        </w:rPr>
        <w:fldChar w:fldCharType="begin"/>
      </w:r>
      <w:r w:rsidR="00023B9A">
        <w:rPr>
          <w:sz w:val="24"/>
          <w:szCs w:val="24"/>
        </w:rPr>
        <w:instrText xml:space="preserve"> ADDIN ZOTERO_ITEM CSL_CITATION {"citationID":"pDZ6bx0s","properties":{"unsorted":true,"formattedCitation":"(Meng et al., 2021; Ozdemir et al., 2021)","plainCitation":"(Meng et al., 2021; Ozdemir et al., 2021)","noteIndex":0},"citationItems":[{"id":1101,"uris":["http://zotero.org/users/local/RRCsWsp6/items/ZCYGKEFE"],"itemData":{"id":1101,"type":"article-journal","abstract":"Many countries have been implementing various control measures with different strictness levels to prevent the coronavirus disease 2019 (COVID-19) from spreading. With the great reduction in human mobility and daily activities, considerable impacts have been imposed on the global air transportation industry. This study applies a hybrid SARIMA-based intervention model to measure the differences in the impacts of different control measures implemented in China, the U.S. and Singapore on air passenger and air freight traffic. To explore the effect of time span for the measures to be in force, two scenarios are invented, namely a long-term intervention and a short-term intervention, and predictions are made till the end of 2020 for all three countries under both scenarios. As a result, predictive patterns of the selected metrics for the three countries are rather different. China is predicted to have the mildest economic impact on the air transportation industry in this year in terms of air passenger revenue and air cargo traffic, provided that the control measures were prompt and effective. The U.S. would suffer from a far-reaching impact on the industry if the same control measures are maintained. More uncertainties are found for Singapore, as it is strongly associated with international travel demands. Suggestions are made for the three countries and the rest of the world on how to seek a balance between the strictness of control measures and the potential long-term industrial losses.","container-title":"PLoS ONE","DOI":"10.1371/journal.pone.0248361","ISSN":"19326203","issue":"3","note":"publisher: Public Library of Science","page":"1-19","source":"EBSCOhost","title":"Impact of different control policies for COVID-19 outbreak on the air transportation industry: A comparison between China, the U.S. and Singapore","title-short":"Impact of different control policies for COVID-19 outbreak on the air transportation industry","volume":"16","author":[{"family":"Meng","given":"Fanyu"},{"family":"Gong","given":"Wenwu"},{"family":"Liang","given":"Jun"},{"family":"Li","given":"Xian"},{"family":"Zeng","given":"Yiping"},{"family":"Yang","given":"Lili"}],"issued":{"date-parts":[["2021",3,16]]}},"label":"page"},{"id":1103,"uris":["http://zotero.org/users/local/RRCsWsp6/items/7HEAM5YP"],"itemData":{"id":1103,"type":"article-journal","abstract":"The COVID-19 pandemic has had substantial negative impacts on the global economy. While all sectors of the economy are expected to be adversely affected, the economic implications of this pandemic for the hotel industry have not yet been widely investigated. The purpose of this study is to examine the extent to which the COVID-19 pandemic has affected the U.S. hotel industry. The results showed that daily room OCC, ADR and RevPAR have plunged about 74%, 47% and 86%, respectively. Although the impact is observed across all hotel segments, economy-scale hotels were more resilient, whereas luxury-scale hotels experienced the largest decline. Also, chain-managed hotels are the most affected by the COVID-19 pandemic as compared to franchise and independent hotels. Quantifying the magnitude of this impact, we found that the U.S. hotel industry's revenue losses accumulated to over $30 billion between March-2020 and May-2020. Implications for practitioners, policy-makers, and researchers are discussed.","container-title":"Tourism Management Perspectives","DOI":"10.1016/j.tmp.2021.100864","ISSN":"2211-9736","journalAbbreviation":"Tourism Management Perspectives","language":"en","page":"100864","source":"ScienceDirect","title":"Quantifying the economic impact of COVID-19 on the U.S. hotel industry: Examination of hotel segments and operational structures","title-short":"Quantifying the economic impact of COVID-19 on the U.S. hotel industry","volume":"39","author":[{"family":"Ozdemir","given":"Ozgur"},{"family":"Dogru","given":"Tarik"},{"family":"Kizildag","given":"Murat"},{"family":"Mody","given":"Makarand"},{"family":"Suess","given":"Courtney"}],"issued":{"date-parts":[["2021",7,1]]}},"label":"page"}],"schema":"https://github.com/citation-style-language/schema/raw/master/csl-citation.json"} </w:instrText>
      </w:r>
      <w:r w:rsidR="00502941" w:rsidRPr="00CE62B5">
        <w:rPr>
          <w:sz w:val="24"/>
          <w:szCs w:val="24"/>
        </w:rPr>
        <w:fldChar w:fldCharType="separate"/>
      </w:r>
      <w:r w:rsidR="00023B9A">
        <w:rPr>
          <w:noProof/>
          <w:sz w:val="24"/>
          <w:szCs w:val="24"/>
        </w:rPr>
        <w:t>(Meng et al., 2021; Ozdemir et al., 2021)</w:t>
      </w:r>
      <w:r w:rsidR="00502941" w:rsidRPr="00CE62B5">
        <w:rPr>
          <w:sz w:val="24"/>
          <w:szCs w:val="24"/>
        </w:rPr>
        <w:fldChar w:fldCharType="end"/>
      </w:r>
      <w:r w:rsidR="00502941" w:rsidRPr="00CE62B5">
        <w:rPr>
          <w:sz w:val="24"/>
          <w:szCs w:val="24"/>
        </w:rPr>
        <w:t>.</w:t>
      </w:r>
      <w:r w:rsidR="00502941">
        <w:rPr>
          <w:sz w:val="24"/>
          <w:szCs w:val="24"/>
        </w:rPr>
        <w:t xml:space="preserve"> </w:t>
      </w:r>
    </w:p>
    <w:p w14:paraId="43E67AF5" w14:textId="0F3AFC3A" w:rsidR="00C66E10" w:rsidRDefault="00B9273E" w:rsidP="00F121BC">
      <w:pPr>
        <w:spacing w:line="480" w:lineRule="auto"/>
        <w:jc w:val="both"/>
        <w:rPr>
          <w:sz w:val="24"/>
          <w:szCs w:val="24"/>
        </w:rPr>
      </w:pPr>
      <w:r>
        <w:rPr>
          <w:sz w:val="24"/>
          <w:szCs w:val="24"/>
        </w:rPr>
        <w:t>Two</w:t>
      </w:r>
      <w:r w:rsidR="00D10F62">
        <w:rPr>
          <w:sz w:val="24"/>
          <w:szCs w:val="24"/>
        </w:rPr>
        <w:t xml:space="preserve"> of the most negatively affected industries </w:t>
      </w:r>
      <w:r>
        <w:rPr>
          <w:sz w:val="24"/>
          <w:szCs w:val="24"/>
        </w:rPr>
        <w:t>were</w:t>
      </w:r>
      <w:r w:rsidR="00D10F62">
        <w:rPr>
          <w:sz w:val="24"/>
          <w:szCs w:val="24"/>
        </w:rPr>
        <w:t xml:space="preserve"> </w:t>
      </w:r>
      <w:r w:rsidR="00FE47AF">
        <w:rPr>
          <w:sz w:val="24"/>
          <w:szCs w:val="24"/>
        </w:rPr>
        <w:t>the real estate</w:t>
      </w:r>
      <w:r>
        <w:rPr>
          <w:sz w:val="24"/>
          <w:szCs w:val="24"/>
        </w:rPr>
        <w:t xml:space="preserve"> and energy</w:t>
      </w:r>
      <w:r w:rsidR="00FE47AF">
        <w:rPr>
          <w:sz w:val="24"/>
          <w:szCs w:val="24"/>
        </w:rPr>
        <w:t xml:space="preserve"> sector</w:t>
      </w:r>
      <w:r>
        <w:rPr>
          <w:sz w:val="24"/>
          <w:szCs w:val="24"/>
        </w:rPr>
        <w:t>s</w:t>
      </w:r>
      <w:r w:rsidR="00D10F62">
        <w:rPr>
          <w:sz w:val="24"/>
          <w:szCs w:val="24"/>
        </w:rPr>
        <w:t xml:space="preserve">. </w:t>
      </w:r>
      <w:r>
        <w:rPr>
          <w:sz w:val="24"/>
          <w:szCs w:val="24"/>
        </w:rPr>
        <w:t>In Real estate</w:t>
      </w:r>
      <w:r w:rsidR="00906DD2">
        <w:rPr>
          <w:sz w:val="24"/>
          <w:szCs w:val="24"/>
        </w:rPr>
        <w:t>, a</w:t>
      </w:r>
      <w:r w:rsidR="00FE47AF">
        <w:rPr>
          <w:sz w:val="24"/>
          <w:szCs w:val="24"/>
        </w:rPr>
        <w:t>ctivity stalled due to lockdowns and social distancing,</w:t>
      </w:r>
      <w:r w:rsidR="00521F9F">
        <w:rPr>
          <w:sz w:val="24"/>
          <w:szCs w:val="24"/>
        </w:rPr>
        <w:t xml:space="preserve"> affecting transaction ability for the residential market and </w:t>
      </w:r>
      <w:r w:rsidR="00C82380">
        <w:rPr>
          <w:sz w:val="24"/>
          <w:szCs w:val="24"/>
        </w:rPr>
        <w:t>no demand for office space impacting on the commercial market.</w:t>
      </w:r>
      <w:r w:rsidR="00FE47AF">
        <w:rPr>
          <w:sz w:val="24"/>
          <w:szCs w:val="24"/>
        </w:rPr>
        <w:t xml:space="preserve"> </w:t>
      </w:r>
      <w:r w:rsidR="00C82380">
        <w:rPr>
          <w:sz w:val="24"/>
          <w:szCs w:val="24"/>
        </w:rPr>
        <w:t xml:space="preserve">This was supported with analysis </w:t>
      </w:r>
      <w:r w:rsidR="00166F9C">
        <w:rPr>
          <w:sz w:val="24"/>
          <w:szCs w:val="24"/>
        </w:rPr>
        <w:t>from other markets globally</w:t>
      </w:r>
      <w:r w:rsidR="00C57372">
        <w:rPr>
          <w:sz w:val="24"/>
          <w:szCs w:val="24"/>
        </w:rPr>
        <w:t xml:space="preserve"> </w:t>
      </w:r>
      <w:r w:rsidR="00C62D65">
        <w:rPr>
          <w:sz w:val="24"/>
          <w:szCs w:val="24"/>
        </w:rPr>
        <w:fldChar w:fldCharType="begin"/>
      </w:r>
      <w:r w:rsidR="00C62D65">
        <w:rPr>
          <w:sz w:val="24"/>
          <w:szCs w:val="24"/>
        </w:rPr>
        <w:instrText xml:space="preserve"> ADDIN ZOTERO_ITEM CSL_CITATION {"citationID":"lZdBRvI4","properties":{"formattedCitation":"(Slade, 2022)","plainCitation":"(Slade, 2022)","noteIndex":0},"citationItems":[{"id":1116,"uris":["http://zotero.org/users/local/RRCsWsp6/items/T649HFWG"],"itemData":{"id":1116,"type":"article-journal","abstract":"COVID‐19 has affected all industrial sectors and regions of the world and, in many cases, the impact has been devastating. Nevertheless, there are large differences across sectors and regions, with a few winners as well as many losers. This paper assesses the impact of the first wave of the virus on Canadian industries and provinces in the short and medium run. In particular, time series forecasting models for 39 three‐digit industries in each of the 10 provinces are estimated and used to predict post‐lockdown losses: percentage differences between forecast and observed economic activity. Econometric analysis of the estimates is then used to quantify and rank industries and provinces in terms of short‐ and medium‐term losses and gains. Provincial ranks are then compared with the stringency of provincial economic restrictions.\nRésumé\nDe nombreux perdants et quelques gagnants : incidence de la COVID‐19 sur les industries et les régions canadiennes. La crise de la COVID‐19 n'a épargné aucun secteur industriel ni aucune région du monde, et dans la plupart des cas, les conséquences se sont avérées dévastatrices. Néanmoins, l'on observe de grandes disparités d'un secteur à l'autre et d'une région du monde à l'autre, avec quelques gagnants mais également de nombreux perdants. Cet article évalue l'incidence de la première vague du virus sur les industries et les provinces canadiennes à court et à moyen terme. De manière plus spécifique, et afin de prévoir les pertes consécutives au confinement, nous estimons et utilisons des modèles de prévision chronologique pour les 39 industries à trois chiffres dans chacune des dix provinces du pays. Nous calculons ainsi les écarts de pourcentage entre l'activité économique estimée et celle observée. Nous utilisons ensuite l'analyse économétrique de nos évaluations pour mesurer et classer les différentes industries et provinces en termes de gains et pertes à court et moyen terme. Les classements des provinces sont ensuite comparés à l'aune de la rigueur des restrictions économiques mises en place au niveau local.","container-title":"The Canadian journal of economics","DOI":"10.1111/caje.12539","ISSN":"0008-4085","issue":"S1","note":"publisher-place: Malden\npublisher: Wiley Subscription Services, Inc","page":"282-307","title":"Many losers and a few winners: The impact of COVID‐19 on Canadian industries and regions","volume":"55","author":[{"family":"Slade","given":"Margaret E."}],"issued":{"date-parts":[["2022"]]}}}],"schema":"https://github.com/citation-style-language/schema/raw/master/csl-citation.json"} </w:instrText>
      </w:r>
      <w:r w:rsidR="00C62D65">
        <w:rPr>
          <w:sz w:val="24"/>
          <w:szCs w:val="24"/>
        </w:rPr>
        <w:fldChar w:fldCharType="separate"/>
      </w:r>
      <w:r w:rsidR="00C62D65">
        <w:rPr>
          <w:noProof/>
          <w:sz w:val="24"/>
          <w:szCs w:val="24"/>
        </w:rPr>
        <w:t>(Slade, 2022)</w:t>
      </w:r>
      <w:r w:rsidR="00C62D65">
        <w:rPr>
          <w:sz w:val="24"/>
          <w:szCs w:val="24"/>
        </w:rPr>
        <w:fldChar w:fldCharType="end"/>
      </w:r>
      <w:r w:rsidR="00166F9C">
        <w:rPr>
          <w:sz w:val="24"/>
          <w:szCs w:val="24"/>
        </w:rPr>
        <w:t xml:space="preserve">. One observed positive with </w:t>
      </w:r>
      <w:r w:rsidR="00266697">
        <w:rPr>
          <w:sz w:val="24"/>
          <w:szCs w:val="24"/>
        </w:rPr>
        <w:t xml:space="preserve">work from home policies in place, </w:t>
      </w:r>
      <w:r w:rsidR="00CD770A">
        <w:rPr>
          <w:sz w:val="24"/>
          <w:szCs w:val="24"/>
        </w:rPr>
        <w:t>consumers increased spending on ‘do it yourself’ products</w:t>
      </w:r>
      <w:r w:rsidR="003D60A4">
        <w:rPr>
          <w:sz w:val="24"/>
          <w:szCs w:val="24"/>
        </w:rPr>
        <w:t xml:space="preserve"> due to increased time spent at</w:t>
      </w:r>
      <w:r w:rsidR="00C57372">
        <w:rPr>
          <w:sz w:val="24"/>
          <w:szCs w:val="24"/>
        </w:rPr>
        <w:t xml:space="preserve"> their residence</w:t>
      </w:r>
      <w:r w:rsidR="003D60A4">
        <w:rPr>
          <w:sz w:val="24"/>
          <w:szCs w:val="24"/>
        </w:rPr>
        <w:t xml:space="preserve"> </w:t>
      </w:r>
      <w:r w:rsidR="003D60A4">
        <w:rPr>
          <w:sz w:val="24"/>
          <w:szCs w:val="24"/>
        </w:rPr>
        <w:fldChar w:fldCharType="begin"/>
      </w:r>
      <w:r w:rsidR="003D60A4">
        <w:rPr>
          <w:sz w:val="24"/>
          <w:szCs w:val="24"/>
        </w:rPr>
        <w:instrText xml:space="preserve"> ADDIN ZOTERO_ITEM CSL_CITATION {"citationID":"bcidgSG1","properties":{"formattedCitation":"(Butler, 2021)","plainCitation":"(Butler, 2021)","noteIndex":0},"citationItems":[{"id":911,"uris":["http://zotero.org/users/local/RRCsWsp6/items/GBSDHVM4"],"itemData":{"id":911,"type":"article-newspaper","abstract":"Independent shops and villages fared far better than chains and city centres but study fears full Covid impact yet to come","container-title":"The Guardian","ISSN":"0261-3077","language":"en-GB","section":"Business","source":"The Guardian","title":"British high street lost 11,000 shops in 2020, study shows","URL":"https://www.theguardian.com/business/2021/mar/24/british-high-street-lost-11000-shops-in-2020-study-shows","author":[{"family":"Butler","given":"Sarah"}],"accessed":{"date-parts":[["2023",7,17]]},"issued":{"date-parts":[["2021",3,24]]}}}],"schema":"https://github.com/citation-style-language/schema/raw/master/csl-citation.json"} </w:instrText>
      </w:r>
      <w:r w:rsidR="003D60A4">
        <w:rPr>
          <w:sz w:val="24"/>
          <w:szCs w:val="24"/>
        </w:rPr>
        <w:fldChar w:fldCharType="separate"/>
      </w:r>
      <w:r w:rsidR="003D60A4">
        <w:rPr>
          <w:noProof/>
          <w:sz w:val="24"/>
          <w:szCs w:val="24"/>
        </w:rPr>
        <w:t>(Butler, 2021)</w:t>
      </w:r>
      <w:r w:rsidR="003D60A4">
        <w:rPr>
          <w:sz w:val="24"/>
          <w:szCs w:val="24"/>
        </w:rPr>
        <w:fldChar w:fldCharType="end"/>
      </w:r>
      <w:r w:rsidR="003D60A4">
        <w:rPr>
          <w:sz w:val="24"/>
          <w:szCs w:val="24"/>
        </w:rPr>
        <w:t xml:space="preserve">. </w:t>
      </w:r>
      <w:r w:rsidR="00906DD2">
        <w:rPr>
          <w:sz w:val="24"/>
          <w:szCs w:val="24"/>
        </w:rPr>
        <w:t xml:space="preserve">The energy sector includes major fuel providers and saw </w:t>
      </w:r>
      <w:r w:rsidR="00987A01">
        <w:rPr>
          <w:sz w:val="24"/>
          <w:szCs w:val="24"/>
        </w:rPr>
        <w:t xml:space="preserve">challenging impacts, in part caused by </w:t>
      </w:r>
      <w:r w:rsidR="00B50635">
        <w:rPr>
          <w:sz w:val="24"/>
          <w:szCs w:val="24"/>
        </w:rPr>
        <w:t xml:space="preserve">international travel restrictions and work from home decreasing the demand for fuels. This </w:t>
      </w:r>
      <w:r w:rsidR="00E02474">
        <w:rPr>
          <w:sz w:val="24"/>
          <w:szCs w:val="24"/>
        </w:rPr>
        <w:t>was observed on the global oil markets as well as in domestic demand in the UK</w:t>
      </w:r>
      <w:r w:rsidR="0071022D">
        <w:rPr>
          <w:sz w:val="24"/>
          <w:szCs w:val="24"/>
        </w:rPr>
        <w:t xml:space="preserve"> </w:t>
      </w:r>
      <w:r w:rsidR="0071022D">
        <w:rPr>
          <w:sz w:val="24"/>
          <w:szCs w:val="24"/>
        </w:rPr>
        <w:fldChar w:fldCharType="begin"/>
      </w:r>
      <w:r w:rsidR="00023B9A">
        <w:rPr>
          <w:sz w:val="24"/>
          <w:szCs w:val="24"/>
        </w:rPr>
        <w:instrText xml:space="preserve"> ADDIN ZOTERO_ITEM CSL_CITATION {"citationID":"qkiUr3oW","properties":{"unsorted":true,"formattedCitation":"(HM Government, 2020; Teixeira and Lisboa, 2021; Barkley et al., 2022; Jawadi and Sellami, 2022)","plainCitation":"(HM Government, 2020; Teixeira and Lisboa, 2021; Barkley et al., 2022; Jawadi and Sellami, 2022)","noteIndex":0},"citationItems":[{"id":1125,"uris":["http://zotero.org/users/local/RRCsWsp6/items/NL3YM2SI"],"itemData":{"id":1125,"type":"report","collection-title":"Energy Trends","number":"September 2020","page":"7","publisher":"HM Government UK","title":"Supply and demand of transport fuels during COVID-19","URL":"https://assets.publishing.service.gov.uk/government/uploads/system/uploads/attachment_data/file/920634/Supply_and_demand_of_transport_fuels_during_COVID-19.pdf","author":[{"family":"HM Government","given":""}],"accessed":{"date-parts":[["2023",7,29]]},"issued":{"date-parts":[["2020",9,24]]}},"label":"page"},{"id":1159,"uris":["http://zotero.org/users/local/RRCsWsp6/items/J7TDDBQ3"],"itemData":{"id":1159,"type":"book","event-place":"Hershey, PA, USA","ISBN":"978-1-79986-643-5","note":"page: 566\nDOI: 10.4018/978-1-7998-6643-5","number-of-pages":"1","publisher":"IGI Global","publisher-place":"Hershey, PA, USA","title":"Handbook of Research on Financial Management During Economic Downturn and Recovery","URL":"https://services.igi-global.com/resolvedoi/resolve.aspx?doi=10.4018/978-1-7998-6643-5","editor":[{"family":"Teixeira","given":"Nuno Miguel"},{"family":"Lisboa","given":"Inês"}],"issued":{"date-parts":[["2021"]]}},"label":"page"},{"id":1118,"uris":["http://zotero.org/users/local/RRCsWsp6/items/5QT7J689"],"itemData":{"id":1118,"type":"article-journal","abstract":"Governments often make public announcements that call into question firms' misuse of market power. Yet little is known about how firms respond to them. We study gasoline retailers' price responses to antitrust announcements shaming them for price gouging during the COVID-19 pandemic. We identify price effects using a high-frequency event-study leveraging unique real-time station-level price data and well-identified, discrete antitrust announcements. We find evidence of announcement effects that depend on firms' preannouncement margins and hence exposure to being publicly shamed. Public statements by antitrust questioning firms' misuse of market power can indeed contain signals that affect equilibrium outcomes.","container-title":"Journal of Economics &amp; Management Strategy","DOI":"10.1111/jems.12485","ISSN":"1530-9134","issue":"4","language":"en","license":"© 2022 The Authors. Journal of Economics &amp; Management Strategy published by Wiley Periodicals LLC.","note":"_eprint: https://onlinelibrary.wiley.com/doi/pdf/10.1111/jems.12485","page":"923-941","source":"Wiley Online Library","title":"Price effects of calling out market power: A study of the COVID-19 oil price shock","title-short":"Price effects of calling out market power","volume":"31","author":[{"family":"Barkley","given":"Aaron"},{"family":"Byrne","given":"David P."},{"family":"Wu","given":"Xiaosong"}],"issued":{"date-parts":[["2022"]]}},"label":"page"},{"id":1119,"uris":["http://zotero.org/users/local/RRCsWsp6/items/52GDZR9I"],"itemData":{"id":1119,"type":"article-journal","abstract":"This article studies the impact of oil price change on the stock market, the exchange rate and the real estate market in the US over the last decade. To this end, we model the dynamics of the returns for these markets and test the effect of oil market volatility on their dynamics. Through different econometric investigations, we show, in the context of Covid-19, that oil price has experienced significant effects on the US stock market and the US dollar exchange rate, while it has no significant impact on the US real estate market. In particular, we highlight, first, a positive and significant reaction of the stock market toward an oil price shock, which might be explained by the effect of high oil financialization over the last decade. Second, we show an adverse effect of the oil price change on the US dollar, suggesting a negative relationship between the oil price and the US dollar. Accordingly, the information provided by the oil sector might help to improve the forecast of the Dow Jones and the US$\\€ exchange rate.","container-title":"International Journal of Finance &amp; Economics","DOI":"10.1002/ijfe.2195","ISSN":"1099-1158","issue":"4","language":"en","license":"© 2021 John Wiley &amp; Sons Ltd","note":"_eprint: https://onlinelibrary.wiley.com/doi/pdf/10.1002/ijfe.2195","page":"3924-3933","source":"Wiley Online Library","title":"On the effect of oil price in the context of Covid-19","volume":"27","author":[{"family":"Jawadi","given":"Fredj"},{"family":"Sellami","given":"Mohamed"}],"issued":{"date-parts":[["2022"]]}},"label":"page"}],"schema":"https://github.com/citation-style-language/schema/raw/master/csl-citation.json"} </w:instrText>
      </w:r>
      <w:r w:rsidR="0071022D">
        <w:rPr>
          <w:sz w:val="24"/>
          <w:szCs w:val="24"/>
        </w:rPr>
        <w:fldChar w:fldCharType="separate"/>
      </w:r>
      <w:r w:rsidR="00023B9A">
        <w:rPr>
          <w:noProof/>
          <w:sz w:val="24"/>
          <w:szCs w:val="24"/>
        </w:rPr>
        <w:t>(HM Government, 2020; Teixeira and Lisboa, 2021; Barkley et al., 2022; Jawadi and Sellami, 2022)</w:t>
      </w:r>
      <w:r w:rsidR="0071022D">
        <w:rPr>
          <w:sz w:val="24"/>
          <w:szCs w:val="24"/>
        </w:rPr>
        <w:fldChar w:fldCharType="end"/>
      </w:r>
      <w:r w:rsidR="00E02474">
        <w:rPr>
          <w:sz w:val="24"/>
          <w:szCs w:val="24"/>
        </w:rPr>
        <w:t xml:space="preserve">. </w:t>
      </w:r>
      <w:r w:rsidR="00274040">
        <w:rPr>
          <w:sz w:val="24"/>
          <w:szCs w:val="24"/>
        </w:rPr>
        <w:t>The utilities sector showed improving conditions throughout the pandemic</w:t>
      </w:r>
      <w:r w:rsidR="008561B8">
        <w:rPr>
          <w:sz w:val="24"/>
          <w:szCs w:val="24"/>
        </w:rPr>
        <w:t xml:space="preserve">, these companies are separate from the energy sector, but responsible for </w:t>
      </w:r>
      <w:r w:rsidR="00645B53">
        <w:rPr>
          <w:sz w:val="24"/>
          <w:szCs w:val="24"/>
        </w:rPr>
        <w:t>building</w:t>
      </w:r>
      <w:r w:rsidR="008561B8">
        <w:rPr>
          <w:sz w:val="24"/>
          <w:szCs w:val="24"/>
        </w:rPr>
        <w:t xml:space="preserve"> </w:t>
      </w:r>
      <w:r w:rsidR="00645B53">
        <w:rPr>
          <w:sz w:val="24"/>
          <w:szCs w:val="24"/>
        </w:rPr>
        <w:t xml:space="preserve">utility supply. </w:t>
      </w:r>
      <w:r w:rsidR="007651B4">
        <w:rPr>
          <w:sz w:val="24"/>
          <w:szCs w:val="24"/>
        </w:rPr>
        <w:t xml:space="preserve">With work from home policies in place, </w:t>
      </w:r>
      <w:r w:rsidR="000E290F">
        <w:rPr>
          <w:sz w:val="24"/>
          <w:szCs w:val="24"/>
        </w:rPr>
        <w:t>the UK</w:t>
      </w:r>
      <w:r w:rsidR="00322C60">
        <w:rPr>
          <w:sz w:val="24"/>
          <w:szCs w:val="24"/>
        </w:rPr>
        <w:t xml:space="preserve"> and other countries</w:t>
      </w:r>
      <w:r w:rsidR="000E290F">
        <w:rPr>
          <w:sz w:val="24"/>
          <w:szCs w:val="24"/>
        </w:rPr>
        <w:t xml:space="preserve"> saw </w:t>
      </w:r>
      <w:r w:rsidR="00651DB3">
        <w:rPr>
          <w:sz w:val="24"/>
          <w:szCs w:val="24"/>
        </w:rPr>
        <w:t>electricity demand decrease</w:t>
      </w:r>
      <w:r w:rsidR="00A94AE3">
        <w:rPr>
          <w:sz w:val="24"/>
          <w:szCs w:val="24"/>
        </w:rPr>
        <w:t xml:space="preserve"> as increased home usage did not offset the losses from larger commercial usage</w:t>
      </w:r>
      <w:r w:rsidR="0014685D">
        <w:rPr>
          <w:sz w:val="24"/>
          <w:szCs w:val="24"/>
        </w:rPr>
        <w:t xml:space="preserve"> </w:t>
      </w:r>
      <w:r w:rsidR="0014685D">
        <w:rPr>
          <w:sz w:val="24"/>
          <w:szCs w:val="24"/>
        </w:rPr>
        <w:lastRenderedPageBreak/>
        <w:t>normally seen</w:t>
      </w:r>
      <w:r w:rsidR="00BE3F85">
        <w:rPr>
          <w:sz w:val="24"/>
          <w:szCs w:val="24"/>
        </w:rPr>
        <w:t xml:space="preserve"> </w:t>
      </w:r>
      <w:r w:rsidR="00BE3F85">
        <w:rPr>
          <w:sz w:val="24"/>
          <w:szCs w:val="24"/>
        </w:rPr>
        <w:fldChar w:fldCharType="begin"/>
      </w:r>
      <w:r w:rsidR="00023B9A">
        <w:rPr>
          <w:sz w:val="24"/>
          <w:szCs w:val="24"/>
        </w:rPr>
        <w:instrText xml:space="preserve"> ADDIN ZOTERO_ITEM CSL_CITATION {"citationID":"ExcX4HWT","properties":{"unsorted":true,"formattedCitation":"(HM Government, 2020; International Energy Agency, 2021; Santiago et al., 2021)","plainCitation":"(HM Government, 2020; International Energy Agency, 2021; Santiago et al., 2021)","noteIndex":0},"citationItems":[{"id":1125,"uris":["http://zotero.org/users/local/RRCsWsp6/items/NL3YM2SI"],"itemData":{"id":1125,"type":"report","collection-title":"Energy Trends","number":"September 2020","page":"7","publisher":"HM Government UK","title":"Supply and demand of transport fuels during COVID-19","URL":"https://assets.publishing.service.gov.uk/government/uploads/system/uploads/attachment_data/file/920634/Supply_and_demand_of_transport_fuels_during_COVID-19.pdf","author":[{"family":"HM Government","given":""}],"accessed":{"date-parts":[["2023",7,29]]},"issued":{"date-parts":[["2020",9,24]]}},"label":"page"},{"id":1126,"uris":["http://zotero.org/users/local/RRCsWsp6/items/3GZPICMT"],"itemData":{"id":1126,"type":"webpage","abstract":"Covid-19 impact on electricity - Analysis and key findings. A report by the International Energy Agency.","container-title":"IEA","genre":"Statistics Report","language":"en-GB","title":"Covid-19 impact on electricity","URL":"https://www.iea.org/reports/covid-19-impact-on-electricity","author":[{"family":"International Energy Agency","given":""}],"accessed":{"date-parts":[["2023",7,29]]},"issued":{"date-parts":[["2021",1]]}},"label":"page"},{"id":1130,"uris":["http://zotero.org/users/local/RRCsWsp6/items/GE6FS2XT"],"itemData":{"id":1130,"type":"article-journal","abstract":"Electricity demand and its typical load pattern are usually affected by many endogenous and exogenous factors to which the generation system must accordingly respond through utility operators. Lockdown measures to prevent the spread of COVID-19 imposed by many countries have led to sudden changes in socioeconomic habits which have had direct effects on the electricity systems. Therefore, a detailed analysis of how confinement measures have modified the electricity consumption in Spain, one of the countries most affected by this pandemic, has been performed in this work. Its electricity consumption has decreased by 13.49% from March 14 to April 30, compared to the average value of five previous years. Daily power demand profiles, especially morning and evening peaks, have been modified at homes, hospitals, and in the total power demand. These changes generate a greater uncertainty for the System Operator when making demand forecasts, but production deviations have increased by only 0.1%, thanks to the presence of a diversified generation mix, which has been modified during this period, increasing the proportion of renewable sources and decreasing CO2 emissions.","container-title":"Energy Policy","DOI":"10.1016/j.enpol.2020.111964","ISSN":"0301-4215","journalAbbreviation":"Energy Policy","language":"en","page":"111964","source":"ScienceDirect","title":"Electricity demand during pandemic times: The case of the COVID-19 in Spain","title-short":"Electricity demand during pandemic times","volume":"148","author":[{"family":"Santiago","given":"I."},{"family":"Moreno-Munoz","given":"A."},{"family":"Quintero-Jiménez","given":"P."},{"family":"Garcia-Torres","given":"F."},{"family":"Gonzalez-Redondo","given":"M. J."}],"issued":{"date-parts":[["2021",1,1]]}},"label":"page"}],"schema":"https://github.com/citation-style-language/schema/raw/master/csl-citation.json"} </w:instrText>
      </w:r>
      <w:r w:rsidR="00BE3F85">
        <w:rPr>
          <w:sz w:val="24"/>
          <w:szCs w:val="24"/>
        </w:rPr>
        <w:fldChar w:fldCharType="separate"/>
      </w:r>
      <w:r w:rsidR="00023B9A">
        <w:rPr>
          <w:noProof/>
          <w:sz w:val="24"/>
          <w:szCs w:val="24"/>
        </w:rPr>
        <w:t>(HM Government, 2020; International Energy Agency, 2021; Santiago et al., 2021)</w:t>
      </w:r>
      <w:r w:rsidR="00BE3F85">
        <w:rPr>
          <w:sz w:val="24"/>
          <w:szCs w:val="24"/>
        </w:rPr>
        <w:fldChar w:fldCharType="end"/>
      </w:r>
      <w:r w:rsidR="0014685D">
        <w:rPr>
          <w:sz w:val="24"/>
          <w:szCs w:val="24"/>
        </w:rPr>
        <w:t xml:space="preserve">. </w:t>
      </w:r>
      <w:r w:rsidR="005E5508">
        <w:rPr>
          <w:sz w:val="24"/>
          <w:szCs w:val="24"/>
        </w:rPr>
        <w:t xml:space="preserve">This </w:t>
      </w:r>
      <w:r w:rsidR="000E4B43">
        <w:rPr>
          <w:sz w:val="24"/>
          <w:szCs w:val="24"/>
        </w:rPr>
        <w:t>aligned</w:t>
      </w:r>
      <w:r w:rsidR="005E5508">
        <w:rPr>
          <w:sz w:val="24"/>
          <w:szCs w:val="24"/>
        </w:rPr>
        <w:t xml:space="preserve"> with other observed usage which saw energy demand </w:t>
      </w:r>
      <w:r w:rsidR="000E4B43">
        <w:rPr>
          <w:sz w:val="24"/>
          <w:szCs w:val="24"/>
        </w:rPr>
        <w:t>decrease</w:t>
      </w:r>
      <w:r w:rsidR="005E5508">
        <w:rPr>
          <w:sz w:val="24"/>
          <w:szCs w:val="24"/>
        </w:rPr>
        <w:t xml:space="preserve"> as work from home policies took effect</w:t>
      </w:r>
      <w:r w:rsidR="00A25268">
        <w:rPr>
          <w:sz w:val="24"/>
          <w:szCs w:val="24"/>
        </w:rPr>
        <w:t xml:space="preserve"> </w:t>
      </w:r>
      <w:r w:rsidR="00862861">
        <w:rPr>
          <w:sz w:val="24"/>
          <w:szCs w:val="24"/>
        </w:rPr>
        <w:fldChar w:fldCharType="begin"/>
      </w:r>
      <w:r w:rsidR="00023B9A">
        <w:rPr>
          <w:sz w:val="24"/>
          <w:szCs w:val="24"/>
        </w:rPr>
        <w:instrText xml:space="preserve"> ADDIN ZOTERO_ITEM CSL_CITATION {"citationID":"8U9XCxug","properties":{"unsorted":true,"formattedCitation":"(Leach et al., 2020; Abdeen et al., 2021; Kawka and Cetin, 2021; Santiago et al., 2021)","plainCitation":"(Leach et al., 2020; Abdeen et al., 2021; Kawka and Cetin, 2021; Santiago et al., 2021)","noteIndex":0},"citationItems":[{"id":1135,"uris":["http://zotero.org/users/local/RRCsWsp6/items/RWPWUKSR"],"itemData":{"id":1135,"type":"article-journal","abstract":"Les auteurs examinent l'effet de la pandémie de COVID-19 sur les marchés de l'électricité dans certaines provinces canadiennes en s’appuyant sur les données disponibles. Leur analyse des données relatives à l'électricité à haute fréquence révèle que la demande d'électricité a diminué d'environ 10 % en Ontario, moins dans les autres provinces étudiées. Du côté de l'offre, en Alberta, ils observent que la production de certaines centrales au gaz naturel a diminué, mais que la production nette à partir des installations des sables bitumineux a augmenté, tandis que l’Ontario a enregistré une augmentation des exportations nettes. Les répercussions de ces constats sur les politiques sont notamment leur incidence potentielle sur les tarifs en raison de frais fixes répartis sur une base tarifaire plus restreinte, l'utilisation potentielle des données sur l'électricité comme indicateur économique en temps réel pendant la pandémie et un cri du coeur pour que soit facilité l’accès aux données sur l'électricité dans toutes les provinces canadiennes. This article examines the effect of the coronavirus disease 2019 (COVID-19) pandemic on electricity markets across select Canadian provinces, using available data. Using high-frequency electricity data, we find electricity demand declined by roughly 10 percent in Ontario and by about 5 percent in Alberta, British Columbia, and New Brunswick. On the supply side, in Alberta we find reductions from some natural gas plants and an increase in net generation from the oil sands region, whereas Ontario sees an increase in net electricity exports. Policy implications include potential rate impacts as a result of fixed charges spread over a smaller rate base, the potential use of electricity data as a real-time economic indicator during the pandemic, and a call to arms to make electricity data across all Canadian provinces more readily available.","container-title":"Canadian Public Policy / Analyse de Politiques","ISSN":"0317-0861","issue":"S2","note":"publisher: [University of Toronto Press, Canadian Public Policy]","page":"S145-S159","source":"JSTOR","title":"Canadian Electricity Markets during the COVID-19 Pandemic: An Initial Assessment","title-short":"Canadian Electricity Markets during the COVID-19 Pandemic","volume":"46","author":[{"family":"Leach","given":"Andrew"},{"family":"Rivers","given":"Nic"},{"family":"Shaffer","given":"Blake"}],"issued":{"date-parts":[["2020"]]}},"label":"page"},{"id":1128,"uris":["http://zotero.org/users/local/RRCsWsp6/items/QS7D2BGG"],"itemData":{"id":1128,"type":"article-journal","abstract":"The spread of the COVID-19 pandemic caused a tremendous impact on our societies, including changes in household energy consumption. Using measured electricity use data from 500 homes in Ottawa, Canada, this study applies changepoint analysis, descriptive statistics, k-means clustering, and the corresponding change of electricity utility bills before and after COVID-19. Our analysis indicates that the average household daily electricity consumption increased by about 12% in 2020 relative to 2019, about one-third was due to warmer temperatures, with much of the rest due to the temperature-independent loads (e.g., lighting and appliances). Additionally, the highest five peak loads corresponding to post-COVID are significantly higher (15–20%) than peaks that occurred pre-COVID. The lockdown’s impact on household electricity use is not consistent, and there are noticeable differences among different months, seasons, and day types. Two clusters of household electricity use patterns emerged, with about one-third showing significant increases during the pandemic and the remainder showing only minor changes. On the other hand, in the summer, all customers’ electricity use profile patterns after the pandemic resemble the pattern before the pandemic. Yet, there is a significant increase (from 16.3 to 29.1%) in daily demand after COVID-19. Finally, the average increase in the utility bill post-COVID would be 9.71% if TOU rates were used instead of the flat rate that was implemented as a subsidy to consumers.","container-title":"Energy and Buildings","DOI":"10.1016/j.enbuild.2021.111280","ISSN":"0378-7788","journalAbbreviation":"Energy and Buildings","language":"en","page":"111280","source":"ScienceDirect","title":"The impact of the COVID-19 on households’ hourly electricity consumption in Canada","volume":"250","author":[{"family":"Abdeen","given":"Ahmed"},{"family":"Kharvari","given":"Farzam"},{"family":"O'Brien","given":"William"},{"family":"Gunay","given":"Burak"}],"issued":{"date-parts":[["2021",11,1]]}},"label":"page"},{"id":1133,"uris":["http://zotero.org/users/local/RRCsWsp6/items/BMY6BKXN"],"itemData":{"id":1133,"type":"article-journal","abstract":"Following the declaration of the COVID-19 pandemic and the rise in cases across the United States, the typical daily routines of millions were disrupted as the country attempted to control the spread of the virus. As a result, homes became makeshift offices, classrooms, restaurants, and entertainment centers. With these changes in how residential buildings are used, surveys and grid-level studies have been conducted to understand how energy use has shifted due to the pandemic. However, there are limited efforts that review the impact of energy use at the household level. In this study, high-resolution, disaggregated data is analyzed to measure the shifts in electricity use related to HVAC loads, non-HVAC loads, and whole-home loads in a comparison of 225 housing units over the years of 2018–2020. Key findings from the analyses indicated increased electricity use during periods that occupants would usually be away from home. The most percent increases in non-HVAC residential loads occurred between 10 a.m. and 5 p.m.; HVAC loads increasing in total daily consumption compared to the same average daily temperatures of previous years. Additionally, dividing the data by household income, the lowest income and higher income households experienced the larger increases in consumption, while the middle income groups experience smaller shifts.","container-title":"Building and Environment","DOI":"10.1016/j.buildenv.2021.108200","ISSN":"0360-1323","journalAbbreviation":"Building and Environment","language":"en","page":"108200","source":"ScienceDirect","title":"Impacts of COVID-19 on residential building energy use and performance","volume":"205","author":[{"family":"Kawka","given":"Emily"},{"family":"Cetin","given":"Kristen"}],"issued":{"date-parts":[["2021",11,1]]}},"label":"page"},{"id":1130,"uris":["http://zotero.org/users/local/RRCsWsp6/items/GE6FS2XT"],"itemData":{"id":1130,"type":"article-journal","abstract":"Electricity demand and its typical load pattern are usually affected by many endogenous and exogenous factors to which the generation system must accordingly respond through utility operators. Lockdown measures to prevent the spread of COVID-19 imposed by many countries have led to sudden changes in socioeconomic habits which have had direct effects on the electricity systems. Therefore, a detailed analysis of how confinement measures have modified the electricity consumption in Spain, one of the countries most affected by this pandemic, has been performed in this work. Its electricity consumption has decreased by 13.49% from March 14 to April 30, compared to the average value of five previous years. Daily power demand profiles, especially morning and evening peaks, have been modified at homes, hospitals, and in the total power demand. These changes generate a greater uncertainty for the System Operator when making demand forecasts, but production deviations have increased by only 0.1%, thanks to the presence of a diversified generation mix, which has been modified during this period, increasing the proportion of renewable sources and decreasing CO2 emissions.","container-title":"Energy Policy","DOI":"10.1016/j.enpol.2020.111964","ISSN":"0301-4215","journalAbbreviation":"Energy Policy","language":"en","page":"111964","source":"ScienceDirect","title":"Electricity demand during pandemic times: The case of the COVID-19 in Spain","title-short":"Electricity demand during pandemic times","volume":"148","author":[{"family":"Santiago","given":"I."},{"family":"Moreno-Munoz","given":"A."},{"family":"Quintero-Jiménez","given":"P."},{"family":"Garcia-Torres","given":"F."},{"family":"Gonzalez-Redondo","given":"M. J."}],"issued":{"date-parts":[["2021",1,1]]}},"label":"page"}],"schema":"https://github.com/citation-style-language/schema/raw/master/csl-citation.json"} </w:instrText>
      </w:r>
      <w:r w:rsidR="00862861">
        <w:rPr>
          <w:sz w:val="24"/>
          <w:szCs w:val="24"/>
        </w:rPr>
        <w:fldChar w:fldCharType="separate"/>
      </w:r>
      <w:r w:rsidR="00023B9A">
        <w:rPr>
          <w:noProof/>
          <w:sz w:val="24"/>
          <w:szCs w:val="24"/>
        </w:rPr>
        <w:t>(Leach et al., 2020; Abdeen et al., 2021; Kawka and Cetin, 2021; Santiago et al., 2021)</w:t>
      </w:r>
      <w:r w:rsidR="00862861">
        <w:rPr>
          <w:sz w:val="24"/>
          <w:szCs w:val="24"/>
        </w:rPr>
        <w:fldChar w:fldCharType="end"/>
      </w:r>
      <w:r w:rsidR="005E5508">
        <w:rPr>
          <w:sz w:val="24"/>
          <w:szCs w:val="24"/>
        </w:rPr>
        <w:t xml:space="preserve">. </w:t>
      </w:r>
      <w:r w:rsidR="006F096F">
        <w:rPr>
          <w:sz w:val="24"/>
          <w:szCs w:val="24"/>
        </w:rPr>
        <w:t xml:space="preserve">The improvement in financial performance was like a result of </w:t>
      </w:r>
      <w:r w:rsidR="007606A0">
        <w:rPr>
          <w:sz w:val="24"/>
          <w:szCs w:val="24"/>
        </w:rPr>
        <w:t xml:space="preserve">the aforementioned </w:t>
      </w:r>
      <w:r w:rsidR="0041539E">
        <w:rPr>
          <w:sz w:val="24"/>
          <w:szCs w:val="24"/>
        </w:rPr>
        <w:t xml:space="preserve">decrease in </w:t>
      </w:r>
      <w:r w:rsidR="007606A0">
        <w:rPr>
          <w:sz w:val="24"/>
          <w:szCs w:val="24"/>
        </w:rPr>
        <w:t>oil price.</w:t>
      </w:r>
    </w:p>
    <w:p w14:paraId="34D08A4D" w14:textId="3390BC93" w:rsidR="00172613" w:rsidRDefault="0015719F" w:rsidP="00F121BC">
      <w:pPr>
        <w:spacing w:line="480" w:lineRule="auto"/>
        <w:jc w:val="both"/>
        <w:rPr>
          <w:sz w:val="24"/>
          <w:szCs w:val="24"/>
        </w:rPr>
      </w:pPr>
      <w:r>
        <w:rPr>
          <w:sz w:val="24"/>
          <w:szCs w:val="24"/>
        </w:rPr>
        <w:t>The</w:t>
      </w:r>
      <w:r w:rsidR="00B17135">
        <w:rPr>
          <w:sz w:val="24"/>
          <w:szCs w:val="24"/>
        </w:rPr>
        <w:t xml:space="preserve"> results showed </w:t>
      </w:r>
      <w:r w:rsidR="00207AF2">
        <w:rPr>
          <w:sz w:val="24"/>
          <w:szCs w:val="24"/>
        </w:rPr>
        <w:t xml:space="preserve">4 sectors (Financials, </w:t>
      </w:r>
      <w:r w:rsidR="0056086A">
        <w:rPr>
          <w:sz w:val="24"/>
          <w:szCs w:val="24"/>
        </w:rPr>
        <w:t>Telecommunications, Industrials and Basic materials) showed</w:t>
      </w:r>
      <w:r w:rsidR="009F0DD7">
        <w:rPr>
          <w:sz w:val="24"/>
          <w:szCs w:val="24"/>
        </w:rPr>
        <w:t xml:space="preserve"> at a macro level, </w:t>
      </w:r>
      <w:r w:rsidR="0056086A">
        <w:rPr>
          <w:sz w:val="24"/>
          <w:szCs w:val="24"/>
        </w:rPr>
        <w:t>limited impacts</w:t>
      </w:r>
      <w:r w:rsidR="0041539E">
        <w:rPr>
          <w:sz w:val="24"/>
          <w:szCs w:val="24"/>
        </w:rPr>
        <w:t xml:space="preserve"> or benefits from the onset of the pandemic. </w:t>
      </w:r>
      <w:r w:rsidR="001B3318">
        <w:rPr>
          <w:sz w:val="24"/>
          <w:szCs w:val="24"/>
        </w:rPr>
        <w:t xml:space="preserve">This has been supported by other studies </w:t>
      </w:r>
      <w:r w:rsidR="00B43570">
        <w:rPr>
          <w:sz w:val="24"/>
          <w:szCs w:val="24"/>
        </w:rPr>
        <w:t>demonstrating that core resource</w:t>
      </w:r>
      <w:r w:rsidR="00C26AC1">
        <w:rPr>
          <w:sz w:val="24"/>
          <w:szCs w:val="24"/>
        </w:rPr>
        <w:t xml:space="preserve"> and manufacturing</w:t>
      </w:r>
      <w:r w:rsidR="00B43570">
        <w:rPr>
          <w:sz w:val="24"/>
          <w:szCs w:val="24"/>
        </w:rPr>
        <w:t xml:space="preserve"> sectors showed limited volatility</w:t>
      </w:r>
      <w:r w:rsidR="00F7644E">
        <w:rPr>
          <w:sz w:val="24"/>
          <w:szCs w:val="24"/>
        </w:rPr>
        <w:t xml:space="preserve">, with financial </w:t>
      </w:r>
      <w:r w:rsidR="00091FAD">
        <w:rPr>
          <w:sz w:val="24"/>
          <w:szCs w:val="24"/>
        </w:rPr>
        <w:t>sector maintai</w:t>
      </w:r>
      <w:r w:rsidR="00C26AC1">
        <w:rPr>
          <w:sz w:val="24"/>
          <w:szCs w:val="24"/>
        </w:rPr>
        <w:t>ning</w:t>
      </w:r>
      <w:r w:rsidR="00091FAD">
        <w:rPr>
          <w:sz w:val="24"/>
          <w:szCs w:val="24"/>
        </w:rPr>
        <w:t xml:space="preserve"> the resources to </w:t>
      </w:r>
      <w:r w:rsidR="006D2CB3">
        <w:rPr>
          <w:sz w:val="24"/>
          <w:szCs w:val="24"/>
        </w:rPr>
        <w:t xml:space="preserve">absorb impacts and manage risks and </w:t>
      </w:r>
      <w:r w:rsidR="00BE589B">
        <w:rPr>
          <w:sz w:val="24"/>
          <w:szCs w:val="24"/>
        </w:rPr>
        <w:t xml:space="preserve">the telecommunications sector </w:t>
      </w:r>
      <w:r w:rsidR="00C30B72">
        <w:rPr>
          <w:sz w:val="24"/>
          <w:szCs w:val="24"/>
        </w:rPr>
        <w:t xml:space="preserve">benefiting from remote work </w:t>
      </w:r>
      <w:r w:rsidR="007F64E4">
        <w:rPr>
          <w:sz w:val="24"/>
          <w:szCs w:val="24"/>
        </w:rPr>
        <w:t>practises</w:t>
      </w:r>
      <w:r w:rsidR="004E0307">
        <w:rPr>
          <w:sz w:val="24"/>
          <w:szCs w:val="24"/>
        </w:rPr>
        <w:t xml:space="preserve"> </w:t>
      </w:r>
      <w:r w:rsidR="004E0307">
        <w:rPr>
          <w:sz w:val="24"/>
          <w:szCs w:val="24"/>
        </w:rPr>
        <w:fldChar w:fldCharType="begin"/>
      </w:r>
      <w:r w:rsidR="00023B9A">
        <w:rPr>
          <w:sz w:val="24"/>
          <w:szCs w:val="24"/>
        </w:rPr>
        <w:instrText xml:space="preserve"> ADDIN ZOTERO_ITEM CSL_CITATION {"citationID":"5hThWW9R","properties":{"unsorted":true,"formattedCitation":"(Columbia Threadneedle Investments, 2020; Bellens, 2021; Buszko et al., 2021; Cejnek et al., 2021; Deloitte, 2021; Nagarajan, 2021; Sharma and Mehta, 2022)","plainCitation":"(Columbia Threadneedle Investments, 2020; Bellens, 2021; Buszko et al., 2021; Cejnek et al., 2021; Deloitte, 2021; Nagarajan, 2021; Sharma and Mehta, 2022)","noteIndex":0},"citationItems":[{"id":1150,"uris":["http://zotero.org/users/local/RRCsWsp6/items/R3R5TY2L"],"itemData":{"id":1150,"type":"post-weblog","abstract":"For many UK households, the experience of Covid-19 is highlighting a lack of financial resilience and a need to do things differently in the future. There is evidence of a silver lining, with the pandemic leading many to re-think their focus on financial priorities","container-title":"Insights","genre":"Investment Advisory","language":"en-GB","title":"The impact of Covid-19 on UK savers and investors","URL":"https://www.columbiathreadneedle.co.uk/en/intm/insights/the-impact-of-covid-19-on-uk-savers-and-investors/","author":[{"family":"Columbia Threadneedle Investments","given":""}],"accessed":{"date-parts":[["2023",7,30]]},"issued":{"date-parts":[["2020",7,14]]}},"label":"page"},{"id":1153,"uris":["http://zotero.org/users/local/RRCsWsp6/items/Q89WDTF5"],"itemData":{"id":1153,"type":"post-weblog","abstract":"Pressure on profitability and returns intensified by the pandemic causes banks to re-examine their portfolios. Read our 2021 Divestment report.","container-title":"Financial Services - Ernst &amp; Young Global","genre":"Ernst &amp; Young Global","language":"en-GL","title":"How divestments are helping banks respond to industry shifts","URL":"https://www.ey.com/en_gl/divestment-study/banking-capital-markets","author":[{"family":"Bellens","given":"jan"}],"accessed":{"date-parts":[["2023",7,30]]},"issued":{"date-parts":[["2021",5,25]]}},"label":"page"},{"id":1147,"uris":["http://zotero.org/users/local/RRCsWsp6/items/S2KDQUMC"],"itemData":{"id":1147,"type":"article-journal","abstract":"The COVID-19 pandemic seems to be the most important phenomenon observed from March 2020 in virtually all countries of the world. The necessity to prevent the spread of COVID-19 and keep health care systems efficient resulted in the forced, drastic limitation of economic activity. Many service sectors were hit particularly hard with this but industry and agriculture were also affected. In particular, the pandemic substantially influenced financial markets and we can observe that some markets or instruments vary in stability since they have been affected in the different degree. In the paper, we present the problem of stability of stock markets during the COVID-19 pandemic. Due to the low number of works related to CEE countries during the pandemic, we analyze the Warsaw Stock Exchange, which is one of the most important markets in the CEE. Our main goal was to find how various industries represented by stock market indices have reacted to the COVID-19 shock and consequently which sectors turned out to keep stability and remained resistant to the pandemic. In our investigation, we use two clustering methods: the K-means and the Ward techniques with the criterion of maximizing the silhouette coefficient and six indicators describing stability in terms of profitability, volume, overbought/oversold conditions and volatility. The results of the research present that during the pandemic it was possible to identify 5 clusters of sector indices in the short term and 4 in the medium term. We found that the composition of the clusters is quite stable over time and that none of the obtained clusters can be univocally considered the most or the least stable taking into account all the analyzed indicators. However, we showed that the obtained clusters have different stability origins, i.e. they vary from each other in terms of the investigated indicators of stability.","container-title":"PLoS ONE","DOI":"10.1371/journal.pone.0250938","ISSN":"1932-6203","issue":"5","journalAbbreviation":"PLoS One","note":"PMID: 34014941\nPMCID: PMC8136637","page":"e0250938","source":"PubMed Central","title":"COVID-19 pandemic and stability of stock market—A sectoral approach","volume":"16","author":[{"family":"Buszko","given":"Michał"},{"family":"Orzeszko","given":"Witold"},{"family":"Stawarz","given":"Marcin"}],"issued":{"date-parts":[["2021",5,20]]}},"label":"page"},{"id":1144,"uris":["http://zotero.org/users/local/RRCsWsp6/items/JMB4LYLX"],"itemData":{"id":1144,"type":"article-journal","abstract":"This article shows that, for major equity markets, the proportion of index values attributable to the first 5 years of dividends dropped substantially in the first quarter of 2020 and that this drop was not reversed by the end of the year. In the cross section, this breakdown of dividend smoothing due to COVID-19 was less severe for firms with higher operating cash flows and more positively coskewed stock returns, and it was more pronounced for those with higher leverage and in the financial sector. Heavy dividend cutters also experienced a substantial increase in exposure to systematic risk.","container-title":"Journal of Financial &amp; Quantitative Analysis","DOI":"10.1017/S0022109021000533","ISSN":"00221090","note":"publisher: Cambridge University Press","page":"2389-2410","source":"EBSCOhost","title":"The COVID-19 Pandemic and Corporate Dividend Policy","volume":"56","author":[{"family":"Cejnek","given":"Georg"},{"family":"Randl","given":"Otto"},{"family":"Zechner","given":"Josef"}],"issued":{"date-parts":[["2021",11]]}},"label":"page"},{"id":1155,"uris":["http://zotero.org/users/local/RRCsWsp6/items/UDIC4YYB"],"itemData":{"id":1155,"type":"report","abstract":"With the regulatory and credit environment rapidly changing, what are the steps you might consider to mitigate the impact on your balance sheet?","collection-title":"Maintaining Balance Sheet Resilience","genre":"Perspectives","language":"en","publisher":"Deloitte","title":"COVID-19 potential implications for the banking and capital markets sector","URL":"https://www2.deloitte.com/uk/en/pages/financial-services/articles/covid-19-potential-implications-for-the-banking-and-capital-markets-sector.html","author":[{"family":"Deloitte","given":""}],"accessed":{"date-parts":[["2023",7,30]]},"issued":{"date-parts":[["2021"]]}},"label":"page"},{"id":1146,"uris":["http://zotero.org/users/local/RRCsWsp6/items/HKKW8KPH"],"itemData":{"id":1146,"type":"article-newspaper","container-title":"Morningstar","edition":"Markets","title":"These sectors preformed best and worst in the pandemic","URL":"https://www.morningstar.com/markets/these-sectors-performed-best-worst-pandemic","author":[{"family":"Nagarajan","given":"Sachin"}],"accessed":{"date-parts":[["2023",6,16]]},"issued":{"date-parts":[["2021",2,26]]}},"label":"page"},{"id":1160,"uris":["http://zotero.org/users/local/RRCsWsp6/items/A34HMWNP"],"itemData":{"id":1160,"type":"book","event-place":"Hershey, PA, USA","ISBN":"978-1-66845-528-9","note":"page: 471\nDOI: 10.4018/978-1-6684-5528-9","number-of-pages":"1","publisher":"IGI Global","publisher-place":"Hershey, PA, USA","title":"Handbook of Research on Stock Market Investment Practices and Portfolio Management","URL":"https://services.igi-global.com/resolvedoi/resolve.aspx?doi=10.4018/978-1-6684-5528-9","editor":[{"family":"Sharma","given":"Renuka"},{"family":"Mehta","given":"Kiran"}],"issued":{"date-parts":[["2022"]]}},"label":"page"}],"schema":"https://github.com/citation-style-language/schema/raw/master/csl-citation.json"} </w:instrText>
      </w:r>
      <w:r w:rsidR="004E0307">
        <w:rPr>
          <w:sz w:val="24"/>
          <w:szCs w:val="24"/>
        </w:rPr>
        <w:fldChar w:fldCharType="separate"/>
      </w:r>
      <w:r w:rsidR="00023B9A">
        <w:rPr>
          <w:noProof/>
          <w:sz w:val="24"/>
          <w:szCs w:val="24"/>
        </w:rPr>
        <w:t>(Columbia Threadneedle Investments, 2020; Bellens, 2021; Buszko et al., 2021; Cejnek et al., 2021; Deloitte, 2021; Nagarajan, 2021; Sharma and Mehta, 2022)</w:t>
      </w:r>
      <w:r w:rsidR="004E0307">
        <w:rPr>
          <w:sz w:val="24"/>
          <w:szCs w:val="24"/>
        </w:rPr>
        <w:fldChar w:fldCharType="end"/>
      </w:r>
      <w:r w:rsidR="00C30B72">
        <w:rPr>
          <w:sz w:val="24"/>
          <w:szCs w:val="24"/>
        </w:rPr>
        <w:t xml:space="preserve">. </w:t>
      </w:r>
    </w:p>
    <w:p w14:paraId="6BFA8A0F" w14:textId="1FE92EBC" w:rsidR="00A06114" w:rsidRDefault="00A06114" w:rsidP="00F121BC">
      <w:pPr>
        <w:spacing w:line="480" w:lineRule="auto"/>
        <w:jc w:val="both"/>
        <w:rPr>
          <w:sz w:val="24"/>
          <w:szCs w:val="24"/>
        </w:rPr>
      </w:pPr>
      <w:r>
        <w:rPr>
          <w:sz w:val="24"/>
          <w:szCs w:val="24"/>
        </w:rPr>
        <w:t xml:space="preserve">The healthcare sector </w:t>
      </w:r>
      <w:r w:rsidR="005D7A46">
        <w:rPr>
          <w:sz w:val="24"/>
          <w:szCs w:val="24"/>
        </w:rPr>
        <w:t>was made up mainly of supporting companies due to the public nature of</w:t>
      </w:r>
      <w:r w:rsidR="00200C5B">
        <w:rPr>
          <w:sz w:val="24"/>
          <w:szCs w:val="24"/>
        </w:rPr>
        <w:t xml:space="preserve"> UK heath provision.</w:t>
      </w:r>
      <w:r w:rsidR="00F90C7D">
        <w:rPr>
          <w:sz w:val="24"/>
          <w:szCs w:val="24"/>
        </w:rPr>
        <w:t xml:space="preserve"> </w:t>
      </w:r>
      <w:r w:rsidR="00200C5B">
        <w:rPr>
          <w:sz w:val="24"/>
          <w:szCs w:val="24"/>
        </w:rPr>
        <w:t>These companies are responsible for equipment provision, testing support and providing temporary/support staff</w:t>
      </w:r>
      <w:r w:rsidR="00BF62E3">
        <w:rPr>
          <w:sz w:val="24"/>
          <w:szCs w:val="24"/>
        </w:rPr>
        <w:t xml:space="preserve"> and p</w:t>
      </w:r>
      <w:r w:rsidR="0008499E">
        <w:rPr>
          <w:sz w:val="24"/>
          <w:szCs w:val="24"/>
        </w:rPr>
        <w:t>rivate sector</w:t>
      </w:r>
      <w:r w:rsidR="00B21A10">
        <w:rPr>
          <w:sz w:val="24"/>
          <w:szCs w:val="24"/>
        </w:rPr>
        <w:t xml:space="preserve"> healthcare</w:t>
      </w:r>
      <w:r w:rsidR="0008499E">
        <w:rPr>
          <w:sz w:val="24"/>
          <w:szCs w:val="24"/>
        </w:rPr>
        <w:t xml:space="preserve"> </w:t>
      </w:r>
      <w:r w:rsidR="00B21A10">
        <w:rPr>
          <w:sz w:val="24"/>
          <w:szCs w:val="24"/>
        </w:rPr>
        <w:t xml:space="preserve">was used to boost </w:t>
      </w:r>
      <w:r w:rsidR="00BF62E3">
        <w:rPr>
          <w:sz w:val="24"/>
          <w:szCs w:val="24"/>
        </w:rPr>
        <w:t xml:space="preserve">system capacity. This led to higher costs in delivering for the </w:t>
      </w:r>
      <w:r w:rsidR="005E68B9">
        <w:rPr>
          <w:sz w:val="24"/>
          <w:szCs w:val="24"/>
        </w:rPr>
        <w:t xml:space="preserve">increased demand but as </w:t>
      </w:r>
      <w:r w:rsidR="001E734A">
        <w:rPr>
          <w:sz w:val="24"/>
          <w:szCs w:val="24"/>
        </w:rPr>
        <w:t>efficiencies were put in place and procurement bottlenecks eased this sector</w:t>
      </w:r>
      <w:r w:rsidR="005B212C">
        <w:rPr>
          <w:sz w:val="24"/>
          <w:szCs w:val="24"/>
        </w:rPr>
        <w:t xml:space="preserve"> grew and benefited throughout 2021 </w:t>
      </w:r>
      <w:r w:rsidR="00AA3DA2">
        <w:rPr>
          <w:sz w:val="24"/>
          <w:szCs w:val="24"/>
        </w:rPr>
        <w:fldChar w:fldCharType="begin"/>
      </w:r>
      <w:r w:rsidR="00023B9A">
        <w:rPr>
          <w:sz w:val="24"/>
          <w:szCs w:val="24"/>
        </w:rPr>
        <w:instrText xml:space="preserve"> ADDIN ZOTERO_ITEM CSL_CITATION {"citationID":"tj30XBMG","properties":{"unsorted":true,"formattedCitation":"(Dyer, 2021; Gouzoulis and Galanis, 2021; House of Commons Public Accounts Committee, 2021; Nagarajan, 2021; Az\\uc0\\u233{}mar et al., 2022; British Medical Association, 2023; Phillips, 2023)","plainCitation":"(Dyer, 2021; Gouzoulis and Galanis, 2021; House of Commons Public Accounts Committee, 2021; Nagarajan, 2021; Azémar et al., 2022; British Medical Association, 2023; Phillips, 2023)","noteIndex":0},"citationItems":[{"id":1167,"uris":["http://zotero.org/users/local/RRCsWsp6/items/R6SDX56Z"],"itemData":{"id":1167,"type":"article-journal","abstract":"The UK government wasted hundreds of millions of pounds of taxpayers’ money on poor quality and unusable personal protective equipment (PPE) while leaving frontline workers insufficiently protected from covid-19, the parliamentary public spending watchdog has concluded.1 In a hard hitting report the House of Commons Public Accounts Committee painted a picture of an emergency scramble for PPE in which government contacts were handed contracts through a special channel without tender. A non-profit campaigning organisation, the Good Law Project, along with a cross party group of three MPs, is taking the government to the High Court over its failure to publish contract details within the legally required timeframe. COVID-19: Government procurement and supply of personal protective equipment—42nd report of session 2019-21.","container-title":"BMJ (Online)","DOI":"10.1136/bmj.n399","ISSN":"1756-1833","note":"publisher-place: England\npublisher: BMJ Publishing Group LTD","page":"n399-n399","title":"Covid-19: Government wasted millions on poor quality PPE, spending watchdog finds","volume":"372","author":[{"family":"Dyer","given":"Clare"}],"issued":{"date-parts":[["2021"]]}},"label":"page"},{"id":1169,"uris":["http://zotero.org/users/local/RRCsWsp6/items/3RDVF7V9"],"itemData":{"id":1169,"type":"article-journal","abstract":"The substantial literature in political economy and sociology has shown that the increasing importance of financial activities (financialisation) exhibits significant effects on many socioeconomic conditions. While these conditions are relevant to public health, the dominant focus of the literature has been centred on the impact of financial markets on health services and health-care systems. This paper analyses how the financialisation of non-financial corporations, real estate and pensions can worsen public health through the transformation of workplace and living conditions as well as financially dependent social groups' perception of health risk. Our analysis raises several questions which aim to provide the basis of a future research agenda on the effects of financialisation on public and global health.","container-title":"Sociology of Health &amp; Illness","DOI":"10.1111/1467-9566.13305","ISSN":"1467-9566","issue":"6","language":"en","license":"© 2021 The Authors. Sociology of Health &amp; Illness published by John Wiley &amp; Sons Ltd on behalf of Foundation for SHIL (SHIL).","note":"_eprint: https://onlinelibrary.wiley.com/doi/pdf/10.1111/1467-9566.13305","page":"1328-1334","source":"Wiley Online Library","title":"The impact of financialisation on public health in times of COVID-19 and beyond","volume":"43","author":[{"family":"Gouzoulis","given":"Giorgos"},{"family":"Galanis","given":"Giorgos"}],"issued":{"date-parts":[["2021"]]}},"label":"page"},{"id":1166,"uris":["http://zotero.org/users/local/RRCsWsp6/items/VYQ8XZGS"],"itemData":{"id":1166,"type":"report","abstract":"The shortages of personal protective equipment at the front-line in the first wave of the pandemic was one of the biggest concerns in March and April 2020. As well as NHS front line workers there were others front-line workers who required high grade PPE –particularly in social care settings, which were mainly private businesses.","language":"en","publisher":"House of Commons","source":"Zotero","title":"COVID-19: Government procurement and supply of personal protective equipment","author":[{"family":"House of Commons Public Accounts Committee","given":""}],"accessed":{"date-parts":[["2023",7,30]]},"issued":{"date-parts":[["2021",2,4]]}},"label":"page"},{"id":1146,"uris":["http://zotero.org/users/local/RRCsWsp6/items/HKKW8KPH"],"itemData":{"id":1146,"type":"article-newspaper","container-title":"Morningstar","edition":"Markets","title":"These sectors preformed best and worst in the pandemic","URL":"https://www.morningstar.com/markets/these-sectors-performed-best-worst-pandemic","author":[{"family":"Nagarajan","given":"Sachin"}],"accessed":{"date-parts":[["2023",6,16]]},"issued":{"date-parts":[["2021",2,26]]}},"label":"page"},{"id":1139,"uris":["http://zotero.org/users/local/RRCsWsp6/items/5QW8YJL5"],"itemData":{"id":1139,"type":"article-journal","abstract":"In this paper, we study the gains and losses incurred during the COVID-19 pandemic. We distinguish between the effects of the pandemic and those of the health measures implemented to reduce the death toll, notably “the lockdown.” Our theoretical model is focused on within-sector firm heterogeneity and involves imperfect competition in a partial equilibrium setting. A comparison between the gains and losses triggered by both the pandemic and the lockdown indicates that an excess profits tax imposed on the “winners” could partly compensate the “losers” of the same sector.","container-title":"Journal of Public Economic Theory","DOI":"10.1111/jpet.12589","ISSN":"1467-9779","issue":"5","language":"en","license":"© 2022 Wiley Periodicals LLC.","note":"_eprint: https://onlinelibrary.wiley.com/doi/pdf/10.1111/jpet.12589","page":"1016-1038","source":"Wiley Online Library","title":"Winners and losers of the COVID-19 pandemic: An excess profits tax proposal","title-short":"Winners and losers of the COVID-19 pandemic","volume":"24","author":[{"family":"Azémar","given":"Céline"},{"family":"Desbordes","given":"Rodolphe"},{"family":"Melindi-Ghidi","given":"Paolo"},{"family":"Nicolaï","given":"Jean-Philippe"}],"issued":{"date-parts":[["2022"]]}},"label":"page"},{"id":1164,"uris":["http://zotero.org/users/local/RRCsWsp6/items/RFAD3Y64"],"itemData":{"id":1164,"type":"report","collection-title":"BMA COVID Review","number":"Review 3","page":"58","publisher":"British Medical Association","title":"COVID-19: Impact of the pandemic on healthcare delivery","URL":"https://www.bma.org.uk/media/5816/bma-covid-review-report-3-june-2022.pdf","author":[{"family":"British Medical Association","given":""}],"accessed":{"date-parts":[["2023",7,30]]},"issued":{"date-parts":[["2023",7,7]]}},"label":"page"},{"id":1161,"uris":["http://zotero.org/users/local/RRCsWsp6/items/AY44FLP8"],"itemData":{"id":1161,"type":"post-weblog","abstract":"Even prior to pre-COVID-19 pandemic, the UK population was facing nursing staff shortage, resulting in a lack of proper quality healthcare and service.","container-title":"Nurses Group","language":"en-US","title":"The effect of COVID-19 on the UK's healthcare system and economy","URL":"https://nursesgroup.co.uk/covid-healthcare-economy","author":[{"family":"Phillips","given":"Kate"}],"accessed":{"date-parts":[["2023",7,30]]},"issued":{"date-parts":[["2023",2,23]]}},"label":"page"}],"schema":"https://github.com/citation-style-language/schema/raw/master/csl-citation.json"} </w:instrText>
      </w:r>
      <w:r w:rsidR="00AA3DA2">
        <w:rPr>
          <w:sz w:val="24"/>
          <w:szCs w:val="24"/>
        </w:rPr>
        <w:fldChar w:fldCharType="separate"/>
      </w:r>
      <w:r w:rsidR="00023B9A" w:rsidRPr="00023B9A">
        <w:rPr>
          <w:rFonts w:ascii="Calibri" w:cs="Calibri"/>
          <w:sz w:val="24"/>
        </w:rPr>
        <w:t>(Dyer, 2021; Gouzoulis and Galanis, 2021; House of Commons Public Accounts Committee, 2021; Nagarajan, 2021; Azémar et al., 2022; British Medical Association, 2023; Phillips, 2023)</w:t>
      </w:r>
      <w:r w:rsidR="00AA3DA2">
        <w:rPr>
          <w:sz w:val="24"/>
          <w:szCs w:val="24"/>
        </w:rPr>
        <w:fldChar w:fldCharType="end"/>
      </w:r>
      <w:r w:rsidR="005B212C">
        <w:rPr>
          <w:sz w:val="24"/>
          <w:szCs w:val="24"/>
        </w:rPr>
        <w:t xml:space="preserve">. </w:t>
      </w:r>
      <w:r w:rsidR="00B21A10">
        <w:rPr>
          <w:sz w:val="24"/>
          <w:szCs w:val="24"/>
        </w:rPr>
        <w:t xml:space="preserve"> </w:t>
      </w:r>
      <w:r w:rsidR="0008499E">
        <w:rPr>
          <w:sz w:val="24"/>
          <w:szCs w:val="24"/>
        </w:rPr>
        <w:t xml:space="preserve"> </w:t>
      </w:r>
    </w:p>
    <w:p w14:paraId="7C07DC19" w14:textId="104DC848" w:rsidR="009631E9" w:rsidRDefault="00BF4692" w:rsidP="00112407">
      <w:pPr>
        <w:pStyle w:val="Heading2"/>
        <w:numPr>
          <w:ilvl w:val="1"/>
          <w:numId w:val="3"/>
        </w:numPr>
        <w:spacing w:line="480" w:lineRule="auto"/>
        <w:jc w:val="both"/>
        <w:rPr>
          <w:szCs w:val="24"/>
        </w:rPr>
      </w:pPr>
      <w:bookmarkStart w:id="84" w:name="OLE_LINK2"/>
      <w:bookmarkStart w:id="85" w:name="_Toc141646755"/>
      <w:r>
        <w:rPr>
          <w:szCs w:val="24"/>
        </w:rPr>
        <w:lastRenderedPageBreak/>
        <w:t>Limitations</w:t>
      </w:r>
      <w:bookmarkEnd w:id="85"/>
    </w:p>
    <w:p w14:paraId="180C4D1C" w14:textId="66F1CEF9" w:rsidR="009B5E39" w:rsidRDefault="00803DB1" w:rsidP="00E0741F">
      <w:pPr>
        <w:spacing w:line="480" w:lineRule="auto"/>
        <w:jc w:val="both"/>
        <w:rPr>
          <w:sz w:val="24"/>
          <w:szCs w:val="24"/>
        </w:rPr>
      </w:pPr>
      <w:r w:rsidRPr="0004715D">
        <w:rPr>
          <w:sz w:val="24"/>
          <w:szCs w:val="24"/>
        </w:rPr>
        <w:t xml:space="preserve">One of the core limitations in this study arises from the </w:t>
      </w:r>
      <w:r w:rsidR="005B1805" w:rsidRPr="0004715D">
        <w:rPr>
          <w:sz w:val="24"/>
          <w:szCs w:val="24"/>
        </w:rPr>
        <w:t xml:space="preserve">varying </w:t>
      </w:r>
      <w:r w:rsidR="00DA4B27" w:rsidRPr="0004715D">
        <w:rPr>
          <w:sz w:val="24"/>
          <w:szCs w:val="24"/>
        </w:rPr>
        <w:t xml:space="preserve">reporting periods/financial calendars that arise in the UK, </w:t>
      </w:r>
      <w:r w:rsidR="00CF7DAC" w:rsidRPr="0004715D">
        <w:rPr>
          <w:sz w:val="24"/>
          <w:szCs w:val="24"/>
        </w:rPr>
        <w:t xml:space="preserve">this excluded </w:t>
      </w:r>
      <w:r w:rsidR="0004715D" w:rsidRPr="0004715D">
        <w:rPr>
          <w:sz w:val="24"/>
          <w:szCs w:val="24"/>
        </w:rPr>
        <w:t xml:space="preserve">45 companies from the analysis due to full financial reports not being available. </w:t>
      </w:r>
      <w:r w:rsidR="0004715D">
        <w:rPr>
          <w:sz w:val="24"/>
          <w:szCs w:val="24"/>
        </w:rPr>
        <w:t xml:space="preserve">Increasing the </w:t>
      </w:r>
      <w:r w:rsidR="00741B25">
        <w:rPr>
          <w:sz w:val="24"/>
          <w:szCs w:val="24"/>
        </w:rPr>
        <w:t>sample</w:t>
      </w:r>
      <w:r w:rsidR="0004715D">
        <w:rPr>
          <w:sz w:val="24"/>
          <w:szCs w:val="24"/>
        </w:rPr>
        <w:t xml:space="preserve"> size would provide </w:t>
      </w:r>
      <w:r w:rsidR="009D4778">
        <w:rPr>
          <w:sz w:val="24"/>
          <w:szCs w:val="24"/>
        </w:rPr>
        <w:t>better averages for the industry sectors analysed</w:t>
      </w:r>
      <w:r w:rsidR="009828CC">
        <w:rPr>
          <w:sz w:val="24"/>
          <w:szCs w:val="24"/>
        </w:rPr>
        <w:t xml:space="preserve"> </w:t>
      </w:r>
      <w:r w:rsidR="009828CC">
        <w:rPr>
          <w:sz w:val="24"/>
          <w:szCs w:val="24"/>
        </w:rPr>
        <w:fldChar w:fldCharType="begin"/>
      </w:r>
      <w:r w:rsidR="009828CC">
        <w:rPr>
          <w:sz w:val="24"/>
          <w:szCs w:val="24"/>
        </w:rPr>
        <w:instrText xml:space="preserve"> ADDIN ZOTERO_ITEM CSL_CITATION {"citationID":"xuxASeIe","properties":{"formattedCitation":"(Dekking et al., 2005)","plainCitation":"(Dekking et al., 2005)","noteIndex":0},"citationItems":[{"id":1172,"uris":["http://zotero.org/users/local/RRCsWsp6/items/Y7K33VHL"],"itemData":{"id":1172,"type":"book","collection-title":"Springer Texts in Statistics","event-place":"London","ISBN":"978-1-85233-896-1","note":"DOI: 10.1007/1-84628-168-7","publisher":"Springer","publisher-place":"London","source":"DOI.org (Crossref)","title":"A Modern Introduction to Probability and Statistics","URL":"http://link.springer.com/10.1007/1-84628-168-7","author":[{"family":"Dekking","given":"Frederik Michel"},{"family":"Kraaikamp","given":"Cornelis"},{"family":"Lopuhaä","given":"Hendrik Paul"},{"family":"Meester","given":"Ludolf Erwin"}],"accessed":{"date-parts":[["2023",7,30]]},"issued":{"date-parts":[["2005"]]}}}],"schema":"https://github.com/citation-style-language/schema/raw/master/csl-citation.json"} </w:instrText>
      </w:r>
      <w:r w:rsidR="009828CC">
        <w:rPr>
          <w:sz w:val="24"/>
          <w:szCs w:val="24"/>
        </w:rPr>
        <w:fldChar w:fldCharType="separate"/>
      </w:r>
      <w:r w:rsidR="009828CC">
        <w:rPr>
          <w:noProof/>
          <w:sz w:val="24"/>
          <w:szCs w:val="24"/>
        </w:rPr>
        <w:t>(Dekking et al., 2005)</w:t>
      </w:r>
      <w:r w:rsidR="009828CC">
        <w:rPr>
          <w:sz w:val="24"/>
          <w:szCs w:val="24"/>
        </w:rPr>
        <w:fldChar w:fldCharType="end"/>
      </w:r>
      <w:r w:rsidR="009D4778">
        <w:rPr>
          <w:sz w:val="24"/>
          <w:szCs w:val="24"/>
        </w:rPr>
        <w:t xml:space="preserve">. </w:t>
      </w:r>
      <w:r w:rsidR="004D318A">
        <w:rPr>
          <w:sz w:val="24"/>
          <w:szCs w:val="24"/>
        </w:rPr>
        <w:t xml:space="preserve">This could help </w:t>
      </w:r>
      <w:r w:rsidR="007D7D6E">
        <w:rPr>
          <w:sz w:val="24"/>
          <w:szCs w:val="24"/>
        </w:rPr>
        <w:t xml:space="preserve">the analysis </w:t>
      </w:r>
      <w:r w:rsidR="00741B25">
        <w:rPr>
          <w:sz w:val="24"/>
          <w:szCs w:val="24"/>
        </w:rPr>
        <w:t xml:space="preserve">as </w:t>
      </w:r>
      <w:r w:rsidR="007D7D6E">
        <w:rPr>
          <w:sz w:val="24"/>
          <w:szCs w:val="24"/>
        </w:rPr>
        <w:t>in</w:t>
      </w:r>
      <w:r w:rsidR="004D318A">
        <w:rPr>
          <w:sz w:val="24"/>
          <w:szCs w:val="24"/>
        </w:rPr>
        <w:t xml:space="preserve"> some of the sectors which had a lower number of </w:t>
      </w:r>
      <w:r w:rsidR="007D7D6E">
        <w:rPr>
          <w:sz w:val="24"/>
          <w:szCs w:val="24"/>
        </w:rPr>
        <w:t xml:space="preserve">companies comprising them. </w:t>
      </w:r>
    </w:p>
    <w:p w14:paraId="6CF2E1AF" w14:textId="0280EE92" w:rsidR="00803DB1" w:rsidRDefault="009B5E39" w:rsidP="00E0741F">
      <w:pPr>
        <w:spacing w:line="480" w:lineRule="auto"/>
        <w:jc w:val="both"/>
        <w:rPr>
          <w:sz w:val="24"/>
          <w:szCs w:val="24"/>
        </w:rPr>
      </w:pPr>
      <w:r>
        <w:rPr>
          <w:sz w:val="24"/>
          <w:szCs w:val="24"/>
        </w:rPr>
        <w:t>R</w:t>
      </w:r>
      <w:r w:rsidR="00AB6033">
        <w:rPr>
          <w:sz w:val="24"/>
          <w:szCs w:val="24"/>
        </w:rPr>
        <w:t>aw data input was conducted manually, this could introduce data extraction errors</w:t>
      </w:r>
      <w:r>
        <w:rPr>
          <w:sz w:val="24"/>
          <w:szCs w:val="24"/>
        </w:rPr>
        <w:t xml:space="preserve"> despite the care</w:t>
      </w:r>
      <w:r w:rsidR="00741B25">
        <w:rPr>
          <w:sz w:val="24"/>
          <w:szCs w:val="24"/>
        </w:rPr>
        <w:t xml:space="preserve"> and checks</w:t>
      </w:r>
      <w:r>
        <w:rPr>
          <w:sz w:val="24"/>
          <w:szCs w:val="24"/>
        </w:rPr>
        <w:t xml:space="preserve"> taken in transcription. </w:t>
      </w:r>
      <w:r w:rsidR="005823B7">
        <w:rPr>
          <w:sz w:val="24"/>
          <w:szCs w:val="24"/>
        </w:rPr>
        <w:t xml:space="preserve">Further studies </w:t>
      </w:r>
      <w:r w:rsidR="00C34111">
        <w:rPr>
          <w:sz w:val="24"/>
          <w:szCs w:val="24"/>
        </w:rPr>
        <w:t xml:space="preserve">could </w:t>
      </w:r>
      <w:r w:rsidR="00116CCD">
        <w:rPr>
          <w:sz w:val="24"/>
          <w:szCs w:val="24"/>
        </w:rPr>
        <w:t>utilise</w:t>
      </w:r>
      <w:r w:rsidR="00C34111">
        <w:rPr>
          <w:sz w:val="24"/>
          <w:szCs w:val="24"/>
        </w:rPr>
        <w:t xml:space="preserve"> paid</w:t>
      </w:r>
      <w:r w:rsidR="00116CCD">
        <w:rPr>
          <w:sz w:val="24"/>
          <w:szCs w:val="24"/>
        </w:rPr>
        <w:t>-access</w:t>
      </w:r>
      <w:r w:rsidR="00C34111">
        <w:rPr>
          <w:sz w:val="24"/>
          <w:szCs w:val="24"/>
        </w:rPr>
        <w:t xml:space="preserve"> </w:t>
      </w:r>
      <w:r w:rsidR="00116CCD">
        <w:rPr>
          <w:sz w:val="24"/>
          <w:szCs w:val="24"/>
        </w:rPr>
        <w:t>company information databases such as FAME from Moody’s Analytics</w:t>
      </w:r>
      <w:r w:rsidR="002B099C">
        <w:rPr>
          <w:sz w:val="24"/>
          <w:szCs w:val="24"/>
        </w:rPr>
        <w:t xml:space="preserve"> to access </w:t>
      </w:r>
      <w:r w:rsidR="00741B25">
        <w:rPr>
          <w:sz w:val="24"/>
          <w:szCs w:val="24"/>
        </w:rPr>
        <w:t>E</w:t>
      </w:r>
      <w:r w:rsidR="00F64853">
        <w:rPr>
          <w:sz w:val="24"/>
          <w:szCs w:val="24"/>
        </w:rPr>
        <w:t>xcel format data</w:t>
      </w:r>
      <w:r w:rsidR="00116CCD">
        <w:rPr>
          <w:sz w:val="24"/>
          <w:szCs w:val="24"/>
        </w:rPr>
        <w:t xml:space="preserve"> </w:t>
      </w:r>
      <w:r w:rsidR="00444C4A">
        <w:rPr>
          <w:sz w:val="24"/>
          <w:szCs w:val="24"/>
        </w:rPr>
        <w:fldChar w:fldCharType="begin"/>
      </w:r>
      <w:r w:rsidR="00444C4A">
        <w:rPr>
          <w:sz w:val="24"/>
          <w:szCs w:val="24"/>
        </w:rPr>
        <w:instrText xml:space="preserve"> ADDIN ZOTERO_ITEM CSL_CITATION {"citationID":"st2wQr90","properties":{"formattedCitation":"(Bureau van Dijk, 2023)","plainCitation":"(Bureau van Dijk, 2023)","noteIndex":0},"citationItems":[{"id":1189,"uris":["http://zotero.org/users/local/RRCsWsp6/items/WQRUWB9D"],"itemData":{"id":1189,"type":"webpage","abstract":"Fame is the definitive source of company information and financials for UK and Irish businesses. Try now.","container-title":"BVD","language":"en","title":"Fame | UK &amp; Ireland Company Data | Bureau van Dijk","URL":"https://www.bvdinfo.com/en-gb/our-products/data/national/fame","author":[{"family":"Bureau van Dijk","given":""}],"accessed":{"date-parts":[["2023",7,30]]},"issued":{"date-parts":[["2023",7,30]]}}}],"schema":"https://github.com/citation-style-language/schema/raw/master/csl-citation.json"} </w:instrText>
      </w:r>
      <w:r w:rsidR="00444C4A">
        <w:rPr>
          <w:sz w:val="24"/>
          <w:szCs w:val="24"/>
        </w:rPr>
        <w:fldChar w:fldCharType="separate"/>
      </w:r>
      <w:r w:rsidR="00444C4A">
        <w:rPr>
          <w:noProof/>
          <w:sz w:val="24"/>
          <w:szCs w:val="24"/>
        </w:rPr>
        <w:t>(Bureau van Dijk, 2023)</w:t>
      </w:r>
      <w:r w:rsidR="00444C4A">
        <w:rPr>
          <w:sz w:val="24"/>
          <w:szCs w:val="24"/>
        </w:rPr>
        <w:fldChar w:fldCharType="end"/>
      </w:r>
      <w:r w:rsidR="002B099C">
        <w:rPr>
          <w:sz w:val="24"/>
          <w:szCs w:val="24"/>
        </w:rPr>
        <w:t>.</w:t>
      </w:r>
      <w:r w:rsidR="00F64853">
        <w:rPr>
          <w:sz w:val="24"/>
          <w:szCs w:val="24"/>
        </w:rPr>
        <w:t xml:space="preserve"> In relation to this limitation were the assumptions </w:t>
      </w:r>
      <w:r w:rsidR="00310D2F">
        <w:rPr>
          <w:sz w:val="24"/>
          <w:szCs w:val="24"/>
        </w:rPr>
        <w:t xml:space="preserve">made to account for </w:t>
      </w:r>
      <w:r w:rsidR="00FF4298">
        <w:rPr>
          <w:sz w:val="24"/>
          <w:szCs w:val="24"/>
        </w:rPr>
        <w:t xml:space="preserve">differences in reporting between companies and sectors </w:t>
      </w:r>
      <w:r w:rsidR="002C2803">
        <w:rPr>
          <w:sz w:val="24"/>
          <w:szCs w:val="24"/>
        </w:rPr>
        <w:fldChar w:fldCharType="begin"/>
      </w:r>
      <w:r w:rsidR="00023B9A">
        <w:rPr>
          <w:sz w:val="24"/>
          <w:szCs w:val="24"/>
        </w:rPr>
        <w:instrText xml:space="preserve"> ADDIN ZOTERO_ITEM CSL_CITATION {"citationID":"ymcKpBzq","properties":{"unsorted":true,"formattedCitation":"(Carroll, 2013; Fields, 2016; Jorge et al., 2022)","plainCitation":"(Carroll, 2013; Fields, 2016; Jorge et al., 2022)","noteIndex":0},"citationItems":[{"id":628,"uris":["http://zotero.org/users/local/RRCsWsp6/items/TIIUWBXZ"],"itemData":{"id":628,"type":"article-journal","abstract":"Why should an auditor, Electronic Data Process (EDP), or otherwise, care? If the ultimate purpose of auditing and its output is to improve organizations' probabilities of success, then having useful charts of accounts (CoA) becomes an appropriate subject for auditors' efforts and knowledge. The purpose and goal of this article is to provide insight into the role that charts of accounts play in management of organizations along with suggestions for and examples for CoA particulars and auditor actions.","container-title":"EDPACS","DOI":"10.1080/07366981.2013.751784","ISSN":"0736-6981","issue":"1","note":"publisher: Taylor &amp; Francis\n_eprint: https://doi.org/10.1080/07366981.2013.751784","page":"1-13","source":"Taylor and Francis+NEJM","title":"Does the Organization's Chart of Accounts Support Analysis, Management, and Budgeting?","volume":"47","author":[{"family":"Carroll","given":"Charles   T."}],"issued":{"date-parts":[["2013",1,1]]}},"label":"page"},{"id":627,"uris":["http://zotero.org/users/local/RRCsWsp6/items/JKB9MBF2"],"itemData":{"id":627,"type":"book","abstract":"They say that numbers don't lie, but what if you can't even read them? Financial analysis reports, budgeting reports, forecasting and measuring reports--sometimes they all run together, don't they? The Essentials of Finance and Accounting for Nonfinancial Managers is here to help. This new edition of a business classic demystifies finance and accounting and gives managers the tools they need to make better decisions. Complete with fresh insights, case studies, and street-level exercises to help non-numbers people master the numbers game, this indispensable translation guide reveals how to: - Understand the fundamentals of financial analysis, budgeting, and forecasting- Interpret balance sheets, income/cash flow statements, and annual reports- Sift through conflicting data to find the most relevant figures- Locate key information about competitors and suppliers- Analyze variances and calculate break-even points and other vital measures- And much more The numbers are too important to allow others to translate for you. You need to know how to read them yourself. Imagine the impact on future decisions when you grasp not only what the numbers mean but can use that insight to drive your business forward.","event-place":"Nashville, UNITED STATES","ISBN":"978-0-8144-3695-0","publisher":"AMACOM","publisher-place":"Nashville, UNITED STATES","source":"ProQuest Ebook Central","title":"The Essentials of Finance and Accounting for Nonfinancial Managers","URL":"http://ebookcentral.proquest.com/lib/trinity/detail.action?docID=4202075","author":[{"family":"Fields","given":"Edward"}],"accessed":{"date-parts":[["2023",1,29]]},"issued":{"date-parts":[["2016"]]}},"label":"page"},{"id":629,"uris":["http://zotero.org/users/local/RRCsWsp6/items/HAE92EDR"],"itemData":{"id":629,"type":"article-journal","abstract":"IMPACTCharts of Accounts (CoAs) in the public sector are important to control accounting records. They support the preparation of accurate and reliable financial statements and consolidated reporting. Standardized CoAs at the national level are desirable but specificities of different public sector areas must be considered, as well as harmonization with budget and Government Finance Statistics (GFS) classifications. Having broad international guidance for each country to develop its own CoA, while fostering public sector financial reporting harmonization, would allow for improved comparability of fiscal effects during difficult periods, such as the Covid 19 pandemic.ABSTRACTThis article addresses the development of standardized Charts of Accounts (CoAs) in public sector accounting and reporting. In particular, it focuses on matters concerning the role CoAs have, or should have, at a national level, their main technicalities and the expected impact of using them as a bookkeeping instrument on the accuracy of accounting records and, ultimately, on the reliability and usability of the financial information for different purposes. Empirical evidence is provided from a survey to representatives of accounting international and national (Belgium, Brazil, Estonia and Portugal) standard-setters and preparers.","container-title":"Public Money &amp; Management","DOI":"10.1080/09540962.2022.2106680","ISSN":"0954-0962","issue":"7","note":"publisher: Routledge\n_eprint: https://doi.org/10.1080/09540962.2022.2106680","page":"530-533","source":"Taylor and Francis+NEJM","title":"New development: The development of standardized charts of accounts in public sector accounting","title-short":"New development","volume":"42","author":[{"family":"Jorge","given":"Susana"},{"family":"Dabbicco","given":"Giovanna"},{"family":"Aggestam-Pontoppidan","given":"Caroline"},{"family":"Vaz de Lima","given":"Diana"}],"issued":{"date-parts":[["2022",10,3]]}},"label":"page"}],"schema":"https://github.com/citation-style-language/schema/raw/master/csl-citation.json"} </w:instrText>
      </w:r>
      <w:r w:rsidR="002C2803">
        <w:rPr>
          <w:sz w:val="24"/>
          <w:szCs w:val="24"/>
        </w:rPr>
        <w:fldChar w:fldCharType="separate"/>
      </w:r>
      <w:r w:rsidR="00023B9A">
        <w:rPr>
          <w:rFonts w:ascii="Calibri" w:cs="Calibri"/>
          <w:sz w:val="24"/>
        </w:rPr>
        <w:t>(Carroll, 2013; Fields, 2016; Jorge et al., 2022)</w:t>
      </w:r>
      <w:r w:rsidR="002C2803">
        <w:rPr>
          <w:sz w:val="24"/>
          <w:szCs w:val="24"/>
        </w:rPr>
        <w:fldChar w:fldCharType="end"/>
      </w:r>
      <w:r w:rsidR="002C2803">
        <w:rPr>
          <w:sz w:val="24"/>
          <w:szCs w:val="24"/>
        </w:rPr>
        <w:t>.</w:t>
      </w:r>
    </w:p>
    <w:p w14:paraId="619FE111" w14:textId="2A540F7F" w:rsidR="009C5DA1" w:rsidRDefault="00F828CF" w:rsidP="00E0741F">
      <w:pPr>
        <w:spacing w:line="480" w:lineRule="auto"/>
        <w:jc w:val="both"/>
        <w:rPr>
          <w:sz w:val="24"/>
          <w:szCs w:val="24"/>
        </w:rPr>
      </w:pPr>
      <w:r>
        <w:rPr>
          <w:sz w:val="24"/>
          <w:szCs w:val="24"/>
        </w:rPr>
        <w:t>On the 20</w:t>
      </w:r>
      <w:r w:rsidRPr="00F828CF">
        <w:rPr>
          <w:sz w:val="24"/>
          <w:szCs w:val="24"/>
          <w:vertAlign w:val="superscript"/>
        </w:rPr>
        <w:t>th</w:t>
      </w:r>
      <w:r>
        <w:rPr>
          <w:sz w:val="24"/>
          <w:szCs w:val="24"/>
        </w:rPr>
        <w:t xml:space="preserve"> March 2020, the Coronavirus</w:t>
      </w:r>
      <w:r w:rsidR="008A2AD2">
        <w:rPr>
          <w:sz w:val="24"/>
          <w:szCs w:val="24"/>
        </w:rPr>
        <w:t xml:space="preserve"> Job Retention Scheme was announced allowing businesses to </w:t>
      </w:r>
      <w:r w:rsidR="00523930">
        <w:rPr>
          <w:sz w:val="24"/>
          <w:szCs w:val="24"/>
        </w:rPr>
        <w:t>claim costs covering up to 80% of an employee’s salary up to a limit</w:t>
      </w:r>
      <w:r w:rsidR="00AF54FA">
        <w:rPr>
          <w:sz w:val="24"/>
          <w:szCs w:val="24"/>
        </w:rPr>
        <w:t xml:space="preserve"> </w:t>
      </w:r>
      <w:r w:rsidR="00AF54FA">
        <w:rPr>
          <w:sz w:val="24"/>
          <w:szCs w:val="24"/>
        </w:rPr>
        <w:fldChar w:fldCharType="begin"/>
      </w:r>
      <w:r w:rsidR="00AF54FA">
        <w:rPr>
          <w:sz w:val="24"/>
          <w:szCs w:val="24"/>
        </w:rPr>
        <w:instrText xml:space="preserve"> ADDIN ZOTERO_ITEM CSL_CITATION {"citationID":"5yIEO7Ed","properties":{"formattedCitation":"(Francis-Devine and Ferguson, 2021)","plainCitation":"(Francis-Devine and Ferguson, 2021)","noteIndex":0},"citationItems":[{"id":1191,"uris":["http://zotero.org/users/local/RRCsWsp6/items/73ED2W6U"],"itemData":{"id":1191,"type":"report","abstract":"How has the Coronavirus Job Retention Scheme changed over the year and what might happen once it ends?","genre":"Insight","language":"en-GB","publisher":"House of Commons Library","source":"commonslibrary.parliament.uk","title":"The furlough scheme: One year on","title-short":"The furlough scheme","URL":"https://commonslibrary.parliament.uk/the-furlough-scheme-one-year-on/","author":[{"family":"Francis-Devine","given":"Brigid"},{"family":"Ferguson","given":"Daniel"}],"accessed":{"date-parts":[["2023",7,30]]},"issued":{"date-parts":[["2021",3,24]]}}}],"schema":"https://github.com/citation-style-language/schema/raw/master/csl-citation.json"} </w:instrText>
      </w:r>
      <w:r w:rsidR="00AF54FA">
        <w:rPr>
          <w:sz w:val="24"/>
          <w:szCs w:val="24"/>
        </w:rPr>
        <w:fldChar w:fldCharType="separate"/>
      </w:r>
      <w:r w:rsidR="00AF54FA">
        <w:rPr>
          <w:noProof/>
          <w:sz w:val="24"/>
          <w:szCs w:val="24"/>
        </w:rPr>
        <w:t>(Francis-Devine and Ferguson, 2021)</w:t>
      </w:r>
      <w:r w:rsidR="00AF54FA">
        <w:rPr>
          <w:sz w:val="24"/>
          <w:szCs w:val="24"/>
        </w:rPr>
        <w:fldChar w:fldCharType="end"/>
      </w:r>
      <w:r w:rsidR="00523930">
        <w:rPr>
          <w:sz w:val="24"/>
          <w:szCs w:val="24"/>
        </w:rPr>
        <w:t xml:space="preserve">. </w:t>
      </w:r>
      <w:r w:rsidR="00883AA9">
        <w:rPr>
          <w:sz w:val="24"/>
          <w:szCs w:val="24"/>
        </w:rPr>
        <w:t>Not all companies took up this scheme, but research does show FTSE companies signing up to the scheme. Some companies later repaid funds to the government</w:t>
      </w:r>
      <w:r w:rsidR="005717B0">
        <w:rPr>
          <w:sz w:val="24"/>
          <w:szCs w:val="24"/>
        </w:rPr>
        <w:t>, t</w:t>
      </w:r>
      <w:r w:rsidR="00523930">
        <w:rPr>
          <w:sz w:val="24"/>
          <w:szCs w:val="24"/>
        </w:rPr>
        <w:t>his study did not investigate the impact o</w:t>
      </w:r>
      <w:r w:rsidR="005717B0">
        <w:rPr>
          <w:sz w:val="24"/>
          <w:szCs w:val="24"/>
        </w:rPr>
        <w:t xml:space="preserve">n businesses finances of the furlough scheme but it is likely this impacted on </w:t>
      </w:r>
      <w:r w:rsidR="00F9168A">
        <w:rPr>
          <w:sz w:val="24"/>
          <w:szCs w:val="24"/>
        </w:rPr>
        <w:t xml:space="preserve">operating profit and </w:t>
      </w:r>
      <w:r w:rsidR="00F81982">
        <w:rPr>
          <w:sz w:val="24"/>
          <w:szCs w:val="24"/>
        </w:rPr>
        <w:t xml:space="preserve">merits further investigation </w:t>
      </w:r>
      <w:r w:rsidR="00F81982">
        <w:rPr>
          <w:sz w:val="24"/>
          <w:szCs w:val="24"/>
        </w:rPr>
        <w:fldChar w:fldCharType="begin"/>
      </w:r>
      <w:r w:rsidR="00F81982">
        <w:rPr>
          <w:sz w:val="24"/>
          <w:szCs w:val="24"/>
        </w:rPr>
        <w:instrText xml:space="preserve"> ADDIN ZOTERO_ITEM CSL_CITATION {"citationID":"4YZpPe8o","properties":{"formattedCitation":"(Cundy et al., 2020; Thomas, 2020)","plainCitation":"(Cundy et al., 2020; Thomas, 2020)","noteIndex":0},"citationItems":[{"id":1193,"uris":["http://zotero.org/users/local/RRCsWsp6/items/VHKZ58PM"],"itemData":{"id":1193,"type":"article-newspaper","container-title":"Financial Times","section":"UK companies","title":"One-fifth of FTSE 100 companies tap government wage scheme","URL":"https://www.ft.com/content/182abd48-d00a-469f-bc62-a331e29024cc","author":[{"family":"Cundy","given":"Antonia"},{"family":"Campbell","given":"Chris"},{"family":"Mathurin","given":"Patrick"}],"accessed":{"date-parts":[["2023",7,30]]},"issued":{"date-parts":[["2020",5,16]]}},"label":"page"},{"id":1194,"uris":["http://zotero.org/users/local/RRCsWsp6/items/KZAAAU55"],"itemData":{"id":1194,"type":"article-newspaper","container-title":"Financial Times","section":"Coronavirus economic impact","title":"UK companies restore dividends after taking furlough cash","URL":"https://www.ft.com/content/d9b4c815-d709-4b34-9301-47ce44ee4260","author":[{"family":"Thomas","given":"Daniel"}],"accessed":{"date-parts":[["2023",7,30]]},"issued":{"date-parts":[["2020",11,13]]}}}],"schema":"https://github.com/citation-style-language/schema/raw/master/csl-citation.json"} </w:instrText>
      </w:r>
      <w:r w:rsidR="00F81982">
        <w:rPr>
          <w:sz w:val="24"/>
          <w:szCs w:val="24"/>
        </w:rPr>
        <w:fldChar w:fldCharType="separate"/>
      </w:r>
      <w:r w:rsidR="00F81982">
        <w:rPr>
          <w:noProof/>
          <w:sz w:val="24"/>
          <w:szCs w:val="24"/>
        </w:rPr>
        <w:t>(Cundy et al., 2020; Thomas, 2020)</w:t>
      </w:r>
      <w:r w:rsidR="00F81982">
        <w:rPr>
          <w:sz w:val="24"/>
          <w:szCs w:val="24"/>
        </w:rPr>
        <w:fldChar w:fldCharType="end"/>
      </w:r>
      <w:r w:rsidR="00F81982">
        <w:rPr>
          <w:sz w:val="24"/>
          <w:szCs w:val="24"/>
        </w:rPr>
        <w:t>.</w:t>
      </w:r>
    </w:p>
    <w:p w14:paraId="23887CB9" w14:textId="292AC22B" w:rsidR="007E3EEA" w:rsidRDefault="00D91A49" w:rsidP="00E0741F">
      <w:pPr>
        <w:spacing w:line="480" w:lineRule="auto"/>
        <w:jc w:val="both"/>
        <w:rPr>
          <w:sz w:val="24"/>
          <w:szCs w:val="24"/>
        </w:rPr>
      </w:pPr>
      <w:r>
        <w:rPr>
          <w:sz w:val="24"/>
          <w:szCs w:val="24"/>
        </w:rPr>
        <w:t xml:space="preserve">This study in its nature and design </w:t>
      </w:r>
      <w:r w:rsidR="00E55F9B">
        <w:rPr>
          <w:sz w:val="24"/>
          <w:szCs w:val="24"/>
        </w:rPr>
        <w:t>was designed to provide a high level analysis, resulting in a ’10,000ft’ view of the sectors in the UK economy</w:t>
      </w:r>
      <w:r w:rsidR="004B7E56">
        <w:rPr>
          <w:sz w:val="24"/>
          <w:szCs w:val="24"/>
        </w:rPr>
        <w:t xml:space="preserve">. The side effect of this approach was </w:t>
      </w:r>
      <w:r w:rsidR="00AD45D5">
        <w:rPr>
          <w:sz w:val="24"/>
          <w:szCs w:val="24"/>
        </w:rPr>
        <w:t>the loss of detail on trends and patterns within industry sectors</w:t>
      </w:r>
      <w:r w:rsidR="006C0270">
        <w:rPr>
          <w:sz w:val="24"/>
          <w:szCs w:val="24"/>
        </w:rPr>
        <w:t xml:space="preserve"> and therefore the ability </w:t>
      </w:r>
      <w:r w:rsidR="007360C0">
        <w:rPr>
          <w:sz w:val="24"/>
          <w:szCs w:val="24"/>
        </w:rPr>
        <w:t>to determine</w:t>
      </w:r>
      <w:r w:rsidR="006C0270">
        <w:rPr>
          <w:sz w:val="24"/>
          <w:szCs w:val="24"/>
        </w:rPr>
        <w:t xml:space="preserve"> which individual businesses</w:t>
      </w:r>
      <w:r w:rsidR="00EF383E">
        <w:rPr>
          <w:sz w:val="24"/>
          <w:szCs w:val="24"/>
        </w:rPr>
        <w:t>/</w:t>
      </w:r>
      <w:r w:rsidR="00CF5DD8">
        <w:rPr>
          <w:sz w:val="24"/>
          <w:szCs w:val="24"/>
        </w:rPr>
        <w:t>product</w:t>
      </w:r>
      <w:r w:rsidR="00EF383E">
        <w:rPr>
          <w:sz w:val="24"/>
          <w:szCs w:val="24"/>
        </w:rPr>
        <w:t>s</w:t>
      </w:r>
      <w:r w:rsidR="00CF5DD8">
        <w:rPr>
          <w:sz w:val="24"/>
          <w:szCs w:val="24"/>
        </w:rPr>
        <w:t>/service</w:t>
      </w:r>
      <w:r w:rsidR="00EF383E">
        <w:rPr>
          <w:sz w:val="24"/>
          <w:szCs w:val="24"/>
        </w:rPr>
        <w:t>s</w:t>
      </w:r>
      <w:r w:rsidR="00CF5DD8">
        <w:rPr>
          <w:sz w:val="24"/>
          <w:szCs w:val="24"/>
        </w:rPr>
        <w:t xml:space="preserve"> focuses performed best or were </w:t>
      </w:r>
      <w:r w:rsidR="00CF5DD8">
        <w:rPr>
          <w:sz w:val="24"/>
          <w:szCs w:val="24"/>
        </w:rPr>
        <w:lastRenderedPageBreak/>
        <w:t xml:space="preserve">impacted the most by the pandemic. </w:t>
      </w:r>
      <w:r w:rsidR="00A80152">
        <w:rPr>
          <w:sz w:val="24"/>
          <w:szCs w:val="24"/>
        </w:rPr>
        <w:t>Of interest within this data would have been to compare “essential”</w:t>
      </w:r>
      <w:r w:rsidR="009D0C10">
        <w:rPr>
          <w:sz w:val="24"/>
          <w:szCs w:val="24"/>
        </w:rPr>
        <w:t xml:space="preserve"> (which were allowed to remain open)</w:t>
      </w:r>
      <w:r w:rsidR="00A80152">
        <w:rPr>
          <w:sz w:val="24"/>
          <w:szCs w:val="24"/>
        </w:rPr>
        <w:t xml:space="preserve"> vs “non-essential”</w:t>
      </w:r>
      <w:r w:rsidR="009D0C10">
        <w:rPr>
          <w:sz w:val="24"/>
          <w:szCs w:val="24"/>
        </w:rPr>
        <w:t xml:space="preserve"> (Under COVID-19 restrictions)</w:t>
      </w:r>
      <w:r w:rsidR="00A80152">
        <w:rPr>
          <w:sz w:val="24"/>
          <w:szCs w:val="24"/>
        </w:rPr>
        <w:t xml:space="preserve"> </w:t>
      </w:r>
      <w:r w:rsidR="009D0C10">
        <w:rPr>
          <w:sz w:val="24"/>
          <w:szCs w:val="24"/>
        </w:rPr>
        <w:t>business</w:t>
      </w:r>
      <w:r w:rsidR="001B1FA2">
        <w:rPr>
          <w:sz w:val="24"/>
          <w:szCs w:val="24"/>
        </w:rPr>
        <w:t xml:space="preserve"> performance </w:t>
      </w:r>
      <w:r w:rsidR="001B1FA2">
        <w:rPr>
          <w:sz w:val="24"/>
          <w:szCs w:val="24"/>
        </w:rPr>
        <w:fldChar w:fldCharType="begin"/>
      </w:r>
      <w:r w:rsidR="007360C0">
        <w:rPr>
          <w:sz w:val="24"/>
          <w:szCs w:val="24"/>
        </w:rPr>
        <w:instrText xml:space="preserve"> ADDIN ZOTERO_ITEM CSL_CITATION {"citationID":"8kWchQaR","properties":{"formattedCitation":"(Stemmler, 2022)","plainCitation":"(Stemmler, 2022)","noteIndex":0},"citationItems":[{"id":1174,"uris":["http://zotero.org/users/local/RRCsWsp6/items/QB3USAVI"],"itemData":{"id":1174,"type":"book","collection-title":"ILO Working Papers","ISBN":"978-92-2-037697-3","note":"DOI: 10.54394/BZKJ3115","publisher":"International Labour Organization","source":"DOI.org (Crossref)","title":"The effects of COVID-19 on businesses: key versus non-key firms","title-short":"The effects of COVID-19 on businesses","URL":"https://labordoc.ilo.org/discovery/fulldisplay?docid=alma995203892802676&amp;context=L&amp;vid=41ILO_INST:41ILO_V2&amp;lang=en&amp;search_scope=ALL_ILO&amp;adaptor=Local%20Search%20Engine&amp;tab=ALL_ILO&amp;query=title,exact,ilo%20working%20paper,AND&amp;sortby=date_d&amp;facet=searchcreationdate,include,2022%7C,%7C2022&amp;mode=advanced&amp;offset=10","volume":"77","author":[{"family":"Stemmler","given":"Henry"}],"accessed":{"date-parts":[["2023",7,30]]},"issued":{"date-parts":[["2022"]]}}}],"schema":"https://github.com/citation-style-language/schema/raw/master/csl-citation.json"} </w:instrText>
      </w:r>
      <w:r w:rsidR="001B1FA2">
        <w:rPr>
          <w:sz w:val="24"/>
          <w:szCs w:val="24"/>
        </w:rPr>
        <w:fldChar w:fldCharType="separate"/>
      </w:r>
      <w:r w:rsidR="007360C0">
        <w:rPr>
          <w:noProof/>
          <w:sz w:val="24"/>
          <w:szCs w:val="24"/>
        </w:rPr>
        <w:t>(Stemmler, 2022)</w:t>
      </w:r>
      <w:r w:rsidR="001B1FA2">
        <w:rPr>
          <w:sz w:val="24"/>
          <w:szCs w:val="24"/>
        </w:rPr>
        <w:fldChar w:fldCharType="end"/>
      </w:r>
      <w:r w:rsidR="001B1FA2">
        <w:rPr>
          <w:sz w:val="24"/>
          <w:szCs w:val="24"/>
        </w:rPr>
        <w:t xml:space="preserve">. </w:t>
      </w:r>
    </w:p>
    <w:p w14:paraId="0454062F" w14:textId="68D8CAC1" w:rsidR="00803DB1" w:rsidRPr="006811CE" w:rsidRDefault="007E3EEA" w:rsidP="00E0741F">
      <w:pPr>
        <w:spacing w:line="480" w:lineRule="auto"/>
        <w:jc w:val="both"/>
        <w:rPr>
          <w:sz w:val="24"/>
          <w:szCs w:val="24"/>
        </w:rPr>
      </w:pPr>
      <w:r>
        <w:rPr>
          <w:sz w:val="24"/>
          <w:szCs w:val="24"/>
        </w:rPr>
        <w:t xml:space="preserve">As has been extensively discussed in the </w:t>
      </w:r>
      <w:r w:rsidR="00DC622A">
        <w:rPr>
          <w:sz w:val="24"/>
          <w:szCs w:val="24"/>
        </w:rPr>
        <w:t>literature review, one significant limitation i</w:t>
      </w:r>
      <w:r w:rsidR="00EC395C">
        <w:rPr>
          <w:sz w:val="24"/>
          <w:szCs w:val="24"/>
        </w:rPr>
        <w:t xml:space="preserve">s the single time </w:t>
      </w:r>
      <w:r w:rsidR="003173C1">
        <w:rPr>
          <w:sz w:val="24"/>
          <w:szCs w:val="24"/>
        </w:rPr>
        <w:t xml:space="preserve">‘snap-shot’ view of the financial ratio analysis; further progression detail may be gained by </w:t>
      </w:r>
      <w:r w:rsidR="00650FA4">
        <w:rPr>
          <w:sz w:val="24"/>
          <w:szCs w:val="24"/>
        </w:rPr>
        <w:t xml:space="preserve">running time series analysis with interim reporting. </w:t>
      </w:r>
      <w:r w:rsidR="009257CB">
        <w:rPr>
          <w:sz w:val="24"/>
          <w:szCs w:val="24"/>
        </w:rPr>
        <w:t>As a result of the analysis data being taken from secondary sources, there is also implications for bias</w:t>
      </w:r>
      <w:r w:rsidR="0087067B">
        <w:rPr>
          <w:sz w:val="24"/>
          <w:szCs w:val="24"/>
        </w:rPr>
        <w:t xml:space="preserve"> as outlined in out literature review </w:t>
      </w:r>
      <w:r w:rsidR="000D6F07">
        <w:rPr>
          <w:sz w:val="24"/>
          <w:szCs w:val="24"/>
        </w:rPr>
        <w:fldChar w:fldCharType="begin"/>
      </w:r>
      <w:r w:rsidR="000D6F07">
        <w:rPr>
          <w:sz w:val="24"/>
          <w:szCs w:val="24"/>
        </w:rPr>
        <w:instrText xml:space="preserve"> ADDIN ZOTERO_ITEM CSL_CITATION {"citationID":"ca6WgyaB","properties":{"formattedCitation":"(Titman et al., 2014)","plainCitation":"(Titman et al., 2014)","noteIndex":0},"citationItems":[{"id":951,"uris":["http://zotero.org/users/local/RRCsWsp6/items/PM2J3CFK"],"itemData":{"id":951,"type":"book","abstract":"For the introductory finance course-undergraduate corporate finance or financial management-required at all undergraduate business schools.   Get the picture and develop a fundamental understanding of finance.   Students often miss the big picture, viewing finance as a set of unrelated topics, tools, and techniques. In order to help students see the big picture, this text provides an introduction to financial decision-making that links the concepts to five key principles of finance.   Authors Arthur J. Keown, John D. Martin, and Sheridan Titman have incorporated significant revisions that weave currency, relevance, and real-world issues into the pages of this well-know finance text.","edition":"Twelfth edition, Pearson new international edition.","event-place":"Harlow, United Kingdom","ISBN":"978-1-292-03624-3","language":"eng","publisher":"Pearson","publisher-place":"Harlow, United Kingdom","source":"librarysearch.uwtsd.ac.uk","title":"Financial management: principles and applications","title-short":"Financial management","author":[{"family":"Titman","given":"Sheridan J"},{"family":"Keown","given":"Arthur J"},{"family":"Martin","given":"John D"}],"issued":{"date-parts":[["2014"]]}}}],"schema":"https://github.com/citation-style-language/schema/raw/master/csl-citation.json"} </w:instrText>
      </w:r>
      <w:r w:rsidR="000D6F07">
        <w:rPr>
          <w:sz w:val="24"/>
          <w:szCs w:val="24"/>
        </w:rPr>
        <w:fldChar w:fldCharType="separate"/>
      </w:r>
      <w:r w:rsidR="000D6F07">
        <w:rPr>
          <w:noProof/>
          <w:sz w:val="24"/>
          <w:szCs w:val="24"/>
        </w:rPr>
        <w:t>(Titman et al., 2014)</w:t>
      </w:r>
      <w:r w:rsidR="000D6F07">
        <w:rPr>
          <w:sz w:val="24"/>
          <w:szCs w:val="24"/>
        </w:rPr>
        <w:fldChar w:fldCharType="end"/>
      </w:r>
      <w:r w:rsidR="0087067B">
        <w:rPr>
          <w:sz w:val="24"/>
          <w:szCs w:val="24"/>
        </w:rPr>
        <w:t xml:space="preserve">. </w:t>
      </w:r>
      <w:r w:rsidR="00E348B0" w:rsidRPr="006811CE">
        <w:rPr>
          <w:sz w:val="24"/>
          <w:szCs w:val="24"/>
        </w:rPr>
        <w:t xml:space="preserve">Financial statement revisions </w:t>
      </w:r>
      <w:r w:rsidR="007F3AA6" w:rsidRPr="006811CE">
        <w:rPr>
          <w:sz w:val="24"/>
          <w:szCs w:val="24"/>
        </w:rPr>
        <w:t>occurred as a result of the onset of the pandemic</w:t>
      </w:r>
      <w:r w:rsidR="009703C3" w:rsidRPr="006811CE">
        <w:rPr>
          <w:sz w:val="24"/>
          <w:szCs w:val="24"/>
        </w:rPr>
        <w:t>, with the time of publication being dependant on the company financial year-end date</w:t>
      </w:r>
      <w:r w:rsidR="00855FC7" w:rsidRPr="006811CE">
        <w:rPr>
          <w:sz w:val="24"/>
          <w:szCs w:val="24"/>
        </w:rPr>
        <w:t xml:space="preserve">. As a result information and changes may have been re-evaluated </w:t>
      </w:r>
      <w:r w:rsidR="00010C58" w:rsidRPr="006811CE">
        <w:rPr>
          <w:sz w:val="24"/>
          <w:szCs w:val="24"/>
        </w:rPr>
        <w:t xml:space="preserve">between the statement dates and the publication of the report. In this case restated figures would need to be issued and therefore distort the financial ratio analysis </w:t>
      </w:r>
      <w:r w:rsidR="00114D71" w:rsidRPr="006811CE">
        <w:rPr>
          <w:sz w:val="24"/>
          <w:szCs w:val="24"/>
        </w:rPr>
        <w:t>preformed</w:t>
      </w:r>
      <w:r w:rsidR="00BE0ED8" w:rsidRPr="006811CE">
        <w:rPr>
          <w:sz w:val="24"/>
          <w:szCs w:val="24"/>
        </w:rPr>
        <w:t xml:space="preserve"> </w:t>
      </w:r>
      <w:r w:rsidR="00BE0ED8" w:rsidRPr="006811CE">
        <w:rPr>
          <w:sz w:val="24"/>
          <w:szCs w:val="24"/>
        </w:rPr>
        <w:fldChar w:fldCharType="begin"/>
      </w:r>
      <w:r w:rsidR="00BE0ED8" w:rsidRPr="006811CE">
        <w:rPr>
          <w:sz w:val="24"/>
          <w:szCs w:val="24"/>
        </w:rPr>
        <w:instrText xml:space="preserve"> ADDIN ZOTERO_ITEM CSL_CITATION {"citationID":"XfBVq2YD","properties":{"formattedCitation":"(DeLoach, 2020)","plainCitation":"(DeLoach, 2020)","noteIndex":0},"citationItems":[{"id":1176,"uris":["http://zotero.org/users/local/RRCsWsp6/items/KTUBYGJK"],"itemData":{"id":1176,"type":"article-newspaper","abstract":"It’s hard to find anything not affected by COVID-19 other than, hopefully, the solace and safety of our homes. And if the virus hits a family member, the home is affected, too. Which brings us to accounting and financial reporting. Yes, they are affected, too, as financial markets are making clear.","container-title":"Forbes","language":"en","note":"section: CFO Network","title":"How Is COVID-19 Affecting Your Financial Statements?","URL":"https://www.forbes.com/sites/jimdeloach/2020/03/23/how-is-covid-19-affecting-your-financial-statements/","author":[{"family":"DeLoach","given":"Jim"}],"accessed":{"date-parts":[["2023",7,30]]},"issued":{"date-parts":[["2020",3,23]]}}}],"schema":"https://github.com/citation-style-language/schema/raw/master/csl-citation.json"} </w:instrText>
      </w:r>
      <w:r w:rsidR="00BE0ED8" w:rsidRPr="006811CE">
        <w:rPr>
          <w:sz w:val="24"/>
          <w:szCs w:val="24"/>
        </w:rPr>
        <w:fldChar w:fldCharType="separate"/>
      </w:r>
      <w:r w:rsidR="00BE0ED8" w:rsidRPr="006811CE">
        <w:rPr>
          <w:noProof/>
          <w:sz w:val="24"/>
          <w:szCs w:val="24"/>
        </w:rPr>
        <w:t>(DeLoach, 2020)</w:t>
      </w:r>
      <w:r w:rsidR="00BE0ED8" w:rsidRPr="006811CE">
        <w:rPr>
          <w:sz w:val="24"/>
          <w:szCs w:val="24"/>
        </w:rPr>
        <w:fldChar w:fldCharType="end"/>
      </w:r>
      <w:r w:rsidR="00114D71" w:rsidRPr="006811CE">
        <w:rPr>
          <w:sz w:val="24"/>
          <w:szCs w:val="24"/>
        </w:rPr>
        <w:t xml:space="preserve">. </w:t>
      </w:r>
    </w:p>
    <w:p w14:paraId="29E3DDF5" w14:textId="373DD929" w:rsidR="00650FA4" w:rsidRDefault="00650FA4" w:rsidP="00E0741F">
      <w:pPr>
        <w:spacing w:line="480" w:lineRule="auto"/>
        <w:jc w:val="both"/>
        <w:rPr>
          <w:sz w:val="24"/>
          <w:szCs w:val="24"/>
        </w:rPr>
      </w:pPr>
      <w:r w:rsidRPr="006811CE">
        <w:rPr>
          <w:sz w:val="24"/>
          <w:szCs w:val="24"/>
        </w:rPr>
        <w:t xml:space="preserve">One key area that this was demonstrated was in dividend related </w:t>
      </w:r>
      <w:r w:rsidR="00516263" w:rsidRPr="006811CE">
        <w:rPr>
          <w:sz w:val="24"/>
          <w:szCs w:val="24"/>
        </w:rPr>
        <w:t>ratios. We were unable to use these in our analysis due to revision</w:t>
      </w:r>
      <w:r w:rsidR="006D190C" w:rsidRPr="006811CE">
        <w:rPr>
          <w:sz w:val="24"/>
          <w:szCs w:val="24"/>
        </w:rPr>
        <w:t xml:space="preserve"> statements posted within the company Annual Reports. These were present in the overwhelming majority of </w:t>
      </w:r>
      <w:r w:rsidR="00067C93" w:rsidRPr="006811CE">
        <w:rPr>
          <w:sz w:val="24"/>
          <w:szCs w:val="24"/>
        </w:rPr>
        <w:t>compan</w:t>
      </w:r>
      <w:r w:rsidR="008F3301" w:rsidRPr="006811CE">
        <w:rPr>
          <w:sz w:val="24"/>
          <w:szCs w:val="24"/>
        </w:rPr>
        <w:t>ies</w:t>
      </w:r>
      <w:r w:rsidR="00067C93" w:rsidRPr="006811CE">
        <w:rPr>
          <w:sz w:val="24"/>
          <w:szCs w:val="24"/>
        </w:rPr>
        <w:t xml:space="preserve"> for the 2020 year, with published dividend announcements being cancelled</w:t>
      </w:r>
      <w:r w:rsidR="00FE2D3B" w:rsidRPr="006811CE">
        <w:rPr>
          <w:sz w:val="24"/>
          <w:szCs w:val="24"/>
        </w:rPr>
        <w:t xml:space="preserve"> in order to maintain cash to combat the uncertainties arising from the pandemic</w:t>
      </w:r>
      <w:r w:rsidR="00067C93" w:rsidRPr="006811CE">
        <w:rPr>
          <w:sz w:val="24"/>
          <w:szCs w:val="24"/>
        </w:rPr>
        <w:t xml:space="preserve">. </w:t>
      </w:r>
      <w:r w:rsidR="008F3301" w:rsidRPr="006811CE">
        <w:rPr>
          <w:sz w:val="24"/>
          <w:szCs w:val="24"/>
        </w:rPr>
        <w:t xml:space="preserve">The sector level analysis therefore precluded this information being included in </w:t>
      </w:r>
      <w:r w:rsidR="00BE2875" w:rsidRPr="006811CE">
        <w:rPr>
          <w:sz w:val="24"/>
          <w:szCs w:val="24"/>
        </w:rPr>
        <w:t>our analysis</w:t>
      </w:r>
      <w:r w:rsidR="003C1AFD" w:rsidRPr="006811CE">
        <w:rPr>
          <w:sz w:val="24"/>
          <w:szCs w:val="24"/>
        </w:rPr>
        <w:t xml:space="preserve"> </w:t>
      </w:r>
      <w:r w:rsidR="003C1AFD" w:rsidRPr="006811CE">
        <w:rPr>
          <w:sz w:val="24"/>
          <w:szCs w:val="24"/>
        </w:rPr>
        <w:fldChar w:fldCharType="begin"/>
      </w:r>
      <w:r w:rsidR="00023B9A">
        <w:rPr>
          <w:sz w:val="24"/>
          <w:szCs w:val="24"/>
        </w:rPr>
        <w:instrText xml:space="preserve"> ADDIN ZOTERO_ITEM CSL_CITATION {"citationID":"sn4FkAuk","properties":{"unsorted":true,"formattedCitation":"(Ashwell, 2020; Ernst &amp; Young Global Limited, 2020; JD Wetherspoon Plc., 2020)","plainCitation":"(Ashwell, 2020; Ernst &amp; Young Global Limited, 2020; JD Wetherspoon Plc., 2020)","noteIndex":0},"citationItems":[{"id":1181,"uris":["http://zotero.org/users/local/RRCsWsp6/items/69M7FJ6Q"],"itemData":{"id":1181,"type":"article-magazine","abstract":"Covid-19 has led to unprecedented levels of volatility, complexity and uncertainty for issuers, investors and investment banks.","container-title":"IR Magazine","language":"en","title":"How Covid-19 is affecting earnings guidance and dividend payments","URL":"https://www.irmagazine.com/reporting/how-covid-19-affecting-earnings-guidance-and-dividend-payments","author":[{"family":"Ashwell","given":"Ben"}],"accessed":{"date-parts":[["2023",7,30]]},"issued":{"date-parts":[["2020",4,1]]}},"label":"page"},{"id":1183,"uris":["http://zotero.org/users/local/RRCsWsp6/items/KMX5DFQX"],"itemData":{"id":1183,"type":"post-weblog","abstract":"The current situation does not mean that no profit distributions can take place, however there are important elements to take into account.","container-title":"EY Tax Alerts","language":"en-BE","title":"The potential impact of the corona crisis on dividend policies","URL":"https://www.ey.com/en_be/tax/tax-alerts/the-potential-impact-of-the-corona-crisis-on-dividend-policies","author":[{"family":"Ernst &amp; Young Global Limited","given":""}],"accessed":{"date-parts":[["2023",7,30]]},"issued":{"date-parts":[["2020",4,3]]}},"label":"page"},{"id":1180,"uris":["http://zotero.org/users/local/RRCsWsp6/items/5JLSJBED"],"itemData":{"id":1180,"type":"report","genre":"Annual Report","page":"100","publisher":"JD Wetherspoon Plc.","title":"Annual Report and Financial Statements 2020","URL":"https://www.investors.jdwetherspoon.com/wp-content/uploads/2022/11/Annual_Report_16_October_2020.pdf","author":[{"family":"JD Wetherspoon Plc.","given":""}],"accessed":{"date-parts":[["2023",7,30]]},"issued":{"date-parts":[["2020"]]}},"label":"page"}],"schema":"https://github.com/citation-style-language/schema/raw/master/csl-citation.json"} </w:instrText>
      </w:r>
      <w:r w:rsidR="003C1AFD" w:rsidRPr="006811CE">
        <w:rPr>
          <w:sz w:val="24"/>
          <w:szCs w:val="24"/>
        </w:rPr>
        <w:fldChar w:fldCharType="separate"/>
      </w:r>
      <w:r w:rsidR="00023B9A">
        <w:rPr>
          <w:noProof/>
          <w:sz w:val="24"/>
          <w:szCs w:val="24"/>
        </w:rPr>
        <w:t>(Ashwell, 2020; Ernst &amp; Young Global Limited, 2020; JD Wetherspoon Plc., 2020)</w:t>
      </w:r>
      <w:r w:rsidR="003C1AFD" w:rsidRPr="006811CE">
        <w:rPr>
          <w:sz w:val="24"/>
          <w:szCs w:val="24"/>
        </w:rPr>
        <w:fldChar w:fldCharType="end"/>
      </w:r>
      <w:r w:rsidR="00BE2875" w:rsidRPr="006811CE">
        <w:rPr>
          <w:sz w:val="24"/>
          <w:szCs w:val="24"/>
        </w:rPr>
        <w:t>.</w:t>
      </w:r>
      <w:r w:rsidR="009236DD">
        <w:rPr>
          <w:sz w:val="24"/>
          <w:szCs w:val="24"/>
        </w:rPr>
        <w:t xml:space="preserve"> As result of the sector </w:t>
      </w:r>
      <w:r w:rsidR="00713F2F">
        <w:rPr>
          <w:sz w:val="24"/>
          <w:szCs w:val="24"/>
        </w:rPr>
        <w:t>analysis</w:t>
      </w:r>
      <w:r w:rsidR="009236DD">
        <w:rPr>
          <w:sz w:val="24"/>
          <w:szCs w:val="24"/>
        </w:rPr>
        <w:t xml:space="preserve"> not breaking down </w:t>
      </w:r>
      <w:r w:rsidR="00713F2F">
        <w:rPr>
          <w:sz w:val="24"/>
          <w:szCs w:val="24"/>
        </w:rPr>
        <w:t xml:space="preserve">companies that did or did not pay dividends, it is not possible to allow for any exposure risk increase due to dividend cuts </w:t>
      </w:r>
      <w:r w:rsidR="00713F2F">
        <w:rPr>
          <w:sz w:val="24"/>
          <w:szCs w:val="24"/>
        </w:rPr>
        <w:fldChar w:fldCharType="begin"/>
      </w:r>
      <w:r w:rsidR="00713F2F">
        <w:rPr>
          <w:sz w:val="24"/>
          <w:szCs w:val="24"/>
        </w:rPr>
        <w:instrText xml:space="preserve"> ADDIN ZOTERO_ITEM CSL_CITATION {"citationID":"h7imAxiw","properties":{"formattedCitation":"(Cejnek et al., 2021)","plainCitation":"(Cejnek et al., 2021)","noteIndex":0},"citationItems":[{"id":1144,"uris":["http://zotero.org/users/local/RRCsWsp6/items/JMB4LYLX"],"itemData":{"id":1144,"type":"article-journal","abstract":"This article shows that, for major equity markets, the proportion of index values attributable to the first 5 years of dividends dropped substantially in the first quarter of 2020 and that this drop was not reversed by the end of the year. In the cross section, this breakdown of dividend smoothing due to COVID-19 was less severe for firms with higher operating cash flows and more positively coskewed stock returns, and it was more pronounced for those with higher leverage and in the financial sector. Heavy dividend cutters also experienced a substantial increase in exposure to systematic risk.","container-title":"Journal of Financial &amp; Quantitative Analysis","DOI":"10.1017/S0022109021000533","ISSN":"00221090","note":"publisher: Cambridge University Press","page":"2389-2410","source":"EBSCOhost","title":"The COVID-19 Pandemic and Corporate Dividend Policy","volume":"56","author":[{"family":"Cejnek","given":"Georg"},{"family":"Randl","given":"Otto"},{"family":"Zechner","given":"Josef"}],"issued":{"date-parts":[["2021",11]]}}}],"schema":"https://github.com/citation-style-language/schema/raw/master/csl-citation.json"} </w:instrText>
      </w:r>
      <w:r w:rsidR="00713F2F">
        <w:rPr>
          <w:sz w:val="24"/>
          <w:szCs w:val="24"/>
        </w:rPr>
        <w:fldChar w:fldCharType="separate"/>
      </w:r>
      <w:r w:rsidR="00713F2F">
        <w:rPr>
          <w:noProof/>
          <w:sz w:val="24"/>
          <w:szCs w:val="24"/>
        </w:rPr>
        <w:t>(Cejnek et al., 2021)</w:t>
      </w:r>
      <w:r w:rsidR="00713F2F">
        <w:rPr>
          <w:sz w:val="24"/>
          <w:szCs w:val="24"/>
        </w:rPr>
        <w:fldChar w:fldCharType="end"/>
      </w:r>
      <w:r w:rsidR="00713F2F">
        <w:rPr>
          <w:sz w:val="24"/>
          <w:szCs w:val="24"/>
        </w:rPr>
        <w:t xml:space="preserve">. </w:t>
      </w:r>
    </w:p>
    <w:p w14:paraId="65D42170" w14:textId="358729AC" w:rsidR="00933F00" w:rsidRPr="00EC395C" w:rsidRDefault="00FE3042" w:rsidP="00F121BC">
      <w:pPr>
        <w:spacing w:line="480" w:lineRule="auto"/>
        <w:jc w:val="both"/>
        <w:rPr>
          <w:sz w:val="24"/>
          <w:szCs w:val="24"/>
        </w:rPr>
      </w:pPr>
      <w:r>
        <w:rPr>
          <w:sz w:val="24"/>
          <w:szCs w:val="24"/>
        </w:rPr>
        <w:lastRenderedPageBreak/>
        <w:t xml:space="preserve">The </w:t>
      </w:r>
      <w:r w:rsidR="00D06C36">
        <w:rPr>
          <w:sz w:val="24"/>
          <w:szCs w:val="24"/>
        </w:rPr>
        <w:t>FTSE 250</w:t>
      </w:r>
      <w:r>
        <w:rPr>
          <w:sz w:val="24"/>
          <w:szCs w:val="24"/>
        </w:rPr>
        <w:t xml:space="preserve"> was selected for analysis due to its UK focus, </w:t>
      </w:r>
      <w:r w:rsidR="000F52AE">
        <w:rPr>
          <w:sz w:val="24"/>
          <w:szCs w:val="24"/>
        </w:rPr>
        <w:t xml:space="preserve">however the businesses involved while smaller </w:t>
      </w:r>
      <w:r w:rsidR="006D294E">
        <w:rPr>
          <w:sz w:val="24"/>
          <w:szCs w:val="24"/>
        </w:rPr>
        <w:t>than</w:t>
      </w:r>
      <w:r w:rsidR="000F52AE">
        <w:rPr>
          <w:sz w:val="24"/>
          <w:szCs w:val="24"/>
        </w:rPr>
        <w:t xml:space="preserve"> those </w:t>
      </w:r>
      <w:r w:rsidR="006D294E">
        <w:rPr>
          <w:sz w:val="24"/>
          <w:szCs w:val="24"/>
        </w:rPr>
        <w:t xml:space="preserve">making up the </w:t>
      </w:r>
      <w:r w:rsidR="00432E99">
        <w:rPr>
          <w:sz w:val="24"/>
          <w:szCs w:val="24"/>
        </w:rPr>
        <w:t>FTSE 100</w:t>
      </w:r>
      <w:r w:rsidR="006D294E">
        <w:rPr>
          <w:sz w:val="24"/>
          <w:szCs w:val="24"/>
        </w:rPr>
        <w:t xml:space="preserve"> still represent some of the largest companies in the UK. </w:t>
      </w:r>
      <w:r w:rsidR="00292AD8">
        <w:rPr>
          <w:sz w:val="24"/>
          <w:szCs w:val="24"/>
        </w:rPr>
        <w:t xml:space="preserve">Small and Medium Enterprises (SME’s) are acknowledged as </w:t>
      </w:r>
      <w:r w:rsidR="00795928">
        <w:rPr>
          <w:sz w:val="24"/>
          <w:szCs w:val="24"/>
        </w:rPr>
        <w:t>the foundation stone of business</w:t>
      </w:r>
      <w:r w:rsidR="00CC6527">
        <w:rPr>
          <w:sz w:val="24"/>
          <w:szCs w:val="24"/>
        </w:rPr>
        <w:t xml:space="preserve">es within the UK making up 99% companies. </w:t>
      </w:r>
      <w:r w:rsidR="009A62E4">
        <w:rPr>
          <w:sz w:val="24"/>
          <w:szCs w:val="24"/>
        </w:rPr>
        <w:t xml:space="preserve">In only investigating larger public listed companies we </w:t>
      </w:r>
      <w:r w:rsidR="000E62B9">
        <w:rPr>
          <w:sz w:val="24"/>
          <w:szCs w:val="24"/>
        </w:rPr>
        <w:t>are looking</w:t>
      </w:r>
      <w:r w:rsidR="009A62E4">
        <w:rPr>
          <w:sz w:val="24"/>
          <w:szCs w:val="24"/>
        </w:rPr>
        <w:t xml:space="preserve"> at businesses with larger capital resources and access to services, information and lending </w:t>
      </w:r>
      <w:r w:rsidR="00967ACE">
        <w:rPr>
          <w:sz w:val="24"/>
          <w:szCs w:val="24"/>
        </w:rPr>
        <w:t>which most businesses are not able to avail of. SME’s are less likely to have the resources to weather the pandemic in the same way as those we have analysed</w:t>
      </w:r>
      <w:r w:rsidR="00FF758C">
        <w:rPr>
          <w:sz w:val="24"/>
          <w:szCs w:val="24"/>
        </w:rPr>
        <w:t xml:space="preserve"> and would be an essential component of investigating the UK economy </w:t>
      </w:r>
      <w:r w:rsidR="00FF758C">
        <w:rPr>
          <w:sz w:val="24"/>
          <w:szCs w:val="24"/>
        </w:rPr>
        <w:fldChar w:fldCharType="begin"/>
      </w:r>
      <w:r w:rsidR="00023B9A">
        <w:rPr>
          <w:sz w:val="24"/>
          <w:szCs w:val="24"/>
        </w:rPr>
        <w:instrText xml:space="preserve"> ADDIN ZOTERO_ITEM CSL_CITATION {"citationID":"Emrpnsq7","properties":{"unsorted":true,"formattedCitation":"(Bartik et al., 2020; Fairlie and Fossen, 2021; Hutton and Ward, 2022)","plainCitation":"(Bartik et al., 2020; Fairlie and Fossen, 2021; Hutton and Ward, 2022)","noteIndex":0},"citationItems":[{"id":1064,"uris":["http://zotero.org/users/local/RRCsWsp6/items/3BJLNQD4"],"itemData":{"id":1064,"type":"article-journal","abstract":"To explore the impact of coronavirus disease 2019 (COVID-19) on small businesses, we conducted a survey of more than 5,800 small businesses between March 28 and April 4, 2020. Several themes emerged. First, mass layoffs and closures had already occurred—just a few weeks into the crisis. Second, the risk of closure was negatively associated with the expected length of the crisis. Moreover, businesses had widely varying beliefs about the likely duration of COVID-related disruptions. Third, many small businesses are financially fragile: The median business with more than $10,000 in monthly expenses had only about 2 wk of cash on hand at the time of the survey. Fourth, the majority of businesses planned to seek funding through the Coronavirus Aid, Relief, and Economic Security (CARES) Act. However, many anticipated problems with accessing the program, such as bureaucratic hassles and difficulties establishing eligibility. Using experimental variation, we also assess take-up rates and business resilience effects for loans relative to grants-based programs.","container-title":"Proceedings of the National Academy of Sciences","DOI":"10.1073/pnas.2006991117","issue":"30","note":"publisher: Proceedings of the National Academy of Sciences","page":"17656-17666","source":"pnas.org (Atypon)","title":"The impact of COVID-19 on small business outcomes and expectations","volume":"117","author":[{"family":"Bartik","given":"Alexander W."},{"family":"Bertrand","given":"Marianne"},{"family":"Cullen","given":"Zoe"},{"family":"Glaeser","given":"Edward L."},{"family":"Luca","given":"Michael"},{"family":"Stanton","given":"Christopher"}],"issued":{"date-parts":[["2020",7,28]]}},"label":"page"},{"id":1056,"uris":["http://zotero.org/users/local/RRCsWsp6/items/I59D66VB"],"itemData":{"id":1056,"type":"article-journal","abstract":"COVID-19 led to a massive shutdown of businesses in the second quarter of 2020. Estimates from the Current Population Survey, for example, indicate that the number of active business owners dropped by 22% from February to April 2020. We provide the first analysis of losses in sales among the universe of businesses in California using administrative data from the California Department of Tax and Fee Administration. Losses in taxable sales average 17% in the second quarter of 2020 relative to the second quarter of 2019 even though year-over-year sales typically grow by 3-4%. We find that sales losses were largest in businesses affected by mandatory lockdowns such as accommodations, which lost 91%, whereas online sales grew by 180%. Placing business types into different categories based on whether they were considered essential or nonessential (and thus subject to early lockdowns) and whether they have a moderate or high level of person-to-person contact, we find interesting correlations between sales losses and COVID-19 cases per capita across counties in California. The results suggest that local implementation and enforcement of lockdown restrictions as safety measures for public health and voluntary behavioral responses as reactions to the perceived local COVID-19 spread both played a role.","container-title":"Small Business Economics","DOI":"10.1007/s11187-021-00479-4","ISSN":"1573-0913","issue":"4","journalAbbreviation":"Small Bus Econ","language":"en","page":"1853-1864","source":"Springer Link","title":"The early impacts of the COVID-19 pandemic on business sales","volume":"58","author":[{"family":"Fairlie","given":"Robert"},{"family":"Fossen","given":"Frank M."}],"issued":{"date-parts":[["2021",3,31]]}},"label":"page"},{"id":1187,"uris":["http://zotero.org/users/local/RRCsWsp6/items/D8HI523P"],"itemData":{"id":1187,"type":"report","event-place":"House of Commons","genre":"Research Briefing","number":"CBP 06152","publisher":"House of Commons Library","publisher-place":"House of Commons","source":"Google Scholar","title":"Business statistics","author":[{"family":"Hutton","given":"Georgina"},{"family":"Ward","given":"Matthew"}],"issued":{"date-parts":[["2022",12,6]]}},"label":"page"}],"schema":"https://github.com/citation-style-language/schema/raw/master/csl-citation.json"} </w:instrText>
      </w:r>
      <w:r w:rsidR="00FF758C">
        <w:rPr>
          <w:sz w:val="24"/>
          <w:szCs w:val="24"/>
        </w:rPr>
        <w:fldChar w:fldCharType="separate"/>
      </w:r>
      <w:r w:rsidR="00023B9A">
        <w:rPr>
          <w:noProof/>
          <w:sz w:val="24"/>
          <w:szCs w:val="24"/>
        </w:rPr>
        <w:t>(Bartik et al., 2020; Fairlie and Fossen, 2021; Hutton and Ward, 2022)</w:t>
      </w:r>
      <w:r w:rsidR="00FF758C">
        <w:rPr>
          <w:sz w:val="24"/>
          <w:szCs w:val="24"/>
        </w:rPr>
        <w:fldChar w:fldCharType="end"/>
      </w:r>
      <w:r w:rsidR="00FF758C">
        <w:rPr>
          <w:sz w:val="24"/>
          <w:szCs w:val="24"/>
        </w:rPr>
        <w:t>.</w:t>
      </w:r>
      <w:bookmarkEnd w:id="84"/>
      <w:r w:rsidR="00933F00" w:rsidRPr="00212580">
        <w:rPr>
          <w:b/>
          <w:sz w:val="24"/>
          <w:szCs w:val="24"/>
        </w:rPr>
        <w:br w:type="page"/>
      </w:r>
    </w:p>
    <w:p w14:paraId="62F1F757" w14:textId="43A694DC" w:rsidR="00880D8D" w:rsidRDefault="00F56E10" w:rsidP="00880D8D">
      <w:pPr>
        <w:pStyle w:val="Heading1"/>
        <w:numPr>
          <w:ilvl w:val="0"/>
          <w:numId w:val="3"/>
        </w:numPr>
        <w:spacing w:line="480" w:lineRule="auto"/>
        <w:jc w:val="both"/>
        <w:rPr>
          <w:szCs w:val="24"/>
        </w:rPr>
      </w:pPr>
      <w:bookmarkStart w:id="86" w:name="_Toc141646756"/>
      <w:r w:rsidRPr="00212580">
        <w:rPr>
          <w:szCs w:val="24"/>
        </w:rPr>
        <w:lastRenderedPageBreak/>
        <w:t>Conclusion</w:t>
      </w:r>
      <w:r w:rsidR="00B37CF8">
        <w:rPr>
          <w:szCs w:val="24"/>
        </w:rPr>
        <w:t>s</w:t>
      </w:r>
      <w:bookmarkEnd w:id="86"/>
    </w:p>
    <w:p w14:paraId="4CA4055C" w14:textId="371A8730" w:rsidR="003F1CAE" w:rsidRPr="003F1CAE" w:rsidRDefault="008B0193" w:rsidP="003F1CAE">
      <w:pPr>
        <w:spacing w:line="480" w:lineRule="auto"/>
        <w:jc w:val="both"/>
        <w:rPr>
          <w:sz w:val="24"/>
          <w:szCs w:val="24"/>
        </w:rPr>
      </w:pPr>
      <w:r>
        <w:rPr>
          <w:sz w:val="24"/>
          <w:szCs w:val="24"/>
        </w:rPr>
        <w:t>The</w:t>
      </w:r>
      <w:r w:rsidR="003F1CAE">
        <w:rPr>
          <w:sz w:val="24"/>
          <w:szCs w:val="24"/>
        </w:rPr>
        <w:t xml:space="preserve"> </w:t>
      </w:r>
      <w:r>
        <w:rPr>
          <w:sz w:val="24"/>
          <w:szCs w:val="24"/>
        </w:rPr>
        <w:t xml:space="preserve">current research </w:t>
      </w:r>
      <w:r w:rsidR="003F1CAE">
        <w:rPr>
          <w:sz w:val="24"/>
          <w:szCs w:val="24"/>
        </w:rPr>
        <w:t xml:space="preserve">aimed to investigate the </w:t>
      </w:r>
      <w:r w:rsidR="002832DC">
        <w:rPr>
          <w:sz w:val="24"/>
          <w:szCs w:val="24"/>
        </w:rPr>
        <w:t xml:space="preserve">impact of COVID-19 on the sectors </w:t>
      </w:r>
      <w:r w:rsidR="009C15A8">
        <w:rPr>
          <w:sz w:val="24"/>
          <w:szCs w:val="24"/>
        </w:rPr>
        <w:t>of the UK e</w:t>
      </w:r>
      <w:r w:rsidR="00EA0898">
        <w:rPr>
          <w:sz w:val="24"/>
          <w:szCs w:val="24"/>
        </w:rPr>
        <w:t>conomy</w:t>
      </w:r>
      <w:r w:rsidR="002832DC">
        <w:rPr>
          <w:sz w:val="24"/>
          <w:szCs w:val="24"/>
        </w:rPr>
        <w:t>.</w:t>
      </w:r>
      <w:r>
        <w:rPr>
          <w:sz w:val="24"/>
          <w:szCs w:val="24"/>
        </w:rPr>
        <w:t xml:space="preserve"> The study objectives were:</w:t>
      </w:r>
    </w:p>
    <w:p w14:paraId="54D081B5" w14:textId="4A47A755" w:rsidR="00D52F64" w:rsidRPr="00D52F64" w:rsidRDefault="00D52F64" w:rsidP="003E0DEB">
      <w:pPr>
        <w:spacing w:line="480" w:lineRule="auto"/>
        <w:ind w:left="720"/>
        <w:jc w:val="both"/>
        <w:rPr>
          <w:sz w:val="24"/>
          <w:szCs w:val="24"/>
        </w:rPr>
      </w:pPr>
      <w:r w:rsidRPr="00D52F64">
        <w:rPr>
          <w:sz w:val="24"/>
          <w:szCs w:val="24"/>
        </w:rPr>
        <w:t>1)     To identify trends in industry sectors that responded financially well to the stress factor of the COVID-19 pandemic.</w:t>
      </w:r>
    </w:p>
    <w:p w14:paraId="2EAB0A38" w14:textId="77777777" w:rsidR="00D52F64" w:rsidRPr="00D52F64" w:rsidRDefault="00D52F64" w:rsidP="003E0DEB">
      <w:pPr>
        <w:spacing w:line="480" w:lineRule="auto"/>
        <w:ind w:left="720"/>
        <w:jc w:val="both"/>
        <w:rPr>
          <w:sz w:val="24"/>
          <w:szCs w:val="24"/>
        </w:rPr>
      </w:pPr>
      <w:r w:rsidRPr="00D52F64">
        <w:rPr>
          <w:sz w:val="24"/>
          <w:szCs w:val="24"/>
        </w:rPr>
        <w:t xml:space="preserve">2)    To identify growth industry sectors and assess how they overcame the challenges of the COVID-19 pandemic and added value to their proposition. </w:t>
      </w:r>
    </w:p>
    <w:p w14:paraId="7692E070" w14:textId="77777777" w:rsidR="00D52F64" w:rsidRPr="00D52F64" w:rsidRDefault="00D52F64" w:rsidP="003E0DEB">
      <w:pPr>
        <w:spacing w:line="480" w:lineRule="auto"/>
        <w:ind w:left="720"/>
        <w:jc w:val="both"/>
        <w:rPr>
          <w:sz w:val="24"/>
          <w:szCs w:val="24"/>
        </w:rPr>
      </w:pPr>
      <w:r w:rsidRPr="00D52F64">
        <w:rPr>
          <w:sz w:val="24"/>
          <w:szCs w:val="24"/>
        </w:rPr>
        <w:t xml:space="preserve">3)    To identify declining industry sectors and assess how the challenges of the COVID-19 pandemic impacted their positions. </w:t>
      </w:r>
    </w:p>
    <w:p w14:paraId="424AA990" w14:textId="074BDCA2" w:rsidR="00D52F64" w:rsidRPr="00D52F64" w:rsidRDefault="00D52F64" w:rsidP="003E0DEB">
      <w:pPr>
        <w:spacing w:line="480" w:lineRule="auto"/>
        <w:ind w:left="720"/>
        <w:jc w:val="both"/>
        <w:rPr>
          <w:sz w:val="24"/>
          <w:szCs w:val="24"/>
        </w:rPr>
      </w:pPr>
      <w:r w:rsidRPr="00D52F64">
        <w:rPr>
          <w:sz w:val="24"/>
          <w:szCs w:val="24"/>
        </w:rPr>
        <w:t>4)    To examine trends, changes and influencing factors in the FTSE 250 index between January 2020 and December 2021.</w:t>
      </w:r>
    </w:p>
    <w:p w14:paraId="6E21244D" w14:textId="3A3FA949" w:rsidR="00902816" w:rsidRDefault="0001792A" w:rsidP="00D52F64">
      <w:pPr>
        <w:spacing w:line="480" w:lineRule="auto"/>
        <w:jc w:val="both"/>
        <w:rPr>
          <w:sz w:val="24"/>
          <w:szCs w:val="24"/>
        </w:rPr>
      </w:pPr>
      <w:r>
        <w:rPr>
          <w:sz w:val="24"/>
          <w:szCs w:val="24"/>
        </w:rPr>
        <w:t xml:space="preserve">Financial data was treated and analysed using </w:t>
      </w:r>
      <w:r w:rsidR="00665411">
        <w:rPr>
          <w:sz w:val="24"/>
          <w:szCs w:val="24"/>
        </w:rPr>
        <w:t xml:space="preserve">financial ratios to gain a longitudinal view of the year </w:t>
      </w:r>
      <w:r w:rsidR="00844E73">
        <w:rPr>
          <w:sz w:val="24"/>
          <w:szCs w:val="24"/>
        </w:rPr>
        <w:t>preceding</w:t>
      </w:r>
      <w:r w:rsidR="00665411">
        <w:rPr>
          <w:sz w:val="24"/>
          <w:szCs w:val="24"/>
        </w:rPr>
        <w:t xml:space="preserve"> COVID-19, the impact year (2020) and any possible recovery/partial recovery </w:t>
      </w:r>
      <w:r w:rsidR="00844E73">
        <w:rPr>
          <w:sz w:val="24"/>
          <w:szCs w:val="24"/>
        </w:rPr>
        <w:t>in the 3</w:t>
      </w:r>
      <w:r w:rsidR="00844E73" w:rsidRPr="00844E73">
        <w:rPr>
          <w:sz w:val="24"/>
          <w:szCs w:val="24"/>
          <w:vertAlign w:val="superscript"/>
        </w:rPr>
        <w:t>rd</w:t>
      </w:r>
      <w:r w:rsidR="00844E73">
        <w:rPr>
          <w:sz w:val="24"/>
          <w:szCs w:val="24"/>
        </w:rPr>
        <w:t xml:space="preserve"> year. </w:t>
      </w:r>
    </w:p>
    <w:p w14:paraId="25A23FFF" w14:textId="401557D9" w:rsidR="002C48AA" w:rsidRDefault="00434496" w:rsidP="00D52F64">
      <w:pPr>
        <w:spacing w:line="480" w:lineRule="auto"/>
        <w:jc w:val="both"/>
        <w:rPr>
          <w:sz w:val="24"/>
          <w:szCs w:val="24"/>
        </w:rPr>
      </w:pPr>
      <w:r>
        <w:rPr>
          <w:sz w:val="24"/>
          <w:szCs w:val="24"/>
        </w:rPr>
        <w:t xml:space="preserve">Results for </w:t>
      </w:r>
      <w:r w:rsidR="007378C9">
        <w:rPr>
          <w:sz w:val="24"/>
          <w:szCs w:val="24"/>
        </w:rPr>
        <w:t xml:space="preserve">the </w:t>
      </w:r>
      <w:r w:rsidR="00D06C36">
        <w:rPr>
          <w:sz w:val="24"/>
          <w:szCs w:val="24"/>
        </w:rPr>
        <w:t>FTSE 250</w:t>
      </w:r>
      <w:r>
        <w:rPr>
          <w:sz w:val="24"/>
          <w:szCs w:val="24"/>
        </w:rPr>
        <w:t xml:space="preserve"> </w:t>
      </w:r>
      <w:r w:rsidR="00CC2F12">
        <w:rPr>
          <w:sz w:val="24"/>
          <w:szCs w:val="24"/>
        </w:rPr>
        <w:t>demonstrated a</w:t>
      </w:r>
      <w:r w:rsidR="007142D4">
        <w:rPr>
          <w:sz w:val="24"/>
          <w:szCs w:val="24"/>
        </w:rPr>
        <w:t xml:space="preserve"> general decline</w:t>
      </w:r>
      <w:r w:rsidR="005145B5">
        <w:rPr>
          <w:sz w:val="24"/>
          <w:szCs w:val="24"/>
        </w:rPr>
        <w:t xml:space="preserve"> from March 2020</w:t>
      </w:r>
      <w:r w:rsidR="000A14FA">
        <w:rPr>
          <w:sz w:val="24"/>
          <w:szCs w:val="24"/>
        </w:rPr>
        <w:t xml:space="preserve"> from the 2019 results</w:t>
      </w:r>
      <w:r w:rsidR="007142D4">
        <w:rPr>
          <w:sz w:val="24"/>
          <w:szCs w:val="24"/>
        </w:rPr>
        <w:t xml:space="preserve"> in</w:t>
      </w:r>
      <w:r w:rsidR="00001A48">
        <w:rPr>
          <w:sz w:val="24"/>
          <w:szCs w:val="24"/>
        </w:rPr>
        <w:t xml:space="preserve"> profitability, </w:t>
      </w:r>
      <w:r w:rsidR="00A752A6">
        <w:rPr>
          <w:sz w:val="24"/>
          <w:szCs w:val="24"/>
        </w:rPr>
        <w:t xml:space="preserve">asset </w:t>
      </w:r>
      <w:r w:rsidR="00A93B14">
        <w:rPr>
          <w:sz w:val="24"/>
          <w:szCs w:val="24"/>
        </w:rPr>
        <w:t>utilisation</w:t>
      </w:r>
      <w:r w:rsidR="00A752A6">
        <w:rPr>
          <w:sz w:val="24"/>
          <w:szCs w:val="24"/>
        </w:rPr>
        <w:t>, investor performance/confidence and</w:t>
      </w:r>
      <w:r w:rsidR="00F32699">
        <w:rPr>
          <w:sz w:val="24"/>
          <w:szCs w:val="24"/>
        </w:rPr>
        <w:t xml:space="preserve"> </w:t>
      </w:r>
      <w:r w:rsidR="00A93B14">
        <w:rPr>
          <w:sz w:val="24"/>
          <w:szCs w:val="24"/>
        </w:rPr>
        <w:t>liquidity</w:t>
      </w:r>
      <w:r w:rsidR="007142D4">
        <w:rPr>
          <w:sz w:val="24"/>
          <w:szCs w:val="24"/>
        </w:rPr>
        <w:t xml:space="preserve"> as the pandemic impacted and </w:t>
      </w:r>
      <w:r w:rsidR="00001A48">
        <w:rPr>
          <w:sz w:val="24"/>
          <w:szCs w:val="24"/>
        </w:rPr>
        <w:t>containment measure</w:t>
      </w:r>
      <w:r w:rsidR="00A93B14">
        <w:rPr>
          <w:sz w:val="24"/>
          <w:szCs w:val="24"/>
        </w:rPr>
        <w:t>s</w:t>
      </w:r>
      <w:r w:rsidR="00001A48">
        <w:rPr>
          <w:sz w:val="24"/>
          <w:szCs w:val="24"/>
        </w:rPr>
        <w:t xml:space="preserve"> were</w:t>
      </w:r>
      <w:r w:rsidR="00A93B14">
        <w:rPr>
          <w:sz w:val="24"/>
          <w:szCs w:val="24"/>
        </w:rPr>
        <w:t xml:space="preserve"> put in place. </w:t>
      </w:r>
      <w:r w:rsidR="005145B5">
        <w:rPr>
          <w:sz w:val="24"/>
          <w:szCs w:val="24"/>
        </w:rPr>
        <w:t>The recovery in 2021</w:t>
      </w:r>
      <w:r w:rsidR="000A14FA">
        <w:rPr>
          <w:sz w:val="24"/>
          <w:szCs w:val="24"/>
        </w:rPr>
        <w:t xml:space="preserve"> </w:t>
      </w:r>
      <w:r w:rsidR="00496C4D">
        <w:rPr>
          <w:sz w:val="24"/>
          <w:szCs w:val="24"/>
        </w:rPr>
        <w:t xml:space="preserve">demonstrated resilience within the FTSE 250 index and the ability for </w:t>
      </w:r>
      <w:r w:rsidR="00890A86">
        <w:rPr>
          <w:sz w:val="24"/>
          <w:szCs w:val="24"/>
        </w:rPr>
        <w:t>its</w:t>
      </w:r>
      <w:r w:rsidR="00FD5D13">
        <w:rPr>
          <w:sz w:val="24"/>
          <w:szCs w:val="24"/>
        </w:rPr>
        <w:t xml:space="preserve"> companies to respond and manage effectively throughout an unforeseen and </w:t>
      </w:r>
      <w:r w:rsidR="00890A86">
        <w:rPr>
          <w:sz w:val="24"/>
          <w:szCs w:val="24"/>
        </w:rPr>
        <w:t xml:space="preserve">global impact event. </w:t>
      </w:r>
    </w:p>
    <w:p w14:paraId="4231317D" w14:textId="77777777" w:rsidR="008B75D0" w:rsidRDefault="00B575D5" w:rsidP="00D52F64">
      <w:pPr>
        <w:spacing w:line="480" w:lineRule="auto"/>
        <w:jc w:val="both"/>
        <w:rPr>
          <w:sz w:val="24"/>
          <w:szCs w:val="24"/>
        </w:rPr>
      </w:pPr>
      <w:r>
        <w:rPr>
          <w:sz w:val="24"/>
          <w:szCs w:val="24"/>
        </w:rPr>
        <w:t xml:space="preserve">The sector results show all sectors taking steps to enhance their liquidity positions </w:t>
      </w:r>
      <w:r w:rsidR="00A101FF">
        <w:rPr>
          <w:sz w:val="24"/>
          <w:szCs w:val="24"/>
        </w:rPr>
        <w:t>through a range of measures to ensure adequate capital was on hand to manage unexpected revenue</w:t>
      </w:r>
      <w:r w:rsidR="00E1130D">
        <w:rPr>
          <w:sz w:val="24"/>
          <w:szCs w:val="24"/>
        </w:rPr>
        <w:t xml:space="preserve">, </w:t>
      </w:r>
      <w:r w:rsidR="00E1130D">
        <w:rPr>
          <w:sz w:val="24"/>
          <w:szCs w:val="24"/>
        </w:rPr>
        <w:lastRenderedPageBreak/>
        <w:t>cost of sales</w:t>
      </w:r>
      <w:r w:rsidR="00A101FF">
        <w:rPr>
          <w:sz w:val="24"/>
          <w:szCs w:val="24"/>
        </w:rPr>
        <w:t xml:space="preserve"> and </w:t>
      </w:r>
      <w:r w:rsidR="00E1130D">
        <w:rPr>
          <w:sz w:val="24"/>
          <w:szCs w:val="24"/>
        </w:rPr>
        <w:t>profitably</w:t>
      </w:r>
      <w:r w:rsidR="00A101FF">
        <w:rPr>
          <w:sz w:val="24"/>
          <w:szCs w:val="24"/>
        </w:rPr>
        <w:t xml:space="preserve"> impacts.</w:t>
      </w:r>
      <w:r w:rsidR="001A640E">
        <w:rPr>
          <w:sz w:val="24"/>
          <w:szCs w:val="24"/>
        </w:rPr>
        <w:t xml:space="preserve"> Many sectors drew upon available credit lines in order to achieve this, however most sectors focused on decreasing their leverage position in 2021</w:t>
      </w:r>
      <w:r w:rsidR="00217761">
        <w:rPr>
          <w:sz w:val="24"/>
          <w:szCs w:val="24"/>
        </w:rPr>
        <w:t xml:space="preserve"> likely to return investor confidence in their management strategies. </w:t>
      </w:r>
    </w:p>
    <w:p w14:paraId="1AC3194C" w14:textId="263DDD8E" w:rsidR="00890A86" w:rsidRDefault="00F9335E" w:rsidP="00D52F64">
      <w:pPr>
        <w:spacing w:line="480" w:lineRule="auto"/>
        <w:jc w:val="both"/>
        <w:rPr>
          <w:sz w:val="24"/>
          <w:szCs w:val="24"/>
        </w:rPr>
      </w:pPr>
      <w:r>
        <w:rPr>
          <w:sz w:val="24"/>
          <w:szCs w:val="24"/>
        </w:rPr>
        <w:t xml:space="preserve">Of the eleven sectors analysed, </w:t>
      </w:r>
      <w:r w:rsidR="00D974F9">
        <w:rPr>
          <w:sz w:val="24"/>
          <w:szCs w:val="24"/>
        </w:rPr>
        <w:t>three</w:t>
      </w:r>
      <w:r>
        <w:rPr>
          <w:sz w:val="24"/>
          <w:szCs w:val="24"/>
        </w:rPr>
        <w:t xml:space="preserve"> showed heavy </w:t>
      </w:r>
      <w:r w:rsidR="00A3174F">
        <w:rPr>
          <w:sz w:val="24"/>
          <w:szCs w:val="24"/>
        </w:rPr>
        <w:t>negative</w:t>
      </w:r>
      <w:r>
        <w:rPr>
          <w:sz w:val="24"/>
          <w:szCs w:val="24"/>
        </w:rPr>
        <w:t xml:space="preserve"> trends throughout study period (Energy, Real Estate, Consumer Discretionary), </w:t>
      </w:r>
      <w:r w:rsidR="00D974F9">
        <w:rPr>
          <w:sz w:val="24"/>
          <w:szCs w:val="24"/>
        </w:rPr>
        <w:t>four showed some impact but a relatively stable position</w:t>
      </w:r>
      <w:r w:rsidR="00D81C10">
        <w:rPr>
          <w:sz w:val="24"/>
          <w:szCs w:val="24"/>
        </w:rPr>
        <w:t xml:space="preserve"> (Consumer Staples, Financials, Technology, Industrials) and </w:t>
      </w:r>
      <w:r w:rsidR="00A3174F">
        <w:rPr>
          <w:sz w:val="24"/>
          <w:szCs w:val="24"/>
        </w:rPr>
        <w:t xml:space="preserve">four showed generally favourable trends throughout the study period (Healthcare, </w:t>
      </w:r>
      <w:r w:rsidR="0096190B">
        <w:rPr>
          <w:sz w:val="24"/>
          <w:szCs w:val="24"/>
        </w:rPr>
        <w:t xml:space="preserve">Telecommunications, Utilities, Basic Materials). </w:t>
      </w:r>
    </w:p>
    <w:p w14:paraId="1F0BE431" w14:textId="132135CC" w:rsidR="00F0411A" w:rsidRDefault="007A5999" w:rsidP="00D52F64">
      <w:pPr>
        <w:spacing w:line="480" w:lineRule="auto"/>
        <w:jc w:val="both"/>
        <w:rPr>
          <w:sz w:val="24"/>
          <w:szCs w:val="24"/>
        </w:rPr>
      </w:pPr>
      <w:r>
        <w:rPr>
          <w:sz w:val="24"/>
          <w:szCs w:val="24"/>
        </w:rPr>
        <w:t>Th</w:t>
      </w:r>
      <w:r w:rsidR="007F24BF">
        <w:rPr>
          <w:sz w:val="24"/>
          <w:szCs w:val="24"/>
        </w:rPr>
        <w:t>is</w:t>
      </w:r>
      <w:r>
        <w:rPr>
          <w:sz w:val="24"/>
          <w:szCs w:val="24"/>
        </w:rPr>
        <w:t xml:space="preserve"> </w:t>
      </w:r>
      <w:r w:rsidR="007F24BF">
        <w:rPr>
          <w:sz w:val="24"/>
          <w:szCs w:val="24"/>
        </w:rPr>
        <w:t>study</w:t>
      </w:r>
      <w:r>
        <w:rPr>
          <w:sz w:val="24"/>
          <w:szCs w:val="24"/>
        </w:rPr>
        <w:t xml:space="preserve"> has identified </w:t>
      </w:r>
      <w:r w:rsidR="00896A61">
        <w:rPr>
          <w:sz w:val="24"/>
          <w:szCs w:val="24"/>
        </w:rPr>
        <w:t>a couple of potential further research avenues</w:t>
      </w:r>
      <w:r w:rsidR="00F259EB">
        <w:rPr>
          <w:sz w:val="24"/>
          <w:szCs w:val="24"/>
        </w:rPr>
        <w:t>:</w:t>
      </w:r>
    </w:p>
    <w:p w14:paraId="44D96F83" w14:textId="481B6A1E" w:rsidR="00F259EB" w:rsidRDefault="00785F82" w:rsidP="00F259EB">
      <w:pPr>
        <w:pStyle w:val="ListParagraph"/>
        <w:numPr>
          <w:ilvl w:val="0"/>
          <w:numId w:val="47"/>
        </w:numPr>
        <w:spacing w:line="480" w:lineRule="auto"/>
        <w:jc w:val="both"/>
        <w:rPr>
          <w:sz w:val="24"/>
          <w:szCs w:val="24"/>
        </w:rPr>
      </w:pPr>
      <w:r>
        <w:rPr>
          <w:sz w:val="24"/>
          <w:szCs w:val="24"/>
        </w:rPr>
        <w:t xml:space="preserve">Wider application of sector level analysis, </w:t>
      </w:r>
      <w:r w:rsidR="00A82804">
        <w:rPr>
          <w:sz w:val="24"/>
          <w:szCs w:val="24"/>
        </w:rPr>
        <w:t xml:space="preserve">extending prior to 2019 to establish a firm pre-pandemic benchmark </w:t>
      </w:r>
      <w:r w:rsidR="00551373">
        <w:rPr>
          <w:sz w:val="24"/>
          <w:szCs w:val="24"/>
        </w:rPr>
        <w:t xml:space="preserve">and extending out post-pandemic (2020) years analysed to track sector recovery rates. </w:t>
      </w:r>
    </w:p>
    <w:p w14:paraId="72AAA936" w14:textId="3C208ACE" w:rsidR="00551373" w:rsidRDefault="00671A6A" w:rsidP="00F259EB">
      <w:pPr>
        <w:pStyle w:val="ListParagraph"/>
        <w:numPr>
          <w:ilvl w:val="0"/>
          <w:numId w:val="47"/>
        </w:numPr>
        <w:spacing w:line="480" w:lineRule="auto"/>
        <w:jc w:val="both"/>
        <w:rPr>
          <w:sz w:val="24"/>
          <w:szCs w:val="24"/>
        </w:rPr>
      </w:pPr>
      <w:r>
        <w:rPr>
          <w:sz w:val="24"/>
          <w:szCs w:val="24"/>
        </w:rPr>
        <w:t>Investigation of international impacts and recovery rates for industry sectors</w:t>
      </w:r>
      <w:r w:rsidR="00E364C6">
        <w:rPr>
          <w:sz w:val="24"/>
          <w:szCs w:val="24"/>
        </w:rPr>
        <w:t xml:space="preserve"> for contrast and comparison to the UK</w:t>
      </w:r>
      <w:r>
        <w:rPr>
          <w:sz w:val="24"/>
          <w:szCs w:val="24"/>
        </w:rPr>
        <w:t xml:space="preserve"> by investigating other mid-cap markets</w:t>
      </w:r>
      <w:r w:rsidR="006B7748">
        <w:rPr>
          <w:sz w:val="24"/>
          <w:szCs w:val="24"/>
        </w:rPr>
        <w:t xml:space="preserve">, e.g. </w:t>
      </w:r>
      <w:r w:rsidR="00BF4209">
        <w:rPr>
          <w:sz w:val="24"/>
          <w:szCs w:val="24"/>
        </w:rPr>
        <w:t xml:space="preserve">S&amp;P MidCap 400, Russell Midcap Index, </w:t>
      </w:r>
      <w:r w:rsidR="007A2A81">
        <w:rPr>
          <w:sz w:val="24"/>
          <w:szCs w:val="24"/>
        </w:rPr>
        <w:t>Nikkei 400</w:t>
      </w:r>
      <w:r w:rsidR="00E364C6">
        <w:rPr>
          <w:sz w:val="24"/>
          <w:szCs w:val="24"/>
        </w:rPr>
        <w:t>.</w:t>
      </w:r>
    </w:p>
    <w:p w14:paraId="2A0BC1E8" w14:textId="24A7054E" w:rsidR="00E364C6" w:rsidRDefault="00341E61" w:rsidP="00F259EB">
      <w:pPr>
        <w:pStyle w:val="ListParagraph"/>
        <w:numPr>
          <w:ilvl w:val="0"/>
          <w:numId w:val="47"/>
        </w:numPr>
        <w:spacing w:line="480" w:lineRule="auto"/>
        <w:jc w:val="both"/>
        <w:rPr>
          <w:sz w:val="24"/>
          <w:szCs w:val="24"/>
        </w:rPr>
      </w:pPr>
      <w:r>
        <w:rPr>
          <w:sz w:val="24"/>
          <w:szCs w:val="24"/>
        </w:rPr>
        <w:t xml:space="preserve">Expansion of the current research from a macro to micro analysis, investigating in greater detail the </w:t>
      </w:r>
      <w:r w:rsidR="000C46E8">
        <w:rPr>
          <w:sz w:val="24"/>
          <w:szCs w:val="24"/>
        </w:rPr>
        <w:t>financial positions and impacts on a company/sub-industry level.</w:t>
      </w:r>
    </w:p>
    <w:p w14:paraId="6354384F" w14:textId="37A0916A" w:rsidR="000C46E8" w:rsidRPr="00F259EB" w:rsidRDefault="000C46E8" w:rsidP="00F259EB">
      <w:pPr>
        <w:pStyle w:val="ListParagraph"/>
        <w:numPr>
          <w:ilvl w:val="0"/>
          <w:numId w:val="47"/>
        </w:numPr>
        <w:spacing w:line="480" w:lineRule="auto"/>
        <w:jc w:val="both"/>
        <w:rPr>
          <w:sz w:val="24"/>
          <w:szCs w:val="24"/>
        </w:rPr>
      </w:pPr>
      <w:r>
        <w:rPr>
          <w:sz w:val="24"/>
          <w:szCs w:val="24"/>
        </w:rPr>
        <w:t>Investigation of</w:t>
      </w:r>
      <w:r w:rsidR="007A4FE7">
        <w:rPr>
          <w:sz w:val="24"/>
          <w:szCs w:val="24"/>
        </w:rPr>
        <w:t xml:space="preserve"> the impact of COVID-19 on SME’s within the UK. </w:t>
      </w:r>
    </w:p>
    <w:p w14:paraId="1C9AB0CB" w14:textId="739A8485" w:rsidR="00B21ED9" w:rsidRPr="00D52F64" w:rsidRDefault="007A4FE7" w:rsidP="007A4FE7">
      <w:pPr>
        <w:spacing w:line="480" w:lineRule="auto"/>
        <w:jc w:val="both"/>
        <w:rPr>
          <w:rFonts w:eastAsia="Times New Roman" w:cs="Times New Roman"/>
          <w:b/>
          <w:bCs/>
          <w:kern w:val="36"/>
          <w:sz w:val="24"/>
          <w:szCs w:val="24"/>
          <w:lang w:eastAsia="en-GB"/>
        </w:rPr>
      </w:pPr>
      <w:r w:rsidRPr="00D52F64">
        <w:rPr>
          <w:sz w:val="24"/>
          <w:szCs w:val="24"/>
        </w:rPr>
        <w:t xml:space="preserve"> </w:t>
      </w:r>
      <w:r w:rsidR="00F56E10" w:rsidRPr="00D52F64">
        <w:rPr>
          <w:sz w:val="24"/>
          <w:szCs w:val="24"/>
        </w:rPr>
        <w:br w:type="page"/>
      </w:r>
    </w:p>
    <w:p w14:paraId="757D18BC" w14:textId="77777777" w:rsidR="002A5B45" w:rsidRPr="00212580" w:rsidRDefault="005A72D3" w:rsidP="00112407">
      <w:pPr>
        <w:pStyle w:val="Heading1"/>
        <w:numPr>
          <w:ilvl w:val="0"/>
          <w:numId w:val="3"/>
        </w:numPr>
        <w:spacing w:line="480" w:lineRule="auto"/>
        <w:jc w:val="both"/>
        <w:rPr>
          <w:szCs w:val="24"/>
        </w:rPr>
      </w:pPr>
      <w:bookmarkStart w:id="87" w:name="_Toc141646757"/>
      <w:r w:rsidRPr="00212580">
        <w:rPr>
          <w:szCs w:val="24"/>
        </w:rPr>
        <w:lastRenderedPageBreak/>
        <w:t>References</w:t>
      </w:r>
      <w:bookmarkEnd w:id="87"/>
    </w:p>
    <w:p w14:paraId="1647F4BE" w14:textId="77777777" w:rsidR="0017469B" w:rsidRPr="005032C2" w:rsidRDefault="004B7402" w:rsidP="00EA4087">
      <w:pPr>
        <w:pStyle w:val="Bibliography"/>
        <w:spacing w:line="276" w:lineRule="auto"/>
        <w:rPr>
          <w:sz w:val="24"/>
          <w:szCs w:val="24"/>
        </w:rPr>
      </w:pPr>
      <w:r w:rsidRPr="005032C2">
        <w:rPr>
          <w:sz w:val="24"/>
          <w:szCs w:val="24"/>
        </w:rPr>
        <w:fldChar w:fldCharType="begin"/>
      </w:r>
      <w:r w:rsidR="0017469B" w:rsidRPr="005032C2">
        <w:rPr>
          <w:sz w:val="24"/>
          <w:szCs w:val="24"/>
        </w:rPr>
        <w:instrText xml:space="preserve"> ADDIN ZOTERO_BIBL {"uncited":[],"omitted":[],"custom":[]} CSL_BIBLIOGRAPHY </w:instrText>
      </w:r>
      <w:r w:rsidRPr="005032C2">
        <w:rPr>
          <w:sz w:val="24"/>
          <w:szCs w:val="24"/>
        </w:rPr>
        <w:fldChar w:fldCharType="separate"/>
      </w:r>
      <w:r w:rsidR="0017469B" w:rsidRPr="005032C2">
        <w:rPr>
          <w:sz w:val="24"/>
          <w:szCs w:val="24"/>
        </w:rPr>
        <w:t>888 Holdings, 2023. Historical 888 [WWW Document]. 888 Holdings Plc. URL https://corporate.888.com/investors/results-reports-and-presentations/historical-888/ (accessed 7.24.23).</w:t>
      </w:r>
    </w:p>
    <w:p w14:paraId="6184D9CA" w14:textId="77777777" w:rsidR="0017469B" w:rsidRPr="005032C2" w:rsidRDefault="0017469B" w:rsidP="00EA4087">
      <w:pPr>
        <w:pStyle w:val="Bibliography"/>
        <w:spacing w:line="276" w:lineRule="auto"/>
        <w:rPr>
          <w:sz w:val="24"/>
          <w:szCs w:val="24"/>
        </w:rPr>
      </w:pPr>
      <w:r w:rsidRPr="005032C2">
        <w:rPr>
          <w:sz w:val="24"/>
          <w:szCs w:val="24"/>
        </w:rPr>
        <w:t>Abbas, G., Wang, S., 2020. Does macroeconomic uncertainty really matter in predicting stock market behavior? A comparative study on China and USA. China Finance Review International 10, 393–427. https://doi.org/10.1108/CFRI-06-2019-0077</w:t>
      </w:r>
    </w:p>
    <w:p w14:paraId="40A40023" w14:textId="77777777" w:rsidR="0017469B" w:rsidRPr="005032C2" w:rsidRDefault="0017469B" w:rsidP="00EA4087">
      <w:pPr>
        <w:pStyle w:val="Bibliography"/>
        <w:spacing w:line="276" w:lineRule="auto"/>
        <w:rPr>
          <w:sz w:val="24"/>
          <w:szCs w:val="24"/>
        </w:rPr>
      </w:pPr>
      <w:r w:rsidRPr="005032C2">
        <w:rPr>
          <w:sz w:val="24"/>
          <w:szCs w:val="24"/>
        </w:rPr>
        <w:t>Abdeen, A., Kharvari, F., O’Brien, W., Gunay, B., 2021. The impact of the COVID-19 on households’ hourly electricity consumption in Canada. Energy and Buildings 250, 111280. https://doi.org/10.1016/j.enbuild.2021.111280</w:t>
      </w:r>
    </w:p>
    <w:p w14:paraId="6EA60BD0" w14:textId="77777777" w:rsidR="0017469B" w:rsidRPr="005032C2" w:rsidRDefault="0017469B" w:rsidP="00EA4087">
      <w:pPr>
        <w:pStyle w:val="Bibliography"/>
        <w:spacing w:line="276" w:lineRule="auto"/>
        <w:rPr>
          <w:sz w:val="24"/>
          <w:szCs w:val="24"/>
        </w:rPr>
      </w:pPr>
      <w:r w:rsidRPr="005032C2">
        <w:rPr>
          <w:sz w:val="24"/>
          <w:szCs w:val="24"/>
        </w:rPr>
        <w:t>Abramowicz, K., Kilpatrick, D.J., 2023. INFLATION AND FINANCIAL INFORMATION USEFULNESS: Be wary of the overlooked impact that inflation has on financial statements. Strategic finance (Montvale, N.J.) 104, 40.</w:t>
      </w:r>
    </w:p>
    <w:p w14:paraId="7320273E" w14:textId="77777777" w:rsidR="0017469B" w:rsidRPr="005032C2" w:rsidRDefault="0017469B" w:rsidP="00EA4087">
      <w:pPr>
        <w:pStyle w:val="Bibliography"/>
        <w:spacing w:line="276" w:lineRule="auto"/>
        <w:rPr>
          <w:sz w:val="24"/>
          <w:szCs w:val="24"/>
        </w:rPr>
      </w:pPr>
      <w:r w:rsidRPr="005032C2">
        <w:rPr>
          <w:sz w:val="24"/>
          <w:szCs w:val="24"/>
        </w:rPr>
        <w:t>Address by the President of the Russian Federation  - Ukraine, 2022. . Address by the President of the Russian Federation - Ukraine.</w:t>
      </w:r>
    </w:p>
    <w:p w14:paraId="338E58F4" w14:textId="77777777" w:rsidR="0017469B" w:rsidRPr="005032C2" w:rsidRDefault="0017469B" w:rsidP="00EA4087">
      <w:pPr>
        <w:pStyle w:val="Bibliography"/>
        <w:spacing w:line="276" w:lineRule="auto"/>
        <w:rPr>
          <w:sz w:val="24"/>
          <w:szCs w:val="24"/>
        </w:rPr>
      </w:pPr>
      <w:r w:rsidRPr="005032C2">
        <w:rPr>
          <w:sz w:val="24"/>
          <w:szCs w:val="24"/>
        </w:rPr>
        <w:t>Almamy, J., Aston, J., Ngwa, L.N., 2016. An evaluation of Altman’s Z-score using cash flow ratio to predict corporate failure amid the recent financial crisis: Evidence from the UK. Journal of corporate finance (Amsterdam, Netherlands) 36, 278–285. https://doi.org/10.1016/j.jcorpfin.2015.12.009</w:t>
      </w:r>
    </w:p>
    <w:p w14:paraId="76F763FA" w14:textId="77777777" w:rsidR="0017469B" w:rsidRPr="005032C2" w:rsidRDefault="0017469B" w:rsidP="00EA4087">
      <w:pPr>
        <w:pStyle w:val="Bibliography"/>
        <w:spacing w:line="276" w:lineRule="auto"/>
        <w:rPr>
          <w:sz w:val="24"/>
          <w:szCs w:val="24"/>
        </w:rPr>
      </w:pPr>
      <w:r w:rsidRPr="005032C2">
        <w:rPr>
          <w:sz w:val="24"/>
          <w:szCs w:val="24"/>
        </w:rPr>
        <w:t>Altman, E.I., 1968. FINANCIAL RATIOS, DISCRIMINANT ANALYSIS AND THE PREDICTION OF CORPORATE BANKRUPTCY. The Journal of finance (New York) 23, 589–609. https://doi.org/10.1111/j.1540-6261.1968.tb00843.x</w:t>
      </w:r>
    </w:p>
    <w:p w14:paraId="0BC357C6" w14:textId="77777777" w:rsidR="0017469B" w:rsidRPr="005032C2" w:rsidRDefault="0017469B" w:rsidP="00EA4087">
      <w:pPr>
        <w:pStyle w:val="Bibliography"/>
        <w:spacing w:line="276" w:lineRule="auto"/>
        <w:rPr>
          <w:sz w:val="24"/>
          <w:szCs w:val="24"/>
        </w:rPr>
      </w:pPr>
      <w:r w:rsidRPr="005032C2">
        <w:rPr>
          <w:sz w:val="24"/>
          <w:szCs w:val="24"/>
        </w:rPr>
        <w:t>Alvarez, F., Fridson, M.S., 2011. Financial Statement Analysis A Practitioner’s Guide, 4th ed. ed, Wiley Finance ; v.597. Wiley, Hoboken.</w:t>
      </w:r>
    </w:p>
    <w:p w14:paraId="600AF442" w14:textId="77777777" w:rsidR="0017469B" w:rsidRPr="005032C2" w:rsidRDefault="0017469B" w:rsidP="00EA4087">
      <w:pPr>
        <w:pStyle w:val="Bibliography"/>
        <w:spacing w:line="276" w:lineRule="auto"/>
        <w:rPr>
          <w:sz w:val="24"/>
          <w:szCs w:val="24"/>
        </w:rPr>
      </w:pPr>
      <w:r w:rsidRPr="005032C2">
        <w:rPr>
          <w:sz w:val="24"/>
          <w:szCs w:val="24"/>
        </w:rPr>
        <w:t>Antipova, T., 2021. Coronavirus Pandemic as Black Swan Event, in: Antipova, T. (Ed.), Integrated Science in Digital Age 2020, Lecture Notes in Networks and Systems. Springer International Publishing, Cham, pp. 356–366. https://doi.org/10.1007/978-3-030-49264-9_32</w:t>
      </w:r>
    </w:p>
    <w:p w14:paraId="1F49840F" w14:textId="77777777" w:rsidR="0017469B" w:rsidRPr="005032C2" w:rsidRDefault="0017469B" w:rsidP="00EA4087">
      <w:pPr>
        <w:pStyle w:val="Bibliography"/>
        <w:spacing w:line="276" w:lineRule="auto"/>
        <w:rPr>
          <w:sz w:val="24"/>
          <w:szCs w:val="24"/>
        </w:rPr>
      </w:pPr>
      <w:r w:rsidRPr="005032C2">
        <w:rPr>
          <w:sz w:val="24"/>
          <w:szCs w:val="24"/>
        </w:rPr>
        <w:t>Apedo-Amah, M.C., Avdiu, B., Cirera, X., Cruz, M., Davies, E., Grover, A., Iacovone, L., Kilinc, U., Medvedev, D., Maduko, F.O., Poupakis, S., Torres, J., Tran, T.T., 2020. Unmasking the Impact of COVID-19 on Businesses : Firm Level Evidence from across the World, Policy Research Working Papers. The World Bank. https://doi.org/10.1596/1813-9450-9434</w:t>
      </w:r>
    </w:p>
    <w:p w14:paraId="625C057E" w14:textId="77777777" w:rsidR="0017469B" w:rsidRPr="005032C2" w:rsidRDefault="0017469B" w:rsidP="00EA4087">
      <w:pPr>
        <w:pStyle w:val="Bibliography"/>
        <w:spacing w:line="276" w:lineRule="auto"/>
        <w:rPr>
          <w:sz w:val="24"/>
          <w:szCs w:val="24"/>
        </w:rPr>
      </w:pPr>
      <w:r w:rsidRPr="005032C2">
        <w:rPr>
          <w:sz w:val="24"/>
          <w:szCs w:val="24"/>
        </w:rPr>
        <w:t>Arnold, G., 2009. The Financial Times guide to investing : the definitive companion to investment and the financial markets, 2nd ed. ed, The Financial Times guide to investing, Guide to investing. Pearson Financial Times/Prentice Hall, Place of publication not identified.</w:t>
      </w:r>
    </w:p>
    <w:p w14:paraId="7F4BAF00" w14:textId="77777777" w:rsidR="0017469B" w:rsidRPr="005032C2" w:rsidRDefault="0017469B" w:rsidP="00EA4087">
      <w:pPr>
        <w:pStyle w:val="Bibliography"/>
        <w:spacing w:line="276" w:lineRule="auto"/>
        <w:rPr>
          <w:sz w:val="24"/>
          <w:szCs w:val="24"/>
        </w:rPr>
      </w:pPr>
      <w:r w:rsidRPr="005032C2">
        <w:rPr>
          <w:sz w:val="24"/>
          <w:szCs w:val="24"/>
        </w:rPr>
        <w:t>Ashwell, B., 2020. How Covid-19 is affecting earnings guidance and dividend payments. IR Magazine.</w:t>
      </w:r>
    </w:p>
    <w:p w14:paraId="15859959" w14:textId="77777777" w:rsidR="0017469B" w:rsidRPr="005032C2" w:rsidRDefault="0017469B" w:rsidP="00EA4087">
      <w:pPr>
        <w:pStyle w:val="Bibliography"/>
        <w:spacing w:line="276" w:lineRule="auto"/>
        <w:rPr>
          <w:sz w:val="24"/>
          <w:szCs w:val="24"/>
        </w:rPr>
      </w:pPr>
      <w:r w:rsidRPr="005032C2">
        <w:rPr>
          <w:sz w:val="24"/>
          <w:szCs w:val="24"/>
        </w:rPr>
        <w:lastRenderedPageBreak/>
        <w:t>Athanassopoulos, A.D., Ballantine, J.A., 1995. Ratio and Frontier Analysis for Assessing Corporate Performance: Evidence from the Grocery Industry in the UK. The Journal of the Operational Research Society 46, 427–440. https://doi.org/10.2307/2584591</w:t>
      </w:r>
    </w:p>
    <w:p w14:paraId="4158B908" w14:textId="77777777" w:rsidR="0017469B" w:rsidRPr="005032C2" w:rsidRDefault="0017469B" w:rsidP="00EA4087">
      <w:pPr>
        <w:pStyle w:val="Bibliography"/>
        <w:spacing w:line="276" w:lineRule="auto"/>
        <w:rPr>
          <w:sz w:val="24"/>
          <w:szCs w:val="24"/>
        </w:rPr>
      </w:pPr>
      <w:r w:rsidRPr="005032C2">
        <w:rPr>
          <w:sz w:val="24"/>
          <w:szCs w:val="24"/>
        </w:rPr>
        <w:t>Atrill, P., McLaney, E., 2018. Accounting and Finance for Non-Specialists 11th Edition. Pearson Education, Limited, Harlow, United Kingdom, UNITED KINGDOM.</w:t>
      </w:r>
    </w:p>
    <w:p w14:paraId="03BF4F9C" w14:textId="77777777" w:rsidR="0017469B" w:rsidRPr="005032C2" w:rsidRDefault="0017469B" w:rsidP="00EA4087">
      <w:pPr>
        <w:pStyle w:val="Bibliography"/>
        <w:spacing w:line="276" w:lineRule="auto"/>
        <w:rPr>
          <w:sz w:val="24"/>
          <w:szCs w:val="24"/>
        </w:rPr>
      </w:pPr>
      <w:r w:rsidRPr="005032C2">
        <w:rPr>
          <w:sz w:val="24"/>
          <w:szCs w:val="24"/>
        </w:rPr>
        <w:t>Atrill, Peter., 2011. Financial management for decision makers. Pearson Prentice Hall.</w:t>
      </w:r>
    </w:p>
    <w:p w14:paraId="5D5DD622" w14:textId="77777777" w:rsidR="0017469B" w:rsidRPr="005032C2" w:rsidRDefault="0017469B" w:rsidP="00EA4087">
      <w:pPr>
        <w:pStyle w:val="Bibliography"/>
        <w:spacing w:line="276" w:lineRule="auto"/>
        <w:rPr>
          <w:sz w:val="24"/>
          <w:szCs w:val="24"/>
        </w:rPr>
      </w:pPr>
      <w:r w:rsidRPr="005032C2">
        <w:rPr>
          <w:sz w:val="24"/>
          <w:szCs w:val="24"/>
        </w:rPr>
        <w:t>Auerbach, A., 2023. How to Analyze Your Business Using Financial Ratios [WWW Document]. Edward Lowe Foundation. URL http://edwardlowe.org/how-to-analyze-your-business-using-financial-ratios-2/ (accessed 6.6.23).</w:t>
      </w:r>
    </w:p>
    <w:p w14:paraId="73ECB49C" w14:textId="77777777" w:rsidR="0017469B" w:rsidRPr="005032C2" w:rsidRDefault="0017469B" w:rsidP="00EA4087">
      <w:pPr>
        <w:pStyle w:val="Bibliography"/>
        <w:spacing w:line="276" w:lineRule="auto"/>
        <w:rPr>
          <w:sz w:val="24"/>
          <w:szCs w:val="24"/>
        </w:rPr>
      </w:pPr>
      <w:r w:rsidRPr="005032C2">
        <w:rPr>
          <w:sz w:val="24"/>
          <w:szCs w:val="24"/>
        </w:rPr>
        <w:t>Avishai, B., 2020. The Pandemic Isn’t a Black Swan but a Portent of a More Fragile Global System. The New Yorker.</w:t>
      </w:r>
    </w:p>
    <w:p w14:paraId="5AD9B1D7" w14:textId="77777777" w:rsidR="0017469B" w:rsidRPr="005032C2" w:rsidRDefault="0017469B" w:rsidP="00EA4087">
      <w:pPr>
        <w:pStyle w:val="Bibliography"/>
        <w:spacing w:line="276" w:lineRule="auto"/>
        <w:rPr>
          <w:sz w:val="24"/>
          <w:szCs w:val="24"/>
        </w:rPr>
      </w:pPr>
      <w:r w:rsidRPr="005032C2">
        <w:rPr>
          <w:sz w:val="24"/>
          <w:szCs w:val="24"/>
        </w:rPr>
        <w:t>Azémar, C., Desbordes, R., Melindi-Ghidi, P., Nicolaï, J.-P., 2022. Winners and losers of the COVID-19 pandemic: An excess profits tax proposal. Journal of Public Economic Theory 24, 1016–1038. https://doi.org/10.1111/jpet.12589</w:t>
      </w:r>
    </w:p>
    <w:p w14:paraId="6C8877F8" w14:textId="77777777" w:rsidR="0017469B" w:rsidRPr="005032C2" w:rsidRDefault="0017469B" w:rsidP="00EA4087">
      <w:pPr>
        <w:pStyle w:val="Bibliography"/>
        <w:spacing w:line="276" w:lineRule="auto"/>
        <w:rPr>
          <w:sz w:val="24"/>
          <w:szCs w:val="24"/>
        </w:rPr>
      </w:pPr>
      <w:r w:rsidRPr="005032C2">
        <w:rPr>
          <w:sz w:val="24"/>
          <w:szCs w:val="24"/>
        </w:rPr>
        <w:t>Banerjee, R.N., Illes, A., Kharroubi, E., Garralda, J.M.S., 2020. Covid-19 and corporate sector liquidity.</w:t>
      </w:r>
    </w:p>
    <w:p w14:paraId="4A6F5064" w14:textId="77777777" w:rsidR="0017469B" w:rsidRPr="005032C2" w:rsidRDefault="0017469B" w:rsidP="00EA4087">
      <w:pPr>
        <w:pStyle w:val="Bibliography"/>
        <w:spacing w:line="276" w:lineRule="auto"/>
        <w:rPr>
          <w:sz w:val="24"/>
          <w:szCs w:val="24"/>
        </w:rPr>
      </w:pPr>
      <w:r w:rsidRPr="005032C2">
        <w:rPr>
          <w:sz w:val="24"/>
          <w:szCs w:val="24"/>
        </w:rPr>
        <w:t>Baran, M.L., Jones, J.E., 2016. Mixed Methods Research for Improved Scientific Study, https://services-igi-global-com.ezproxy.uwtsd.ac.uk/resolvedoi/resolve.aspx?doi=10.4018/978-1-5225-0007-0. IGI Global.</w:t>
      </w:r>
    </w:p>
    <w:p w14:paraId="2B6BEA5D" w14:textId="77777777" w:rsidR="0017469B" w:rsidRPr="005032C2" w:rsidRDefault="0017469B" w:rsidP="00EA4087">
      <w:pPr>
        <w:pStyle w:val="Bibliography"/>
        <w:spacing w:line="276" w:lineRule="auto"/>
        <w:rPr>
          <w:sz w:val="24"/>
          <w:szCs w:val="24"/>
        </w:rPr>
      </w:pPr>
      <w:r w:rsidRPr="005032C2">
        <w:rPr>
          <w:sz w:val="24"/>
          <w:szCs w:val="24"/>
        </w:rPr>
        <w:t>Barkley, A., Byrne, D.P., Wu, X., 2022. Price effects of calling out market power: A study of the COVID-19 oil price shock. Journal of Economics &amp; Management Strategy 31, 923–941. https://doi.org/10.1111/jems.12485</w:t>
      </w:r>
    </w:p>
    <w:p w14:paraId="660ACA0C" w14:textId="77777777" w:rsidR="0017469B" w:rsidRPr="005032C2" w:rsidRDefault="0017469B" w:rsidP="00EA4087">
      <w:pPr>
        <w:pStyle w:val="Bibliography"/>
        <w:spacing w:line="276" w:lineRule="auto"/>
        <w:rPr>
          <w:sz w:val="24"/>
          <w:szCs w:val="24"/>
        </w:rPr>
      </w:pPr>
      <w:r w:rsidRPr="005032C2">
        <w:rPr>
          <w:sz w:val="24"/>
          <w:szCs w:val="24"/>
        </w:rPr>
        <w:t>Barney, J., Hesterly, W., 2018. Strategic Management and Competitive Advantage: Concepts and Cases, Global Edition. Pearson Education, Limited, Harlow, UNITED KINGDOM.</w:t>
      </w:r>
    </w:p>
    <w:p w14:paraId="46F62D83" w14:textId="77777777" w:rsidR="0017469B" w:rsidRPr="005032C2" w:rsidRDefault="0017469B" w:rsidP="00EA4087">
      <w:pPr>
        <w:pStyle w:val="Bibliography"/>
        <w:spacing w:line="276" w:lineRule="auto"/>
        <w:rPr>
          <w:sz w:val="24"/>
          <w:szCs w:val="24"/>
        </w:rPr>
      </w:pPr>
      <w:r w:rsidRPr="005032C2">
        <w:rPr>
          <w:sz w:val="24"/>
          <w:szCs w:val="24"/>
        </w:rPr>
        <w:t>Bartik, A.W., Bertrand, M., Cullen, Z., Glaeser, E.L., Luca, M., Stanton, C., 2020. The impact of COVID-19 on small business outcomes and expectations. Proceedings of the National Academy of Sciences 117, 17656–17666. https://doi.org/10.1073/pnas.2006991117</w:t>
      </w:r>
    </w:p>
    <w:p w14:paraId="6D3CDDCB" w14:textId="77777777" w:rsidR="0017469B" w:rsidRPr="005032C2" w:rsidRDefault="0017469B" w:rsidP="00EA4087">
      <w:pPr>
        <w:pStyle w:val="Bibliography"/>
        <w:spacing w:line="276" w:lineRule="auto"/>
        <w:rPr>
          <w:sz w:val="24"/>
          <w:szCs w:val="24"/>
        </w:rPr>
      </w:pPr>
      <w:r w:rsidRPr="005032C2">
        <w:rPr>
          <w:sz w:val="24"/>
          <w:szCs w:val="24"/>
        </w:rPr>
        <w:t>Barua, A., 2021. A spring in consumers’ steps: Americans prepare to get back to their spending ways. Deloitte Insights Economic Spotlight.</w:t>
      </w:r>
    </w:p>
    <w:p w14:paraId="5315A177" w14:textId="77777777" w:rsidR="0017469B" w:rsidRPr="005032C2" w:rsidRDefault="0017469B" w:rsidP="00EA4087">
      <w:pPr>
        <w:pStyle w:val="Bibliography"/>
        <w:spacing w:line="276" w:lineRule="auto"/>
        <w:rPr>
          <w:sz w:val="24"/>
          <w:szCs w:val="24"/>
        </w:rPr>
      </w:pPr>
      <w:r w:rsidRPr="005032C2">
        <w:rPr>
          <w:sz w:val="24"/>
          <w:szCs w:val="24"/>
        </w:rPr>
        <w:t>Bellens,  jan, 2021. How divestments are helping banks respond to industry shifts. Financial Services - Ernst &amp; Young Global. URL https://www.ey.com/en_gl/divestment-study/banking-capital-markets (accessed 7.30.23).</w:t>
      </w:r>
    </w:p>
    <w:p w14:paraId="7FE041A5" w14:textId="77777777" w:rsidR="0017469B" w:rsidRPr="005032C2" w:rsidRDefault="0017469B" w:rsidP="00EA4087">
      <w:pPr>
        <w:pStyle w:val="Bibliography"/>
        <w:spacing w:line="276" w:lineRule="auto"/>
        <w:rPr>
          <w:sz w:val="24"/>
          <w:szCs w:val="24"/>
        </w:rPr>
      </w:pPr>
      <w:r w:rsidRPr="005032C2">
        <w:rPr>
          <w:sz w:val="24"/>
          <w:szCs w:val="24"/>
        </w:rPr>
        <w:t>Beneish, M.D., Lee, C.M.C., Nichols, D.C., 2013. Earnings Manipulation and Expected Returns. Financial Analysts Journal 69, 57–82. https://doi.org/10.2469/faj.v69.n2.1</w:t>
      </w:r>
    </w:p>
    <w:p w14:paraId="59435AF7" w14:textId="77777777" w:rsidR="0017469B" w:rsidRPr="005032C2" w:rsidRDefault="0017469B" w:rsidP="00EA4087">
      <w:pPr>
        <w:pStyle w:val="Bibliography"/>
        <w:spacing w:line="276" w:lineRule="auto"/>
        <w:rPr>
          <w:sz w:val="24"/>
          <w:szCs w:val="24"/>
        </w:rPr>
      </w:pPr>
      <w:r w:rsidRPr="005032C2">
        <w:rPr>
          <w:sz w:val="24"/>
          <w:szCs w:val="24"/>
        </w:rPr>
        <w:t>Berenson, A., Jr, R.A.O., 2001. Once-Mighty Enron Strains Under Scrutiny. The New York Times.</w:t>
      </w:r>
    </w:p>
    <w:p w14:paraId="08059185" w14:textId="77777777" w:rsidR="0017469B" w:rsidRPr="005032C2" w:rsidRDefault="0017469B" w:rsidP="00EA4087">
      <w:pPr>
        <w:pStyle w:val="Bibliography"/>
        <w:spacing w:line="276" w:lineRule="auto"/>
        <w:rPr>
          <w:sz w:val="24"/>
          <w:szCs w:val="24"/>
        </w:rPr>
      </w:pPr>
      <w:r w:rsidRPr="005032C2">
        <w:rPr>
          <w:sz w:val="24"/>
          <w:szCs w:val="24"/>
        </w:rPr>
        <w:t>Briedis, H., Kronschnabl, A., Rodriguez, A., Ungerman, K., 2020. Adapting to the next normal in retail. McKinsey &amp; Company Insights. URL https://www.mckinsey.com/industries/retail/our-insights/adapting-to-the-next-normal-in-retail-the-customer-experience-imperative (accessed 7.29.23).</w:t>
      </w:r>
    </w:p>
    <w:p w14:paraId="58AC6259" w14:textId="77777777" w:rsidR="0017469B" w:rsidRPr="005032C2" w:rsidRDefault="0017469B" w:rsidP="00EA4087">
      <w:pPr>
        <w:pStyle w:val="Bibliography"/>
        <w:spacing w:line="276" w:lineRule="auto"/>
        <w:rPr>
          <w:sz w:val="24"/>
          <w:szCs w:val="24"/>
        </w:rPr>
      </w:pPr>
      <w:r w:rsidRPr="005032C2">
        <w:rPr>
          <w:sz w:val="24"/>
          <w:szCs w:val="24"/>
        </w:rPr>
        <w:lastRenderedPageBreak/>
        <w:t>British Medical Association, 2023. COVID-19: Impact of the pandemic on healthcare delivery (No. Review 3), BMA COVID Review. British Medical Association.</w:t>
      </w:r>
    </w:p>
    <w:p w14:paraId="6845D1A9" w14:textId="77777777" w:rsidR="0017469B" w:rsidRPr="005032C2" w:rsidRDefault="0017469B" w:rsidP="00EA4087">
      <w:pPr>
        <w:pStyle w:val="Bibliography"/>
        <w:spacing w:line="276" w:lineRule="auto"/>
        <w:rPr>
          <w:sz w:val="24"/>
          <w:szCs w:val="24"/>
        </w:rPr>
      </w:pPr>
      <w:r w:rsidRPr="005032C2">
        <w:rPr>
          <w:sz w:val="24"/>
          <w:szCs w:val="24"/>
        </w:rPr>
        <w:t>Bunn, Philip, Altig, D., Anayi, L., Barrero, J.M., Bloom, N., Davis, S.J., Meyer, B., Mihaylov, E., Mizen, P., Thwaites, G., 2021. COVID-19 Uncertainty: A tale of two tails. University of Chicago, Becker Friedman Institute for Economics Working Paper.</w:t>
      </w:r>
    </w:p>
    <w:p w14:paraId="59893EB9" w14:textId="77777777" w:rsidR="0017469B" w:rsidRPr="005032C2" w:rsidRDefault="0017469B" w:rsidP="00EA4087">
      <w:pPr>
        <w:pStyle w:val="Bibliography"/>
        <w:spacing w:line="276" w:lineRule="auto"/>
        <w:rPr>
          <w:sz w:val="24"/>
          <w:szCs w:val="24"/>
        </w:rPr>
      </w:pPr>
      <w:r w:rsidRPr="005032C2">
        <w:rPr>
          <w:sz w:val="24"/>
          <w:szCs w:val="24"/>
        </w:rPr>
        <w:t>Bunn, Phil, Co, L.W., Shadbolt, N., 2021. How has Covid affected firms’ costs and prices?</w:t>
      </w:r>
    </w:p>
    <w:p w14:paraId="0138227E" w14:textId="77777777" w:rsidR="0017469B" w:rsidRPr="005032C2" w:rsidRDefault="0017469B" w:rsidP="00EA4087">
      <w:pPr>
        <w:pStyle w:val="Bibliography"/>
        <w:spacing w:line="276" w:lineRule="auto"/>
        <w:rPr>
          <w:sz w:val="24"/>
          <w:szCs w:val="24"/>
        </w:rPr>
      </w:pPr>
      <w:r w:rsidRPr="005032C2">
        <w:rPr>
          <w:sz w:val="24"/>
          <w:szCs w:val="24"/>
        </w:rPr>
        <w:t>Bureau van Dijk, 2023. Fame | UK &amp; Ireland Company Data | Bureau van Dijk [WWW Document]. BVD. URL https://www.bvdinfo.com/en-gb/our-products/data/national/fame (accessed 7.30.23).</w:t>
      </w:r>
    </w:p>
    <w:p w14:paraId="618FE2BC" w14:textId="77777777" w:rsidR="0017469B" w:rsidRPr="005032C2" w:rsidRDefault="0017469B" w:rsidP="00EA4087">
      <w:pPr>
        <w:pStyle w:val="Bibliography"/>
        <w:spacing w:line="276" w:lineRule="auto"/>
        <w:rPr>
          <w:sz w:val="24"/>
          <w:szCs w:val="24"/>
        </w:rPr>
      </w:pPr>
      <w:r w:rsidRPr="005032C2">
        <w:rPr>
          <w:sz w:val="24"/>
          <w:szCs w:val="24"/>
        </w:rPr>
        <w:t>Buszko, M., Orzeszko, W., Stawarz, M., 2021. COVID-19 pandemic and stability of stock market—A sectoral approach. PLoS One 16, e0250938. https://doi.org/10.1371/journal.pone.0250938</w:t>
      </w:r>
    </w:p>
    <w:p w14:paraId="67FA3185" w14:textId="77777777" w:rsidR="0017469B" w:rsidRPr="005032C2" w:rsidRDefault="0017469B" w:rsidP="00EA4087">
      <w:pPr>
        <w:pStyle w:val="Bibliography"/>
        <w:spacing w:line="276" w:lineRule="auto"/>
        <w:rPr>
          <w:sz w:val="24"/>
          <w:szCs w:val="24"/>
        </w:rPr>
      </w:pPr>
      <w:r w:rsidRPr="005032C2">
        <w:rPr>
          <w:sz w:val="24"/>
          <w:szCs w:val="24"/>
        </w:rPr>
        <w:t>Butler, S., 2021. British high street lost 11,000 shops in 2020, study shows. The Guardian.</w:t>
      </w:r>
    </w:p>
    <w:p w14:paraId="044A9DDA" w14:textId="77777777" w:rsidR="0017469B" w:rsidRPr="005032C2" w:rsidRDefault="0017469B" w:rsidP="00EA4087">
      <w:pPr>
        <w:pStyle w:val="Bibliography"/>
        <w:spacing w:line="276" w:lineRule="auto"/>
        <w:rPr>
          <w:sz w:val="24"/>
          <w:szCs w:val="24"/>
        </w:rPr>
      </w:pPr>
      <w:r w:rsidRPr="005032C2">
        <w:rPr>
          <w:sz w:val="24"/>
          <w:szCs w:val="24"/>
        </w:rPr>
        <w:t>Byttebier, K., 2022. Covid-19 and Capitalism: Success and Failure of the Legal Methods for Dealing with a Pandemic. Springer Nature. https://doi.org/10.1007/978-3-030-92901-5</w:t>
      </w:r>
    </w:p>
    <w:p w14:paraId="3D966234" w14:textId="77777777" w:rsidR="0017469B" w:rsidRPr="005032C2" w:rsidRDefault="0017469B" w:rsidP="00EA4087">
      <w:pPr>
        <w:pStyle w:val="Bibliography"/>
        <w:spacing w:line="276" w:lineRule="auto"/>
        <w:rPr>
          <w:sz w:val="24"/>
          <w:szCs w:val="24"/>
        </w:rPr>
      </w:pPr>
      <w:r w:rsidRPr="005032C2">
        <w:rPr>
          <w:sz w:val="24"/>
          <w:szCs w:val="24"/>
        </w:rPr>
        <w:t>Cao, K.H., Li, Q., Liu, Y., Woo, C.-K., 2021. Covid-19’s adverse effects on a stock market index. Applied Economics Letters 28, 1157–1161. https://doi.org/10.1080/13504851.2020.1803481</w:t>
      </w:r>
    </w:p>
    <w:p w14:paraId="4D422C99" w14:textId="77777777" w:rsidR="0017469B" w:rsidRPr="005032C2" w:rsidRDefault="0017469B" w:rsidP="00EA4087">
      <w:pPr>
        <w:pStyle w:val="Bibliography"/>
        <w:spacing w:line="276" w:lineRule="auto"/>
        <w:rPr>
          <w:sz w:val="24"/>
          <w:szCs w:val="24"/>
        </w:rPr>
      </w:pPr>
      <w:r w:rsidRPr="005032C2">
        <w:rPr>
          <w:sz w:val="24"/>
          <w:szCs w:val="24"/>
        </w:rPr>
        <w:t>Carlson, R., 2022. 6 Limitations of Using Financial Ratio Analysis [WWW Document]. The Balance. URL https://www.thebalancemoney.com/limitations-of-financial-ratio-analysis-393236 (accessed 2.12.23).</w:t>
      </w:r>
    </w:p>
    <w:p w14:paraId="7EB5BCE6" w14:textId="77777777" w:rsidR="0017469B" w:rsidRPr="005032C2" w:rsidRDefault="0017469B" w:rsidP="00EA4087">
      <w:pPr>
        <w:pStyle w:val="Bibliography"/>
        <w:spacing w:line="276" w:lineRule="auto"/>
        <w:rPr>
          <w:sz w:val="24"/>
          <w:szCs w:val="24"/>
        </w:rPr>
      </w:pPr>
      <w:r w:rsidRPr="005032C2">
        <w:rPr>
          <w:sz w:val="24"/>
          <w:szCs w:val="24"/>
        </w:rPr>
        <w:t>Carpenter, J., 2014. An introduction to Corporation Tax. 1st Formations Blog. URL https://www.1stformations.co.uk/blog/corporation-tax-an-introduction/ (accessed 11.28.22).</w:t>
      </w:r>
    </w:p>
    <w:p w14:paraId="1D1CC329" w14:textId="77777777" w:rsidR="0017469B" w:rsidRPr="005032C2" w:rsidRDefault="0017469B" w:rsidP="00EA4087">
      <w:pPr>
        <w:pStyle w:val="Bibliography"/>
        <w:spacing w:line="276" w:lineRule="auto"/>
        <w:rPr>
          <w:sz w:val="24"/>
          <w:szCs w:val="24"/>
        </w:rPr>
      </w:pPr>
      <w:r w:rsidRPr="005032C2">
        <w:rPr>
          <w:sz w:val="24"/>
          <w:szCs w:val="24"/>
        </w:rPr>
        <w:t>Carroll, C.T., 2013. Does the Organization’s Chart of Accounts Support Analysis, Management, and Budgeting? EDPACS 47, 1–13. https://doi.org/10.1080/07366981.2013.751784</w:t>
      </w:r>
    </w:p>
    <w:p w14:paraId="7377BC41" w14:textId="77777777" w:rsidR="0017469B" w:rsidRPr="005032C2" w:rsidRDefault="0017469B" w:rsidP="00EA4087">
      <w:pPr>
        <w:pStyle w:val="Bibliography"/>
        <w:spacing w:line="276" w:lineRule="auto"/>
        <w:rPr>
          <w:sz w:val="24"/>
          <w:szCs w:val="24"/>
        </w:rPr>
      </w:pPr>
      <w:r w:rsidRPr="005032C2">
        <w:rPr>
          <w:sz w:val="24"/>
          <w:szCs w:val="24"/>
        </w:rPr>
        <w:t>Cejnek, G., Randl, O., Zechner, J., 2021. The COVID-19 Pandemic and Corporate Dividend Policy. Journal of Financial &amp; Quantitative Analysis 56, 2389–2410. https://doi.org/10.1017/S0022109021000533</w:t>
      </w:r>
    </w:p>
    <w:p w14:paraId="537E0AF0" w14:textId="77777777" w:rsidR="0017469B" w:rsidRPr="005032C2" w:rsidRDefault="0017469B" w:rsidP="00EA4087">
      <w:pPr>
        <w:pStyle w:val="Bibliography"/>
        <w:spacing w:line="276" w:lineRule="auto"/>
        <w:rPr>
          <w:sz w:val="24"/>
          <w:szCs w:val="24"/>
        </w:rPr>
      </w:pPr>
      <w:r w:rsidRPr="005032C2">
        <w:rPr>
          <w:sz w:val="24"/>
          <w:szCs w:val="24"/>
        </w:rPr>
        <w:t>CFI Team, 2023. Financial Ratios [WWW Document]. Corporate Finance Institute. URL https://corporatefinanceinstitute.com/resources/accounting/financial-ratios/ (accessed 2.12.23).</w:t>
      </w:r>
    </w:p>
    <w:p w14:paraId="257686A9" w14:textId="77777777" w:rsidR="0017469B" w:rsidRPr="005032C2" w:rsidRDefault="0017469B" w:rsidP="00EA4087">
      <w:pPr>
        <w:pStyle w:val="Bibliography"/>
        <w:spacing w:line="276" w:lineRule="auto"/>
        <w:rPr>
          <w:sz w:val="24"/>
          <w:szCs w:val="24"/>
        </w:rPr>
      </w:pPr>
      <w:r w:rsidRPr="005032C2">
        <w:rPr>
          <w:sz w:val="24"/>
          <w:szCs w:val="24"/>
        </w:rPr>
        <w:t>Chaudhuri, T.D., 2018. Stock Market Investing.</w:t>
      </w:r>
    </w:p>
    <w:p w14:paraId="4F18C355" w14:textId="77777777" w:rsidR="0017469B" w:rsidRPr="005032C2" w:rsidRDefault="0017469B" w:rsidP="00EA4087">
      <w:pPr>
        <w:pStyle w:val="Bibliography"/>
        <w:spacing w:line="276" w:lineRule="auto"/>
        <w:rPr>
          <w:sz w:val="24"/>
          <w:szCs w:val="24"/>
        </w:rPr>
      </w:pPr>
      <w:r w:rsidRPr="005032C2">
        <w:rPr>
          <w:sz w:val="24"/>
          <w:szCs w:val="24"/>
        </w:rPr>
        <w:t>Christelis, D., Georgarakos, D., Jappelli, T., Kenny, G., 2020. The Covid-19 crisis and consumption: survey evidence from six EU countries. (Working Paper No. 2507), Working Paper Series. European Central Bank, LU.</w:t>
      </w:r>
    </w:p>
    <w:p w14:paraId="040A67BA" w14:textId="77777777" w:rsidR="0017469B" w:rsidRPr="005032C2" w:rsidRDefault="0017469B" w:rsidP="00EA4087">
      <w:pPr>
        <w:pStyle w:val="Bibliography"/>
        <w:spacing w:line="276" w:lineRule="auto"/>
        <w:rPr>
          <w:sz w:val="24"/>
          <w:szCs w:val="24"/>
        </w:rPr>
      </w:pPr>
      <w:r w:rsidRPr="005032C2">
        <w:rPr>
          <w:sz w:val="24"/>
          <w:szCs w:val="24"/>
        </w:rPr>
        <w:t>Clayman, M.R., 2012. Corporate finance: a practical approach. Wiley-Blackwell.</w:t>
      </w:r>
    </w:p>
    <w:p w14:paraId="1E3A07DD" w14:textId="77777777" w:rsidR="0017469B" w:rsidRPr="005032C2" w:rsidRDefault="0017469B" w:rsidP="00EA4087">
      <w:pPr>
        <w:pStyle w:val="Bibliography"/>
        <w:spacing w:line="276" w:lineRule="auto"/>
        <w:rPr>
          <w:sz w:val="24"/>
          <w:szCs w:val="24"/>
        </w:rPr>
      </w:pPr>
      <w:r w:rsidRPr="005032C2">
        <w:rPr>
          <w:sz w:val="24"/>
          <w:szCs w:val="24"/>
        </w:rPr>
        <w:t xml:space="preserve">Columbia Threadneedle Investments, 2020. The impact of Covid-19 on UK savers and investors. Insights. URL </w:t>
      </w:r>
      <w:r w:rsidRPr="005032C2">
        <w:rPr>
          <w:sz w:val="24"/>
          <w:szCs w:val="24"/>
        </w:rPr>
        <w:lastRenderedPageBreak/>
        <w:t>https://www.columbiathreadneedle.co.uk/en/intm/insights/the-impact-of-covid-19-on-uk-savers-and-investors/ (accessed 7.30.23).</w:t>
      </w:r>
    </w:p>
    <w:p w14:paraId="334C7317" w14:textId="77777777" w:rsidR="0017469B" w:rsidRPr="005032C2" w:rsidRDefault="0017469B" w:rsidP="00EA4087">
      <w:pPr>
        <w:pStyle w:val="Bibliography"/>
        <w:spacing w:line="276" w:lineRule="auto"/>
        <w:rPr>
          <w:sz w:val="24"/>
          <w:szCs w:val="24"/>
        </w:rPr>
      </w:pPr>
      <w:r w:rsidRPr="005032C2">
        <w:rPr>
          <w:sz w:val="24"/>
          <w:szCs w:val="24"/>
        </w:rPr>
        <w:t>Consoli, S., Reforgiato Recupero, D., Saisana, M. (Eds.), 2021. Data Science for Economics and Finance: Methodologies and Applications. Springer Nature. https://doi.org/10.1007/978-3-030-66891-4</w:t>
      </w:r>
    </w:p>
    <w:p w14:paraId="16E80FFA" w14:textId="77777777" w:rsidR="0017469B" w:rsidRPr="005032C2" w:rsidRDefault="0017469B" w:rsidP="00EA4087">
      <w:pPr>
        <w:pStyle w:val="Bibliography"/>
        <w:spacing w:line="276" w:lineRule="auto"/>
        <w:rPr>
          <w:sz w:val="24"/>
          <w:szCs w:val="24"/>
        </w:rPr>
      </w:pPr>
      <w:r w:rsidRPr="005032C2">
        <w:rPr>
          <w:sz w:val="24"/>
          <w:szCs w:val="24"/>
        </w:rPr>
        <w:t>Cooper, F., Dolezal And, L., Rose, A., 2023. COVID-19 and Shame: Political Emotions and Public Health in the Uk. Bloomsbury Academic. https://doi.org/10.5040/9781350283442</w:t>
      </w:r>
    </w:p>
    <w:p w14:paraId="708910C3" w14:textId="77777777" w:rsidR="00F43CF7" w:rsidRPr="005032C2" w:rsidRDefault="0017469B" w:rsidP="00EA4087">
      <w:pPr>
        <w:pStyle w:val="Bibliography"/>
        <w:spacing w:line="276" w:lineRule="auto"/>
        <w:rPr>
          <w:sz w:val="24"/>
          <w:szCs w:val="24"/>
        </w:rPr>
      </w:pPr>
      <w:r w:rsidRPr="005032C2">
        <w:rPr>
          <w:i/>
          <w:iCs/>
          <w:sz w:val="24"/>
          <w:szCs w:val="24"/>
        </w:rPr>
        <w:t>Coronavirus Act, 2020.</w:t>
      </w:r>
      <w:r w:rsidR="00F43CF7" w:rsidRPr="005032C2">
        <w:rPr>
          <w:sz w:val="24"/>
          <w:szCs w:val="24"/>
        </w:rPr>
        <w:t xml:space="preserve"> Available at: </w:t>
      </w:r>
    </w:p>
    <w:p w14:paraId="5FB99C65" w14:textId="5554FCFA" w:rsidR="0017469B" w:rsidRPr="005032C2" w:rsidRDefault="00F43CF7" w:rsidP="00EA4087">
      <w:pPr>
        <w:pStyle w:val="Bibliography"/>
        <w:spacing w:line="276" w:lineRule="auto"/>
        <w:rPr>
          <w:sz w:val="24"/>
          <w:szCs w:val="24"/>
        </w:rPr>
      </w:pPr>
      <w:r w:rsidRPr="005032C2">
        <w:rPr>
          <w:sz w:val="24"/>
          <w:szCs w:val="24"/>
        </w:rPr>
        <w:t>https://www.legislation.gov.uk/ukpga/2020/7/contents/enacted</w:t>
      </w:r>
    </w:p>
    <w:p w14:paraId="6EB1BFD5" w14:textId="77777777" w:rsidR="0017469B" w:rsidRPr="005032C2" w:rsidRDefault="0017469B" w:rsidP="00EA4087">
      <w:pPr>
        <w:pStyle w:val="Bibliography"/>
        <w:spacing w:line="276" w:lineRule="auto"/>
        <w:rPr>
          <w:sz w:val="24"/>
          <w:szCs w:val="24"/>
        </w:rPr>
      </w:pPr>
      <w:r w:rsidRPr="005032C2">
        <w:rPr>
          <w:sz w:val="24"/>
          <w:szCs w:val="24"/>
        </w:rPr>
        <w:t>Corporate Finance Insitute, 2022. Fiscal Year. CFI.</w:t>
      </w:r>
    </w:p>
    <w:p w14:paraId="341932DC" w14:textId="77777777" w:rsidR="0017469B" w:rsidRPr="005032C2" w:rsidRDefault="0017469B" w:rsidP="00EA4087">
      <w:pPr>
        <w:pStyle w:val="Bibliography"/>
        <w:spacing w:line="276" w:lineRule="auto"/>
        <w:rPr>
          <w:sz w:val="24"/>
          <w:szCs w:val="24"/>
        </w:rPr>
      </w:pPr>
      <w:r w:rsidRPr="005032C2">
        <w:rPr>
          <w:sz w:val="24"/>
          <w:szCs w:val="24"/>
        </w:rPr>
        <w:t>Corporate Finance Institute, 2023. The S&amp;P Sectors [WWW Document]. Corporate Finance Institute. URL https://corporatefinanceinstitute.com/resources/valuation/the-sp-sectors/ (accessed 7.22.23).</w:t>
      </w:r>
    </w:p>
    <w:p w14:paraId="45C0EBBA" w14:textId="77777777" w:rsidR="0017469B" w:rsidRPr="005032C2" w:rsidRDefault="0017469B" w:rsidP="00EA4087">
      <w:pPr>
        <w:pStyle w:val="Bibliography"/>
        <w:spacing w:line="276" w:lineRule="auto"/>
        <w:rPr>
          <w:sz w:val="24"/>
          <w:szCs w:val="24"/>
        </w:rPr>
      </w:pPr>
      <w:r w:rsidRPr="005032C2">
        <w:rPr>
          <w:sz w:val="24"/>
          <w:szCs w:val="24"/>
        </w:rPr>
        <w:t>CPA Australia, 2019. A guide to understanding annual reports. CPA Australia.</w:t>
      </w:r>
    </w:p>
    <w:p w14:paraId="15201531" w14:textId="77777777" w:rsidR="0017469B" w:rsidRPr="005032C2" w:rsidRDefault="0017469B" w:rsidP="00EA4087">
      <w:pPr>
        <w:pStyle w:val="Bibliography"/>
        <w:spacing w:line="276" w:lineRule="auto"/>
        <w:rPr>
          <w:sz w:val="24"/>
          <w:szCs w:val="24"/>
        </w:rPr>
      </w:pPr>
      <w:r w:rsidRPr="005032C2">
        <w:rPr>
          <w:sz w:val="24"/>
          <w:szCs w:val="24"/>
        </w:rPr>
        <w:t>Creswell, J.W., Creswell, J.D., 2022. Research Design: Qualitative, Quantitative, and Mixed Methods Approaches, Sixth edition. ed. SAGE Publications, Inc, Los Angeles.</w:t>
      </w:r>
    </w:p>
    <w:p w14:paraId="0AD9AB62" w14:textId="77777777" w:rsidR="0017469B" w:rsidRPr="005032C2" w:rsidRDefault="0017469B" w:rsidP="00EA4087">
      <w:pPr>
        <w:pStyle w:val="Bibliography"/>
        <w:spacing w:line="276" w:lineRule="auto"/>
        <w:rPr>
          <w:sz w:val="24"/>
          <w:szCs w:val="24"/>
        </w:rPr>
      </w:pPr>
      <w:r w:rsidRPr="005032C2">
        <w:rPr>
          <w:sz w:val="24"/>
          <w:szCs w:val="24"/>
        </w:rPr>
        <w:t>Creswell, J.W., Creswell, J.W., 2013. Qualitative inquiry and research design : choosing among five approaches, 3rd ed. ed, Qualitative inquiry &amp; research design. SAGE Publications, Los Angeles.</w:t>
      </w:r>
    </w:p>
    <w:p w14:paraId="5B907304" w14:textId="77777777" w:rsidR="0017469B" w:rsidRPr="005032C2" w:rsidRDefault="0017469B" w:rsidP="00EA4087">
      <w:pPr>
        <w:pStyle w:val="Bibliography"/>
        <w:spacing w:line="276" w:lineRule="auto"/>
        <w:rPr>
          <w:sz w:val="24"/>
          <w:szCs w:val="24"/>
        </w:rPr>
      </w:pPr>
      <w:r w:rsidRPr="005032C2">
        <w:rPr>
          <w:sz w:val="24"/>
          <w:szCs w:val="24"/>
        </w:rPr>
        <w:t>Cundy, A., Campbell, C., Mathurin, P., 2020. One-fifth of FTSE 100 companies tap government wage scheme. Financial Times.</w:t>
      </w:r>
    </w:p>
    <w:p w14:paraId="4F9944EE" w14:textId="77777777" w:rsidR="0017469B" w:rsidRPr="005032C2" w:rsidRDefault="0017469B" w:rsidP="00EA4087">
      <w:pPr>
        <w:pStyle w:val="Bibliography"/>
        <w:spacing w:line="276" w:lineRule="auto"/>
        <w:rPr>
          <w:sz w:val="24"/>
          <w:szCs w:val="24"/>
        </w:rPr>
      </w:pPr>
      <w:r w:rsidRPr="005032C2">
        <w:rPr>
          <w:sz w:val="24"/>
          <w:szCs w:val="24"/>
        </w:rPr>
        <w:t>Dannenberg, P., Fuchs, M., Riedler, T., Wiedemann, C., 2020. Digital Transition by COVID-19 Pandemic? The German Food Online Retail. Tijdschrift voor Economische en Sociale Geografie 111, 543–560. https://doi.org/10.1111/tesg.12453</w:t>
      </w:r>
    </w:p>
    <w:p w14:paraId="45F64E8E" w14:textId="77777777" w:rsidR="0017469B" w:rsidRPr="005032C2" w:rsidRDefault="0017469B" w:rsidP="00EA4087">
      <w:pPr>
        <w:pStyle w:val="Bibliography"/>
        <w:spacing w:line="276" w:lineRule="auto"/>
        <w:rPr>
          <w:sz w:val="24"/>
          <w:szCs w:val="24"/>
        </w:rPr>
      </w:pPr>
      <w:r w:rsidRPr="005032C2">
        <w:rPr>
          <w:sz w:val="24"/>
          <w:szCs w:val="24"/>
        </w:rPr>
        <w:t>Dekking, F.M., Kraaikamp, C., Lopuhaä, H.P., Meester, L.E., 2005. A Modern Introduction to Probability and Statistics, Springer Texts in Statistics. Springer, London. https://doi.org/10.1007/1-84628-168-7</w:t>
      </w:r>
    </w:p>
    <w:p w14:paraId="15306D3D" w14:textId="77777777" w:rsidR="0017469B" w:rsidRPr="005032C2" w:rsidRDefault="0017469B" w:rsidP="00EA4087">
      <w:pPr>
        <w:pStyle w:val="Bibliography"/>
        <w:spacing w:line="276" w:lineRule="auto"/>
        <w:rPr>
          <w:sz w:val="24"/>
          <w:szCs w:val="24"/>
        </w:rPr>
      </w:pPr>
      <w:r w:rsidRPr="005032C2">
        <w:rPr>
          <w:sz w:val="24"/>
          <w:szCs w:val="24"/>
        </w:rPr>
        <w:t>DeLoach, J., 2020. How Is COVID-19 Affecting Your Financial Statements? Forbes.</w:t>
      </w:r>
    </w:p>
    <w:p w14:paraId="7DDB73DB" w14:textId="77777777" w:rsidR="0017469B" w:rsidRPr="005032C2" w:rsidRDefault="0017469B" w:rsidP="00EA4087">
      <w:pPr>
        <w:pStyle w:val="Bibliography"/>
        <w:spacing w:line="276" w:lineRule="auto"/>
        <w:rPr>
          <w:sz w:val="24"/>
          <w:szCs w:val="24"/>
        </w:rPr>
      </w:pPr>
      <w:r w:rsidRPr="005032C2">
        <w:rPr>
          <w:sz w:val="24"/>
          <w:szCs w:val="24"/>
        </w:rPr>
        <w:t>Deloitte, 2022. Analysis of financial statements [WWW Document]. Deloitte Azerbaijan. URL https://www2.deloitte.com/az/en/pages/deloitte-academy/articles/hr-as-a-compliance-champion--/analysis-of-financial-statements.html (accessed 7.23.23).</w:t>
      </w:r>
    </w:p>
    <w:p w14:paraId="66F88953" w14:textId="77777777" w:rsidR="0017469B" w:rsidRPr="005032C2" w:rsidRDefault="0017469B" w:rsidP="00EA4087">
      <w:pPr>
        <w:pStyle w:val="Bibliography"/>
        <w:spacing w:line="276" w:lineRule="auto"/>
        <w:rPr>
          <w:sz w:val="24"/>
          <w:szCs w:val="24"/>
        </w:rPr>
      </w:pPr>
      <w:r w:rsidRPr="005032C2">
        <w:rPr>
          <w:sz w:val="24"/>
          <w:szCs w:val="24"/>
        </w:rPr>
        <w:t>Deloitte, 2021. COVID-19 potential implications for the banking and capital markets sector (Perspectives), Maintaining Balance Sheet Resilience. Deloitte.</w:t>
      </w:r>
    </w:p>
    <w:p w14:paraId="67B91D3A" w14:textId="77777777" w:rsidR="0017469B" w:rsidRPr="005032C2" w:rsidRDefault="0017469B" w:rsidP="00EA4087">
      <w:pPr>
        <w:pStyle w:val="Bibliography"/>
        <w:spacing w:line="276" w:lineRule="auto"/>
        <w:rPr>
          <w:sz w:val="24"/>
          <w:szCs w:val="24"/>
        </w:rPr>
      </w:pPr>
      <w:r w:rsidRPr="005032C2">
        <w:rPr>
          <w:sz w:val="24"/>
          <w:szCs w:val="24"/>
        </w:rPr>
        <w:t>Deloitte, 2020. Addressing the financial impact of COVID-19 - Liquidity [WWW Document]. Deloitte Perspectives. URL https://www2.deloitte.com/content/dam/Deloitte/ch/Documents/financial-advisory/deloitte-dh-fa-addressing-the-financial-impact-of-covid-19-liquidity.pdf (accessed 7.29.23).</w:t>
      </w:r>
    </w:p>
    <w:p w14:paraId="43A31F60" w14:textId="77777777" w:rsidR="0017469B" w:rsidRPr="005032C2" w:rsidRDefault="0017469B" w:rsidP="00EA4087">
      <w:pPr>
        <w:pStyle w:val="Bibliography"/>
        <w:spacing w:line="276" w:lineRule="auto"/>
        <w:rPr>
          <w:sz w:val="24"/>
          <w:szCs w:val="24"/>
        </w:rPr>
      </w:pPr>
      <w:r w:rsidRPr="005032C2">
        <w:rPr>
          <w:sz w:val="24"/>
          <w:szCs w:val="24"/>
        </w:rPr>
        <w:t>Deveonshire Green, 2019. Important Dates - Differences between fiscal and accounting year ends. Devonshire Green UK. URL https://www.devonshiregreen.uk/important-dates-</w:t>
      </w:r>
      <w:r w:rsidRPr="005032C2">
        <w:rPr>
          <w:sz w:val="24"/>
          <w:szCs w:val="24"/>
        </w:rPr>
        <w:lastRenderedPageBreak/>
        <w:t>differences-between-fiscal-and-accounting-year-ends-when-you-need-to-file-your-accounts-pay-your-taxes-vat-etc/ (accessed 6.28.23).</w:t>
      </w:r>
    </w:p>
    <w:p w14:paraId="63F76F87" w14:textId="77777777" w:rsidR="0017469B" w:rsidRPr="005032C2" w:rsidRDefault="0017469B" w:rsidP="00EA4087">
      <w:pPr>
        <w:pStyle w:val="Bibliography"/>
        <w:spacing w:line="276" w:lineRule="auto"/>
        <w:rPr>
          <w:sz w:val="24"/>
          <w:szCs w:val="24"/>
        </w:rPr>
      </w:pPr>
      <w:r w:rsidRPr="005032C2">
        <w:rPr>
          <w:sz w:val="24"/>
          <w:szCs w:val="24"/>
        </w:rPr>
        <w:t>Dorrance, G.S., 1969. The Role of Financial Accounts. Review of Income &amp; Wealth 15, 197–207. https://doi.org/10.1111/j.1475-4991.1969.tb00803.x</w:t>
      </w:r>
    </w:p>
    <w:p w14:paraId="267E7D17" w14:textId="77777777" w:rsidR="0017469B" w:rsidRPr="005032C2" w:rsidRDefault="0017469B" w:rsidP="00EA4087">
      <w:pPr>
        <w:pStyle w:val="Bibliography"/>
        <w:spacing w:line="276" w:lineRule="auto"/>
        <w:rPr>
          <w:sz w:val="24"/>
          <w:szCs w:val="24"/>
        </w:rPr>
      </w:pPr>
      <w:r w:rsidRPr="005032C2">
        <w:rPr>
          <w:sz w:val="24"/>
          <w:szCs w:val="24"/>
        </w:rPr>
        <w:t>Drake, J., 2021. Was Covid-19 A Black Swan Event? Forbes.</w:t>
      </w:r>
    </w:p>
    <w:p w14:paraId="5D91962C" w14:textId="77777777" w:rsidR="0017469B" w:rsidRPr="005032C2" w:rsidRDefault="0017469B" w:rsidP="00EA4087">
      <w:pPr>
        <w:pStyle w:val="Bibliography"/>
        <w:spacing w:line="276" w:lineRule="auto"/>
        <w:rPr>
          <w:sz w:val="24"/>
          <w:szCs w:val="24"/>
        </w:rPr>
      </w:pPr>
      <w:r w:rsidRPr="005032C2">
        <w:rPr>
          <w:sz w:val="24"/>
          <w:szCs w:val="24"/>
        </w:rPr>
        <w:t>Dyer, C., 2021. Covid-19: Government wasted millions on poor quality PPE, spending watchdog finds. BMJ (Online) 372, n399–n399. https://doi.org/10.1136/bmj.n399</w:t>
      </w:r>
    </w:p>
    <w:p w14:paraId="353B0661" w14:textId="77777777" w:rsidR="0017469B" w:rsidRPr="005032C2" w:rsidRDefault="0017469B" w:rsidP="00EA4087">
      <w:pPr>
        <w:pStyle w:val="Bibliography"/>
        <w:spacing w:line="276" w:lineRule="auto"/>
        <w:rPr>
          <w:sz w:val="24"/>
          <w:szCs w:val="24"/>
        </w:rPr>
      </w:pPr>
      <w:r w:rsidRPr="005032C2">
        <w:rPr>
          <w:sz w:val="24"/>
          <w:szCs w:val="24"/>
        </w:rPr>
        <w:t>easyJet Plc, 2023. Investors Webpage - Reports and presentations [WWW Document]. URL https://corporate.easyjet.com/investors/reports-and-presentations/2022 (accessed 1.22.23).</w:t>
      </w:r>
    </w:p>
    <w:p w14:paraId="34707C66" w14:textId="77777777" w:rsidR="0017469B" w:rsidRPr="005032C2" w:rsidRDefault="0017469B" w:rsidP="00EA4087">
      <w:pPr>
        <w:pStyle w:val="Bibliography"/>
        <w:spacing w:line="276" w:lineRule="auto"/>
        <w:rPr>
          <w:sz w:val="24"/>
          <w:szCs w:val="24"/>
        </w:rPr>
      </w:pPr>
      <w:r w:rsidRPr="005032C2">
        <w:rPr>
          <w:sz w:val="24"/>
          <w:szCs w:val="24"/>
        </w:rPr>
        <w:t>Engle, R.F., Ghysels, E., Sohn, B., 2013. Stock Market Volatility and Macroeconomic Fundamentals. The Review of Economics and Statistics 95, 776–797.</w:t>
      </w:r>
    </w:p>
    <w:p w14:paraId="5A6121A1" w14:textId="77777777" w:rsidR="0017469B" w:rsidRPr="005032C2" w:rsidRDefault="0017469B" w:rsidP="00EA4087">
      <w:pPr>
        <w:pStyle w:val="Bibliography"/>
        <w:spacing w:line="276" w:lineRule="auto"/>
        <w:rPr>
          <w:sz w:val="24"/>
          <w:szCs w:val="24"/>
        </w:rPr>
      </w:pPr>
      <w:r w:rsidRPr="005032C2">
        <w:rPr>
          <w:sz w:val="24"/>
          <w:szCs w:val="24"/>
        </w:rPr>
        <w:t>Ernst &amp; Young Global Limited, 2020. The potential impact of the corona crisis on dividend policies. EY Tax Alerts. URL https://www.ey.com/en_be/tax/tax-alerts/the-potential-impact-of-the-corona-crisis-on-dividend-policies (accessed 7.30.23).</w:t>
      </w:r>
    </w:p>
    <w:p w14:paraId="5B540FC1" w14:textId="77777777" w:rsidR="0017469B" w:rsidRPr="005032C2" w:rsidRDefault="0017469B" w:rsidP="00EA4087">
      <w:pPr>
        <w:pStyle w:val="Bibliography"/>
        <w:spacing w:line="276" w:lineRule="auto"/>
        <w:rPr>
          <w:sz w:val="24"/>
          <w:szCs w:val="24"/>
        </w:rPr>
      </w:pPr>
      <w:r w:rsidRPr="005032C2">
        <w:rPr>
          <w:sz w:val="24"/>
          <w:szCs w:val="24"/>
        </w:rPr>
        <w:t>Faello, J., 2015. Understanding the Limitations of Financial Ratios. Academy of Accounting and Financial Studies Journal 19, 75–85.</w:t>
      </w:r>
    </w:p>
    <w:p w14:paraId="42ED3907" w14:textId="77777777" w:rsidR="0017469B" w:rsidRPr="005032C2" w:rsidRDefault="0017469B" w:rsidP="00EA4087">
      <w:pPr>
        <w:pStyle w:val="Bibliography"/>
        <w:spacing w:line="276" w:lineRule="auto"/>
        <w:rPr>
          <w:sz w:val="24"/>
          <w:szCs w:val="24"/>
        </w:rPr>
      </w:pPr>
      <w:r w:rsidRPr="005032C2">
        <w:rPr>
          <w:sz w:val="24"/>
          <w:szCs w:val="24"/>
        </w:rPr>
        <w:t>Fairlie, R., Fossen, F.M., 2021. The early impacts of the COVID-19 pandemic on business sales. Small Bus Econ 58, 1853–1864. https://doi.org/10.1007/s11187-021-00479-4</w:t>
      </w:r>
    </w:p>
    <w:p w14:paraId="21B19A2F" w14:textId="77777777" w:rsidR="0017469B" w:rsidRPr="005032C2" w:rsidRDefault="0017469B" w:rsidP="00EA4087">
      <w:pPr>
        <w:pStyle w:val="Bibliography"/>
        <w:spacing w:line="276" w:lineRule="auto"/>
        <w:rPr>
          <w:sz w:val="24"/>
          <w:szCs w:val="24"/>
        </w:rPr>
      </w:pPr>
      <w:r w:rsidRPr="005032C2">
        <w:rPr>
          <w:sz w:val="24"/>
          <w:szCs w:val="24"/>
        </w:rPr>
        <w:t>Fama, E.F., 1965. The Behavior of Stock-Market Prices. The Journal of Business 38, 34–105.</w:t>
      </w:r>
    </w:p>
    <w:p w14:paraId="3574D258" w14:textId="77777777" w:rsidR="0017469B" w:rsidRPr="005032C2" w:rsidRDefault="0017469B" w:rsidP="00EA4087">
      <w:pPr>
        <w:pStyle w:val="Bibliography"/>
        <w:spacing w:line="276" w:lineRule="auto"/>
        <w:rPr>
          <w:sz w:val="24"/>
          <w:szCs w:val="24"/>
        </w:rPr>
      </w:pPr>
      <w:r w:rsidRPr="005032C2">
        <w:rPr>
          <w:sz w:val="24"/>
          <w:szCs w:val="24"/>
        </w:rPr>
        <w:t>Fanta, V., Šálek, M., Sklenicka, P., 2019. How long do floods throughout the millennium remain in the collective memory? Nature Communications 10, 1105. https://doi.org/10.1038/s41467-019-09102-3</w:t>
      </w:r>
    </w:p>
    <w:p w14:paraId="5DB64891" w14:textId="77777777" w:rsidR="0017469B" w:rsidRPr="005032C2" w:rsidRDefault="0017469B" w:rsidP="00EA4087">
      <w:pPr>
        <w:pStyle w:val="Bibliography"/>
        <w:spacing w:line="276" w:lineRule="auto"/>
        <w:rPr>
          <w:sz w:val="24"/>
          <w:szCs w:val="24"/>
        </w:rPr>
      </w:pPr>
      <w:r w:rsidRPr="005032C2">
        <w:rPr>
          <w:sz w:val="24"/>
          <w:szCs w:val="24"/>
        </w:rPr>
        <w:t>Fields, E., 2016. The Essentials of Finance and Accounting for Nonfinancial Managers. AMACOM, Nashville, UNITED STATES.</w:t>
      </w:r>
    </w:p>
    <w:p w14:paraId="350AD145" w14:textId="77777777" w:rsidR="0017469B" w:rsidRPr="005032C2" w:rsidRDefault="0017469B" w:rsidP="00EA4087">
      <w:pPr>
        <w:pStyle w:val="Bibliography"/>
        <w:spacing w:line="276" w:lineRule="auto"/>
        <w:rPr>
          <w:sz w:val="24"/>
          <w:szCs w:val="24"/>
        </w:rPr>
      </w:pPr>
      <w:r w:rsidRPr="005032C2">
        <w:rPr>
          <w:sz w:val="24"/>
          <w:szCs w:val="24"/>
        </w:rPr>
        <w:t>Foster, B.P., 2021. The Impact of COVID-19 on Sales and Production: Certified Public Accountant. The CPA Journal 91, 66–68.</w:t>
      </w:r>
    </w:p>
    <w:p w14:paraId="7B0B21CC" w14:textId="77777777" w:rsidR="0017469B" w:rsidRPr="005032C2" w:rsidRDefault="0017469B" w:rsidP="00EA4087">
      <w:pPr>
        <w:pStyle w:val="Bibliography"/>
        <w:spacing w:line="276" w:lineRule="auto"/>
        <w:rPr>
          <w:sz w:val="24"/>
          <w:szCs w:val="24"/>
        </w:rPr>
      </w:pPr>
      <w:r w:rsidRPr="005032C2">
        <w:rPr>
          <w:sz w:val="24"/>
          <w:szCs w:val="24"/>
        </w:rPr>
        <w:t>Francis-Devine, B., Ferguson, D., 2021. The furlough scheme: One year on (Insight). House of Commons Library.</w:t>
      </w:r>
    </w:p>
    <w:p w14:paraId="751C983A" w14:textId="77777777" w:rsidR="0017469B" w:rsidRPr="005032C2" w:rsidRDefault="0017469B" w:rsidP="00EA4087">
      <w:pPr>
        <w:pStyle w:val="Bibliography"/>
        <w:spacing w:line="276" w:lineRule="auto"/>
        <w:rPr>
          <w:sz w:val="24"/>
          <w:szCs w:val="24"/>
        </w:rPr>
      </w:pPr>
      <w:r w:rsidRPr="005032C2">
        <w:rPr>
          <w:sz w:val="24"/>
          <w:szCs w:val="24"/>
        </w:rPr>
        <w:t>Frumkin, N., 2015. Guide to Economic Indicators. Routledge.</w:t>
      </w:r>
    </w:p>
    <w:p w14:paraId="6508D258" w14:textId="77777777" w:rsidR="0017469B" w:rsidRPr="005032C2" w:rsidRDefault="0017469B" w:rsidP="00EA4087">
      <w:pPr>
        <w:pStyle w:val="Bibliography"/>
        <w:spacing w:line="276" w:lineRule="auto"/>
        <w:rPr>
          <w:sz w:val="24"/>
          <w:szCs w:val="24"/>
        </w:rPr>
      </w:pPr>
      <w:r w:rsidRPr="005032C2">
        <w:rPr>
          <w:sz w:val="24"/>
          <w:szCs w:val="24"/>
        </w:rPr>
        <w:t>FTSE Russell, 2022. Ground Rules - FTSE UK Index Series v15.5.</w:t>
      </w:r>
    </w:p>
    <w:p w14:paraId="1E7A5BC1" w14:textId="77777777" w:rsidR="0017469B" w:rsidRPr="005032C2" w:rsidRDefault="0017469B" w:rsidP="00EA4087">
      <w:pPr>
        <w:pStyle w:val="Bibliography"/>
        <w:spacing w:line="276" w:lineRule="auto"/>
        <w:rPr>
          <w:sz w:val="24"/>
          <w:szCs w:val="24"/>
        </w:rPr>
      </w:pPr>
      <w:r w:rsidRPr="005032C2">
        <w:rPr>
          <w:sz w:val="24"/>
          <w:szCs w:val="24"/>
        </w:rPr>
        <w:t>FTSE Russell, 2018. Surveying the UK equity market and economic landscape (Research). FTSE Russell.</w:t>
      </w:r>
    </w:p>
    <w:p w14:paraId="571EB029" w14:textId="77777777" w:rsidR="0017469B" w:rsidRPr="005032C2" w:rsidRDefault="0017469B" w:rsidP="00EA4087">
      <w:pPr>
        <w:pStyle w:val="Bibliography"/>
        <w:spacing w:line="276" w:lineRule="auto"/>
        <w:rPr>
          <w:sz w:val="24"/>
          <w:szCs w:val="24"/>
        </w:rPr>
      </w:pPr>
      <w:r w:rsidRPr="005032C2">
        <w:rPr>
          <w:sz w:val="24"/>
          <w:szCs w:val="24"/>
        </w:rPr>
        <w:t>FTSE Russell, 2017. FTSE UK Index Series - An Accurate and Conistant Measurement of the UK Equity Market (History and Heritage). FTSE Russell.</w:t>
      </w:r>
    </w:p>
    <w:p w14:paraId="4F5905D0" w14:textId="77777777" w:rsidR="0017469B" w:rsidRPr="005032C2" w:rsidRDefault="0017469B" w:rsidP="00EA4087">
      <w:pPr>
        <w:pStyle w:val="Bibliography"/>
        <w:spacing w:line="276" w:lineRule="auto"/>
        <w:rPr>
          <w:sz w:val="24"/>
          <w:szCs w:val="24"/>
        </w:rPr>
      </w:pPr>
      <w:r w:rsidRPr="005032C2">
        <w:rPr>
          <w:sz w:val="24"/>
          <w:szCs w:val="24"/>
        </w:rPr>
        <w:t>Gough, L., 2011. How the Stock Market Really Works: FT Guide to How the Stock Market Really Works, 5th edition. ed. FT Publishing International, Chichester, West Sussex, UK ; New York.</w:t>
      </w:r>
    </w:p>
    <w:p w14:paraId="2540CC23" w14:textId="77777777" w:rsidR="0017469B" w:rsidRPr="005032C2" w:rsidRDefault="0017469B" w:rsidP="00EA4087">
      <w:pPr>
        <w:pStyle w:val="Bibliography"/>
        <w:spacing w:line="276" w:lineRule="auto"/>
        <w:rPr>
          <w:sz w:val="24"/>
          <w:szCs w:val="24"/>
        </w:rPr>
      </w:pPr>
      <w:r w:rsidRPr="005032C2">
        <w:rPr>
          <w:sz w:val="24"/>
          <w:szCs w:val="24"/>
        </w:rPr>
        <w:t>Gourieroux, C., Jasiak, J., 2001. Dynamic Qualitative Processes, in: Financial Econometrics, Problems, Models, and Methods. Princeton University Press, pp. 219–240. https://doi.org/10.2307/j.ctv9hvt42.13</w:t>
      </w:r>
    </w:p>
    <w:p w14:paraId="41E430CF" w14:textId="77777777" w:rsidR="0017469B" w:rsidRPr="005032C2" w:rsidRDefault="0017469B" w:rsidP="00EA4087">
      <w:pPr>
        <w:pStyle w:val="Bibliography"/>
        <w:spacing w:line="276" w:lineRule="auto"/>
        <w:rPr>
          <w:sz w:val="24"/>
          <w:szCs w:val="24"/>
        </w:rPr>
      </w:pPr>
      <w:r w:rsidRPr="005032C2">
        <w:rPr>
          <w:sz w:val="24"/>
          <w:szCs w:val="24"/>
        </w:rPr>
        <w:lastRenderedPageBreak/>
        <w:t>Gouzoulis, G., Galanis, G., 2021. The impact of financialisation on public health in times of COVID-19 and beyond. Sociology of Health &amp; Illness 43, 1328–1334. https://doi.org/10.1111/1467-9566.13305</w:t>
      </w:r>
    </w:p>
    <w:p w14:paraId="6A3143B9" w14:textId="77777777" w:rsidR="0017469B" w:rsidRPr="005032C2" w:rsidRDefault="0017469B" w:rsidP="00EA4087">
      <w:pPr>
        <w:pStyle w:val="Bibliography"/>
        <w:spacing w:line="276" w:lineRule="auto"/>
        <w:rPr>
          <w:sz w:val="24"/>
          <w:szCs w:val="24"/>
        </w:rPr>
      </w:pPr>
      <w:r w:rsidRPr="005032C2">
        <w:rPr>
          <w:sz w:val="24"/>
          <w:szCs w:val="24"/>
        </w:rPr>
        <w:t>Griffith, R., Levell, P., Stroud, R., 2020. BN276: The impact of COVID-19 on share prices in the UK (Briefing Note No. IFS BN276). Insititute for Fiscal Studies.</w:t>
      </w:r>
    </w:p>
    <w:p w14:paraId="7EFFF7D4" w14:textId="77777777" w:rsidR="0017469B" w:rsidRPr="005032C2" w:rsidRDefault="0017469B" w:rsidP="00EA4087">
      <w:pPr>
        <w:pStyle w:val="Bibliography"/>
        <w:spacing w:line="276" w:lineRule="auto"/>
        <w:rPr>
          <w:sz w:val="24"/>
          <w:szCs w:val="24"/>
        </w:rPr>
      </w:pPr>
      <w:r w:rsidRPr="005032C2">
        <w:rPr>
          <w:sz w:val="24"/>
          <w:szCs w:val="24"/>
        </w:rPr>
        <w:t>Güngör, A., Güngör, M.S., 2022. The Dynamic Connectedness Between Global Macroeconomic Risks and International Stock Markets: A Diagonal BEKK Approach, in: Sharma, R., Mehta, K. (Eds.), Handbook of Research on Stock Market Investment Practices and Portfolio Management. IGI Global, Hershey, PA, USA, pp. 283–300. https://doi.org/10.4018/978-1-6684-5528-9.ch015</w:t>
      </w:r>
    </w:p>
    <w:p w14:paraId="3CD3883C" w14:textId="77777777" w:rsidR="0017469B" w:rsidRPr="005032C2" w:rsidRDefault="0017469B" w:rsidP="00EA4087">
      <w:pPr>
        <w:pStyle w:val="Bibliography"/>
        <w:spacing w:line="276" w:lineRule="auto"/>
        <w:rPr>
          <w:sz w:val="24"/>
          <w:szCs w:val="24"/>
        </w:rPr>
      </w:pPr>
      <w:r w:rsidRPr="005032C2">
        <w:rPr>
          <w:sz w:val="24"/>
          <w:szCs w:val="24"/>
        </w:rPr>
        <w:t>Gunnars, K., 2023. Negative P/E Ratio: Definition and What It Shows. Stock Analysis. URL https://stockanalysis.com/article/negative-pe-ratio/ (accessed 7.23.23).</w:t>
      </w:r>
    </w:p>
    <w:p w14:paraId="1A1E482E" w14:textId="77777777" w:rsidR="0017469B" w:rsidRPr="005032C2" w:rsidRDefault="0017469B" w:rsidP="00EA4087">
      <w:pPr>
        <w:pStyle w:val="Bibliography"/>
        <w:spacing w:line="276" w:lineRule="auto"/>
        <w:rPr>
          <w:sz w:val="24"/>
          <w:szCs w:val="24"/>
        </w:rPr>
      </w:pPr>
      <w:r w:rsidRPr="005032C2">
        <w:rPr>
          <w:sz w:val="24"/>
          <w:szCs w:val="24"/>
        </w:rPr>
        <w:t>HM Government, 2020. Supply and demand of transport fuels during COVID-19 (No. September 2020), Energy Trends. HM Government UK.</w:t>
      </w:r>
    </w:p>
    <w:p w14:paraId="16C3D325" w14:textId="77777777" w:rsidR="0017469B" w:rsidRPr="005032C2" w:rsidRDefault="0017469B" w:rsidP="00EA4087">
      <w:pPr>
        <w:pStyle w:val="Bibliography"/>
        <w:spacing w:line="276" w:lineRule="auto"/>
        <w:rPr>
          <w:sz w:val="24"/>
          <w:szCs w:val="24"/>
        </w:rPr>
      </w:pPr>
      <w:r w:rsidRPr="005032C2">
        <w:rPr>
          <w:sz w:val="24"/>
          <w:szCs w:val="24"/>
        </w:rPr>
        <w:t>Hondroyiannis, G., Papapetrou, E., 2001. Macroeconomic influences on the stock market. J Econ Finan 25, 33–49. https://doi.org/10.1007/BF02759685</w:t>
      </w:r>
    </w:p>
    <w:p w14:paraId="71880263" w14:textId="77777777" w:rsidR="0017469B" w:rsidRPr="005032C2" w:rsidRDefault="0017469B" w:rsidP="00EA4087">
      <w:pPr>
        <w:pStyle w:val="Bibliography"/>
        <w:spacing w:line="276" w:lineRule="auto"/>
        <w:rPr>
          <w:sz w:val="24"/>
          <w:szCs w:val="24"/>
        </w:rPr>
      </w:pPr>
      <w:r w:rsidRPr="005032C2">
        <w:rPr>
          <w:sz w:val="24"/>
          <w:szCs w:val="24"/>
        </w:rPr>
        <w:t>House of Commons Public Accounts Committee, 2021. COVID-19: Government procurement and supply of personal protective equipment. House of Commons.</w:t>
      </w:r>
    </w:p>
    <w:p w14:paraId="09D088E7" w14:textId="77777777" w:rsidR="0017469B" w:rsidRPr="005032C2" w:rsidRDefault="0017469B" w:rsidP="00EA4087">
      <w:pPr>
        <w:pStyle w:val="Bibliography"/>
        <w:spacing w:line="276" w:lineRule="auto"/>
        <w:rPr>
          <w:sz w:val="24"/>
          <w:szCs w:val="24"/>
        </w:rPr>
      </w:pPr>
      <w:r w:rsidRPr="005032C2">
        <w:rPr>
          <w:sz w:val="24"/>
          <w:szCs w:val="24"/>
        </w:rPr>
        <w:t>Hutton, G., Ward, M., 2022. Business statistics (Research Briefing No. CBP 06152). House of Commons Library, House of Commons.</w:t>
      </w:r>
    </w:p>
    <w:p w14:paraId="2020BFD7" w14:textId="77777777" w:rsidR="0017469B" w:rsidRPr="005032C2" w:rsidRDefault="0017469B" w:rsidP="00EA4087">
      <w:pPr>
        <w:pStyle w:val="Bibliography"/>
        <w:spacing w:line="276" w:lineRule="auto"/>
        <w:rPr>
          <w:sz w:val="24"/>
          <w:szCs w:val="24"/>
        </w:rPr>
      </w:pPr>
      <w:r w:rsidRPr="005032C2">
        <w:rPr>
          <w:sz w:val="24"/>
          <w:szCs w:val="24"/>
        </w:rPr>
        <w:t>Illan, I., 2021. Think The Stock Market Is A Leading Economic Indicator? Think Again. Forbes.</w:t>
      </w:r>
    </w:p>
    <w:p w14:paraId="236C5E3E" w14:textId="77777777" w:rsidR="0017469B" w:rsidRPr="005032C2" w:rsidRDefault="0017469B" w:rsidP="00EA4087">
      <w:pPr>
        <w:pStyle w:val="Bibliography"/>
        <w:spacing w:line="276" w:lineRule="auto"/>
        <w:rPr>
          <w:sz w:val="24"/>
          <w:szCs w:val="24"/>
        </w:rPr>
      </w:pPr>
      <w:r w:rsidRPr="005032C2">
        <w:rPr>
          <w:sz w:val="24"/>
          <w:szCs w:val="24"/>
        </w:rPr>
        <w:t>Information Resources Management Association, 2018. Global Business Expansion: Concepts, Methodologies, Tools, and Applications, https://services-igi-global-com.ezproxy.uwtsd.ac.uk/resolvedoi/resolve.aspx?doi=10.4018/978-1-5225-5481-3. IGI Global.</w:t>
      </w:r>
    </w:p>
    <w:p w14:paraId="0F6840C6" w14:textId="77777777" w:rsidR="0017469B" w:rsidRPr="005032C2" w:rsidRDefault="0017469B" w:rsidP="00EA4087">
      <w:pPr>
        <w:pStyle w:val="Bibliography"/>
        <w:spacing w:line="276" w:lineRule="auto"/>
        <w:rPr>
          <w:sz w:val="24"/>
          <w:szCs w:val="24"/>
        </w:rPr>
      </w:pPr>
      <w:r w:rsidRPr="005032C2">
        <w:rPr>
          <w:sz w:val="24"/>
          <w:szCs w:val="24"/>
        </w:rPr>
        <w:t>Information Resources Management Association, 2012. Data Mining: Concepts, Methodologies, Tools, and Applications: Concepts, Methodologies, Tools, and Applications. IGI Global.</w:t>
      </w:r>
    </w:p>
    <w:p w14:paraId="2D89B403" w14:textId="77777777" w:rsidR="0017469B" w:rsidRPr="005032C2" w:rsidRDefault="0017469B" w:rsidP="00EA4087">
      <w:pPr>
        <w:pStyle w:val="Bibliography"/>
        <w:spacing w:line="276" w:lineRule="auto"/>
        <w:rPr>
          <w:sz w:val="24"/>
          <w:szCs w:val="24"/>
        </w:rPr>
      </w:pPr>
      <w:r w:rsidRPr="005032C2">
        <w:rPr>
          <w:sz w:val="24"/>
          <w:szCs w:val="24"/>
        </w:rPr>
        <w:t>Institute for Government, 2021. Timeline of UK government coronavirus lockdowns and restrictions [WWW Document]. The Institute for Government. URL https://www.instituteforgovernment.org.uk/charts/uk-government-coronavirus-lockdowns (accessed 5.28.23).</w:t>
      </w:r>
    </w:p>
    <w:p w14:paraId="16CBA6E4" w14:textId="77777777" w:rsidR="0017469B" w:rsidRPr="005032C2" w:rsidRDefault="0017469B" w:rsidP="00EA4087">
      <w:pPr>
        <w:pStyle w:val="Bibliography"/>
        <w:spacing w:line="276" w:lineRule="auto"/>
        <w:rPr>
          <w:sz w:val="24"/>
          <w:szCs w:val="24"/>
        </w:rPr>
      </w:pPr>
      <w:r w:rsidRPr="005032C2">
        <w:rPr>
          <w:sz w:val="24"/>
          <w:szCs w:val="24"/>
        </w:rPr>
        <w:t>International Energy Agency, 2021. Covid-19 impact on electricity [WWW Document]. IEA. URL https://www.iea.org/reports/covid-19-impact-on-electricity (accessed 7.29.23).</w:t>
      </w:r>
    </w:p>
    <w:p w14:paraId="1DCE3D77" w14:textId="77777777" w:rsidR="0017469B" w:rsidRPr="005032C2" w:rsidRDefault="0017469B" w:rsidP="00EA4087">
      <w:pPr>
        <w:pStyle w:val="Bibliography"/>
        <w:spacing w:line="276" w:lineRule="auto"/>
        <w:rPr>
          <w:sz w:val="24"/>
          <w:szCs w:val="24"/>
        </w:rPr>
      </w:pPr>
      <w:r w:rsidRPr="005032C2">
        <w:rPr>
          <w:sz w:val="24"/>
          <w:szCs w:val="24"/>
        </w:rPr>
        <w:t>International Monetary Fund, 2020. World Economic Outlook: The Great Lockdown. Washington DC.</w:t>
      </w:r>
    </w:p>
    <w:p w14:paraId="0C18C065" w14:textId="77777777" w:rsidR="0017469B" w:rsidRPr="005032C2" w:rsidRDefault="0017469B" w:rsidP="00EA4087">
      <w:pPr>
        <w:pStyle w:val="Bibliography"/>
        <w:spacing w:line="276" w:lineRule="auto"/>
        <w:rPr>
          <w:sz w:val="24"/>
          <w:szCs w:val="24"/>
        </w:rPr>
      </w:pPr>
      <w:r w:rsidRPr="005032C2">
        <w:rPr>
          <w:sz w:val="24"/>
          <w:szCs w:val="24"/>
        </w:rPr>
        <w:t>Jacobides, M.G., Reeves, M., 2020. Adapt Your Business to the New Reality. Harvard Business Review.</w:t>
      </w:r>
    </w:p>
    <w:p w14:paraId="2C99A514" w14:textId="77777777" w:rsidR="0017469B" w:rsidRPr="005032C2" w:rsidRDefault="0017469B" w:rsidP="00EA4087">
      <w:pPr>
        <w:pStyle w:val="Bibliography"/>
        <w:spacing w:line="276" w:lineRule="auto"/>
        <w:rPr>
          <w:sz w:val="24"/>
          <w:szCs w:val="24"/>
        </w:rPr>
      </w:pPr>
      <w:r w:rsidRPr="005032C2">
        <w:rPr>
          <w:sz w:val="24"/>
          <w:szCs w:val="24"/>
        </w:rPr>
        <w:t>Jawadi, F., Sellami, M., 2022. On the effect of oil price in the context of Covid-19. International Journal of Finance &amp; Economics 27, 3924–3933. https://doi.org/10.1002/ijfe.2195</w:t>
      </w:r>
    </w:p>
    <w:p w14:paraId="1D5EC78F" w14:textId="77777777" w:rsidR="0017469B" w:rsidRPr="005032C2" w:rsidRDefault="0017469B" w:rsidP="00EA4087">
      <w:pPr>
        <w:pStyle w:val="Bibliography"/>
        <w:spacing w:line="276" w:lineRule="auto"/>
        <w:rPr>
          <w:sz w:val="24"/>
          <w:szCs w:val="24"/>
        </w:rPr>
      </w:pPr>
      <w:r w:rsidRPr="005032C2">
        <w:rPr>
          <w:sz w:val="24"/>
          <w:szCs w:val="24"/>
        </w:rPr>
        <w:lastRenderedPageBreak/>
        <w:t>JD Wetherspoon Plc., 2020. Annual Report and Financial Statements 2020 (Annual Report). JD Wetherspoon Plc.</w:t>
      </w:r>
    </w:p>
    <w:p w14:paraId="581A83E0" w14:textId="77777777" w:rsidR="0017469B" w:rsidRPr="005032C2" w:rsidRDefault="0017469B" w:rsidP="00EA4087">
      <w:pPr>
        <w:pStyle w:val="Bibliography"/>
        <w:spacing w:line="276" w:lineRule="auto"/>
        <w:rPr>
          <w:sz w:val="24"/>
          <w:szCs w:val="24"/>
        </w:rPr>
      </w:pPr>
      <w:r w:rsidRPr="005032C2">
        <w:rPr>
          <w:sz w:val="24"/>
          <w:szCs w:val="24"/>
        </w:rPr>
        <w:t>Jopson, B., 2005. FTSE 100 results fuel suspicion of manipulation. The Financial Times.</w:t>
      </w:r>
    </w:p>
    <w:p w14:paraId="0C421ACB" w14:textId="77777777" w:rsidR="0017469B" w:rsidRPr="005032C2" w:rsidRDefault="0017469B" w:rsidP="00EA4087">
      <w:pPr>
        <w:pStyle w:val="Bibliography"/>
        <w:spacing w:line="276" w:lineRule="auto"/>
        <w:rPr>
          <w:sz w:val="24"/>
          <w:szCs w:val="24"/>
        </w:rPr>
      </w:pPr>
      <w:r w:rsidRPr="005032C2">
        <w:rPr>
          <w:sz w:val="24"/>
          <w:szCs w:val="24"/>
        </w:rPr>
        <w:t>Jorge, S., Dabbicco, G., Aggestam-Pontoppidan, C., Vaz de Lima, D., 2022. New development: The development of standardized charts of accounts in public sector accounting. Public Money &amp; Management 42, 530–533. https://doi.org/10.1080/09540962.2022.2106680</w:t>
      </w:r>
    </w:p>
    <w:p w14:paraId="5F0A9F3B" w14:textId="77777777" w:rsidR="0017469B" w:rsidRPr="005032C2" w:rsidRDefault="0017469B" w:rsidP="00EA4087">
      <w:pPr>
        <w:pStyle w:val="Bibliography"/>
        <w:spacing w:line="276" w:lineRule="auto"/>
        <w:rPr>
          <w:sz w:val="24"/>
          <w:szCs w:val="24"/>
        </w:rPr>
      </w:pPr>
      <w:r w:rsidRPr="005032C2">
        <w:rPr>
          <w:sz w:val="24"/>
          <w:szCs w:val="24"/>
        </w:rPr>
        <w:t>Kalayci, S., Karatas, A., Coskun, A., Kirtas, A., 2005. Financial Ratio Classification and Sub-sector Discrimination of Manufacturing Firms Evidence from an Emerging Market. The journal of entrepreneurial finance 10, 103–125. https://doi.org/10.57229/2373-1761.1227</w:t>
      </w:r>
    </w:p>
    <w:p w14:paraId="358B9132" w14:textId="77777777" w:rsidR="0017469B" w:rsidRPr="005032C2" w:rsidRDefault="0017469B" w:rsidP="00EA4087">
      <w:pPr>
        <w:pStyle w:val="Bibliography"/>
        <w:spacing w:line="276" w:lineRule="auto"/>
        <w:rPr>
          <w:sz w:val="24"/>
          <w:szCs w:val="24"/>
        </w:rPr>
      </w:pPr>
      <w:r w:rsidRPr="005032C2">
        <w:rPr>
          <w:sz w:val="24"/>
          <w:szCs w:val="24"/>
        </w:rPr>
        <w:t>Kaluge, D., Tufail, M.S., Muneer, S., 2016. MULTIFACTOR ON MACROECONOMIC FUNDAMENTALS TO EXPLAIN THE BEHAVIOR OF SECTORAL INDICES IN INDONESIAN STOCK EXCHANGE. City University Research Journal, suppl. Special Issue: AIC, Malaysia 276–282.</w:t>
      </w:r>
    </w:p>
    <w:p w14:paraId="464E012F" w14:textId="77777777" w:rsidR="0017469B" w:rsidRPr="005032C2" w:rsidRDefault="0017469B" w:rsidP="00EA4087">
      <w:pPr>
        <w:pStyle w:val="Bibliography"/>
        <w:spacing w:line="276" w:lineRule="auto"/>
        <w:rPr>
          <w:sz w:val="24"/>
          <w:szCs w:val="24"/>
        </w:rPr>
      </w:pPr>
      <w:r w:rsidRPr="005032C2">
        <w:rPr>
          <w:sz w:val="24"/>
          <w:szCs w:val="24"/>
        </w:rPr>
        <w:t>Karim, Md.R., Shetu, S.A., Razia, S., 2021. COVID-19, liquidity and financial health: empirical evidence from South Asian economy. Asian Journal of Economics and Banking 5, 307–323. https://doi.org/10.1108/AJEB-03-2021-0033</w:t>
      </w:r>
    </w:p>
    <w:p w14:paraId="39902FA2" w14:textId="77777777" w:rsidR="0017469B" w:rsidRPr="005032C2" w:rsidRDefault="0017469B" w:rsidP="00EA4087">
      <w:pPr>
        <w:pStyle w:val="Bibliography"/>
        <w:spacing w:line="276" w:lineRule="auto"/>
        <w:rPr>
          <w:sz w:val="24"/>
          <w:szCs w:val="24"/>
        </w:rPr>
      </w:pPr>
      <w:r w:rsidRPr="005032C2">
        <w:rPr>
          <w:sz w:val="24"/>
          <w:szCs w:val="24"/>
        </w:rPr>
        <w:t>Kawka, E., Cetin, K., 2021. Impacts of COVID-19 on residential building energy use and performance. Building and Environment 205, 108200. https://doi.org/10.1016/j.buildenv.2021.108200</w:t>
      </w:r>
    </w:p>
    <w:p w14:paraId="6B801F3C" w14:textId="77777777" w:rsidR="0017469B" w:rsidRPr="005032C2" w:rsidRDefault="0017469B" w:rsidP="00EA4087">
      <w:pPr>
        <w:pStyle w:val="Bibliography"/>
        <w:spacing w:line="276" w:lineRule="auto"/>
        <w:rPr>
          <w:sz w:val="24"/>
          <w:szCs w:val="24"/>
        </w:rPr>
      </w:pPr>
      <w:r w:rsidRPr="005032C2">
        <w:rPr>
          <w:sz w:val="24"/>
          <w:szCs w:val="24"/>
        </w:rPr>
        <w:t>Keep, M., 2022. Economic update: Economy was back to pre-pandemic level before Omicron. House of Commons Library, Insight.</w:t>
      </w:r>
    </w:p>
    <w:p w14:paraId="2D3B2248" w14:textId="77777777" w:rsidR="0017469B" w:rsidRPr="005032C2" w:rsidRDefault="0017469B" w:rsidP="00EA4087">
      <w:pPr>
        <w:pStyle w:val="Bibliography"/>
        <w:spacing w:line="276" w:lineRule="auto"/>
        <w:rPr>
          <w:sz w:val="24"/>
          <w:szCs w:val="24"/>
        </w:rPr>
      </w:pPr>
      <w:r w:rsidRPr="005032C2">
        <w:rPr>
          <w:sz w:val="24"/>
          <w:szCs w:val="24"/>
        </w:rPr>
        <w:t>Kolitz, D., 2023. Analysis of Financial Statements, in: A Concepts-Based Introduction to Financial Accounting. Juta &amp; Company, Limited, Cape Town, SOUTH AFRICA, pp. 585–641.</w:t>
      </w:r>
    </w:p>
    <w:p w14:paraId="509EE3C5" w14:textId="77777777" w:rsidR="0017469B" w:rsidRPr="005032C2" w:rsidRDefault="0017469B" w:rsidP="00EA4087">
      <w:pPr>
        <w:pStyle w:val="Bibliography"/>
        <w:spacing w:line="276" w:lineRule="auto"/>
        <w:rPr>
          <w:sz w:val="24"/>
          <w:szCs w:val="24"/>
        </w:rPr>
      </w:pPr>
      <w:r w:rsidRPr="005032C2">
        <w:rPr>
          <w:sz w:val="24"/>
          <w:szCs w:val="24"/>
        </w:rPr>
        <w:t>Konchitchki, Y., 2011. Inflation and Nominal Financial Reporting: Implications for Performance and Stock Prices. The Accounting Review 86, 1045–1085. https://doi.org/10.2308/accr.00000044</w:t>
      </w:r>
    </w:p>
    <w:p w14:paraId="7A94DE92" w14:textId="77777777" w:rsidR="0017469B" w:rsidRPr="005032C2" w:rsidRDefault="0017469B" w:rsidP="00EA4087">
      <w:pPr>
        <w:pStyle w:val="Bibliography"/>
        <w:spacing w:line="276" w:lineRule="auto"/>
        <w:rPr>
          <w:sz w:val="24"/>
          <w:szCs w:val="24"/>
        </w:rPr>
      </w:pPr>
      <w:r w:rsidRPr="005032C2">
        <w:rPr>
          <w:sz w:val="24"/>
          <w:szCs w:val="24"/>
        </w:rPr>
        <w:t>KPMG, 2023. Data &amp; Analytics - KPMG Global [WWW Document]. KPMG. URL https://kpmg.com/xx/en/home/services/tax/global-indirect-tax/data-and-analytics.html (accessed 7.23.23).</w:t>
      </w:r>
    </w:p>
    <w:p w14:paraId="3C2B775B" w14:textId="77777777" w:rsidR="0017469B" w:rsidRPr="005032C2" w:rsidRDefault="0017469B" w:rsidP="00EA4087">
      <w:pPr>
        <w:pStyle w:val="Bibliography"/>
        <w:spacing w:line="276" w:lineRule="auto"/>
        <w:rPr>
          <w:sz w:val="24"/>
          <w:szCs w:val="24"/>
        </w:rPr>
      </w:pPr>
      <w:r w:rsidRPr="005032C2">
        <w:rPr>
          <w:sz w:val="24"/>
          <w:szCs w:val="24"/>
        </w:rPr>
        <w:t>Latridis, G., 2010. International Financial Reporting Standards and the quality of financial statement information. International Review of Financial Analysis 19, 193–204. https://doi.org/10.1016/j.irfa.2010.02.004</w:t>
      </w:r>
    </w:p>
    <w:p w14:paraId="6A8EC2AF" w14:textId="77777777" w:rsidR="0017469B" w:rsidRPr="005032C2" w:rsidRDefault="0017469B" w:rsidP="00EA4087">
      <w:pPr>
        <w:pStyle w:val="Bibliography"/>
        <w:spacing w:line="276" w:lineRule="auto"/>
        <w:rPr>
          <w:sz w:val="24"/>
          <w:szCs w:val="24"/>
        </w:rPr>
      </w:pPr>
      <w:r w:rsidRPr="005032C2">
        <w:rPr>
          <w:sz w:val="24"/>
          <w:szCs w:val="24"/>
        </w:rPr>
        <w:t>Law, J., 2016. A Dictionary of Accounting, Oxford Quick Reference. University Press, Incorporated, Oxford.</w:t>
      </w:r>
    </w:p>
    <w:p w14:paraId="01CFB19C" w14:textId="77777777" w:rsidR="0017469B" w:rsidRPr="005032C2" w:rsidRDefault="0017469B" w:rsidP="00EA4087">
      <w:pPr>
        <w:pStyle w:val="Bibliography"/>
        <w:spacing w:line="276" w:lineRule="auto"/>
        <w:rPr>
          <w:sz w:val="24"/>
          <w:szCs w:val="24"/>
        </w:rPr>
      </w:pPr>
      <w:r w:rsidRPr="005032C2">
        <w:rPr>
          <w:sz w:val="24"/>
          <w:szCs w:val="24"/>
        </w:rPr>
        <w:t>Law, J.L., 2016. chart of accounts, in: Law, J. (Ed.), A Dictionary of Accounting. Oxford University Press.</w:t>
      </w:r>
    </w:p>
    <w:p w14:paraId="17DD4EB8" w14:textId="77777777" w:rsidR="0017469B" w:rsidRPr="005032C2" w:rsidRDefault="0017469B" w:rsidP="00EA4087">
      <w:pPr>
        <w:pStyle w:val="Bibliography"/>
        <w:spacing w:line="276" w:lineRule="auto"/>
        <w:rPr>
          <w:sz w:val="24"/>
          <w:szCs w:val="24"/>
        </w:rPr>
      </w:pPr>
      <w:r w:rsidRPr="005032C2">
        <w:rPr>
          <w:sz w:val="24"/>
          <w:szCs w:val="24"/>
        </w:rPr>
        <w:t>Lawder, K.E., 1989. Ratios 101: Back To The Basics Of Financial Analysis. Business Credit 91, 28.</w:t>
      </w:r>
    </w:p>
    <w:p w14:paraId="2021A04C" w14:textId="77777777" w:rsidR="0017469B" w:rsidRPr="005032C2" w:rsidRDefault="0017469B" w:rsidP="00EA4087">
      <w:pPr>
        <w:pStyle w:val="Bibliography"/>
        <w:spacing w:line="276" w:lineRule="auto"/>
        <w:rPr>
          <w:sz w:val="24"/>
          <w:szCs w:val="24"/>
        </w:rPr>
      </w:pPr>
      <w:r w:rsidRPr="005032C2">
        <w:rPr>
          <w:sz w:val="24"/>
          <w:szCs w:val="24"/>
        </w:rPr>
        <w:lastRenderedPageBreak/>
        <w:t>Leach, A., Rivers, N., Shaffer, B., 2020. Canadian Electricity Markets during the COVID-19 Pandemic: An Initial Assessment. Canadian Public Policy / Analyse de Politiques 46, S145–S159.</w:t>
      </w:r>
    </w:p>
    <w:p w14:paraId="450F379C" w14:textId="77777777" w:rsidR="0017469B" w:rsidRPr="005032C2" w:rsidRDefault="0017469B" w:rsidP="00EA4087">
      <w:pPr>
        <w:pStyle w:val="Bibliography"/>
        <w:spacing w:line="276" w:lineRule="auto"/>
        <w:rPr>
          <w:sz w:val="24"/>
          <w:szCs w:val="24"/>
        </w:rPr>
      </w:pPr>
      <w:r w:rsidRPr="005032C2">
        <w:rPr>
          <w:sz w:val="24"/>
          <w:szCs w:val="24"/>
        </w:rPr>
        <w:t>Lee, U., Kang, N., Lee, I., 2020. Choice data generation using usage scenarios and discounted cash flow analysis. Journal of Choice Modelling 37, 100250. https://doi.org/10.1016/j.jocm.2020.100250</w:t>
      </w:r>
    </w:p>
    <w:p w14:paraId="73D537C2" w14:textId="77777777" w:rsidR="0017469B" w:rsidRPr="005032C2" w:rsidRDefault="0017469B" w:rsidP="00EA4087">
      <w:pPr>
        <w:pStyle w:val="Bibliography"/>
        <w:spacing w:line="276" w:lineRule="auto"/>
        <w:rPr>
          <w:sz w:val="24"/>
          <w:szCs w:val="24"/>
        </w:rPr>
      </w:pPr>
      <w:r w:rsidRPr="005032C2">
        <w:rPr>
          <w:sz w:val="24"/>
          <w:szCs w:val="24"/>
        </w:rPr>
        <w:t>Lhabitant, F.-S., Gregoriou, G.N., 2008. Stock Market Liquidity: Implications for Market Microstructure and Asset Pricing. John Wiley &amp; Sons.</w:t>
      </w:r>
    </w:p>
    <w:p w14:paraId="55C8F062" w14:textId="77777777" w:rsidR="0017469B" w:rsidRPr="005032C2" w:rsidRDefault="0017469B" w:rsidP="00EA4087">
      <w:pPr>
        <w:pStyle w:val="Bibliography"/>
        <w:spacing w:line="276" w:lineRule="auto"/>
        <w:rPr>
          <w:sz w:val="24"/>
          <w:szCs w:val="24"/>
        </w:rPr>
      </w:pPr>
      <w:r w:rsidRPr="005032C2">
        <w:rPr>
          <w:sz w:val="24"/>
          <w:szCs w:val="24"/>
        </w:rPr>
        <w:t>Liebowitz, J., 2020. The Business of Pandemics: The COVID-19 Story. Auerbach Publishers, Incorporated, Milton, UNITED KINGDOM.</w:t>
      </w:r>
    </w:p>
    <w:p w14:paraId="18BAB074" w14:textId="77777777" w:rsidR="0017469B" w:rsidRPr="005032C2" w:rsidRDefault="0017469B" w:rsidP="00EA4087">
      <w:pPr>
        <w:pStyle w:val="Bibliography"/>
        <w:spacing w:line="276" w:lineRule="auto"/>
        <w:rPr>
          <w:sz w:val="24"/>
          <w:szCs w:val="24"/>
        </w:rPr>
      </w:pPr>
      <w:r w:rsidRPr="005032C2">
        <w:rPr>
          <w:sz w:val="24"/>
          <w:szCs w:val="24"/>
        </w:rPr>
        <w:t>Lin, F., Liang, D., Chen, E., 2011. Financial ratio selection for business crisis prediction. Expert Systems with Applications 38, 15094–15102. https://doi.org/10.1016/j.eswa.2011.05.035</w:t>
      </w:r>
    </w:p>
    <w:p w14:paraId="4D10053E" w14:textId="77777777" w:rsidR="0017469B" w:rsidRPr="005032C2" w:rsidRDefault="0017469B" w:rsidP="00EA4087">
      <w:pPr>
        <w:pStyle w:val="Bibliography"/>
        <w:spacing w:line="276" w:lineRule="auto"/>
        <w:rPr>
          <w:sz w:val="24"/>
          <w:szCs w:val="24"/>
        </w:rPr>
      </w:pPr>
      <w:r w:rsidRPr="005032C2">
        <w:rPr>
          <w:sz w:val="24"/>
          <w:szCs w:val="24"/>
        </w:rPr>
        <w:t>London Stock Exchange, 2023. Raise finance - Resources [WWW Document]. London Stock Exchange. URL https://www.londonstockexchange.com/resources/about:blank (accessed 7.23.23).</w:t>
      </w:r>
    </w:p>
    <w:p w14:paraId="7AA5F0B7" w14:textId="77777777" w:rsidR="0017469B" w:rsidRPr="005032C2" w:rsidRDefault="0017469B" w:rsidP="00EA4087">
      <w:pPr>
        <w:pStyle w:val="Bibliography"/>
        <w:spacing w:line="276" w:lineRule="auto"/>
        <w:rPr>
          <w:sz w:val="24"/>
          <w:szCs w:val="24"/>
        </w:rPr>
      </w:pPr>
      <w:r w:rsidRPr="005032C2">
        <w:rPr>
          <w:sz w:val="24"/>
          <w:szCs w:val="24"/>
        </w:rPr>
        <w:t>London Stock Exchange, 2022a. FTSE 250 constituents [WWW Document]. London Stock Exchange. URL https://www.londonstockexchange.com/market-stock/13IR/daimler-ag/analysis (accessed 1.23.22).</w:t>
      </w:r>
    </w:p>
    <w:p w14:paraId="4B108A7A" w14:textId="77777777" w:rsidR="0017469B" w:rsidRPr="005032C2" w:rsidRDefault="0017469B" w:rsidP="00EA4087">
      <w:pPr>
        <w:pStyle w:val="Bibliography"/>
        <w:spacing w:line="276" w:lineRule="auto"/>
        <w:rPr>
          <w:sz w:val="24"/>
          <w:szCs w:val="24"/>
        </w:rPr>
      </w:pPr>
      <w:r w:rsidRPr="005032C2">
        <w:rPr>
          <w:sz w:val="24"/>
          <w:szCs w:val="24"/>
        </w:rPr>
        <w:t>London Stock Exchange, 2022b. FTSE 250 News and Prices [WWW Document]. URL https://www.londonstockexchange.com/indices/about:blank (accessed 9.4.22).</w:t>
      </w:r>
    </w:p>
    <w:p w14:paraId="549D36AC" w14:textId="77777777" w:rsidR="0017469B" w:rsidRPr="005032C2" w:rsidRDefault="0017469B" w:rsidP="00EA4087">
      <w:pPr>
        <w:pStyle w:val="Bibliography"/>
        <w:spacing w:line="276" w:lineRule="auto"/>
        <w:rPr>
          <w:sz w:val="24"/>
          <w:szCs w:val="24"/>
        </w:rPr>
      </w:pPr>
      <w:r w:rsidRPr="005032C2">
        <w:rPr>
          <w:sz w:val="24"/>
          <w:szCs w:val="24"/>
        </w:rPr>
        <w:t>Lund, S., Madgavkar, A., Mischke, J., Remes, J., 2021. What’s next for consumers, workers, and companies in the post-COVID-19 recovery. McKinsey &amp; Company.</w:t>
      </w:r>
    </w:p>
    <w:p w14:paraId="2E4741D9" w14:textId="77777777" w:rsidR="0017469B" w:rsidRPr="005032C2" w:rsidRDefault="0017469B" w:rsidP="00EA4087">
      <w:pPr>
        <w:pStyle w:val="Bibliography"/>
        <w:spacing w:line="276" w:lineRule="auto"/>
        <w:rPr>
          <w:sz w:val="24"/>
          <w:szCs w:val="24"/>
        </w:rPr>
      </w:pPr>
      <w:r w:rsidRPr="005032C2">
        <w:rPr>
          <w:sz w:val="24"/>
          <w:szCs w:val="24"/>
        </w:rPr>
        <w:t>Marsh, C., 2012. Financial management for non-financial managers, Strategic success series. Kogan Page, London ;</w:t>
      </w:r>
    </w:p>
    <w:p w14:paraId="7EB5E1BE" w14:textId="77777777" w:rsidR="0017469B" w:rsidRPr="005032C2" w:rsidRDefault="0017469B" w:rsidP="00EA4087">
      <w:pPr>
        <w:pStyle w:val="Bibliography"/>
        <w:spacing w:line="276" w:lineRule="auto"/>
        <w:rPr>
          <w:sz w:val="24"/>
          <w:szCs w:val="24"/>
        </w:rPr>
      </w:pPr>
      <w:r w:rsidRPr="005032C2">
        <w:rPr>
          <w:sz w:val="24"/>
          <w:szCs w:val="24"/>
        </w:rPr>
        <w:t>McLaney, E.J., 2011. Business finance: theory and practice. Pearson Prentice Hall.</w:t>
      </w:r>
    </w:p>
    <w:p w14:paraId="22A233E8" w14:textId="77777777" w:rsidR="0017469B" w:rsidRPr="005032C2" w:rsidRDefault="0017469B" w:rsidP="00EA4087">
      <w:pPr>
        <w:pStyle w:val="Bibliography"/>
        <w:spacing w:line="276" w:lineRule="auto"/>
        <w:rPr>
          <w:sz w:val="24"/>
          <w:szCs w:val="24"/>
        </w:rPr>
      </w:pPr>
      <w:r w:rsidRPr="005032C2">
        <w:rPr>
          <w:sz w:val="24"/>
          <w:szCs w:val="24"/>
        </w:rPr>
        <w:t>Mcleay, S., Omar, A., 2000. THE SENSITIVITY OF PREDICTION MODELS TO THE NON-NORMALITY OF BOUNDED AND UNBOUNDED FINANCIAL RATIOS. The British Accounting Review 32, 213–230. https://doi.org/10.1006/bare.1999.0120</w:t>
      </w:r>
    </w:p>
    <w:p w14:paraId="43AE04C0" w14:textId="77777777" w:rsidR="0017469B" w:rsidRPr="005032C2" w:rsidRDefault="0017469B" w:rsidP="00EA4087">
      <w:pPr>
        <w:pStyle w:val="Bibliography"/>
        <w:spacing w:line="276" w:lineRule="auto"/>
        <w:rPr>
          <w:sz w:val="24"/>
          <w:szCs w:val="24"/>
        </w:rPr>
      </w:pPr>
      <w:r w:rsidRPr="005032C2">
        <w:rPr>
          <w:sz w:val="24"/>
          <w:szCs w:val="24"/>
        </w:rPr>
        <w:t>Megaw, N., 2017. FTSE 250 hits record high. Financial Times.</w:t>
      </w:r>
    </w:p>
    <w:p w14:paraId="05F91FCE" w14:textId="77777777" w:rsidR="0017469B" w:rsidRPr="005032C2" w:rsidRDefault="0017469B" w:rsidP="00EA4087">
      <w:pPr>
        <w:pStyle w:val="Bibliography"/>
        <w:spacing w:line="276" w:lineRule="auto"/>
        <w:rPr>
          <w:sz w:val="24"/>
          <w:szCs w:val="24"/>
        </w:rPr>
      </w:pPr>
      <w:r w:rsidRPr="005032C2">
        <w:rPr>
          <w:sz w:val="24"/>
          <w:szCs w:val="24"/>
        </w:rPr>
        <w:t>“Memories of disaster fade fast,” 2019. Memories of disaster fade fast. The Economist.</w:t>
      </w:r>
    </w:p>
    <w:p w14:paraId="4145E473" w14:textId="77777777" w:rsidR="0017469B" w:rsidRPr="005032C2" w:rsidRDefault="0017469B" w:rsidP="00EA4087">
      <w:pPr>
        <w:pStyle w:val="Bibliography"/>
        <w:spacing w:line="276" w:lineRule="auto"/>
        <w:rPr>
          <w:sz w:val="24"/>
          <w:szCs w:val="24"/>
        </w:rPr>
      </w:pPr>
      <w:r w:rsidRPr="005032C2">
        <w:rPr>
          <w:sz w:val="24"/>
          <w:szCs w:val="24"/>
        </w:rPr>
        <w:t>Meng, F., Gong, W., Liang, J., Li, X., Zeng, Y., Yang, L., 2021. Impact of different control policies for COVID-19 outbreak on the air transportation industry: A comparison between China, the U.S. and Singapore. PLoS ONE 16, 1–19. https://doi.org/10.1371/journal.pone.0248361</w:t>
      </w:r>
    </w:p>
    <w:p w14:paraId="3159D59D" w14:textId="77777777" w:rsidR="0017469B" w:rsidRPr="005032C2" w:rsidRDefault="0017469B" w:rsidP="00EA4087">
      <w:pPr>
        <w:pStyle w:val="Bibliography"/>
        <w:spacing w:line="276" w:lineRule="auto"/>
        <w:rPr>
          <w:sz w:val="24"/>
          <w:szCs w:val="24"/>
        </w:rPr>
      </w:pPr>
      <w:r w:rsidRPr="005032C2">
        <w:rPr>
          <w:sz w:val="24"/>
          <w:szCs w:val="24"/>
        </w:rPr>
        <w:t>Michie, R.C., 1999. The London Stock Exchange: A History. Oxford University Press.</w:t>
      </w:r>
    </w:p>
    <w:p w14:paraId="5E64A699" w14:textId="77777777" w:rsidR="0017469B" w:rsidRPr="005032C2" w:rsidRDefault="0017469B" w:rsidP="00EA4087">
      <w:pPr>
        <w:pStyle w:val="Bibliography"/>
        <w:spacing w:line="276" w:lineRule="auto"/>
        <w:rPr>
          <w:sz w:val="24"/>
          <w:szCs w:val="24"/>
        </w:rPr>
      </w:pPr>
      <w:r w:rsidRPr="005032C2">
        <w:rPr>
          <w:sz w:val="24"/>
          <w:szCs w:val="24"/>
        </w:rPr>
        <w:t>Miles, M.B., 1994. Qualitative data analysis: An expanded sourcebook. Sage Pubns.</w:t>
      </w:r>
    </w:p>
    <w:p w14:paraId="56582F1F" w14:textId="77777777" w:rsidR="0017469B" w:rsidRPr="005032C2" w:rsidRDefault="0017469B" w:rsidP="00EA4087">
      <w:pPr>
        <w:pStyle w:val="Bibliography"/>
        <w:spacing w:line="276" w:lineRule="auto"/>
        <w:rPr>
          <w:sz w:val="24"/>
          <w:szCs w:val="24"/>
        </w:rPr>
      </w:pPr>
      <w:r w:rsidRPr="005032C2">
        <w:rPr>
          <w:sz w:val="24"/>
          <w:szCs w:val="24"/>
        </w:rPr>
        <w:t>Mishra, P.K., 2020. COVID-19, Black Swan events and the future of disaster risk management in India. Progress in Disaster Science 8, 100137. https://doi.org/10.1016/j.pdisas.2020.100137</w:t>
      </w:r>
    </w:p>
    <w:p w14:paraId="1014958D" w14:textId="77777777" w:rsidR="0017469B" w:rsidRPr="005032C2" w:rsidRDefault="0017469B" w:rsidP="00EA4087">
      <w:pPr>
        <w:pStyle w:val="Bibliography"/>
        <w:spacing w:line="276" w:lineRule="auto"/>
        <w:rPr>
          <w:sz w:val="24"/>
          <w:szCs w:val="24"/>
        </w:rPr>
      </w:pPr>
      <w:r w:rsidRPr="005032C2">
        <w:rPr>
          <w:sz w:val="24"/>
          <w:szCs w:val="24"/>
        </w:rPr>
        <w:lastRenderedPageBreak/>
        <w:t>Mooney, C., Hansen, A., Davidson, L., Ferrie, L., Fox, S., Wrathmell, R., 2018. Primary Mathematics: Knowledge and Understanding. Learning Matters.</w:t>
      </w:r>
    </w:p>
    <w:p w14:paraId="00B9FB2C" w14:textId="77777777" w:rsidR="0017469B" w:rsidRPr="005032C2" w:rsidRDefault="0017469B" w:rsidP="00EA4087">
      <w:pPr>
        <w:pStyle w:val="Bibliography"/>
        <w:spacing w:line="276" w:lineRule="auto"/>
        <w:rPr>
          <w:sz w:val="24"/>
          <w:szCs w:val="24"/>
        </w:rPr>
      </w:pPr>
      <w:r w:rsidRPr="005032C2">
        <w:rPr>
          <w:sz w:val="24"/>
          <w:szCs w:val="24"/>
        </w:rPr>
        <w:t>Muller, J.Z., 2018. BUSINESS AND FINANCE, in: The Tyranny of Metrics. Princeton University Press, pp. 137–151. https://doi.org/10.2307/j.ctvc7743t.16</w:t>
      </w:r>
    </w:p>
    <w:p w14:paraId="79E57C41" w14:textId="77777777" w:rsidR="0017469B" w:rsidRPr="005032C2" w:rsidRDefault="0017469B" w:rsidP="00EA4087">
      <w:pPr>
        <w:pStyle w:val="Bibliography"/>
        <w:spacing w:line="276" w:lineRule="auto"/>
        <w:rPr>
          <w:sz w:val="24"/>
          <w:szCs w:val="24"/>
        </w:rPr>
      </w:pPr>
      <w:r w:rsidRPr="005032C2">
        <w:rPr>
          <w:sz w:val="24"/>
          <w:szCs w:val="24"/>
        </w:rPr>
        <w:t>Nagarajan, S., 2021. These sectors preformed best and worst in the pandemic. Morningstar.</w:t>
      </w:r>
    </w:p>
    <w:p w14:paraId="73DCCF6F" w14:textId="77777777" w:rsidR="0017469B" w:rsidRPr="005032C2" w:rsidRDefault="0017469B" w:rsidP="00EA4087">
      <w:pPr>
        <w:pStyle w:val="Bibliography"/>
        <w:spacing w:line="276" w:lineRule="auto"/>
        <w:rPr>
          <w:sz w:val="24"/>
          <w:szCs w:val="24"/>
        </w:rPr>
      </w:pPr>
      <w:r w:rsidRPr="005032C2">
        <w:rPr>
          <w:sz w:val="24"/>
          <w:szCs w:val="24"/>
        </w:rPr>
        <w:t>Nasdaq, 2022. The Stock Market is Not the Economy [WWW Document]. Nasdaq Articles. URL https://www.nasdaq.com/articles/the-stock-market-is-not-the-economy (accessed 7.22.23).</w:t>
      </w:r>
    </w:p>
    <w:p w14:paraId="790ECA6F" w14:textId="77777777" w:rsidR="0017469B" w:rsidRPr="005032C2" w:rsidRDefault="0017469B" w:rsidP="00EA4087">
      <w:pPr>
        <w:pStyle w:val="Bibliography"/>
        <w:spacing w:line="276" w:lineRule="auto"/>
        <w:rPr>
          <w:sz w:val="24"/>
          <w:szCs w:val="24"/>
        </w:rPr>
      </w:pPr>
      <w:r w:rsidRPr="005032C2">
        <w:rPr>
          <w:sz w:val="24"/>
          <w:szCs w:val="24"/>
        </w:rPr>
        <w:t>Nazir, S., 2020. The dos &amp; don’ts retailers should consider post lockdown. Retail Gazette.</w:t>
      </w:r>
    </w:p>
    <w:p w14:paraId="477900EE" w14:textId="77777777" w:rsidR="0017469B" w:rsidRPr="005032C2" w:rsidRDefault="0017469B" w:rsidP="00EA4087">
      <w:pPr>
        <w:pStyle w:val="Bibliography"/>
        <w:spacing w:line="276" w:lineRule="auto"/>
        <w:rPr>
          <w:sz w:val="24"/>
          <w:szCs w:val="24"/>
        </w:rPr>
      </w:pPr>
      <w:r w:rsidRPr="005032C2">
        <w:rPr>
          <w:sz w:val="24"/>
          <w:szCs w:val="24"/>
        </w:rPr>
        <w:t>Newma, A., Telling, O., 2021. Cash-strapped FTSE 100 companies delay payments to suppliers during Covid crisis. Investors Chronicle 16.</w:t>
      </w:r>
    </w:p>
    <w:p w14:paraId="08258700" w14:textId="77777777" w:rsidR="0017469B" w:rsidRPr="005032C2" w:rsidRDefault="0017469B" w:rsidP="00EA4087">
      <w:pPr>
        <w:pStyle w:val="Bibliography"/>
        <w:spacing w:line="276" w:lineRule="auto"/>
        <w:rPr>
          <w:sz w:val="24"/>
          <w:szCs w:val="24"/>
        </w:rPr>
      </w:pPr>
      <w:r w:rsidRPr="005032C2">
        <w:rPr>
          <w:sz w:val="24"/>
          <w:szCs w:val="24"/>
        </w:rPr>
        <w:t>Nissim, D., Penman, S.H., 2001. Ratio Analysis and Equity Valuation: From Research to Practice. Review of Accounting Studies 6, 109–154. https://doi.org/10.1023/A:1011338221623</w:t>
      </w:r>
    </w:p>
    <w:p w14:paraId="22B8CAFE" w14:textId="77777777" w:rsidR="0017469B" w:rsidRPr="005032C2" w:rsidRDefault="0017469B" w:rsidP="00EA4087">
      <w:pPr>
        <w:pStyle w:val="Bibliography"/>
        <w:spacing w:line="276" w:lineRule="auto"/>
        <w:rPr>
          <w:sz w:val="24"/>
          <w:szCs w:val="24"/>
        </w:rPr>
      </w:pPr>
      <w:r w:rsidRPr="005032C2">
        <w:rPr>
          <w:sz w:val="24"/>
          <w:szCs w:val="24"/>
        </w:rPr>
        <w:t>Nkoro, E., Uko, A.K., 2014. Impact of the Volatility of Macroeconomic Variables on the Volatility of Stock Market Returns: Nigeria’s Experience, in: Dinçer, H., Hacioğlu, Ü. (Eds.), Global Strategies in Banking and Finance. IGI Global, Hershey, PA, USA, pp. 218–230. https://doi.org/10.4018/978-1-4666-4635-3.ch014</w:t>
      </w:r>
    </w:p>
    <w:p w14:paraId="26502A66" w14:textId="77777777" w:rsidR="0017469B" w:rsidRPr="005032C2" w:rsidRDefault="0017469B" w:rsidP="00EA4087">
      <w:pPr>
        <w:pStyle w:val="Bibliography"/>
        <w:spacing w:line="276" w:lineRule="auto"/>
        <w:rPr>
          <w:sz w:val="24"/>
          <w:szCs w:val="24"/>
        </w:rPr>
      </w:pPr>
      <w:r w:rsidRPr="005032C2">
        <w:rPr>
          <w:sz w:val="24"/>
          <w:szCs w:val="24"/>
        </w:rPr>
        <w:t>Ordoñez de Pablos, P., Turró, L.J., Tennyson, R.D., Zhao, J., 2015. Knowledge Management for Competitive Advantage During Economic Crisis, https://services-igi-global-com.ezproxy.uwtsd.ac.uk/resolvedoi/resolve.aspx?doi=10.4018/978-1-4666-6457-9. IGI Global.</w:t>
      </w:r>
    </w:p>
    <w:p w14:paraId="6C774067" w14:textId="77777777" w:rsidR="0017469B" w:rsidRPr="005032C2" w:rsidRDefault="0017469B" w:rsidP="00EA4087">
      <w:pPr>
        <w:pStyle w:val="Bibliography"/>
        <w:spacing w:line="276" w:lineRule="auto"/>
        <w:rPr>
          <w:sz w:val="24"/>
          <w:szCs w:val="24"/>
        </w:rPr>
      </w:pPr>
      <w:r w:rsidRPr="005032C2">
        <w:rPr>
          <w:sz w:val="24"/>
          <w:szCs w:val="24"/>
        </w:rPr>
        <w:t>Ozdemir, O., Dogru, T., Kizildag, M., Mody, M., Suess, C., 2021. Quantifying the economic impact of COVID-19 on the U.S. hotel industry: Examination of hotel segments and operational structures. Tourism Management Perspectives 39, 100864. https://doi.org/10.1016/j.tmp.2021.100864</w:t>
      </w:r>
    </w:p>
    <w:p w14:paraId="35EE95D9" w14:textId="77777777" w:rsidR="0017469B" w:rsidRPr="005032C2" w:rsidRDefault="0017469B" w:rsidP="00EA4087">
      <w:pPr>
        <w:pStyle w:val="Bibliography"/>
        <w:spacing w:line="276" w:lineRule="auto"/>
        <w:rPr>
          <w:sz w:val="24"/>
          <w:szCs w:val="24"/>
        </w:rPr>
      </w:pPr>
      <w:r w:rsidRPr="005032C2">
        <w:rPr>
          <w:sz w:val="24"/>
          <w:szCs w:val="24"/>
        </w:rPr>
        <w:t>Peasnell, K.V., Pope, P.F., Young, S., 2000. ACCRUAL MANAGEMENT TO MEET EARNINGS TARGETS: UK EVIDENCE PRE- AND POST-CADBURY. The British Accounting Review 32, 415–445. https://doi.org/10.1006/bare.2000.0134</w:t>
      </w:r>
    </w:p>
    <w:p w14:paraId="1CF76500" w14:textId="77777777" w:rsidR="0017469B" w:rsidRPr="005032C2" w:rsidRDefault="0017469B" w:rsidP="00EA4087">
      <w:pPr>
        <w:pStyle w:val="Bibliography"/>
        <w:spacing w:line="276" w:lineRule="auto"/>
        <w:rPr>
          <w:sz w:val="24"/>
          <w:szCs w:val="24"/>
        </w:rPr>
      </w:pPr>
      <w:r w:rsidRPr="005032C2">
        <w:rPr>
          <w:sz w:val="24"/>
          <w:szCs w:val="24"/>
        </w:rPr>
        <w:t>Phillips, K., 2023. The effect of COVID-19 on the UK’s healthcare system and economy. Nurses Group. URL https://nursesgroup.co.uk/covid-healthcare-economy (accessed 7.30.23).</w:t>
      </w:r>
    </w:p>
    <w:p w14:paraId="59EA6932" w14:textId="77777777" w:rsidR="0017469B" w:rsidRPr="005032C2" w:rsidRDefault="0017469B" w:rsidP="00EA4087">
      <w:pPr>
        <w:pStyle w:val="Bibliography"/>
        <w:spacing w:line="276" w:lineRule="auto"/>
        <w:rPr>
          <w:sz w:val="24"/>
          <w:szCs w:val="24"/>
        </w:rPr>
      </w:pPr>
      <w:r w:rsidRPr="005032C2">
        <w:rPr>
          <w:sz w:val="24"/>
          <w:szCs w:val="24"/>
        </w:rPr>
        <w:t>Pilinkus, D., 2010. Macroeconomic Indicators and Their Im Pact on Stock Market Performance in the Short and Long Run: The Case of the Baltic States: MAKROEKONOMINIAI RODIKLIAI IR JŲ ĮTAKA AKCIJŲ RINKOS INDEKSUI TRUMPUOJU IR ILGUOJU LAIKOTARPIU: BALTIJOS ŠALIŲ ATVEJIS. Technological &amp; Economic Development of Economy 16, 291–304. https://doi.org/10.3846/tede.2010.19</w:t>
      </w:r>
    </w:p>
    <w:p w14:paraId="10D285D9" w14:textId="77777777" w:rsidR="0017469B" w:rsidRPr="005032C2" w:rsidRDefault="0017469B" w:rsidP="00EA4087">
      <w:pPr>
        <w:pStyle w:val="Bibliography"/>
        <w:spacing w:line="276" w:lineRule="auto"/>
        <w:rPr>
          <w:sz w:val="24"/>
          <w:szCs w:val="24"/>
        </w:rPr>
      </w:pPr>
      <w:r w:rsidRPr="005032C2">
        <w:rPr>
          <w:sz w:val="24"/>
          <w:szCs w:val="24"/>
        </w:rPr>
        <w:t>PricewaterhouseCoopers, 2023. Financial Statement Analysis 101 [WWW Document]. PwC. URL https://www.pwc.com/id/en/academy/training-calendar/financial-statement-analysis-101.html (accessed 7.23.23).</w:t>
      </w:r>
    </w:p>
    <w:p w14:paraId="776591C6" w14:textId="77777777" w:rsidR="0017469B" w:rsidRPr="005032C2" w:rsidRDefault="0017469B" w:rsidP="00EA4087">
      <w:pPr>
        <w:pStyle w:val="Bibliography"/>
        <w:spacing w:line="276" w:lineRule="auto"/>
        <w:rPr>
          <w:sz w:val="24"/>
          <w:szCs w:val="24"/>
        </w:rPr>
      </w:pPr>
      <w:r w:rsidRPr="005032C2">
        <w:rPr>
          <w:sz w:val="24"/>
          <w:szCs w:val="24"/>
        </w:rPr>
        <w:lastRenderedPageBreak/>
        <w:t>Prime Minister’s Office, 2020. Prime Minister’s statement on coronavirus (COVID-19): 23 March 2020 [WWW Document]. GOV.UK. URL https://www.gov.uk/government/speeches/pm-address-to-the-nation-on-coronavirus-23-march-2020 (accessed 2.28.23).</w:t>
      </w:r>
    </w:p>
    <w:p w14:paraId="0E963EC3" w14:textId="77777777" w:rsidR="0017469B" w:rsidRPr="005032C2" w:rsidRDefault="0017469B" w:rsidP="00EA4087">
      <w:pPr>
        <w:pStyle w:val="Bibliography"/>
        <w:spacing w:line="276" w:lineRule="auto"/>
        <w:rPr>
          <w:sz w:val="24"/>
          <w:szCs w:val="24"/>
        </w:rPr>
      </w:pPr>
      <w:r w:rsidRPr="005032C2">
        <w:rPr>
          <w:sz w:val="24"/>
          <w:szCs w:val="24"/>
        </w:rPr>
        <w:t>Rawley, T., Schostag, R., 2006. Discounted Cash Flow Method: using new modeling to test reasonableness. Valuation Strategies 10, 24.</w:t>
      </w:r>
    </w:p>
    <w:p w14:paraId="34F26C9F" w14:textId="77777777" w:rsidR="0017469B" w:rsidRPr="005032C2" w:rsidRDefault="0017469B" w:rsidP="00EA4087">
      <w:pPr>
        <w:pStyle w:val="Bibliography"/>
        <w:spacing w:line="276" w:lineRule="auto"/>
        <w:rPr>
          <w:sz w:val="24"/>
          <w:szCs w:val="24"/>
        </w:rPr>
      </w:pPr>
      <w:r w:rsidRPr="005032C2">
        <w:rPr>
          <w:sz w:val="24"/>
          <w:szCs w:val="24"/>
        </w:rPr>
        <w:t>Reuters, 2022. Timeline: The events leading up to Russia’s invasion of Ukraine. Reuters.</w:t>
      </w:r>
    </w:p>
    <w:p w14:paraId="533DE8ED" w14:textId="77777777" w:rsidR="0017469B" w:rsidRPr="005032C2" w:rsidRDefault="0017469B" w:rsidP="00EA4087">
      <w:pPr>
        <w:pStyle w:val="Bibliography"/>
        <w:spacing w:line="276" w:lineRule="auto"/>
        <w:rPr>
          <w:sz w:val="24"/>
          <w:szCs w:val="24"/>
        </w:rPr>
      </w:pPr>
      <w:r w:rsidRPr="005032C2">
        <w:rPr>
          <w:sz w:val="24"/>
          <w:szCs w:val="24"/>
        </w:rPr>
        <w:t>Riordan, D.A., Riordan, M.P., 2009. Inflation and Financial Statement Analysis in the International Accounting Classroom. null 20, 174–187. https://doi.org/10.1080/08975930902827890</w:t>
      </w:r>
    </w:p>
    <w:p w14:paraId="091DABC9" w14:textId="77777777" w:rsidR="0017469B" w:rsidRPr="005032C2" w:rsidRDefault="0017469B" w:rsidP="00EA4087">
      <w:pPr>
        <w:pStyle w:val="Bibliography"/>
        <w:spacing w:line="276" w:lineRule="auto"/>
        <w:rPr>
          <w:sz w:val="24"/>
          <w:szCs w:val="24"/>
        </w:rPr>
      </w:pPr>
      <w:r w:rsidRPr="005032C2">
        <w:rPr>
          <w:sz w:val="24"/>
          <w:szCs w:val="24"/>
        </w:rPr>
        <w:t>Rivero, R., 2023. The FTSE 100 vs FTSE 250: What Is the Difference? Admirals Markets. URL https://admiralmarkets.com/education/articles/shares/ftse-100-vs-ftse-250 (accessed 7.19.23).</w:t>
      </w:r>
    </w:p>
    <w:p w14:paraId="5253EFC5" w14:textId="77777777" w:rsidR="0017469B" w:rsidRPr="005032C2" w:rsidRDefault="0017469B" w:rsidP="00EA4087">
      <w:pPr>
        <w:pStyle w:val="Bibliography"/>
        <w:spacing w:line="276" w:lineRule="auto"/>
        <w:rPr>
          <w:sz w:val="24"/>
          <w:szCs w:val="24"/>
        </w:rPr>
      </w:pPr>
      <w:r w:rsidRPr="005032C2">
        <w:rPr>
          <w:sz w:val="24"/>
          <w:szCs w:val="24"/>
        </w:rPr>
        <w:t>Robinson, M., 2016. FTSE 250 buoyant despite domestic focus. Investors Chronicle.</w:t>
      </w:r>
    </w:p>
    <w:p w14:paraId="792249C8" w14:textId="77777777" w:rsidR="0017469B" w:rsidRPr="005032C2" w:rsidRDefault="0017469B" w:rsidP="00EA4087">
      <w:pPr>
        <w:pStyle w:val="Bibliography"/>
        <w:spacing w:line="276" w:lineRule="auto"/>
        <w:rPr>
          <w:sz w:val="24"/>
          <w:szCs w:val="24"/>
        </w:rPr>
      </w:pPr>
      <w:r w:rsidRPr="005032C2">
        <w:rPr>
          <w:sz w:val="24"/>
          <w:szCs w:val="24"/>
        </w:rPr>
        <w:t>Robison, L., Hanson, S., Black, J.R., 2021. Financial Management for Small Businesses, 2nd OER Edition. Michigan State University Libraries.</w:t>
      </w:r>
    </w:p>
    <w:p w14:paraId="3375691B" w14:textId="77777777" w:rsidR="0017469B" w:rsidRPr="005032C2" w:rsidRDefault="0017469B" w:rsidP="00EA4087">
      <w:pPr>
        <w:pStyle w:val="Bibliography"/>
        <w:spacing w:line="276" w:lineRule="auto"/>
        <w:rPr>
          <w:sz w:val="24"/>
          <w:szCs w:val="24"/>
        </w:rPr>
      </w:pPr>
      <w:r w:rsidRPr="005032C2">
        <w:rPr>
          <w:sz w:val="24"/>
          <w:szCs w:val="24"/>
        </w:rPr>
        <w:t>Rosenberg, D., Ashburn, D., 2023. Britannica Money. Britannica Money.</w:t>
      </w:r>
    </w:p>
    <w:p w14:paraId="3A4DF66B" w14:textId="77777777" w:rsidR="0017469B" w:rsidRPr="005032C2" w:rsidRDefault="0017469B" w:rsidP="00EA4087">
      <w:pPr>
        <w:pStyle w:val="Bibliography"/>
        <w:spacing w:line="276" w:lineRule="auto"/>
        <w:rPr>
          <w:sz w:val="24"/>
          <w:szCs w:val="24"/>
        </w:rPr>
      </w:pPr>
      <w:r w:rsidRPr="005032C2">
        <w:rPr>
          <w:sz w:val="24"/>
          <w:szCs w:val="24"/>
        </w:rPr>
        <w:t>Ross, S.A., 1976. The arbitrage theory of capital asset pricing. Journal of Economic Theory 13, 341–360. https://doi.org/10.1016/0022-0531(76)90046-6</w:t>
      </w:r>
    </w:p>
    <w:p w14:paraId="5BF336E5" w14:textId="77777777" w:rsidR="0017469B" w:rsidRPr="005032C2" w:rsidRDefault="0017469B" w:rsidP="00EA4087">
      <w:pPr>
        <w:pStyle w:val="Bibliography"/>
        <w:spacing w:line="276" w:lineRule="auto"/>
        <w:rPr>
          <w:sz w:val="24"/>
          <w:szCs w:val="24"/>
        </w:rPr>
      </w:pPr>
      <w:r w:rsidRPr="005032C2">
        <w:rPr>
          <w:sz w:val="24"/>
          <w:szCs w:val="24"/>
        </w:rPr>
        <w:t>Santiago, I., Moreno-Munoz, A., Quintero-Jiménez, P., Garcia-Torres, F., Gonzalez-Redondo, M.J., 2021. Electricity demand during pandemic times: The case of the COVID-19 in Spain. Energy Policy 148, 111964. https://doi.org/10.1016/j.enpol.2020.111964</w:t>
      </w:r>
    </w:p>
    <w:p w14:paraId="1C8DC8BC" w14:textId="77777777" w:rsidR="0017469B" w:rsidRPr="005032C2" w:rsidRDefault="0017469B" w:rsidP="00EA4087">
      <w:pPr>
        <w:pStyle w:val="Bibliography"/>
        <w:spacing w:line="276" w:lineRule="auto"/>
        <w:rPr>
          <w:sz w:val="24"/>
          <w:szCs w:val="24"/>
        </w:rPr>
      </w:pPr>
      <w:r w:rsidRPr="005032C2">
        <w:rPr>
          <w:sz w:val="24"/>
          <w:szCs w:val="24"/>
        </w:rPr>
        <w:t>Saunders, M.N.K., Lewis, P., Thornhill, A., 2019. Research methods for business students, 8th ed. ed. Pearson, Harlow.</w:t>
      </w:r>
    </w:p>
    <w:p w14:paraId="065A8A19" w14:textId="77777777" w:rsidR="0017469B" w:rsidRPr="005032C2" w:rsidRDefault="0017469B" w:rsidP="00EA4087">
      <w:pPr>
        <w:pStyle w:val="Bibliography"/>
        <w:spacing w:line="276" w:lineRule="auto"/>
        <w:rPr>
          <w:sz w:val="24"/>
          <w:szCs w:val="24"/>
        </w:rPr>
      </w:pPr>
      <w:r w:rsidRPr="005032C2">
        <w:rPr>
          <w:sz w:val="24"/>
          <w:szCs w:val="24"/>
        </w:rPr>
        <w:t>Schilit, H., Perler, J., 2010. Financial Shenanigans: How to Detect Accounting Gimmicks &amp; Fraud in Financial Reports, 3rd Edition, 3rd edition. ed. McGraw-Hill, New York.</w:t>
      </w:r>
    </w:p>
    <w:p w14:paraId="5A70A497" w14:textId="77777777" w:rsidR="0017469B" w:rsidRPr="005032C2" w:rsidRDefault="0017469B" w:rsidP="00EA4087">
      <w:pPr>
        <w:pStyle w:val="Bibliography"/>
        <w:spacing w:line="276" w:lineRule="auto"/>
        <w:rPr>
          <w:sz w:val="24"/>
          <w:szCs w:val="24"/>
        </w:rPr>
      </w:pPr>
      <w:r w:rsidRPr="005032C2">
        <w:rPr>
          <w:sz w:val="24"/>
          <w:szCs w:val="24"/>
        </w:rPr>
        <w:t>Seetharaman, P., 2020. Business models shifts: Impact of Covid-19. International Journal of Information Management 54, 102173. https://doi.org/10.1016/j.ijinfomgt.2020.102173</w:t>
      </w:r>
    </w:p>
    <w:p w14:paraId="2E6727F2" w14:textId="77777777" w:rsidR="0017469B" w:rsidRPr="005032C2" w:rsidRDefault="0017469B" w:rsidP="00EA4087">
      <w:pPr>
        <w:pStyle w:val="Bibliography"/>
        <w:spacing w:line="276" w:lineRule="auto"/>
        <w:rPr>
          <w:sz w:val="24"/>
          <w:szCs w:val="24"/>
        </w:rPr>
      </w:pPr>
      <w:r w:rsidRPr="005032C2">
        <w:rPr>
          <w:sz w:val="24"/>
          <w:szCs w:val="24"/>
        </w:rPr>
        <w:t>Semerádová, T., Weinlich, P. (Eds.), 2022. Moving Businesses Online and Embracing E-Commerce: Impact and Opportunities Caused by COVID-19. IGI Global, Hershey, PA, USA. https://doi.org/10.4018/978-1-7998-8294-7</w:t>
      </w:r>
    </w:p>
    <w:p w14:paraId="467448C1" w14:textId="77777777" w:rsidR="0017469B" w:rsidRPr="005032C2" w:rsidRDefault="0017469B" w:rsidP="00EA4087">
      <w:pPr>
        <w:pStyle w:val="Bibliography"/>
        <w:spacing w:line="276" w:lineRule="auto"/>
        <w:rPr>
          <w:sz w:val="24"/>
          <w:szCs w:val="24"/>
        </w:rPr>
      </w:pPr>
      <w:r w:rsidRPr="005032C2">
        <w:rPr>
          <w:sz w:val="24"/>
          <w:szCs w:val="24"/>
        </w:rPr>
        <w:t>Sharma, P., Leung, T.Y., Kingshott, R.P.J., Davcik, N.S., Cardinali, S., 2020. Managing uncertainty during a global pandemic: An international business perspective. Journal of Business Research 116, 188–192. https://doi.org/10.1016/j.jbusres.2020.05.026</w:t>
      </w:r>
    </w:p>
    <w:p w14:paraId="7617E5C8" w14:textId="77777777" w:rsidR="0017469B" w:rsidRPr="005032C2" w:rsidRDefault="0017469B" w:rsidP="00EA4087">
      <w:pPr>
        <w:pStyle w:val="Bibliography"/>
        <w:spacing w:line="276" w:lineRule="auto"/>
        <w:rPr>
          <w:sz w:val="24"/>
          <w:szCs w:val="24"/>
        </w:rPr>
      </w:pPr>
      <w:r w:rsidRPr="005032C2">
        <w:rPr>
          <w:sz w:val="24"/>
          <w:szCs w:val="24"/>
        </w:rPr>
        <w:t>Sharma, R., Mehta, K. (Eds.), 2022. Handbook of Research on Stock Market Investment Practices and Portfolio Management. IGI Global, Hershey, PA, USA. https://doi.org/10.4018/978-1-6684-5528-9</w:t>
      </w:r>
    </w:p>
    <w:p w14:paraId="0DD7296A" w14:textId="77777777" w:rsidR="0017469B" w:rsidRPr="005032C2" w:rsidRDefault="0017469B" w:rsidP="00EA4087">
      <w:pPr>
        <w:pStyle w:val="Bibliography"/>
        <w:spacing w:line="276" w:lineRule="auto"/>
        <w:rPr>
          <w:sz w:val="24"/>
          <w:szCs w:val="24"/>
        </w:rPr>
      </w:pPr>
      <w:r w:rsidRPr="005032C2">
        <w:rPr>
          <w:sz w:val="24"/>
          <w:szCs w:val="24"/>
        </w:rPr>
        <w:t>Sharpe, W.F., 1964. Capital Asset Prices: A Theory of Market Equilibrium under Conditions of Risk. The Journal of Finance 19, 425–442. https://doi.org/10.2307/2977928</w:t>
      </w:r>
    </w:p>
    <w:p w14:paraId="125C6F73" w14:textId="77777777" w:rsidR="0017469B" w:rsidRPr="005032C2" w:rsidRDefault="0017469B" w:rsidP="00EA4087">
      <w:pPr>
        <w:pStyle w:val="Bibliography"/>
        <w:spacing w:line="276" w:lineRule="auto"/>
        <w:rPr>
          <w:sz w:val="24"/>
          <w:szCs w:val="24"/>
        </w:rPr>
      </w:pPr>
      <w:r w:rsidRPr="005032C2">
        <w:rPr>
          <w:sz w:val="24"/>
          <w:szCs w:val="24"/>
        </w:rPr>
        <w:lastRenderedPageBreak/>
        <w:t>Sheth, J., 2020. Impact of Covid-19 on consumer behavior: Will the old habits return or die? Journal of Business Research 117, 280–283. https://doi.org/10.1016/j.jbusres.2020.05.059</w:t>
      </w:r>
    </w:p>
    <w:p w14:paraId="7F2C3B22" w14:textId="77777777" w:rsidR="0017469B" w:rsidRPr="005032C2" w:rsidRDefault="0017469B" w:rsidP="00EA4087">
      <w:pPr>
        <w:pStyle w:val="Bibliography"/>
        <w:spacing w:line="276" w:lineRule="auto"/>
        <w:rPr>
          <w:sz w:val="24"/>
          <w:szCs w:val="24"/>
        </w:rPr>
      </w:pPr>
      <w:r w:rsidRPr="005032C2">
        <w:rPr>
          <w:sz w:val="24"/>
          <w:szCs w:val="24"/>
        </w:rPr>
        <w:t>Simonetti, O., Martini, M., Armocida, E., 2021. COVID-19 and Spanish flu-18: review of medical and social parallelisms between two global pandemics. J Prev Med Hyg 62, E613–E620. https://doi.org/10.15167/2421-4248/jpmh2021.62.3.2124</w:t>
      </w:r>
    </w:p>
    <w:p w14:paraId="5EE57592" w14:textId="77777777" w:rsidR="0017469B" w:rsidRPr="005032C2" w:rsidRDefault="0017469B" w:rsidP="00EA4087">
      <w:pPr>
        <w:pStyle w:val="Bibliography"/>
        <w:spacing w:line="276" w:lineRule="auto"/>
        <w:rPr>
          <w:sz w:val="24"/>
          <w:szCs w:val="24"/>
        </w:rPr>
      </w:pPr>
      <w:r w:rsidRPr="005032C2">
        <w:rPr>
          <w:sz w:val="24"/>
          <w:szCs w:val="24"/>
        </w:rPr>
        <w:t>Singh, M., 2008. Strategic Management and Competitive Advantage. Global India Publications Pvt Ltd, Place of publication not identified.</w:t>
      </w:r>
    </w:p>
    <w:p w14:paraId="23DC435F" w14:textId="77777777" w:rsidR="0017469B" w:rsidRPr="005032C2" w:rsidRDefault="0017469B" w:rsidP="00EA4087">
      <w:pPr>
        <w:pStyle w:val="Bibliography"/>
        <w:spacing w:line="276" w:lineRule="auto"/>
        <w:rPr>
          <w:sz w:val="24"/>
          <w:szCs w:val="24"/>
        </w:rPr>
      </w:pPr>
      <w:r w:rsidRPr="005032C2">
        <w:rPr>
          <w:sz w:val="24"/>
          <w:szCs w:val="24"/>
        </w:rPr>
        <w:t>Slade, M.E., 2022. Many losers and a few winners: The impact of COVID‐19 on Canadian industries and regions. The Canadian journal of economics 55, 282–307. https://doi.org/10.1111/caje.12539</w:t>
      </w:r>
    </w:p>
    <w:p w14:paraId="54116B7A" w14:textId="77777777" w:rsidR="0017469B" w:rsidRPr="005032C2" w:rsidRDefault="0017469B" w:rsidP="00EA4087">
      <w:pPr>
        <w:pStyle w:val="Bibliography"/>
        <w:spacing w:line="276" w:lineRule="auto"/>
        <w:rPr>
          <w:sz w:val="24"/>
          <w:szCs w:val="24"/>
        </w:rPr>
      </w:pPr>
      <w:r w:rsidRPr="005032C2">
        <w:rPr>
          <w:sz w:val="24"/>
          <w:szCs w:val="24"/>
        </w:rPr>
        <w:t>Sokol, M., Pataccini, L., 2020. Winners And Losers In Coronavirus Times: Financialisation, Financial Chains and Emerging Economic Geographies of The Covid-19 Pandemic. Tijdschrift voor Economische en Sociale Geografie 111, 401–415. https://doi.org/10.1111/tesg.12433</w:t>
      </w:r>
    </w:p>
    <w:p w14:paraId="3B550A9A" w14:textId="77777777" w:rsidR="0017469B" w:rsidRPr="005032C2" w:rsidRDefault="0017469B" w:rsidP="00EA4087">
      <w:pPr>
        <w:pStyle w:val="Bibliography"/>
        <w:spacing w:line="276" w:lineRule="auto"/>
        <w:rPr>
          <w:sz w:val="24"/>
          <w:szCs w:val="24"/>
        </w:rPr>
      </w:pPr>
      <w:r w:rsidRPr="005032C2">
        <w:rPr>
          <w:sz w:val="24"/>
          <w:szCs w:val="24"/>
        </w:rPr>
        <w:t>Soliman, M.T., 2008. The Use of DuPont Analysis by Market Participants. The Accounting Review 83, 823–853.</w:t>
      </w:r>
    </w:p>
    <w:p w14:paraId="48848345" w14:textId="77777777" w:rsidR="0017469B" w:rsidRPr="005032C2" w:rsidRDefault="0017469B" w:rsidP="00EA4087">
      <w:pPr>
        <w:pStyle w:val="Bibliography"/>
        <w:spacing w:line="276" w:lineRule="auto"/>
        <w:rPr>
          <w:sz w:val="24"/>
          <w:szCs w:val="24"/>
        </w:rPr>
      </w:pPr>
      <w:r w:rsidRPr="005032C2">
        <w:rPr>
          <w:sz w:val="24"/>
          <w:szCs w:val="24"/>
        </w:rPr>
        <w:t>Spathis, Ch., Doumpos, M., Zopounidis, C., 2002. Detecting falsified financial statements: a comparative study using multicriteria analysis and multivariate statistical techniques. European Accounting Review 11, 509–535. https://doi.org/10.1080/0963818022000000966</w:t>
      </w:r>
    </w:p>
    <w:p w14:paraId="1EACD94B" w14:textId="77777777" w:rsidR="0017469B" w:rsidRPr="005032C2" w:rsidRDefault="0017469B" w:rsidP="00EA4087">
      <w:pPr>
        <w:pStyle w:val="Bibliography"/>
        <w:spacing w:line="276" w:lineRule="auto"/>
        <w:rPr>
          <w:sz w:val="24"/>
          <w:szCs w:val="24"/>
        </w:rPr>
      </w:pPr>
      <w:r w:rsidRPr="005032C2">
        <w:rPr>
          <w:sz w:val="24"/>
          <w:szCs w:val="24"/>
        </w:rPr>
        <w:t>Stemmler, H., 2022. The effects of COVID-19 on businesses: key versus non-key firms, ILO Working Papers. International Labour Organization. https://doi.org/10.54394/BZKJ3115</w:t>
      </w:r>
    </w:p>
    <w:p w14:paraId="6818C2F3" w14:textId="77777777" w:rsidR="0017469B" w:rsidRPr="005032C2" w:rsidRDefault="0017469B" w:rsidP="00EA4087">
      <w:pPr>
        <w:pStyle w:val="Bibliography"/>
        <w:spacing w:line="276" w:lineRule="auto"/>
        <w:rPr>
          <w:sz w:val="24"/>
          <w:szCs w:val="24"/>
        </w:rPr>
      </w:pPr>
      <w:r w:rsidRPr="005032C2">
        <w:rPr>
          <w:sz w:val="24"/>
          <w:szCs w:val="24"/>
        </w:rPr>
        <w:t>Stobierski, T., 2020. How to Read Financial Statements: A Beginner’s Guide. Business Insights - Harvard Business School. URL https://online.hbs.edu/blog/post/how-to-read-financial-statements (accessed 2.18.23).</w:t>
      </w:r>
    </w:p>
    <w:p w14:paraId="18FBC0AB" w14:textId="77777777" w:rsidR="0017469B" w:rsidRPr="005032C2" w:rsidRDefault="0017469B" w:rsidP="00EA4087">
      <w:pPr>
        <w:pStyle w:val="Bibliography"/>
        <w:spacing w:line="276" w:lineRule="auto"/>
        <w:rPr>
          <w:sz w:val="24"/>
          <w:szCs w:val="24"/>
        </w:rPr>
      </w:pPr>
      <w:r w:rsidRPr="005032C2">
        <w:rPr>
          <w:sz w:val="24"/>
          <w:szCs w:val="24"/>
        </w:rPr>
        <w:t>Sugden, A., Gee, P., Holmes, G., 2008. Interpreting company reports and accounts, 10th ed. / Geoffrey Holmes, Alan Sugden, Paul Gee. ed. FT Prentice Hall, Harlow, England.</w:t>
      </w:r>
    </w:p>
    <w:p w14:paraId="0D1B122D" w14:textId="77777777" w:rsidR="0017469B" w:rsidRPr="005032C2" w:rsidRDefault="0017469B" w:rsidP="00EA4087">
      <w:pPr>
        <w:pStyle w:val="Bibliography"/>
        <w:spacing w:line="276" w:lineRule="auto"/>
        <w:rPr>
          <w:sz w:val="24"/>
          <w:szCs w:val="24"/>
        </w:rPr>
      </w:pPr>
      <w:r w:rsidRPr="005032C2">
        <w:rPr>
          <w:sz w:val="24"/>
          <w:szCs w:val="24"/>
        </w:rPr>
        <w:t>Taleb, N.N., 2007. The Black Swan. Random House.</w:t>
      </w:r>
    </w:p>
    <w:p w14:paraId="629508B6" w14:textId="77777777" w:rsidR="0017469B" w:rsidRPr="005032C2" w:rsidRDefault="0017469B" w:rsidP="00EA4087">
      <w:pPr>
        <w:pStyle w:val="Bibliography"/>
        <w:spacing w:line="276" w:lineRule="auto"/>
        <w:rPr>
          <w:sz w:val="24"/>
          <w:szCs w:val="24"/>
        </w:rPr>
      </w:pPr>
      <w:r w:rsidRPr="005032C2">
        <w:rPr>
          <w:sz w:val="24"/>
          <w:szCs w:val="24"/>
        </w:rPr>
        <w:t>Teixeira, N.M., Lisboa, I. (Eds.), 2021. Handbook of Research on Financial Management During Economic Downturn and Recovery. IGI Global, Hershey, PA, USA. https://doi.org/10.4018/978-1-7998-6643-5</w:t>
      </w:r>
    </w:p>
    <w:p w14:paraId="0A7C0915" w14:textId="77777777" w:rsidR="0017469B" w:rsidRPr="005032C2" w:rsidRDefault="0017469B" w:rsidP="00EA4087">
      <w:pPr>
        <w:pStyle w:val="Bibliography"/>
        <w:spacing w:line="276" w:lineRule="auto"/>
        <w:rPr>
          <w:sz w:val="24"/>
          <w:szCs w:val="24"/>
        </w:rPr>
      </w:pPr>
      <w:r w:rsidRPr="005032C2">
        <w:rPr>
          <w:sz w:val="24"/>
          <w:szCs w:val="24"/>
        </w:rPr>
        <w:t>The World Bank, 2023. Inflation, consumer prices (annual %) - United Kingdom | The World Bank Data [WWW Document]. The World Bank Data. URL https://data.worldbank.org/indicator/FP.CPI.TOTL.ZG?end=2021&amp;locations=GB&amp;start=1960&amp;view=chart (accessed 7.31.22).</w:t>
      </w:r>
    </w:p>
    <w:p w14:paraId="537531BC" w14:textId="77777777" w:rsidR="0017469B" w:rsidRPr="005032C2" w:rsidRDefault="0017469B" w:rsidP="00EA4087">
      <w:pPr>
        <w:pStyle w:val="Bibliography"/>
        <w:spacing w:line="276" w:lineRule="auto"/>
        <w:rPr>
          <w:sz w:val="24"/>
          <w:szCs w:val="24"/>
        </w:rPr>
      </w:pPr>
      <w:r w:rsidRPr="005032C2">
        <w:rPr>
          <w:sz w:val="24"/>
          <w:szCs w:val="24"/>
        </w:rPr>
        <w:t>Thomas, D., 2020. UK companies restore dividends after taking furlough cash. Financial Times.</w:t>
      </w:r>
    </w:p>
    <w:p w14:paraId="5201E199" w14:textId="77777777" w:rsidR="0017469B" w:rsidRPr="005032C2" w:rsidRDefault="0017469B" w:rsidP="00EA4087">
      <w:pPr>
        <w:pStyle w:val="Bibliography"/>
        <w:spacing w:line="276" w:lineRule="auto"/>
        <w:rPr>
          <w:sz w:val="24"/>
          <w:szCs w:val="24"/>
        </w:rPr>
      </w:pPr>
      <w:r w:rsidRPr="005032C2">
        <w:rPr>
          <w:sz w:val="24"/>
          <w:szCs w:val="24"/>
        </w:rPr>
        <w:lastRenderedPageBreak/>
        <w:t>Titman, S.J., Keown, A.J., Martin, J.D., 2014. Financial management: principles and applications, Twelfth edition, Pearson new international edition. ed. Pearson, Harlow, United Kingdom.</w:t>
      </w:r>
    </w:p>
    <w:p w14:paraId="2D387E6E" w14:textId="77777777" w:rsidR="0017469B" w:rsidRPr="005032C2" w:rsidRDefault="0017469B" w:rsidP="00EA4087">
      <w:pPr>
        <w:pStyle w:val="Bibliography"/>
        <w:spacing w:line="276" w:lineRule="auto"/>
        <w:rPr>
          <w:sz w:val="24"/>
          <w:szCs w:val="24"/>
        </w:rPr>
      </w:pPr>
      <w:r w:rsidRPr="005032C2">
        <w:rPr>
          <w:sz w:val="24"/>
          <w:szCs w:val="24"/>
        </w:rPr>
        <w:t>Turnaround Topics, 2003. To Infinity and Beyond Dealing with the Mathematical Oddities of Ratio Analysis | ABI. American Bankruptcy Insitute.</w:t>
      </w:r>
    </w:p>
    <w:p w14:paraId="6B56FF40" w14:textId="77777777" w:rsidR="0017469B" w:rsidRPr="005032C2" w:rsidRDefault="0017469B" w:rsidP="00EA4087">
      <w:pPr>
        <w:pStyle w:val="Bibliography"/>
        <w:spacing w:line="276" w:lineRule="auto"/>
        <w:rPr>
          <w:sz w:val="24"/>
          <w:szCs w:val="24"/>
        </w:rPr>
      </w:pPr>
      <w:r w:rsidRPr="005032C2">
        <w:rPr>
          <w:sz w:val="24"/>
          <w:szCs w:val="24"/>
        </w:rPr>
        <w:t>Tweedie, D., Whittington, G., 2009. The Debate on Inflation Accounting. Cambridge University Press.</w:t>
      </w:r>
    </w:p>
    <w:p w14:paraId="038B2A6C" w14:textId="77777777" w:rsidR="0017469B" w:rsidRPr="005032C2" w:rsidRDefault="0017469B" w:rsidP="00EA4087">
      <w:pPr>
        <w:pStyle w:val="Bibliography"/>
        <w:spacing w:line="276" w:lineRule="auto"/>
        <w:rPr>
          <w:sz w:val="24"/>
          <w:szCs w:val="24"/>
        </w:rPr>
      </w:pPr>
      <w:r w:rsidRPr="005032C2">
        <w:rPr>
          <w:sz w:val="24"/>
          <w:szCs w:val="24"/>
        </w:rPr>
        <w:t>Ukraine conflict: What we know about the invasion, 2022. . BBC News.</w:t>
      </w:r>
    </w:p>
    <w:p w14:paraId="0CE72191" w14:textId="77777777" w:rsidR="0017469B" w:rsidRPr="005032C2" w:rsidRDefault="0017469B" w:rsidP="00EA4087">
      <w:pPr>
        <w:pStyle w:val="Bibliography"/>
        <w:spacing w:line="276" w:lineRule="auto"/>
        <w:rPr>
          <w:sz w:val="24"/>
          <w:szCs w:val="24"/>
        </w:rPr>
      </w:pPr>
      <w:r w:rsidRPr="005032C2">
        <w:rPr>
          <w:sz w:val="24"/>
          <w:szCs w:val="24"/>
        </w:rPr>
        <w:t>Vaidya, D., 2019. Limitations of Ratio Analysis | Top 10 Financial Ratio Limitations. WallStreetMojo. URL https://www.wallstreetmojo.com/ratio-analysis-limitations/ (accessed 3.8.23).</w:t>
      </w:r>
    </w:p>
    <w:p w14:paraId="19FF7139" w14:textId="77777777" w:rsidR="0017469B" w:rsidRPr="005032C2" w:rsidRDefault="0017469B" w:rsidP="00EA4087">
      <w:pPr>
        <w:pStyle w:val="Bibliography"/>
        <w:spacing w:line="276" w:lineRule="auto"/>
        <w:rPr>
          <w:sz w:val="24"/>
          <w:szCs w:val="24"/>
        </w:rPr>
      </w:pPr>
      <w:r w:rsidRPr="005032C2">
        <w:rPr>
          <w:sz w:val="24"/>
          <w:szCs w:val="24"/>
        </w:rPr>
        <w:t>Van Veldhuizen, N., Uppal, R., 2022. The FTSE 250 index: The UK’s leading mid-cap benchmark enters its fourth decade (Index Insights), FTSE UK Index Series. FTSE Russell.</w:t>
      </w:r>
    </w:p>
    <w:p w14:paraId="77A75E5D" w14:textId="77777777" w:rsidR="0017469B" w:rsidRPr="005032C2" w:rsidRDefault="0017469B" w:rsidP="00EA4087">
      <w:pPr>
        <w:pStyle w:val="Bibliography"/>
        <w:spacing w:line="276" w:lineRule="auto"/>
        <w:rPr>
          <w:sz w:val="24"/>
          <w:szCs w:val="24"/>
        </w:rPr>
      </w:pPr>
      <w:r w:rsidRPr="005032C2">
        <w:rPr>
          <w:sz w:val="24"/>
          <w:szCs w:val="24"/>
        </w:rPr>
        <w:t>Vause, Bob., 2005. Guide to analysing companies, 4th ed. ed. The Economist in association with Profile, London.</w:t>
      </w:r>
    </w:p>
    <w:p w14:paraId="6ADBFAA3" w14:textId="77777777" w:rsidR="0017469B" w:rsidRPr="005032C2" w:rsidRDefault="0017469B" w:rsidP="00EA4087">
      <w:pPr>
        <w:pStyle w:val="Bibliography"/>
        <w:spacing w:line="276" w:lineRule="auto"/>
        <w:rPr>
          <w:sz w:val="24"/>
          <w:szCs w:val="24"/>
        </w:rPr>
      </w:pPr>
      <w:r w:rsidRPr="005032C2">
        <w:rPr>
          <w:sz w:val="24"/>
          <w:szCs w:val="24"/>
        </w:rPr>
        <w:t>Walsh, C., 2009. Key Management Ratios. Pearson Education, Harlow, UNITED KINGDOM.</w:t>
      </w:r>
    </w:p>
    <w:p w14:paraId="142B2BCA" w14:textId="77777777" w:rsidR="0017469B" w:rsidRPr="005032C2" w:rsidRDefault="0017469B" w:rsidP="00EA4087">
      <w:pPr>
        <w:pStyle w:val="Bibliography"/>
        <w:spacing w:line="276" w:lineRule="auto"/>
        <w:rPr>
          <w:sz w:val="24"/>
          <w:szCs w:val="24"/>
        </w:rPr>
      </w:pPr>
      <w:r w:rsidRPr="005032C2">
        <w:rPr>
          <w:sz w:val="24"/>
          <w:szCs w:val="24"/>
        </w:rPr>
        <w:t>Weetman, P., 2013. Financial accounting. Pearson Education.</w:t>
      </w:r>
    </w:p>
    <w:p w14:paraId="573B9F80" w14:textId="77777777" w:rsidR="0017469B" w:rsidRPr="005032C2" w:rsidRDefault="0017469B" w:rsidP="00EA4087">
      <w:pPr>
        <w:pStyle w:val="Bibliography"/>
        <w:spacing w:line="276" w:lineRule="auto"/>
        <w:rPr>
          <w:sz w:val="24"/>
          <w:szCs w:val="24"/>
        </w:rPr>
      </w:pPr>
      <w:r w:rsidRPr="005032C2">
        <w:rPr>
          <w:sz w:val="24"/>
          <w:szCs w:val="24"/>
        </w:rPr>
        <w:t>World Bank Group, 2020. COVID-19 Outbreak: Capital Markets Implications and Response (COVID-19 Notes), Finance Series. The World Bank Group.</w:t>
      </w:r>
    </w:p>
    <w:p w14:paraId="2562D768" w14:textId="77777777" w:rsidR="0017469B" w:rsidRPr="005032C2" w:rsidRDefault="0017469B" w:rsidP="00EA4087">
      <w:pPr>
        <w:pStyle w:val="Bibliography"/>
        <w:spacing w:line="276" w:lineRule="auto"/>
        <w:rPr>
          <w:sz w:val="24"/>
          <w:szCs w:val="24"/>
        </w:rPr>
      </w:pPr>
      <w:r w:rsidRPr="005032C2">
        <w:rPr>
          <w:sz w:val="24"/>
          <w:szCs w:val="24"/>
        </w:rPr>
        <w:t>World Health Organisation, 2021. Listings of WHO’s response to COVID-19 [WWW Document]. URL https://www.who.int/news/item/29-06-2020-covidtimeline (accessed 8.28.22).</w:t>
      </w:r>
    </w:p>
    <w:p w14:paraId="5BEE6574" w14:textId="77777777" w:rsidR="0017469B" w:rsidRPr="005032C2" w:rsidRDefault="0017469B" w:rsidP="00EA4087">
      <w:pPr>
        <w:pStyle w:val="Bibliography"/>
        <w:spacing w:line="276" w:lineRule="auto"/>
        <w:rPr>
          <w:sz w:val="24"/>
          <w:szCs w:val="24"/>
        </w:rPr>
      </w:pPr>
      <w:r w:rsidRPr="005032C2">
        <w:rPr>
          <w:sz w:val="24"/>
          <w:szCs w:val="24"/>
        </w:rPr>
        <w:t>World Health Organisation, 2020. WHO Director-General’s opening remarks at the media briefing on COVID-19 - 11 March 2020 [WWW Document]. URL https://www.who.int/director-general/speeches/detail/who-director-general-s-opening-remarks-at-the-media-briefing-on-covid-19---11-march-2020 (accessed 4.28.23).</w:t>
      </w:r>
    </w:p>
    <w:p w14:paraId="63B70794" w14:textId="77777777" w:rsidR="0017469B" w:rsidRPr="005032C2" w:rsidRDefault="0017469B" w:rsidP="00EA4087">
      <w:pPr>
        <w:pStyle w:val="Bibliography"/>
        <w:spacing w:line="276" w:lineRule="auto"/>
        <w:rPr>
          <w:sz w:val="24"/>
          <w:szCs w:val="24"/>
        </w:rPr>
      </w:pPr>
      <w:r w:rsidRPr="005032C2">
        <w:rPr>
          <w:sz w:val="24"/>
          <w:szCs w:val="24"/>
        </w:rPr>
        <w:t>Yahoo Finance, 2023a. EUR/GBP (EURGBP=X) Live Rate, Chart &amp; News - Yahoo Finance [WWW Document]. URL https://finance.yahoo.com/quote/EURGBP%3DX/ (accessed 3.23.23).</w:t>
      </w:r>
    </w:p>
    <w:p w14:paraId="7FAA9CF1" w14:textId="77777777" w:rsidR="0017469B" w:rsidRPr="005032C2" w:rsidRDefault="0017469B" w:rsidP="00EA4087">
      <w:pPr>
        <w:pStyle w:val="Bibliography"/>
        <w:spacing w:line="276" w:lineRule="auto"/>
        <w:rPr>
          <w:sz w:val="24"/>
          <w:szCs w:val="24"/>
        </w:rPr>
      </w:pPr>
      <w:r w:rsidRPr="005032C2">
        <w:rPr>
          <w:sz w:val="24"/>
          <w:szCs w:val="24"/>
        </w:rPr>
        <w:t>Yahoo Finance, 2023b. USD/GBP (GBP=X) Live Rate, Chart &amp; News - Yahoo Finance [WWW Document]. URL https://finance.yahoo.com/quote/GBP%3DX/history/ (accessed 3.22.23).</w:t>
      </w:r>
    </w:p>
    <w:p w14:paraId="4F53C422" w14:textId="77777777" w:rsidR="0017469B" w:rsidRPr="005032C2" w:rsidRDefault="0017469B" w:rsidP="00EA4087">
      <w:pPr>
        <w:pStyle w:val="Bibliography"/>
        <w:spacing w:line="276" w:lineRule="auto"/>
        <w:rPr>
          <w:sz w:val="24"/>
          <w:szCs w:val="24"/>
        </w:rPr>
      </w:pPr>
      <w:r w:rsidRPr="005032C2">
        <w:rPr>
          <w:sz w:val="24"/>
          <w:szCs w:val="24"/>
        </w:rPr>
        <w:t>Yahoo! Finance, 2023. Yahoo Finance - Stock Market Live, Quotes, Business &amp; Finance News [WWW Document]. URL https://finance.yahoo.com/ (accessed 7.31.22).</w:t>
      </w:r>
    </w:p>
    <w:p w14:paraId="5B982C7C" w14:textId="77777777" w:rsidR="0017469B" w:rsidRPr="005032C2" w:rsidRDefault="0017469B" w:rsidP="00EA4087">
      <w:pPr>
        <w:pStyle w:val="Bibliography"/>
        <w:spacing w:line="276" w:lineRule="auto"/>
        <w:rPr>
          <w:sz w:val="24"/>
          <w:szCs w:val="24"/>
        </w:rPr>
      </w:pPr>
      <w:r w:rsidRPr="005032C2">
        <w:rPr>
          <w:sz w:val="24"/>
          <w:szCs w:val="24"/>
        </w:rPr>
        <w:t>Yahoo Finance, 2022. Major world indices – Yahoo Finance [WWW Document]. URL https://uk.finance.yahoo.com/world-indices/ (accessed 9.4.22).</w:t>
      </w:r>
    </w:p>
    <w:p w14:paraId="77EF6C9B" w14:textId="77777777" w:rsidR="0017469B" w:rsidRPr="005032C2" w:rsidRDefault="0017469B" w:rsidP="00EA4087">
      <w:pPr>
        <w:pStyle w:val="Bibliography"/>
        <w:spacing w:line="276" w:lineRule="auto"/>
        <w:rPr>
          <w:sz w:val="24"/>
          <w:szCs w:val="24"/>
        </w:rPr>
      </w:pPr>
      <w:r w:rsidRPr="005032C2">
        <w:rPr>
          <w:sz w:val="24"/>
          <w:szCs w:val="24"/>
        </w:rPr>
        <w:t xml:space="preserve">Yang, Y., Peng, F., Wang, R., Guan, K., Jiang, T., Xu, G., Sun, J., Chang, C., 2020. The deadly coronaviruses: The 2003 SARS pandemic and the 2020 novel coronavirus epidemic in </w:t>
      </w:r>
      <w:r w:rsidRPr="005032C2">
        <w:rPr>
          <w:sz w:val="24"/>
          <w:szCs w:val="24"/>
        </w:rPr>
        <w:lastRenderedPageBreak/>
        <w:t>China. Journal of Autoimmunity 109, 102434. https://doi.org/10.1016/j.jaut.2020.102434</w:t>
      </w:r>
    </w:p>
    <w:p w14:paraId="3726752A" w14:textId="77777777" w:rsidR="0017469B" w:rsidRPr="005032C2" w:rsidRDefault="0017469B" w:rsidP="00EA4087">
      <w:pPr>
        <w:pStyle w:val="Bibliography"/>
        <w:spacing w:line="276" w:lineRule="auto"/>
        <w:rPr>
          <w:sz w:val="24"/>
          <w:szCs w:val="24"/>
        </w:rPr>
      </w:pPr>
      <w:r w:rsidRPr="005032C2">
        <w:rPr>
          <w:sz w:val="24"/>
          <w:szCs w:val="24"/>
        </w:rPr>
        <w:t>Yarovaya, L., Matkovskyy, R., Jalan, A., 2022. The COVID-19 black swan crisis: Reaction and recovery of various financial markets. Research in international business and finance 59, 101521. https://doi.org/10.1016/j.ribaf.2021.101521</w:t>
      </w:r>
    </w:p>
    <w:p w14:paraId="596993AA" w14:textId="77777777" w:rsidR="0017469B" w:rsidRPr="005032C2" w:rsidRDefault="0017469B" w:rsidP="00EA4087">
      <w:pPr>
        <w:pStyle w:val="Bibliography"/>
        <w:spacing w:line="276" w:lineRule="auto"/>
        <w:rPr>
          <w:sz w:val="24"/>
          <w:szCs w:val="24"/>
        </w:rPr>
      </w:pPr>
      <w:r w:rsidRPr="005032C2">
        <w:rPr>
          <w:sz w:val="24"/>
          <w:szCs w:val="24"/>
        </w:rPr>
        <w:t>Zopounidis, C., Christopoulos, A.G., Kalantonis, P., 2018. Perspectives, trends, and applications in corporate finance and accounting. Business Science Reference, an imprint of IGI Global, Hershey, PA. https://doi.org/10.4018/978-1-5225-6114-9</w:t>
      </w:r>
    </w:p>
    <w:p w14:paraId="6A752990" w14:textId="2935EC2C" w:rsidR="001F5B93" w:rsidRPr="001C3D75" w:rsidRDefault="004B7402" w:rsidP="00EA4087">
      <w:pPr>
        <w:rPr>
          <w:rFonts w:eastAsia="Times New Roman" w:cs="Times New Roman"/>
          <w:b/>
          <w:bCs/>
          <w:kern w:val="36"/>
          <w:sz w:val="24"/>
          <w:szCs w:val="24"/>
          <w:lang w:eastAsia="en-GB"/>
        </w:rPr>
      </w:pPr>
      <w:r w:rsidRPr="005032C2">
        <w:rPr>
          <w:sz w:val="24"/>
          <w:szCs w:val="24"/>
        </w:rPr>
        <w:fldChar w:fldCharType="end"/>
      </w:r>
      <w:r w:rsidR="001F5B93" w:rsidRPr="001C3D75">
        <w:rPr>
          <w:sz w:val="24"/>
          <w:szCs w:val="24"/>
        </w:rPr>
        <w:br w:type="page"/>
      </w:r>
    </w:p>
    <w:p w14:paraId="6BCB5E2C" w14:textId="435F1489" w:rsidR="001E2026" w:rsidRPr="001E2026" w:rsidRDefault="00CE5C03" w:rsidP="00112407">
      <w:pPr>
        <w:pStyle w:val="Heading1"/>
        <w:numPr>
          <w:ilvl w:val="0"/>
          <w:numId w:val="3"/>
        </w:numPr>
        <w:spacing w:line="480" w:lineRule="auto"/>
        <w:jc w:val="both"/>
        <w:rPr>
          <w:szCs w:val="24"/>
        </w:rPr>
      </w:pPr>
      <w:bookmarkStart w:id="88" w:name="_Toc141646758"/>
      <w:r w:rsidRPr="00212580">
        <w:rPr>
          <w:szCs w:val="24"/>
        </w:rPr>
        <w:lastRenderedPageBreak/>
        <w:t>Appendices</w:t>
      </w:r>
      <w:bookmarkEnd w:id="88"/>
    </w:p>
    <w:p w14:paraId="45DDD74F" w14:textId="77777777" w:rsidR="009C3206" w:rsidRDefault="009C3206" w:rsidP="00112407">
      <w:pPr>
        <w:pStyle w:val="Heading2"/>
        <w:numPr>
          <w:ilvl w:val="1"/>
          <w:numId w:val="3"/>
        </w:numPr>
        <w:spacing w:line="480" w:lineRule="auto"/>
        <w:jc w:val="both"/>
        <w:rPr>
          <w:szCs w:val="24"/>
        </w:rPr>
        <w:sectPr w:rsidR="009C3206" w:rsidSect="005D4D65">
          <w:pgSz w:w="11906" w:h="16838"/>
          <w:pgMar w:top="1440" w:right="1440" w:bottom="1440" w:left="1440" w:header="708" w:footer="708" w:gutter="0"/>
          <w:cols w:space="708"/>
          <w:docGrid w:linePitch="360"/>
        </w:sectPr>
      </w:pPr>
    </w:p>
    <w:p w14:paraId="143EDE89" w14:textId="20C13BE4" w:rsidR="00B309BB" w:rsidRDefault="00E634BD" w:rsidP="00112407">
      <w:pPr>
        <w:pStyle w:val="Heading2"/>
        <w:numPr>
          <w:ilvl w:val="1"/>
          <w:numId w:val="3"/>
        </w:numPr>
        <w:spacing w:line="480" w:lineRule="auto"/>
        <w:jc w:val="both"/>
        <w:rPr>
          <w:szCs w:val="24"/>
        </w:rPr>
      </w:pPr>
      <w:bookmarkStart w:id="89" w:name="_Toc141646759"/>
      <w:r>
        <w:rPr>
          <w:szCs w:val="24"/>
        </w:rPr>
        <w:lastRenderedPageBreak/>
        <w:t xml:space="preserve">Example </w:t>
      </w:r>
      <w:r w:rsidR="00796160">
        <w:rPr>
          <w:szCs w:val="24"/>
        </w:rPr>
        <w:t>Financial Input Statement</w:t>
      </w:r>
      <w:r w:rsidR="00015D35">
        <w:rPr>
          <w:szCs w:val="24"/>
        </w:rPr>
        <w:t xml:space="preserve"> Microsoft Excel Spreadsheet</w:t>
      </w:r>
      <w:bookmarkEnd w:id="89"/>
    </w:p>
    <w:p w14:paraId="1D191B77" w14:textId="665FC09F" w:rsidR="00015D35" w:rsidRDefault="000A6E9B" w:rsidP="00BC038D">
      <w:r>
        <w:rPr>
          <w:noProof/>
          <w:szCs w:val="24"/>
        </w:rPr>
        <w:drawing>
          <wp:anchor distT="0" distB="0" distL="114300" distR="114300" simplePos="0" relativeHeight="251659291" behindDoc="0" locked="0" layoutInCell="1" allowOverlap="1" wp14:anchorId="4476DF04" wp14:editId="241C9BF4">
            <wp:simplePos x="0" y="0"/>
            <wp:positionH relativeFrom="column">
              <wp:posOffset>-508000</wp:posOffset>
            </wp:positionH>
            <wp:positionV relativeFrom="paragraph">
              <wp:posOffset>511810</wp:posOffset>
            </wp:positionV>
            <wp:extent cx="9878695" cy="3709670"/>
            <wp:effectExtent l="0" t="0" r="0" b="0"/>
            <wp:wrapTopAndBottom/>
            <wp:docPr id="1020423296" name="Picture 1" descr="A spreadsheet with numbers and number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20423296" name="Picture 1" descr="A spreadsheet with numbers and numbers&#10;&#10;Description automatically generated"/>
                    <pic:cNvPicPr/>
                  </pic:nvPicPr>
                  <pic:blipFill>
                    <a:blip r:embed="rId52" cstate="print">
                      <a:extLst>
                        <a:ext uri="{28A0092B-C50C-407E-A947-70E740481C1C}">
                          <a14:useLocalDpi xmlns:a14="http://schemas.microsoft.com/office/drawing/2010/main" val="0"/>
                        </a:ext>
                      </a:extLst>
                    </a:blip>
                    <a:stretch>
                      <a:fillRect/>
                    </a:stretch>
                  </pic:blipFill>
                  <pic:spPr>
                    <a:xfrm>
                      <a:off x="0" y="0"/>
                      <a:ext cx="9878695" cy="3709670"/>
                    </a:xfrm>
                    <a:prstGeom prst="rect">
                      <a:avLst/>
                    </a:prstGeom>
                  </pic:spPr>
                </pic:pic>
              </a:graphicData>
            </a:graphic>
            <wp14:sizeRelH relativeFrom="page">
              <wp14:pctWidth>0</wp14:pctWidth>
            </wp14:sizeRelH>
            <wp14:sizeRelV relativeFrom="page">
              <wp14:pctHeight>0</wp14:pctHeight>
            </wp14:sizeRelV>
          </wp:anchor>
        </w:drawing>
      </w:r>
      <w:r w:rsidR="00015D35">
        <w:t>Income Statement</w:t>
      </w:r>
    </w:p>
    <w:p w14:paraId="1A2AD236" w14:textId="60603861" w:rsidR="00015D35" w:rsidRPr="00015D35" w:rsidRDefault="00015D35" w:rsidP="00015D35"/>
    <w:p w14:paraId="1418D27F" w14:textId="5D86D66E" w:rsidR="00015D35" w:rsidRDefault="00015D35">
      <w:pPr>
        <w:rPr>
          <w:szCs w:val="24"/>
        </w:rPr>
      </w:pPr>
      <w:r>
        <w:rPr>
          <w:szCs w:val="24"/>
        </w:rPr>
        <w:br w:type="page"/>
      </w:r>
    </w:p>
    <w:p w14:paraId="3429C2A6" w14:textId="26A51EB8" w:rsidR="000A6E9B" w:rsidRPr="00BC038D" w:rsidRDefault="00BA0D0E" w:rsidP="00BC038D">
      <w:pPr>
        <w:rPr>
          <w:szCs w:val="24"/>
        </w:rPr>
      </w:pPr>
      <w:r>
        <w:rPr>
          <w:noProof/>
        </w:rPr>
        <w:lastRenderedPageBreak/>
        <w:drawing>
          <wp:anchor distT="0" distB="0" distL="114300" distR="114300" simplePos="0" relativeHeight="251660315" behindDoc="1" locked="0" layoutInCell="1" allowOverlap="1" wp14:anchorId="26135930" wp14:editId="50088FA7">
            <wp:simplePos x="0" y="0"/>
            <wp:positionH relativeFrom="column">
              <wp:posOffset>861695</wp:posOffset>
            </wp:positionH>
            <wp:positionV relativeFrom="paragraph">
              <wp:posOffset>187086</wp:posOffset>
            </wp:positionV>
            <wp:extent cx="7134860" cy="5658485"/>
            <wp:effectExtent l="0" t="0" r="0" b="0"/>
            <wp:wrapTight wrapText="bothSides">
              <wp:wrapPolygon edited="0">
                <wp:start x="0" y="0"/>
                <wp:lineTo x="0" y="21573"/>
                <wp:lineTo x="21569" y="21573"/>
                <wp:lineTo x="21569" y="0"/>
                <wp:lineTo x="0" y="0"/>
              </wp:wrapPolygon>
            </wp:wrapTight>
            <wp:docPr id="964497456" name="Picture 2" descr="A screenshot of a spreadshee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64497456" name="Picture 2" descr="A screenshot of a spreadsheet&#10;&#10;Description automatically generated"/>
                    <pic:cNvPicPr/>
                  </pic:nvPicPr>
                  <pic:blipFill rotWithShape="1">
                    <a:blip r:embed="rId53" cstate="print">
                      <a:extLst>
                        <a:ext uri="{28A0092B-C50C-407E-A947-70E740481C1C}">
                          <a14:useLocalDpi xmlns:a14="http://schemas.microsoft.com/office/drawing/2010/main" val="0"/>
                        </a:ext>
                      </a:extLst>
                    </a:blip>
                    <a:srcRect b="1269"/>
                    <a:stretch/>
                  </pic:blipFill>
                  <pic:spPr bwMode="auto">
                    <a:xfrm>
                      <a:off x="0" y="0"/>
                      <a:ext cx="7134860" cy="565848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0A6E9B" w:rsidRPr="00BC038D">
        <w:rPr>
          <w:szCs w:val="24"/>
        </w:rPr>
        <w:t>Balance Sheet</w:t>
      </w:r>
    </w:p>
    <w:p w14:paraId="75869799" w14:textId="0669DF38" w:rsidR="00015D35" w:rsidRDefault="00015D35">
      <w:pPr>
        <w:rPr>
          <w:szCs w:val="24"/>
        </w:rPr>
      </w:pPr>
      <w:r>
        <w:rPr>
          <w:szCs w:val="24"/>
        </w:rPr>
        <w:br w:type="page"/>
      </w:r>
    </w:p>
    <w:p w14:paraId="1E008DBB" w14:textId="5EC97966" w:rsidR="008811A4" w:rsidRPr="00BC038D" w:rsidRDefault="008811A4" w:rsidP="00BC038D">
      <w:pPr>
        <w:rPr>
          <w:szCs w:val="24"/>
        </w:rPr>
      </w:pPr>
      <w:r w:rsidRPr="00BC038D">
        <w:rPr>
          <w:szCs w:val="24"/>
        </w:rPr>
        <w:lastRenderedPageBreak/>
        <w:t>Cash Flow Statement</w:t>
      </w:r>
    </w:p>
    <w:p w14:paraId="3CD8F834" w14:textId="72431B56" w:rsidR="00B309BB" w:rsidRDefault="008811A4">
      <w:pPr>
        <w:rPr>
          <w:rFonts w:eastAsiaTheme="majorEastAsia" w:cstheme="majorBidi"/>
          <w:b/>
          <w:bCs/>
          <w:i/>
          <w:sz w:val="24"/>
          <w:szCs w:val="24"/>
        </w:rPr>
      </w:pPr>
      <w:r>
        <w:rPr>
          <w:noProof/>
          <w:szCs w:val="24"/>
        </w:rPr>
        <w:drawing>
          <wp:anchor distT="0" distB="0" distL="114300" distR="114300" simplePos="0" relativeHeight="251661339" behindDoc="1" locked="0" layoutInCell="1" allowOverlap="1" wp14:anchorId="34257DE5" wp14:editId="7FBEA6A0">
            <wp:simplePos x="0" y="0"/>
            <wp:positionH relativeFrom="column">
              <wp:posOffset>-387350</wp:posOffset>
            </wp:positionH>
            <wp:positionV relativeFrom="paragraph">
              <wp:posOffset>267970</wp:posOffset>
            </wp:positionV>
            <wp:extent cx="9638665" cy="4549140"/>
            <wp:effectExtent l="0" t="0" r="0" b="0"/>
            <wp:wrapTight wrapText="bothSides">
              <wp:wrapPolygon edited="0">
                <wp:start x="0" y="0"/>
                <wp:lineTo x="0" y="21528"/>
                <wp:lineTo x="21573" y="21528"/>
                <wp:lineTo x="21573" y="0"/>
                <wp:lineTo x="0" y="0"/>
              </wp:wrapPolygon>
            </wp:wrapTight>
            <wp:docPr id="805846024" name="Picture 3" descr="A screenshot of a spreadshee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05846024" name="Picture 3" descr="A screenshot of a spreadsheet&#10;&#10;Description automatically generated"/>
                    <pic:cNvPicPr/>
                  </pic:nvPicPr>
                  <pic:blipFill>
                    <a:blip r:embed="rId54" cstate="print">
                      <a:extLst>
                        <a:ext uri="{28A0092B-C50C-407E-A947-70E740481C1C}">
                          <a14:useLocalDpi xmlns:a14="http://schemas.microsoft.com/office/drawing/2010/main" val="0"/>
                        </a:ext>
                      </a:extLst>
                    </a:blip>
                    <a:stretch>
                      <a:fillRect/>
                    </a:stretch>
                  </pic:blipFill>
                  <pic:spPr>
                    <a:xfrm>
                      <a:off x="0" y="0"/>
                      <a:ext cx="9638665" cy="4549140"/>
                    </a:xfrm>
                    <a:prstGeom prst="rect">
                      <a:avLst/>
                    </a:prstGeom>
                  </pic:spPr>
                </pic:pic>
              </a:graphicData>
            </a:graphic>
            <wp14:sizeRelH relativeFrom="page">
              <wp14:pctWidth>0</wp14:pctWidth>
            </wp14:sizeRelH>
            <wp14:sizeRelV relativeFrom="page">
              <wp14:pctHeight>0</wp14:pctHeight>
            </wp14:sizeRelV>
          </wp:anchor>
        </w:drawing>
      </w:r>
      <w:r w:rsidR="00B309BB">
        <w:rPr>
          <w:szCs w:val="24"/>
        </w:rPr>
        <w:br w:type="page"/>
      </w:r>
    </w:p>
    <w:p w14:paraId="6A99D341" w14:textId="64C2C330" w:rsidR="009C3206" w:rsidRDefault="009C3206" w:rsidP="008C5B7C">
      <w:pPr>
        <w:pStyle w:val="Heading2"/>
        <w:numPr>
          <w:ilvl w:val="3"/>
          <w:numId w:val="39"/>
        </w:numPr>
        <w:spacing w:line="480" w:lineRule="auto"/>
        <w:jc w:val="both"/>
        <w:rPr>
          <w:szCs w:val="24"/>
        </w:rPr>
        <w:sectPr w:rsidR="009C3206" w:rsidSect="009C3206">
          <w:footerReference w:type="default" r:id="rId55"/>
          <w:pgSz w:w="16838" w:h="11906" w:orient="landscape"/>
          <w:pgMar w:top="1440" w:right="1440" w:bottom="1440" w:left="1440" w:header="708" w:footer="708" w:gutter="0"/>
          <w:cols w:space="708"/>
          <w:docGrid w:linePitch="360"/>
        </w:sectPr>
      </w:pPr>
    </w:p>
    <w:p w14:paraId="23DEE402" w14:textId="17B07FD9" w:rsidR="008630AD" w:rsidRDefault="00F06C86" w:rsidP="00112407">
      <w:pPr>
        <w:pStyle w:val="Heading2"/>
        <w:numPr>
          <w:ilvl w:val="1"/>
          <w:numId w:val="3"/>
        </w:numPr>
      </w:pPr>
      <w:bookmarkStart w:id="90" w:name="_Toc141646760"/>
      <w:r>
        <w:lastRenderedPageBreak/>
        <w:t>Sample Published Annual Report</w:t>
      </w:r>
      <w:r w:rsidR="00402B27">
        <w:t xml:space="preserve"> Financial Statements</w:t>
      </w:r>
      <w:bookmarkEnd w:id="90"/>
    </w:p>
    <w:p w14:paraId="59B16483" w14:textId="74F102FB" w:rsidR="00414A55" w:rsidRDefault="009774F6" w:rsidP="00BC038D">
      <w:r>
        <w:rPr>
          <w:noProof/>
        </w:rPr>
        <w:drawing>
          <wp:anchor distT="0" distB="0" distL="114300" distR="114300" simplePos="0" relativeHeight="251662363" behindDoc="1" locked="0" layoutInCell="1" allowOverlap="1" wp14:anchorId="2D7CBCCE" wp14:editId="4BB274B5">
            <wp:simplePos x="0" y="0"/>
            <wp:positionH relativeFrom="column">
              <wp:posOffset>-635</wp:posOffset>
            </wp:positionH>
            <wp:positionV relativeFrom="page">
              <wp:posOffset>1631315</wp:posOffset>
            </wp:positionV>
            <wp:extent cx="5731510" cy="8056245"/>
            <wp:effectExtent l="0" t="0" r="0" b="0"/>
            <wp:wrapTight wrapText="bothSides">
              <wp:wrapPolygon edited="0">
                <wp:start x="0" y="0"/>
                <wp:lineTo x="0" y="21554"/>
                <wp:lineTo x="21538" y="21554"/>
                <wp:lineTo x="21538" y="0"/>
                <wp:lineTo x="0" y="0"/>
              </wp:wrapPolygon>
            </wp:wrapTight>
            <wp:docPr id="933303565" name="Picture 4" descr="A document with numbers and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33303565" name="Picture 4" descr="A document with numbers and text&#10;&#10;Description automatically generated"/>
                    <pic:cNvPicPr/>
                  </pic:nvPicPr>
                  <pic:blipFill>
                    <a:blip r:embed="rId56" cstate="print">
                      <a:extLst>
                        <a:ext uri="{28A0092B-C50C-407E-A947-70E740481C1C}">
                          <a14:useLocalDpi xmlns:a14="http://schemas.microsoft.com/office/drawing/2010/main" val="0"/>
                        </a:ext>
                      </a:extLst>
                    </a:blip>
                    <a:stretch>
                      <a:fillRect/>
                    </a:stretch>
                  </pic:blipFill>
                  <pic:spPr>
                    <a:xfrm>
                      <a:off x="0" y="0"/>
                      <a:ext cx="5731510" cy="8056245"/>
                    </a:xfrm>
                    <a:prstGeom prst="rect">
                      <a:avLst/>
                    </a:prstGeom>
                  </pic:spPr>
                </pic:pic>
              </a:graphicData>
            </a:graphic>
            <wp14:sizeRelH relativeFrom="page">
              <wp14:pctWidth>0</wp14:pctWidth>
            </wp14:sizeRelH>
            <wp14:sizeRelV relativeFrom="page">
              <wp14:pctHeight>0</wp14:pctHeight>
            </wp14:sizeRelV>
          </wp:anchor>
        </w:drawing>
      </w:r>
      <w:r w:rsidR="005D3431">
        <w:t xml:space="preserve">Income Statement </w:t>
      </w:r>
      <w:r w:rsidR="00987C2B">
        <w:fldChar w:fldCharType="begin"/>
      </w:r>
      <w:r w:rsidR="003518DD">
        <w:instrText xml:space="preserve"> ADDIN ZOTERO_ITEM CSL_CITATION {"citationID":"JdZeq1zB","properties":{"formattedCitation":"(888 Holdings, 2023)","plainCitation":"(888 Holdings, 2023)","noteIndex":0},"citationItems":[{"id":1054,"uris":["http://zotero.org/users/local/RRCsWsp6/items/VLVPHGKM"],"itemData":{"id":1054,"type":"webpage","abstract":"Access 888 Holdings Plc’s historic results, reports and presentations prior to the acquisition of William Hill","container-title":"888 Holdings Plc","language":"en-GB","title":"Historical 888","URL":"https://corporate.888.com/investors/results-reports-and-presentations/historical-888/","author":[{"family":"888 Holdings","given":""}],"accessed":{"date-parts":[["2023",7,24]]},"issued":{"date-parts":[["2023",7,24]]}}}],"schema":"https://github.com/citation-style-language/schema/raw/master/csl-citation.json"} </w:instrText>
      </w:r>
      <w:r w:rsidR="00987C2B">
        <w:fldChar w:fldCharType="separate"/>
      </w:r>
      <w:r w:rsidR="003518DD">
        <w:rPr>
          <w:noProof/>
        </w:rPr>
        <w:t>(888 Holdings, 2023)</w:t>
      </w:r>
      <w:r w:rsidR="00987C2B">
        <w:fldChar w:fldCharType="end"/>
      </w:r>
      <w:r w:rsidR="007B0A50">
        <w:t>.</w:t>
      </w:r>
    </w:p>
    <w:p w14:paraId="67AC6150" w14:textId="00928810" w:rsidR="005D3431" w:rsidRDefault="005D3431" w:rsidP="00BC038D">
      <w:r>
        <w:lastRenderedPageBreak/>
        <w:t>Balance Sheet</w:t>
      </w:r>
      <w:r w:rsidR="007B0A50">
        <w:t xml:space="preserve"> </w:t>
      </w:r>
      <w:r>
        <w:fldChar w:fldCharType="begin"/>
      </w:r>
      <w:r w:rsidR="0009262C">
        <w:instrText xml:space="preserve"> ADDIN ZOTERO_ITEM CSL_CITATION {"citationID":"ONKv2EPL","properties":{"formattedCitation":"(888 Holdings, 2023)","plainCitation":"(888 Holdings, 2023)","noteIndex":0},"citationItems":[{"id":1054,"uris":["http://zotero.org/users/local/RRCsWsp6/items/VLVPHGKM"],"itemData":{"id":1054,"type":"webpage","abstract":"Access 888 Holdings Plc’s historic results, reports and presentations prior to the acquisition of William Hill","container-title":"888 Holdings Plc","language":"en-GB","title":"Historical 888","URL":"https://corporate.888.com/investors/results-reports-and-presentations/historical-888/","author":[{"family":"888 Holdings","given":""}],"accessed":{"date-parts":[["2023",7,24]]},"issued":{"date-parts":[["2023",7,24]]}}}],"schema":"https://github.com/citation-style-language/schema/raw/master/csl-citation.json"} </w:instrText>
      </w:r>
      <w:r>
        <w:fldChar w:fldCharType="separate"/>
      </w:r>
      <w:r>
        <w:rPr>
          <w:noProof/>
        </w:rPr>
        <w:t>(888 Holdings, 2023)</w:t>
      </w:r>
      <w:r>
        <w:fldChar w:fldCharType="end"/>
      </w:r>
      <w:r w:rsidR="007B0A50">
        <w:t>.</w:t>
      </w:r>
    </w:p>
    <w:p w14:paraId="61C8F468" w14:textId="53811ADF" w:rsidR="000058AD" w:rsidRDefault="00896BC2">
      <w:r>
        <w:rPr>
          <w:noProof/>
        </w:rPr>
        <w:drawing>
          <wp:anchor distT="0" distB="0" distL="114300" distR="114300" simplePos="0" relativeHeight="251663387" behindDoc="1" locked="0" layoutInCell="1" allowOverlap="1" wp14:anchorId="1AF0BB33" wp14:editId="6AE360B1">
            <wp:simplePos x="0" y="0"/>
            <wp:positionH relativeFrom="column">
              <wp:posOffset>0</wp:posOffset>
            </wp:positionH>
            <wp:positionV relativeFrom="paragraph">
              <wp:posOffset>0</wp:posOffset>
            </wp:positionV>
            <wp:extent cx="5731510" cy="8123555"/>
            <wp:effectExtent l="0" t="0" r="0" b="0"/>
            <wp:wrapTight wrapText="bothSides">
              <wp:wrapPolygon edited="0">
                <wp:start x="0" y="0"/>
                <wp:lineTo x="0" y="21578"/>
                <wp:lineTo x="21538" y="21578"/>
                <wp:lineTo x="21538" y="0"/>
                <wp:lineTo x="0" y="0"/>
              </wp:wrapPolygon>
            </wp:wrapTight>
            <wp:docPr id="1641449001" name="Picture 5" descr="A document with writing on i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41449001" name="Picture 5" descr="A document with writing on it&#10;&#10;Description automatically generated"/>
                    <pic:cNvPicPr/>
                  </pic:nvPicPr>
                  <pic:blipFill>
                    <a:blip r:embed="rId57" cstate="print">
                      <a:extLst>
                        <a:ext uri="{28A0092B-C50C-407E-A947-70E740481C1C}">
                          <a14:useLocalDpi xmlns:a14="http://schemas.microsoft.com/office/drawing/2010/main" val="0"/>
                        </a:ext>
                      </a:extLst>
                    </a:blip>
                    <a:stretch>
                      <a:fillRect/>
                    </a:stretch>
                  </pic:blipFill>
                  <pic:spPr>
                    <a:xfrm>
                      <a:off x="0" y="0"/>
                      <a:ext cx="5731510" cy="8123555"/>
                    </a:xfrm>
                    <a:prstGeom prst="rect">
                      <a:avLst/>
                    </a:prstGeom>
                  </pic:spPr>
                </pic:pic>
              </a:graphicData>
            </a:graphic>
            <wp14:sizeRelH relativeFrom="page">
              <wp14:pctWidth>0</wp14:pctWidth>
            </wp14:sizeRelH>
            <wp14:sizeRelV relativeFrom="page">
              <wp14:pctHeight>0</wp14:pctHeight>
            </wp14:sizeRelV>
          </wp:anchor>
        </w:drawing>
      </w:r>
      <w:r w:rsidR="000058AD">
        <w:br w:type="page"/>
      </w:r>
    </w:p>
    <w:p w14:paraId="40D445BD" w14:textId="050B6DF0" w:rsidR="007B0A50" w:rsidRDefault="009774F6" w:rsidP="00BC038D">
      <w:r>
        <w:lastRenderedPageBreak/>
        <w:t>Statement of Cash Flows</w:t>
      </w:r>
      <w:r w:rsidR="007B0A50">
        <w:t xml:space="preserve"> </w:t>
      </w:r>
      <w:r w:rsidR="007B0A50">
        <w:fldChar w:fldCharType="begin"/>
      </w:r>
      <w:r w:rsidR="0009262C">
        <w:instrText xml:space="preserve"> ADDIN ZOTERO_ITEM CSL_CITATION {"citationID":"xMZHUlgl","properties":{"formattedCitation":"(888 Holdings, 2023)","plainCitation":"(888 Holdings, 2023)","noteIndex":0},"citationItems":[{"id":1054,"uris":["http://zotero.org/users/local/RRCsWsp6/items/VLVPHGKM"],"itemData":{"id":1054,"type":"webpage","abstract":"Access 888 Holdings Plc’s historic results, reports and presentations prior to the acquisition of William Hill","container-title":"888 Holdings Plc","language":"en-GB","title":"Historical 888","URL":"https://corporate.888.com/investors/results-reports-and-presentations/historical-888/","author":[{"family":"888 Holdings","given":""}],"accessed":{"date-parts":[["2023",7,24]]},"issued":{"date-parts":[["2023",7,24]]}}}],"schema":"https://github.com/citation-style-language/schema/raw/master/csl-citation.json"} </w:instrText>
      </w:r>
      <w:r w:rsidR="007B0A50">
        <w:fldChar w:fldCharType="separate"/>
      </w:r>
      <w:r w:rsidR="007B0A50">
        <w:rPr>
          <w:noProof/>
        </w:rPr>
        <w:t>(888 Holdings, 2023)</w:t>
      </w:r>
      <w:r w:rsidR="007B0A50">
        <w:fldChar w:fldCharType="end"/>
      </w:r>
      <w:r w:rsidR="007B0A50">
        <w:t>.</w:t>
      </w:r>
    </w:p>
    <w:p w14:paraId="3F3027B9" w14:textId="11881259" w:rsidR="00E05236" w:rsidRPr="00414A55" w:rsidRDefault="009774F6" w:rsidP="00414A55">
      <w:r>
        <w:rPr>
          <w:noProof/>
        </w:rPr>
        <w:drawing>
          <wp:inline distT="0" distB="0" distL="0" distR="0" wp14:anchorId="2C34965B" wp14:editId="3E6D7D9D">
            <wp:extent cx="5731510" cy="8121650"/>
            <wp:effectExtent l="0" t="0" r="0" b="0"/>
            <wp:docPr id="531537658" name="Picture 13" descr="A screenshot of a documen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31537658" name="Picture 13" descr="A screenshot of a document&#10;&#10;Description automatically generated"/>
                    <pic:cNvPicPr/>
                  </pic:nvPicPr>
                  <pic:blipFill>
                    <a:blip r:embed="rId58" cstate="print">
                      <a:extLst>
                        <a:ext uri="{28A0092B-C50C-407E-A947-70E740481C1C}">
                          <a14:useLocalDpi xmlns:a14="http://schemas.microsoft.com/office/drawing/2010/main" val="0"/>
                        </a:ext>
                      </a:extLst>
                    </a:blip>
                    <a:stretch>
                      <a:fillRect/>
                    </a:stretch>
                  </pic:blipFill>
                  <pic:spPr>
                    <a:xfrm>
                      <a:off x="0" y="0"/>
                      <a:ext cx="5731510" cy="8121650"/>
                    </a:xfrm>
                    <a:prstGeom prst="rect">
                      <a:avLst/>
                    </a:prstGeom>
                  </pic:spPr>
                </pic:pic>
              </a:graphicData>
            </a:graphic>
          </wp:inline>
        </w:drawing>
      </w:r>
    </w:p>
    <w:p w14:paraId="3C2BA6E2" w14:textId="2A52ABB3" w:rsidR="008630AD" w:rsidRDefault="008630AD">
      <w:pPr>
        <w:rPr>
          <w:rFonts w:eastAsiaTheme="majorEastAsia" w:cstheme="majorBidi"/>
          <w:b/>
          <w:bCs/>
          <w:i/>
          <w:sz w:val="24"/>
          <w:szCs w:val="24"/>
        </w:rPr>
      </w:pPr>
      <w:r>
        <w:rPr>
          <w:szCs w:val="24"/>
        </w:rPr>
        <w:br w:type="page"/>
      </w:r>
    </w:p>
    <w:p w14:paraId="28207858" w14:textId="1EC83C84" w:rsidR="003078CF" w:rsidRPr="00212580" w:rsidRDefault="00DA048C" w:rsidP="00112407">
      <w:pPr>
        <w:pStyle w:val="Heading2"/>
        <w:numPr>
          <w:ilvl w:val="1"/>
          <w:numId w:val="3"/>
        </w:numPr>
      </w:pPr>
      <w:bookmarkStart w:id="91" w:name="_Toc141646761"/>
      <w:r>
        <w:lastRenderedPageBreak/>
        <w:t>Financial Ratios</w:t>
      </w:r>
      <w:bookmarkEnd w:id="91"/>
      <w:r>
        <w:t xml:space="preserve"> </w:t>
      </w:r>
    </w:p>
    <w:p w14:paraId="7407CFE8" w14:textId="1ECC47E8" w:rsidR="002C074E" w:rsidRPr="00DA048C" w:rsidRDefault="002C074E" w:rsidP="00DA048C">
      <w:pPr>
        <w:spacing w:line="480" w:lineRule="auto"/>
        <w:jc w:val="both"/>
        <w:rPr>
          <w:sz w:val="24"/>
          <w:szCs w:val="24"/>
        </w:rPr>
      </w:pPr>
      <w:r w:rsidRPr="002C074E">
        <w:rPr>
          <w:rFonts w:cstheme="minorHAnsi"/>
          <w:sz w:val="24"/>
          <w:szCs w:val="24"/>
        </w:rPr>
        <w:t>Profitability Ratios:</w:t>
      </w:r>
    </w:p>
    <w:p w14:paraId="6ABFE25A" w14:textId="7D3CFA05" w:rsidR="002C074E" w:rsidRPr="002C074E" w:rsidRDefault="002C074E" w:rsidP="00551C1B">
      <w:pPr>
        <w:pStyle w:val="ListParagraph"/>
        <w:numPr>
          <w:ilvl w:val="0"/>
          <w:numId w:val="18"/>
        </w:numPr>
        <w:spacing w:after="160" w:line="480" w:lineRule="auto"/>
        <w:rPr>
          <w:rFonts w:cstheme="minorHAnsi"/>
          <w:sz w:val="24"/>
          <w:szCs w:val="24"/>
        </w:rPr>
      </w:pPr>
      <w:r w:rsidRPr="002C074E">
        <w:rPr>
          <w:rFonts w:cstheme="minorHAnsi"/>
          <w:b/>
          <w:bCs/>
          <w:sz w:val="24"/>
          <w:szCs w:val="24"/>
        </w:rPr>
        <w:t>Gross Profit</w:t>
      </w:r>
      <w:r w:rsidRPr="002C074E">
        <w:rPr>
          <w:rFonts w:cstheme="minorHAnsi"/>
          <w:sz w:val="24"/>
          <w:szCs w:val="24"/>
        </w:rPr>
        <w:t xml:space="preserve"> =</w:t>
      </w:r>
      <w:r w:rsidR="00551C1B">
        <w:rPr>
          <w:rFonts w:cstheme="minorHAnsi"/>
          <w:sz w:val="24"/>
          <w:szCs w:val="24"/>
        </w:rPr>
        <w:t xml:space="preserve"> </w:t>
      </w:r>
      <m:oMath>
        <m:f>
          <m:fPr>
            <m:ctrlPr>
              <w:rPr>
                <w:rFonts w:ascii="Cambria Math" w:hAnsi="Cambria Math" w:cstheme="minorHAnsi"/>
                <w:iCs/>
                <w:sz w:val="24"/>
                <w:szCs w:val="24"/>
              </w:rPr>
            </m:ctrlPr>
          </m:fPr>
          <m:num>
            <m:r>
              <m:rPr>
                <m:sty m:val="p"/>
              </m:rPr>
              <w:rPr>
                <w:rFonts w:ascii="Cambria Math" w:hAnsi="Cambria Math" w:cstheme="minorHAnsi"/>
                <w:sz w:val="24"/>
                <w:szCs w:val="24"/>
              </w:rPr>
              <m:t>Gross Profit</m:t>
            </m:r>
          </m:num>
          <m:den>
            <m:r>
              <m:rPr>
                <m:sty m:val="p"/>
              </m:rPr>
              <w:rPr>
                <w:rFonts w:ascii="Cambria Math" w:hAnsi="Cambria Math" w:cstheme="minorHAnsi"/>
                <w:sz w:val="24"/>
                <w:szCs w:val="24"/>
              </w:rPr>
              <m:t>Net Sales</m:t>
            </m:r>
          </m:den>
        </m:f>
      </m:oMath>
    </w:p>
    <w:p w14:paraId="5E5B8643" w14:textId="1E324864" w:rsidR="002C074E" w:rsidRPr="002C074E" w:rsidRDefault="002C074E" w:rsidP="00551C1B">
      <w:pPr>
        <w:pStyle w:val="ListParagraph"/>
        <w:numPr>
          <w:ilvl w:val="0"/>
          <w:numId w:val="18"/>
        </w:numPr>
        <w:spacing w:after="160" w:line="480" w:lineRule="auto"/>
        <w:rPr>
          <w:rFonts w:cstheme="minorHAnsi"/>
          <w:sz w:val="24"/>
          <w:szCs w:val="24"/>
        </w:rPr>
      </w:pPr>
      <w:r w:rsidRPr="002C074E">
        <w:rPr>
          <w:rFonts w:cstheme="minorHAnsi"/>
          <w:b/>
          <w:bCs/>
          <w:sz w:val="24"/>
          <w:szCs w:val="24"/>
        </w:rPr>
        <w:t>Cost of Sales</w:t>
      </w:r>
      <w:r w:rsidRPr="002C074E">
        <w:rPr>
          <w:rFonts w:cstheme="minorHAnsi"/>
          <w:sz w:val="24"/>
          <w:szCs w:val="24"/>
        </w:rPr>
        <w:t xml:space="preserve"> =</w:t>
      </w:r>
      <w:r w:rsidR="00551C1B">
        <w:rPr>
          <w:rFonts w:cstheme="minorHAnsi"/>
          <w:sz w:val="24"/>
          <w:szCs w:val="24"/>
        </w:rPr>
        <w:tab/>
      </w:r>
      <w:r w:rsidRPr="002C074E">
        <w:rPr>
          <w:rFonts w:cstheme="minorHAnsi"/>
          <w:sz w:val="24"/>
          <w:szCs w:val="24"/>
        </w:rPr>
        <w:t xml:space="preserve"> </w:t>
      </w:r>
      <m:oMath>
        <m:f>
          <m:fPr>
            <m:ctrlPr>
              <w:rPr>
                <w:rFonts w:ascii="Cambria Math" w:hAnsi="Cambria Math" w:cstheme="minorHAnsi"/>
                <w:iCs/>
                <w:sz w:val="24"/>
                <w:szCs w:val="24"/>
              </w:rPr>
            </m:ctrlPr>
          </m:fPr>
          <m:num>
            <m:r>
              <m:rPr>
                <m:sty m:val="p"/>
              </m:rPr>
              <w:rPr>
                <w:rFonts w:ascii="Cambria Math" w:hAnsi="Cambria Math" w:cstheme="minorHAnsi"/>
                <w:sz w:val="24"/>
                <w:szCs w:val="24"/>
              </w:rPr>
              <m:t>Cost of Sales</m:t>
            </m:r>
          </m:num>
          <m:den>
            <m:r>
              <m:rPr>
                <m:sty m:val="p"/>
              </m:rPr>
              <w:rPr>
                <w:rFonts w:ascii="Cambria Math" w:hAnsi="Cambria Math" w:cstheme="minorHAnsi"/>
                <w:sz w:val="24"/>
                <w:szCs w:val="24"/>
              </w:rPr>
              <m:t>Net Sales</m:t>
            </m:r>
          </m:den>
        </m:f>
      </m:oMath>
    </w:p>
    <w:p w14:paraId="783AA3EF" w14:textId="0B63F754" w:rsidR="002C074E" w:rsidRPr="002C074E" w:rsidRDefault="002C074E" w:rsidP="00551C1B">
      <w:pPr>
        <w:pStyle w:val="ListParagraph"/>
        <w:numPr>
          <w:ilvl w:val="0"/>
          <w:numId w:val="18"/>
        </w:numPr>
        <w:spacing w:after="160" w:line="480" w:lineRule="auto"/>
        <w:rPr>
          <w:rFonts w:cstheme="minorHAnsi"/>
          <w:sz w:val="24"/>
          <w:szCs w:val="24"/>
        </w:rPr>
      </w:pPr>
      <w:r w:rsidRPr="002C074E">
        <w:rPr>
          <w:rFonts w:cstheme="minorHAnsi"/>
          <w:b/>
          <w:bCs/>
          <w:sz w:val="24"/>
          <w:szCs w:val="24"/>
        </w:rPr>
        <w:t>Operating Profit</w:t>
      </w:r>
      <w:r w:rsidRPr="002C074E">
        <w:rPr>
          <w:rFonts w:cstheme="minorHAnsi"/>
          <w:sz w:val="24"/>
          <w:szCs w:val="24"/>
        </w:rPr>
        <w:t xml:space="preserve"> = </w:t>
      </w:r>
      <m:oMath>
        <m:f>
          <m:fPr>
            <m:ctrlPr>
              <w:rPr>
                <w:rFonts w:ascii="Cambria Math" w:hAnsi="Cambria Math" w:cstheme="minorHAnsi"/>
                <w:iCs/>
                <w:sz w:val="24"/>
                <w:szCs w:val="24"/>
              </w:rPr>
            </m:ctrlPr>
          </m:fPr>
          <m:num>
            <m:r>
              <m:rPr>
                <m:sty m:val="p"/>
              </m:rPr>
              <w:rPr>
                <w:rFonts w:ascii="Cambria Math" w:hAnsi="Cambria Math" w:cstheme="minorHAnsi"/>
                <w:sz w:val="24"/>
                <w:szCs w:val="24"/>
              </w:rPr>
              <m:t>Operating Profit</m:t>
            </m:r>
          </m:num>
          <m:den>
            <m:r>
              <m:rPr>
                <m:sty m:val="p"/>
              </m:rPr>
              <w:rPr>
                <w:rFonts w:ascii="Cambria Math" w:hAnsi="Cambria Math" w:cstheme="minorHAnsi"/>
                <w:sz w:val="24"/>
                <w:szCs w:val="24"/>
              </w:rPr>
              <m:t>Net Sales</m:t>
            </m:r>
          </m:den>
        </m:f>
      </m:oMath>
    </w:p>
    <w:p w14:paraId="7CB001BB" w14:textId="505592AD" w:rsidR="002C074E" w:rsidRPr="002C074E" w:rsidRDefault="002C074E" w:rsidP="00551C1B">
      <w:pPr>
        <w:pStyle w:val="ListParagraph"/>
        <w:numPr>
          <w:ilvl w:val="0"/>
          <w:numId w:val="18"/>
        </w:numPr>
        <w:spacing w:after="160" w:line="480" w:lineRule="auto"/>
        <w:rPr>
          <w:rFonts w:cstheme="minorHAnsi"/>
          <w:sz w:val="24"/>
          <w:szCs w:val="24"/>
        </w:rPr>
      </w:pPr>
      <w:r w:rsidRPr="002C074E">
        <w:rPr>
          <w:rFonts w:cstheme="minorHAnsi"/>
          <w:b/>
          <w:bCs/>
          <w:sz w:val="24"/>
          <w:szCs w:val="24"/>
        </w:rPr>
        <w:t>Net Profit</w:t>
      </w:r>
      <w:r w:rsidRPr="002C074E">
        <w:rPr>
          <w:rFonts w:cstheme="minorHAnsi"/>
          <w:sz w:val="24"/>
          <w:szCs w:val="24"/>
        </w:rPr>
        <w:t xml:space="preserve"> = </w:t>
      </w:r>
      <m:oMath>
        <m:f>
          <m:fPr>
            <m:ctrlPr>
              <w:rPr>
                <w:rFonts w:ascii="Cambria Math" w:hAnsi="Cambria Math" w:cstheme="minorHAnsi"/>
                <w:iCs/>
                <w:sz w:val="24"/>
                <w:szCs w:val="24"/>
              </w:rPr>
            </m:ctrlPr>
          </m:fPr>
          <m:num>
            <m:r>
              <m:rPr>
                <m:sty m:val="p"/>
              </m:rPr>
              <w:rPr>
                <w:rFonts w:ascii="Cambria Math" w:hAnsi="Cambria Math" w:cstheme="minorHAnsi"/>
                <w:sz w:val="24"/>
                <w:szCs w:val="24"/>
              </w:rPr>
              <m:t>Profit for the Year</m:t>
            </m:r>
          </m:num>
          <m:den>
            <m:r>
              <m:rPr>
                <m:sty m:val="p"/>
              </m:rPr>
              <w:rPr>
                <w:rFonts w:ascii="Cambria Math" w:hAnsi="Cambria Math" w:cstheme="minorHAnsi"/>
                <w:sz w:val="24"/>
                <w:szCs w:val="24"/>
              </w:rPr>
              <m:t>Net Sales</m:t>
            </m:r>
          </m:den>
        </m:f>
      </m:oMath>
    </w:p>
    <w:p w14:paraId="073F5128" w14:textId="11C4F567" w:rsidR="002C074E" w:rsidRPr="002C074E" w:rsidRDefault="002C074E" w:rsidP="00551C1B">
      <w:pPr>
        <w:pStyle w:val="ListParagraph"/>
        <w:numPr>
          <w:ilvl w:val="0"/>
          <w:numId w:val="18"/>
        </w:numPr>
        <w:spacing w:after="160" w:line="480" w:lineRule="auto"/>
        <w:rPr>
          <w:rFonts w:cstheme="minorHAnsi"/>
          <w:sz w:val="24"/>
          <w:szCs w:val="24"/>
        </w:rPr>
      </w:pPr>
      <w:r w:rsidRPr="002C074E">
        <w:rPr>
          <w:rFonts w:cstheme="minorHAnsi"/>
          <w:b/>
          <w:bCs/>
          <w:sz w:val="24"/>
          <w:szCs w:val="24"/>
        </w:rPr>
        <w:t>Return on Capital Employed (ROCE)</w:t>
      </w:r>
      <w:r w:rsidRPr="002C074E">
        <w:rPr>
          <w:rFonts w:cstheme="minorHAnsi"/>
          <w:sz w:val="24"/>
          <w:szCs w:val="24"/>
        </w:rPr>
        <w:t xml:space="preserve"> = </w:t>
      </w:r>
      <w:r w:rsidR="007838ED">
        <w:rPr>
          <w:rFonts w:cstheme="minorHAnsi"/>
          <w:sz w:val="24"/>
          <w:szCs w:val="24"/>
        </w:rPr>
        <w:t xml:space="preserve"> </w:t>
      </w:r>
      <m:oMath>
        <m:f>
          <m:fPr>
            <m:ctrlPr>
              <w:rPr>
                <w:rFonts w:ascii="Cambria Math" w:hAnsi="Cambria Math" w:cstheme="minorHAnsi"/>
                <w:iCs/>
                <w:sz w:val="24"/>
                <w:szCs w:val="24"/>
              </w:rPr>
            </m:ctrlPr>
          </m:fPr>
          <m:num>
            <m:r>
              <m:rPr>
                <m:sty m:val="p"/>
              </m:rPr>
              <w:rPr>
                <w:rFonts w:ascii="Cambria Math" w:hAnsi="Cambria Math" w:cstheme="minorHAnsi"/>
                <w:sz w:val="24"/>
                <w:szCs w:val="24"/>
              </w:rPr>
              <m:t>Earnings before interest and tax</m:t>
            </m:r>
          </m:num>
          <m:den>
            <m:r>
              <m:rPr>
                <m:sty m:val="p"/>
              </m:rPr>
              <w:rPr>
                <w:rFonts w:ascii="Cambria Math" w:hAnsi="Cambria Math" w:cstheme="minorHAnsi"/>
                <w:sz w:val="24"/>
                <w:szCs w:val="24"/>
              </w:rPr>
              <m:t>(Non-current Liabilities + Total Equity)</m:t>
            </m:r>
          </m:den>
        </m:f>
      </m:oMath>
    </w:p>
    <w:p w14:paraId="23192680" w14:textId="263DCA4E" w:rsidR="002C074E" w:rsidRPr="002C074E" w:rsidRDefault="002C074E" w:rsidP="00551C1B">
      <w:pPr>
        <w:pStyle w:val="ListParagraph"/>
        <w:numPr>
          <w:ilvl w:val="0"/>
          <w:numId w:val="18"/>
        </w:numPr>
        <w:spacing w:after="160" w:line="480" w:lineRule="auto"/>
        <w:rPr>
          <w:rFonts w:cstheme="minorHAnsi"/>
          <w:sz w:val="24"/>
          <w:szCs w:val="24"/>
        </w:rPr>
      </w:pPr>
      <w:r w:rsidRPr="002C074E">
        <w:rPr>
          <w:rFonts w:cstheme="minorHAnsi"/>
          <w:b/>
          <w:bCs/>
          <w:sz w:val="24"/>
          <w:szCs w:val="24"/>
        </w:rPr>
        <w:t>Quick Ratio (Acid Test)</w:t>
      </w:r>
      <w:r w:rsidRPr="002C074E">
        <w:rPr>
          <w:rFonts w:cstheme="minorHAnsi"/>
          <w:sz w:val="24"/>
          <w:szCs w:val="24"/>
        </w:rPr>
        <w:t xml:space="preserve"> = </w:t>
      </w:r>
      <m:oMath>
        <m:f>
          <m:fPr>
            <m:ctrlPr>
              <w:rPr>
                <w:rFonts w:ascii="Cambria Math" w:hAnsi="Cambria Math" w:cstheme="minorHAnsi"/>
                <w:iCs/>
                <w:sz w:val="24"/>
                <w:szCs w:val="24"/>
              </w:rPr>
            </m:ctrlPr>
          </m:fPr>
          <m:num>
            <m:r>
              <m:rPr>
                <m:sty m:val="p"/>
              </m:rPr>
              <w:rPr>
                <w:rFonts w:ascii="Cambria Math" w:hAnsi="Cambria Math" w:cstheme="minorHAnsi"/>
                <w:sz w:val="24"/>
                <w:szCs w:val="24"/>
              </w:rPr>
              <m:t>(Current Assets - Inventories)</m:t>
            </m:r>
          </m:num>
          <m:den>
            <m:r>
              <m:rPr>
                <m:sty m:val="p"/>
              </m:rPr>
              <w:rPr>
                <w:rFonts w:ascii="Cambria Math" w:hAnsi="Cambria Math" w:cstheme="minorHAnsi"/>
                <w:sz w:val="24"/>
                <w:szCs w:val="24"/>
              </w:rPr>
              <m:t>Current Liabilities</m:t>
            </m:r>
          </m:den>
        </m:f>
      </m:oMath>
    </w:p>
    <w:p w14:paraId="16E6D478" w14:textId="7EDE5851" w:rsidR="002C074E" w:rsidRPr="002C074E" w:rsidRDefault="002C074E" w:rsidP="00551C1B">
      <w:pPr>
        <w:pStyle w:val="ListParagraph"/>
        <w:numPr>
          <w:ilvl w:val="0"/>
          <w:numId w:val="18"/>
        </w:numPr>
        <w:spacing w:after="160" w:line="480" w:lineRule="auto"/>
        <w:rPr>
          <w:rFonts w:cstheme="minorHAnsi"/>
          <w:sz w:val="24"/>
          <w:szCs w:val="24"/>
        </w:rPr>
      </w:pPr>
      <w:r w:rsidRPr="002C074E">
        <w:rPr>
          <w:rFonts w:cstheme="minorHAnsi"/>
          <w:b/>
          <w:bCs/>
          <w:sz w:val="24"/>
          <w:szCs w:val="24"/>
        </w:rPr>
        <w:t xml:space="preserve">Sales Growth </w:t>
      </w:r>
      <w:r w:rsidRPr="002C074E">
        <w:rPr>
          <w:rFonts w:cstheme="minorHAnsi"/>
          <w:sz w:val="24"/>
          <w:szCs w:val="24"/>
        </w:rPr>
        <w:t>=</w:t>
      </w:r>
      <w:r w:rsidRPr="002C074E">
        <w:rPr>
          <w:rFonts w:cstheme="minorHAnsi"/>
          <w:b/>
          <w:bCs/>
          <w:sz w:val="24"/>
          <w:szCs w:val="24"/>
        </w:rPr>
        <w:t xml:space="preserve"> </w:t>
      </w:r>
      <m:oMath>
        <m:f>
          <m:fPr>
            <m:ctrlPr>
              <w:rPr>
                <w:rFonts w:ascii="Cambria Math" w:hAnsi="Cambria Math" w:cstheme="minorHAnsi"/>
                <w:iCs/>
                <w:sz w:val="24"/>
                <w:szCs w:val="24"/>
              </w:rPr>
            </m:ctrlPr>
          </m:fPr>
          <m:num>
            <m:r>
              <m:rPr>
                <m:sty m:val="p"/>
              </m:rPr>
              <w:rPr>
                <w:rFonts w:ascii="Cambria Math" w:hAnsi="Cambria Math" w:cstheme="minorHAnsi"/>
                <w:sz w:val="24"/>
                <w:szCs w:val="24"/>
              </w:rPr>
              <m:t>(Current Year Net Sales – Previous Year Net Sales)</m:t>
            </m:r>
          </m:num>
          <m:den>
            <m:r>
              <m:rPr>
                <m:sty m:val="p"/>
              </m:rPr>
              <w:rPr>
                <w:rFonts w:ascii="Cambria Math" w:hAnsi="Cambria Math" w:cstheme="minorHAnsi"/>
                <w:sz w:val="24"/>
                <w:szCs w:val="24"/>
              </w:rPr>
              <m:t>Previous Year Net Sales</m:t>
            </m:r>
          </m:den>
        </m:f>
      </m:oMath>
    </w:p>
    <w:p w14:paraId="3071BC83" w14:textId="77777777" w:rsidR="002C074E" w:rsidRPr="002C074E" w:rsidRDefault="002C074E" w:rsidP="00551C1B">
      <w:pPr>
        <w:spacing w:line="480" w:lineRule="auto"/>
        <w:rPr>
          <w:rFonts w:cstheme="minorHAnsi"/>
          <w:sz w:val="24"/>
          <w:szCs w:val="24"/>
        </w:rPr>
      </w:pPr>
      <w:r w:rsidRPr="002C074E">
        <w:rPr>
          <w:rFonts w:cstheme="minorHAnsi"/>
          <w:sz w:val="24"/>
          <w:szCs w:val="24"/>
        </w:rPr>
        <w:t>Efficiency Ratios:</w:t>
      </w:r>
    </w:p>
    <w:p w14:paraId="1659BAEB" w14:textId="69954F31" w:rsidR="002C074E" w:rsidRPr="002C074E" w:rsidRDefault="002C074E" w:rsidP="00551C1B">
      <w:pPr>
        <w:pStyle w:val="ListParagraph"/>
        <w:numPr>
          <w:ilvl w:val="0"/>
          <w:numId w:val="19"/>
        </w:numPr>
        <w:spacing w:after="160" w:line="480" w:lineRule="auto"/>
        <w:rPr>
          <w:rFonts w:cstheme="minorHAnsi"/>
          <w:sz w:val="24"/>
          <w:szCs w:val="24"/>
        </w:rPr>
      </w:pPr>
      <w:r w:rsidRPr="002C074E">
        <w:rPr>
          <w:rFonts w:cstheme="minorHAnsi"/>
          <w:b/>
          <w:bCs/>
          <w:sz w:val="24"/>
          <w:szCs w:val="24"/>
        </w:rPr>
        <w:t xml:space="preserve">Asset Turnover </w:t>
      </w:r>
      <w:r w:rsidRPr="002C074E">
        <w:rPr>
          <w:rFonts w:cstheme="minorHAnsi"/>
          <w:sz w:val="24"/>
          <w:szCs w:val="24"/>
        </w:rPr>
        <w:t>=</w:t>
      </w:r>
      <w:r w:rsidRPr="002C074E">
        <w:rPr>
          <w:rFonts w:cstheme="minorHAnsi"/>
          <w:b/>
          <w:bCs/>
          <w:sz w:val="24"/>
          <w:szCs w:val="24"/>
        </w:rPr>
        <w:t xml:space="preserve"> </w:t>
      </w:r>
      <w:r w:rsidR="009C51E9">
        <w:rPr>
          <w:rFonts w:cstheme="minorHAnsi"/>
          <w:sz w:val="24"/>
          <w:szCs w:val="24"/>
        </w:rPr>
        <w:t xml:space="preserve"> </w:t>
      </w:r>
      <m:oMath>
        <m:f>
          <m:fPr>
            <m:ctrlPr>
              <w:rPr>
                <w:rFonts w:ascii="Cambria Math" w:hAnsi="Cambria Math" w:cstheme="minorHAnsi"/>
                <w:iCs/>
                <w:sz w:val="24"/>
                <w:szCs w:val="24"/>
              </w:rPr>
            </m:ctrlPr>
          </m:fPr>
          <m:num>
            <m:r>
              <m:rPr>
                <m:sty m:val="p"/>
              </m:rPr>
              <w:rPr>
                <w:rFonts w:ascii="Cambria Math" w:hAnsi="Cambria Math" w:cstheme="minorHAnsi"/>
                <w:sz w:val="24"/>
                <w:szCs w:val="24"/>
              </w:rPr>
              <m:t>Net Sales</m:t>
            </m:r>
          </m:num>
          <m:den>
            <m:r>
              <m:rPr>
                <m:sty m:val="p"/>
              </m:rPr>
              <w:rPr>
                <w:rFonts w:ascii="Cambria Math" w:hAnsi="Cambria Math" w:cstheme="minorHAnsi"/>
                <w:sz w:val="24"/>
                <w:szCs w:val="24"/>
              </w:rPr>
              <m:t>Total Assets</m:t>
            </m:r>
          </m:den>
        </m:f>
      </m:oMath>
    </w:p>
    <w:p w14:paraId="0B648E3C" w14:textId="329F0664" w:rsidR="002C074E" w:rsidRPr="002C074E" w:rsidRDefault="002C074E" w:rsidP="00551C1B">
      <w:pPr>
        <w:pStyle w:val="ListParagraph"/>
        <w:numPr>
          <w:ilvl w:val="0"/>
          <w:numId w:val="19"/>
        </w:numPr>
        <w:spacing w:after="160" w:line="480" w:lineRule="auto"/>
        <w:rPr>
          <w:rFonts w:cstheme="minorHAnsi"/>
          <w:sz w:val="24"/>
          <w:szCs w:val="24"/>
        </w:rPr>
      </w:pPr>
      <w:r w:rsidRPr="002C074E">
        <w:rPr>
          <w:rFonts w:cstheme="minorHAnsi"/>
          <w:b/>
          <w:bCs/>
          <w:sz w:val="24"/>
          <w:szCs w:val="24"/>
        </w:rPr>
        <w:t xml:space="preserve">Return on Assets </w:t>
      </w:r>
      <w:r w:rsidRPr="002C074E">
        <w:rPr>
          <w:rFonts w:cstheme="minorHAnsi"/>
          <w:sz w:val="24"/>
          <w:szCs w:val="24"/>
        </w:rPr>
        <w:t xml:space="preserve">= </w:t>
      </w:r>
      <m:oMath>
        <m:f>
          <m:fPr>
            <m:ctrlPr>
              <w:rPr>
                <w:rFonts w:ascii="Cambria Math" w:hAnsi="Cambria Math" w:cstheme="minorHAnsi"/>
                <w:iCs/>
                <w:sz w:val="24"/>
                <w:szCs w:val="24"/>
              </w:rPr>
            </m:ctrlPr>
          </m:fPr>
          <m:num>
            <m:r>
              <m:rPr>
                <m:sty m:val="p"/>
              </m:rPr>
              <w:rPr>
                <w:rFonts w:ascii="Cambria Math" w:hAnsi="Cambria Math" w:cstheme="minorHAnsi"/>
                <w:sz w:val="24"/>
                <w:szCs w:val="24"/>
              </w:rPr>
              <m:t>Profit for the Year</m:t>
            </m:r>
          </m:num>
          <m:den>
            <m:r>
              <m:rPr>
                <m:sty m:val="p"/>
              </m:rPr>
              <w:rPr>
                <w:rFonts w:ascii="Cambria Math" w:hAnsi="Cambria Math" w:cstheme="minorHAnsi"/>
                <w:sz w:val="24"/>
                <w:szCs w:val="24"/>
              </w:rPr>
              <m:t>Total Assets</m:t>
            </m:r>
          </m:den>
        </m:f>
      </m:oMath>
    </w:p>
    <w:p w14:paraId="2BB14480" w14:textId="5CACB3FE" w:rsidR="002C074E" w:rsidRPr="002C074E" w:rsidRDefault="002C074E" w:rsidP="00551C1B">
      <w:pPr>
        <w:pStyle w:val="ListParagraph"/>
        <w:numPr>
          <w:ilvl w:val="0"/>
          <w:numId w:val="19"/>
        </w:numPr>
        <w:spacing w:after="160" w:line="480" w:lineRule="auto"/>
        <w:rPr>
          <w:rFonts w:cstheme="minorHAnsi"/>
          <w:sz w:val="24"/>
          <w:szCs w:val="24"/>
        </w:rPr>
      </w:pPr>
      <w:r w:rsidRPr="002C074E">
        <w:rPr>
          <w:rFonts w:cstheme="minorHAnsi"/>
          <w:b/>
          <w:bCs/>
          <w:sz w:val="24"/>
          <w:szCs w:val="24"/>
        </w:rPr>
        <w:t xml:space="preserve">Non-Current Asset Productivity </w:t>
      </w:r>
      <w:r w:rsidRPr="002C074E">
        <w:rPr>
          <w:rFonts w:cstheme="minorHAnsi"/>
          <w:sz w:val="24"/>
          <w:szCs w:val="24"/>
        </w:rPr>
        <w:t xml:space="preserve">= </w:t>
      </w:r>
      <m:oMath>
        <m:f>
          <m:fPr>
            <m:ctrlPr>
              <w:rPr>
                <w:rFonts w:ascii="Cambria Math" w:hAnsi="Cambria Math" w:cstheme="minorHAnsi"/>
                <w:iCs/>
                <w:sz w:val="24"/>
                <w:szCs w:val="24"/>
              </w:rPr>
            </m:ctrlPr>
          </m:fPr>
          <m:num>
            <m:r>
              <m:rPr>
                <m:sty m:val="p"/>
              </m:rPr>
              <w:rPr>
                <w:rFonts w:ascii="Cambria Math" w:hAnsi="Cambria Math" w:cstheme="minorHAnsi"/>
                <w:sz w:val="24"/>
                <w:szCs w:val="24"/>
              </w:rPr>
              <m:t>Net Sales</m:t>
            </m:r>
          </m:num>
          <m:den>
            <m:r>
              <m:rPr>
                <m:sty m:val="p"/>
              </m:rPr>
              <w:rPr>
                <w:rFonts w:ascii="Cambria Math" w:hAnsi="Cambria Math" w:cstheme="minorHAnsi"/>
                <w:sz w:val="24"/>
                <w:szCs w:val="24"/>
              </w:rPr>
              <m:t>Non-Current Assets</m:t>
            </m:r>
          </m:den>
        </m:f>
      </m:oMath>
    </w:p>
    <w:p w14:paraId="4A9DBEE3" w14:textId="244BCA1D" w:rsidR="002C074E" w:rsidRPr="002C074E" w:rsidRDefault="002C074E" w:rsidP="00551C1B">
      <w:pPr>
        <w:pStyle w:val="ListParagraph"/>
        <w:numPr>
          <w:ilvl w:val="0"/>
          <w:numId w:val="19"/>
        </w:numPr>
        <w:spacing w:after="160" w:line="480" w:lineRule="auto"/>
        <w:rPr>
          <w:rFonts w:cstheme="minorHAnsi"/>
          <w:sz w:val="24"/>
          <w:szCs w:val="24"/>
        </w:rPr>
      </w:pPr>
      <w:r w:rsidRPr="002C074E">
        <w:rPr>
          <w:rFonts w:cstheme="minorHAnsi"/>
          <w:b/>
          <w:bCs/>
          <w:sz w:val="24"/>
          <w:szCs w:val="24"/>
        </w:rPr>
        <w:t xml:space="preserve">Debtors (Receivables) Control (Days) </w:t>
      </w:r>
      <w:r w:rsidRPr="002C074E">
        <w:rPr>
          <w:rFonts w:cstheme="minorHAnsi"/>
          <w:sz w:val="24"/>
          <w:szCs w:val="24"/>
        </w:rPr>
        <w:t xml:space="preserve">= </w:t>
      </w:r>
      <m:oMath>
        <m:d>
          <m:dPr>
            <m:ctrlPr>
              <w:rPr>
                <w:rFonts w:ascii="Cambria Math" w:hAnsi="Cambria Math" w:cstheme="minorHAnsi"/>
                <w:iCs/>
                <w:sz w:val="24"/>
                <w:szCs w:val="24"/>
              </w:rPr>
            </m:ctrlPr>
          </m:dPr>
          <m:e>
            <m:f>
              <m:fPr>
                <m:ctrlPr>
                  <w:rPr>
                    <w:rFonts w:ascii="Cambria Math" w:hAnsi="Cambria Math" w:cstheme="minorHAnsi"/>
                    <w:iCs/>
                    <w:sz w:val="24"/>
                    <w:szCs w:val="24"/>
                  </w:rPr>
                </m:ctrlPr>
              </m:fPr>
              <m:num>
                <m:r>
                  <m:rPr>
                    <m:sty m:val="p"/>
                  </m:rPr>
                  <w:rPr>
                    <w:rFonts w:ascii="Cambria Math" w:hAnsi="Cambria Math" w:cstheme="minorHAnsi"/>
                    <w:sz w:val="24"/>
                    <w:szCs w:val="24"/>
                  </w:rPr>
                  <m:t>Trade and Other Recievables</m:t>
                </m:r>
              </m:num>
              <m:den>
                <m:r>
                  <m:rPr>
                    <m:sty m:val="p"/>
                  </m:rPr>
                  <w:rPr>
                    <w:rFonts w:ascii="Cambria Math" w:hAnsi="Cambria Math" w:cstheme="minorHAnsi"/>
                    <w:sz w:val="24"/>
                    <w:szCs w:val="24"/>
                  </w:rPr>
                  <m:t>Net Sales</m:t>
                </m:r>
              </m:den>
            </m:f>
          </m:e>
        </m:d>
        <m:r>
          <m:rPr>
            <m:sty m:val="p"/>
          </m:rPr>
          <w:rPr>
            <w:rFonts w:ascii="Cambria Math" w:hAnsi="Cambria Math" w:cstheme="minorHAnsi"/>
            <w:sz w:val="24"/>
            <w:szCs w:val="24"/>
          </w:rPr>
          <m:t xml:space="preserve"> × 365</m:t>
        </m:r>
      </m:oMath>
    </w:p>
    <w:p w14:paraId="20B0E2E2" w14:textId="1045097F" w:rsidR="002C074E" w:rsidRPr="00FD23C4" w:rsidRDefault="002C074E" w:rsidP="00FD23C4">
      <w:pPr>
        <w:pStyle w:val="ListParagraph"/>
        <w:numPr>
          <w:ilvl w:val="0"/>
          <w:numId w:val="19"/>
        </w:numPr>
        <w:spacing w:after="160" w:line="480" w:lineRule="auto"/>
        <w:rPr>
          <w:rFonts w:cstheme="minorHAnsi"/>
          <w:sz w:val="24"/>
          <w:szCs w:val="24"/>
        </w:rPr>
      </w:pPr>
      <w:r w:rsidRPr="002C074E">
        <w:rPr>
          <w:rFonts w:cstheme="minorHAnsi"/>
          <w:b/>
          <w:bCs/>
          <w:sz w:val="24"/>
          <w:szCs w:val="24"/>
        </w:rPr>
        <w:t xml:space="preserve">Creditors (Payables) Control (Days) </w:t>
      </w:r>
      <w:r w:rsidRPr="002C074E">
        <w:rPr>
          <w:rFonts w:cstheme="minorHAnsi"/>
          <w:sz w:val="24"/>
          <w:szCs w:val="24"/>
        </w:rPr>
        <w:t xml:space="preserve">= </w:t>
      </w:r>
      <w:r w:rsidR="00FD23C4">
        <w:rPr>
          <w:rFonts w:cstheme="minorHAnsi"/>
          <w:sz w:val="24"/>
          <w:szCs w:val="24"/>
        </w:rPr>
        <w:t xml:space="preserve"> </w:t>
      </w:r>
      <m:oMath>
        <m:d>
          <m:dPr>
            <m:ctrlPr>
              <w:rPr>
                <w:rFonts w:ascii="Cambria Math" w:hAnsi="Cambria Math" w:cstheme="minorHAnsi"/>
                <w:iCs/>
                <w:sz w:val="24"/>
                <w:szCs w:val="24"/>
              </w:rPr>
            </m:ctrlPr>
          </m:dPr>
          <m:e>
            <m:f>
              <m:fPr>
                <m:ctrlPr>
                  <w:rPr>
                    <w:rFonts w:ascii="Cambria Math" w:hAnsi="Cambria Math" w:cstheme="minorHAnsi"/>
                    <w:iCs/>
                    <w:sz w:val="24"/>
                    <w:szCs w:val="24"/>
                  </w:rPr>
                </m:ctrlPr>
              </m:fPr>
              <m:num>
                <m:r>
                  <m:rPr>
                    <m:sty m:val="p"/>
                  </m:rPr>
                  <w:rPr>
                    <w:rFonts w:ascii="Cambria Math" w:hAnsi="Cambria Math" w:cstheme="minorHAnsi"/>
                    <w:sz w:val="24"/>
                    <w:szCs w:val="24"/>
                  </w:rPr>
                  <m:t>Trade and Other Payables</m:t>
                </m:r>
              </m:num>
              <m:den>
                <m:r>
                  <m:rPr>
                    <m:sty m:val="p"/>
                  </m:rPr>
                  <w:rPr>
                    <w:rFonts w:ascii="Cambria Math" w:hAnsi="Cambria Math" w:cstheme="minorHAnsi"/>
                    <w:sz w:val="24"/>
                    <w:szCs w:val="24"/>
                  </w:rPr>
                  <m:t>Cost of Sales</m:t>
                </m:r>
              </m:den>
            </m:f>
          </m:e>
        </m:d>
        <m:r>
          <m:rPr>
            <m:sty m:val="p"/>
          </m:rPr>
          <w:rPr>
            <w:rFonts w:ascii="Cambria Math" w:hAnsi="Cambria Math" w:cstheme="minorHAnsi"/>
            <w:sz w:val="24"/>
            <w:szCs w:val="24"/>
          </w:rPr>
          <m:t xml:space="preserve"> × 365</m:t>
        </m:r>
      </m:oMath>
    </w:p>
    <w:p w14:paraId="3CFCB877" w14:textId="78AEA9F0" w:rsidR="002C074E" w:rsidRPr="00FD23C4" w:rsidRDefault="002C074E" w:rsidP="00FD23C4">
      <w:pPr>
        <w:pStyle w:val="ListParagraph"/>
        <w:numPr>
          <w:ilvl w:val="0"/>
          <w:numId w:val="19"/>
        </w:numPr>
        <w:spacing w:after="160" w:line="480" w:lineRule="auto"/>
        <w:rPr>
          <w:rFonts w:cstheme="minorHAnsi"/>
          <w:sz w:val="24"/>
          <w:szCs w:val="24"/>
        </w:rPr>
      </w:pPr>
      <w:r w:rsidRPr="002C074E">
        <w:rPr>
          <w:rFonts w:cstheme="minorHAnsi"/>
          <w:b/>
          <w:bCs/>
          <w:sz w:val="24"/>
          <w:szCs w:val="24"/>
        </w:rPr>
        <w:t xml:space="preserve">Stock Turnover in Days </w:t>
      </w:r>
      <w:r w:rsidRPr="002C074E">
        <w:rPr>
          <w:rFonts w:cstheme="minorHAnsi"/>
          <w:sz w:val="24"/>
          <w:szCs w:val="24"/>
        </w:rPr>
        <w:t xml:space="preserve">= </w:t>
      </w:r>
      <w:r w:rsidR="00FD23C4">
        <w:rPr>
          <w:rFonts w:cstheme="minorHAnsi"/>
          <w:sz w:val="24"/>
          <w:szCs w:val="24"/>
        </w:rPr>
        <w:t xml:space="preserve"> </w:t>
      </w:r>
      <m:oMath>
        <m:d>
          <m:dPr>
            <m:ctrlPr>
              <w:rPr>
                <w:rFonts w:ascii="Cambria Math" w:hAnsi="Cambria Math" w:cstheme="minorHAnsi"/>
                <w:iCs/>
                <w:sz w:val="24"/>
                <w:szCs w:val="24"/>
              </w:rPr>
            </m:ctrlPr>
          </m:dPr>
          <m:e>
            <m:f>
              <m:fPr>
                <m:ctrlPr>
                  <w:rPr>
                    <w:rFonts w:ascii="Cambria Math" w:hAnsi="Cambria Math" w:cstheme="minorHAnsi"/>
                    <w:iCs/>
                    <w:sz w:val="24"/>
                    <w:szCs w:val="24"/>
                  </w:rPr>
                </m:ctrlPr>
              </m:fPr>
              <m:num>
                <m:r>
                  <m:rPr>
                    <m:sty m:val="p"/>
                  </m:rPr>
                  <w:rPr>
                    <w:rFonts w:ascii="Cambria Math" w:hAnsi="Cambria Math" w:cstheme="minorHAnsi"/>
                    <w:sz w:val="24"/>
                    <w:szCs w:val="24"/>
                  </w:rPr>
                  <m:t>Inventories</m:t>
                </m:r>
              </m:num>
              <m:den>
                <m:r>
                  <m:rPr>
                    <m:sty m:val="p"/>
                  </m:rPr>
                  <w:rPr>
                    <w:rFonts w:ascii="Cambria Math" w:hAnsi="Cambria Math" w:cstheme="minorHAnsi"/>
                    <w:sz w:val="24"/>
                    <w:szCs w:val="24"/>
                  </w:rPr>
                  <m:t>Cost of Sales</m:t>
                </m:r>
              </m:den>
            </m:f>
          </m:e>
        </m:d>
        <m:r>
          <m:rPr>
            <m:sty m:val="p"/>
          </m:rPr>
          <w:rPr>
            <w:rFonts w:ascii="Cambria Math" w:hAnsi="Cambria Math" w:cstheme="minorHAnsi"/>
            <w:sz w:val="24"/>
            <w:szCs w:val="24"/>
          </w:rPr>
          <m:t xml:space="preserve"> × 365</m:t>
        </m:r>
      </m:oMath>
    </w:p>
    <w:p w14:paraId="463D8832" w14:textId="135CAA73" w:rsidR="002C074E" w:rsidRPr="002C074E" w:rsidRDefault="002C074E" w:rsidP="00551C1B">
      <w:pPr>
        <w:pStyle w:val="ListParagraph"/>
        <w:numPr>
          <w:ilvl w:val="0"/>
          <w:numId w:val="19"/>
        </w:numPr>
        <w:spacing w:after="160" w:line="480" w:lineRule="auto"/>
        <w:rPr>
          <w:rFonts w:cstheme="minorHAnsi"/>
          <w:sz w:val="24"/>
          <w:szCs w:val="24"/>
        </w:rPr>
      </w:pPr>
      <w:r w:rsidRPr="002C074E">
        <w:rPr>
          <w:rFonts w:cstheme="minorHAnsi"/>
          <w:b/>
          <w:bCs/>
          <w:sz w:val="24"/>
          <w:szCs w:val="24"/>
        </w:rPr>
        <w:t xml:space="preserve">Capital Employed Turnover </w:t>
      </w:r>
      <w:r w:rsidRPr="002C074E">
        <w:rPr>
          <w:rFonts w:cstheme="minorHAnsi"/>
          <w:sz w:val="24"/>
          <w:szCs w:val="24"/>
        </w:rPr>
        <w:t>=</w:t>
      </w:r>
      <w:r w:rsidRPr="002C074E">
        <w:rPr>
          <w:rFonts w:cstheme="minorHAnsi"/>
          <w:b/>
          <w:bCs/>
          <w:sz w:val="24"/>
          <w:szCs w:val="24"/>
        </w:rPr>
        <w:t xml:space="preserve"> </w:t>
      </w:r>
      <m:oMath>
        <m:f>
          <m:fPr>
            <m:ctrlPr>
              <w:rPr>
                <w:rFonts w:ascii="Cambria Math" w:hAnsi="Cambria Math" w:cstheme="minorHAnsi"/>
                <w:iCs/>
                <w:sz w:val="24"/>
                <w:szCs w:val="24"/>
              </w:rPr>
            </m:ctrlPr>
          </m:fPr>
          <m:num>
            <m:r>
              <m:rPr>
                <m:sty m:val="p"/>
              </m:rPr>
              <w:rPr>
                <w:rFonts w:ascii="Cambria Math" w:hAnsi="Cambria Math" w:cstheme="minorHAnsi"/>
                <w:sz w:val="24"/>
                <w:szCs w:val="24"/>
              </w:rPr>
              <m:t>Net Sales</m:t>
            </m:r>
          </m:num>
          <m:den>
            <m:r>
              <m:rPr>
                <m:sty m:val="p"/>
              </m:rPr>
              <w:rPr>
                <w:rFonts w:ascii="Cambria Math" w:hAnsi="Cambria Math" w:cstheme="minorHAnsi"/>
                <w:sz w:val="24"/>
                <w:szCs w:val="24"/>
              </w:rPr>
              <m:t>(Total Assets - Current Liabilities</m:t>
            </m:r>
          </m:den>
        </m:f>
      </m:oMath>
    </w:p>
    <w:p w14:paraId="3DEA00C5" w14:textId="77777777" w:rsidR="008B5FD8" w:rsidRDefault="008B5FD8">
      <w:pPr>
        <w:rPr>
          <w:rFonts w:cstheme="minorHAnsi"/>
          <w:sz w:val="24"/>
          <w:szCs w:val="24"/>
        </w:rPr>
      </w:pPr>
      <w:r>
        <w:rPr>
          <w:rFonts w:cstheme="minorHAnsi"/>
          <w:sz w:val="24"/>
          <w:szCs w:val="24"/>
        </w:rPr>
        <w:br w:type="page"/>
      </w:r>
    </w:p>
    <w:p w14:paraId="419EAD45" w14:textId="2DAF6CB4" w:rsidR="002C074E" w:rsidRPr="002C074E" w:rsidRDefault="002C074E" w:rsidP="00551C1B">
      <w:pPr>
        <w:spacing w:line="480" w:lineRule="auto"/>
        <w:rPr>
          <w:rFonts w:cstheme="minorHAnsi"/>
          <w:sz w:val="24"/>
          <w:szCs w:val="24"/>
        </w:rPr>
      </w:pPr>
      <w:r w:rsidRPr="002C074E">
        <w:rPr>
          <w:rFonts w:cstheme="minorHAnsi"/>
          <w:sz w:val="24"/>
          <w:szCs w:val="24"/>
        </w:rPr>
        <w:lastRenderedPageBreak/>
        <w:t>Liquidity Ratios:</w:t>
      </w:r>
    </w:p>
    <w:p w14:paraId="7F6A185D" w14:textId="4DBEB69D" w:rsidR="002C074E" w:rsidRPr="002C074E" w:rsidRDefault="002C074E" w:rsidP="00551C1B">
      <w:pPr>
        <w:pStyle w:val="ListParagraph"/>
        <w:numPr>
          <w:ilvl w:val="0"/>
          <w:numId w:val="19"/>
        </w:numPr>
        <w:spacing w:after="160" w:line="480" w:lineRule="auto"/>
        <w:rPr>
          <w:rFonts w:cstheme="minorHAnsi"/>
          <w:sz w:val="24"/>
          <w:szCs w:val="24"/>
        </w:rPr>
      </w:pPr>
      <w:r w:rsidRPr="002C074E">
        <w:rPr>
          <w:rFonts w:cstheme="minorHAnsi"/>
          <w:b/>
          <w:bCs/>
          <w:sz w:val="24"/>
          <w:szCs w:val="24"/>
        </w:rPr>
        <w:t xml:space="preserve">Current Ratio </w:t>
      </w:r>
      <w:r w:rsidRPr="002C074E">
        <w:rPr>
          <w:rFonts w:cstheme="minorHAnsi"/>
          <w:sz w:val="24"/>
          <w:szCs w:val="24"/>
        </w:rPr>
        <w:t>=</w:t>
      </w:r>
      <w:r w:rsidRPr="002C074E">
        <w:rPr>
          <w:rFonts w:cstheme="minorHAnsi"/>
          <w:b/>
          <w:bCs/>
          <w:sz w:val="24"/>
          <w:szCs w:val="24"/>
        </w:rPr>
        <w:t xml:space="preserve"> </w:t>
      </w:r>
      <m:oMath>
        <m:f>
          <m:fPr>
            <m:ctrlPr>
              <w:rPr>
                <w:rFonts w:ascii="Cambria Math" w:hAnsi="Cambria Math" w:cstheme="minorHAnsi"/>
                <w:iCs/>
                <w:sz w:val="24"/>
                <w:szCs w:val="24"/>
              </w:rPr>
            </m:ctrlPr>
          </m:fPr>
          <m:num>
            <m:r>
              <m:rPr>
                <m:sty m:val="p"/>
              </m:rPr>
              <w:rPr>
                <w:rFonts w:ascii="Cambria Math" w:hAnsi="Cambria Math" w:cstheme="minorHAnsi"/>
                <w:sz w:val="24"/>
                <w:szCs w:val="24"/>
              </w:rPr>
              <m:t>Current Assets</m:t>
            </m:r>
          </m:num>
          <m:den>
            <m:r>
              <m:rPr>
                <m:sty m:val="p"/>
              </m:rPr>
              <w:rPr>
                <w:rFonts w:ascii="Cambria Math" w:hAnsi="Cambria Math" w:cstheme="minorHAnsi"/>
                <w:sz w:val="24"/>
                <w:szCs w:val="24"/>
              </w:rPr>
              <m:t>Current Liabilities</m:t>
            </m:r>
          </m:den>
        </m:f>
      </m:oMath>
    </w:p>
    <w:p w14:paraId="2435A1FF" w14:textId="7727E1B9" w:rsidR="002C074E" w:rsidRPr="002C074E" w:rsidRDefault="002C074E" w:rsidP="00551C1B">
      <w:pPr>
        <w:pStyle w:val="ListParagraph"/>
        <w:numPr>
          <w:ilvl w:val="0"/>
          <w:numId w:val="19"/>
        </w:numPr>
        <w:spacing w:after="160" w:line="480" w:lineRule="auto"/>
        <w:rPr>
          <w:rFonts w:cstheme="minorHAnsi"/>
          <w:sz w:val="24"/>
          <w:szCs w:val="24"/>
        </w:rPr>
      </w:pPr>
      <w:r w:rsidRPr="002C074E">
        <w:rPr>
          <w:rFonts w:cstheme="minorHAnsi"/>
          <w:b/>
          <w:bCs/>
          <w:sz w:val="24"/>
          <w:szCs w:val="24"/>
        </w:rPr>
        <w:t xml:space="preserve">Quick Ratio (Acid Test) </w:t>
      </w:r>
      <w:r w:rsidRPr="002C074E">
        <w:rPr>
          <w:rFonts w:cstheme="minorHAnsi"/>
          <w:sz w:val="24"/>
          <w:szCs w:val="24"/>
        </w:rPr>
        <w:t xml:space="preserve">= </w:t>
      </w:r>
      <m:oMath>
        <m:f>
          <m:fPr>
            <m:ctrlPr>
              <w:rPr>
                <w:rFonts w:ascii="Cambria Math" w:hAnsi="Cambria Math" w:cstheme="minorHAnsi"/>
                <w:iCs/>
                <w:sz w:val="24"/>
                <w:szCs w:val="24"/>
              </w:rPr>
            </m:ctrlPr>
          </m:fPr>
          <m:num>
            <m:r>
              <m:rPr>
                <m:sty m:val="p"/>
              </m:rPr>
              <w:rPr>
                <w:rFonts w:ascii="Cambria Math" w:hAnsi="Cambria Math" w:cstheme="minorHAnsi"/>
                <w:sz w:val="24"/>
                <w:szCs w:val="24"/>
              </w:rPr>
              <m:t>(Current Assets - Inventories)</m:t>
            </m:r>
          </m:num>
          <m:den>
            <m:r>
              <m:rPr>
                <m:sty m:val="p"/>
              </m:rPr>
              <w:rPr>
                <w:rFonts w:ascii="Cambria Math" w:hAnsi="Cambria Math" w:cstheme="minorHAnsi"/>
                <w:sz w:val="24"/>
                <w:szCs w:val="24"/>
              </w:rPr>
              <m:t>Current Liabilities</m:t>
            </m:r>
          </m:den>
        </m:f>
      </m:oMath>
    </w:p>
    <w:p w14:paraId="38947101" w14:textId="77777777" w:rsidR="002C074E" w:rsidRPr="002C074E" w:rsidRDefault="002C074E" w:rsidP="00551C1B">
      <w:pPr>
        <w:spacing w:line="480" w:lineRule="auto"/>
        <w:rPr>
          <w:rFonts w:cstheme="minorHAnsi"/>
          <w:sz w:val="24"/>
          <w:szCs w:val="24"/>
        </w:rPr>
      </w:pPr>
      <w:r w:rsidRPr="002C074E">
        <w:rPr>
          <w:rFonts w:cstheme="minorHAnsi"/>
          <w:sz w:val="24"/>
          <w:szCs w:val="24"/>
        </w:rPr>
        <w:t>Investment Ratios:</w:t>
      </w:r>
    </w:p>
    <w:p w14:paraId="31C00423" w14:textId="26E555FF" w:rsidR="002C074E" w:rsidRPr="002C074E" w:rsidRDefault="002C074E" w:rsidP="00551C1B">
      <w:pPr>
        <w:pStyle w:val="ListParagraph"/>
        <w:numPr>
          <w:ilvl w:val="0"/>
          <w:numId w:val="19"/>
        </w:numPr>
        <w:spacing w:after="160" w:line="480" w:lineRule="auto"/>
        <w:rPr>
          <w:rFonts w:cstheme="minorHAnsi"/>
          <w:sz w:val="24"/>
          <w:szCs w:val="24"/>
        </w:rPr>
      </w:pPr>
      <w:r w:rsidRPr="002C074E">
        <w:rPr>
          <w:rFonts w:cstheme="minorHAnsi"/>
          <w:b/>
          <w:bCs/>
          <w:sz w:val="24"/>
          <w:szCs w:val="24"/>
        </w:rPr>
        <w:t xml:space="preserve">Revenue Per Share </w:t>
      </w:r>
      <w:r w:rsidRPr="002C074E">
        <w:rPr>
          <w:rFonts w:cstheme="minorHAnsi"/>
          <w:sz w:val="24"/>
          <w:szCs w:val="24"/>
        </w:rPr>
        <w:t>=</w:t>
      </w:r>
      <w:r w:rsidRPr="002C074E">
        <w:rPr>
          <w:rFonts w:cstheme="minorHAnsi"/>
          <w:b/>
          <w:bCs/>
          <w:sz w:val="24"/>
          <w:szCs w:val="24"/>
        </w:rPr>
        <w:t xml:space="preserve"> </w:t>
      </w:r>
      <m:oMath>
        <m:f>
          <m:fPr>
            <m:ctrlPr>
              <w:rPr>
                <w:rFonts w:ascii="Cambria Math" w:hAnsi="Cambria Math" w:cstheme="minorHAnsi"/>
                <w:iCs/>
                <w:sz w:val="24"/>
                <w:szCs w:val="24"/>
              </w:rPr>
            </m:ctrlPr>
          </m:fPr>
          <m:num>
            <m:r>
              <m:rPr>
                <m:sty m:val="p"/>
              </m:rPr>
              <w:rPr>
                <w:rFonts w:ascii="Cambria Math" w:hAnsi="Cambria Math" w:cstheme="minorHAnsi"/>
                <w:sz w:val="24"/>
                <w:szCs w:val="24"/>
              </w:rPr>
              <m:t>Net Sales</m:t>
            </m:r>
          </m:num>
          <m:den>
            <m:r>
              <m:rPr>
                <m:sty m:val="p"/>
              </m:rPr>
              <w:rPr>
                <w:rFonts w:ascii="Cambria Math" w:hAnsi="Cambria Math" w:cstheme="minorHAnsi"/>
                <w:sz w:val="24"/>
                <w:szCs w:val="24"/>
              </w:rPr>
              <m:t>Number of Ordinary Shares</m:t>
            </m:r>
          </m:den>
        </m:f>
      </m:oMath>
    </w:p>
    <w:p w14:paraId="2E6B8536" w14:textId="6008171F" w:rsidR="002C074E" w:rsidRPr="002C074E" w:rsidRDefault="002C074E" w:rsidP="00551C1B">
      <w:pPr>
        <w:pStyle w:val="ListParagraph"/>
        <w:numPr>
          <w:ilvl w:val="0"/>
          <w:numId w:val="19"/>
        </w:numPr>
        <w:spacing w:after="160" w:line="480" w:lineRule="auto"/>
        <w:rPr>
          <w:rFonts w:cstheme="minorHAnsi"/>
          <w:sz w:val="24"/>
          <w:szCs w:val="24"/>
        </w:rPr>
      </w:pPr>
      <w:r w:rsidRPr="002C074E">
        <w:rPr>
          <w:rFonts w:cstheme="minorHAnsi"/>
          <w:b/>
          <w:bCs/>
          <w:sz w:val="24"/>
          <w:szCs w:val="24"/>
        </w:rPr>
        <w:t xml:space="preserve">Earnings Per Share </w:t>
      </w:r>
      <w:r w:rsidRPr="002C074E">
        <w:rPr>
          <w:rFonts w:cstheme="minorHAnsi"/>
          <w:sz w:val="24"/>
          <w:szCs w:val="24"/>
        </w:rPr>
        <w:t xml:space="preserve">= </w:t>
      </w:r>
      <m:oMath>
        <m:f>
          <m:fPr>
            <m:ctrlPr>
              <w:rPr>
                <w:rFonts w:ascii="Cambria Math" w:hAnsi="Cambria Math" w:cstheme="minorHAnsi"/>
                <w:iCs/>
                <w:sz w:val="24"/>
                <w:szCs w:val="24"/>
              </w:rPr>
            </m:ctrlPr>
          </m:fPr>
          <m:num>
            <m:r>
              <m:rPr>
                <m:sty m:val="p"/>
              </m:rPr>
              <w:rPr>
                <w:rFonts w:ascii="Cambria Math" w:hAnsi="Cambria Math" w:cstheme="minorHAnsi"/>
                <w:sz w:val="24"/>
                <w:szCs w:val="24"/>
              </w:rPr>
              <m:t>Profit for the Year</m:t>
            </m:r>
          </m:num>
          <m:den>
            <m:r>
              <m:rPr>
                <m:sty m:val="p"/>
              </m:rPr>
              <w:rPr>
                <w:rFonts w:ascii="Cambria Math" w:hAnsi="Cambria Math" w:cstheme="minorHAnsi"/>
                <w:sz w:val="24"/>
                <w:szCs w:val="24"/>
              </w:rPr>
              <m:t>Number of Ordinary Shares</m:t>
            </m:r>
          </m:den>
        </m:f>
      </m:oMath>
    </w:p>
    <w:p w14:paraId="6DE241EE" w14:textId="175DD043" w:rsidR="002C074E" w:rsidRPr="002C074E" w:rsidRDefault="002C074E" w:rsidP="00551C1B">
      <w:pPr>
        <w:pStyle w:val="ListParagraph"/>
        <w:numPr>
          <w:ilvl w:val="0"/>
          <w:numId w:val="19"/>
        </w:numPr>
        <w:spacing w:after="160" w:line="480" w:lineRule="auto"/>
        <w:rPr>
          <w:rFonts w:cstheme="minorHAnsi"/>
          <w:sz w:val="24"/>
          <w:szCs w:val="24"/>
        </w:rPr>
      </w:pPr>
      <w:r w:rsidRPr="002C074E">
        <w:rPr>
          <w:rFonts w:cstheme="minorHAnsi"/>
          <w:b/>
          <w:bCs/>
          <w:sz w:val="24"/>
          <w:szCs w:val="24"/>
        </w:rPr>
        <w:t xml:space="preserve">Cash Per Share </w:t>
      </w:r>
      <w:r w:rsidRPr="002C074E">
        <w:rPr>
          <w:rFonts w:cstheme="minorHAnsi"/>
          <w:sz w:val="24"/>
          <w:szCs w:val="24"/>
        </w:rPr>
        <w:t xml:space="preserve">= </w:t>
      </w:r>
      <m:oMath>
        <m:f>
          <m:fPr>
            <m:ctrlPr>
              <w:rPr>
                <w:rFonts w:ascii="Cambria Math" w:hAnsi="Cambria Math" w:cstheme="minorHAnsi"/>
                <w:iCs/>
                <w:sz w:val="24"/>
                <w:szCs w:val="24"/>
              </w:rPr>
            </m:ctrlPr>
          </m:fPr>
          <m:num>
            <m:r>
              <m:rPr>
                <m:sty m:val="p"/>
              </m:rPr>
              <w:rPr>
                <w:rFonts w:ascii="Cambria Math" w:hAnsi="Cambria Math" w:cstheme="minorHAnsi"/>
                <w:sz w:val="24"/>
                <w:szCs w:val="24"/>
              </w:rPr>
              <m:t>Cash and Cash Equivalents</m:t>
            </m:r>
          </m:num>
          <m:den>
            <m:r>
              <m:rPr>
                <m:sty m:val="p"/>
              </m:rPr>
              <w:rPr>
                <w:rFonts w:ascii="Cambria Math" w:hAnsi="Cambria Math" w:cstheme="minorHAnsi"/>
                <w:sz w:val="24"/>
                <w:szCs w:val="24"/>
              </w:rPr>
              <m:t>Number of Ordinary Shares</m:t>
            </m:r>
          </m:den>
        </m:f>
      </m:oMath>
    </w:p>
    <w:p w14:paraId="1C083515" w14:textId="6CA8888D" w:rsidR="002C074E" w:rsidRPr="002C074E" w:rsidRDefault="002C074E" w:rsidP="00551C1B">
      <w:pPr>
        <w:pStyle w:val="ListParagraph"/>
        <w:numPr>
          <w:ilvl w:val="0"/>
          <w:numId w:val="19"/>
        </w:numPr>
        <w:spacing w:after="160" w:line="480" w:lineRule="auto"/>
        <w:rPr>
          <w:rFonts w:cstheme="minorHAnsi"/>
          <w:sz w:val="24"/>
          <w:szCs w:val="24"/>
        </w:rPr>
      </w:pPr>
      <w:r w:rsidRPr="002C074E">
        <w:rPr>
          <w:rFonts w:cstheme="minorHAnsi"/>
          <w:b/>
          <w:bCs/>
          <w:sz w:val="24"/>
          <w:szCs w:val="24"/>
        </w:rPr>
        <w:t xml:space="preserve">Interest Cover </w:t>
      </w:r>
      <w:r w:rsidRPr="002C074E">
        <w:rPr>
          <w:rFonts w:cstheme="minorHAnsi"/>
          <w:sz w:val="24"/>
          <w:szCs w:val="24"/>
        </w:rPr>
        <w:t xml:space="preserve">= </w:t>
      </w:r>
      <m:oMath>
        <m:f>
          <m:fPr>
            <m:ctrlPr>
              <w:rPr>
                <w:rFonts w:ascii="Cambria Math" w:hAnsi="Cambria Math" w:cstheme="minorHAnsi"/>
                <w:iCs/>
                <w:sz w:val="24"/>
                <w:szCs w:val="24"/>
              </w:rPr>
            </m:ctrlPr>
          </m:fPr>
          <m:num>
            <m:r>
              <m:rPr>
                <m:sty m:val="p"/>
              </m:rPr>
              <w:rPr>
                <w:rFonts w:ascii="Cambria Math" w:hAnsi="Cambria Math" w:cstheme="minorHAnsi"/>
                <w:sz w:val="24"/>
                <w:szCs w:val="24"/>
              </w:rPr>
              <m:t>Operating Profit</m:t>
            </m:r>
          </m:num>
          <m:den>
            <m:r>
              <m:rPr>
                <m:sty m:val="p"/>
              </m:rPr>
              <w:rPr>
                <w:rFonts w:ascii="Cambria Math" w:hAnsi="Cambria Math" w:cstheme="minorHAnsi"/>
                <w:sz w:val="24"/>
                <w:szCs w:val="24"/>
              </w:rPr>
              <m:t>Net Finance Charges</m:t>
            </m:r>
          </m:den>
        </m:f>
      </m:oMath>
    </w:p>
    <w:p w14:paraId="01E93695" w14:textId="49CB9AF9" w:rsidR="002C074E" w:rsidRPr="002C074E" w:rsidRDefault="002C074E" w:rsidP="00551C1B">
      <w:pPr>
        <w:pStyle w:val="ListParagraph"/>
        <w:numPr>
          <w:ilvl w:val="0"/>
          <w:numId w:val="19"/>
        </w:numPr>
        <w:spacing w:after="160" w:line="480" w:lineRule="auto"/>
        <w:rPr>
          <w:rFonts w:cstheme="minorHAnsi"/>
          <w:sz w:val="24"/>
          <w:szCs w:val="24"/>
        </w:rPr>
      </w:pPr>
      <w:r w:rsidRPr="002C074E">
        <w:rPr>
          <w:rFonts w:cstheme="minorHAnsi"/>
          <w:b/>
          <w:bCs/>
          <w:sz w:val="24"/>
          <w:szCs w:val="24"/>
        </w:rPr>
        <w:t xml:space="preserve">Dividend Cover </w:t>
      </w:r>
      <w:r w:rsidRPr="002C074E">
        <w:rPr>
          <w:rFonts w:cstheme="minorHAnsi"/>
          <w:sz w:val="24"/>
          <w:szCs w:val="24"/>
        </w:rPr>
        <w:t xml:space="preserve">= </w:t>
      </w:r>
      <m:oMath>
        <m:f>
          <m:fPr>
            <m:ctrlPr>
              <w:rPr>
                <w:rFonts w:ascii="Cambria Math" w:hAnsi="Cambria Math" w:cstheme="minorHAnsi"/>
                <w:iCs/>
                <w:sz w:val="24"/>
                <w:szCs w:val="24"/>
              </w:rPr>
            </m:ctrlPr>
          </m:fPr>
          <m:num>
            <m:r>
              <m:rPr>
                <m:sty m:val="p"/>
              </m:rPr>
              <w:rPr>
                <w:rFonts w:ascii="Cambria Math" w:hAnsi="Cambria Math" w:cstheme="minorHAnsi"/>
                <w:sz w:val="24"/>
                <w:szCs w:val="24"/>
              </w:rPr>
              <m:t>Profit for the Year</m:t>
            </m:r>
          </m:num>
          <m:den>
            <m:r>
              <m:rPr>
                <m:sty m:val="p"/>
              </m:rPr>
              <w:rPr>
                <w:rFonts w:ascii="Cambria Math" w:hAnsi="Cambria Math" w:cstheme="minorHAnsi"/>
                <w:sz w:val="24"/>
                <w:szCs w:val="24"/>
              </w:rPr>
              <m:t>Dividends Paid</m:t>
            </m:r>
          </m:den>
        </m:f>
      </m:oMath>
    </w:p>
    <w:p w14:paraId="6ADF9E56" w14:textId="42A67E07" w:rsidR="002C074E" w:rsidRPr="002C074E" w:rsidRDefault="002C074E" w:rsidP="00551C1B">
      <w:pPr>
        <w:pStyle w:val="ListParagraph"/>
        <w:numPr>
          <w:ilvl w:val="0"/>
          <w:numId w:val="19"/>
        </w:numPr>
        <w:spacing w:after="160" w:line="480" w:lineRule="auto"/>
        <w:rPr>
          <w:rFonts w:cstheme="minorHAnsi"/>
          <w:sz w:val="24"/>
          <w:szCs w:val="24"/>
        </w:rPr>
      </w:pPr>
      <w:r w:rsidRPr="002C074E">
        <w:rPr>
          <w:rFonts w:cstheme="minorHAnsi"/>
          <w:b/>
          <w:bCs/>
          <w:sz w:val="24"/>
          <w:szCs w:val="24"/>
        </w:rPr>
        <w:t xml:space="preserve">Dividend Yield </w:t>
      </w:r>
      <w:r w:rsidRPr="002C074E">
        <w:rPr>
          <w:rFonts w:cstheme="minorHAnsi"/>
          <w:sz w:val="24"/>
          <w:szCs w:val="24"/>
        </w:rPr>
        <w:t xml:space="preserve">= </w:t>
      </w:r>
      <m:oMath>
        <m:f>
          <m:fPr>
            <m:ctrlPr>
              <w:rPr>
                <w:rFonts w:ascii="Cambria Math" w:hAnsi="Cambria Math" w:cstheme="minorHAnsi"/>
                <w:iCs/>
                <w:sz w:val="24"/>
                <w:szCs w:val="24"/>
              </w:rPr>
            </m:ctrlPr>
          </m:fPr>
          <m:num>
            <m:r>
              <m:rPr>
                <m:sty m:val="p"/>
              </m:rPr>
              <w:rPr>
                <w:rFonts w:ascii="Cambria Math" w:hAnsi="Cambria Math" w:cstheme="minorHAnsi"/>
                <w:sz w:val="24"/>
                <w:szCs w:val="24"/>
              </w:rPr>
              <m:t>Dividend per Share</m:t>
            </m:r>
          </m:num>
          <m:den>
            <m:r>
              <m:rPr>
                <m:sty m:val="p"/>
              </m:rPr>
              <w:rPr>
                <w:rFonts w:ascii="Cambria Math" w:hAnsi="Cambria Math" w:cstheme="minorHAnsi"/>
                <w:sz w:val="24"/>
                <w:szCs w:val="24"/>
              </w:rPr>
              <m:t>Market Share Price</m:t>
            </m:r>
          </m:den>
        </m:f>
      </m:oMath>
    </w:p>
    <w:p w14:paraId="1FCA2988" w14:textId="68C44F3A" w:rsidR="002C074E" w:rsidRPr="002C074E" w:rsidRDefault="002C074E" w:rsidP="00551C1B">
      <w:pPr>
        <w:pStyle w:val="ListParagraph"/>
        <w:numPr>
          <w:ilvl w:val="0"/>
          <w:numId w:val="19"/>
        </w:numPr>
        <w:spacing w:after="160" w:line="480" w:lineRule="auto"/>
        <w:rPr>
          <w:rFonts w:cstheme="minorHAnsi"/>
          <w:sz w:val="24"/>
          <w:szCs w:val="24"/>
        </w:rPr>
      </w:pPr>
      <w:r w:rsidRPr="002C074E">
        <w:rPr>
          <w:rFonts w:cstheme="minorHAnsi"/>
          <w:b/>
          <w:bCs/>
          <w:sz w:val="24"/>
          <w:szCs w:val="24"/>
        </w:rPr>
        <w:t xml:space="preserve">Return on Equity </w:t>
      </w:r>
      <w:r w:rsidRPr="002C074E">
        <w:rPr>
          <w:rFonts w:cstheme="minorHAnsi"/>
          <w:sz w:val="24"/>
          <w:szCs w:val="24"/>
        </w:rPr>
        <w:t xml:space="preserve">= </w:t>
      </w:r>
      <m:oMath>
        <m:f>
          <m:fPr>
            <m:ctrlPr>
              <w:rPr>
                <w:rFonts w:ascii="Cambria Math" w:hAnsi="Cambria Math" w:cstheme="minorHAnsi"/>
                <w:iCs/>
                <w:sz w:val="24"/>
                <w:szCs w:val="24"/>
              </w:rPr>
            </m:ctrlPr>
          </m:fPr>
          <m:num>
            <m:r>
              <m:rPr>
                <m:sty m:val="p"/>
              </m:rPr>
              <w:rPr>
                <w:rFonts w:ascii="Cambria Math" w:hAnsi="Cambria Math" w:cstheme="minorHAnsi"/>
                <w:sz w:val="24"/>
                <w:szCs w:val="24"/>
              </w:rPr>
              <m:t>Profit for the Year</m:t>
            </m:r>
          </m:num>
          <m:den>
            <m:r>
              <m:rPr>
                <m:sty m:val="p"/>
              </m:rPr>
              <w:rPr>
                <w:rFonts w:ascii="Cambria Math" w:hAnsi="Cambria Math" w:cstheme="minorHAnsi"/>
                <w:sz w:val="24"/>
                <w:szCs w:val="24"/>
              </w:rPr>
              <m:t>Total Equity</m:t>
            </m:r>
          </m:den>
        </m:f>
      </m:oMath>
    </w:p>
    <w:p w14:paraId="29A7FA2F" w14:textId="62945911" w:rsidR="002C074E" w:rsidRPr="002C074E" w:rsidRDefault="002C074E" w:rsidP="00551C1B">
      <w:pPr>
        <w:pStyle w:val="ListParagraph"/>
        <w:numPr>
          <w:ilvl w:val="0"/>
          <w:numId w:val="19"/>
        </w:numPr>
        <w:spacing w:after="160" w:line="480" w:lineRule="auto"/>
        <w:rPr>
          <w:rFonts w:cstheme="minorHAnsi"/>
          <w:sz w:val="24"/>
          <w:szCs w:val="24"/>
        </w:rPr>
      </w:pPr>
      <w:r w:rsidRPr="002C074E">
        <w:rPr>
          <w:rFonts w:cstheme="minorHAnsi"/>
          <w:b/>
          <w:bCs/>
          <w:sz w:val="24"/>
          <w:szCs w:val="24"/>
        </w:rPr>
        <w:t>P/E Ratio</w:t>
      </w:r>
      <w:r w:rsidRPr="002C074E">
        <w:rPr>
          <w:rFonts w:cstheme="minorHAnsi"/>
          <w:sz w:val="24"/>
          <w:szCs w:val="24"/>
        </w:rPr>
        <w:t xml:space="preserve"> = </w:t>
      </w:r>
      <m:oMath>
        <m:f>
          <m:fPr>
            <m:ctrlPr>
              <w:rPr>
                <w:rFonts w:ascii="Cambria Math" w:hAnsi="Cambria Math" w:cstheme="minorHAnsi"/>
                <w:iCs/>
                <w:sz w:val="24"/>
                <w:szCs w:val="24"/>
              </w:rPr>
            </m:ctrlPr>
          </m:fPr>
          <m:num>
            <m:r>
              <m:rPr>
                <m:sty m:val="p"/>
              </m:rPr>
              <w:rPr>
                <w:rFonts w:ascii="Cambria Math" w:hAnsi="Cambria Math" w:cstheme="minorHAnsi"/>
                <w:sz w:val="24"/>
                <w:szCs w:val="24"/>
              </w:rPr>
              <m:t>Market Share Price</m:t>
            </m:r>
          </m:num>
          <m:den>
            <m:r>
              <m:rPr>
                <m:sty m:val="p"/>
              </m:rPr>
              <w:rPr>
                <w:rFonts w:ascii="Cambria Math" w:hAnsi="Cambria Math" w:cstheme="minorHAnsi"/>
                <w:sz w:val="24"/>
                <w:szCs w:val="24"/>
              </w:rPr>
              <m:t>Earnings per Share</m:t>
            </m:r>
          </m:den>
        </m:f>
      </m:oMath>
    </w:p>
    <w:p w14:paraId="2C35A442" w14:textId="77777777" w:rsidR="002C074E" w:rsidRPr="002C074E" w:rsidRDefault="002C074E" w:rsidP="00551C1B">
      <w:pPr>
        <w:spacing w:line="480" w:lineRule="auto"/>
        <w:rPr>
          <w:rFonts w:cstheme="minorHAnsi"/>
          <w:sz w:val="24"/>
          <w:szCs w:val="24"/>
        </w:rPr>
      </w:pPr>
      <w:r w:rsidRPr="002C074E">
        <w:rPr>
          <w:rFonts w:cstheme="minorHAnsi"/>
          <w:sz w:val="24"/>
          <w:szCs w:val="24"/>
        </w:rPr>
        <w:t>Gearing Ratios:</w:t>
      </w:r>
    </w:p>
    <w:p w14:paraId="20EB40E2" w14:textId="07652623" w:rsidR="002C074E" w:rsidRPr="002C074E" w:rsidRDefault="002C074E" w:rsidP="00551C1B">
      <w:pPr>
        <w:pStyle w:val="ListParagraph"/>
        <w:numPr>
          <w:ilvl w:val="0"/>
          <w:numId w:val="19"/>
        </w:numPr>
        <w:spacing w:after="160" w:line="480" w:lineRule="auto"/>
        <w:rPr>
          <w:rFonts w:cstheme="minorHAnsi"/>
          <w:sz w:val="24"/>
          <w:szCs w:val="24"/>
        </w:rPr>
      </w:pPr>
      <w:r w:rsidRPr="002C074E">
        <w:rPr>
          <w:rFonts w:cstheme="minorHAnsi"/>
          <w:b/>
          <w:bCs/>
          <w:sz w:val="24"/>
          <w:szCs w:val="24"/>
        </w:rPr>
        <w:t xml:space="preserve">Preferred Ratio </w:t>
      </w:r>
      <w:r w:rsidRPr="002C074E">
        <w:rPr>
          <w:rFonts w:cstheme="minorHAnsi"/>
          <w:sz w:val="24"/>
          <w:szCs w:val="24"/>
        </w:rPr>
        <w:t>=</w:t>
      </w:r>
      <w:r w:rsidRPr="002C074E">
        <w:rPr>
          <w:rFonts w:cstheme="minorHAnsi"/>
          <w:b/>
          <w:bCs/>
          <w:sz w:val="24"/>
          <w:szCs w:val="24"/>
        </w:rPr>
        <w:t xml:space="preserve"> </w:t>
      </w:r>
      <m:oMath>
        <m:f>
          <m:fPr>
            <m:ctrlPr>
              <w:rPr>
                <w:rFonts w:ascii="Cambria Math" w:hAnsi="Cambria Math" w:cstheme="minorHAnsi"/>
                <w:iCs/>
                <w:sz w:val="24"/>
                <w:szCs w:val="24"/>
              </w:rPr>
            </m:ctrlPr>
          </m:fPr>
          <m:num>
            <m:r>
              <m:rPr>
                <m:sty m:val="p"/>
              </m:rPr>
              <w:rPr>
                <w:rFonts w:ascii="Cambria Math" w:hAnsi="Cambria Math" w:cstheme="minorHAnsi"/>
                <w:sz w:val="24"/>
                <w:szCs w:val="24"/>
              </w:rPr>
              <m:t>Borrowings</m:t>
            </m:r>
          </m:num>
          <m:den>
            <m:r>
              <m:rPr>
                <m:sty m:val="p"/>
              </m:rPr>
              <w:rPr>
                <w:rFonts w:ascii="Cambria Math" w:hAnsi="Cambria Math" w:cstheme="minorHAnsi"/>
                <w:sz w:val="24"/>
                <w:szCs w:val="24"/>
              </w:rPr>
              <m:t>(Borrowings + Total Equity)</m:t>
            </m:r>
          </m:den>
        </m:f>
      </m:oMath>
    </w:p>
    <w:p w14:paraId="0DC724CB" w14:textId="77777777" w:rsidR="00A379D3" w:rsidRDefault="00BC7860" w:rsidP="00A379D3">
      <w:pPr>
        <w:pStyle w:val="Heading2"/>
        <w:numPr>
          <w:ilvl w:val="0"/>
          <w:numId w:val="0"/>
        </w:numPr>
        <w:spacing w:line="480" w:lineRule="auto"/>
        <w:ind w:left="1080"/>
        <w:jc w:val="both"/>
        <w:rPr>
          <w:szCs w:val="24"/>
          <w:u w:val="single"/>
        </w:rPr>
      </w:pPr>
      <w:r>
        <w:rPr>
          <w:szCs w:val="24"/>
          <w:u w:val="single"/>
        </w:rPr>
        <w:br w:type="page"/>
      </w:r>
    </w:p>
    <w:p w14:paraId="7D9F22B7" w14:textId="0124818A" w:rsidR="00E140B5" w:rsidRPr="00A379D3" w:rsidRDefault="003A43E2" w:rsidP="00112407">
      <w:pPr>
        <w:pStyle w:val="Heading2"/>
        <w:numPr>
          <w:ilvl w:val="1"/>
          <w:numId w:val="3"/>
        </w:numPr>
      </w:pPr>
      <w:bookmarkStart w:id="92" w:name="_Toc141646762"/>
      <w:r>
        <w:rPr>
          <w:b w:val="0"/>
          <w:bCs w:val="0"/>
          <w:i w:val="0"/>
          <w:noProof/>
          <w:szCs w:val="24"/>
          <w:u w:val="single"/>
        </w:rPr>
        <w:lastRenderedPageBreak/>
        <w:drawing>
          <wp:anchor distT="0" distB="0" distL="114300" distR="114300" simplePos="0" relativeHeight="251665435" behindDoc="1" locked="0" layoutInCell="1" allowOverlap="1" wp14:anchorId="1E618C79" wp14:editId="3F45BCB1">
            <wp:simplePos x="0" y="0"/>
            <wp:positionH relativeFrom="column">
              <wp:posOffset>-322580</wp:posOffset>
            </wp:positionH>
            <wp:positionV relativeFrom="paragraph">
              <wp:posOffset>1171575</wp:posOffset>
            </wp:positionV>
            <wp:extent cx="6376670" cy="6520180"/>
            <wp:effectExtent l="0" t="0" r="0" b="0"/>
            <wp:wrapTight wrapText="bothSides">
              <wp:wrapPolygon edited="0">
                <wp:start x="0" y="0"/>
                <wp:lineTo x="0" y="21541"/>
                <wp:lineTo x="21553" y="21541"/>
                <wp:lineTo x="21553" y="0"/>
                <wp:lineTo x="0" y="0"/>
              </wp:wrapPolygon>
            </wp:wrapTight>
            <wp:docPr id="1177852010" name="Picture 7" descr="A table with numbers and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77852010" name="Picture 7" descr="A table with numbers and text&#10;&#10;Description automatically generated"/>
                    <pic:cNvPicPr/>
                  </pic:nvPicPr>
                  <pic:blipFill>
                    <a:blip r:embed="rId59">
                      <a:extLst>
                        <a:ext uri="{28A0092B-C50C-407E-A947-70E740481C1C}">
                          <a14:useLocalDpi xmlns:a14="http://schemas.microsoft.com/office/drawing/2010/main" val="0"/>
                        </a:ext>
                      </a:extLst>
                    </a:blip>
                    <a:stretch>
                      <a:fillRect/>
                    </a:stretch>
                  </pic:blipFill>
                  <pic:spPr>
                    <a:xfrm>
                      <a:off x="0" y="0"/>
                      <a:ext cx="6376670" cy="6520180"/>
                    </a:xfrm>
                    <a:prstGeom prst="rect">
                      <a:avLst/>
                    </a:prstGeom>
                  </pic:spPr>
                </pic:pic>
              </a:graphicData>
            </a:graphic>
            <wp14:sizeRelH relativeFrom="page">
              <wp14:pctWidth>0</wp14:pctWidth>
            </wp14:sizeRelH>
            <wp14:sizeRelV relativeFrom="page">
              <wp14:pctHeight>0</wp14:pctHeight>
            </wp14:sizeRelV>
          </wp:anchor>
        </w:drawing>
      </w:r>
      <w:r w:rsidR="00E634BD">
        <w:rPr>
          <w:szCs w:val="24"/>
        </w:rPr>
        <w:t xml:space="preserve">Example </w:t>
      </w:r>
      <w:r w:rsidR="00E140B5" w:rsidRPr="00A379D3">
        <w:rPr>
          <w:szCs w:val="24"/>
        </w:rPr>
        <w:t xml:space="preserve">Financial Ratio Output </w:t>
      </w:r>
      <w:r w:rsidR="00A379D3" w:rsidRPr="00A379D3">
        <w:rPr>
          <w:szCs w:val="24"/>
        </w:rPr>
        <w:t>Microsoft Excel Spreadsheet</w:t>
      </w:r>
      <w:bookmarkEnd w:id="92"/>
    </w:p>
    <w:p w14:paraId="743CB1C5" w14:textId="4F56C9F3" w:rsidR="00E140B5" w:rsidRDefault="00E140B5">
      <w:pPr>
        <w:rPr>
          <w:rFonts w:eastAsiaTheme="majorEastAsia" w:cstheme="majorBidi"/>
          <w:b/>
          <w:bCs/>
          <w:i/>
          <w:sz w:val="24"/>
          <w:szCs w:val="24"/>
          <w:u w:val="single"/>
        </w:rPr>
      </w:pPr>
      <w:r>
        <w:rPr>
          <w:szCs w:val="24"/>
          <w:u w:val="single"/>
        </w:rPr>
        <w:br w:type="page"/>
      </w:r>
    </w:p>
    <w:p w14:paraId="5B336A03" w14:textId="3BF3BD87" w:rsidR="00E634BD" w:rsidRDefault="00E634BD" w:rsidP="00112407">
      <w:pPr>
        <w:pStyle w:val="Heading2"/>
        <w:numPr>
          <w:ilvl w:val="1"/>
          <w:numId w:val="3"/>
        </w:numPr>
        <w:rPr>
          <w:szCs w:val="24"/>
        </w:rPr>
      </w:pPr>
      <w:bookmarkStart w:id="93" w:name="_Toc141646763"/>
      <w:r w:rsidRPr="00A379D3">
        <w:rPr>
          <w:szCs w:val="24"/>
        </w:rPr>
        <w:lastRenderedPageBreak/>
        <w:t>Financial Ratio Output</w:t>
      </w:r>
      <w:r>
        <w:rPr>
          <w:szCs w:val="24"/>
        </w:rPr>
        <w:t xml:space="preserve">s for individual </w:t>
      </w:r>
      <w:r w:rsidR="00D06C36">
        <w:rPr>
          <w:szCs w:val="24"/>
        </w:rPr>
        <w:t>FTSE 250</w:t>
      </w:r>
      <w:r>
        <w:rPr>
          <w:szCs w:val="24"/>
        </w:rPr>
        <w:t xml:space="preserve"> Sectors</w:t>
      </w:r>
      <w:bookmarkEnd w:id="93"/>
    </w:p>
    <w:p w14:paraId="54B11D19" w14:textId="595D800A" w:rsidR="00514F76" w:rsidRPr="00BC038D" w:rsidRDefault="005A7BBD" w:rsidP="00BC038D">
      <w:pPr>
        <w:rPr>
          <w:sz w:val="24"/>
          <w:szCs w:val="24"/>
        </w:rPr>
      </w:pPr>
      <w:r w:rsidRPr="00BC038D">
        <w:rPr>
          <w:sz w:val="24"/>
          <w:szCs w:val="24"/>
        </w:rPr>
        <w:t>Basic Materials</w:t>
      </w:r>
    </w:p>
    <w:p w14:paraId="7305EEE6" w14:textId="3D40EAA2" w:rsidR="00514F76" w:rsidRDefault="00514F76">
      <w:pPr>
        <w:rPr>
          <w:sz w:val="24"/>
          <w:szCs w:val="24"/>
        </w:rPr>
      </w:pPr>
      <w:r>
        <w:rPr>
          <w:noProof/>
          <w:sz w:val="24"/>
          <w:szCs w:val="24"/>
        </w:rPr>
        <w:drawing>
          <wp:inline distT="0" distB="0" distL="0" distR="0" wp14:anchorId="7E761B92" wp14:editId="442A4DAA">
            <wp:extent cx="5731510" cy="6672580"/>
            <wp:effectExtent l="0" t="0" r="0" b="0"/>
            <wp:docPr id="816753493" name="Picture 2" descr="A table with numbers and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16753493" name="Picture 2" descr="A table with numbers and text&#10;&#10;Description automatically generated"/>
                    <pic:cNvPicPr/>
                  </pic:nvPicPr>
                  <pic:blipFill>
                    <a:blip r:embed="rId60" cstate="print">
                      <a:extLst>
                        <a:ext uri="{28A0092B-C50C-407E-A947-70E740481C1C}">
                          <a14:useLocalDpi xmlns:a14="http://schemas.microsoft.com/office/drawing/2010/main" val="0"/>
                        </a:ext>
                      </a:extLst>
                    </a:blip>
                    <a:stretch>
                      <a:fillRect/>
                    </a:stretch>
                  </pic:blipFill>
                  <pic:spPr>
                    <a:xfrm>
                      <a:off x="0" y="0"/>
                      <a:ext cx="5731510" cy="6672580"/>
                    </a:xfrm>
                    <a:prstGeom prst="rect">
                      <a:avLst/>
                    </a:prstGeom>
                  </pic:spPr>
                </pic:pic>
              </a:graphicData>
            </a:graphic>
          </wp:inline>
        </w:drawing>
      </w:r>
      <w:r>
        <w:rPr>
          <w:sz w:val="24"/>
          <w:szCs w:val="24"/>
        </w:rPr>
        <w:br w:type="page"/>
      </w:r>
    </w:p>
    <w:p w14:paraId="1AC05572" w14:textId="4E9B0D04" w:rsidR="00514F76" w:rsidRPr="00BC038D" w:rsidRDefault="00514F76" w:rsidP="00BC038D">
      <w:pPr>
        <w:rPr>
          <w:sz w:val="24"/>
          <w:szCs w:val="24"/>
        </w:rPr>
      </w:pPr>
      <w:r w:rsidRPr="00BC038D">
        <w:rPr>
          <w:sz w:val="24"/>
          <w:szCs w:val="24"/>
        </w:rPr>
        <w:lastRenderedPageBreak/>
        <w:t xml:space="preserve">Consumer Discretionary </w:t>
      </w:r>
    </w:p>
    <w:p w14:paraId="46760DCF" w14:textId="77777777" w:rsidR="00514F76" w:rsidRDefault="00514F76">
      <w:pPr>
        <w:rPr>
          <w:szCs w:val="24"/>
          <w:highlight w:val="green"/>
        </w:rPr>
      </w:pPr>
      <w:r>
        <w:rPr>
          <w:noProof/>
          <w:szCs w:val="24"/>
        </w:rPr>
        <w:drawing>
          <wp:inline distT="0" distB="0" distL="0" distR="0" wp14:anchorId="12C0671B" wp14:editId="21869A65">
            <wp:extent cx="5706110" cy="6569075"/>
            <wp:effectExtent l="0" t="0" r="0" b="0"/>
            <wp:docPr id="2102325628" name="Picture 3" descr="A table with numbers and a number of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02325628" name="Picture 3" descr="A table with numbers and a number of text&#10;&#10;Description automatically generated"/>
                    <pic:cNvPicPr/>
                  </pic:nvPicPr>
                  <pic:blipFill rotWithShape="1">
                    <a:blip r:embed="rId61" cstate="print">
                      <a:extLst>
                        <a:ext uri="{28A0092B-C50C-407E-A947-70E740481C1C}">
                          <a14:useLocalDpi xmlns:a14="http://schemas.microsoft.com/office/drawing/2010/main" val="0"/>
                        </a:ext>
                      </a:extLst>
                    </a:blip>
                    <a:srcRect l="444" r="-1"/>
                    <a:stretch/>
                  </pic:blipFill>
                  <pic:spPr bwMode="auto">
                    <a:xfrm>
                      <a:off x="0" y="0"/>
                      <a:ext cx="5706110" cy="6569075"/>
                    </a:xfrm>
                    <a:prstGeom prst="rect">
                      <a:avLst/>
                    </a:prstGeom>
                    <a:ln>
                      <a:noFill/>
                    </a:ln>
                    <a:extLst>
                      <a:ext uri="{53640926-AAD7-44D8-BBD7-CCE9431645EC}">
                        <a14:shadowObscured xmlns:a14="http://schemas.microsoft.com/office/drawing/2010/main"/>
                      </a:ext>
                    </a:extLst>
                  </pic:spPr>
                </pic:pic>
              </a:graphicData>
            </a:graphic>
          </wp:inline>
        </w:drawing>
      </w:r>
    </w:p>
    <w:p w14:paraId="2AA3A655" w14:textId="77777777" w:rsidR="00514F76" w:rsidRDefault="00514F76">
      <w:pPr>
        <w:rPr>
          <w:szCs w:val="24"/>
          <w:highlight w:val="green"/>
        </w:rPr>
      </w:pPr>
      <w:r>
        <w:rPr>
          <w:szCs w:val="24"/>
          <w:highlight w:val="green"/>
        </w:rPr>
        <w:br w:type="page"/>
      </w:r>
    </w:p>
    <w:p w14:paraId="19B09D98" w14:textId="51036971" w:rsidR="00240EAB" w:rsidRPr="00BC038D" w:rsidRDefault="00240EAB" w:rsidP="00BC038D">
      <w:pPr>
        <w:rPr>
          <w:sz w:val="24"/>
          <w:szCs w:val="24"/>
        </w:rPr>
      </w:pPr>
      <w:r w:rsidRPr="00BC038D">
        <w:rPr>
          <w:sz w:val="24"/>
          <w:szCs w:val="24"/>
        </w:rPr>
        <w:lastRenderedPageBreak/>
        <w:t xml:space="preserve">Consumer Staples </w:t>
      </w:r>
    </w:p>
    <w:p w14:paraId="2CC01A0E" w14:textId="5EF5822D" w:rsidR="00240EAB" w:rsidRDefault="00973306">
      <w:pPr>
        <w:rPr>
          <w:szCs w:val="24"/>
          <w:highlight w:val="green"/>
        </w:rPr>
      </w:pPr>
      <w:r>
        <w:rPr>
          <w:noProof/>
          <w:szCs w:val="24"/>
        </w:rPr>
        <w:drawing>
          <wp:inline distT="0" distB="0" distL="0" distR="0" wp14:anchorId="0B8FF269" wp14:editId="73F08DB9">
            <wp:extent cx="5731510" cy="6675120"/>
            <wp:effectExtent l="0" t="0" r="0" b="0"/>
            <wp:docPr id="536493957" name="Picture 4" descr="A table with numbers and percentage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36493957" name="Picture 4" descr="A table with numbers and percentages&#10;&#10;Description automatically generated"/>
                    <pic:cNvPicPr/>
                  </pic:nvPicPr>
                  <pic:blipFill>
                    <a:blip r:embed="rId62" cstate="print">
                      <a:extLst>
                        <a:ext uri="{28A0092B-C50C-407E-A947-70E740481C1C}">
                          <a14:useLocalDpi xmlns:a14="http://schemas.microsoft.com/office/drawing/2010/main" val="0"/>
                        </a:ext>
                      </a:extLst>
                    </a:blip>
                    <a:stretch>
                      <a:fillRect/>
                    </a:stretch>
                  </pic:blipFill>
                  <pic:spPr>
                    <a:xfrm>
                      <a:off x="0" y="0"/>
                      <a:ext cx="5731510" cy="6675120"/>
                    </a:xfrm>
                    <a:prstGeom prst="rect">
                      <a:avLst/>
                    </a:prstGeom>
                  </pic:spPr>
                </pic:pic>
              </a:graphicData>
            </a:graphic>
          </wp:inline>
        </w:drawing>
      </w:r>
      <w:r w:rsidR="00240EAB">
        <w:rPr>
          <w:szCs w:val="24"/>
          <w:highlight w:val="green"/>
        </w:rPr>
        <w:br w:type="page"/>
      </w:r>
    </w:p>
    <w:p w14:paraId="60B4478D" w14:textId="21EC1D57" w:rsidR="00240EAB" w:rsidRPr="00BC038D" w:rsidRDefault="00240EAB" w:rsidP="00BC038D">
      <w:pPr>
        <w:rPr>
          <w:sz w:val="24"/>
          <w:szCs w:val="24"/>
        </w:rPr>
      </w:pPr>
      <w:r w:rsidRPr="00BC038D">
        <w:rPr>
          <w:sz w:val="24"/>
          <w:szCs w:val="24"/>
        </w:rPr>
        <w:lastRenderedPageBreak/>
        <w:t>Energy</w:t>
      </w:r>
    </w:p>
    <w:p w14:paraId="67088CD1" w14:textId="7936FA09" w:rsidR="00240EAB" w:rsidRDefault="00973306">
      <w:pPr>
        <w:rPr>
          <w:szCs w:val="24"/>
          <w:highlight w:val="green"/>
        </w:rPr>
      </w:pPr>
      <w:r>
        <w:rPr>
          <w:noProof/>
          <w:szCs w:val="24"/>
        </w:rPr>
        <w:drawing>
          <wp:inline distT="0" distB="0" distL="0" distR="0" wp14:anchorId="4D232BC5" wp14:editId="4E0647AA">
            <wp:extent cx="5731510" cy="6791960"/>
            <wp:effectExtent l="0" t="0" r="0" b="0"/>
            <wp:docPr id="52135195" name="Picture 5" descr="A table with numbers and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2135195" name="Picture 5" descr="A table with numbers and text&#10;&#10;Description automatically generated"/>
                    <pic:cNvPicPr/>
                  </pic:nvPicPr>
                  <pic:blipFill>
                    <a:blip r:embed="rId63" cstate="print">
                      <a:extLst>
                        <a:ext uri="{28A0092B-C50C-407E-A947-70E740481C1C}">
                          <a14:useLocalDpi xmlns:a14="http://schemas.microsoft.com/office/drawing/2010/main" val="0"/>
                        </a:ext>
                      </a:extLst>
                    </a:blip>
                    <a:stretch>
                      <a:fillRect/>
                    </a:stretch>
                  </pic:blipFill>
                  <pic:spPr>
                    <a:xfrm>
                      <a:off x="0" y="0"/>
                      <a:ext cx="5731510" cy="6791960"/>
                    </a:xfrm>
                    <a:prstGeom prst="rect">
                      <a:avLst/>
                    </a:prstGeom>
                  </pic:spPr>
                </pic:pic>
              </a:graphicData>
            </a:graphic>
          </wp:inline>
        </w:drawing>
      </w:r>
      <w:r w:rsidR="00240EAB">
        <w:rPr>
          <w:szCs w:val="24"/>
          <w:highlight w:val="green"/>
        </w:rPr>
        <w:br w:type="page"/>
      </w:r>
    </w:p>
    <w:p w14:paraId="4E0F2669" w14:textId="16E30E79" w:rsidR="00240EAB" w:rsidRPr="00BC038D" w:rsidRDefault="00240EAB" w:rsidP="00BC038D">
      <w:pPr>
        <w:rPr>
          <w:sz w:val="24"/>
          <w:szCs w:val="24"/>
        </w:rPr>
      </w:pPr>
      <w:r w:rsidRPr="00BC038D">
        <w:rPr>
          <w:sz w:val="24"/>
          <w:szCs w:val="24"/>
        </w:rPr>
        <w:lastRenderedPageBreak/>
        <w:t>Financials</w:t>
      </w:r>
    </w:p>
    <w:p w14:paraId="7601A55B" w14:textId="4D10892E" w:rsidR="00240EAB" w:rsidRDefault="00973306">
      <w:pPr>
        <w:rPr>
          <w:szCs w:val="24"/>
          <w:highlight w:val="green"/>
        </w:rPr>
      </w:pPr>
      <w:r>
        <w:rPr>
          <w:noProof/>
          <w:szCs w:val="24"/>
        </w:rPr>
        <w:drawing>
          <wp:inline distT="0" distB="0" distL="0" distR="0" wp14:anchorId="0E6B77B7" wp14:editId="1D2A7552">
            <wp:extent cx="5731510" cy="6803390"/>
            <wp:effectExtent l="0" t="0" r="0" b="0"/>
            <wp:docPr id="595522123" name="Picture 6" descr="A table with numbers and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95522123" name="Picture 6" descr="A table with numbers and text&#10;&#10;Description automatically generated"/>
                    <pic:cNvPicPr/>
                  </pic:nvPicPr>
                  <pic:blipFill>
                    <a:blip r:embed="rId64" cstate="print">
                      <a:extLst>
                        <a:ext uri="{28A0092B-C50C-407E-A947-70E740481C1C}">
                          <a14:useLocalDpi xmlns:a14="http://schemas.microsoft.com/office/drawing/2010/main" val="0"/>
                        </a:ext>
                      </a:extLst>
                    </a:blip>
                    <a:stretch>
                      <a:fillRect/>
                    </a:stretch>
                  </pic:blipFill>
                  <pic:spPr>
                    <a:xfrm>
                      <a:off x="0" y="0"/>
                      <a:ext cx="5731510" cy="6803390"/>
                    </a:xfrm>
                    <a:prstGeom prst="rect">
                      <a:avLst/>
                    </a:prstGeom>
                  </pic:spPr>
                </pic:pic>
              </a:graphicData>
            </a:graphic>
          </wp:inline>
        </w:drawing>
      </w:r>
      <w:r w:rsidR="00240EAB">
        <w:rPr>
          <w:szCs w:val="24"/>
          <w:highlight w:val="green"/>
        </w:rPr>
        <w:br w:type="page"/>
      </w:r>
    </w:p>
    <w:p w14:paraId="1FAEF600" w14:textId="71876A99" w:rsidR="00240EAB" w:rsidRPr="00BC038D" w:rsidRDefault="00A321E1" w:rsidP="00BC038D">
      <w:pPr>
        <w:rPr>
          <w:sz w:val="24"/>
          <w:szCs w:val="24"/>
        </w:rPr>
      </w:pPr>
      <w:r w:rsidRPr="00BC038D">
        <w:rPr>
          <w:sz w:val="24"/>
          <w:szCs w:val="24"/>
        </w:rPr>
        <w:lastRenderedPageBreak/>
        <w:t>Healthcare</w:t>
      </w:r>
    </w:p>
    <w:p w14:paraId="2E0BB95C" w14:textId="3E2DCCA0" w:rsidR="00240EAB" w:rsidRDefault="00973306">
      <w:pPr>
        <w:rPr>
          <w:szCs w:val="24"/>
          <w:highlight w:val="green"/>
        </w:rPr>
      </w:pPr>
      <w:r>
        <w:rPr>
          <w:noProof/>
          <w:szCs w:val="24"/>
        </w:rPr>
        <w:drawing>
          <wp:inline distT="0" distB="0" distL="0" distR="0" wp14:anchorId="7E0FE030" wp14:editId="5D6E25B0">
            <wp:extent cx="5731510" cy="6640830"/>
            <wp:effectExtent l="0" t="0" r="0" b="0"/>
            <wp:docPr id="765301781" name="Picture 7" descr="A screenshot of a spreadshee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65301781" name="Picture 7" descr="A screenshot of a spreadsheet&#10;&#10;Description automatically generated"/>
                    <pic:cNvPicPr/>
                  </pic:nvPicPr>
                  <pic:blipFill>
                    <a:blip r:embed="rId65" cstate="print">
                      <a:extLst>
                        <a:ext uri="{28A0092B-C50C-407E-A947-70E740481C1C}">
                          <a14:useLocalDpi xmlns:a14="http://schemas.microsoft.com/office/drawing/2010/main" val="0"/>
                        </a:ext>
                      </a:extLst>
                    </a:blip>
                    <a:stretch>
                      <a:fillRect/>
                    </a:stretch>
                  </pic:blipFill>
                  <pic:spPr>
                    <a:xfrm>
                      <a:off x="0" y="0"/>
                      <a:ext cx="5731510" cy="6640830"/>
                    </a:xfrm>
                    <a:prstGeom prst="rect">
                      <a:avLst/>
                    </a:prstGeom>
                  </pic:spPr>
                </pic:pic>
              </a:graphicData>
            </a:graphic>
          </wp:inline>
        </w:drawing>
      </w:r>
      <w:r w:rsidR="00240EAB">
        <w:rPr>
          <w:szCs w:val="24"/>
          <w:highlight w:val="green"/>
        </w:rPr>
        <w:br w:type="page"/>
      </w:r>
    </w:p>
    <w:p w14:paraId="7311649E" w14:textId="4237B962" w:rsidR="00A321E1" w:rsidRPr="00BC038D" w:rsidRDefault="00A321E1" w:rsidP="00BC038D">
      <w:pPr>
        <w:rPr>
          <w:sz w:val="24"/>
          <w:szCs w:val="24"/>
        </w:rPr>
      </w:pPr>
      <w:r w:rsidRPr="00BC038D">
        <w:rPr>
          <w:sz w:val="24"/>
          <w:szCs w:val="24"/>
        </w:rPr>
        <w:lastRenderedPageBreak/>
        <w:t>Industrials</w:t>
      </w:r>
    </w:p>
    <w:p w14:paraId="7E749CD9" w14:textId="6BF2C56E" w:rsidR="00A321E1" w:rsidRDefault="00973306">
      <w:pPr>
        <w:rPr>
          <w:szCs w:val="24"/>
          <w:highlight w:val="green"/>
        </w:rPr>
      </w:pPr>
      <w:r>
        <w:rPr>
          <w:noProof/>
          <w:szCs w:val="24"/>
        </w:rPr>
        <w:drawing>
          <wp:inline distT="0" distB="0" distL="0" distR="0" wp14:anchorId="5B8CF8C8" wp14:editId="11068029">
            <wp:extent cx="5731510" cy="6552565"/>
            <wp:effectExtent l="0" t="0" r="0" b="0"/>
            <wp:docPr id="1488370614" name="Picture 8" descr="A table with numbers and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88370614" name="Picture 8" descr="A table with numbers and text&#10;&#10;Description automatically generated"/>
                    <pic:cNvPicPr/>
                  </pic:nvPicPr>
                  <pic:blipFill>
                    <a:blip r:embed="rId66" cstate="print">
                      <a:extLst>
                        <a:ext uri="{28A0092B-C50C-407E-A947-70E740481C1C}">
                          <a14:useLocalDpi xmlns:a14="http://schemas.microsoft.com/office/drawing/2010/main" val="0"/>
                        </a:ext>
                      </a:extLst>
                    </a:blip>
                    <a:stretch>
                      <a:fillRect/>
                    </a:stretch>
                  </pic:blipFill>
                  <pic:spPr>
                    <a:xfrm>
                      <a:off x="0" y="0"/>
                      <a:ext cx="5731510" cy="6552565"/>
                    </a:xfrm>
                    <a:prstGeom prst="rect">
                      <a:avLst/>
                    </a:prstGeom>
                  </pic:spPr>
                </pic:pic>
              </a:graphicData>
            </a:graphic>
          </wp:inline>
        </w:drawing>
      </w:r>
      <w:r w:rsidR="00A321E1">
        <w:rPr>
          <w:szCs w:val="24"/>
          <w:highlight w:val="green"/>
        </w:rPr>
        <w:br w:type="page"/>
      </w:r>
    </w:p>
    <w:p w14:paraId="6ECFBAC4" w14:textId="68385402" w:rsidR="00A321E1" w:rsidRPr="00BC038D" w:rsidRDefault="00A321E1" w:rsidP="00BC038D">
      <w:pPr>
        <w:rPr>
          <w:sz w:val="24"/>
          <w:szCs w:val="24"/>
        </w:rPr>
      </w:pPr>
      <w:r w:rsidRPr="00BC038D">
        <w:rPr>
          <w:sz w:val="24"/>
          <w:szCs w:val="24"/>
        </w:rPr>
        <w:lastRenderedPageBreak/>
        <w:t>Real Estate</w:t>
      </w:r>
    </w:p>
    <w:p w14:paraId="02D90362" w14:textId="6CFF3CEB" w:rsidR="00A321E1" w:rsidRDefault="00973306">
      <w:pPr>
        <w:rPr>
          <w:szCs w:val="24"/>
          <w:highlight w:val="green"/>
        </w:rPr>
      </w:pPr>
      <w:r>
        <w:rPr>
          <w:noProof/>
          <w:szCs w:val="24"/>
        </w:rPr>
        <w:drawing>
          <wp:inline distT="0" distB="0" distL="0" distR="0" wp14:anchorId="16D0FFC1" wp14:editId="41022B21">
            <wp:extent cx="5731510" cy="6651625"/>
            <wp:effectExtent l="0" t="0" r="0" b="0"/>
            <wp:docPr id="688746232" name="Picture 9" descr="A table with numbers and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88746232" name="Picture 9" descr="A table with numbers and text&#10;&#10;Description automatically generated"/>
                    <pic:cNvPicPr/>
                  </pic:nvPicPr>
                  <pic:blipFill>
                    <a:blip r:embed="rId67" cstate="print">
                      <a:extLst>
                        <a:ext uri="{28A0092B-C50C-407E-A947-70E740481C1C}">
                          <a14:useLocalDpi xmlns:a14="http://schemas.microsoft.com/office/drawing/2010/main" val="0"/>
                        </a:ext>
                      </a:extLst>
                    </a:blip>
                    <a:stretch>
                      <a:fillRect/>
                    </a:stretch>
                  </pic:blipFill>
                  <pic:spPr>
                    <a:xfrm>
                      <a:off x="0" y="0"/>
                      <a:ext cx="5731510" cy="6651625"/>
                    </a:xfrm>
                    <a:prstGeom prst="rect">
                      <a:avLst/>
                    </a:prstGeom>
                  </pic:spPr>
                </pic:pic>
              </a:graphicData>
            </a:graphic>
          </wp:inline>
        </w:drawing>
      </w:r>
      <w:r w:rsidR="00A321E1">
        <w:rPr>
          <w:szCs w:val="24"/>
          <w:highlight w:val="green"/>
        </w:rPr>
        <w:br w:type="page"/>
      </w:r>
    </w:p>
    <w:p w14:paraId="53FBD1D4" w14:textId="573F9874" w:rsidR="00A321E1" w:rsidRPr="00BC038D" w:rsidRDefault="00A321E1" w:rsidP="00BC038D">
      <w:pPr>
        <w:rPr>
          <w:sz w:val="24"/>
          <w:szCs w:val="24"/>
        </w:rPr>
      </w:pPr>
      <w:r w:rsidRPr="00BC038D">
        <w:rPr>
          <w:sz w:val="24"/>
          <w:szCs w:val="24"/>
        </w:rPr>
        <w:lastRenderedPageBreak/>
        <w:t>Technology</w:t>
      </w:r>
    </w:p>
    <w:p w14:paraId="34C80905" w14:textId="7A6F1C5F" w:rsidR="00A321E1" w:rsidRDefault="00C869C8">
      <w:pPr>
        <w:rPr>
          <w:szCs w:val="24"/>
          <w:highlight w:val="green"/>
        </w:rPr>
      </w:pPr>
      <w:r>
        <w:rPr>
          <w:noProof/>
          <w:szCs w:val="24"/>
        </w:rPr>
        <w:drawing>
          <wp:inline distT="0" distB="0" distL="0" distR="0" wp14:anchorId="13A068F1" wp14:editId="76D82FC8">
            <wp:extent cx="5731510" cy="6628130"/>
            <wp:effectExtent l="0" t="0" r="0" b="0"/>
            <wp:docPr id="1746440966"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46440966" name="Picture 1746440966"/>
                    <pic:cNvPicPr/>
                  </pic:nvPicPr>
                  <pic:blipFill>
                    <a:blip r:embed="rId68" cstate="print">
                      <a:extLst>
                        <a:ext uri="{28A0092B-C50C-407E-A947-70E740481C1C}">
                          <a14:useLocalDpi xmlns:a14="http://schemas.microsoft.com/office/drawing/2010/main" val="0"/>
                        </a:ext>
                      </a:extLst>
                    </a:blip>
                    <a:stretch>
                      <a:fillRect/>
                    </a:stretch>
                  </pic:blipFill>
                  <pic:spPr>
                    <a:xfrm>
                      <a:off x="0" y="0"/>
                      <a:ext cx="5731510" cy="6628130"/>
                    </a:xfrm>
                    <a:prstGeom prst="rect">
                      <a:avLst/>
                    </a:prstGeom>
                  </pic:spPr>
                </pic:pic>
              </a:graphicData>
            </a:graphic>
          </wp:inline>
        </w:drawing>
      </w:r>
      <w:r w:rsidR="00A321E1">
        <w:rPr>
          <w:szCs w:val="24"/>
          <w:highlight w:val="green"/>
        </w:rPr>
        <w:br w:type="page"/>
      </w:r>
    </w:p>
    <w:p w14:paraId="3DC87B40" w14:textId="362C7870" w:rsidR="00A321E1" w:rsidRPr="00BC038D" w:rsidRDefault="00A321E1" w:rsidP="00BC038D">
      <w:pPr>
        <w:rPr>
          <w:sz w:val="24"/>
          <w:szCs w:val="24"/>
        </w:rPr>
      </w:pPr>
      <w:r w:rsidRPr="00BC038D">
        <w:rPr>
          <w:sz w:val="24"/>
          <w:szCs w:val="24"/>
        </w:rPr>
        <w:lastRenderedPageBreak/>
        <w:t>Telecommunications</w:t>
      </w:r>
    </w:p>
    <w:p w14:paraId="63153D86" w14:textId="02184431" w:rsidR="00A321E1" w:rsidRDefault="00C869C8">
      <w:pPr>
        <w:rPr>
          <w:sz w:val="24"/>
          <w:szCs w:val="24"/>
        </w:rPr>
      </w:pPr>
      <w:r>
        <w:rPr>
          <w:noProof/>
          <w:sz w:val="24"/>
          <w:szCs w:val="24"/>
        </w:rPr>
        <w:drawing>
          <wp:inline distT="0" distB="0" distL="0" distR="0" wp14:anchorId="77FCB8E8" wp14:editId="0A2D470D">
            <wp:extent cx="5731510" cy="6698615"/>
            <wp:effectExtent l="0" t="0" r="0" b="0"/>
            <wp:docPr id="1151894768" name="Picture 11" descr="A table with numbers and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51894768" name="Picture 11" descr="A table with numbers and text&#10;&#10;Description automatically generated"/>
                    <pic:cNvPicPr/>
                  </pic:nvPicPr>
                  <pic:blipFill>
                    <a:blip r:embed="rId69" cstate="print">
                      <a:extLst>
                        <a:ext uri="{28A0092B-C50C-407E-A947-70E740481C1C}">
                          <a14:useLocalDpi xmlns:a14="http://schemas.microsoft.com/office/drawing/2010/main" val="0"/>
                        </a:ext>
                      </a:extLst>
                    </a:blip>
                    <a:stretch>
                      <a:fillRect/>
                    </a:stretch>
                  </pic:blipFill>
                  <pic:spPr>
                    <a:xfrm>
                      <a:off x="0" y="0"/>
                      <a:ext cx="5731510" cy="6698615"/>
                    </a:xfrm>
                    <a:prstGeom prst="rect">
                      <a:avLst/>
                    </a:prstGeom>
                  </pic:spPr>
                </pic:pic>
              </a:graphicData>
            </a:graphic>
          </wp:inline>
        </w:drawing>
      </w:r>
      <w:r w:rsidR="00A321E1">
        <w:rPr>
          <w:sz w:val="24"/>
          <w:szCs w:val="24"/>
        </w:rPr>
        <w:br w:type="page"/>
      </w:r>
    </w:p>
    <w:p w14:paraId="40E6198B" w14:textId="020B893E" w:rsidR="00A321E1" w:rsidRPr="00BC038D" w:rsidRDefault="00A321E1" w:rsidP="00BC038D">
      <w:pPr>
        <w:rPr>
          <w:sz w:val="24"/>
          <w:szCs w:val="24"/>
        </w:rPr>
      </w:pPr>
      <w:r w:rsidRPr="00BC038D">
        <w:rPr>
          <w:sz w:val="24"/>
          <w:szCs w:val="24"/>
        </w:rPr>
        <w:lastRenderedPageBreak/>
        <w:t>Utilities</w:t>
      </w:r>
    </w:p>
    <w:p w14:paraId="380F1885" w14:textId="19A0990C" w:rsidR="00A321E1" w:rsidRPr="00E634BD" w:rsidRDefault="00C869C8" w:rsidP="00A321E1">
      <w:pPr>
        <w:rPr>
          <w:sz w:val="24"/>
          <w:szCs w:val="24"/>
        </w:rPr>
      </w:pPr>
      <w:r>
        <w:rPr>
          <w:noProof/>
          <w:sz w:val="24"/>
          <w:szCs w:val="24"/>
        </w:rPr>
        <w:drawing>
          <wp:inline distT="0" distB="0" distL="0" distR="0" wp14:anchorId="411C31AF" wp14:editId="362771D9">
            <wp:extent cx="5731510" cy="6543675"/>
            <wp:effectExtent l="0" t="0" r="0" b="0"/>
            <wp:docPr id="1217941366" name="Picture 12" descr="A table with numbers and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17941366" name="Picture 12" descr="A table with numbers and text&#10;&#10;Description automatically generated"/>
                    <pic:cNvPicPr/>
                  </pic:nvPicPr>
                  <pic:blipFill>
                    <a:blip r:embed="rId70" cstate="print">
                      <a:extLst>
                        <a:ext uri="{28A0092B-C50C-407E-A947-70E740481C1C}">
                          <a14:useLocalDpi xmlns:a14="http://schemas.microsoft.com/office/drawing/2010/main" val="0"/>
                        </a:ext>
                      </a:extLst>
                    </a:blip>
                    <a:stretch>
                      <a:fillRect/>
                    </a:stretch>
                  </pic:blipFill>
                  <pic:spPr>
                    <a:xfrm>
                      <a:off x="0" y="0"/>
                      <a:ext cx="5731510" cy="6543675"/>
                    </a:xfrm>
                    <a:prstGeom prst="rect">
                      <a:avLst/>
                    </a:prstGeom>
                  </pic:spPr>
                </pic:pic>
              </a:graphicData>
            </a:graphic>
          </wp:inline>
        </w:drawing>
      </w:r>
    </w:p>
    <w:p w14:paraId="78191F4B" w14:textId="0CD2EED5" w:rsidR="0032545F" w:rsidRPr="005D69B2" w:rsidRDefault="0032545F" w:rsidP="0089504A">
      <w:pPr>
        <w:rPr>
          <w:rFonts w:eastAsiaTheme="majorEastAsia" w:cstheme="majorBidi"/>
          <w:b/>
          <w:bCs/>
          <w:i/>
          <w:sz w:val="24"/>
          <w:szCs w:val="24"/>
          <w:highlight w:val="green"/>
        </w:rPr>
      </w:pPr>
    </w:p>
    <w:sectPr w:rsidR="0032545F" w:rsidRPr="005D69B2" w:rsidSect="009C3206">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141F50D" w14:textId="77777777" w:rsidR="00756ECA" w:rsidRDefault="00756ECA" w:rsidP="003D1C9B">
      <w:pPr>
        <w:spacing w:after="0" w:line="240" w:lineRule="auto"/>
      </w:pPr>
      <w:r>
        <w:separator/>
      </w:r>
    </w:p>
  </w:endnote>
  <w:endnote w:type="continuationSeparator" w:id="0">
    <w:p w14:paraId="6B77BEDA" w14:textId="77777777" w:rsidR="00756ECA" w:rsidRDefault="00756ECA" w:rsidP="003D1C9B">
      <w:pPr>
        <w:spacing w:after="0" w:line="240" w:lineRule="auto"/>
      </w:pPr>
      <w:r>
        <w:continuationSeparator/>
      </w:r>
    </w:p>
  </w:endnote>
  <w:endnote w:type="continuationNotice" w:id="1">
    <w:p w14:paraId="4BB00F9D" w14:textId="77777777" w:rsidR="00756ECA" w:rsidRDefault="00756ECA">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2FF" w:usb1="400004FF" w:usb2="00000000" w:usb3="00000000" w:csb0="0000019F" w:csb1="00000000"/>
  </w:font>
  <w:font w:name="Arial">
    <w:panose1 w:val="020B0604020202020204"/>
    <w:charset w:val="00"/>
    <w:family w:val="swiss"/>
    <w:pitch w:val="variable"/>
    <w:sig w:usb0="E0002AFF" w:usb1="C0007843" w:usb2="00000009" w:usb3="00000000" w:csb0="000001FF" w:csb1="00000000"/>
  </w:font>
  <w:font w:name="Cambria Math">
    <w:panose1 w:val="02040503050406030204"/>
    <w:charset w:val="00"/>
    <w:family w:val="roman"/>
    <w:pitch w:val="variable"/>
    <w:sig w:usb0="E00002FF" w:usb1="420024FF"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2049409997"/>
      <w:docPartObj>
        <w:docPartGallery w:val="Page Numbers (Bottom of Page)"/>
        <w:docPartUnique/>
      </w:docPartObj>
    </w:sdtPr>
    <w:sdtContent>
      <w:p w14:paraId="3C22B9FC" w14:textId="24B6593A" w:rsidR="009C3206" w:rsidRDefault="009C3206" w:rsidP="00426ED9">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82</w:t>
        </w:r>
        <w:r>
          <w:rPr>
            <w:rStyle w:val="PageNumber"/>
          </w:rPr>
          <w:fldChar w:fldCharType="end"/>
        </w:r>
      </w:p>
    </w:sdtContent>
  </w:sdt>
  <w:sdt>
    <w:sdtPr>
      <w:rPr>
        <w:rStyle w:val="PageNumber"/>
      </w:rPr>
      <w:id w:val="2054415306"/>
      <w:docPartObj>
        <w:docPartGallery w:val="Page Numbers (Bottom of Page)"/>
        <w:docPartUnique/>
      </w:docPartObj>
    </w:sdtPr>
    <w:sdtContent>
      <w:p w14:paraId="69738629" w14:textId="78F07DE8" w:rsidR="009C3206" w:rsidRDefault="009C3206" w:rsidP="00426ED9">
        <w:pPr>
          <w:pStyle w:val="Footer"/>
          <w:framePr w:wrap="none" w:vAnchor="text" w:hAnchor="margin"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82</w:t>
        </w:r>
        <w:r>
          <w:rPr>
            <w:rStyle w:val="PageNumber"/>
          </w:rPr>
          <w:fldChar w:fldCharType="end"/>
        </w:r>
      </w:p>
    </w:sdtContent>
  </w:sdt>
  <w:p w14:paraId="4B4A612A" w14:textId="77777777" w:rsidR="009C3206" w:rsidRDefault="009C3206" w:rsidP="009C3206">
    <w:pPr>
      <w:pStyle w:val="Footer"/>
      <w:ind w:firstLine="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60369776"/>
      <w:docPartObj>
        <w:docPartGallery w:val="Page Numbers (Bottom of Page)"/>
        <w:docPartUnique/>
      </w:docPartObj>
    </w:sdtPr>
    <w:sdtContent>
      <w:p w14:paraId="50DCBEB2" w14:textId="6D600394" w:rsidR="00A80870" w:rsidRDefault="00024087">
        <w:pPr>
          <w:pStyle w:val="Footer"/>
          <w:jc w:val="center"/>
        </w:pPr>
        <w:r>
          <w:fldChar w:fldCharType="begin"/>
        </w:r>
        <w:r>
          <w:instrText xml:space="preserve"> PAGE   \* MERGEFORMAT </w:instrText>
        </w:r>
        <w:r>
          <w:fldChar w:fldCharType="separate"/>
        </w:r>
        <w:r w:rsidR="008E5058">
          <w:rPr>
            <w:noProof/>
          </w:rPr>
          <w:t>vii</w:t>
        </w:r>
        <w:r>
          <w:rPr>
            <w:noProof/>
          </w:rPr>
          <w:fldChar w:fldCharType="end"/>
        </w:r>
      </w:p>
    </w:sdtContent>
  </w:sdt>
  <w:p w14:paraId="3F8CA203" w14:textId="77777777" w:rsidR="00A80870" w:rsidRDefault="00A80870">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60369545"/>
      <w:docPartObj>
        <w:docPartGallery w:val="Page Numbers (Bottom of Page)"/>
        <w:docPartUnique/>
      </w:docPartObj>
    </w:sdtPr>
    <w:sdtContent>
      <w:p w14:paraId="7C8C4A13" w14:textId="77777777" w:rsidR="00A80870" w:rsidRDefault="00024087">
        <w:pPr>
          <w:pStyle w:val="Footer"/>
          <w:jc w:val="center"/>
        </w:pPr>
        <w:r>
          <w:fldChar w:fldCharType="begin"/>
        </w:r>
        <w:r>
          <w:instrText xml:space="preserve"> PAGE   \* MERGEFORMAT </w:instrText>
        </w:r>
        <w:r>
          <w:fldChar w:fldCharType="separate"/>
        </w:r>
        <w:r w:rsidR="008E5058">
          <w:rPr>
            <w:noProof/>
          </w:rPr>
          <w:t>40</w:t>
        </w:r>
        <w:r>
          <w:rPr>
            <w:noProof/>
          </w:rPr>
          <w:fldChar w:fldCharType="end"/>
        </w:r>
      </w:p>
    </w:sdtContent>
  </w:sdt>
  <w:p w14:paraId="2D02A8C0" w14:textId="77777777" w:rsidR="00A80870" w:rsidRDefault="00A80870">
    <w:pPr>
      <w:pStyle w:val="Footer"/>
    </w:pPr>
  </w:p>
</w:ftr>
</file>

<file path=word/footer4.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273451778"/>
      <w:docPartObj>
        <w:docPartGallery w:val="Page Numbers (Bottom of Page)"/>
        <w:docPartUnique/>
      </w:docPartObj>
    </w:sdtPr>
    <w:sdtContent>
      <w:p w14:paraId="1567DFBB" w14:textId="77777777" w:rsidR="005D4D65" w:rsidRDefault="005D4D65">
        <w:pPr>
          <w:pStyle w:val="Footer"/>
          <w:jc w:val="center"/>
        </w:pPr>
        <w:r>
          <w:fldChar w:fldCharType="begin"/>
        </w:r>
        <w:r>
          <w:instrText xml:space="preserve"> PAGE   \* MERGEFORMAT </w:instrText>
        </w:r>
        <w:r>
          <w:fldChar w:fldCharType="separate"/>
        </w:r>
        <w:r>
          <w:rPr>
            <w:noProof/>
          </w:rPr>
          <w:t>40</w:t>
        </w:r>
        <w:r>
          <w:rPr>
            <w:noProof/>
          </w:rPr>
          <w:fldChar w:fldCharType="end"/>
        </w:r>
      </w:p>
    </w:sdtContent>
  </w:sdt>
  <w:p w14:paraId="4CFEC254" w14:textId="77777777" w:rsidR="005D4D65" w:rsidRDefault="005D4D65">
    <w:pPr>
      <w:pStyle w:val="Footer"/>
    </w:pPr>
  </w:p>
</w:ftr>
</file>

<file path=word/footer5.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1622209371"/>
      <w:docPartObj>
        <w:docPartGallery w:val="Page Numbers (Bottom of Page)"/>
        <w:docPartUnique/>
      </w:docPartObj>
    </w:sdtPr>
    <w:sdtContent>
      <w:p w14:paraId="75D360B1" w14:textId="71E628BA" w:rsidR="009C3206" w:rsidRDefault="009C3206" w:rsidP="009C3206">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84</w:t>
        </w:r>
        <w:r>
          <w:rPr>
            <w:rStyle w:val="PageNumber"/>
          </w:rPr>
          <w:fldChar w:fldCharType="end"/>
        </w:r>
      </w:p>
    </w:sdtContent>
  </w:sdt>
  <w:p w14:paraId="46338275" w14:textId="1383AA57" w:rsidR="009C3206" w:rsidRDefault="009C3206" w:rsidP="009C3206">
    <w:pPr>
      <w:pStyle w:val="Footer"/>
      <w:ind w:firstLine="360"/>
      <w:jc w:val="center"/>
    </w:pPr>
  </w:p>
  <w:p w14:paraId="412096F3" w14:textId="77777777" w:rsidR="009C3206" w:rsidRDefault="009C320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D9C8E34" w14:textId="77777777" w:rsidR="00756ECA" w:rsidRDefault="00756ECA" w:rsidP="003D1C9B">
      <w:pPr>
        <w:spacing w:after="0" w:line="240" w:lineRule="auto"/>
      </w:pPr>
      <w:r>
        <w:separator/>
      </w:r>
    </w:p>
  </w:footnote>
  <w:footnote w:type="continuationSeparator" w:id="0">
    <w:p w14:paraId="339D64D6" w14:textId="77777777" w:rsidR="00756ECA" w:rsidRDefault="00756ECA" w:rsidP="003D1C9B">
      <w:pPr>
        <w:spacing w:after="0" w:line="240" w:lineRule="auto"/>
      </w:pPr>
      <w:r>
        <w:continuationSeparator/>
      </w:r>
    </w:p>
  </w:footnote>
  <w:footnote w:type="continuationNotice" w:id="1">
    <w:p w14:paraId="7BD1FC62" w14:textId="77777777" w:rsidR="00756ECA" w:rsidRDefault="00756ECA">
      <w:pPr>
        <w:spacing w:after="0" w:line="240" w:lineRule="auto"/>
      </w:pP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3B041E"/>
    <w:multiLevelType w:val="hybridMultilevel"/>
    <w:tmpl w:val="1F520766"/>
    <w:lvl w:ilvl="0" w:tplc="B4409B08">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0C1108F"/>
    <w:multiLevelType w:val="hybridMultilevel"/>
    <w:tmpl w:val="4DBE0572"/>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02801923"/>
    <w:multiLevelType w:val="multilevel"/>
    <w:tmpl w:val="40FA24FC"/>
    <w:lvl w:ilvl="0">
      <w:start w:val="1"/>
      <w:numFmt w:val="decimal"/>
      <w:lvlText w:val="%1."/>
      <w:lvlJc w:val="left"/>
      <w:pPr>
        <w:ind w:left="1080" w:hanging="360"/>
      </w:pPr>
      <w:rPr>
        <w:rFonts w:hint="default"/>
      </w:rPr>
    </w:lvl>
    <w:lvl w:ilvl="1">
      <w:start w:val="1"/>
      <w:numFmt w:val="decimal"/>
      <w:lvlText w:val="%1.%2."/>
      <w:lvlJc w:val="left"/>
      <w:pPr>
        <w:ind w:left="1512" w:hanging="432"/>
      </w:pPr>
    </w:lvl>
    <w:lvl w:ilvl="2">
      <w:start w:val="1"/>
      <w:numFmt w:val="decimal"/>
      <w:lvlText w:val="%1.%2.%3."/>
      <w:lvlJc w:val="left"/>
      <w:pPr>
        <w:ind w:left="1944" w:hanging="504"/>
      </w:pPr>
    </w:lvl>
    <w:lvl w:ilvl="3">
      <w:start w:val="1"/>
      <w:numFmt w:val="decimal"/>
      <w:lvlText w:val="%1.%2.%3.%4."/>
      <w:lvlJc w:val="left"/>
      <w:pPr>
        <w:ind w:left="2448" w:hanging="648"/>
      </w:pPr>
    </w:lvl>
    <w:lvl w:ilvl="4">
      <w:start w:val="1"/>
      <w:numFmt w:val="decimal"/>
      <w:lvlText w:val="%1.%2.%3.%4.%5."/>
      <w:lvlJc w:val="left"/>
      <w:pPr>
        <w:ind w:left="2952" w:hanging="792"/>
      </w:pPr>
    </w:lvl>
    <w:lvl w:ilvl="5">
      <w:start w:val="1"/>
      <w:numFmt w:val="decimal"/>
      <w:lvlText w:val="%1.%2.%3.%4.%5.%6."/>
      <w:lvlJc w:val="left"/>
      <w:pPr>
        <w:ind w:left="3456" w:hanging="936"/>
      </w:pPr>
    </w:lvl>
    <w:lvl w:ilvl="6">
      <w:start w:val="1"/>
      <w:numFmt w:val="decimal"/>
      <w:lvlText w:val="%1.%2.%3.%4.%5.%6.%7."/>
      <w:lvlJc w:val="left"/>
      <w:pPr>
        <w:ind w:left="3960" w:hanging="1080"/>
      </w:pPr>
    </w:lvl>
    <w:lvl w:ilvl="7">
      <w:start w:val="1"/>
      <w:numFmt w:val="decimal"/>
      <w:lvlText w:val="%1.%2.%3.%4.%5.%6.%7.%8."/>
      <w:lvlJc w:val="left"/>
      <w:pPr>
        <w:ind w:left="4464" w:hanging="1224"/>
      </w:pPr>
    </w:lvl>
    <w:lvl w:ilvl="8">
      <w:start w:val="1"/>
      <w:numFmt w:val="decimal"/>
      <w:lvlText w:val="%1.%2.%3.%4.%5.%6.%7.%8.%9."/>
      <w:lvlJc w:val="left"/>
      <w:pPr>
        <w:ind w:left="5040" w:hanging="1440"/>
      </w:pPr>
    </w:lvl>
  </w:abstractNum>
  <w:abstractNum w:abstractNumId="3" w15:restartNumberingAfterBreak="0">
    <w:nsid w:val="03075A5A"/>
    <w:multiLevelType w:val="multilevel"/>
    <w:tmpl w:val="40FA24FC"/>
    <w:lvl w:ilvl="0">
      <w:start w:val="1"/>
      <w:numFmt w:val="decimal"/>
      <w:lvlText w:val="%1."/>
      <w:lvlJc w:val="left"/>
      <w:pPr>
        <w:ind w:left="1080" w:hanging="360"/>
      </w:pPr>
      <w:rPr>
        <w:rFonts w:hint="default"/>
      </w:rPr>
    </w:lvl>
    <w:lvl w:ilvl="1">
      <w:start w:val="1"/>
      <w:numFmt w:val="decimal"/>
      <w:lvlText w:val="%1.%2."/>
      <w:lvlJc w:val="left"/>
      <w:pPr>
        <w:ind w:left="1512" w:hanging="432"/>
      </w:pPr>
    </w:lvl>
    <w:lvl w:ilvl="2">
      <w:start w:val="1"/>
      <w:numFmt w:val="decimal"/>
      <w:lvlText w:val="%1.%2.%3."/>
      <w:lvlJc w:val="left"/>
      <w:pPr>
        <w:ind w:left="1944" w:hanging="504"/>
      </w:pPr>
    </w:lvl>
    <w:lvl w:ilvl="3">
      <w:start w:val="1"/>
      <w:numFmt w:val="decimal"/>
      <w:lvlText w:val="%1.%2.%3.%4."/>
      <w:lvlJc w:val="left"/>
      <w:pPr>
        <w:ind w:left="2448" w:hanging="648"/>
      </w:pPr>
    </w:lvl>
    <w:lvl w:ilvl="4">
      <w:start w:val="1"/>
      <w:numFmt w:val="decimal"/>
      <w:lvlText w:val="%1.%2.%3.%4.%5."/>
      <w:lvlJc w:val="left"/>
      <w:pPr>
        <w:ind w:left="2952" w:hanging="792"/>
      </w:pPr>
    </w:lvl>
    <w:lvl w:ilvl="5">
      <w:start w:val="1"/>
      <w:numFmt w:val="decimal"/>
      <w:lvlText w:val="%1.%2.%3.%4.%5.%6."/>
      <w:lvlJc w:val="left"/>
      <w:pPr>
        <w:ind w:left="3456" w:hanging="936"/>
      </w:pPr>
    </w:lvl>
    <w:lvl w:ilvl="6">
      <w:start w:val="1"/>
      <w:numFmt w:val="decimal"/>
      <w:lvlText w:val="%1.%2.%3.%4.%5.%6.%7."/>
      <w:lvlJc w:val="left"/>
      <w:pPr>
        <w:ind w:left="3960" w:hanging="1080"/>
      </w:pPr>
    </w:lvl>
    <w:lvl w:ilvl="7">
      <w:start w:val="1"/>
      <w:numFmt w:val="decimal"/>
      <w:lvlText w:val="%1.%2.%3.%4.%5.%6.%7.%8."/>
      <w:lvlJc w:val="left"/>
      <w:pPr>
        <w:ind w:left="4464" w:hanging="1224"/>
      </w:pPr>
    </w:lvl>
    <w:lvl w:ilvl="8">
      <w:start w:val="1"/>
      <w:numFmt w:val="decimal"/>
      <w:lvlText w:val="%1.%2.%3.%4.%5.%6.%7.%8.%9."/>
      <w:lvlJc w:val="left"/>
      <w:pPr>
        <w:ind w:left="5040" w:hanging="1440"/>
      </w:pPr>
    </w:lvl>
  </w:abstractNum>
  <w:abstractNum w:abstractNumId="4" w15:restartNumberingAfterBreak="0">
    <w:nsid w:val="04BB35F4"/>
    <w:multiLevelType w:val="multilevel"/>
    <w:tmpl w:val="40FA24FC"/>
    <w:lvl w:ilvl="0">
      <w:start w:val="1"/>
      <w:numFmt w:val="decimal"/>
      <w:lvlText w:val="%1."/>
      <w:lvlJc w:val="left"/>
      <w:pPr>
        <w:ind w:left="1080" w:hanging="360"/>
      </w:pPr>
      <w:rPr>
        <w:rFonts w:hint="default"/>
      </w:rPr>
    </w:lvl>
    <w:lvl w:ilvl="1">
      <w:start w:val="1"/>
      <w:numFmt w:val="decimal"/>
      <w:lvlText w:val="%1.%2."/>
      <w:lvlJc w:val="left"/>
      <w:pPr>
        <w:ind w:left="1512" w:hanging="432"/>
      </w:pPr>
    </w:lvl>
    <w:lvl w:ilvl="2">
      <w:start w:val="1"/>
      <w:numFmt w:val="decimal"/>
      <w:lvlText w:val="%1.%2.%3."/>
      <w:lvlJc w:val="left"/>
      <w:pPr>
        <w:ind w:left="1944" w:hanging="504"/>
      </w:pPr>
    </w:lvl>
    <w:lvl w:ilvl="3">
      <w:start w:val="1"/>
      <w:numFmt w:val="decimal"/>
      <w:lvlText w:val="%1.%2.%3.%4."/>
      <w:lvlJc w:val="left"/>
      <w:pPr>
        <w:ind w:left="2448" w:hanging="648"/>
      </w:pPr>
    </w:lvl>
    <w:lvl w:ilvl="4">
      <w:start w:val="1"/>
      <w:numFmt w:val="decimal"/>
      <w:lvlText w:val="%1.%2.%3.%4.%5."/>
      <w:lvlJc w:val="left"/>
      <w:pPr>
        <w:ind w:left="2952" w:hanging="792"/>
      </w:pPr>
    </w:lvl>
    <w:lvl w:ilvl="5">
      <w:start w:val="1"/>
      <w:numFmt w:val="decimal"/>
      <w:lvlText w:val="%1.%2.%3.%4.%5.%6."/>
      <w:lvlJc w:val="left"/>
      <w:pPr>
        <w:ind w:left="3456" w:hanging="936"/>
      </w:pPr>
    </w:lvl>
    <w:lvl w:ilvl="6">
      <w:start w:val="1"/>
      <w:numFmt w:val="decimal"/>
      <w:lvlText w:val="%1.%2.%3.%4.%5.%6.%7."/>
      <w:lvlJc w:val="left"/>
      <w:pPr>
        <w:ind w:left="3960" w:hanging="1080"/>
      </w:pPr>
    </w:lvl>
    <w:lvl w:ilvl="7">
      <w:start w:val="1"/>
      <w:numFmt w:val="decimal"/>
      <w:lvlText w:val="%1.%2.%3.%4.%5.%6.%7.%8."/>
      <w:lvlJc w:val="left"/>
      <w:pPr>
        <w:ind w:left="4464" w:hanging="1224"/>
      </w:pPr>
    </w:lvl>
    <w:lvl w:ilvl="8">
      <w:start w:val="1"/>
      <w:numFmt w:val="decimal"/>
      <w:lvlText w:val="%1.%2.%3.%4.%5.%6.%7.%8.%9."/>
      <w:lvlJc w:val="left"/>
      <w:pPr>
        <w:ind w:left="5040" w:hanging="1440"/>
      </w:pPr>
    </w:lvl>
  </w:abstractNum>
  <w:abstractNum w:abstractNumId="5" w15:restartNumberingAfterBreak="0">
    <w:nsid w:val="05331CF7"/>
    <w:multiLevelType w:val="multilevel"/>
    <w:tmpl w:val="40FA24FC"/>
    <w:lvl w:ilvl="0">
      <w:start w:val="1"/>
      <w:numFmt w:val="decimal"/>
      <w:lvlText w:val="%1."/>
      <w:lvlJc w:val="left"/>
      <w:pPr>
        <w:ind w:left="360" w:hanging="360"/>
      </w:pPr>
      <w:rPr>
        <w:rFonts w:hint="default"/>
      </w:r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6" w15:restartNumberingAfterBreak="0">
    <w:nsid w:val="05AC4B67"/>
    <w:multiLevelType w:val="multilevel"/>
    <w:tmpl w:val="40FA24FC"/>
    <w:lvl w:ilvl="0">
      <w:start w:val="1"/>
      <w:numFmt w:val="decimal"/>
      <w:lvlText w:val="%1."/>
      <w:lvlJc w:val="left"/>
      <w:pPr>
        <w:ind w:left="1080" w:hanging="360"/>
      </w:pPr>
      <w:rPr>
        <w:rFonts w:hint="default"/>
      </w:rPr>
    </w:lvl>
    <w:lvl w:ilvl="1">
      <w:start w:val="1"/>
      <w:numFmt w:val="decimal"/>
      <w:lvlText w:val="%1.%2."/>
      <w:lvlJc w:val="left"/>
      <w:pPr>
        <w:ind w:left="1512" w:hanging="432"/>
      </w:pPr>
    </w:lvl>
    <w:lvl w:ilvl="2">
      <w:start w:val="1"/>
      <w:numFmt w:val="decimal"/>
      <w:lvlText w:val="%1.%2.%3."/>
      <w:lvlJc w:val="left"/>
      <w:pPr>
        <w:ind w:left="1944" w:hanging="504"/>
      </w:pPr>
    </w:lvl>
    <w:lvl w:ilvl="3">
      <w:start w:val="1"/>
      <w:numFmt w:val="decimal"/>
      <w:lvlText w:val="%1.%2.%3.%4."/>
      <w:lvlJc w:val="left"/>
      <w:pPr>
        <w:ind w:left="2448" w:hanging="648"/>
      </w:pPr>
    </w:lvl>
    <w:lvl w:ilvl="4">
      <w:start w:val="1"/>
      <w:numFmt w:val="decimal"/>
      <w:lvlText w:val="%1.%2.%3.%4.%5."/>
      <w:lvlJc w:val="left"/>
      <w:pPr>
        <w:ind w:left="2952" w:hanging="792"/>
      </w:pPr>
    </w:lvl>
    <w:lvl w:ilvl="5">
      <w:start w:val="1"/>
      <w:numFmt w:val="decimal"/>
      <w:lvlText w:val="%1.%2.%3.%4.%5.%6."/>
      <w:lvlJc w:val="left"/>
      <w:pPr>
        <w:ind w:left="3456" w:hanging="936"/>
      </w:pPr>
    </w:lvl>
    <w:lvl w:ilvl="6">
      <w:start w:val="1"/>
      <w:numFmt w:val="decimal"/>
      <w:lvlText w:val="%1.%2.%3.%4.%5.%6.%7."/>
      <w:lvlJc w:val="left"/>
      <w:pPr>
        <w:ind w:left="3960" w:hanging="1080"/>
      </w:pPr>
    </w:lvl>
    <w:lvl w:ilvl="7">
      <w:start w:val="1"/>
      <w:numFmt w:val="decimal"/>
      <w:lvlText w:val="%1.%2.%3.%4.%5.%6.%7.%8."/>
      <w:lvlJc w:val="left"/>
      <w:pPr>
        <w:ind w:left="4464" w:hanging="1224"/>
      </w:pPr>
    </w:lvl>
    <w:lvl w:ilvl="8">
      <w:start w:val="1"/>
      <w:numFmt w:val="decimal"/>
      <w:lvlText w:val="%1.%2.%3.%4.%5.%6.%7.%8.%9."/>
      <w:lvlJc w:val="left"/>
      <w:pPr>
        <w:ind w:left="5040" w:hanging="1440"/>
      </w:pPr>
    </w:lvl>
  </w:abstractNum>
  <w:abstractNum w:abstractNumId="7" w15:restartNumberingAfterBreak="0">
    <w:nsid w:val="082E6F6F"/>
    <w:multiLevelType w:val="multilevel"/>
    <w:tmpl w:val="40FA24FC"/>
    <w:lvl w:ilvl="0">
      <w:start w:val="1"/>
      <w:numFmt w:val="decimal"/>
      <w:lvlText w:val="%1."/>
      <w:lvlJc w:val="left"/>
      <w:pPr>
        <w:ind w:left="1080" w:hanging="360"/>
      </w:pPr>
      <w:rPr>
        <w:rFonts w:hint="default"/>
      </w:rPr>
    </w:lvl>
    <w:lvl w:ilvl="1">
      <w:start w:val="1"/>
      <w:numFmt w:val="decimal"/>
      <w:lvlText w:val="%1.%2."/>
      <w:lvlJc w:val="left"/>
      <w:pPr>
        <w:ind w:left="1512" w:hanging="432"/>
      </w:pPr>
    </w:lvl>
    <w:lvl w:ilvl="2">
      <w:start w:val="1"/>
      <w:numFmt w:val="decimal"/>
      <w:lvlText w:val="%1.%2.%3."/>
      <w:lvlJc w:val="left"/>
      <w:pPr>
        <w:ind w:left="1944" w:hanging="504"/>
      </w:pPr>
    </w:lvl>
    <w:lvl w:ilvl="3">
      <w:start w:val="1"/>
      <w:numFmt w:val="decimal"/>
      <w:lvlText w:val="%1.%2.%3.%4."/>
      <w:lvlJc w:val="left"/>
      <w:pPr>
        <w:ind w:left="2448" w:hanging="648"/>
      </w:pPr>
    </w:lvl>
    <w:lvl w:ilvl="4">
      <w:start w:val="1"/>
      <w:numFmt w:val="decimal"/>
      <w:lvlText w:val="%1.%2.%3.%4.%5."/>
      <w:lvlJc w:val="left"/>
      <w:pPr>
        <w:ind w:left="2952" w:hanging="792"/>
      </w:pPr>
    </w:lvl>
    <w:lvl w:ilvl="5">
      <w:start w:val="1"/>
      <w:numFmt w:val="decimal"/>
      <w:lvlText w:val="%1.%2.%3.%4.%5.%6."/>
      <w:lvlJc w:val="left"/>
      <w:pPr>
        <w:ind w:left="3456" w:hanging="936"/>
      </w:pPr>
    </w:lvl>
    <w:lvl w:ilvl="6">
      <w:start w:val="1"/>
      <w:numFmt w:val="decimal"/>
      <w:lvlText w:val="%1.%2.%3.%4.%5.%6.%7."/>
      <w:lvlJc w:val="left"/>
      <w:pPr>
        <w:ind w:left="3960" w:hanging="1080"/>
      </w:pPr>
    </w:lvl>
    <w:lvl w:ilvl="7">
      <w:start w:val="1"/>
      <w:numFmt w:val="decimal"/>
      <w:lvlText w:val="%1.%2.%3.%4.%5.%6.%7.%8."/>
      <w:lvlJc w:val="left"/>
      <w:pPr>
        <w:ind w:left="4464" w:hanging="1224"/>
      </w:pPr>
    </w:lvl>
    <w:lvl w:ilvl="8">
      <w:start w:val="1"/>
      <w:numFmt w:val="decimal"/>
      <w:lvlText w:val="%1.%2.%3.%4.%5.%6.%7.%8.%9."/>
      <w:lvlJc w:val="left"/>
      <w:pPr>
        <w:ind w:left="5040" w:hanging="1440"/>
      </w:pPr>
    </w:lvl>
  </w:abstractNum>
  <w:abstractNum w:abstractNumId="8" w15:restartNumberingAfterBreak="0">
    <w:nsid w:val="08BD5AF5"/>
    <w:multiLevelType w:val="multilevel"/>
    <w:tmpl w:val="40FA24FC"/>
    <w:lvl w:ilvl="0">
      <w:start w:val="1"/>
      <w:numFmt w:val="decimal"/>
      <w:lvlText w:val="%1."/>
      <w:lvlJc w:val="left"/>
      <w:pPr>
        <w:ind w:left="1080" w:hanging="360"/>
      </w:pPr>
      <w:rPr>
        <w:rFonts w:hint="default"/>
      </w:rPr>
    </w:lvl>
    <w:lvl w:ilvl="1">
      <w:start w:val="1"/>
      <w:numFmt w:val="decimal"/>
      <w:lvlText w:val="%1.%2."/>
      <w:lvlJc w:val="left"/>
      <w:pPr>
        <w:ind w:left="1512" w:hanging="432"/>
      </w:pPr>
    </w:lvl>
    <w:lvl w:ilvl="2">
      <w:start w:val="1"/>
      <w:numFmt w:val="decimal"/>
      <w:lvlText w:val="%1.%2.%3."/>
      <w:lvlJc w:val="left"/>
      <w:pPr>
        <w:ind w:left="1944" w:hanging="504"/>
      </w:pPr>
    </w:lvl>
    <w:lvl w:ilvl="3">
      <w:start w:val="1"/>
      <w:numFmt w:val="decimal"/>
      <w:lvlText w:val="%1.%2.%3.%4."/>
      <w:lvlJc w:val="left"/>
      <w:pPr>
        <w:ind w:left="2448" w:hanging="648"/>
      </w:pPr>
    </w:lvl>
    <w:lvl w:ilvl="4">
      <w:start w:val="1"/>
      <w:numFmt w:val="decimal"/>
      <w:lvlText w:val="%1.%2.%3.%4.%5."/>
      <w:lvlJc w:val="left"/>
      <w:pPr>
        <w:ind w:left="2952" w:hanging="792"/>
      </w:pPr>
    </w:lvl>
    <w:lvl w:ilvl="5">
      <w:start w:val="1"/>
      <w:numFmt w:val="decimal"/>
      <w:lvlText w:val="%1.%2.%3.%4.%5.%6."/>
      <w:lvlJc w:val="left"/>
      <w:pPr>
        <w:ind w:left="3456" w:hanging="936"/>
      </w:pPr>
    </w:lvl>
    <w:lvl w:ilvl="6">
      <w:start w:val="1"/>
      <w:numFmt w:val="decimal"/>
      <w:lvlText w:val="%1.%2.%3.%4.%5.%6.%7."/>
      <w:lvlJc w:val="left"/>
      <w:pPr>
        <w:ind w:left="3960" w:hanging="1080"/>
      </w:pPr>
    </w:lvl>
    <w:lvl w:ilvl="7">
      <w:start w:val="1"/>
      <w:numFmt w:val="decimal"/>
      <w:lvlText w:val="%1.%2.%3.%4.%5.%6.%7.%8."/>
      <w:lvlJc w:val="left"/>
      <w:pPr>
        <w:ind w:left="4464" w:hanging="1224"/>
      </w:pPr>
    </w:lvl>
    <w:lvl w:ilvl="8">
      <w:start w:val="1"/>
      <w:numFmt w:val="decimal"/>
      <w:lvlText w:val="%1.%2.%3.%4.%5.%6.%7.%8.%9."/>
      <w:lvlJc w:val="left"/>
      <w:pPr>
        <w:ind w:left="5040" w:hanging="1440"/>
      </w:pPr>
    </w:lvl>
  </w:abstractNum>
  <w:abstractNum w:abstractNumId="9" w15:restartNumberingAfterBreak="0">
    <w:nsid w:val="0B2F4184"/>
    <w:multiLevelType w:val="multilevel"/>
    <w:tmpl w:val="40FA24FC"/>
    <w:lvl w:ilvl="0">
      <w:start w:val="1"/>
      <w:numFmt w:val="decimal"/>
      <w:lvlText w:val="%1."/>
      <w:lvlJc w:val="left"/>
      <w:pPr>
        <w:ind w:left="1080" w:hanging="360"/>
      </w:pPr>
      <w:rPr>
        <w:rFonts w:hint="default"/>
      </w:rPr>
    </w:lvl>
    <w:lvl w:ilvl="1">
      <w:start w:val="1"/>
      <w:numFmt w:val="decimal"/>
      <w:lvlText w:val="%1.%2."/>
      <w:lvlJc w:val="left"/>
      <w:pPr>
        <w:ind w:left="1512" w:hanging="432"/>
      </w:pPr>
    </w:lvl>
    <w:lvl w:ilvl="2">
      <w:start w:val="1"/>
      <w:numFmt w:val="decimal"/>
      <w:lvlText w:val="%1.%2.%3."/>
      <w:lvlJc w:val="left"/>
      <w:pPr>
        <w:ind w:left="1944" w:hanging="504"/>
      </w:pPr>
    </w:lvl>
    <w:lvl w:ilvl="3">
      <w:start w:val="1"/>
      <w:numFmt w:val="decimal"/>
      <w:lvlText w:val="%1.%2.%3.%4."/>
      <w:lvlJc w:val="left"/>
      <w:pPr>
        <w:ind w:left="2448" w:hanging="648"/>
      </w:pPr>
    </w:lvl>
    <w:lvl w:ilvl="4">
      <w:start w:val="1"/>
      <w:numFmt w:val="decimal"/>
      <w:lvlText w:val="%1.%2.%3.%4.%5."/>
      <w:lvlJc w:val="left"/>
      <w:pPr>
        <w:ind w:left="2952" w:hanging="792"/>
      </w:pPr>
    </w:lvl>
    <w:lvl w:ilvl="5">
      <w:start w:val="1"/>
      <w:numFmt w:val="decimal"/>
      <w:lvlText w:val="%1.%2.%3.%4.%5.%6."/>
      <w:lvlJc w:val="left"/>
      <w:pPr>
        <w:ind w:left="3456" w:hanging="936"/>
      </w:pPr>
    </w:lvl>
    <w:lvl w:ilvl="6">
      <w:start w:val="1"/>
      <w:numFmt w:val="decimal"/>
      <w:lvlText w:val="%1.%2.%3.%4.%5.%6.%7."/>
      <w:lvlJc w:val="left"/>
      <w:pPr>
        <w:ind w:left="3960" w:hanging="1080"/>
      </w:pPr>
    </w:lvl>
    <w:lvl w:ilvl="7">
      <w:start w:val="1"/>
      <w:numFmt w:val="decimal"/>
      <w:lvlText w:val="%1.%2.%3.%4.%5.%6.%7.%8."/>
      <w:lvlJc w:val="left"/>
      <w:pPr>
        <w:ind w:left="4464" w:hanging="1224"/>
      </w:pPr>
    </w:lvl>
    <w:lvl w:ilvl="8">
      <w:start w:val="1"/>
      <w:numFmt w:val="decimal"/>
      <w:lvlText w:val="%1.%2.%3.%4.%5.%6.%7.%8.%9."/>
      <w:lvlJc w:val="left"/>
      <w:pPr>
        <w:ind w:left="5040" w:hanging="1440"/>
      </w:pPr>
    </w:lvl>
  </w:abstractNum>
  <w:abstractNum w:abstractNumId="10" w15:restartNumberingAfterBreak="0">
    <w:nsid w:val="0E440752"/>
    <w:multiLevelType w:val="hybridMultilevel"/>
    <w:tmpl w:val="22B60C8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0ED24CCB"/>
    <w:multiLevelType w:val="multilevel"/>
    <w:tmpl w:val="40FA24FC"/>
    <w:lvl w:ilvl="0">
      <w:start w:val="1"/>
      <w:numFmt w:val="decimal"/>
      <w:lvlText w:val="%1."/>
      <w:lvlJc w:val="left"/>
      <w:pPr>
        <w:ind w:left="1080" w:hanging="360"/>
      </w:pPr>
      <w:rPr>
        <w:rFonts w:hint="default"/>
      </w:rPr>
    </w:lvl>
    <w:lvl w:ilvl="1">
      <w:start w:val="1"/>
      <w:numFmt w:val="decimal"/>
      <w:lvlText w:val="%1.%2."/>
      <w:lvlJc w:val="left"/>
      <w:pPr>
        <w:ind w:left="1512" w:hanging="432"/>
      </w:pPr>
    </w:lvl>
    <w:lvl w:ilvl="2">
      <w:start w:val="1"/>
      <w:numFmt w:val="decimal"/>
      <w:lvlText w:val="%1.%2.%3."/>
      <w:lvlJc w:val="left"/>
      <w:pPr>
        <w:ind w:left="1944" w:hanging="504"/>
      </w:pPr>
    </w:lvl>
    <w:lvl w:ilvl="3">
      <w:start w:val="1"/>
      <w:numFmt w:val="decimal"/>
      <w:lvlText w:val="%1.%2.%3.%4."/>
      <w:lvlJc w:val="left"/>
      <w:pPr>
        <w:ind w:left="2448" w:hanging="648"/>
      </w:pPr>
    </w:lvl>
    <w:lvl w:ilvl="4">
      <w:start w:val="1"/>
      <w:numFmt w:val="decimal"/>
      <w:lvlText w:val="%1.%2.%3.%4.%5."/>
      <w:lvlJc w:val="left"/>
      <w:pPr>
        <w:ind w:left="2952" w:hanging="792"/>
      </w:pPr>
    </w:lvl>
    <w:lvl w:ilvl="5">
      <w:start w:val="1"/>
      <w:numFmt w:val="decimal"/>
      <w:lvlText w:val="%1.%2.%3.%4.%5.%6."/>
      <w:lvlJc w:val="left"/>
      <w:pPr>
        <w:ind w:left="3456" w:hanging="936"/>
      </w:pPr>
    </w:lvl>
    <w:lvl w:ilvl="6">
      <w:start w:val="1"/>
      <w:numFmt w:val="decimal"/>
      <w:lvlText w:val="%1.%2.%3.%4.%5.%6.%7."/>
      <w:lvlJc w:val="left"/>
      <w:pPr>
        <w:ind w:left="3960" w:hanging="1080"/>
      </w:pPr>
    </w:lvl>
    <w:lvl w:ilvl="7">
      <w:start w:val="1"/>
      <w:numFmt w:val="decimal"/>
      <w:lvlText w:val="%1.%2.%3.%4.%5.%6.%7.%8."/>
      <w:lvlJc w:val="left"/>
      <w:pPr>
        <w:ind w:left="4464" w:hanging="1224"/>
      </w:pPr>
    </w:lvl>
    <w:lvl w:ilvl="8">
      <w:start w:val="1"/>
      <w:numFmt w:val="decimal"/>
      <w:lvlText w:val="%1.%2.%3.%4.%5.%6.%7.%8.%9."/>
      <w:lvlJc w:val="left"/>
      <w:pPr>
        <w:ind w:left="5040" w:hanging="1440"/>
      </w:pPr>
    </w:lvl>
  </w:abstractNum>
  <w:abstractNum w:abstractNumId="12" w15:restartNumberingAfterBreak="0">
    <w:nsid w:val="0F794C4D"/>
    <w:multiLevelType w:val="multilevel"/>
    <w:tmpl w:val="40FA24FC"/>
    <w:lvl w:ilvl="0">
      <w:start w:val="1"/>
      <w:numFmt w:val="decimal"/>
      <w:lvlText w:val="%1."/>
      <w:lvlJc w:val="left"/>
      <w:pPr>
        <w:ind w:left="360" w:hanging="360"/>
      </w:pPr>
      <w:rPr>
        <w:rFonts w:hint="default"/>
      </w:r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13" w15:restartNumberingAfterBreak="0">
    <w:nsid w:val="145063AA"/>
    <w:multiLevelType w:val="hybridMultilevel"/>
    <w:tmpl w:val="9800BAE0"/>
    <w:lvl w:ilvl="0" w:tplc="08090011">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18290C5B"/>
    <w:multiLevelType w:val="multilevel"/>
    <w:tmpl w:val="40FA24FC"/>
    <w:lvl w:ilvl="0">
      <w:start w:val="1"/>
      <w:numFmt w:val="decimal"/>
      <w:lvlText w:val="%1."/>
      <w:lvlJc w:val="left"/>
      <w:pPr>
        <w:ind w:left="1080" w:hanging="360"/>
      </w:pPr>
      <w:rPr>
        <w:rFonts w:hint="default"/>
      </w:rPr>
    </w:lvl>
    <w:lvl w:ilvl="1">
      <w:start w:val="1"/>
      <w:numFmt w:val="decimal"/>
      <w:lvlText w:val="%1.%2."/>
      <w:lvlJc w:val="left"/>
      <w:pPr>
        <w:ind w:left="1512" w:hanging="432"/>
      </w:pPr>
    </w:lvl>
    <w:lvl w:ilvl="2">
      <w:start w:val="1"/>
      <w:numFmt w:val="decimal"/>
      <w:lvlText w:val="%1.%2.%3."/>
      <w:lvlJc w:val="left"/>
      <w:pPr>
        <w:ind w:left="1944" w:hanging="504"/>
      </w:pPr>
    </w:lvl>
    <w:lvl w:ilvl="3">
      <w:start w:val="1"/>
      <w:numFmt w:val="decimal"/>
      <w:lvlText w:val="%1.%2.%3.%4."/>
      <w:lvlJc w:val="left"/>
      <w:pPr>
        <w:ind w:left="2448" w:hanging="648"/>
      </w:pPr>
    </w:lvl>
    <w:lvl w:ilvl="4">
      <w:start w:val="1"/>
      <w:numFmt w:val="decimal"/>
      <w:lvlText w:val="%1.%2.%3.%4.%5."/>
      <w:lvlJc w:val="left"/>
      <w:pPr>
        <w:ind w:left="2952" w:hanging="792"/>
      </w:pPr>
    </w:lvl>
    <w:lvl w:ilvl="5">
      <w:start w:val="1"/>
      <w:numFmt w:val="decimal"/>
      <w:lvlText w:val="%1.%2.%3.%4.%5.%6."/>
      <w:lvlJc w:val="left"/>
      <w:pPr>
        <w:ind w:left="3456" w:hanging="936"/>
      </w:pPr>
    </w:lvl>
    <w:lvl w:ilvl="6">
      <w:start w:val="1"/>
      <w:numFmt w:val="decimal"/>
      <w:lvlText w:val="%1.%2.%3.%4.%5.%6.%7."/>
      <w:lvlJc w:val="left"/>
      <w:pPr>
        <w:ind w:left="3960" w:hanging="1080"/>
      </w:pPr>
    </w:lvl>
    <w:lvl w:ilvl="7">
      <w:start w:val="1"/>
      <w:numFmt w:val="decimal"/>
      <w:lvlText w:val="%1.%2.%3.%4.%5.%6.%7.%8."/>
      <w:lvlJc w:val="left"/>
      <w:pPr>
        <w:ind w:left="4464" w:hanging="1224"/>
      </w:pPr>
    </w:lvl>
    <w:lvl w:ilvl="8">
      <w:start w:val="1"/>
      <w:numFmt w:val="decimal"/>
      <w:lvlText w:val="%1.%2.%3.%4.%5.%6.%7.%8.%9."/>
      <w:lvlJc w:val="left"/>
      <w:pPr>
        <w:ind w:left="5040" w:hanging="1440"/>
      </w:pPr>
    </w:lvl>
  </w:abstractNum>
  <w:abstractNum w:abstractNumId="15" w15:restartNumberingAfterBreak="0">
    <w:nsid w:val="1A5B3F43"/>
    <w:multiLevelType w:val="multilevel"/>
    <w:tmpl w:val="40FA24FC"/>
    <w:lvl w:ilvl="0">
      <w:start w:val="1"/>
      <w:numFmt w:val="decimal"/>
      <w:lvlText w:val="%1."/>
      <w:lvlJc w:val="left"/>
      <w:pPr>
        <w:ind w:left="1080" w:hanging="360"/>
      </w:pPr>
      <w:rPr>
        <w:rFonts w:hint="default"/>
      </w:rPr>
    </w:lvl>
    <w:lvl w:ilvl="1">
      <w:start w:val="1"/>
      <w:numFmt w:val="decimal"/>
      <w:lvlText w:val="%1.%2."/>
      <w:lvlJc w:val="left"/>
      <w:pPr>
        <w:ind w:left="1512" w:hanging="432"/>
      </w:pPr>
    </w:lvl>
    <w:lvl w:ilvl="2">
      <w:start w:val="1"/>
      <w:numFmt w:val="decimal"/>
      <w:lvlText w:val="%1.%2.%3."/>
      <w:lvlJc w:val="left"/>
      <w:pPr>
        <w:ind w:left="1944" w:hanging="504"/>
      </w:pPr>
    </w:lvl>
    <w:lvl w:ilvl="3">
      <w:start w:val="1"/>
      <w:numFmt w:val="decimal"/>
      <w:lvlText w:val="%1.%2.%3.%4."/>
      <w:lvlJc w:val="left"/>
      <w:pPr>
        <w:ind w:left="2448" w:hanging="648"/>
      </w:pPr>
    </w:lvl>
    <w:lvl w:ilvl="4">
      <w:start w:val="1"/>
      <w:numFmt w:val="decimal"/>
      <w:lvlText w:val="%1.%2.%3.%4.%5."/>
      <w:lvlJc w:val="left"/>
      <w:pPr>
        <w:ind w:left="2952" w:hanging="792"/>
      </w:pPr>
    </w:lvl>
    <w:lvl w:ilvl="5">
      <w:start w:val="1"/>
      <w:numFmt w:val="decimal"/>
      <w:lvlText w:val="%1.%2.%3.%4.%5.%6."/>
      <w:lvlJc w:val="left"/>
      <w:pPr>
        <w:ind w:left="3456" w:hanging="936"/>
      </w:pPr>
    </w:lvl>
    <w:lvl w:ilvl="6">
      <w:start w:val="1"/>
      <w:numFmt w:val="decimal"/>
      <w:lvlText w:val="%1.%2.%3.%4.%5.%6.%7."/>
      <w:lvlJc w:val="left"/>
      <w:pPr>
        <w:ind w:left="3960" w:hanging="1080"/>
      </w:pPr>
    </w:lvl>
    <w:lvl w:ilvl="7">
      <w:start w:val="1"/>
      <w:numFmt w:val="decimal"/>
      <w:lvlText w:val="%1.%2.%3.%4.%5.%6.%7.%8."/>
      <w:lvlJc w:val="left"/>
      <w:pPr>
        <w:ind w:left="4464" w:hanging="1224"/>
      </w:pPr>
    </w:lvl>
    <w:lvl w:ilvl="8">
      <w:start w:val="1"/>
      <w:numFmt w:val="decimal"/>
      <w:lvlText w:val="%1.%2.%3.%4.%5.%6.%7.%8.%9."/>
      <w:lvlJc w:val="left"/>
      <w:pPr>
        <w:ind w:left="5040" w:hanging="1440"/>
      </w:pPr>
    </w:lvl>
  </w:abstractNum>
  <w:abstractNum w:abstractNumId="16" w15:restartNumberingAfterBreak="0">
    <w:nsid w:val="1C61734C"/>
    <w:multiLevelType w:val="multilevel"/>
    <w:tmpl w:val="40FA24FC"/>
    <w:lvl w:ilvl="0">
      <w:start w:val="1"/>
      <w:numFmt w:val="decimal"/>
      <w:lvlText w:val="%1."/>
      <w:lvlJc w:val="left"/>
      <w:pPr>
        <w:ind w:left="1080" w:hanging="360"/>
      </w:pPr>
      <w:rPr>
        <w:rFonts w:hint="default"/>
      </w:rPr>
    </w:lvl>
    <w:lvl w:ilvl="1">
      <w:start w:val="1"/>
      <w:numFmt w:val="decimal"/>
      <w:lvlText w:val="%1.%2."/>
      <w:lvlJc w:val="left"/>
      <w:pPr>
        <w:ind w:left="1512" w:hanging="432"/>
      </w:pPr>
    </w:lvl>
    <w:lvl w:ilvl="2">
      <w:start w:val="1"/>
      <w:numFmt w:val="decimal"/>
      <w:lvlText w:val="%1.%2.%3."/>
      <w:lvlJc w:val="left"/>
      <w:pPr>
        <w:ind w:left="1944" w:hanging="504"/>
      </w:pPr>
    </w:lvl>
    <w:lvl w:ilvl="3">
      <w:start w:val="1"/>
      <w:numFmt w:val="decimal"/>
      <w:lvlText w:val="%1.%2.%3.%4."/>
      <w:lvlJc w:val="left"/>
      <w:pPr>
        <w:ind w:left="2448" w:hanging="648"/>
      </w:pPr>
    </w:lvl>
    <w:lvl w:ilvl="4">
      <w:start w:val="1"/>
      <w:numFmt w:val="decimal"/>
      <w:lvlText w:val="%1.%2.%3.%4.%5."/>
      <w:lvlJc w:val="left"/>
      <w:pPr>
        <w:ind w:left="2952" w:hanging="792"/>
      </w:pPr>
    </w:lvl>
    <w:lvl w:ilvl="5">
      <w:start w:val="1"/>
      <w:numFmt w:val="decimal"/>
      <w:lvlText w:val="%1.%2.%3.%4.%5.%6."/>
      <w:lvlJc w:val="left"/>
      <w:pPr>
        <w:ind w:left="3456" w:hanging="936"/>
      </w:pPr>
    </w:lvl>
    <w:lvl w:ilvl="6">
      <w:start w:val="1"/>
      <w:numFmt w:val="decimal"/>
      <w:lvlText w:val="%1.%2.%3.%4.%5.%6.%7."/>
      <w:lvlJc w:val="left"/>
      <w:pPr>
        <w:ind w:left="3960" w:hanging="1080"/>
      </w:pPr>
    </w:lvl>
    <w:lvl w:ilvl="7">
      <w:start w:val="1"/>
      <w:numFmt w:val="decimal"/>
      <w:lvlText w:val="%1.%2.%3.%4.%5.%6.%7.%8."/>
      <w:lvlJc w:val="left"/>
      <w:pPr>
        <w:ind w:left="4464" w:hanging="1224"/>
      </w:pPr>
    </w:lvl>
    <w:lvl w:ilvl="8">
      <w:start w:val="1"/>
      <w:numFmt w:val="decimal"/>
      <w:lvlText w:val="%1.%2.%3.%4.%5.%6.%7.%8.%9."/>
      <w:lvlJc w:val="left"/>
      <w:pPr>
        <w:ind w:left="5040" w:hanging="1440"/>
      </w:pPr>
    </w:lvl>
  </w:abstractNum>
  <w:abstractNum w:abstractNumId="17" w15:restartNumberingAfterBreak="0">
    <w:nsid w:val="1D0F6E11"/>
    <w:multiLevelType w:val="multilevel"/>
    <w:tmpl w:val="40FA24FC"/>
    <w:lvl w:ilvl="0">
      <w:start w:val="1"/>
      <w:numFmt w:val="decimal"/>
      <w:lvlText w:val="%1."/>
      <w:lvlJc w:val="left"/>
      <w:pPr>
        <w:ind w:left="1080" w:hanging="360"/>
      </w:pPr>
      <w:rPr>
        <w:rFonts w:hint="default"/>
      </w:rPr>
    </w:lvl>
    <w:lvl w:ilvl="1">
      <w:start w:val="1"/>
      <w:numFmt w:val="decimal"/>
      <w:lvlText w:val="%1.%2."/>
      <w:lvlJc w:val="left"/>
      <w:pPr>
        <w:ind w:left="1512" w:hanging="432"/>
      </w:pPr>
    </w:lvl>
    <w:lvl w:ilvl="2">
      <w:start w:val="1"/>
      <w:numFmt w:val="decimal"/>
      <w:lvlText w:val="%1.%2.%3."/>
      <w:lvlJc w:val="left"/>
      <w:pPr>
        <w:ind w:left="1944" w:hanging="504"/>
      </w:pPr>
    </w:lvl>
    <w:lvl w:ilvl="3">
      <w:start w:val="1"/>
      <w:numFmt w:val="decimal"/>
      <w:lvlText w:val="%1.%2.%3.%4."/>
      <w:lvlJc w:val="left"/>
      <w:pPr>
        <w:ind w:left="2448" w:hanging="648"/>
      </w:pPr>
    </w:lvl>
    <w:lvl w:ilvl="4">
      <w:start w:val="1"/>
      <w:numFmt w:val="decimal"/>
      <w:lvlText w:val="%1.%2.%3.%4.%5."/>
      <w:lvlJc w:val="left"/>
      <w:pPr>
        <w:ind w:left="2952" w:hanging="792"/>
      </w:pPr>
    </w:lvl>
    <w:lvl w:ilvl="5">
      <w:start w:val="1"/>
      <w:numFmt w:val="decimal"/>
      <w:lvlText w:val="%1.%2.%3.%4.%5.%6."/>
      <w:lvlJc w:val="left"/>
      <w:pPr>
        <w:ind w:left="3456" w:hanging="936"/>
      </w:pPr>
    </w:lvl>
    <w:lvl w:ilvl="6">
      <w:start w:val="1"/>
      <w:numFmt w:val="decimal"/>
      <w:lvlText w:val="%1.%2.%3.%4.%5.%6.%7."/>
      <w:lvlJc w:val="left"/>
      <w:pPr>
        <w:ind w:left="3960" w:hanging="1080"/>
      </w:pPr>
    </w:lvl>
    <w:lvl w:ilvl="7">
      <w:start w:val="1"/>
      <w:numFmt w:val="decimal"/>
      <w:lvlText w:val="%1.%2.%3.%4.%5.%6.%7.%8."/>
      <w:lvlJc w:val="left"/>
      <w:pPr>
        <w:ind w:left="4464" w:hanging="1224"/>
      </w:pPr>
    </w:lvl>
    <w:lvl w:ilvl="8">
      <w:start w:val="1"/>
      <w:numFmt w:val="decimal"/>
      <w:lvlText w:val="%1.%2.%3.%4.%5.%6.%7.%8.%9."/>
      <w:lvlJc w:val="left"/>
      <w:pPr>
        <w:ind w:left="5040" w:hanging="1440"/>
      </w:pPr>
    </w:lvl>
  </w:abstractNum>
  <w:abstractNum w:abstractNumId="18" w15:restartNumberingAfterBreak="0">
    <w:nsid w:val="216C6DA2"/>
    <w:multiLevelType w:val="multilevel"/>
    <w:tmpl w:val="61FA16AE"/>
    <w:lvl w:ilvl="0">
      <w:start w:val="8"/>
      <w:numFmt w:val="decimal"/>
      <w:lvlText w:val="%1"/>
      <w:lvlJc w:val="left"/>
      <w:pPr>
        <w:ind w:left="360" w:hanging="360"/>
      </w:pPr>
      <w:rPr>
        <w:rFonts w:hint="default"/>
      </w:rPr>
    </w:lvl>
    <w:lvl w:ilvl="1">
      <w:start w:val="2"/>
      <w:numFmt w:val="decimal"/>
      <w:lvlText w:val="%1.%2"/>
      <w:lvlJc w:val="left"/>
      <w:pPr>
        <w:ind w:left="1440" w:hanging="360"/>
      </w:pPr>
      <w:rPr>
        <w:rFonts w:hint="default"/>
      </w:rPr>
    </w:lvl>
    <w:lvl w:ilvl="2">
      <w:start w:val="1"/>
      <w:numFmt w:val="decimal"/>
      <w:lvlText w:val="%1.%2.%3"/>
      <w:lvlJc w:val="left"/>
      <w:pPr>
        <w:ind w:left="2880" w:hanging="720"/>
      </w:pPr>
      <w:rPr>
        <w:rFonts w:hint="default"/>
      </w:rPr>
    </w:lvl>
    <w:lvl w:ilvl="3">
      <w:start w:val="1"/>
      <w:numFmt w:val="decimal"/>
      <w:lvlText w:val="%1.%2.%3.%4"/>
      <w:lvlJc w:val="left"/>
      <w:pPr>
        <w:ind w:left="3960" w:hanging="720"/>
      </w:pPr>
      <w:rPr>
        <w:rFonts w:hint="default"/>
      </w:rPr>
    </w:lvl>
    <w:lvl w:ilvl="4">
      <w:start w:val="1"/>
      <w:numFmt w:val="decimal"/>
      <w:lvlText w:val="%1.%2.%3.%4.%5"/>
      <w:lvlJc w:val="left"/>
      <w:pPr>
        <w:ind w:left="5400" w:hanging="1080"/>
      </w:pPr>
      <w:rPr>
        <w:rFonts w:hint="default"/>
      </w:rPr>
    </w:lvl>
    <w:lvl w:ilvl="5">
      <w:start w:val="1"/>
      <w:numFmt w:val="decimal"/>
      <w:lvlText w:val="%1.%2.%3.%4.%5.%6"/>
      <w:lvlJc w:val="left"/>
      <w:pPr>
        <w:ind w:left="6480" w:hanging="1080"/>
      </w:pPr>
      <w:rPr>
        <w:rFonts w:hint="default"/>
      </w:rPr>
    </w:lvl>
    <w:lvl w:ilvl="6">
      <w:start w:val="1"/>
      <w:numFmt w:val="decimal"/>
      <w:lvlText w:val="%1.%2.%3.%4.%5.%6.%7"/>
      <w:lvlJc w:val="left"/>
      <w:pPr>
        <w:ind w:left="7920" w:hanging="1440"/>
      </w:pPr>
      <w:rPr>
        <w:rFonts w:hint="default"/>
      </w:rPr>
    </w:lvl>
    <w:lvl w:ilvl="7">
      <w:start w:val="1"/>
      <w:numFmt w:val="decimal"/>
      <w:lvlText w:val="%1.%2.%3.%4.%5.%6.%7.%8"/>
      <w:lvlJc w:val="left"/>
      <w:pPr>
        <w:ind w:left="9000" w:hanging="1440"/>
      </w:pPr>
      <w:rPr>
        <w:rFonts w:hint="default"/>
      </w:rPr>
    </w:lvl>
    <w:lvl w:ilvl="8">
      <w:start w:val="1"/>
      <w:numFmt w:val="decimal"/>
      <w:lvlText w:val="%1.%2.%3.%4.%5.%6.%7.%8.%9"/>
      <w:lvlJc w:val="left"/>
      <w:pPr>
        <w:ind w:left="10440" w:hanging="1800"/>
      </w:pPr>
      <w:rPr>
        <w:rFonts w:hint="default"/>
      </w:rPr>
    </w:lvl>
  </w:abstractNum>
  <w:abstractNum w:abstractNumId="19" w15:restartNumberingAfterBreak="0">
    <w:nsid w:val="28E629EF"/>
    <w:multiLevelType w:val="multilevel"/>
    <w:tmpl w:val="40FA24FC"/>
    <w:lvl w:ilvl="0">
      <w:start w:val="1"/>
      <w:numFmt w:val="decimal"/>
      <w:lvlText w:val="%1."/>
      <w:lvlJc w:val="left"/>
      <w:pPr>
        <w:ind w:left="1080" w:hanging="360"/>
      </w:pPr>
      <w:rPr>
        <w:rFonts w:hint="default"/>
      </w:rPr>
    </w:lvl>
    <w:lvl w:ilvl="1">
      <w:start w:val="1"/>
      <w:numFmt w:val="decimal"/>
      <w:lvlText w:val="%1.%2."/>
      <w:lvlJc w:val="left"/>
      <w:pPr>
        <w:ind w:left="1512" w:hanging="432"/>
      </w:pPr>
    </w:lvl>
    <w:lvl w:ilvl="2">
      <w:start w:val="1"/>
      <w:numFmt w:val="decimal"/>
      <w:lvlText w:val="%1.%2.%3."/>
      <w:lvlJc w:val="left"/>
      <w:pPr>
        <w:ind w:left="1944" w:hanging="504"/>
      </w:pPr>
    </w:lvl>
    <w:lvl w:ilvl="3">
      <w:start w:val="1"/>
      <w:numFmt w:val="decimal"/>
      <w:lvlText w:val="%1.%2.%3.%4."/>
      <w:lvlJc w:val="left"/>
      <w:pPr>
        <w:ind w:left="2448" w:hanging="648"/>
      </w:pPr>
    </w:lvl>
    <w:lvl w:ilvl="4">
      <w:start w:val="1"/>
      <w:numFmt w:val="decimal"/>
      <w:lvlText w:val="%1.%2.%3.%4.%5."/>
      <w:lvlJc w:val="left"/>
      <w:pPr>
        <w:ind w:left="2952" w:hanging="792"/>
      </w:pPr>
    </w:lvl>
    <w:lvl w:ilvl="5">
      <w:start w:val="1"/>
      <w:numFmt w:val="decimal"/>
      <w:lvlText w:val="%1.%2.%3.%4.%5.%6."/>
      <w:lvlJc w:val="left"/>
      <w:pPr>
        <w:ind w:left="3456" w:hanging="936"/>
      </w:pPr>
    </w:lvl>
    <w:lvl w:ilvl="6">
      <w:start w:val="1"/>
      <w:numFmt w:val="decimal"/>
      <w:lvlText w:val="%1.%2.%3.%4.%5.%6.%7."/>
      <w:lvlJc w:val="left"/>
      <w:pPr>
        <w:ind w:left="3960" w:hanging="1080"/>
      </w:pPr>
    </w:lvl>
    <w:lvl w:ilvl="7">
      <w:start w:val="1"/>
      <w:numFmt w:val="decimal"/>
      <w:lvlText w:val="%1.%2.%3.%4.%5.%6.%7.%8."/>
      <w:lvlJc w:val="left"/>
      <w:pPr>
        <w:ind w:left="4464" w:hanging="1224"/>
      </w:pPr>
    </w:lvl>
    <w:lvl w:ilvl="8">
      <w:start w:val="1"/>
      <w:numFmt w:val="decimal"/>
      <w:lvlText w:val="%1.%2.%3.%4.%5.%6.%7.%8.%9."/>
      <w:lvlJc w:val="left"/>
      <w:pPr>
        <w:ind w:left="5040" w:hanging="1440"/>
      </w:pPr>
    </w:lvl>
  </w:abstractNum>
  <w:abstractNum w:abstractNumId="20" w15:restartNumberingAfterBreak="0">
    <w:nsid w:val="2B161C1F"/>
    <w:multiLevelType w:val="multilevel"/>
    <w:tmpl w:val="1EDA10C0"/>
    <w:lvl w:ilvl="0">
      <w:start w:val="8"/>
      <w:numFmt w:val="decimal"/>
      <w:lvlText w:val="%1."/>
      <w:lvlJc w:val="left"/>
      <w:pPr>
        <w:ind w:left="380" w:hanging="380"/>
      </w:pPr>
      <w:rPr>
        <w:rFonts w:hint="default"/>
      </w:rPr>
    </w:lvl>
    <w:lvl w:ilvl="1">
      <w:start w:val="2"/>
      <w:numFmt w:val="decimal"/>
      <w:lvlText w:val="%1.%2."/>
      <w:lvlJc w:val="left"/>
      <w:pPr>
        <w:ind w:left="1800" w:hanging="720"/>
      </w:pPr>
      <w:rPr>
        <w:rFonts w:hint="default"/>
      </w:rPr>
    </w:lvl>
    <w:lvl w:ilvl="2">
      <w:start w:val="1"/>
      <w:numFmt w:val="decimal"/>
      <w:lvlText w:val="%1.%2.%3."/>
      <w:lvlJc w:val="left"/>
      <w:pPr>
        <w:ind w:left="2880" w:hanging="720"/>
      </w:pPr>
      <w:rPr>
        <w:rFonts w:hint="default"/>
      </w:rPr>
    </w:lvl>
    <w:lvl w:ilvl="3">
      <w:start w:val="1"/>
      <w:numFmt w:val="decimal"/>
      <w:lvlText w:val="%1.%2.%3.%4."/>
      <w:lvlJc w:val="left"/>
      <w:pPr>
        <w:ind w:left="4320" w:hanging="1080"/>
      </w:pPr>
      <w:rPr>
        <w:rFonts w:hint="default"/>
      </w:rPr>
    </w:lvl>
    <w:lvl w:ilvl="4">
      <w:start w:val="1"/>
      <w:numFmt w:val="decimal"/>
      <w:lvlText w:val="%1.%2.%3.%4.%5."/>
      <w:lvlJc w:val="left"/>
      <w:pPr>
        <w:ind w:left="5400" w:hanging="1080"/>
      </w:pPr>
      <w:rPr>
        <w:rFonts w:hint="default"/>
      </w:rPr>
    </w:lvl>
    <w:lvl w:ilvl="5">
      <w:start w:val="1"/>
      <w:numFmt w:val="decimal"/>
      <w:lvlText w:val="%1.%2.%3.%4.%5.%6."/>
      <w:lvlJc w:val="left"/>
      <w:pPr>
        <w:ind w:left="6840" w:hanging="1440"/>
      </w:pPr>
      <w:rPr>
        <w:rFonts w:hint="default"/>
      </w:rPr>
    </w:lvl>
    <w:lvl w:ilvl="6">
      <w:start w:val="1"/>
      <w:numFmt w:val="decimal"/>
      <w:lvlText w:val="%1.%2.%3.%4.%5.%6.%7."/>
      <w:lvlJc w:val="left"/>
      <w:pPr>
        <w:ind w:left="7920" w:hanging="1440"/>
      </w:pPr>
      <w:rPr>
        <w:rFonts w:hint="default"/>
      </w:rPr>
    </w:lvl>
    <w:lvl w:ilvl="7">
      <w:start w:val="1"/>
      <w:numFmt w:val="decimal"/>
      <w:lvlText w:val="%1.%2.%3.%4.%5.%6.%7.%8."/>
      <w:lvlJc w:val="left"/>
      <w:pPr>
        <w:ind w:left="9360" w:hanging="1800"/>
      </w:pPr>
      <w:rPr>
        <w:rFonts w:hint="default"/>
      </w:rPr>
    </w:lvl>
    <w:lvl w:ilvl="8">
      <w:start w:val="1"/>
      <w:numFmt w:val="decimal"/>
      <w:lvlText w:val="%1.%2.%3.%4.%5.%6.%7.%8.%9."/>
      <w:lvlJc w:val="left"/>
      <w:pPr>
        <w:ind w:left="10440" w:hanging="1800"/>
      </w:pPr>
      <w:rPr>
        <w:rFonts w:hint="default"/>
      </w:rPr>
    </w:lvl>
  </w:abstractNum>
  <w:abstractNum w:abstractNumId="21" w15:restartNumberingAfterBreak="0">
    <w:nsid w:val="2DF54824"/>
    <w:multiLevelType w:val="multilevel"/>
    <w:tmpl w:val="40FA24FC"/>
    <w:lvl w:ilvl="0">
      <w:start w:val="1"/>
      <w:numFmt w:val="decimal"/>
      <w:lvlText w:val="%1."/>
      <w:lvlJc w:val="left"/>
      <w:pPr>
        <w:ind w:left="1080" w:hanging="360"/>
      </w:pPr>
      <w:rPr>
        <w:rFonts w:hint="default"/>
      </w:rPr>
    </w:lvl>
    <w:lvl w:ilvl="1">
      <w:start w:val="1"/>
      <w:numFmt w:val="decimal"/>
      <w:lvlText w:val="%1.%2."/>
      <w:lvlJc w:val="left"/>
      <w:pPr>
        <w:ind w:left="1512" w:hanging="432"/>
      </w:pPr>
    </w:lvl>
    <w:lvl w:ilvl="2">
      <w:start w:val="1"/>
      <w:numFmt w:val="decimal"/>
      <w:lvlText w:val="%1.%2.%3."/>
      <w:lvlJc w:val="left"/>
      <w:pPr>
        <w:ind w:left="1944" w:hanging="504"/>
      </w:pPr>
    </w:lvl>
    <w:lvl w:ilvl="3">
      <w:start w:val="1"/>
      <w:numFmt w:val="decimal"/>
      <w:lvlText w:val="%1.%2.%3.%4."/>
      <w:lvlJc w:val="left"/>
      <w:pPr>
        <w:ind w:left="2448" w:hanging="648"/>
      </w:pPr>
    </w:lvl>
    <w:lvl w:ilvl="4">
      <w:start w:val="1"/>
      <w:numFmt w:val="decimal"/>
      <w:lvlText w:val="%1.%2.%3.%4.%5."/>
      <w:lvlJc w:val="left"/>
      <w:pPr>
        <w:ind w:left="2952" w:hanging="792"/>
      </w:pPr>
    </w:lvl>
    <w:lvl w:ilvl="5">
      <w:start w:val="1"/>
      <w:numFmt w:val="decimal"/>
      <w:lvlText w:val="%1.%2.%3.%4.%5.%6."/>
      <w:lvlJc w:val="left"/>
      <w:pPr>
        <w:ind w:left="3456" w:hanging="936"/>
      </w:pPr>
    </w:lvl>
    <w:lvl w:ilvl="6">
      <w:start w:val="1"/>
      <w:numFmt w:val="decimal"/>
      <w:lvlText w:val="%1.%2.%3.%4.%5.%6.%7."/>
      <w:lvlJc w:val="left"/>
      <w:pPr>
        <w:ind w:left="3960" w:hanging="1080"/>
      </w:pPr>
    </w:lvl>
    <w:lvl w:ilvl="7">
      <w:start w:val="1"/>
      <w:numFmt w:val="decimal"/>
      <w:lvlText w:val="%1.%2.%3.%4.%5.%6.%7.%8."/>
      <w:lvlJc w:val="left"/>
      <w:pPr>
        <w:ind w:left="4464" w:hanging="1224"/>
      </w:pPr>
    </w:lvl>
    <w:lvl w:ilvl="8">
      <w:start w:val="1"/>
      <w:numFmt w:val="decimal"/>
      <w:lvlText w:val="%1.%2.%3.%4.%5.%6.%7.%8.%9."/>
      <w:lvlJc w:val="left"/>
      <w:pPr>
        <w:ind w:left="5040" w:hanging="1440"/>
      </w:pPr>
    </w:lvl>
  </w:abstractNum>
  <w:abstractNum w:abstractNumId="22" w15:restartNumberingAfterBreak="0">
    <w:nsid w:val="2F8E112F"/>
    <w:multiLevelType w:val="multilevel"/>
    <w:tmpl w:val="40FA24FC"/>
    <w:lvl w:ilvl="0">
      <w:start w:val="1"/>
      <w:numFmt w:val="decimal"/>
      <w:lvlText w:val="%1."/>
      <w:lvlJc w:val="left"/>
      <w:pPr>
        <w:ind w:left="1080" w:hanging="360"/>
      </w:pPr>
      <w:rPr>
        <w:rFonts w:hint="default"/>
      </w:rPr>
    </w:lvl>
    <w:lvl w:ilvl="1">
      <w:start w:val="1"/>
      <w:numFmt w:val="decimal"/>
      <w:lvlText w:val="%1.%2."/>
      <w:lvlJc w:val="left"/>
      <w:pPr>
        <w:ind w:left="1512" w:hanging="432"/>
      </w:pPr>
    </w:lvl>
    <w:lvl w:ilvl="2">
      <w:start w:val="1"/>
      <w:numFmt w:val="decimal"/>
      <w:lvlText w:val="%1.%2.%3."/>
      <w:lvlJc w:val="left"/>
      <w:pPr>
        <w:ind w:left="1944" w:hanging="504"/>
      </w:pPr>
    </w:lvl>
    <w:lvl w:ilvl="3">
      <w:start w:val="1"/>
      <w:numFmt w:val="decimal"/>
      <w:lvlText w:val="%1.%2.%3.%4."/>
      <w:lvlJc w:val="left"/>
      <w:pPr>
        <w:ind w:left="2448" w:hanging="648"/>
      </w:pPr>
    </w:lvl>
    <w:lvl w:ilvl="4">
      <w:start w:val="1"/>
      <w:numFmt w:val="decimal"/>
      <w:lvlText w:val="%1.%2.%3.%4.%5."/>
      <w:lvlJc w:val="left"/>
      <w:pPr>
        <w:ind w:left="2952" w:hanging="792"/>
      </w:pPr>
    </w:lvl>
    <w:lvl w:ilvl="5">
      <w:start w:val="1"/>
      <w:numFmt w:val="decimal"/>
      <w:lvlText w:val="%1.%2.%3.%4.%5.%6."/>
      <w:lvlJc w:val="left"/>
      <w:pPr>
        <w:ind w:left="3456" w:hanging="936"/>
      </w:pPr>
    </w:lvl>
    <w:lvl w:ilvl="6">
      <w:start w:val="1"/>
      <w:numFmt w:val="decimal"/>
      <w:lvlText w:val="%1.%2.%3.%4.%5.%6.%7."/>
      <w:lvlJc w:val="left"/>
      <w:pPr>
        <w:ind w:left="3960" w:hanging="1080"/>
      </w:pPr>
    </w:lvl>
    <w:lvl w:ilvl="7">
      <w:start w:val="1"/>
      <w:numFmt w:val="decimal"/>
      <w:lvlText w:val="%1.%2.%3.%4.%5.%6.%7.%8."/>
      <w:lvlJc w:val="left"/>
      <w:pPr>
        <w:ind w:left="4464" w:hanging="1224"/>
      </w:pPr>
    </w:lvl>
    <w:lvl w:ilvl="8">
      <w:start w:val="1"/>
      <w:numFmt w:val="decimal"/>
      <w:lvlText w:val="%1.%2.%3.%4.%5.%6.%7.%8.%9."/>
      <w:lvlJc w:val="left"/>
      <w:pPr>
        <w:ind w:left="5040" w:hanging="1440"/>
      </w:pPr>
    </w:lvl>
  </w:abstractNum>
  <w:abstractNum w:abstractNumId="23" w15:restartNumberingAfterBreak="0">
    <w:nsid w:val="30D810BF"/>
    <w:multiLevelType w:val="hybridMultilevel"/>
    <w:tmpl w:val="59D0E600"/>
    <w:lvl w:ilvl="0" w:tplc="B4409B08">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329705A9"/>
    <w:multiLevelType w:val="multilevel"/>
    <w:tmpl w:val="40FA24FC"/>
    <w:lvl w:ilvl="0">
      <w:start w:val="1"/>
      <w:numFmt w:val="decimal"/>
      <w:lvlText w:val="%1."/>
      <w:lvlJc w:val="left"/>
      <w:pPr>
        <w:ind w:left="1080" w:hanging="360"/>
      </w:pPr>
      <w:rPr>
        <w:rFonts w:hint="default"/>
      </w:rPr>
    </w:lvl>
    <w:lvl w:ilvl="1">
      <w:start w:val="1"/>
      <w:numFmt w:val="decimal"/>
      <w:lvlText w:val="%1.%2."/>
      <w:lvlJc w:val="left"/>
      <w:pPr>
        <w:ind w:left="1512" w:hanging="432"/>
      </w:pPr>
    </w:lvl>
    <w:lvl w:ilvl="2">
      <w:start w:val="1"/>
      <w:numFmt w:val="decimal"/>
      <w:lvlText w:val="%1.%2.%3."/>
      <w:lvlJc w:val="left"/>
      <w:pPr>
        <w:ind w:left="1944" w:hanging="504"/>
      </w:pPr>
    </w:lvl>
    <w:lvl w:ilvl="3">
      <w:start w:val="1"/>
      <w:numFmt w:val="decimal"/>
      <w:lvlText w:val="%1.%2.%3.%4."/>
      <w:lvlJc w:val="left"/>
      <w:pPr>
        <w:ind w:left="2448" w:hanging="648"/>
      </w:pPr>
    </w:lvl>
    <w:lvl w:ilvl="4">
      <w:start w:val="1"/>
      <w:numFmt w:val="decimal"/>
      <w:lvlText w:val="%1.%2.%3.%4.%5."/>
      <w:lvlJc w:val="left"/>
      <w:pPr>
        <w:ind w:left="2952" w:hanging="792"/>
      </w:pPr>
    </w:lvl>
    <w:lvl w:ilvl="5">
      <w:start w:val="1"/>
      <w:numFmt w:val="decimal"/>
      <w:lvlText w:val="%1.%2.%3.%4.%5.%6."/>
      <w:lvlJc w:val="left"/>
      <w:pPr>
        <w:ind w:left="3456" w:hanging="936"/>
      </w:pPr>
    </w:lvl>
    <w:lvl w:ilvl="6">
      <w:start w:val="1"/>
      <w:numFmt w:val="decimal"/>
      <w:lvlText w:val="%1.%2.%3.%4.%5.%6.%7."/>
      <w:lvlJc w:val="left"/>
      <w:pPr>
        <w:ind w:left="3960" w:hanging="1080"/>
      </w:pPr>
    </w:lvl>
    <w:lvl w:ilvl="7">
      <w:start w:val="1"/>
      <w:numFmt w:val="decimal"/>
      <w:lvlText w:val="%1.%2.%3.%4.%5.%6.%7.%8."/>
      <w:lvlJc w:val="left"/>
      <w:pPr>
        <w:ind w:left="4464" w:hanging="1224"/>
      </w:pPr>
    </w:lvl>
    <w:lvl w:ilvl="8">
      <w:start w:val="1"/>
      <w:numFmt w:val="decimal"/>
      <w:lvlText w:val="%1.%2.%3.%4.%5.%6.%7.%8.%9."/>
      <w:lvlJc w:val="left"/>
      <w:pPr>
        <w:ind w:left="5040" w:hanging="1440"/>
      </w:pPr>
    </w:lvl>
  </w:abstractNum>
  <w:abstractNum w:abstractNumId="25" w15:restartNumberingAfterBreak="0">
    <w:nsid w:val="361C1DCF"/>
    <w:multiLevelType w:val="multilevel"/>
    <w:tmpl w:val="1EDA10C0"/>
    <w:lvl w:ilvl="0">
      <w:start w:val="8"/>
      <w:numFmt w:val="decimal"/>
      <w:lvlText w:val="%1."/>
      <w:lvlJc w:val="left"/>
      <w:pPr>
        <w:ind w:left="380" w:hanging="380"/>
      </w:pPr>
      <w:rPr>
        <w:rFonts w:hint="default"/>
      </w:rPr>
    </w:lvl>
    <w:lvl w:ilvl="1">
      <w:start w:val="2"/>
      <w:numFmt w:val="decimal"/>
      <w:lvlText w:val="%1.%2."/>
      <w:lvlJc w:val="left"/>
      <w:pPr>
        <w:ind w:left="1800" w:hanging="720"/>
      </w:pPr>
      <w:rPr>
        <w:rFonts w:hint="default"/>
      </w:rPr>
    </w:lvl>
    <w:lvl w:ilvl="2">
      <w:start w:val="1"/>
      <w:numFmt w:val="decimal"/>
      <w:lvlText w:val="%1.%2.%3."/>
      <w:lvlJc w:val="left"/>
      <w:pPr>
        <w:ind w:left="2880" w:hanging="720"/>
      </w:pPr>
      <w:rPr>
        <w:rFonts w:hint="default"/>
      </w:rPr>
    </w:lvl>
    <w:lvl w:ilvl="3">
      <w:start w:val="1"/>
      <w:numFmt w:val="decimal"/>
      <w:lvlText w:val="%1.%2.%3.%4."/>
      <w:lvlJc w:val="left"/>
      <w:pPr>
        <w:ind w:left="4320" w:hanging="1080"/>
      </w:pPr>
      <w:rPr>
        <w:rFonts w:hint="default"/>
      </w:rPr>
    </w:lvl>
    <w:lvl w:ilvl="4">
      <w:start w:val="1"/>
      <w:numFmt w:val="decimal"/>
      <w:lvlText w:val="%1.%2.%3.%4.%5."/>
      <w:lvlJc w:val="left"/>
      <w:pPr>
        <w:ind w:left="5400" w:hanging="1080"/>
      </w:pPr>
      <w:rPr>
        <w:rFonts w:hint="default"/>
      </w:rPr>
    </w:lvl>
    <w:lvl w:ilvl="5">
      <w:start w:val="1"/>
      <w:numFmt w:val="decimal"/>
      <w:lvlText w:val="%1.%2.%3.%4.%5.%6."/>
      <w:lvlJc w:val="left"/>
      <w:pPr>
        <w:ind w:left="6840" w:hanging="1440"/>
      </w:pPr>
      <w:rPr>
        <w:rFonts w:hint="default"/>
      </w:rPr>
    </w:lvl>
    <w:lvl w:ilvl="6">
      <w:start w:val="1"/>
      <w:numFmt w:val="decimal"/>
      <w:lvlText w:val="%1.%2.%3.%4.%5.%6.%7."/>
      <w:lvlJc w:val="left"/>
      <w:pPr>
        <w:ind w:left="7920" w:hanging="1440"/>
      </w:pPr>
      <w:rPr>
        <w:rFonts w:hint="default"/>
      </w:rPr>
    </w:lvl>
    <w:lvl w:ilvl="7">
      <w:start w:val="1"/>
      <w:numFmt w:val="decimal"/>
      <w:lvlText w:val="%1.%2.%3.%4.%5.%6.%7.%8."/>
      <w:lvlJc w:val="left"/>
      <w:pPr>
        <w:ind w:left="9360" w:hanging="1800"/>
      </w:pPr>
      <w:rPr>
        <w:rFonts w:hint="default"/>
      </w:rPr>
    </w:lvl>
    <w:lvl w:ilvl="8">
      <w:start w:val="1"/>
      <w:numFmt w:val="decimal"/>
      <w:lvlText w:val="%1.%2.%3.%4.%5.%6.%7.%8.%9."/>
      <w:lvlJc w:val="left"/>
      <w:pPr>
        <w:ind w:left="10440" w:hanging="1800"/>
      </w:pPr>
      <w:rPr>
        <w:rFonts w:hint="default"/>
      </w:rPr>
    </w:lvl>
  </w:abstractNum>
  <w:abstractNum w:abstractNumId="26" w15:restartNumberingAfterBreak="0">
    <w:nsid w:val="386071FA"/>
    <w:multiLevelType w:val="multilevel"/>
    <w:tmpl w:val="40FA24FC"/>
    <w:lvl w:ilvl="0">
      <w:start w:val="1"/>
      <w:numFmt w:val="decimal"/>
      <w:lvlText w:val="%1."/>
      <w:lvlJc w:val="left"/>
      <w:pPr>
        <w:ind w:left="1080" w:hanging="360"/>
      </w:pPr>
      <w:rPr>
        <w:rFonts w:hint="default"/>
      </w:rPr>
    </w:lvl>
    <w:lvl w:ilvl="1">
      <w:start w:val="1"/>
      <w:numFmt w:val="decimal"/>
      <w:lvlText w:val="%1.%2."/>
      <w:lvlJc w:val="left"/>
      <w:pPr>
        <w:ind w:left="1512" w:hanging="432"/>
      </w:pPr>
    </w:lvl>
    <w:lvl w:ilvl="2">
      <w:start w:val="1"/>
      <w:numFmt w:val="decimal"/>
      <w:lvlText w:val="%1.%2.%3."/>
      <w:lvlJc w:val="left"/>
      <w:pPr>
        <w:ind w:left="1944" w:hanging="504"/>
      </w:pPr>
    </w:lvl>
    <w:lvl w:ilvl="3">
      <w:start w:val="1"/>
      <w:numFmt w:val="decimal"/>
      <w:lvlText w:val="%1.%2.%3.%4."/>
      <w:lvlJc w:val="left"/>
      <w:pPr>
        <w:ind w:left="2448" w:hanging="648"/>
      </w:pPr>
    </w:lvl>
    <w:lvl w:ilvl="4">
      <w:start w:val="1"/>
      <w:numFmt w:val="decimal"/>
      <w:lvlText w:val="%1.%2.%3.%4.%5."/>
      <w:lvlJc w:val="left"/>
      <w:pPr>
        <w:ind w:left="2952" w:hanging="792"/>
      </w:pPr>
    </w:lvl>
    <w:lvl w:ilvl="5">
      <w:start w:val="1"/>
      <w:numFmt w:val="decimal"/>
      <w:lvlText w:val="%1.%2.%3.%4.%5.%6."/>
      <w:lvlJc w:val="left"/>
      <w:pPr>
        <w:ind w:left="3456" w:hanging="936"/>
      </w:pPr>
    </w:lvl>
    <w:lvl w:ilvl="6">
      <w:start w:val="1"/>
      <w:numFmt w:val="decimal"/>
      <w:lvlText w:val="%1.%2.%3.%4.%5.%6.%7."/>
      <w:lvlJc w:val="left"/>
      <w:pPr>
        <w:ind w:left="3960" w:hanging="1080"/>
      </w:pPr>
    </w:lvl>
    <w:lvl w:ilvl="7">
      <w:start w:val="1"/>
      <w:numFmt w:val="decimal"/>
      <w:lvlText w:val="%1.%2.%3.%4.%5.%6.%7.%8."/>
      <w:lvlJc w:val="left"/>
      <w:pPr>
        <w:ind w:left="4464" w:hanging="1224"/>
      </w:pPr>
    </w:lvl>
    <w:lvl w:ilvl="8">
      <w:start w:val="1"/>
      <w:numFmt w:val="decimal"/>
      <w:lvlText w:val="%1.%2.%3.%4.%5.%6.%7.%8.%9."/>
      <w:lvlJc w:val="left"/>
      <w:pPr>
        <w:ind w:left="5040" w:hanging="1440"/>
      </w:pPr>
    </w:lvl>
  </w:abstractNum>
  <w:abstractNum w:abstractNumId="27" w15:restartNumberingAfterBreak="0">
    <w:nsid w:val="38710D7E"/>
    <w:multiLevelType w:val="multilevel"/>
    <w:tmpl w:val="40FA24FC"/>
    <w:lvl w:ilvl="0">
      <w:start w:val="1"/>
      <w:numFmt w:val="decimal"/>
      <w:lvlText w:val="%1."/>
      <w:lvlJc w:val="left"/>
      <w:pPr>
        <w:ind w:left="1080" w:hanging="360"/>
      </w:pPr>
      <w:rPr>
        <w:rFonts w:hint="default"/>
      </w:rPr>
    </w:lvl>
    <w:lvl w:ilvl="1">
      <w:start w:val="1"/>
      <w:numFmt w:val="decimal"/>
      <w:lvlText w:val="%1.%2."/>
      <w:lvlJc w:val="left"/>
      <w:pPr>
        <w:ind w:left="1512" w:hanging="432"/>
      </w:pPr>
    </w:lvl>
    <w:lvl w:ilvl="2">
      <w:start w:val="1"/>
      <w:numFmt w:val="decimal"/>
      <w:lvlText w:val="%1.%2.%3."/>
      <w:lvlJc w:val="left"/>
      <w:pPr>
        <w:ind w:left="1944" w:hanging="504"/>
      </w:pPr>
    </w:lvl>
    <w:lvl w:ilvl="3">
      <w:start w:val="1"/>
      <w:numFmt w:val="decimal"/>
      <w:lvlText w:val="%1.%2.%3.%4."/>
      <w:lvlJc w:val="left"/>
      <w:pPr>
        <w:ind w:left="2448" w:hanging="648"/>
      </w:pPr>
    </w:lvl>
    <w:lvl w:ilvl="4">
      <w:start w:val="1"/>
      <w:numFmt w:val="decimal"/>
      <w:lvlText w:val="%1.%2.%3.%4.%5."/>
      <w:lvlJc w:val="left"/>
      <w:pPr>
        <w:ind w:left="2952" w:hanging="792"/>
      </w:pPr>
    </w:lvl>
    <w:lvl w:ilvl="5">
      <w:start w:val="1"/>
      <w:numFmt w:val="decimal"/>
      <w:lvlText w:val="%1.%2.%3.%4.%5.%6."/>
      <w:lvlJc w:val="left"/>
      <w:pPr>
        <w:ind w:left="3456" w:hanging="936"/>
      </w:pPr>
    </w:lvl>
    <w:lvl w:ilvl="6">
      <w:start w:val="1"/>
      <w:numFmt w:val="decimal"/>
      <w:lvlText w:val="%1.%2.%3.%4.%5.%6.%7."/>
      <w:lvlJc w:val="left"/>
      <w:pPr>
        <w:ind w:left="3960" w:hanging="1080"/>
      </w:pPr>
    </w:lvl>
    <w:lvl w:ilvl="7">
      <w:start w:val="1"/>
      <w:numFmt w:val="decimal"/>
      <w:lvlText w:val="%1.%2.%3.%4.%5.%6.%7.%8."/>
      <w:lvlJc w:val="left"/>
      <w:pPr>
        <w:ind w:left="4464" w:hanging="1224"/>
      </w:pPr>
    </w:lvl>
    <w:lvl w:ilvl="8">
      <w:start w:val="1"/>
      <w:numFmt w:val="decimal"/>
      <w:lvlText w:val="%1.%2.%3.%4.%5.%6.%7.%8.%9."/>
      <w:lvlJc w:val="left"/>
      <w:pPr>
        <w:ind w:left="5040" w:hanging="1440"/>
      </w:pPr>
    </w:lvl>
  </w:abstractNum>
  <w:abstractNum w:abstractNumId="28" w15:restartNumberingAfterBreak="0">
    <w:nsid w:val="390827D1"/>
    <w:multiLevelType w:val="multilevel"/>
    <w:tmpl w:val="8EE0C986"/>
    <w:lvl w:ilvl="0">
      <w:start w:val="3"/>
      <w:numFmt w:val="decimal"/>
      <w:lvlText w:val="%1."/>
      <w:lvlJc w:val="left"/>
      <w:pPr>
        <w:ind w:left="1800" w:hanging="360"/>
      </w:pPr>
      <w:rPr>
        <w:rFonts w:hint="default"/>
      </w:rPr>
    </w:lvl>
    <w:lvl w:ilvl="1">
      <w:start w:val="1"/>
      <w:numFmt w:val="decimal"/>
      <w:lvlText w:val="%1.%2."/>
      <w:lvlJc w:val="left"/>
      <w:pPr>
        <w:ind w:left="2880" w:hanging="720"/>
      </w:pPr>
      <w:rPr>
        <w:rFonts w:hint="default"/>
      </w:rPr>
    </w:lvl>
    <w:lvl w:ilvl="2">
      <w:start w:val="1"/>
      <w:numFmt w:val="decimal"/>
      <w:pStyle w:val="Heading2"/>
      <w:lvlText w:val="%1.%2.%3."/>
      <w:lvlJc w:val="left"/>
      <w:pPr>
        <w:ind w:left="3600" w:hanging="720"/>
      </w:pPr>
    </w:lvl>
    <w:lvl w:ilvl="3">
      <w:start w:val="1"/>
      <w:numFmt w:val="decimal"/>
      <w:lvlText w:val="%1.%2.%3.%4."/>
      <w:lvlJc w:val="left"/>
      <w:pPr>
        <w:ind w:left="4680" w:hanging="1080"/>
      </w:pPr>
      <w:rPr>
        <w:rFonts w:hint="default"/>
      </w:rPr>
    </w:lvl>
    <w:lvl w:ilvl="4">
      <w:start w:val="1"/>
      <w:numFmt w:val="decimal"/>
      <w:lvlText w:val="%1.%2.%3.%4.%5."/>
      <w:lvlJc w:val="left"/>
      <w:pPr>
        <w:ind w:left="5400" w:hanging="1080"/>
      </w:pPr>
      <w:rPr>
        <w:rFonts w:hint="default"/>
      </w:rPr>
    </w:lvl>
    <w:lvl w:ilvl="5">
      <w:start w:val="1"/>
      <w:numFmt w:val="decimal"/>
      <w:lvlText w:val="%1.%2.%3.%4.%5.%6."/>
      <w:lvlJc w:val="left"/>
      <w:pPr>
        <w:ind w:left="6480" w:hanging="1440"/>
      </w:pPr>
      <w:rPr>
        <w:rFonts w:hint="default"/>
      </w:rPr>
    </w:lvl>
    <w:lvl w:ilvl="6">
      <w:start w:val="1"/>
      <w:numFmt w:val="decimal"/>
      <w:lvlText w:val="%1.%2.%3.%4.%5.%6.%7."/>
      <w:lvlJc w:val="left"/>
      <w:pPr>
        <w:ind w:left="7200" w:hanging="1440"/>
      </w:pPr>
      <w:rPr>
        <w:rFonts w:hint="default"/>
      </w:rPr>
    </w:lvl>
    <w:lvl w:ilvl="7">
      <w:start w:val="1"/>
      <w:numFmt w:val="decimal"/>
      <w:lvlText w:val="%1.%2.%3.%4.%5.%6.%7.%8."/>
      <w:lvlJc w:val="left"/>
      <w:pPr>
        <w:ind w:left="8280" w:hanging="1800"/>
      </w:pPr>
      <w:rPr>
        <w:rFonts w:hint="default"/>
      </w:rPr>
    </w:lvl>
    <w:lvl w:ilvl="8">
      <w:start w:val="1"/>
      <w:numFmt w:val="decimal"/>
      <w:lvlText w:val="%1.%2.%3.%4.%5.%6.%7.%8.%9."/>
      <w:lvlJc w:val="left"/>
      <w:pPr>
        <w:ind w:left="9000" w:hanging="1800"/>
      </w:pPr>
      <w:rPr>
        <w:rFonts w:hint="default"/>
      </w:rPr>
    </w:lvl>
  </w:abstractNum>
  <w:abstractNum w:abstractNumId="29" w15:restartNumberingAfterBreak="0">
    <w:nsid w:val="3BAE4579"/>
    <w:multiLevelType w:val="hybridMultilevel"/>
    <w:tmpl w:val="C5AE4516"/>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0" w15:restartNumberingAfterBreak="0">
    <w:nsid w:val="43055F4B"/>
    <w:multiLevelType w:val="multilevel"/>
    <w:tmpl w:val="40FA24FC"/>
    <w:lvl w:ilvl="0">
      <w:start w:val="1"/>
      <w:numFmt w:val="decimal"/>
      <w:lvlText w:val="%1."/>
      <w:lvlJc w:val="left"/>
      <w:pPr>
        <w:ind w:left="1080" w:hanging="360"/>
      </w:pPr>
      <w:rPr>
        <w:rFonts w:hint="default"/>
      </w:rPr>
    </w:lvl>
    <w:lvl w:ilvl="1">
      <w:start w:val="1"/>
      <w:numFmt w:val="decimal"/>
      <w:lvlText w:val="%1.%2."/>
      <w:lvlJc w:val="left"/>
      <w:pPr>
        <w:ind w:left="1512" w:hanging="432"/>
      </w:pPr>
    </w:lvl>
    <w:lvl w:ilvl="2">
      <w:start w:val="1"/>
      <w:numFmt w:val="decimal"/>
      <w:lvlText w:val="%1.%2.%3."/>
      <w:lvlJc w:val="left"/>
      <w:pPr>
        <w:ind w:left="1944" w:hanging="504"/>
      </w:pPr>
    </w:lvl>
    <w:lvl w:ilvl="3">
      <w:start w:val="1"/>
      <w:numFmt w:val="decimal"/>
      <w:lvlText w:val="%1.%2.%3.%4."/>
      <w:lvlJc w:val="left"/>
      <w:pPr>
        <w:ind w:left="2448" w:hanging="648"/>
      </w:pPr>
    </w:lvl>
    <w:lvl w:ilvl="4">
      <w:start w:val="1"/>
      <w:numFmt w:val="decimal"/>
      <w:lvlText w:val="%1.%2.%3.%4.%5."/>
      <w:lvlJc w:val="left"/>
      <w:pPr>
        <w:ind w:left="2952" w:hanging="792"/>
      </w:pPr>
    </w:lvl>
    <w:lvl w:ilvl="5">
      <w:start w:val="1"/>
      <w:numFmt w:val="decimal"/>
      <w:lvlText w:val="%1.%2.%3.%4.%5.%6."/>
      <w:lvlJc w:val="left"/>
      <w:pPr>
        <w:ind w:left="3456" w:hanging="936"/>
      </w:pPr>
    </w:lvl>
    <w:lvl w:ilvl="6">
      <w:start w:val="1"/>
      <w:numFmt w:val="decimal"/>
      <w:lvlText w:val="%1.%2.%3.%4.%5.%6.%7."/>
      <w:lvlJc w:val="left"/>
      <w:pPr>
        <w:ind w:left="3960" w:hanging="1080"/>
      </w:pPr>
    </w:lvl>
    <w:lvl w:ilvl="7">
      <w:start w:val="1"/>
      <w:numFmt w:val="decimal"/>
      <w:lvlText w:val="%1.%2.%3.%4.%5.%6.%7.%8."/>
      <w:lvlJc w:val="left"/>
      <w:pPr>
        <w:ind w:left="4464" w:hanging="1224"/>
      </w:pPr>
    </w:lvl>
    <w:lvl w:ilvl="8">
      <w:start w:val="1"/>
      <w:numFmt w:val="decimal"/>
      <w:lvlText w:val="%1.%2.%3.%4.%5.%6.%7.%8.%9."/>
      <w:lvlJc w:val="left"/>
      <w:pPr>
        <w:ind w:left="5040" w:hanging="1440"/>
      </w:pPr>
    </w:lvl>
  </w:abstractNum>
  <w:abstractNum w:abstractNumId="31" w15:restartNumberingAfterBreak="0">
    <w:nsid w:val="43525AEB"/>
    <w:multiLevelType w:val="multilevel"/>
    <w:tmpl w:val="C9A2ED7E"/>
    <w:lvl w:ilvl="0">
      <w:start w:val="1"/>
      <w:numFmt w:val="decimal"/>
      <w:lvlText w:val="%1."/>
      <w:lvlJc w:val="left"/>
      <w:pPr>
        <w:ind w:left="360" w:hanging="360"/>
      </w:pPr>
    </w:lvl>
    <w:lvl w:ilvl="1">
      <w:start w:val="1"/>
      <w:numFmt w:val="decimal"/>
      <w:isLgl/>
      <w:lvlText w:val="%1.%2."/>
      <w:lvlJc w:val="left"/>
      <w:pPr>
        <w:ind w:left="1440" w:hanging="720"/>
      </w:pPr>
    </w:lvl>
    <w:lvl w:ilvl="2">
      <w:start w:val="1"/>
      <w:numFmt w:val="decimal"/>
      <w:isLgl/>
      <w:lvlText w:val="%1.%2.%3."/>
      <w:lvlJc w:val="left"/>
      <w:pPr>
        <w:ind w:left="2160" w:hanging="720"/>
      </w:pPr>
    </w:lvl>
    <w:lvl w:ilvl="3">
      <w:start w:val="1"/>
      <w:numFmt w:val="decimal"/>
      <w:isLgl/>
      <w:lvlText w:val="%1.%2.%3.%4."/>
      <w:lvlJc w:val="left"/>
      <w:pPr>
        <w:ind w:left="3240" w:hanging="1080"/>
      </w:pPr>
    </w:lvl>
    <w:lvl w:ilvl="4">
      <w:start w:val="1"/>
      <w:numFmt w:val="decimal"/>
      <w:isLgl/>
      <w:lvlText w:val="%1.%2.%3.%4.%5."/>
      <w:lvlJc w:val="left"/>
      <w:pPr>
        <w:ind w:left="3960" w:hanging="1080"/>
      </w:pPr>
    </w:lvl>
    <w:lvl w:ilvl="5">
      <w:start w:val="1"/>
      <w:numFmt w:val="decimal"/>
      <w:isLgl/>
      <w:lvlText w:val="%1.%2.%3.%4.%5.%6."/>
      <w:lvlJc w:val="left"/>
      <w:pPr>
        <w:ind w:left="5040" w:hanging="1440"/>
      </w:pPr>
    </w:lvl>
    <w:lvl w:ilvl="6">
      <w:start w:val="1"/>
      <w:numFmt w:val="decimal"/>
      <w:isLgl/>
      <w:lvlText w:val="%1.%2.%3.%4.%5.%6.%7."/>
      <w:lvlJc w:val="left"/>
      <w:pPr>
        <w:ind w:left="5760" w:hanging="1440"/>
      </w:pPr>
    </w:lvl>
    <w:lvl w:ilvl="7">
      <w:start w:val="1"/>
      <w:numFmt w:val="decimal"/>
      <w:isLgl/>
      <w:lvlText w:val="%1.%2.%3.%4.%5.%6.%7.%8."/>
      <w:lvlJc w:val="left"/>
      <w:pPr>
        <w:ind w:left="6840" w:hanging="1800"/>
      </w:pPr>
    </w:lvl>
    <w:lvl w:ilvl="8">
      <w:start w:val="1"/>
      <w:numFmt w:val="decimal"/>
      <w:isLgl/>
      <w:lvlText w:val="%1.%2.%3.%4.%5.%6.%7.%8.%9."/>
      <w:lvlJc w:val="left"/>
      <w:pPr>
        <w:ind w:left="7560" w:hanging="1800"/>
      </w:pPr>
    </w:lvl>
  </w:abstractNum>
  <w:abstractNum w:abstractNumId="32" w15:restartNumberingAfterBreak="0">
    <w:nsid w:val="47891BF1"/>
    <w:multiLevelType w:val="multilevel"/>
    <w:tmpl w:val="2C5628F8"/>
    <w:lvl w:ilvl="0">
      <w:start w:val="4"/>
      <w:numFmt w:val="decimal"/>
      <w:lvlText w:val="%1"/>
      <w:lvlJc w:val="left"/>
      <w:pPr>
        <w:ind w:left="500" w:hanging="500"/>
      </w:pPr>
      <w:rPr>
        <w:rFonts w:hint="default"/>
      </w:rPr>
    </w:lvl>
    <w:lvl w:ilvl="1">
      <w:start w:val="3"/>
      <w:numFmt w:val="decimal"/>
      <w:lvlText w:val="%1.%2"/>
      <w:lvlJc w:val="left"/>
      <w:pPr>
        <w:ind w:left="1760" w:hanging="500"/>
      </w:pPr>
      <w:rPr>
        <w:rFonts w:hint="default"/>
      </w:rPr>
    </w:lvl>
    <w:lvl w:ilvl="2">
      <w:start w:val="1"/>
      <w:numFmt w:val="decimal"/>
      <w:lvlText w:val="%1.%2.%3"/>
      <w:lvlJc w:val="left"/>
      <w:pPr>
        <w:ind w:left="3240" w:hanging="720"/>
      </w:pPr>
      <w:rPr>
        <w:rFonts w:hint="default"/>
      </w:rPr>
    </w:lvl>
    <w:lvl w:ilvl="3">
      <w:start w:val="1"/>
      <w:numFmt w:val="decimal"/>
      <w:lvlText w:val="%1.%2.%3.%4"/>
      <w:lvlJc w:val="left"/>
      <w:pPr>
        <w:ind w:left="4500" w:hanging="720"/>
      </w:pPr>
      <w:rPr>
        <w:rFonts w:hint="default"/>
      </w:rPr>
    </w:lvl>
    <w:lvl w:ilvl="4">
      <w:start w:val="1"/>
      <w:numFmt w:val="decimal"/>
      <w:lvlText w:val="%1.%2.%3.%4.%5"/>
      <w:lvlJc w:val="left"/>
      <w:pPr>
        <w:ind w:left="6120" w:hanging="1080"/>
      </w:pPr>
      <w:rPr>
        <w:rFonts w:hint="default"/>
      </w:rPr>
    </w:lvl>
    <w:lvl w:ilvl="5">
      <w:start w:val="1"/>
      <w:numFmt w:val="decimal"/>
      <w:lvlText w:val="%1.%2.%3.%4.%5.%6"/>
      <w:lvlJc w:val="left"/>
      <w:pPr>
        <w:ind w:left="7380" w:hanging="1080"/>
      </w:pPr>
      <w:rPr>
        <w:rFonts w:hint="default"/>
      </w:rPr>
    </w:lvl>
    <w:lvl w:ilvl="6">
      <w:start w:val="1"/>
      <w:numFmt w:val="decimal"/>
      <w:lvlText w:val="%1.%2.%3.%4.%5.%6.%7"/>
      <w:lvlJc w:val="left"/>
      <w:pPr>
        <w:ind w:left="9000" w:hanging="1440"/>
      </w:pPr>
      <w:rPr>
        <w:rFonts w:hint="default"/>
      </w:rPr>
    </w:lvl>
    <w:lvl w:ilvl="7">
      <w:start w:val="1"/>
      <w:numFmt w:val="decimal"/>
      <w:lvlText w:val="%1.%2.%3.%4.%5.%6.%7.%8"/>
      <w:lvlJc w:val="left"/>
      <w:pPr>
        <w:ind w:left="10260" w:hanging="1440"/>
      </w:pPr>
      <w:rPr>
        <w:rFonts w:hint="default"/>
      </w:rPr>
    </w:lvl>
    <w:lvl w:ilvl="8">
      <w:start w:val="1"/>
      <w:numFmt w:val="decimal"/>
      <w:lvlText w:val="%1.%2.%3.%4.%5.%6.%7.%8.%9"/>
      <w:lvlJc w:val="left"/>
      <w:pPr>
        <w:ind w:left="11880" w:hanging="1800"/>
      </w:pPr>
      <w:rPr>
        <w:rFonts w:hint="default"/>
      </w:rPr>
    </w:lvl>
  </w:abstractNum>
  <w:abstractNum w:abstractNumId="33" w15:restartNumberingAfterBreak="0">
    <w:nsid w:val="4C6460F5"/>
    <w:multiLevelType w:val="multilevel"/>
    <w:tmpl w:val="40FA24FC"/>
    <w:lvl w:ilvl="0">
      <w:start w:val="1"/>
      <w:numFmt w:val="decimal"/>
      <w:lvlText w:val="%1."/>
      <w:lvlJc w:val="left"/>
      <w:pPr>
        <w:ind w:left="1080" w:hanging="360"/>
      </w:pPr>
      <w:rPr>
        <w:rFonts w:hint="default"/>
      </w:rPr>
    </w:lvl>
    <w:lvl w:ilvl="1">
      <w:start w:val="1"/>
      <w:numFmt w:val="decimal"/>
      <w:lvlText w:val="%1.%2."/>
      <w:lvlJc w:val="left"/>
      <w:pPr>
        <w:ind w:left="1512" w:hanging="432"/>
      </w:pPr>
    </w:lvl>
    <w:lvl w:ilvl="2">
      <w:start w:val="1"/>
      <w:numFmt w:val="decimal"/>
      <w:lvlText w:val="%1.%2.%3."/>
      <w:lvlJc w:val="left"/>
      <w:pPr>
        <w:ind w:left="1944" w:hanging="504"/>
      </w:pPr>
    </w:lvl>
    <w:lvl w:ilvl="3">
      <w:start w:val="1"/>
      <w:numFmt w:val="decimal"/>
      <w:lvlText w:val="%1.%2.%3.%4."/>
      <w:lvlJc w:val="left"/>
      <w:pPr>
        <w:ind w:left="2448" w:hanging="648"/>
      </w:pPr>
    </w:lvl>
    <w:lvl w:ilvl="4">
      <w:start w:val="1"/>
      <w:numFmt w:val="decimal"/>
      <w:lvlText w:val="%1.%2.%3.%4.%5."/>
      <w:lvlJc w:val="left"/>
      <w:pPr>
        <w:ind w:left="2952" w:hanging="792"/>
      </w:pPr>
    </w:lvl>
    <w:lvl w:ilvl="5">
      <w:start w:val="1"/>
      <w:numFmt w:val="decimal"/>
      <w:lvlText w:val="%1.%2.%3.%4.%5.%6."/>
      <w:lvlJc w:val="left"/>
      <w:pPr>
        <w:ind w:left="3456" w:hanging="936"/>
      </w:pPr>
    </w:lvl>
    <w:lvl w:ilvl="6">
      <w:start w:val="1"/>
      <w:numFmt w:val="decimal"/>
      <w:lvlText w:val="%1.%2.%3.%4.%5.%6.%7."/>
      <w:lvlJc w:val="left"/>
      <w:pPr>
        <w:ind w:left="3960" w:hanging="1080"/>
      </w:pPr>
    </w:lvl>
    <w:lvl w:ilvl="7">
      <w:start w:val="1"/>
      <w:numFmt w:val="decimal"/>
      <w:lvlText w:val="%1.%2.%3.%4.%5.%6.%7.%8."/>
      <w:lvlJc w:val="left"/>
      <w:pPr>
        <w:ind w:left="4464" w:hanging="1224"/>
      </w:pPr>
    </w:lvl>
    <w:lvl w:ilvl="8">
      <w:start w:val="1"/>
      <w:numFmt w:val="decimal"/>
      <w:lvlText w:val="%1.%2.%3.%4.%5.%6.%7.%8.%9."/>
      <w:lvlJc w:val="left"/>
      <w:pPr>
        <w:ind w:left="5040" w:hanging="1440"/>
      </w:pPr>
    </w:lvl>
  </w:abstractNum>
  <w:abstractNum w:abstractNumId="34" w15:restartNumberingAfterBreak="0">
    <w:nsid w:val="4DC955FA"/>
    <w:multiLevelType w:val="multilevel"/>
    <w:tmpl w:val="40FA24FC"/>
    <w:lvl w:ilvl="0">
      <w:start w:val="1"/>
      <w:numFmt w:val="decimal"/>
      <w:lvlText w:val="%1."/>
      <w:lvlJc w:val="left"/>
      <w:pPr>
        <w:ind w:left="1080" w:hanging="360"/>
      </w:pPr>
      <w:rPr>
        <w:rFonts w:hint="default"/>
      </w:rPr>
    </w:lvl>
    <w:lvl w:ilvl="1">
      <w:start w:val="1"/>
      <w:numFmt w:val="decimal"/>
      <w:lvlText w:val="%1.%2."/>
      <w:lvlJc w:val="left"/>
      <w:pPr>
        <w:ind w:left="1512" w:hanging="432"/>
      </w:pPr>
    </w:lvl>
    <w:lvl w:ilvl="2">
      <w:start w:val="1"/>
      <w:numFmt w:val="decimal"/>
      <w:lvlText w:val="%1.%2.%3."/>
      <w:lvlJc w:val="left"/>
      <w:pPr>
        <w:ind w:left="1944" w:hanging="504"/>
      </w:pPr>
    </w:lvl>
    <w:lvl w:ilvl="3">
      <w:start w:val="1"/>
      <w:numFmt w:val="decimal"/>
      <w:lvlText w:val="%1.%2.%3.%4."/>
      <w:lvlJc w:val="left"/>
      <w:pPr>
        <w:ind w:left="2448" w:hanging="648"/>
      </w:pPr>
    </w:lvl>
    <w:lvl w:ilvl="4">
      <w:start w:val="1"/>
      <w:numFmt w:val="decimal"/>
      <w:lvlText w:val="%1.%2.%3.%4.%5."/>
      <w:lvlJc w:val="left"/>
      <w:pPr>
        <w:ind w:left="2952" w:hanging="792"/>
      </w:pPr>
    </w:lvl>
    <w:lvl w:ilvl="5">
      <w:start w:val="1"/>
      <w:numFmt w:val="decimal"/>
      <w:lvlText w:val="%1.%2.%3.%4.%5.%6."/>
      <w:lvlJc w:val="left"/>
      <w:pPr>
        <w:ind w:left="3456" w:hanging="936"/>
      </w:pPr>
    </w:lvl>
    <w:lvl w:ilvl="6">
      <w:start w:val="1"/>
      <w:numFmt w:val="decimal"/>
      <w:lvlText w:val="%1.%2.%3.%4.%5.%6.%7."/>
      <w:lvlJc w:val="left"/>
      <w:pPr>
        <w:ind w:left="3960" w:hanging="1080"/>
      </w:pPr>
    </w:lvl>
    <w:lvl w:ilvl="7">
      <w:start w:val="1"/>
      <w:numFmt w:val="decimal"/>
      <w:lvlText w:val="%1.%2.%3.%4.%5.%6.%7.%8."/>
      <w:lvlJc w:val="left"/>
      <w:pPr>
        <w:ind w:left="4464" w:hanging="1224"/>
      </w:pPr>
    </w:lvl>
    <w:lvl w:ilvl="8">
      <w:start w:val="1"/>
      <w:numFmt w:val="decimal"/>
      <w:lvlText w:val="%1.%2.%3.%4.%5.%6.%7.%8.%9."/>
      <w:lvlJc w:val="left"/>
      <w:pPr>
        <w:ind w:left="5040" w:hanging="1440"/>
      </w:pPr>
    </w:lvl>
  </w:abstractNum>
  <w:abstractNum w:abstractNumId="35" w15:restartNumberingAfterBreak="0">
    <w:nsid w:val="503000DE"/>
    <w:multiLevelType w:val="multilevel"/>
    <w:tmpl w:val="40FA24FC"/>
    <w:lvl w:ilvl="0">
      <w:start w:val="1"/>
      <w:numFmt w:val="decimal"/>
      <w:lvlText w:val="%1."/>
      <w:lvlJc w:val="left"/>
      <w:pPr>
        <w:ind w:left="360" w:hanging="360"/>
      </w:pPr>
      <w:rPr>
        <w:rFonts w:hint="default"/>
      </w:r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36" w15:restartNumberingAfterBreak="0">
    <w:nsid w:val="572F6431"/>
    <w:multiLevelType w:val="multilevel"/>
    <w:tmpl w:val="40FA24FC"/>
    <w:lvl w:ilvl="0">
      <w:start w:val="1"/>
      <w:numFmt w:val="decimal"/>
      <w:lvlText w:val="%1."/>
      <w:lvlJc w:val="left"/>
      <w:pPr>
        <w:ind w:left="1080" w:hanging="360"/>
      </w:pPr>
      <w:rPr>
        <w:rFonts w:hint="default"/>
      </w:rPr>
    </w:lvl>
    <w:lvl w:ilvl="1">
      <w:start w:val="1"/>
      <w:numFmt w:val="decimal"/>
      <w:lvlText w:val="%1.%2."/>
      <w:lvlJc w:val="left"/>
      <w:pPr>
        <w:ind w:left="1512" w:hanging="432"/>
      </w:pPr>
    </w:lvl>
    <w:lvl w:ilvl="2">
      <w:start w:val="1"/>
      <w:numFmt w:val="decimal"/>
      <w:lvlText w:val="%1.%2.%3."/>
      <w:lvlJc w:val="left"/>
      <w:pPr>
        <w:ind w:left="1944" w:hanging="504"/>
      </w:pPr>
    </w:lvl>
    <w:lvl w:ilvl="3">
      <w:start w:val="1"/>
      <w:numFmt w:val="decimal"/>
      <w:lvlText w:val="%1.%2.%3.%4."/>
      <w:lvlJc w:val="left"/>
      <w:pPr>
        <w:ind w:left="2448" w:hanging="648"/>
      </w:pPr>
    </w:lvl>
    <w:lvl w:ilvl="4">
      <w:start w:val="1"/>
      <w:numFmt w:val="decimal"/>
      <w:lvlText w:val="%1.%2.%3.%4.%5."/>
      <w:lvlJc w:val="left"/>
      <w:pPr>
        <w:ind w:left="2952" w:hanging="792"/>
      </w:pPr>
    </w:lvl>
    <w:lvl w:ilvl="5">
      <w:start w:val="1"/>
      <w:numFmt w:val="decimal"/>
      <w:lvlText w:val="%1.%2.%3.%4.%5.%6."/>
      <w:lvlJc w:val="left"/>
      <w:pPr>
        <w:ind w:left="3456" w:hanging="936"/>
      </w:pPr>
    </w:lvl>
    <w:lvl w:ilvl="6">
      <w:start w:val="1"/>
      <w:numFmt w:val="decimal"/>
      <w:lvlText w:val="%1.%2.%3.%4.%5.%6.%7."/>
      <w:lvlJc w:val="left"/>
      <w:pPr>
        <w:ind w:left="3960" w:hanging="1080"/>
      </w:pPr>
    </w:lvl>
    <w:lvl w:ilvl="7">
      <w:start w:val="1"/>
      <w:numFmt w:val="decimal"/>
      <w:lvlText w:val="%1.%2.%3.%4.%5.%6.%7.%8."/>
      <w:lvlJc w:val="left"/>
      <w:pPr>
        <w:ind w:left="4464" w:hanging="1224"/>
      </w:pPr>
    </w:lvl>
    <w:lvl w:ilvl="8">
      <w:start w:val="1"/>
      <w:numFmt w:val="decimal"/>
      <w:lvlText w:val="%1.%2.%3.%4.%5.%6.%7.%8.%9."/>
      <w:lvlJc w:val="left"/>
      <w:pPr>
        <w:ind w:left="5040" w:hanging="1440"/>
      </w:pPr>
    </w:lvl>
  </w:abstractNum>
  <w:abstractNum w:abstractNumId="37" w15:restartNumberingAfterBreak="0">
    <w:nsid w:val="5A7B79A7"/>
    <w:multiLevelType w:val="multilevel"/>
    <w:tmpl w:val="40FA24FC"/>
    <w:lvl w:ilvl="0">
      <w:start w:val="1"/>
      <w:numFmt w:val="decimal"/>
      <w:lvlText w:val="%1."/>
      <w:lvlJc w:val="left"/>
      <w:pPr>
        <w:ind w:left="1080" w:hanging="360"/>
      </w:pPr>
      <w:rPr>
        <w:rFonts w:hint="default"/>
      </w:rPr>
    </w:lvl>
    <w:lvl w:ilvl="1">
      <w:start w:val="1"/>
      <w:numFmt w:val="decimal"/>
      <w:lvlText w:val="%1.%2."/>
      <w:lvlJc w:val="left"/>
      <w:pPr>
        <w:ind w:left="1512" w:hanging="432"/>
      </w:pPr>
    </w:lvl>
    <w:lvl w:ilvl="2">
      <w:start w:val="1"/>
      <w:numFmt w:val="decimal"/>
      <w:lvlText w:val="%1.%2.%3."/>
      <w:lvlJc w:val="left"/>
      <w:pPr>
        <w:ind w:left="1944" w:hanging="504"/>
      </w:pPr>
    </w:lvl>
    <w:lvl w:ilvl="3">
      <w:start w:val="1"/>
      <w:numFmt w:val="decimal"/>
      <w:lvlText w:val="%1.%2.%3.%4."/>
      <w:lvlJc w:val="left"/>
      <w:pPr>
        <w:ind w:left="2448" w:hanging="648"/>
      </w:pPr>
    </w:lvl>
    <w:lvl w:ilvl="4">
      <w:start w:val="1"/>
      <w:numFmt w:val="decimal"/>
      <w:lvlText w:val="%1.%2.%3.%4.%5."/>
      <w:lvlJc w:val="left"/>
      <w:pPr>
        <w:ind w:left="2952" w:hanging="792"/>
      </w:pPr>
    </w:lvl>
    <w:lvl w:ilvl="5">
      <w:start w:val="1"/>
      <w:numFmt w:val="decimal"/>
      <w:lvlText w:val="%1.%2.%3.%4.%5.%6."/>
      <w:lvlJc w:val="left"/>
      <w:pPr>
        <w:ind w:left="3456" w:hanging="936"/>
      </w:pPr>
    </w:lvl>
    <w:lvl w:ilvl="6">
      <w:start w:val="1"/>
      <w:numFmt w:val="decimal"/>
      <w:lvlText w:val="%1.%2.%3.%4.%5.%6.%7."/>
      <w:lvlJc w:val="left"/>
      <w:pPr>
        <w:ind w:left="3960" w:hanging="1080"/>
      </w:pPr>
    </w:lvl>
    <w:lvl w:ilvl="7">
      <w:start w:val="1"/>
      <w:numFmt w:val="decimal"/>
      <w:lvlText w:val="%1.%2.%3.%4.%5.%6.%7.%8."/>
      <w:lvlJc w:val="left"/>
      <w:pPr>
        <w:ind w:left="4464" w:hanging="1224"/>
      </w:pPr>
    </w:lvl>
    <w:lvl w:ilvl="8">
      <w:start w:val="1"/>
      <w:numFmt w:val="decimal"/>
      <w:lvlText w:val="%1.%2.%3.%4.%5.%6.%7.%8.%9."/>
      <w:lvlJc w:val="left"/>
      <w:pPr>
        <w:ind w:left="5040" w:hanging="1440"/>
      </w:pPr>
    </w:lvl>
  </w:abstractNum>
  <w:abstractNum w:abstractNumId="38" w15:restartNumberingAfterBreak="0">
    <w:nsid w:val="5B0B10BA"/>
    <w:multiLevelType w:val="multilevel"/>
    <w:tmpl w:val="40FA24FC"/>
    <w:lvl w:ilvl="0">
      <w:start w:val="1"/>
      <w:numFmt w:val="decimal"/>
      <w:lvlText w:val="%1."/>
      <w:lvlJc w:val="left"/>
      <w:pPr>
        <w:ind w:left="2520" w:hanging="360"/>
      </w:pPr>
      <w:rPr>
        <w:rFonts w:hint="default"/>
      </w:rPr>
    </w:lvl>
    <w:lvl w:ilvl="1">
      <w:start w:val="1"/>
      <w:numFmt w:val="decimal"/>
      <w:lvlText w:val="%1.%2."/>
      <w:lvlJc w:val="left"/>
      <w:pPr>
        <w:ind w:left="2952" w:hanging="432"/>
      </w:pPr>
    </w:lvl>
    <w:lvl w:ilvl="2">
      <w:start w:val="1"/>
      <w:numFmt w:val="decimal"/>
      <w:lvlText w:val="%1.%2.%3."/>
      <w:lvlJc w:val="left"/>
      <w:pPr>
        <w:ind w:left="3384" w:hanging="504"/>
      </w:pPr>
    </w:lvl>
    <w:lvl w:ilvl="3">
      <w:start w:val="1"/>
      <w:numFmt w:val="decimal"/>
      <w:lvlText w:val="%1.%2.%3.%4."/>
      <w:lvlJc w:val="left"/>
      <w:pPr>
        <w:ind w:left="3888" w:hanging="648"/>
      </w:pPr>
    </w:lvl>
    <w:lvl w:ilvl="4">
      <w:start w:val="1"/>
      <w:numFmt w:val="decimal"/>
      <w:lvlText w:val="%1.%2.%3.%4.%5."/>
      <w:lvlJc w:val="left"/>
      <w:pPr>
        <w:ind w:left="4392" w:hanging="792"/>
      </w:pPr>
    </w:lvl>
    <w:lvl w:ilvl="5">
      <w:start w:val="1"/>
      <w:numFmt w:val="decimal"/>
      <w:lvlText w:val="%1.%2.%3.%4.%5.%6."/>
      <w:lvlJc w:val="left"/>
      <w:pPr>
        <w:ind w:left="4896" w:hanging="936"/>
      </w:pPr>
    </w:lvl>
    <w:lvl w:ilvl="6">
      <w:start w:val="1"/>
      <w:numFmt w:val="decimal"/>
      <w:lvlText w:val="%1.%2.%3.%4.%5.%6.%7."/>
      <w:lvlJc w:val="left"/>
      <w:pPr>
        <w:ind w:left="5400" w:hanging="1080"/>
      </w:pPr>
    </w:lvl>
    <w:lvl w:ilvl="7">
      <w:start w:val="1"/>
      <w:numFmt w:val="decimal"/>
      <w:lvlText w:val="%1.%2.%3.%4.%5.%6.%7.%8."/>
      <w:lvlJc w:val="left"/>
      <w:pPr>
        <w:ind w:left="5904" w:hanging="1224"/>
      </w:pPr>
    </w:lvl>
    <w:lvl w:ilvl="8">
      <w:start w:val="1"/>
      <w:numFmt w:val="decimal"/>
      <w:lvlText w:val="%1.%2.%3.%4.%5.%6.%7.%8.%9."/>
      <w:lvlJc w:val="left"/>
      <w:pPr>
        <w:ind w:left="6480" w:hanging="1440"/>
      </w:pPr>
    </w:lvl>
  </w:abstractNum>
  <w:abstractNum w:abstractNumId="39" w15:restartNumberingAfterBreak="0">
    <w:nsid w:val="5B6C18C6"/>
    <w:multiLevelType w:val="hybridMultilevel"/>
    <w:tmpl w:val="6B4A7A38"/>
    <w:lvl w:ilvl="0" w:tplc="CBB2FAA6">
      <w:numFmt w:val="bullet"/>
      <w:lvlText w:val="-"/>
      <w:lvlJc w:val="left"/>
      <w:pPr>
        <w:ind w:left="1080" w:hanging="360"/>
      </w:pPr>
      <w:rPr>
        <w:rFonts w:ascii="Calibri" w:eastAsiaTheme="minorHAnsi" w:hAnsi="Calibri" w:cs="Calibri"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40" w15:restartNumberingAfterBreak="0">
    <w:nsid w:val="66FA52D0"/>
    <w:multiLevelType w:val="multilevel"/>
    <w:tmpl w:val="40FA24FC"/>
    <w:lvl w:ilvl="0">
      <w:start w:val="1"/>
      <w:numFmt w:val="decimal"/>
      <w:lvlText w:val="%1."/>
      <w:lvlJc w:val="left"/>
      <w:pPr>
        <w:ind w:left="1080" w:hanging="360"/>
      </w:pPr>
      <w:rPr>
        <w:rFonts w:hint="default"/>
      </w:rPr>
    </w:lvl>
    <w:lvl w:ilvl="1">
      <w:start w:val="1"/>
      <w:numFmt w:val="decimal"/>
      <w:lvlText w:val="%1.%2."/>
      <w:lvlJc w:val="left"/>
      <w:pPr>
        <w:ind w:left="1512" w:hanging="432"/>
      </w:pPr>
    </w:lvl>
    <w:lvl w:ilvl="2">
      <w:start w:val="1"/>
      <w:numFmt w:val="decimal"/>
      <w:lvlText w:val="%1.%2.%3."/>
      <w:lvlJc w:val="left"/>
      <w:pPr>
        <w:ind w:left="1944" w:hanging="504"/>
      </w:pPr>
    </w:lvl>
    <w:lvl w:ilvl="3">
      <w:start w:val="1"/>
      <w:numFmt w:val="decimal"/>
      <w:lvlText w:val="%1.%2.%3.%4."/>
      <w:lvlJc w:val="left"/>
      <w:pPr>
        <w:ind w:left="2448" w:hanging="648"/>
      </w:pPr>
    </w:lvl>
    <w:lvl w:ilvl="4">
      <w:start w:val="1"/>
      <w:numFmt w:val="decimal"/>
      <w:lvlText w:val="%1.%2.%3.%4.%5."/>
      <w:lvlJc w:val="left"/>
      <w:pPr>
        <w:ind w:left="2952" w:hanging="792"/>
      </w:pPr>
    </w:lvl>
    <w:lvl w:ilvl="5">
      <w:start w:val="1"/>
      <w:numFmt w:val="decimal"/>
      <w:lvlText w:val="%1.%2.%3.%4.%5.%6."/>
      <w:lvlJc w:val="left"/>
      <w:pPr>
        <w:ind w:left="3456" w:hanging="936"/>
      </w:pPr>
    </w:lvl>
    <w:lvl w:ilvl="6">
      <w:start w:val="1"/>
      <w:numFmt w:val="decimal"/>
      <w:lvlText w:val="%1.%2.%3.%4.%5.%6.%7."/>
      <w:lvlJc w:val="left"/>
      <w:pPr>
        <w:ind w:left="3960" w:hanging="1080"/>
      </w:pPr>
    </w:lvl>
    <w:lvl w:ilvl="7">
      <w:start w:val="1"/>
      <w:numFmt w:val="decimal"/>
      <w:lvlText w:val="%1.%2.%3.%4.%5.%6.%7.%8."/>
      <w:lvlJc w:val="left"/>
      <w:pPr>
        <w:ind w:left="4464" w:hanging="1224"/>
      </w:pPr>
    </w:lvl>
    <w:lvl w:ilvl="8">
      <w:start w:val="1"/>
      <w:numFmt w:val="decimal"/>
      <w:lvlText w:val="%1.%2.%3.%4.%5.%6.%7.%8.%9."/>
      <w:lvlJc w:val="left"/>
      <w:pPr>
        <w:ind w:left="5040" w:hanging="1440"/>
      </w:pPr>
    </w:lvl>
  </w:abstractNum>
  <w:abstractNum w:abstractNumId="41" w15:restartNumberingAfterBreak="0">
    <w:nsid w:val="6C25199C"/>
    <w:multiLevelType w:val="hybridMultilevel"/>
    <w:tmpl w:val="9E8E2CF4"/>
    <w:lvl w:ilvl="0" w:tplc="0809000F">
      <w:start w:val="1"/>
      <w:numFmt w:val="decimal"/>
      <w:lvlText w:val="%1."/>
      <w:lvlJc w:val="left"/>
      <w:pPr>
        <w:ind w:left="2880" w:hanging="360"/>
      </w:pPr>
    </w:lvl>
    <w:lvl w:ilvl="1" w:tplc="08090019" w:tentative="1">
      <w:start w:val="1"/>
      <w:numFmt w:val="lowerLetter"/>
      <w:lvlText w:val="%2."/>
      <w:lvlJc w:val="left"/>
      <w:pPr>
        <w:ind w:left="3600" w:hanging="360"/>
      </w:pPr>
    </w:lvl>
    <w:lvl w:ilvl="2" w:tplc="0809001B" w:tentative="1">
      <w:start w:val="1"/>
      <w:numFmt w:val="lowerRoman"/>
      <w:lvlText w:val="%3."/>
      <w:lvlJc w:val="right"/>
      <w:pPr>
        <w:ind w:left="4320" w:hanging="180"/>
      </w:pPr>
    </w:lvl>
    <w:lvl w:ilvl="3" w:tplc="0809000F" w:tentative="1">
      <w:start w:val="1"/>
      <w:numFmt w:val="decimal"/>
      <w:lvlText w:val="%4."/>
      <w:lvlJc w:val="left"/>
      <w:pPr>
        <w:ind w:left="5040" w:hanging="360"/>
      </w:pPr>
    </w:lvl>
    <w:lvl w:ilvl="4" w:tplc="08090019" w:tentative="1">
      <w:start w:val="1"/>
      <w:numFmt w:val="lowerLetter"/>
      <w:lvlText w:val="%5."/>
      <w:lvlJc w:val="left"/>
      <w:pPr>
        <w:ind w:left="5760" w:hanging="360"/>
      </w:pPr>
    </w:lvl>
    <w:lvl w:ilvl="5" w:tplc="0809001B" w:tentative="1">
      <w:start w:val="1"/>
      <w:numFmt w:val="lowerRoman"/>
      <w:lvlText w:val="%6."/>
      <w:lvlJc w:val="right"/>
      <w:pPr>
        <w:ind w:left="6480" w:hanging="180"/>
      </w:pPr>
    </w:lvl>
    <w:lvl w:ilvl="6" w:tplc="0809000F" w:tentative="1">
      <w:start w:val="1"/>
      <w:numFmt w:val="decimal"/>
      <w:lvlText w:val="%7."/>
      <w:lvlJc w:val="left"/>
      <w:pPr>
        <w:ind w:left="7200" w:hanging="360"/>
      </w:pPr>
    </w:lvl>
    <w:lvl w:ilvl="7" w:tplc="08090019" w:tentative="1">
      <w:start w:val="1"/>
      <w:numFmt w:val="lowerLetter"/>
      <w:lvlText w:val="%8."/>
      <w:lvlJc w:val="left"/>
      <w:pPr>
        <w:ind w:left="7920" w:hanging="360"/>
      </w:pPr>
    </w:lvl>
    <w:lvl w:ilvl="8" w:tplc="0809001B" w:tentative="1">
      <w:start w:val="1"/>
      <w:numFmt w:val="lowerRoman"/>
      <w:lvlText w:val="%9."/>
      <w:lvlJc w:val="right"/>
      <w:pPr>
        <w:ind w:left="8640" w:hanging="180"/>
      </w:pPr>
    </w:lvl>
  </w:abstractNum>
  <w:abstractNum w:abstractNumId="42" w15:restartNumberingAfterBreak="0">
    <w:nsid w:val="704A28A5"/>
    <w:multiLevelType w:val="multilevel"/>
    <w:tmpl w:val="40FA24FC"/>
    <w:lvl w:ilvl="0">
      <w:start w:val="1"/>
      <w:numFmt w:val="decimal"/>
      <w:lvlText w:val="%1."/>
      <w:lvlJc w:val="left"/>
      <w:pPr>
        <w:ind w:left="1080" w:hanging="360"/>
      </w:pPr>
      <w:rPr>
        <w:rFonts w:hint="default"/>
      </w:rPr>
    </w:lvl>
    <w:lvl w:ilvl="1">
      <w:start w:val="1"/>
      <w:numFmt w:val="decimal"/>
      <w:lvlText w:val="%1.%2."/>
      <w:lvlJc w:val="left"/>
      <w:pPr>
        <w:ind w:left="1512" w:hanging="432"/>
      </w:pPr>
    </w:lvl>
    <w:lvl w:ilvl="2">
      <w:start w:val="1"/>
      <w:numFmt w:val="decimal"/>
      <w:lvlText w:val="%1.%2.%3."/>
      <w:lvlJc w:val="left"/>
      <w:pPr>
        <w:ind w:left="1944" w:hanging="504"/>
      </w:pPr>
    </w:lvl>
    <w:lvl w:ilvl="3">
      <w:start w:val="1"/>
      <w:numFmt w:val="decimal"/>
      <w:lvlText w:val="%1.%2.%3.%4."/>
      <w:lvlJc w:val="left"/>
      <w:pPr>
        <w:ind w:left="2448" w:hanging="648"/>
      </w:pPr>
    </w:lvl>
    <w:lvl w:ilvl="4">
      <w:start w:val="1"/>
      <w:numFmt w:val="decimal"/>
      <w:lvlText w:val="%1.%2.%3.%4.%5."/>
      <w:lvlJc w:val="left"/>
      <w:pPr>
        <w:ind w:left="2952" w:hanging="792"/>
      </w:pPr>
    </w:lvl>
    <w:lvl w:ilvl="5">
      <w:start w:val="1"/>
      <w:numFmt w:val="decimal"/>
      <w:lvlText w:val="%1.%2.%3.%4.%5.%6."/>
      <w:lvlJc w:val="left"/>
      <w:pPr>
        <w:ind w:left="3456" w:hanging="936"/>
      </w:pPr>
    </w:lvl>
    <w:lvl w:ilvl="6">
      <w:start w:val="1"/>
      <w:numFmt w:val="decimal"/>
      <w:lvlText w:val="%1.%2.%3.%4.%5.%6.%7."/>
      <w:lvlJc w:val="left"/>
      <w:pPr>
        <w:ind w:left="3960" w:hanging="1080"/>
      </w:pPr>
    </w:lvl>
    <w:lvl w:ilvl="7">
      <w:start w:val="1"/>
      <w:numFmt w:val="decimal"/>
      <w:lvlText w:val="%1.%2.%3.%4.%5.%6.%7.%8."/>
      <w:lvlJc w:val="left"/>
      <w:pPr>
        <w:ind w:left="4464" w:hanging="1224"/>
      </w:pPr>
    </w:lvl>
    <w:lvl w:ilvl="8">
      <w:start w:val="1"/>
      <w:numFmt w:val="decimal"/>
      <w:lvlText w:val="%1.%2.%3.%4.%5.%6.%7.%8.%9."/>
      <w:lvlJc w:val="left"/>
      <w:pPr>
        <w:ind w:left="5040" w:hanging="1440"/>
      </w:pPr>
    </w:lvl>
  </w:abstractNum>
  <w:abstractNum w:abstractNumId="43" w15:restartNumberingAfterBreak="0">
    <w:nsid w:val="708F5B34"/>
    <w:multiLevelType w:val="multilevel"/>
    <w:tmpl w:val="40FA24FC"/>
    <w:lvl w:ilvl="0">
      <w:start w:val="1"/>
      <w:numFmt w:val="decimal"/>
      <w:lvlText w:val="%1."/>
      <w:lvlJc w:val="left"/>
      <w:pPr>
        <w:ind w:left="1800" w:hanging="360"/>
      </w:pPr>
      <w:rPr>
        <w:rFonts w:hint="default"/>
      </w:rPr>
    </w:lvl>
    <w:lvl w:ilvl="1">
      <w:start w:val="1"/>
      <w:numFmt w:val="decimal"/>
      <w:lvlText w:val="%1.%2."/>
      <w:lvlJc w:val="left"/>
      <w:pPr>
        <w:ind w:left="2232" w:hanging="432"/>
      </w:pPr>
    </w:lvl>
    <w:lvl w:ilvl="2">
      <w:start w:val="1"/>
      <w:numFmt w:val="decimal"/>
      <w:lvlText w:val="%1.%2.%3."/>
      <w:lvlJc w:val="left"/>
      <w:pPr>
        <w:ind w:left="2664" w:hanging="504"/>
      </w:pPr>
    </w:lvl>
    <w:lvl w:ilvl="3">
      <w:start w:val="1"/>
      <w:numFmt w:val="decimal"/>
      <w:lvlText w:val="%1.%2.%3.%4."/>
      <w:lvlJc w:val="left"/>
      <w:pPr>
        <w:ind w:left="3168" w:hanging="648"/>
      </w:pPr>
    </w:lvl>
    <w:lvl w:ilvl="4">
      <w:start w:val="1"/>
      <w:numFmt w:val="decimal"/>
      <w:lvlText w:val="%1.%2.%3.%4.%5."/>
      <w:lvlJc w:val="left"/>
      <w:pPr>
        <w:ind w:left="3672" w:hanging="792"/>
      </w:pPr>
    </w:lvl>
    <w:lvl w:ilvl="5">
      <w:start w:val="1"/>
      <w:numFmt w:val="decimal"/>
      <w:lvlText w:val="%1.%2.%3.%4.%5.%6."/>
      <w:lvlJc w:val="left"/>
      <w:pPr>
        <w:ind w:left="4176" w:hanging="936"/>
      </w:pPr>
    </w:lvl>
    <w:lvl w:ilvl="6">
      <w:start w:val="1"/>
      <w:numFmt w:val="decimal"/>
      <w:lvlText w:val="%1.%2.%3.%4.%5.%6.%7."/>
      <w:lvlJc w:val="left"/>
      <w:pPr>
        <w:ind w:left="4680" w:hanging="1080"/>
      </w:pPr>
    </w:lvl>
    <w:lvl w:ilvl="7">
      <w:start w:val="1"/>
      <w:numFmt w:val="decimal"/>
      <w:lvlText w:val="%1.%2.%3.%4.%5.%6.%7.%8."/>
      <w:lvlJc w:val="left"/>
      <w:pPr>
        <w:ind w:left="5184" w:hanging="1224"/>
      </w:pPr>
    </w:lvl>
    <w:lvl w:ilvl="8">
      <w:start w:val="1"/>
      <w:numFmt w:val="decimal"/>
      <w:lvlText w:val="%1.%2.%3.%4.%5.%6.%7.%8.%9."/>
      <w:lvlJc w:val="left"/>
      <w:pPr>
        <w:ind w:left="5760" w:hanging="1440"/>
      </w:pPr>
    </w:lvl>
  </w:abstractNum>
  <w:abstractNum w:abstractNumId="44" w15:restartNumberingAfterBreak="0">
    <w:nsid w:val="711E5651"/>
    <w:multiLevelType w:val="hybridMultilevel"/>
    <w:tmpl w:val="56CC4F26"/>
    <w:lvl w:ilvl="0" w:tplc="08090011">
      <w:start w:val="1"/>
      <w:numFmt w:val="decimal"/>
      <w:lvlText w:val="%1)"/>
      <w:lvlJc w:val="left"/>
      <w:pPr>
        <w:ind w:left="360" w:hanging="360"/>
      </w:pPr>
      <w:rPr>
        <w:rFonts w:hint="default"/>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45" w15:restartNumberingAfterBreak="0">
    <w:nsid w:val="721D0373"/>
    <w:multiLevelType w:val="multilevel"/>
    <w:tmpl w:val="40FA24FC"/>
    <w:lvl w:ilvl="0">
      <w:start w:val="1"/>
      <w:numFmt w:val="decimal"/>
      <w:lvlText w:val="%1."/>
      <w:lvlJc w:val="left"/>
      <w:pPr>
        <w:ind w:left="1080" w:hanging="360"/>
      </w:pPr>
      <w:rPr>
        <w:rFonts w:hint="default"/>
      </w:rPr>
    </w:lvl>
    <w:lvl w:ilvl="1">
      <w:start w:val="1"/>
      <w:numFmt w:val="decimal"/>
      <w:lvlText w:val="%1.%2."/>
      <w:lvlJc w:val="left"/>
      <w:pPr>
        <w:ind w:left="1512" w:hanging="432"/>
      </w:pPr>
    </w:lvl>
    <w:lvl w:ilvl="2">
      <w:start w:val="1"/>
      <w:numFmt w:val="decimal"/>
      <w:lvlText w:val="%1.%2.%3."/>
      <w:lvlJc w:val="left"/>
      <w:pPr>
        <w:ind w:left="1944" w:hanging="504"/>
      </w:pPr>
    </w:lvl>
    <w:lvl w:ilvl="3">
      <w:start w:val="1"/>
      <w:numFmt w:val="decimal"/>
      <w:lvlText w:val="%1.%2.%3.%4."/>
      <w:lvlJc w:val="left"/>
      <w:pPr>
        <w:ind w:left="2448" w:hanging="648"/>
      </w:pPr>
    </w:lvl>
    <w:lvl w:ilvl="4">
      <w:start w:val="1"/>
      <w:numFmt w:val="decimal"/>
      <w:lvlText w:val="%1.%2.%3.%4.%5."/>
      <w:lvlJc w:val="left"/>
      <w:pPr>
        <w:ind w:left="2952" w:hanging="792"/>
      </w:pPr>
    </w:lvl>
    <w:lvl w:ilvl="5">
      <w:start w:val="1"/>
      <w:numFmt w:val="decimal"/>
      <w:lvlText w:val="%1.%2.%3.%4.%5.%6."/>
      <w:lvlJc w:val="left"/>
      <w:pPr>
        <w:ind w:left="3456" w:hanging="936"/>
      </w:pPr>
    </w:lvl>
    <w:lvl w:ilvl="6">
      <w:start w:val="1"/>
      <w:numFmt w:val="decimal"/>
      <w:lvlText w:val="%1.%2.%3.%4.%5.%6.%7."/>
      <w:lvlJc w:val="left"/>
      <w:pPr>
        <w:ind w:left="3960" w:hanging="1080"/>
      </w:pPr>
    </w:lvl>
    <w:lvl w:ilvl="7">
      <w:start w:val="1"/>
      <w:numFmt w:val="decimal"/>
      <w:lvlText w:val="%1.%2.%3.%4.%5.%6.%7.%8."/>
      <w:lvlJc w:val="left"/>
      <w:pPr>
        <w:ind w:left="4464" w:hanging="1224"/>
      </w:pPr>
    </w:lvl>
    <w:lvl w:ilvl="8">
      <w:start w:val="1"/>
      <w:numFmt w:val="decimal"/>
      <w:lvlText w:val="%1.%2.%3.%4.%5.%6.%7.%8.%9."/>
      <w:lvlJc w:val="left"/>
      <w:pPr>
        <w:ind w:left="5040" w:hanging="1440"/>
      </w:pPr>
    </w:lvl>
  </w:abstractNum>
  <w:abstractNum w:abstractNumId="46" w15:restartNumberingAfterBreak="0">
    <w:nsid w:val="7DE50AEB"/>
    <w:multiLevelType w:val="multilevel"/>
    <w:tmpl w:val="40FA24FC"/>
    <w:lvl w:ilvl="0">
      <w:start w:val="1"/>
      <w:numFmt w:val="decimal"/>
      <w:lvlText w:val="%1."/>
      <w:lvlJc w:val="left"/>
      <w:pPr>
        <w:ind w:left="1080" w:hanging="360"/>
      </w:pPr>
      <w:rPr>
        <w:rFonts w:hint="default"/>
      </w:rPr>
    </w:lvl>
    <w:lvl w:ilvl="1">
      <w:start w:val="1"/>
      <w:numFmt w:val="decimal"/>
      <w:lvlText w:val="%1.%2."/>
      <w:lvlJc w:val="left"/>
      <w:pPr>
        <w:ind w:left="1512" w:hanging="432"/>
      </w:pPr>
    </w:lvl>
    <w:lvl w:ilvl="2">
      <w:start w:val="1"/>
      <w:numFmt w:val="decimal"/>
      <w:lvlText w:val="%1.%2.%3."/>
      <w:lvlJc w:val="left"/>
      <w:pPr>
        <w:ind w:left="1944" w:hanging="504"/>
      </w:pPr>
    </w:lvl>
    <w:lvl w:ilvl="3">
      <w:start w:val="1"/>
      <w:numFmt w:val="decimal"/>
      <w:lvlText w:val="%1.%2.%3.%4."/>
      <w:lvlJc w:val="left"/>
      <w:pPr>
        <w:ind w:left="2448" w:hanging="648"/>
      </w:pPr>
    </w:lvl>
    <w:lvl w:ilvl="4">
      <w:start w:val="1"/>
      <w:numFmt w:val="decimal"/>
      <w:lvlText w:val="%1.%2.%3.%4.%5."/>
      <w:lvlJc w:val="left"/>
      <w:pPr>
        <w:ind w:left="2952" w:hanging="792"/>
      </w:pPr>
    </w:lvl>
    <w:lvl w:ilvl="5">
      <w:start w:val="1"/>
      <w:numFmt w:val="decimal"/>
      <w:lvlText w:val="%1.%2.%3.%4.%5.%6."/>
      <w:lvlJc w:val="left"/>
      <w:pPr>
        <w:ind w:left="3456" w:hanging="936"/>
      </w:pPr>
    </w:lvl>
    <w:lvl w:ilvl="6">
      <w:start w:val="1"/>
      <w:numFmt w:val="decimal"/>
      <w:lvlText w:val="%1.%2.%3.%4.%5.%6.%7."/>
      <w:lvlJc w:val="left"/>
      <w:pPr>
        <w:ind w:left="3960" w:hanging="1080"/>
      </w:pPr>
    </w:lvl>
    <w:lvl w:ilvl="7">
      <w:start w:val="1"/>
      <w:numFmt w:val="decimal"/>
      <w:lvlText w:val="%1.%2.%3.%4.%5.%6.%7.%8."/>
      <w:lvlJc w:val="left"/>
      <w:pPr>
        <w:ind w:left="4464" w:hanging="1224"/>
      </w:pPr>
    </w:lvl>
    <w:lvl w:ilvl="8">
      <w:start w:val="1"/>
      <w:numFmt w:val="decimal"/>
      <w:lvlText w:val="%1.%2.%3.%4.%5.%6.%7.%8.%9."/>
      <w:lvlJc w:val="left"/>
      <w:pPr>
        <w:ind w:left="5040" w:hanging="1440"/>
      </w:pPr>
    </w:lvl>
  </w:abstractNum>
  <w:num w:numId="1" w16cid:durableId="846989561">
    <w:abstractNumId w:val="10"/>
  </w:num>
  <w:num w:numId="2" w16cid:durableId="847669886">
    <w:abstractNumId w:val="13"/>
  </w:num>
  <w:num w:numId="3" w16cid:durableId="1708868311">
    <w:abstractNumId w:val="17"/>
  </w:num>
  <w:num w:numId="4" w16cid:durableId="306906874">
    <w:abstractNumId w:val="28"/>
  </w:num>
  <w:num w:numId="5" w16cid:durableId="985821234">
    <w:abstractNumId w:val="9"/>
  </w:num>
  <w:num w:numId="6" w16cid:durableId="681472278">
    <w:abstractNumId w:val="45"/>
  </w:num>
  <w:num w:numId="7" w16cid:durableId="564149938">
    <w:abstractNumId w:val="5"/>
  </w:num>
  <w:num w:numId="8" w16cid:durableId="998508146">
    <w:abstractNumId w:val="11"/>
  </w:num>
  <w:num w:numId="9" w16cid:durableId="123625677">
    <w:abstractNumId w:val="42"/>
  </w:num>
  <w:num w:numId="10" w16cid:durableId="1866021782">
    <w:abstractNumId w:val="19"/>
  </w:num>
  <w:num w:numId="11" w16cid:durableId="619188756">
    <w:abstractNumId w:val="14"/>
  </w:num>
  <w:num w:numId="12" w16cid:durableId="267348104">
    <w:abstractNumId w:val="4"/>
  </w:num>
  <w:num w:numId="13" w16cid:durableId="93286779">
    <w:abstractNumId w:val="2"/>
  </w:num>
  <w:num w:numId="14" w16cid:durableId="55595296">
    <w:abstractNumId w:val="44"/>
  </w:num>
  <w:num w:numId="15" w16cid:durableId="473569944">
    <w:abstractNumId w:val="3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6" w16cid:durableId="1599294305">
    <w:abstractNumId w:val="22"/>
  </w:num>
  <w:num w:numId="17" w16cid:durableId="1840467196">
    <w:abstractNumId w:val="3"/>
  </w:num>
  <w:num w:numId="18" w16cid:durableId="1967740022">
    <w:abstractNumId w:val="0"/>
  </w:num>
  <w:num w:numId="19" w16cid:durableId="1841390046">
    <w:abstractNumId w:val="23"/>
  </w:num>
  <w:num w:numId="20" w16cid:durableId="229001479">
    <w:abstractNumId w:val="34"/>
  </w:num>
  <w:num w:numId="21" w16cid:durableId="103574215">
    <w:abstractNumId w:val="36"/>
  </w:num>
  <w:num w:numId="22" w16cid:durableId="1146899354">
    <w:abstractNumId w:val="8"/>
  </w:num>
  <w:num w:numId="23" w16cid:durableId="1470397740">
    <w:abstractNumId w:val="39"/>
  </w:num>
  <w:num w:numId="24" w16cid:durableId="172377652">
    <w:abstractNumId w:val="41"/>
  </w:num>
  <w:num w:numId="25" w16cid:durableId="2066681207">
    <w:abstractNumId w:val="32"/>
  </w:num>
  <w:num w:numId="26" w16cid:durableId="810099522">
    <w:abstractNumId w:val="35"/>
  </w:num>
  <w:num w:numId="27" w16cid:durableId="111705390">
    <w:abstractNumId w:val="12"/>
  </w:num>
  <w:num w:numId="28" w16cid:durableId="1408964854">
    <w:abstractNumId w:val="38"/>
  </w:num>
  <w:num w:numId="29" w16cid:durableId="4720587">
    <w:abstractNumId w:val="21"/>
  </w:num>
  <w:num w:numId="30" w16cid:durableId="1377855571">
    <w:abstractNumId w:val="7"/>
  </w:num>
  <w:num w:numId="31" w16cid:durableId="1394082945">
    <w:abstractNumId w:val="33"/>
  </w:num>
  <w:num w:numId="32" w16cid:durableId="1836532230">
    <w:abstractNumId w:val="1"/>
  </w:num>
  <w:num w:numId="33" w16cid:durableId="1509174294">
    <w:abstractNumId w:val="27"/>
  </w:num>
  <w:num w:numId="34" w16cid:durableId="1120489938">
    <w:abstractNumId w:val="40"/>
  </w:num>
  <w:num w:numId="35" w16cid:durableId="984235479">
    <w:abstractNumId w:val="18"/>
  </w:num>
  <w:num w:numId="36" w16cid:durableId="118301910">
    <w:abstractNumId w:val="20"/>
  </w:num>
  <w:num w:numId="37" w16cid:durableId="2112041021">
    <w:abstractNumId w:val="46"/>
  </w:num>
  <w:num w:numId="38" w16cid:durableId="409040013">
    <w:abstractNumId w:val="6"/>
  </w:num>
  <w:num w:numId="39" w16cid:durableId="182861880">
    <w:abstractNumId w:val="43"/>
  </w:num>
  <w:num w:numId="40" w16cid:durableId="1397705679">
    <w:abstractNumId w:val="25"/>
  </w:num>
  <w:num w:numId="41" w16cid:durableId="1556158424">
    <w:abstractNumId w:val="26"/>
  </w:num>
  <w:num w:numId="42" w16cid:durableId="1133670048">
    <w:abstractNumId w:val="30"/>
  </w:num>
  <w:num w:numId="43" w16cid:durableId="745299536">
    <w:abstractNumId w:val="37"/>
  </w:num>
  <w:num w:numId="44" w16cid:durableId="1190340580">
    <w:abstractNumId w:val="16"/>
  </w:num>
  <w:num w:numId="45" w16cid:durableId="976184004">
    <w:abstractNumId w:val="15"/>
  </w:num>
  <w:num w:numId="46" w16cid:durableId="1603799237">
    <w:abstractNumId w:val="24"/>
  </w:num>
  <w:num w:numId="47" w16cid:durableId="1440372116">
    <w:abstractNumId w:val="29"/>
  </w:num>
  <w:numIdMacAtCleanup w:val="4"/>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80"/>
  <w:displayBackgroundShape/>
  <w:defaultTabStop w:val="720"/>
  <w:drawingGridHorizontalSpacing w:val="110"/>
  <w:displayHorizontalDrawingGridEvery w:val="2"/>
  <w:characterSpacingControl w:val="doNotCompress"/>
  <w:hdrShapeDefaults>
    <o:shapedefaults v:ext="edit" spidmax="2050"/>
  </w:hdrShapeDefaults>
  <w:footnotePr>
    <w:footnote w:id="-1"/>
    <w:footnote w:id="0"/>
    <w:footnote w:id="1"/>
  </w:footnotePr>
  <w:endnotePr>
    <w:endnote w:id="-1"/>
    <w:endnote w:id="0"/>
    <w:endnote w:id="1"/>
  </w:endnotePr>
  <w:compat>
    <w:compatSetting w:name="compatibilityMode" w:uri="http://schemas.microsoft.com/office/word" w:val="12"/>
    <w:compatSetting w:name="useWord2013TrackBottomHyphenation" w:uri="http://schemas.microsoft.com/office/word" w:val="1"/>
  </w:compat>
  <w:rsids>
    <w:rsidRoot w:val="005A72D3"/>
    <w:rsid w:val="00000205"/>
    <w:rsid w:val="00000531"/>
    <w:rsid w:val="00000A32"/>
    <w:rsid w:val="00000A59"/>
    <w:rsid w:val="00001472"/>
    <w:rsid w:val="00001690"/>
    <w:rsid w:val="00001A48"/>
    <w:rsid w:val="00001E18"/>
    <w:rsid w:val="0000266F"/>
    <w:rsid w:val="00002D5C"/>
    <w:rsid w:val="0000307B"/>
    <w:rsid w:val="0000341C"/>
    <w:rsid w:val="000035B7"/>
    <w:rsid w:val="0000374E"/>
    <w:rsid w:val="00004035"/>
    <w:rsid w:val="00004070"/>
    <w:rsid w:val="00004565"/>
    <w:rsid w:val="000046EC"/>
    <w:rsid w:val="000058AD"/>
    <w:rsid w:val="0000720D"/>
    <w:rsid w:val="00010C58"/>
    <w:rsid w:val="00010CF8"/>
    <w:rsid w:val="00010F1A"/>
    <w:rsid w:val="000110B0"/>
    <w:rsid w:val="00011C08"/>
    <w:rsid w:val="00012DAE"/>
    <w:rsid w:val="0001300D"/>
    <w:rsid w:val="000145DD"/>
    <w:rsid w:val="00014F03"/>
    <w:rsid w:val="00014F59"/>
    <w:rsid w:val="00014FC6"/>
    <w:rsid w:val="00015211"/>
    <w:rsid w:val="00015C4A"/>
    <w:rsid w:val="00015D35"/>
    <w:rsid w:val="000163AD"/>
    <w:rsid w:val="0001792A"/>
    <w:rsid w:val="000200BC"/>
    <w:rsid w:val="0002036A"/>
    <w:rsid w:val="00020D44"/>
    <w:rsid w:val="00021851"/>
    <w:rsid w:val="00021FB3"/>
    <w:rsid w:val="0002274C"/>
    <w:rsid w:val="00022971"/>
    <w:rsid w:val="00022F01"/>
    <w:rsid w:val="00023389"/>
    <w:rsid w:val="000239EA"/>
    <w:rsid w:val="00023A95"/>
    <w:rsid w:val="00023B9A"/>
    <w:rsid w:val="00023DEB"/>
    <w:rsid w:val="00024087"/>
    <w:rsid w:val="00024140"/>
    <w:rsid w:val="00024758"/>
    <w:rsid w:val="000248B7"/>
    <w:rsid w:val="00024C79"/>
    <w:rsid w:val="00024F3B"/>
    <w:rsid w:val="00025E90"/>
    <w:rsid w:val="00026537"/>
    <w:rsid w:val="00026822"/>
    <w:rsid w:val="00026C3B"/>
    <w:rsid w:val="00026D1D"/>
    <w:rsid w:val="0002768C"/>
    <w:rsid w:val="0002771C"/>
    <w:rsid w:val="000305E3"/>
    <w:rsid w:val="000307FF"/>
    <w:rsid w:val="0003091B"/>
    <w:rsid w:val="00030926"/>
    <w:rsid w:val="00031274"/>
    <w:rsid w:val="00031BEE"/>
    <w:rsid w:val="00031E1D"/>
    <w:rsid w:val="00032126"/>
    <w:rsid w:val="0003297C"/>
    <w:rsid w:val="00032AF8"/>
    <w:rsid w:val="00032BAF"/>
    <w:rsid w:val="00033572"/>
    <w:rsid w:val="000336D4"/>
    <w:rsid w:val="00033AA6"/>
    <w:rsid w:val="00033D1D"/>
    <w:rsid w:val="00033E58"/>
    <w:rsid w:val="000344A5"/>
    <w:rsid w:val="00034A5C"/>
    <w:rsid w:val="00035253"/>
    <w:rsid w:val="00035A56"/>
    <w:rsid w:val="00035EFE"/>
    <w:rsid w:val="0003611D"/>
    <w:rsid w:val="000366CC"/>
    <w:rsid w:val="000369E6"/>
    <w:rsid w:val="00036D7B"/>
    <w:rsid w:val="00036D92"/>
    <w:rsid w:val="000370C0"/>
    <w:rsid w:val="000402CF"/>
    <w:rsid w:val="000405F9"/>
    <w:rsid w:val="00041F24"/>
    <w:rsid w:val="000422C7"/>
    <w:rsid w:val="00042716"/>
    <w:rsid w:val="0004282D"/>
    <w:rsid w:val="00042C3A"/>
    <w:rsid w:val="0004321B"/>
    <w:rsid w:val="000433CC"/>
    <w:rsid w:val="00043543"/>
    <w:rsid w:val="00043E2E"/>
    <w:rsid w:val="00043EA3"/>
    <w:rsid w:val="00045324"/>
    <w:rsid w:val="000458E0"/>
    <w:rsid w:val="00045DA9"/>
    <w:rsid w:val="00046937"/>
    <w:rsid w:val="0004715D"/>
    <w:rsid w:val="000473E9"/>
    <w:rsid w:val="00047ABB"/>
    <w:rsid w:val="00047C9A"/>
    <w:rsid w:val="0005041A"/>
    <w:rsid w:val="000509BD"/>
    <w:rsid w:val="00050DB6"/>
    <w:rsid w:val="000513EA"/>
    <w:rsid w:val="000517B3"/>
    <w:rsid w:val="00051803"/>
    <w:rsid w:val="0005195A"/>
    <w:rsid w:val="00054419"/>
    <w:rsid w:val="00054909"/>
    <w:rsid w:val="00054CD0"/>
    <w:rsid w:val="0005527C"/>
    <w:rsid w:val="000556F4"/>
    <w:rsid w:val="00055938"/>
    <w:rsid w:val="000559EC"/>
    <w:rsid w:val="00055ADF"/>
    <w:rsid w:val="00055EE2"/>
    <w:rsid w:val="0005654D"/>
    <w:rsid w:val="00057394"/>
    <w:rsid w:val="00057ABC"/>
    <w:rsid w:val="00057C92"/>
    <w:rsid w:val="00057E64"/>
    <w:rsid w:val="00060674"/>
    <w:rsid w:val="00060F11"/>
    <w:rsid w:val="00062678"/>
    <w:rsid w:val="00064025"/>
    <w:rsid w:val="0006491F"/>
    <w:rsid w:val="00064EEF"/>
    <w:rsid w:val="00064FCB"/>
    <w:rsid w:val="00065ACB"/>
    <w:rsid w:val="00065FA7"/>
    <w:rsid w:val="00066127"/>
    <w:rsid w:val="000669B4"/>
    <w:rsid w:val="00067C93"/>
    <w:rsid w:val="00070AAE"/>
    <w:rsid w:val="00070D06"/>
    <w:rsid w:val="000717E9"/>
    <w:rsid w:val="00071D30"/>
    <w:rsid w:val="00071D3B"/>
    <w:rsid w:val="00071DCE"/>
    <w:rsid w:val="00073223"/>
    <w:rsid w:val="00073E5C"/>
    <w:rsid w:val="00074225"/>
    <w:rsid w:val="00074244"/>
    <w:rsid w:val="00074780"/>
    <w:rsid w:val="00074968"/>
    <w:rsid w:val="0007498C"/>
    <w:rsid w:val="00075A68"/>
    <w:rsid w:val="00075B29"/>
    <w:rsid w:val="000760C2"/>
    <w:rsid w:val="000767D1"/>
    <w:rsid w:val="00076850"/>
    <w:rsid w:val="00076967"/>
    <w:rsid w:val="00076B6C"/>
    <w:rsid w:val="0007761D"/>
    <w:rsid w:val="0008015E"/>
    <w:rsid w:val="00080CB3"/>
    <w:rsid w:val="00081481"/>
    <w:rsid w:val="000822AD"/>
    <w:rsid w:val="0008290A"/>
    <w:rsid w:val="00082A4C"/>
    <w:rsid w:val="000830EC"/>
    <w:rsid w:val="00083484"/>
    <w:rsid w:val="00083C3F"/>
    <w:rsid w:val="00083C8B"/>
    <w:rsid w:val="00083DF2"/>
    <w:rsid w:val="0008499E"/>
    <w:rsid w:val="00084B27"/>
    <w:rsid w:val="00084CA3"/>
    <w:rsid w:val="00084CFD"/>
    <w:rsid w:val="00084F5F"/>
    <w:rsid w:val="0008571D"/>
    <w:rsid w:val="00085BDD"/>
    <w:rsid w:val="00085C13"/>
    <w:rsid w:val="00085F93"/>
    <w:rsid w:val="0008612E"/>
    <w:rsid w:val="000861AB"/>
    <w:rsid w:val="000865F2"/>
    <w:rsid w:val="000867D8"/>
    <w:rsid w:val="00086A3D"/>
    <w:rsid w:val="00087047"/>
    <w:rsid w:val="00087BAD"/>
    <w:rsid w:val="00087FDE"/>
    <w:rsid w:val="0009071B"/>
    <w:rsid w:val="00090DCE"/>
    <w:rsid w:val="00091C00"/>
    <w:rsid w:val="00091D64"/>
    <w:rsid w:val="00091F83"/>
    <w:rsid w:val="00091FAD"/>
    <w:rsid w:val="00092327"/>
    <w:rsid w:val="0009262C"/>
    <w:rsid w:val="000928EE"/>
    <w:rsid w:val="00092F31"/>
    <w:rsid w:val="000940A0"/>
    <w:rsid w:val="0009433D"/>
    <w:rsid w:val="000947CE"/>
    <w:rsid w:val="00094C1B"/>
    <w:rsid w:val="000954E8"/>
    <w:rsid w:val="0009551F"/>
    <w:rsid w:val="00095D72"/>
    <w:rsid w:val="000964FC"/>
    <w:rsid w:val="0009655D"/>
    <w:rsid w:val="000971B4"/>
    <w:rsid w:val="00097478"/>
    <w:rsid w:val="00097994"/>
    <w:rsid w:val="000A0025"/>
    <w:rsid w:val="000A00C4"/>
    <w:rsid w:val="000A0FDD"/>
    <w:rsid w:val="000A14FA"/>
    <w:rsid w:val="000A237C"/>
    <w:rsid w:val="000A2C3D"/>
    <w:rsid w:val="000A30DD"/>
    <w:rsid w:val="000A34D9"/>
    <w:rsid w:val="000A36B9"/>
    <w:rsid w:val="000A421D"/>
    <w:rsid w:val="000A4375"/>
    <w:rsid w:val="000A4C07"/>
    <w:rsid w:val="000A5452"/>
    <w:rsid w:val="000A5A88"/>
    <w:rsid w:val="000A628A"/>
    <w:rsid w:val="000A6352"/>
    <w:rsid w:val="000A6545"/>
    <w:rsid w:val="000A68EE"/>
    <w:rsid w:val="000A6E73"/>
    <w:rsid w:val="000A6E9B"/>
    <w:rsid w:val="000A717A"/>
    <w:rsid w:val="000A727A"/>
    <w:rsid w:val="000A754D"/>
    <w:rsid w:val="000B07DF"/>
    <w:rsid w:val="000B0C45"/>
    <w:rsid w:val="000B1443"/>
    <w:rsid w:val="000B14CD"/>
    <w:rsid w:val="000B2037"/>
    <w:rsid w:val="000B2863"/>
    <w:rsid w:val="000B3830"/>
    <w:rsid w:val="000B3E31"/>
    <w:rsid w:val="000B3F9B"/>
    <w:rsid w:val="000B4027"/>
    <w:rsid w:val="000B4176"/>
    <w:rsid w:val="000B44CF"/>
    <w:rsid w:val="000B4CA4"/>
    <w:rsid w:val="000B4E40"/>
    <w:rsid w:val="000B50F2"/>
    <w:rsid w:val="000B688F"/>
    <w:rsid w:val="000B7282"/>
    <w:rsid w:val="000B76F1"/>
    <w:rsid w:val="000B7716"/>
    <w:rsid w:val="000C024E"/>
    <w:rsid w:val="000C17BA"/>
    <w:rsid w:val="000C2885"/>
    <w:rsid w:val="000C2BF6"/>
    <w:rsid w:val="000C2E28"/>
    <w:rsid w:val="000C326E"/>
    <w:rsid w:val="000C3B12"/>
    <w:rsid w:val="000C436A"/>
    <w:rsid w:val="000C44E2"/>
    <w:rsid w:val="000C46E8"/>
    <w:rsid w:val="000C4F35"/>
    <w:rsid w:val="000C5067"/>
    <w:rsid w:val="000C6124"/>
    <w:rsid w:val="000C6E9C"/>
    <w:rsid w:val="000C772C"/>
    <w:rsid w:val="000C7E71"/>
    <w:rsid w:val="000D0187"/>
    <w:rsid w:val="000D1457"/>
    <w:rsid w:val="000D2779"/>
    <w:rsid w:val="000D2ABE"/>
    <w:rsid w:val="000D3DF8"/>
    <w:rsid w:val="000D48C1"/>
    <w:rsid w:val="000D4A7C"/>
    <w:rsid w:val="000D4ABE"/>
    <w:rsid w:val="000D4B0B"/>
    <w:rsid w:val="000D4B5A"/>
    <w:rsid w:val="000D567A"/>
    <w:rsid w:val="000D5753"/>
    <w:rsid w:val="000D5A06"/>
    <w:rsid w:val="000D5E20"/>
    <w:rsid w:val="000D639D"/>
    <w:rsid w:val="000D6F07"/>
    <w:rsid w:val="000D71DF"/>
    <w:rsid w:val="000D77F5"/>
    <w:rsid w:val="000D7BD9"/>
    <w:rsid w:val="000D7C62"/>
    <w:rsid w:val="000D7FC6"/>
    <w:rsid w:val="000E290F"/>
    <w:rsid w:val="000E307A"/>
    <w:rsid w:val="000E3677"/>
    <w:rsid w:val="000E403B"/>
    <w:rsid w:val="000E4231"/>
    <w:rsid w:val="000E42ED"/>
    <w:rsid w:val="000E4506"/>
    <w:rsid w:val="000E4705"/>
    <w:rsid w:val="000E48C0"/>
    <w:rsid w:val="000E4B43"/>
    <w:rsid w:val="000E4C44"/>
    <w:rsid w:val="000E537B"/>
    <w:rsid w:val="000E54E2"/>
    <w:rsid w:val="000E57B2"/>
    <w:rsid w:val="000E62B9"/>
    <w:rsid w:val="000E632F"/>
    <w:rsid w:val="000E7DBA"/>
    <w:rsid w:val="000F0104"/>
    <w:rsid w:val="000F0F2F"/>
    <w:rsid w:val="000F13F3"/>
    <w:rsid w:val="000F14C3"/>
    <w:rsid w:val="000F1607"/>
    <w:rsid w:val="000F1D8C"/>
    <w:rsid w:val="000F1F28"/>
    <w:rsid w:val="000F2693"/>
    <w:rsid w:val="000F26B1"/>
    <w:rsid w:val="000F2C99"/>
    <w:rsid w:val="000F333E"/>
    <w:rsid w:val="000F34A6"/>
    <w:rsid w:val="000F3912"/>
    <w:rsid w:val="000F3B63"/>
    <w:rsid w:val="000F3C80"/>
    <w:rsid w:val="000F52AE"/>
    <w:rsid w:val="000F575C"/>
    <w:rsid w:val="000F58D9"/>
    <w:rsid w:val="000F5E71"/>
    <w:rsid w:val="000F63ED"/>
    <w:rsid w:val="000F661E"/>
    <w:rsid w:val="000F69C2"/>
    <w:rsid w:val="000F6D36"/>
    <w:rsid w:val="000F74AF"/>
    <w:rsid w:val="000F750F"/>
    <w:rsid w:val="000F7518"/>
    <w:rsid w:val="000F78FE"/>
    <w:rsid w:val="000F7EA1"/>
    <w:rsid w:val="00100005"/>
    <w:rsid w:val="00100AB6"/>
    <w:rsid w:val="00100D54"/>
    <w:rsid w:val="00101D67"/>
    <w:rsid w:val="00101F41"/>
    <w:rsid w:val="001025C8"/>
    <w:rsid w:val="00102622"/>
    <w:rsid w:val="00102894"/>
    <w:rsid w:val="00102E03"/>
    <w:rsid w:val="001037B7"/>
    <w:rsid w:val="001045CA"/>
    <w:rsid w:val="00104BF0"/>
    <w:rsid w:val="00105728"/>
    <w:rsid w:val="001060D2"/>
    <w:rsid w:val="00106127"/>
    <w:rsid w:val="00106924"/>
    <w:rsid w:val="00106A03"/>
    <w:rsid w:val="00106C7B"/>
    <w:rsid w:val="00106F24"/>
    <w:rsid w:val="001077EE"/>
    <w:rsid w:val="00107A79"/>
    <w:rsid w:val="00107FD8"/>
    <w:rsid w:val="0011028E"/>
    <w:rsid w:val="0011042C"/>
    <w:rsid w:val="00110A87"/>
    <w:rsid w:val="00110F8F"/>
    <w:rsid w:val="001123E2"/>
    <w:rsid w:val="001123E3"/>
    <w:rsid w:val="00112407"/>
    <w:rsid w:val="00112BF4"/>
    <w:rsid w:val="001130E0"/>
    <w:rsid w:val="001136E7"/>
    <w:rsid w:val="001143A2"/>
    <w:rsid w:val="00114866"/>
    <w:rsid w:val="00114D71"/>
    <w:rsid w:val="00115F94"/>
    <w:rsid w:val="001167F7"/>
    <w:rsid w:val="00116A11"/>
    <w:rsid w:val="00116AE8"/>
    <w:rsid w:val="00116CCD"/>
    <w:rsid w:val="00116DF9"/>
    <w:rsid w:val="001206AF"/>
    <w:rsid w:val="001207E3"/>
    <w:rsid w:val="00120B77"/>
    <w:rsid w:val="00121240"/>
    <w:rsid w:val="00122974"/>
    <w:rsid w:val="00123275"/>
    <w:rsid w:val="001239C8"/>
    <w:rsid w:val="00123CAD"/>
    <w:rsid w:val="00123CD5"/>
    <w:rsid w:val="001248D2"/>
    <w:rsid w:val="0012493F"/>
    <w:rsid w:val="00124AD5"/>
    <w:rsid w:val="00125266"/>
    <w:rsid w:val="00125B45"/>
    <w:rsid w:val="00126D6A"/>
    <w:rsid w:val="00126D6D"/>
    <w:rsid w:val="00127128"/>
    <w:rsid w:val="001271C8"/>
    <w:rsid w:val="001271DA"/>
    <w:rsid w:val="00127F4F"/>
    <w:rsid w:val="0013078E"/>
    <w:rsid w:val="00130C7F"/>
    <w:rsid w:val="00131306"/>
    <w:rsid w:val="001317AF"/>
    <w:rsid w:val="00131D06"/>
    <w:rsid w:val="001321B0"/>
    <w:rsid w:val="00132349"/>
    <w:rsid w:val="00132705"/>
    <w:rsid w:val="0013411F"/>
    <w:rsid w:val="001342C0"/>
    <w:rsid w:val="001346B5"/>
    <w:rsid w:val="001357C7"/>
    <w:rsid w:val="00135995"/>
    <w:rsid w:val="00136AA8"/>
    <w:rsid w:val="001371EC"/>
    <w:rsid w:val="00137DA8"/>
    <w:rsid w:val="00140838"/>
    <w:rsid w:val="00141164"/>
    <w:rsid w:val="001413ED"/>
    <w:rsid w:val="001417C9"/>
    <w:rsid w:val="001425D5"/>
    <w:rsid w:val="00142A87"/>
    <w:rsid w:val="00142CD1"/>
    <w:rsid w:val="00142F5A"/>
    <w:rsid w:val="001430B9"/>
    <w:rsid w:val="001432B6"/>
    <w:rsid w:val="001434D5"/>
    <w:rsid w:val="0014382A"/>
    <w:rsid w:val="001441B0"/>
    <w:rsid w:val="001441BA"/>
    <w:rsid w:val="001445DF"/>
    <w:rsid w:val="00144623"/>
    <w:rsid w:val="001450C0"/>
    <w:rsid w:val="00145163"/>
    <w:rsid w:val="001460AF"/>
    <w:rsid w:val="001465DA"/>
    <w:rsid w:val="0014685D"/>
    <w:rsid w:val="00146BBF"/>
    <w:rsid w:val="00147C2D"/>
    <w:rsid w:val="001501FB"/>
    <w:rsid w:val="00150CB6"/>
    <w:rsid w:val="00150FD3"/>
    <w:rsid w:val="00151512"/>
    <w:rsid w:val="00151877"/>
    <w:rsid w:val="0015226A"/>
    <w:rsid w:val="001524EF"/>
    <w:rsid w:val="001537A4"/>
    <w:rsid w:val="00153AD4"/>
    <w:rsid w:val="00154BB4"/>
    <w:rsid w:val="0015504B"/>
    <w:rsid w:val="00155201"/>
    <w:rsid w:val="00155416"/>
    <w:rsid w:val="001557C6"/>
    <w:rsid w:val="00155A4A"/>
    <w:rsid w:val="00155FD8"/>
    <w:rsid w:val="00156C41"/>
    <w:rsid w:val="00157138"/>
    <w:rsid w:val="0015719F"/>
    <w:rsid w:val="00157415"/>
    <w:rsid w:val="00157AAC"/>
    <w:rsid w:val="0016032C"/>
    <w:rsid w:val="001608E9"/>
    <w:rsid w:val="00161572"/>
    <w:rsid w:val="0016160C"/>
    <w:rsid w:val="00161E39"/>
    <w:rsid w:val="001622FB"/>
    <w:rsid w:val="00162B7F"/>
    <w:rsid w:val="00162BF7"/>
    <w:rsid w:val="0016336A"/>
    <w:rsid w:val="00163652"/>
    <w:rsid w:val="0016391A"/>
    <w:rsid w:val="00163990"/>
    <w:rsid w:val="001648D3"/>
    <w:rsid w:val="00164A81"/>
    <w:rsid w:val="00165521"/>
    <w:rsid w:val="00165E8E"/>
    <w:rsid w:val="00166F9C"/>
    <w:rsid w:val="00167841"/>
    <w:rsid w:val="0016792E"/>
    <w:rsid w:val="001700FC"/>
    <w:rsid w:val="001715DA"/>
    <w:rsid w:val="00171A37"/>
    <w:rsid w:val="00172613"/>
    <w:rsid w:val="00172A3B"/>
    <w:rsid w:val="00173436"/>
    <w:rsid w:val="00173927"/>
    <w:rsid w:val="00173987"/>
    <w:rsid w:val="00173CD4"/>
    <w:rsid w:val="00173ECA"/>
    <w:rsid w:val="00174031"/>
    <w:rsid w:val="001741B9"/>
    <w:rsid w:val="001745EE"/>
    <w:rsid w:val="0017469B"/>
    <w:rsid w:val="00174D01"/>
    <w:rsid w:val="00175758"/>
    <w:rsid w:val="00175AAA"/>
    <w:rsid w:val="001760B1"/>
    <w:rsid w:val="001761D4"/>
    <w:rsid w:val="001761EF"/>
    <w:rsid w:val="00177249"/>
    <w:rsid w:val="001804F9"/>
    <w:rsid w:val="00180505"/>
    <w:rsid w:val="00180A6B"/>
    <w:rsid w:val="001816F1"/>
    <w:rsid w:val="001817CA"/>
    <w:rsid w:val="00181878"/>
    <w:rsid w:val="00181CC7"/>
    <w:rsid w:val="0018275C"/>
    <w:rsid w:val="00183A3A"/>
    <w:rsid w:val="00183FBB"/>
    <w:rsid w:val="00184425"/>
    <w:rsid w:val="00184F8A"/>
    <w:rsid w:val="001851A5"/>
    <w:rsid w:val="001851F1"/>
    <w:rsid w:val="0018568C"/>
    <w:rsid w:val="001857A1"/>
    <w:rsid w:val="00186362"/>
    <w:rsid w:val="0018648E"/>
    <w:rsid w:val="00186ADA"/>
    <w:rsid w:val="00187070"/>
    <w:rsid w:val="001870E4"/>
    <w:rsid w:val="00187240"/>
    <w:rsid w:val="001913BF"/>
    <w:rsid w:val="00191C9A"/>
    <w:rsid w:val="00191E1C"/>
    <w:rsid w:val="0019228A"/>
    <w:rsid w:val="0019254D"/>
    <w:rsid w:val="00193ACB"/>
    <w:rsid w:val="001941F6"/>
    <w:rsid w:val="00194BAF"/>
    <w:rsid w:val="00194BD0"/>
    <w:rsid w:val="00194EB3"/>
    <w:rsid w:val="001950C5"/>
    <w:rsid w:val="00195A0D"/>
    <w:rsid w:val="00195C3B"/>
    <w:rsid w:val="00195DFB"/>
    <w:rsid w:val="00196259"/>
    <w:rsid w:val="001963FC"/>
    <w:rsid w:val="001970DA"/>
    <w:rsid w:val="001A00D5"/>
    <w:rsid w:val="001A17BB"/>
    <w:rsid w:val="001A1CA7"/>
    <w:rsid w:val="001A1E71"/>
    <w:rsid w:val="001A2DC3"/>
    <w:rsid w:val="001A35C4"/>
    <w:rsid w:val="001A3CDF"/>
    <w:rsid w:val="001A421D"/>
    <w:rsid w:val="001A4545"/>
    <w:rsid w:val="001A4F15"/>
    <w:rsid w:val="001A5E99"/>
    <w:rsid w:val="001A60A9"/>
    <w:rsid w:val="001A640E"/>
    <w:rsid w:val="001A6C80"/>
    <w:rsid w:val="001A6F79"/>
    <w:rsid w:val="001A7306"/>
    <w:rsid w:val="001A7C4E"/>
    <w:rsid w:val="001B0264"/>
    <w:rsid w:val="001B0CFF"/>
    <w:rsid w:val="001B0F9E"/>
    <w:rsid w:val="001B1FA2"/>
    <w:rsid w:val="001B2A18"/>
    <w:rsid w:val="001B3318"/>
    <w:rsid w:val="001B4C2A"/>
    <w:rsid w:val="001B5644"/>
    <w:rsid w:val="001B5978"/>
    <w:rsid w:val="001B61F5"/>
    <w:rsid w:val="001B651F"/>
    <w:rsid w:val="001B6B2D"/>
    <w:rsid w:val="001B70BB"/>
    <w:rsid w:val="001B73F0"/>
    <w:rsid w:val="001B7B99"/>
    <w:rsid w:val="001B7C98"/>
    <w:rsid w:val="001C149D"/>
    <w:rsid w:val="001C16ED"/>
    <w:rsid w:val="001C17A1"/>
    <w:rsid w:val="001C2698"/>
    <w:rsid w:val="001C299C"/>
    <w:rsid w:val="001C2EB0"/>
    <w:rsid w:val="001C351B"/>
    <w:rsid w:val="001C3576"/>
    <w:rsid w:val="001C3768"/>
    <w:rsid w:val="001C3D75"/>
    <w:rsid w:val="001C41B3"/>
    <w:rsid w:val="001C43F9"/>
    <w:rsid w:val="001C5323"/>
    <w:rsid w:val="001C57AC"/>
    <w:rsid w:val="001C5A9F"/>
    <w:rsid w:val="001C62CD"/>
    <w:rsid w:val="001C67FA"/>
    <w:rsid w:val="001D067C"/>
    <w:rsid w:val="001D0863"/>
    <w:rsid w:val="001D0EA8"/>
    <w:rsid w:val="001D0FBB"/>
    <w:rsid w:val="001D1574"/>
    <w:rsid w:val="001D15BD"/>
    <w:rsid w:val="001D15E5"/>
    <w:rsid w:val="001D17AE"/>
    <w:rsid w:val="001D17C1"/>
    <w:rsid w:val="001D180B"/>
    <w:rsid w:val="001D2A24"/>
    <w:rsid w:val="001D2AFC"/>
    <w:rsid w:val="001D2B85"/>
    <w:rsid w:val="001D3643"/>
    <w:rsid w:val="001D3BCA"/>
    <w:rsid w:val="001D493B"/>
    <w:rsid w:val="001D4C18"/>
    <w:rsid w:val="001D5CE5"/>
    <w:rsid w:val="001D610D"/>
    <w:rsid w:val="001D65B6"/>
    <w:rsid w:val="001D6BF1"/>
    <w:rsid w:val="001D6DB3"/>
    <w:rsid w:val="001D7238"/>
    <w:rsid w:val="001D748F"/>
    <w:rsid w:val="001D76D9"/>
    <w:rsid w:val="001D7BEA"/>
    <w:rsid w:val="001E05ED"/>
    <w:rsid w:val="001E09B9"/>
    <w:rsid w:val="001E0CD6"/>
    <w:rsid w:val="001E2026"/>
    <w:rsid w:val="001E245B"/>
    <w:rsid w:val="001E2CE8"/>
    <w:rsid w:val="001E2F47"/>
    <w:rsid w:val="001E3902"/>
    <w:rsid w:val="001E4606"/>
    <w:rsid w:val="001E51FE"/>
    <w:rsid w:val="001E5877"/>
    <w:rsid w:val="001E5916"/>
    <w:rsid w:val="001E610C"/>
    <w:rsid w:val="001E66E8"/>
    <w:rsid w:val="001E68AD"/>
    <w:rsid w:val="001E6992"/>
    <w:rsid w:val="001E71F4"/>
    <w:rsid w:val="001E734A"/>
    <w:rsid w:val="001F039E"/>
    <w:rsid w:val="001F0471"/>
    <w:rsid w:val="001F07F7"/>
    <w:rsid w:val="001F1C21"/>
    <w:rsid w:val="001F1F6C"/>
    <w:rsid w:val="001F293A"/>
    <w:rsid w:val="001F2D90"/>
    <w:rsid w:val="001F2DE8"/>
    <w:rsid w:val="001F2E31"/>
    <w:rsid w:val="001F3868"/>
    <w:rsid w:val="001F3B8D"/>
    <w:rsid w:val="001F3E83"/>
    <w:rsid w:val="001F46AD"/>
    <w:rsid w:val="001F53EA"/>
    <w:rsid w:val="001F5B93"/>
    <w:rsid w:val="001F6023"/>
    <w:rsid w:val="001F6357"/>
    <w:rsid w:val="001F67C5"/>
    <w:rsid w:val="001F6C22"/>
    <w:rsid w:val="001F7F96"/>
    <w:rsid w:val="00200C5B"/>
    <w:rsid w:val="00200CE5"/>
    <w:rsid w:val="0020130E"/>
    <w:rsid w:val="00201C5A"/>
    <w:rsid w:val="0020214E"/>
    <w:rsid w:val="0020398C"/>
    <w:rsid w:val="002039FF"/>
    <w:rsid w:val="0020432A"/>
    <w:rsid w:val="00204CEE"/>
    <w:rsid w:val="00205C1D"/>
    <w:rsid w:val="00205F8E"/>
    <w:rsid w:val="002063C1"/>
    <w:rsid w:val="00206907"/>
    <w:rsid w:val="00206E25"/>
    <w:rsid w:val="00207743"/>
    <w:rsid w:val="002078E4"/>
    <w:rsid w:val="00207AF2"/>
    <w:rsid w:val="0021007A"/>
    <w:rsid w:val="002100A0"/>
    <w:rsid w:val="00210825"/>
    <w:rsid w:val="00210CC6"/>
    <w:rsid w:val="00211149"/>
    <w:rsid w:val="00211B56"/>
    <w:rsid w:val="00212580"/>
    <w:rsid w:val="00212CFD"/>
    <w:rsid w:val="00212DB1"/>
    <w:rsid w:val="00213858"/>
    <w:rsid w:val="0021401E"/>
    <w:rsid w:val="002163B2"/>
    <w:rsid w:val="00216631"/>
    <w:rsid w:val="00216C23"/>
    <w:rsid w:val="002172A3"/>
    <w:rsid w:val="00217761"/>
    <w:rsid w:val="002179AA"/>
    <w:rsid w:val="002179D8"/>
    <w:rsid w:val="00217BB7"/>
    <w:rsid w:val="00217F2B"/>
    <w:rsid w:val="00220252"/>
    <w:rsid w:val="0022033C"/>
    <w:rsid w:val="0022061A"/>
    <w:rsid w:val="00220631"/>
    <w:rsid w:val="0022171A"/>
    <w:rsid w:val="002220C5"/>
    <w:rsid w:val="00222535"/>
    <w:rsid w:val="0022259E"/>
    <w:rsid w:val="002226DA"/>
    <w:rsid w:val="00222B51"/>
    <w:rsid w:val="00223453"/>
    <w:rsid w:val="00223CBA"/>
    <w:rsid w:val="00223E4E"/>
    <w:rsid w:val="002243CF"/>
    <w:rsid w:val="00224783"/>
    <w:rsid w:val="00224A4C"/>
    <w:rsid w:val="00224F7F"/>
    <w:rsid w:val="00225882"/>
    <w:rsid w:val="00226930"/>
    <w:rsid w:val="00226BAA"/>
    <w:rsid w:val="002270C5"/>
    <w:rsid w:val="002273CA"/>
    <w:rsid w:val="00227631"/>
    <w:rsid w:val="002276D1"/>
    <w:rsid w:val="0022787E"/>
    <w:rsid w:val="002314CE"/>
    <w:rsid w:val="00231610"/>
    <w:rsid w:val="0023166C"/>
    <w:rsid w:val="00231D20"/>
    <w:rsid w:val="00232B01"/>
    <w:rsid w:val="00232BF0"/>
    <w:rsid w:val="00233F62"/>
    <w:rsid w:val="00234D2F"/>
    <w:rsid w:val="00234FCF"/>
    <w:rsid w:val="002357F9"/>
    <w:rsid w:val="00235813"/>
    <w:rsid w:val="002360C4"/>
    <w:rsid w:val="002362CD"/>
    <w:rsid w:val="002369D8"/>
    <w:rsid w:val="002378D4"/>
    <w:rsid w:val="00240166"/>
    <w:rsid w:val="002404CB"/>
    <w:rsid w:val="002407C6"/>
    <w:rsid w:val="00240EAB"/>
    <w:rsid w:val="0024113D"/>
    <w:rsid w:val="00241D53"/>
    <w:rsid w:val="00242937"/>
    <w:rsid w:val="00242D57"/>
    <w:rsid w:val="00242FC2"/>
    <w:rsid w:val="0024377B"/>
    <w:rsid w:val="00244AEC"/>
    <w:rsid w:val="00244ED5"/>
    <w:rsid w:val="00246596"/>
    <w:rsid w:val="00246889"/>
    <w:rsid w:val="00247071"/>
    <w:rsid w:val="002470BA"/>
    <w:rsid w:val="0024793C"/>
    <w:rsid w:val="00247958"/>
    <w:rsid w:val="00247AC7"/>
    <w:rsid w:val="00247EE2"/>
    <w:rsid w:val="00250202"/>
    <w:rsid w:val="0025052F"/>
    <w:rsid w:val="0025118E"/>
    <w:rsid w:val="00251328"/>
    <w:rsid w:val="00251EF7"/>
    <w:rsid w:val="00251FB9"/>
    <w:rsid w:val="00252280"/>
    <w:rsid w:val="00252577"/>
    <w:rsid w:val="0025264A"/>
    <w:rsid w:val="00252B77"/>
    <w:rsid w:val="00253EF9"/>
    <w:rsid w:val="002546A3"/>
    <w:rsid w:val="002546B2"/>
    <w:rsid w:val="0025569D"/>
    <w:rsid w:val="00255B40"/>
    <w:rsid w:val="00256288"/>
    <w:rsid w:val="002564B0"/>
    <w:rsid w:val="00256868"/>
    <w:rsid w:val="002571F3"/>
    <w:rsid w:val="00257217"/>
    <w:rsid w:val="0025763F"/>
    <w:rsid w:val="00257E59"/>
    <w:rsid w:val="00257F36"/>
    <w:rsid w:val="0026009A"/>
    <w:rsid w:val="002604D2"/>
    <w:rsid w:val="0026074A"/>
    <w:rsid w:val="0026129B"/>
    <w:rsid w:val="00261358"/>
    <w:rsid w:val="002614E9"/>
    <w:rsid w:val="00261581"/>
    <w:rsid w:val="0026172B"/>
    <w:rsid w:val="002618AE"/>
    <w:rsid w:val="002619B2"/>
    <w:rsid w:val="002620F7"/>
    <w:rsid w:val="002628D6"/>
    <w:rsid w:val="00263DB4"/>
    <w:rsid w:val="00263FDC"/>
    <w:rsid w:val="002643C9"/>
    <w:rsid w:val="002644F3"/>
    <w:rsid w:val="00264F8D"/>
    <w:rsid w:val="00265AA1"/>
    <w:rsid w:val="00265D05"/>
    <w:rsid w:val="00265E4E"/>
    <w:rsid w:val="00265EE7"/>
    <w:rsid w:val="00266697"/>
    <w:rsid w:val="00266A1B"/>
    <w:rsid w:val="00267889"/>
    <w:rsid w:val="00270CAE"/>
    <w:rsid w:val="00270E7E"/>
    <w:rsid w:val="002718FB"/>
    <w:rsid w:val="00271A95"/>
    <w:rsid w:val="00271D81"/>
    <w:rsid w:val="00271DA5"/>
    <w:rsid w:val="00271DBA"/>
    <w:rsid w:val="00271E52"/>
    <w:rsid w:val="0027288D"/>
    <w:rsid w:val="00272BA9"/>
    <w:rsid w:val="00272DE1"/>
    <w:rsid w:val="00272ED2"/>
    <w:rsid w:val="00272FD3"/>
    <w:rsid w:val="00273128"/>
    <w:rsid w:val="0027328A"/>
    <w:rsid w:val="00273D3B"/>
    <w:rsid w:val="00273EC2"/>
    <w:rsid w:val="00274040"/>
    <w:rsid w:val="00274247"/>
    <w:rsid w:val="00274A1B"/>
    <w:rsid w:val="0027502C"/>
    <w:rsid w:val="0027525F"/>
    <w:rsid w:val="002753DB"/>
    <w:rsid w:val="00276751"/>
    <w:rsid w:val="0027702B"/>
    <w:rsid w:val="00280B05"/>
    <w:rsid w:val="00281078"/>
    <w:rsid w:val="00281C42"/>
    <w:rsid w:val="00281C9E"/>
    <w:rsid w:val="00281F03"/>
    <w:rsid w:val="002824A2"/>
    <w:rsid w:val="002829B0"/>
    <w:rsid w:val="00282CEA"/>
    <w:rsid w:val="002832DC"/>
    <w:rsid w:val="00284DE8"/>
    <w:rsid w:val="0028601E"/>
    <w:rsid w:val="00286560"/>
    <w:rsid w:val="00287229"/>
    <w:rsid w:val="00287438"/>
    <w:rsid w:val="002877DA"/>
    <w:rsid w:val="00287D8A"/>
    <w:rsid w:val="002916F3"/>
    <w:rsid w:val="0029178F"/>
    <w:rsid w:val="002919BF"/>
    <w:rsid w:val="00291C0A"/>
    <w:rsid w:val="00292185"/>
    <w:rsid w:val="00292596"/>
    <w:rsid w:val="002928D8"/>
    <w:rsid w:val="00292AD8"/>
    <w:rsid w:val="0029418C"/>
    <w:rsid w:val="00294313"/>
    <w:rsid w:val="002944DF"/>
    <w:rsid w:val="00294E2D"/>
    <w:rsid w:val="00294F80"/>
    <w:rsid w:val="002950DD"/>
    <w:rsid w:val="00295602"/>
    <w:rsid w:val="00295A59"/>
    <w:rsid w:val="00296C5A"/>
    <w:rsid w:val="002974E9"/>
    <w:rsid w:val="002977FF"/>
    <w:rsid w:val="00297988"/>
    <w:rsid w:val="00297AD3"/>
    <w:rsid w:val="002A066D"/>
    <w:rsid w:val="002A06CE"/>
    <w:rsid w:val="002A0725"/>
    <w:rsid w:val="002A175B"/>
    <w:rsid w:val="002A22DE"/>
    <w:rsid w:val="002A2DFD"/>
    <w:rsid w:val="002A2E4D"/>
    <w:rsid w:val="002A35F8"/>
    <w:rsid w:val="002A5019"/>
    <w:rsid w:val="002A5462"/>
    <w:rsid w:val="002A5B45"/>
    <w:rsid w:val="002A6368"/>
    <w:rsid w:val="002A78CB"/>
    <w:rsid w:val="002B016F"/>
    <w:rsid w:val="002B01FE"/>
    <w:rsid w:val="002B0860"/>
    <w:rsid w:val="002B0914"/>
    <w:rsid w:val="002B099C"/>
    <w:rsid w:val="002B1B87"/>
    <w:rsid w:val="002B1C58"/>
    <w:rsid w:val="002B24EE"/>
    <w:rsid w:val="002B25D8"/>
    <w:rsid w:val="002B3102"/>
    <w:rsid w:val="002B41FB"/>
    <w:rsid w:val="002B4346"/>
    <w:rsid w:val="002B5543"/>
    <w:rsid w:val="002B5735"/>
    <w:rsid w:val="002B6008"/>
    <w:rsid w:val="002B6F38"/>
    <w:rsid w:val="002B72F3"/>
    <w:rsid w:val="002B7361"/>
    <w:rsid w:val="002B75E3"/>
    <w:rsid w:val="002C03BE"/>
    <w:rsid w:val="002C043C"/>
    <w:rsid w:val="002C04D0"/>
    <w:rsid w:val="002C074E"/>
    <w:rsid w:val="002C0D36"/>
    <w:rsid w:val="002C1493"/>
    <w:rsid w:val="002C1A2A"/>
    <w:rsid w:val="002C2803"/>
    <w:rsid w:val="002C285C"/>
    <w:rsid w:val="002C2A0E"/>
    <w:rsid w:val="002C2C26"/>
    <w:rsid w:val="002C370E"/>
    <w:rsid w:val="002C3CEB"/>
    <w:rsid w:val="002C4130"/>
    <w:rsid w:val="002C4441"/>
    <w:rsid w:val="002C48AA"/>
    <w:rsid w:val="002C4B66"/>
    <w:rsid w:val="002C5096"/>
    <w:rsid w:val="002C576E"/>
    <w:rsid w:val="002C624A"/>
    <w:rsid w:val="002C6A64"/>
    <w:rsid w:val="002C6C30"/>
    <w:rsid w:val="002C6DB4"/>
    <w:rsid w:val="002C708A"/>
    <w:rsid w:val="002C70EA"/>
    <w:rsid w:val="002C765C"/>
    <w:rsid w:val="002C7CD6"/>
    <w:rsid w:val="002C7F0E"/>
    <w:rsid w:val="002D0297"/>
    <w:rsid w:val="002D0EAA"/>
    <w:rsid w:val="002D1A52"/>
    <w:rsid w:val="002D1F8F"/>
    <w:rsid w:val="002D2567"/>
    <w:rsid w:val="002D2669"/>
    <w:rsid w:val="002D3BAF"/>
    <w:rsid w:val="002D3E01"/>
    <w:rsid w:val="002D41CF"/>
    <w:rsid w:val="002D4FEE"/>
    <w:rsid w:val="002D53A7"/>
    <w:rsid w:val="002D546D"/>
    <w:rsid w:val="002D668A"/>
    <w:rsid w:val="002D6B6C"/>
    <w:rsid w:val="002D6F93"/>
    <w:rsid w:val="002D7163"/>
    <w:rsid w:val="002D7176"/>
    <w:rsid w:val="002D7238"/>
    <w:rsid w:val="002D74CF"/>
    <w:rsid w:val="002D7CD1"/>
    <w:rsid w:val="002E0129"/>
    <w:rsid w:val="002E0662"/>
    <w:rsid w:val="002E0F94"/>
    <w:rsid w:val="002E128C"/>
    <w:rsid w:val="002E1677"/>
    <w:rsid w:val="002E19A9"/>
    <w:rsid w:val="002E1EB8"/>
    <w:rsid w:val="002E22B0"/>
    <w:rsid w:val="002E2D47"/>
    <w:rsid w:val="002E3AD2"/>
    <w:rsid w:val="002E4DAB"/>
    <w:rsid w:val="002E4DC8"/>
    <w:rsid w:val="002E5852"/>
    <w:rsid w:val="002E5C8C"/>
    <w:rsid w:val="002E6496"/>
    <w:rsid w:val="002E6AAA"/>
    <w:rsid w:val="002E7115"/>
    <w:rsid w:val="002E7801"/>
    <w:rsid w:val="002E788A"/>
    <w:rsid w:val="002E7F85"/>
    <w:rsid w:val="002F00ED"/>
    <w:rsid w:val="002F0A81"/>
    <w:rsid w:val="002F13A2"/>
    <w:rsid w:val="002F15F7"/>
    <w:rsid w:val="002F1817"/>
    <w:rsid w:val="002F1F65"/>
    <w:rsid w:val="002F27ED"/>
    <w:rsid w:val="002F2FC0"/>
    <w:rsid w:val="002F320F"/>
    <w:rsid w:val="002F3388"/>
    <w:rsid w:val="002F3539"/>
    <w:rsid w:val="002F3B88"/>
    <w:rsid w:val="002F3D2F"/>
    <w:rsid w:val="002F4171"/>
    <w:rsid w:val="002F4EC3"/>
    <w:rsid w:val="002F5905"/>
    <w:rsid w:val="002F686D"/>
    <w:rsid w:val="002F690C"/>
    <w:rsid w:val="002F6941"/>
    <w:rsid w:val="002F76F1"/>
    <w:rsid w:val="002F7A49"/>
    <w:rsid w:val="002F7F43"/>
    <w:rsid w:val="00300267"/>
    <w:rsid w:val="00300461"/>
    <w:rsid w:val="0030085E"/>
    <w:rsid w:val="0030179D"/>
    <w:rsid w:val="0030226B"/>
    <w:rsid w:val="003027E3"/>
    <w:rsid w:val="00302A8F"/>
    <w:rsid w:val="00302FD3"/>
    <w:rsid w:val="00303CED"/>
    <w:rsid w:val="00304013"/>
    <w:rsid w:val="0030446F"/>
    <w:rsid w:val="00304A2D"/>
    <w:rsid w:val="00304ACB"/>
    <w:rsid w:val="00305181"/>
    <w:rsid w:val="003058A2"/>
    <w:rsid w:val="00305A91"/>
    <w:rsid w:val="00305C0E"/>
    <w:rsid w:val="00305CEA"/>
    <w:rsid w:val="00306624"/>
    <w:rsid w:val="00306F21"/>
    <w:rsid w:val="003078CF"/>
    <w:rsid w:val="003104A8"/>
    <w:rsid w:val="003106D7"/>
    <w:rsid w:val="00310D2F"/>
    <w:rsid w:val="00310F60"/>
    <w:rsid w:val="00311122"/>
    <w:rsid w:val="00312424"/>
    <w:rsid w:val="00313805"/>
    <w:rsid w:val="00314053"/>
    <w:rsid w:val="0031456D"/>
    <w:rsid w:val="003148BC"/>
    <w:rsid w:val="00314945"/>
    <w:rsid w:val="003153FB"/>
    <w:rsid w:val="00315572"/>
    <w:rsid w:val="00315AC2"/>
    <w:rsid w:val="0031637D"/>
    <w:rsid w:val="003163D8"/>
    <w:rsid w:val="00316590"/>
    <w:rsid w:val="003168DB"/>
    <w:rsid w:val="00316E8A"/>
    <w:rsid w:val="003173C1"/>
    <w:rsid w:val="00317A5E"/>
    <w:rsid w:val="0032003C"/>
    <w:rsid w:val="00320959"/>
    <w:rsid w:val="00321D8F"/>
    <w:rsid w:val="00322679"/>
    <w:rsid w:val="00322C60"/>
    <w:rsid w:val="00322F80"/>
    <w:rsid w:val="003240C1"/>
    <w:rsid w:val="003244FF"/>
    <w:rsid w:val="0032545F"/>
    <w:rsid w:val="0032628F"/>
    <w:rsid w:val="00326A68"/>
    <w:rsid w:val="00327419"/>
    <w:rsid w:val="00327A08"/>
    <w:rsid w:val="00327A0F"/>
    <w:rsid w:val="00327D71"/>
    <w:rsid w:val="00327D80"/>
    <w:rsid w:val="00331017"/>
    <w:rsid w:val="00331740"/>
    <w:rsid w:val="00331F1A"/>
    <w:rsid w:val="00331F8F"/>
    <w:rsid w:val="00332D1E"/>
    <w:rsid w:val="003330D1"/>
    <w:rsid w:val="00334007"/>
    <w:rsid w:val="003342FB"/>
    <w:rsid w:val="003343A2"/>
    <w:rsid w:val="00334527"/>
    <w:rsid w:val="003345A5"/>
    <w:rsid w:val="00335118"/>
    <w:rsid w:val="0033515A"/>
    <w:rsid w:val="003361DC"/>
    <w:rsid w:val="00336F9F"/>
    <w:rsid w:val="003371CE"/>
    <w:rsid w:val="00337AE2"/>
    <w:rsid w:val="00340160"/>
    <w:rsid w:val="00340BBA"/>
    <w:rsid w:val="00341A09"/>
    <w:rsid w:val="00341E61"/>
    <w:rsid w:val="00342189"/>
    <w:rsid w:val="00342261"/>
    <w:rsid w:val="00342D93"/>
    <w:rsid w:val="003435E3"/>
    <w:rsid w:val="0034382B"/>
    <w:rsid w:val="00343BD0"/>
    <w:rsid w:val="0034457D"/>
    <w:rsid w:val="00344AB6"/>
    <w:rsid w:val="00345595"/>
    <w:rsid w:val="003456CB"/>
    <w:rsid w:val="0034592D"/>
    <w:rsid w:val="003459F1"/>
    <w:rsid w:val="00345AFE"/>
    <w:rsid w:val="00347B9B"/>
    <w:rsid w:val="00350388"/>
    <w:rsid w:val="003504D1"/>
    <w:rsid w:val="00350611"/>
    <w:rsid w:val="00350789"/>
    <w:rsid w:val="0035090B"/>
    <w:rsid w:val="00350A27"/>
    <w:rsid w:val="0035187D"/>
    <w:rsid w:val="003518DD"/>
    <w:rsid w:val="00351D4A"/>
    <w:rsid w:val="0035215F"/>
    <w:rsid w:val="0035222A"/>
    <w:rsid w:val="00353AC4"/>
    <w:rsid w:val="0035435E"/>
    <w:rsid w:val="0035475C"/>
    <w:rsid w:val="0035507D"/>
    <w:rsid w:val="00355805"/>
    <w:rsid w:val="00356043"/>
    <w:rsid w:val="00356366"/>
    <w:rsid w:val="00356A94"/>
    <w:rsid w:val="00356C24"/>
    <w:rsid w:val="00356E1D"/>
    <w:rsid w:val="00357621"/>
    <w:rsid w:val="00360D35"/>
    <w:rsid w:val="00361498"/>
    <w:rsid w:val="0036155C"/>
    <w:rsid w:val="00361A04"/>
    <w:rsid w:val="00361C4F"/>
    <w:rsid w:val="00361EF2"/>
    <w:rsid w:val="00362B77"/>
    <w:rsid w:val="00362E1B"/>
    <w:rsid w:val="0036317E"/>
    <w:rsid w:val="00363356"/>
    <w:rsid w:val="00363A8C"/>
    <w:rsid w:val="00363C1F"/>
    <w:rsid w:val="00363DA2"/>
    <w:rsid w:val="00363F02"/>
    <w:rsid w:val="00364715"/>
    <w:rsid w:val="00364890"/>
    <w:rsid w:val="00364D5A"/>
    <w:rsid w:val="003650D8"/>
    <w:rsid w:val="00365544"/>
    <w:rsid w:val="0036614E"/>
    <w:rsid w:val="00366E10"/>
    <w:rsid w:val="00366F06"/>
    <w:rsid w:val="00367195"/>
    <w:rsid w:val="0037034E"/>
    <w:rsid w:val="00370BB9"/>
    <w:rsid w:val="00370E0E"/>
    <w:rsid w:val="00370F54"/>
    <w:rsid w:val="00371475"/>
    <w:rsid w:val="0037196F"/>
    <w:rsid w:val="00371F97"/>
    <w:rsid w:val="00372731"/>
    <w:rsid w:val="00372914"/>
    <w:rsid w:val="00372AE8"/>
    <w:rsid w:val="00372DAE"/>
    <w:rsid w:val="00372F5E"/>
    <w:rsid w:val="003733FE"/>
    <w:rsid w:val="003740C3"/>
    <w:rsid w:val="00374244"/>
    <w:rsid w:val="00374532"/>
    <w:rsid w:val="00374DEF"/>
    <w:rsid w:val="00374E57"/>
    <w:rsid w:val="00376788"/>
    <w:rsid w:val="00376B7C"/>
    <w:rsid w:val="00376F8A"/>
    <w:rsid w:val="003772F5"/>
    <w:rsid w:val="003776CB"/>
    <w:rsid w:val="00377A2F"/>
    <w:rsid w:val="00377ACE"/>
    <w:rsid w:val="00380096"/>
    <w:rsid w:val="00380D9B"/>
    <w:rsid w:val="00380F82"/>
    <w:rsid w:val="0038182B"/>
    <w:rsid w:val="003825E1"/>
    <w:rsid w:val="00382C7A"/>
    <w:rsid w:val="00382F12"/>
    <w:rsid w:val="00382FFE"/>
    <w:rsid w:val="00383C94"/>
    <w:rsid w:val="00383D9F"/>
    <w:rsid w:val="00384860"/>
    <w:rsid w:val="00385055"/>
    <w:rsid w:val="00385673"/>
    <w:rsid w:val="003861C4"/>
    <w:rsid w:val="003865AC"/>
    <w:rsid w:val="00386A5B"/>
    <w:rsid w:val="00386B55"/>
    <w:rsid w:val="00386D16"/>
    <w:rsid w:val="00387176"/>
    <w:rsid w:val="00387647"/>
    <w:rsid w:val="003878B7"/>
    <w:rsid w:val="003906C2"/>
    <w:rsid w:val="00390D74"/>
    <w:rsid w:val="00391F20"/>
    <w:rsid w:val="00392070"/>
    <w:rsid w:val="003933BF"/>
    <w:rsid w:val="00393552"/>
    <w:rsid w:val="00393767"/>
    <w:rsid w:val="00393C85"/>
    <w:rsid w:val="00393D82"/>
    <w:rsid w:val="00395058"/>
    <w:rsid w:val="00395387"/>
    <w:rsid w:val="00395603"/>
    <w:rsid w:val="003960AD"/>
    <w:rsid w:val="00396803"/>
    <w:rsid w:val="00397D1E"/>
    <w:rsid w:val="003A0558"/>
    <w:rsid w:val="003A0592"/>
    <w:rsid w:val="003A08C5"/>
    <w:rsid w:val="003A0A80"/>
    <w:rsid w:val="003A0EEE"/>
    <w:rsid w:val="003A13F7"/>
    <w:rsid w:val="003A1524"/>
    <w:rsid w:val="003A230C"/>
    <w:rsid w:val="003A26EF"/>
    <w:rsid w:val="003A2A03"/>
    <w:rsid w:val="003A2A04"/>
    <w:rsid w:val="003A2B96"/>
    <w:rsid w:val="003A2BD2"/>
    <w:rsid w:val="003A2C2D"/>
    <w:rsid w:val="003A2C45"/>
    <w:rsid w:val="003A32BB"/>
    <w:rsid w:val="003A36D9"/>
    <w:rsid w:val="003A3D1F"/>
    <w:rsid w:val="003A43E2"/>
    <w:rsid w:val="003A44CF"/>
    <w:rsid w:val="003A465A"/>
    <w:rsid w:val="003A49C0"/>
    <w:rsid w:val="003A527E"/>
    <w:rsid w:val="003A64BA"/>
    <w:rsid w:val="003A6531"/>
    <w:rsid w:val="003A7AAA"/>
    <w:rsid w:val="003B02AE"/>
    <w:rsid w:val="003B0312"/>
    <w:rsid w:val="003B07CF"/>
    <w:rsid w:val="003B085E"/>
    <w:rsid w:val="003B08DA"/>
    <w:rsid w:val="003B109A"/>
    <w:rsid w:val="003B1C87"/>
    <w:rsid w:val="003B1EAC"/>
    <w:rsid w:val="003B22C6"/>
    <w:rsid w:val="003B244E"/>
    <w:rsid w:val="003B27C6"/>
    <w:rsid w:val="003B3372"/>
    <w:rsid w:val="003B34D0"/>
    <w:rsid w:val="003B3F44"/>
    <w:rsid w:val="003B4412"/>
    <w:rsid w:val="003B464D"/>
    <w:rsid w:val="003B4BB2"/>
    <w:rsid w:val="003B500D"/>
    <w:rsid w:val="003B5613"/>
    <w:rsid w:val="003B57B0"/>
    <w:rsid w:val="003B589F"/>
    <w:rsid w:val="003B5C33"/>
    <w:rsid w:val="003B5E6D"/>
    <w:rsid w:val="003B6794"/>
    <w:rsid w:val="003B6B52"/>
    <w:rsid w:val="003B704E"/>
    <w:rsid w:val="003C05B0"/>
    <w:rsid w:val="003C064C"/>
    <w:rsid w:val="003C0AAB"/>
    <w:rsid w:val="003C0C72"/>
    <w:rsid w:val="003C1AFD"/>
    <w:rsid w:val="003C1CCA"/>
    <w:rsid w:val="003C2346"/>
    <w:rsid w:val="003C29BC"/>
    <w:rsid w:val="003C2C37"/>
    <w:rsid w:val="003C2CC0"/>
    <w:rsid w:val="003C2FBB"/>
    <w:rsid w:val="003C32CD"/>
    <w:rsid w:val="003C330E"/>
    <w:rsid w:val="003C3CC6"/>
    <w:rsid w:val="003C3E80"/>
    <w:rsid w:val="003C4CCF"/>
    <w:rsid w:val="003C5404"/>
    <w:rsid w:val="003C5C94"/>
    <w:rsid w:val="003C61C9"/>
    <w:rsid w:val="003C62F2"/>
    <w:rsid w:val="003C7E3B"/>
    <w:rsid w:val="003D03B5"/>
    <w:rsid w:val="003D065E"/>
    <w:rsid w:val="003D0B66"/>
    <w:rsid w:val="003D0BC0"/>
    <w:rsid w:val="003D116F"/>
    <w:rsid w:val="003D130B"/>
    <w:rsid w:val="003D137A"/>
    <w:rsid w:val="003D1C9B"/>
    <w:rsid w:val="003D1CB4"/>
    <w:rsid w:val="003D2577"/>
    <w:rsid w:val="003D29BB"/>
    <w:rsid w:val="003D29D5"/>
    <w:rsid w:val="003D29D9"/>
    <w:rsid w:val="003D2A40"/>
    <w:rsid w:val="003D2B2F"/>
    <w:rsid w:val="003D2BF8"/>
    <w:rsid w:val="003D3670"/>
    <w:rsid w:val="003D402F"/>
    <w:rsid w:val="003D4168"/>
    <w:rsid w:val="003D43D8"/>
    <w:rsid w:val="003D4563"/>
    <w:rsid w:val="003D4C72"/>
    <w:rsid w:val="003D4FEC"/>
    <w:rsid w:val="003D5069"/>
    <w:rsid w:val="003D5264"/>
    <w:rsid w:val="003D5C6C"/>
    <w:rsid w:val="003D60A4"/>
    <w:rsid w:val="003D6111"/>
    <w:rsid w:val="003D6E90"/>
    <w:rsid w:val="003D7414"/>
    <w:rsid w:val="003D7524"/>
    <w:rsid w:val="003D775F"/>
    <w:rsid w:val="003D7905"/>
    <w:rsid w:val="003E0373"/>
    <w:rsid w:val="003E04B4"/>
    <w:rsid w:val="003E07F9"/>
    <w:rsid w:val="003E0932"/>
    <w:rsid w:val="003E0ADC"/>
    <w:rsid w:val="003E0B38"/>
    <w:rsid w:val="003E0DEB"/>
    <w:rsid w:val="003E0E08"/>
    <w:rsid w:val="003E1154"/>
    <w:rsid w:val="003E2068"/>
    <w:rsid w:val="003E20B1"/>
    <w:rsid w:val="003E25D3"/>
    <w:rsid w:val="003E2732"/>
    <w:rsid w:val="003E2D3A"/>
    <w:rsid w:val="003E2F47"/>
    <w:rsid w:val="003E31B5"/>
    <w:rsid w:val="003E3759"/>
    <w:rsid w:val="003E3F97"/>
    <w:rsid w:val="003E4CEE"/>
    <w:rsid w:val="003E4E7F"/>
    <w:rsid w:val="003E6053"/>
    <w:rsid w:val="003E6BE4"/>
    <w:rsid w:val="003E7098"/>
    <w:rsid w:val="003E7598"/>
    <w:rsid w:val="003E7BF9"/>
    <w:rsid w:val="003F03B6"/>
    <w:rsid w:val="003F0530"/>
    <w:rsid w:val="003F0747"/>
    <w:rsid w:val="003F0C10"/>
    <w:rsid w:val="003F0CD2"/>
    <w:rsid w:val="003F105D"/>
    <w:rsid w:val="003F107A"/>
    <w:rsid w:val="003F18E3"/>
    <w:rsid w:val="003F1CAE"/>
    <w:rsid w:val="003F28C3"/>
    <w:rsid w:val="003F2F44"/>
    <w:rsid w:val="003F3084"/>
    <w:rsid w:val="003F44AA"/>
    <w:rsid w:val="003F4FB2"/>
    <w:rsid w:val="003F506E"/>
    <w:rsid w:val="003F5761"/>
    <w:rsid w:val="003F678B"/>
    <w:rsid w:val="003F72B1"/>
    <w:rsid w:val="003F7383"/>
    <w:rsid w:val="00400A14"/>
    <w:rsid w:val="004013BA"/>
    <w:rsid w:val="0040184C"/>
    <w:rsid w:val="0040227E"/>
    <w:rsid w:val="0040233B"/>
    <w:rsid w:val="00402399"/>
    <w:rsid w:val="0040278F"/>
    <w:rsid w:val="00402845"/>
    <w:rsid w:val="00402B27"/>
    <w:rsid w:val="00403213"/>
    <w:rsid w:val="00403A7B"/>
    <w:rsid w:val="00403A94"/>
    <w:rsid w:val="00405A96"/>
    <w:rsid w:val="00405F2C"/>
    <w:rsid w:val="004060BA"/>
    <w:rsid w:val="0040651E"/>
    <w:rsid w:val="00406FD8"/>
    <w:rsid w:val="00410236"/>
    <w:rsid w:val="00410568"/>
    <w:rsid w:val="00410875"/>
    <w:rsid w:val="004114F5"/>
    <w:rsid w:val="00411D37"/>
    <w:rsid w:val="00413349"/>
    <w:rsid w:val="004137D1"/>
    <w:rsid w:val="0041389A"/>
    <w:rsid w:val="004139AF"/>
    <w:rsid w:val="00413E49"/>
    <w:rsid w:val="004143BF"/>
    <w:rsid w:val="004145D5"/>
    <w:rsid w:val="00414A55"/>
    <w:rsid w:val="00414C63"/>
    <w:rsid w:val="0041539E"/>
    <w:rsid w:val="00415574"/>
    <w:rsid w:val="00415FC5"/>
    <w:rsid w:val="00416515"/>
    <w:rsid w:val="004166E2"/>
    <w:rsid w:val="00416797"/>
    <w:rsid w:val="0041695C"/>
    <w:rsid w:val="004169CB"/>
    <w:rsid w:val="0042146A"/>
    <w:rsid w:val="004215E3"/>
    <w:rsid w:val="0042344A"/>
    <w:rsid w:val="00423476"/>
    <w:rsid w:val="004244A6"/>
    <w:rsid w:val="004248BE"/>
    <w:rsid w:val="00424A99"/>
    <w:rsid w:val="00424D99"/>
    <w:rsid w:val="00425DAD"/>
    <w:rsid w:val="00426154"/>
    <w:rsid w:val="00426481"/>
    <w:rsid w:val="004274C8"/>
    <w:rsid w:val="00427510"/>
    <w:rsid w:val="00430479"/>
    <w:rsid w:val="00430DEE"/>
    <w:rsid w:val="00430EA0"/>
    <w:rsid w:val="0043121E"/>
    <w:rsid w:val="0043122F"/>
    <w:rsid w:val="0043168D"/>
    <w:rsid w:val="0043270F"/>
    <w:rsid w:val="004327E6"/>
    <w:rsid w:val="0043282D"/>
    <w:rsid w:val="004328C8"/>
    <w:rsid w:val="00432E99"/>
    <w:rsid w:val="00432ECB"/>
    <w:rsid w:val="00432EDB"/>
    <w:rsid w:val="004330BD"/>
    <w:rsid w:val="004336F2"/>
    <w:rsid w:val="004339DE"/>
    <w:rsid w:val="00433A87"/>
    <w:rsid w:val="00433BBA"/>
    <w:rsid w:val="00434496"/>
    <w:rsid w:val="004345F6"/>
    <w:rsid w:val="00434DF2"/>
    <w:rsid w:val="004351FF"/>
    <w:rsid w:val="004355B1"/>
    <w:rsid w:val="00435664"/>
    <w:rsid w:val="00435797"/>
    <w:rsid w:val="00435C61"/>
    <w:rsid w:val="00435ED7"/>
    <w:rsid w:val="00436291"/>
    <w:rsid w:val="00436788"/>
    <w:rsid w:val="00436CC4"/>
    <w:rsid w:val="0043759B"/>
    <w:rsid w:val="00437EC7"/>
    <w:rsid w:val="00440BB6"/>
    <w:rsid w:val="0044128F"/>
    <w:rsid w:val="00441754"/>
    <w:rsid w:val="00441D82"/>
    <w:rsid w:val="00441EEF"/>
    <w:rsid w:val="00443150"/>
    <w:rsid w:val="00444417"/>
    <w:rsid w:val="00444C4A"/>
    <w:rsid w:val="0044500C"/>
    <w:rsid w:val="0044546E"/>
    <w:rsid w:val="00445984"/>
    <w:rsid w:val="0044629E"/>
    <w:rsid w:val="00446770"/>
    <w:rsid w:val="00447347"/>
    <w:rsid w:val="00447394"/>
    <w:rsid w:val="00447438"/>
    <w:rsid w:val="00447670"/>
    <w:rsid w:val="004478F4"/>
    <w:rsid w:val="00450DBD"/>
    <w:rsid w:val="00450E5F"/>
    <w:rsid w:val="00450FE8"/>
    <w:rsid w:val="0045104E"/>
    <w:rsid w:val="004510FA"/>
    <w:rsid w:val="00451681"/>
    <w:rsid w:val="0045183E"/>
    <w:rsid w:val="00451EF0"/>
    <w:rsid w:val="00452381"/>
    <w:rsid w:val="00452A6E"/>
    <w:rsid w:val="0045324A"/>
    <w:rsid w:val="0045366F"/>
    <w:rsid w:val="004538B6"/>
    <w:rsid w:val="00453A04"/>
    <w:rsid w:val="00453B22"/>
    <w:rsid w:val="00454641"/>
    <w:rsid w:val="00454790"/>
    <w:rsid w:val="0045487F"/>
    <w:rsid w:val="00454979"/>
    <w:rsid w:val="0045499A"/>
    <w:rsid w:val="00454DE5"/>
    <w:rsid w:val="00454FA4"/>
    <w:rsid w:val="0045501E"/>
    <w:rsid w:val="00455253"/>
    <w:rsid w:val="00455A28"/>
    <w:rsid w:val="00455ED4"/>
    <w:rsid w:val="004563B8"/>
    <w:rsid w:val="00456C21"/>
    <w:rsid w:val="00457979"/>
    <w:rsid w:val="00460309"/>
    <w:rsid w:val="00460C2D"/>
    <w:rsid w:val="00461223"/>
    <w:rsid w:val="00461673"/>
    <w:rsid w:val="00461FF6"/>
    <w:rsid w:val="004627B0"/>
    <w:rsid w:val="00462EF4"/>
    <w:rsid w:val="00463302"/>
    <w:rsid w:val="0046409B"/>
    <w:rsid w:val="00464E55"/>
    <w:rsid w:val="004659CB"/>
    <w:rsid w:val="00465AA6"/>
    <w:rsid w:val="00466089"/>
    <w:rsid w:val="00467602"/>
    <w:rsid w:val="00467FC7"/>
    <w:rsid w:val="004701E8"/>
    <w:rsid w:val="00470490"/>
    <w:rsid w:val="00470687"/>
    <w:rsid w:val="004715BB"/>
    <w:rsid w:val="00471739"/>
    <w:rsid w:val="00472A3F"/>
    <w:rsid w:val="00472C90"/>
    <w:rsid w:val="00473591"/>
    <w:rsid w:val="0047375C"/>
    <w:rsid w:val="004744CD"/>
    <w:rsid w:val="00474F6A"/>
    <w:rsid w:val="00476517"/>
    <w:rsid w:val="00476759"/>
    <w:rsid w:val="00476799"/>
    <w:rsid w:val="00477074"/>
    <w:rsid w:val="004776CB"/>
    <w:rsid w:val="00477ADB"/>
    <w:rsid w:val="00480414"/>
    <w:rsid w:val="004804BC"/>
    <w:rsid w:val="00480F3C"/>
    <w:rsid w:val="00481610"/>
    <w:rsid w:val="00481759"/>
    <w:rsid w:val="00482075"/>
    <w:rsid w:val="004822AC"/>
    <w:rsid w:val="00482857"/>
    <w:rsid w:val="00483330"/>
    <w:rsid w:val="004834CD"/>
    <w:rsid w:val="00483BBF"/>
    <w:rsid w:val="00484A06"/>
    <w:rsid w:val="00484F2A"/>
    <w:rsid w:val="004859CF"/>
    <w:rsid w:val="0048697F"/>
    <w:rsid w:val="00486E1E"/>
    <w:rsid w:val="00487588"/>
    <w:rsid w:val="00487DE8"/>
    <w:rsid w:val="00487EA1"/>
    <w:rsid w:val="00490A7C"/>
    <w:rsid w:val="00492DFD"/>
    <w:rsid w:val="00493420"/>
    <w:rsid w:val="004945EE"/>
    <w:rsid w:val="004947FC"/>
    <w:rsid w:val="00494A0B"/>
    <w:rsid w:val="00494EBC"/>
    <w:rsid w:val="00495E58"/>
    <w:rsid w:val="00496BAF"/>
    <w:rsid w:val="00496C4D"/>
    <w:rsid w:val="004970F5"/>
    <w:rsid w:val="00497C38"/>
    <w:rsid w:val="004A0075"/>
    <w:rsid w:val="004A0868"/>
    <w:rsid w:val="004A095F"/>
    <w:rsid w:val="004A0BA3"/>
    <w:rsid w:val="004A1150"/>
    <w:rsid w:val="004A140A"/>
    <w:rsid w:val="004A27AB"/>
    <w:rsid w:val="004A41D3"/>
    <w:rsid w:val="004A45F8"/>
    <w:rsid w:val="004A5187"/>
    <w:rsid w:val="004A58DF"/>
    <w:rsid w:val="004A728D"/>
    <w:rsid w:val="004A753E"/>
    <w:rsid w:val="004A7A13"/>
    <w:rsid w:val="004B08E6"/>
    <w:rsid w:val="004B0ACA"/>
    <w:rsid w:val="004B1084"/>
    <w:rsid w:val="004B23E3"/>
    <w:rsid w:val="004B294D"/>
    <w:rsid w:val="004B2AF7"/>
    <w:rsid w:val="004B33D0"/>
    <w:rsid w:val="004B3E1A"/>
    <w:rsid w:val="004B41D7"/>
    <w:rsid w:val="004B4645"/>
    <w:rsid w:val="004B49F3"/>
    <w:rsid w:val="004B4CFE"/>
    <w:rsid w:val="004B5190"/>
    <w:rsid w:val="004B601A"/>
    <w:rsid w:val="004B60CB"/>
    <w:rsid w:val="004B6FD8"/>
    <w:rsid w:val="004B7402"/>
    <w:rsid w:val="004B76BC"/>
    <w:rsid w:val="004B7A48"/>
    <w:rsid w:val="004B7E56"/>
    <w:rsid w:val="004B7ECA"/>
    <w:rsid w:val="004B7EFD"/>
    <w:rsid w:val="004C1539"/>
    <w:rsid w:val="004C164C"/>
    <w:rsid w:val="004C1B43"/>
    <w:rsid w:val="004C23CC"/>
    <w:rsid w:val="004C3068"/>
    <w:rsid w:val="004C3B09"/>
    <w:rsid w:val="004C3FB8"/>
    <w:rsid w:val="004C4FFE"/>
    <w:rsid w:val="004C626C"/>
    <w:rsid w:val="004C6C76"/>
    <w:rsid w:val="004D063C"/>
    <w:rsid w:val="004D1A12"/>
    <w:rsid w:val="004D2CD8"/>
    <w:rsid w:val="004D318A"/>
    <w:rsid w:val="004D3482"/>
    <w:rsid w:val="004D380A"/>
    <w:rsid w:val="004D3A2B"/>
    <w:rsid w:val="004D3E34"/>
    <w:rsid w:val="004D446A"/>
    <w:rsid w:val="004D4E4E"/>
    <w:rsid w:val="004D5403"/>
    <w:rsid w:val="004D563C"/>
    <w:rsid w:val="004D5904"/>
    <w:rsid w:val="004D5C52"/>
    <w:rsid w:val="004D67F5"/>
    <w:rsid w:val="004D699A"/>
    <w:rsid w:val="004D7997"/>
    <w:rsid w:val="004D7AFF"/>
    <w:rsid w:val="004D7B1D"/>
    <w:rsid w:val="004D7E66"/>
    <w:rsid w:val="004E0307"/>
    <w:rsid w:val="004E0B93"/>
    <w:rsid w:val="004E1448"/>
    <w:rsid w:val="004E169D"/>
    <w:rsid w:val="004E1935"/>
    <w:rsid w:val="004E1D5C"/>
    <w:rsid w:val="004E29EB"/>
    <w:rsid w:val="004E42F2"/>
    <w:rsid w:val="004E42FB"/>
    <w:rsid w:val="004E4912"/>
    <w:rsid w:val="004E4F24"/>
    <w:rsid w:val="004E56D5"/>
    <w:rsid w:val="004E57FD"/>
    <w:rsid w:val="004E5D10"/>
    <w:rsid w:val="004E5DD6"/>
    <w:rsid w:val="004E5DE1"/>
    <w:rsid w:val="004E6642"/>
    <w:rsid w:val="004E683F"/>
    <w:rsid w:val="004E68E2"/>
    <w:rsid w:val="004E6939"/>
    <w:rsid w:val="004E6D04"/>
    <w:rsid w:val="004E6F09"/>
    <w:rsid w:val="004F00DA"/>
    <w:rsid w:val="004F0144"/>
    <w:rsid w:val="004F095E"/>
    <w:rsid w:val="004F098F"/>
    <w:rsid w:val="004F1925"/>
    <w:rsid w:val="004F1BCF"/>
    <w:rsid w:val="004F27BE"/>
    <w:rsid w:val="004F39B7"/>
    <w:rsid w:val="004F3ED3"/>
    <w:rsid w:val="004F3F37"/>
    <w:rsid w:val="004F3F54"/>
    <w:rsid w:val="004F3FC1"/>
    <w:rsid w:val="004F46BA"/>
    <w:rsid w:val="004F5738"/>
    <w:rsid w:val="004F6283"/>
    <w:rsid w:val="004F6F0B"/>
    <w:rsid w:val="004F7D11"/>
    <w:rsid w:val="00500165"/>
    <w:rsid w:val="005006A1"/>
    <w:rsid w:val="00501379"/>
    <w:rsid w:val="005015B4"/>
    <w:rsid w:val="005015B8"/>
    <w:rsid w:val="005018BE"/>
    <w:rsid w:val="00501D1A"/>
    <w:rsid w:val="0050234B"/>
    <w:rsid w:val="00502941"/>
    <w:rsid w:val="005032C2"/>
    <w:rsid w:val="005037B9"/>
    <w:rsid w:val="00504404"/>
    <w:rsid w:val="00504E4A"/>
    <w:rsid w:val="005051C6"/>
    <w:rsid w:val="005065E1"/>
    <w:rsid w:val="0050677F"/>
    <w:rsid w:val="00506A46"/>
    <w:rsid w:val="00506D1F"/>
    <w:rsid w:val="00507D62"/>
    <w:rsid w:val="00510A71"/>
    <w:rsid w:val="00510BD0"/>
    <w:rsid w:val="0051129C"/>
    <w:rsid w:val="00511E11"/>
    <w:rsid w:val="00512839"/>
    <w:rsid w:val="00512CAB"/>
    <w:rsid w:val="00512ED8"/>
    <w:rsid w:val="0051350A"/>
    <w:rsid w:val="00513B2C"/>
    <w:rsid w:val="00513C92"/>
    <w:rsid w:val="00513EAA"/>
    <w:rsid w:val="0051419A"/>
    <w:rsid w:val="005145B5"/>
    <w:rsid w:val="00514F0B"/>
    <w:rsid w:val="00514F76"/>
    <w:rsid w:val="00515050"/>
    <w:rsid w:val="005153E6"/>
    <w:rsid w:val="00516263"/>
    <w:rsid w:val="005168EB"/>
    <w:rsid w:val="00516F20"/>
    <w:rsid w:val="00516FEA"/>
    <w:rsid w:val="00517130"/>
    <w:rsid w:val="00517989"/>
    <w:rsid w:val="00520E3E"/>
    <w:rsid w:val="005212E9"/>
    <w:rsid w:val="0052171E"/>
    <w:rsid w:val="00521A47"/>
    <w:rsid w:val="00521D2D"/>
    <w:rsid w:val="00521F9F"/>
    <w:rsid w:val="005220DB"/>
    <w:rsid w:val="00522F09"/>
    <w:rsid w:val="00523930"/>
    <w:rsid w:val="00523B14"/>
    <w:rsid w:val="00523B66"/>
    <w:rsid w:val="00524B61"/>
    <w:rsid w:val="00524BCA"/>
    <w:rsid w:val="00524BCE"/>
    <w:rsid w:val="00524BE4"/>
    <w:rsid w:val="00524F47"/>
    <w:rsid w:val="00525092"/>
    <w:rsid w:val="005253D1"/>
    <w:rsid w:val="005254EE"/>
    <w:rsid w:val="005258D2"/>
    <w:rsid w:val="00525EC7"/>
    <w:rsid w:val="00527149"/>
    <w:rsid w:val="0052779A"/>
    <w:rsid w:val="00527992"/>
    <w:rsid w:val="00527D31"/>
    <w:rsid w:val="00527EB5"/>
    <w:rsid w:val="00527EC6"/>
    <w:rsid w:val="00530CB9"/>
    <w:rsid w:val="00531686"/>
    <w:rsid w:val="0053208C"/>
    <w:rsid w:val="00532142"/>
    <w:rsid w:val="005327A2"/>
    <w:rsid w:val="005328E5"/>
    <w:rsid w:val="00532907"/>
    <w:rsid w:val="0053294F"/>
    <w:rsid w:val="00532979"/>
    <w:rsid w:val="005329C8"/>
    <w:rsid w:val="005330DA"/>
    <w:rsid w:val="00533313"/>
    <w:rsid w:val="0053360D"/>
    <w:rsid w:val="00533E8D"/>
    <w:rsid w:val="005341E1"/>
    <w:rsid w:val="0053470F"/>
    <w:rsid w:val="00534AC5"/>
    <w:rsid w:val="00534E68"/>
    <w:rsid w:val="00534F1E"/>
    <w:rsid w:val="005350B0"/>
    <w:rsid w:val="00535846"/>
    <w:rsid w:val="0053588B"/>
    <w:rsid w:val="005360F4"/>
    <w:rsid w:val="0053640E"/>
    <w:rsid w:val="00536995"/>
    <w:rsid w:val="00537CF1"/>
    <w:rsid w:val="0054017F"/>
    <w:rsid w:val="00540708"/>
    <w:rsid w:val="00540D34"/>
    <w:rsid w:val="0054117A"/>
    <w:rsid w:val="005413BF"/>
    <w:rsid w:val="005418FE"/>
    <w:rsid w:val="005420F4"/>
    <w:rsid w:val="00542BE1"/>
    <w:rsid w:val="00543011"/>
    <w:rsid w:val="00543087"/>
    <w:rsid w:val="0054364A"/>
    <w:rsid w:val="0054405A"/>
    <w:rsid w:val="00544685"/>
    <w:rsid w:val="005447AB"/>
    <w:rsid w:val="00544F39"/>
    <w:rsid w:val="00544F55"/>
    <w:rsid w:val="005451F8"/>
    <w:rsid w:val="00545AB6"/>
    <w:rsid w:val="00545BCA"/>
    <w:rsid w:val="005464D7"/>
    <w:rsid w:val="00546704"/>
    <w:rsid w:val="0054670B"/>
    <w:rsid w:val="00547BE4"/>
    <w:rsid w:val="005502F4"/>
    <w:rsid w:val="0055076A"/>
    <w:rsid w:val="00550891"/>
    <w:rsid w:val="00550A2B"/>
    <w:rsid w:val="00551373"/>
    <w:rsid w:val="00551C1B"/>
    <w:rsid w:val="00551D82"/>
    <w:rsid w:val="005524C3"/>
    <w:rsid w:val="00552F72"/>
    <w:rsid w:val="0055345B"/>
    <w:rsid w:val="00554D5C"/>
    <w:rsid w:val="00555268"/>
    <w:rsid w:val="00555E7E"/>
    <w:rsid w:val="005566FB"/>
    <w:rsid w:val="0055673E"/>
    <w:rsid w:val="00556AD6"/>
    <w:rsid w:val="005601C2"/>
    <w:rsid w:val="005602A3"/>
    <w:rsid w:val="0056052A"/>
    <w:rsid w:val="0056086A"/>
    <w:rsid w:val="00560C34"/>
    <w:rsid w:val="00561123"/>
    <w:rsid w:val="00561426"/>
    <w:rsid w:val="00562537"/>
    <w:rsid w:val="0056272F"/>
    <w:rsid w:val="0056286E"/>
    <w:rsid w:val="0056340D"/>
    <w:rsid w:val="00563E21"/>
    <w:rsid w:val="00563E9D"/>
    <w:rsid w:val="005644AD"/>
    <w:rsid w:val="00564784"/>
    <w:rsid w:val="00564F78"/>
    <w:rsid w:val="00565021"/>
    <w:rsid w:val="00565895"/>
    <w:rsid w:val="00565B1F"/>
    <w:rsid w:val="00565DEF"/>
    <w:rsid w:val="0056611E"/>
    <w:rsid w:val="00567127"/>
    <w:rsid w:val="005671E0"/>
    <w:rsid w:val="00567D67"/>
    <w:rsid w:val="00570292"/>
    <w:rsid w:val="00570559"/>
    <w:rsid w:val="00570F11"/>
    <w:rsid w:val="005717B0"/>
    <w:rsid w:val="005717FC"/>
    <w:rsid w:val="00572D51"/>
    <w:rsid w:val="00573718"/>
    <w:rsid w:val="00574360"/>
    <w:rsid w:val="005754C0"/>
    <w:rsid w:val="005755C1"/>
    <w:rsid w:val="005755E5"/>
    <w:rsid w:val="00575A9D"/>
    <w:rsid w:val="00575F6E"/>
    <w:rsid w:val="00576180"/>
    <w:rsid w:val="00576322"/>
    <w:rsid w:val="005764E5"/>
    <w:rsid w:val="005767B8"/>
    <w:rsid w:val="005769AD"/>
    <w:rsid w:val="00577AE0"/>
    <w:rsid w:val="005802FE"/>
    <w:rsid w:val="005805A1"/>
    <w:rsid w:val="005807AE"/>
    <w:rsid w:val="0058091A"/>
    <w:rsid w:val="00580A1C"/>
    <w:rsid w:val="0058185D"/>
    <w:rsid w:val="00581D6A"/>
    <w:rsid w:val="00581F54"/>
    <w:rsid w:val="005823B7"/>
    <w:rsid w:val="005825C4"/>
    <w:rsid w:val="00582FB7"/>
    <w:rsid w:val="0058335A"/>
    <w:rsid w:val="00583B04"/>
    <w:rsid w:val="00583B18"/>
    <w:rsid w:val="00583BE3"/>
    <w:rsid w:val="00583D64"/>
    <w:rsid w:val="00583DE7"/>
    <w:rsid w:val="00584122"/>
    <w:rsid w:val="00585896"/>
    <w:rsid w:val="0058631E"/>
    <w:rsid w:val="00586CAA"/>
    <w:rsid w:val="00586D18"/>
    <w:rsid w:val="0058795B"/>
    <w:rsid w:val="00587F2E"/>
    <w:rsid w:val="00590BB8"/>
    <w:rsid w:val="00591804"/>
    <w:rsid w:val="005923D8"/>
    <w:rsid w:val="005932F7"/>
    <w:rsid w:val="0059347A"/>
    <w:rsid w:val="00594047"/>
    <w:rsid w:val="005940C9"/>
    <w:rsid w:val="005944B4"/>
    <w:rsid w:val="00594654"/>
    <w:rsid w:val="0059471D"/>
    <w:rsid w:val="00595458"/>
    <w:rsid w:val="00596341"/>
    <w:rsid w:val="0059739A"/>
    <w:rsid w:val="00597624"/>
    <w:rsid w:val="00597866"/>
    <w:rsid w:val="005A01DA"/>
    <w:rsid w:val="005A03C3"/>
    <w:rsid w:val="005A064B"/>
    <w:rsid w:val="005A0E39"/>
    <w:rsid w:val="005A0FB4"/>
    <w:rsid w:val="005A1001"/>
    <w:rsid w:val="005A164F"/>
    <w:rsid w:val="005A1A14"/>
    <w:rsid w:val="005A23F8"/>
    <w:rsid w:val="005A2B97"/>
    <w:rsid w:val="005A3A5F"/>
    <w:rsid w:val="005A3F3B"/>
    <w:rsid w:val="005A4955"/>
    <w:rsid w:val="005A53AB"/>
    <w:rsid w:val="005A579C"/>
    <w:rsid w:val="005A57FD"/>
    <w:rsid w:val="005A59FE"/>
    <w:rsid w:val="005A6D4F"/>
    <w:rsid w:val="005A72D3"/>
    <w:rsid w:val="005A75BD"/>
    <w:rsid w:val="005A75D8"/>
    <w:rsid w:val="005A77DA"/>
    <w:rsid w:val="005A7BBD"/>
    <w:rsid w:val="005A7BFA"/>
    <w:rsid w:val="005B01D3"/>
    <w:rsid w:val="005B0271"/>
    <w:rsid w:val="005B09EB"/>
    <w:rsid w:val="005B0C0D"/>
    <w:rsid w:val="005B0CAB"/>
    <w:rsid w:val="005B179B"/>
    <w:rsid w:val="005B1805"/>
    <w:rsid w:val="005B19EF"/>
    <w:rsid w:val="005B1AE9"/>
    <w:rsid w:val="005B1F4E"/>
    <w:rsid w:val="005B212C"/>
    <w:rsid w:val="005B29E2"/>
    <w:rsid w:val="005B32D1"/>
    <w:rsid w:val="005B333F"/>
    <w:rsid w:val="005B386B"/>
    <w:rsid w:val="005B39E3"/>
    <w:rsid w:val="005B42C4"/>
    <w:rsid w:val="005B61ED"/>
    <w:rsid w:val="005B63F5"/>
    <w:rsid w:val="005B6457"/>
    <w:rsid w:val="005B6873"/>
    <w:rsid w:val="005B6C6C"/>
    <w:rsid w:val="005B79EF"/>
    <w:rsid w:val="005C0A8F"/>
    <w:rsid w:val="005C195E"/>
    <w:rsid w:val="005C38CE"/>
    <w:rsid w:val="005C48B2"/>
    <w:rsid w:val="005C4A15"/>
    <w:rsid w:val="005C4D2B"/>
    <w:rsid w:val="005C5074"/>
    <w:rsid w:val="005C519F"/>
    <w:rsid w:val="005C5814"/>
    <w:rsid w:val="005C5D0E"/>
    <w:rsid w:val="005C5DC1"/>
    <w:rsid w:val="005C68DC"/>
    <w:rsid w:val="005C7F75"/>
    <w:rsid w:val="005D0492"/>
    <w:rsid w:val="005D06EB"/>
    <w:rsid w:val="005D0D04"/>
    <w:rsid w:val="005D2A42"/>
    <w:rsid w:val="005D3431"/>
    <w:rsid w:val="005D4014"/>
    <w:rsid w:val="005D456A"/>
    <w:rsid w:val="005D4D65"/>
    <w:rsid w:val="005D4F3E"/>
    <w:rsid w:val="005D50EB"/>
    <w:rsid w:val="005D5875"/>
    <w:rsid w:val="005D5879"/>
    <w:rsid w:val="005D5B39"/>
    <w:rsid w:val="005D5D35"/>
    <w:rsid w:val="005D6595"/>
    <w:rsid w:val="005D675F"/>
    <w:rsid w:val="005D69B2"/>
    <w:rsid w:val="005D6C91"/>
    <w:rsid w:val="005D74FE"/>
    <w:rsid w:val="005D7A46"/>
    <w:rsid w:val="005D7A7C"/>
    <w:rsid w:val="005D7AEC"/>
    <w:rsid w:val="005E09D8"/>
    <w:rsid w:val="005E0A45"/>
    <w:rsid w:val="005E0A76"/>
    <w:rsid w:val="005E1233"/>
    <w:rsid w:val="005E18A5"/>
    <w:rsid w:val="005E18D9"/>
    <w:rsid w:val="005E1968"/>
    <w:rsid w:val="005E199C"/>
    <w:rsid w:val="005E38CE"/>
    <w:rsid w:val="005E398C"/>
    <w:rsid w:val="005E3BB7"/>
    <w:rsid w:val="005E3D13"/>
    <w:rsid w:val="005E3E0C"/>
    <w:rsid w:val="005E4C93"/>
    <w:rsid w:val="005E51BE"/>
    <w:rsid w:val="005E5508"/>
    <w:rsid w:val="005E55FF"/>
    <w:rsid w:val="005E5832"/>
    <w:rsid w:val="005E59E7"/>
    <w:rsid w:val="005E5F89"/>
    <w:rsid w:val="005E68B9"/>
    <w:rsid w:val="005E6A81"/>
    <w:rsid w:val="005E7222"/>
    <w:rsid w:val="005E74CF"/>
    <w:rsid w:val="005F0B0B"/>
    <w:rsid w:val="005F1517"/>
    <w:rsid w:val="005F2122"/>
    <w:rsid w:val="005F225A"/>
    <w:rsid w:val="005F2260"/>
    <w:rsid w:val="005F2775"/>
    <w:rsid w:val="005F29D9"/>
    <w:rsid w:val="005F30DE"/>
    <w:rsid w:val="005F3242"/>
    <w:rsid w:val="005F3F6E"/>
    <w:rsid w:val="005F5E73"/>
    <w:rsid w:val="00600BEB"/>
    <w:rsid w:val="00601216"/>
    <w:rsid w:val="0060224D"/>
    <w:rsid w:val="006024B5"/>
    <w:rsid w:val="00602F0A"/>
    <w:rsid w:val="0060343E"/>
    <w:rsid w:val="0060358C"/>
    <w:rsid w:val="0060371C"/>
    <w:rsid w:val="00604B91"/>
    <w:rsid w:val="00605AE4"/>
    <w:rsid w:val="00606587"/>
    <w:rsid w:val="006068BF"/>
    <w:rsid w:val="00606F11"/>
    <w:rsid w:val="00607396"/>
    <w:rsid w:val="0060793B"/>
    <w:rsid w:val="0060799B"/>
    <w:rsid w:val="0061023D"/>
    <w:rsid w:val="00610600"/>
    <w:rsid w:val="00610F27"/>
    <w:rsid w:val="00610F85"/>
    <w:rsid w:val="00611547"/>
    <w:rsid w:val="006117BD"/>
    <w:rsid w:val="00611A48"/>
    <w:rsid w:val="006126EF"/>
    <w:rsid w:val="0061278A"/>
    <w:rsid w:val="00612F00"/>
    <w:rsid w:val="00613EE1"/>
    <w:rsid w:val="00614806"/>
    <w:rsid w:val="00615060"/>
    <w:rsid w:val="006153EE"/>
    <w:rsid w:val="00615765"/>
    <w:rsid w:val="006157DE"/>
    <w:rsid w:val="00616558"/>
    <w:rsid w:val="00616D17"/>
    <w:rsid w:val="00617AAE"/>
    <w:rsid w:val="00620930"/>
    <w:rsid w:val="0062118B"/>
    <w:rsid w:val="00621493"/>
    <w:rsid w:val="00621956"/>
    <w:rsid w:val="00621C81"/>
    <w:rsid w:val="00621D9F"/>
    <w:rsid w:val="00621E50"/>
    <w:rsid w:val="0062228F"/>
    <w:rsid w:val="00622ACB"/>
    <w:rsid w:val="00623DB2"/>
    <w:rsid w:val="0062409D"/>
    <w:rsid w:val="006242CC"/>
    <w:rsid w:val="006247F4"/>
    <w:rsid w:val="00624D65"/>
    <w:rsid w:val="006258A0"/>
    <w:rsid w:val="00625B0D"/>
    <w:rsid w:val="00626B49"/>
    <w:rsid w:val="00626C90"/>
    <w:rsid w:val="00626FDF"/>
    <w:rsid w:val="00627191"/>
    <w:rsid w:val="00627CB1"/>
    <w:rsid w:val="006302E5"/>
    <w:rsid w:val="0063065E"/>
    <w:rsid w:val="00630C57"/>
    <w:rsid w:val="00630C5A"/>
    <w:rsid w:val="00630E1C"/>
    <w:rsid w:val="00630E67"/>
    <w:rsid w:val="0063185D"/>
    <w:rsid w:val="00631978"/>
    <w:rsid w:val="00632030"/>
    <w:rsid w:val="006324DC"/>
    <w:rsid w:val="00633061"/>
    <w:rsid w:val="0063323E"/>
    <w:rsid w:val="006336E4"/>
    <w:rsid w:val="00633A23"/>
    <w:rsid w:val="00633E7D"/>
    <w:rsid w:val="00634342"/>
    <w:rsid w:val="00634646"/>
    <w:rsid w:val="00634B82"/>
    <w:rsid w:val="00634F10"/>
    <w:rsid w:val="006351CB"/>
    <w:rsid w:val="00635B1C"/>
    <w:rsid w:val="00636131"/>
    <w:rsid w:val="00636549"/>
    <w:rsid w:val="00636C5A"/>
    <w:rsid w:val="006373C3"/>
    <w:rsid w:val="00640E9F"/>
    <w:rsid w:val="006417A5"/>
    <w:rsid w:val="006417AF"/>
    <w:rsid w:val="00641DBE"/>
    <w:rsid w:val="00641F5C"/>
    <w:rsid w:val="00642118"/>
    <w:rsid w:val="006432AB"/>
    <w:rsid w:val="006436AD"/>
    <w:rsid w:val="00644AF5"/>
    <w:rsid w:val="00645708"/>
    <w:rsid w:val="0064581F"/>
    <w:rsid w:val="00645B53"/>
    <w:rsid w:val="00645FEC"/>
    <w:rsid w:val="0064632A"/>
    <w:rsid w:val="006476CB"/>
    <w:rsid w:val="00647D0C"/>
    <w:rsid w:val="00647ECF"/>
    <w:rsid w:val="00650FA4"/>
    <w:rsid w:val="00651290"/>
    <w:rsid w:val="00651854"/>
    <w:rsid w:val="00651992"/>
    <w:rsid w:val="00651DB3"/>
    <w:rsid w:val="0065280F"/>
    <w:rsid w:val="00652926"/>
    <w:rsid w:val="00652946"/>
    <w:rsid w:val="006531CE"/>
    <w:rsid w:val="00653728"/>
    <w:rsid w:val="0065388B"/>
    <w:rsid w:val="006541A1"/>
    <w:rsid w:val="006546FD"/>
    <w:rsid w:val="00654BB8"/>
    <w:rsid w:val="00655C0B"/>
    <w:rsid w:val="00656846"/>
    <w:rsid w:val="006570C8"/>
    <w:rsid w:val="00657ED5"/>
    <w:rsid w:val="00660225"/>
    <w:rsid w:val="006612D5"/>
    <w:rsid w:val="00661F70"/>
    <w:rsid w:val="00663333"/>
    <w:rsid w:val="006639DA"/>
    <w:rsid w:val="0066445D"/>
    <w:rsid w:val="006647AD"/>
    <w:rsid w:val="00664ABC"/>
    <w:rsid w:val="00664BA3"/>
    <w:rsid w:val="00665243"/>
    <w:rsid w:val="00665411"/>
    <w:rsid w:val="0066620B"/>
    <w:rsid w:val="00666C84"/>
    <w:rsid w:val="00667913"/>
    <w:rsid w:val="00670444"/>
    <w:rsid w:val="006705A7"/>
    <w:rsid w:val="00670ADF"/>
    <w:rsid w:val="00670BCF"/>
    <w:rsid w:val="00670DF5"/>
    <w:rsid w:val="006711AE"/>
    <w:rsid w:val="00671619"/>
    <w:rsid w:val="00671A6A"/>
    <w:rsid w:val="00671B2D"/>
    <w:rsid w:val="00671C66"/>
    <w:rsid w:val="00671C6E"/>
    <w:rsid w:val="00672C1A"/>
    <w:rsid w:val="006730D2"/>
    <w:rsid w:val="006736B2"/>
    <w:rsid w:val="00673B8E"/>
    <w:rsid w:val="00673DCF"/>
    <w:rsid w:val="0067412C"/>
    <w:rsid w:val="006750AF"/>
    <w:rsid w:val="00675410"/>
    <w:rsid w:val="00675820"/>
    <w:rsid w:val="0067647E"/>
    <w:rsid w:val="00676604"/>
    <w:rsid w:val="00676EDF"/>
    <w:rsid w:val="00677205"/>
    <w:rsid w:val="006776E1"/>
    <w:rsid w:val="0067777D"/>
    <w:rsid w:val="00677A02"/>
    <w:rsid w:val="00677E88"/>
    <w:rsid w:val="00680426"/>
    <w:rsid w:val="006807A9"/>
    <w:rsid w:val="006811CE"/>
    <w:rsid w:val="00681EF9"/>
    <w:rsid w:val="00682980"/>
    <w:rsid w:val="00682B6D"/>
    <w:rsid w:val="006845A5"/>
    <w:rsid w:val="0068498B"/>
    <w:rsid w:val="00685A9E"/>
    <w:rsid w:val="00685E60"/>
    <w:rsid w:val="00685F72"/>
    <w:rsid w:val="0068624E"/>
    <w:rsid w:val="00686294"/>
    <w:rsid w:val="006868E7"/>
    <w:rsid w:val="00686CE8"/>
    <w:rsid w:val="00687558"/>
    <w:rsid w:val="00687F59"/>
    <w:rsid w:val="006907C2"/>
    <w:rsid w:val="00690B89"/>
    <w:rsid w:val="00691891"/>
    <w:rsid w:val="006924E7"/>
    <w:rsid w:val="006926BF"/>
    <w:rsid w:val="00692D1F"/>
    <w:rsid w:val="00693344"/>
    <w:rsid w:val="00693353"/>
    <w:rsid w:val="006940EC"/>
    <w:rsid w:val="006943C0"/>
    <w:rsid w:val="00694824"/>
    <w:rsid w:val="00695467"/>
    <w:rsid w:val="00695523"/>
    <w:rsid w:val="0069602D"/>
    <w:rsid w:val="006963FF"/>
    <w:rsid w:val="006965B2"/>
    <w:rsid w:val="006968F1"/>
    <w:rsid w:val="00696B9D"/>
    <w:rsid w:val="0069702B"/>
    <w:rsid w:val="00697146"/>
    <w:rsid w:val="0069743A"/>
    <w:rsid w:val="00697518"/>
    <w:rsid w:val="0069770F"/>
    <w:rsid w:val="00697714"/>
    <w:rsid w:val="00697F46"/>
    <w:rsid w:val="006A0E7C"/>
    <w:rsid w:val="006A10F8"/>
    <w:rsid w:val="006A3E4B"/>
    <w:rsid w:val="006A4C47"/>
    <w:rsid w:val="006A574A"/>
    <w:rsid w:val="006A59FA"/>
    <w:rsid w:val="006A5A7E"/>
    <w:rsid w:val="006A5C8B"/>
    <w:rsid w:val="006A7554"/>
    <w:rsid w:val="006A7BEB"/>
    <w:rsid w:val="006A7CAF"/>
    <w:rsid w:val="006B0137"/>
    <w:rsid w:val="006B03D1"/>
    <w:rsid w:val="006B0697"/>
    <w:rsid w:val="006B10BE"/>
    <w:rsid w:val="006B1275"/>
    <w:rsid w:val="006B1B28"/>
    <w:rsid w:val="006B28A6"/>
    <w:rsid w:val="006B2F96"/>
    <w:rsid w:val="006B323E"/>
    <w:rsid w:val="006B3384"/>
    <w:rsid w:val="006B33F8"/>
    <w:rsid w:val="006B3791"/>
    <w:rsid w:val="006B40AB"/>
    <w:rsid w:val="006B4E5D"/>
    <w:rsid w:val="006B4F43"/>
    <w:rsid w:val="006B5053"/>
    <w:rsid w:val="006B58DE"/>
    <w:rsid w:val="006B61E2"/>
    <w:rsid w:val="006B7435"/>
    <w:rsid w:val="006B7748"/>
    <w:rsid w:val="006B7AB1"/>
    <w:rsid w:val="006B7ECC"/>
    <w:rsid w:val="006B7EEE"/>
    <w:rsid w:val="006C0270"/>
    <w:rsid w:val="006C0B4D"/>
    <w:rsid w:val="006C0B55"/>
    <w:rsid w:val="006C0F13"/>
    <w:rsid w:val="006C26C3"/>
    <w:rsid w:val="006C2766"/>
    <w:rsid w:val="006C28F3"/>
    <w:rsid w:val="006C2A2F"/>
    <w:rsid w:val="006C2C4D"/>
    <w:rsid w:val="006C2F59"/>
    <w:rsid w:val="006C3002"/>
    <w:rsid w:val="006C34B9"/>
    <w:rsid w:val="006C42E7"/>
    <w:rsid w:val="006C43CA"/>
    <w:rsid w:val="006C4468"/>
    <w:rsid w:val="006C579F"/>
    <w:rsid w:val="006C5D1B"/>
    <w:rsid w:val="006C5EE7"/>
    <w:rsid w:val="006C60F9"/>
    <w:rsid w:val="006C637F"/>
    <w:rsid w:val="006C6F25"/>
    <w:rsid w:val="006C745C"/>
    <w:rsid w:val="006C7DE1"/>
    <w:rsid w:val="006D03D4"/>
    <w:rsid w:val="006D0490"/>
    <w:rsid w:val="006D0835"/>
    <w:rsid w:val="006D190C"/>
    <w:rsid w:val="006D1B9E"/>
    <w:rsid w:val="006D27C8"/>
    <w:rsid w:val="006D294E"/>
    <w:rsid w:val="006D2C45"/>
    <w:rsid w:val="006D2CB3"/>
    <w:rsid w:val="006D2F02"/>
    <w:rsid w:val="006D3ECF"/>
    <w:rsid w:val="006D4F00"/>
    <w:rsid w:val="006D5507"/>
    <w:rsid w:val="006D5E51"/>
    <w:rsid w:val="006D5EC0"/>
    <w:rsid w:val="006D608E"/>
    <w:rsid w:val="006D61EF"/>
    <w:rsid w:val="006D6F1C"/>
    <w:rsid w:val="006D7707"/>
    <w:rsid w:val="006E180D"/>
    <w:rsid w:val="006E200C"/>
    <w:rsid w:val="006E2777"/>
    <w:rsid w:val="006E290A"/>
    <w:rsid w:val="006E3483"/>
    <w:rsid w:val="006E36FE"/>
    <w:rsid w:val="006E39D8"/>
    <w:rsid w:val="006E3A6B"/>
    <w:rsid w:val="006E3AEC"/>
    <w:rsid w:val="006E3EBE"/>
    <w:rsid w:val="006E41C3"/>
    <w:rsid w:val="006E4EE6"/>
    <w:rsid w:val="006E5983"/>
    <w:rsid w:val="006E5CD5"/>
    <w:rsid w:val="006E6697"/>
    <w:rsid w:val="006E67BE"/>
    <w:rsid w:val="006E67D9"/>
    <w:rsid w:val="006E6ACC"/>
    <w:rsid w:val="006E7670"/>
    <w:rsid w:val="006F01A0"/>
    <w:rsid w:val="006F03CC"/>
    <w:rsid w:val="006F096F"/>
    <w:rsid w:val="006F0B9F"/>
    <w:rsid w:val="006F0DF6"/>
    <w:rsid w:val="006F2245"/>
    <w:rsid w:val="006F2593"/>
    <w:rsid w:val="006F294B"/>
    <w:rsid w:val="006F353A"/>
    <w:rsid w:val="006F4270"/>
    <w:rsid w:val="006F47F3"/>
    <w:rsid w:val="006F4F49"/>
    <w:rsid w:val="006F5A93"/>
    <w:rsid w:val="006F5D0A"/>
    <w:rsid w:val="006F6057"/>
    <w:rsid w:val="006F6137"/>
    <w:rsid w:val="006F66A4"/>
    <w:rsid w:val="006F69F1"/>
    <w:rsid w:val="006F72BE"/>
    <w:rsid w:val="006F7C88"/>
    <w:rsid w:val="006F7E4D"/>
    <w:rsid w:val="007001B0"/>
    <w:rsid w:val="00702DF5"/>
    <w:rsid w:val="00703223"/>
    <w:rsid w:val="00703589"/>
    <w:rsid w:val="00703A29"/>
    <w:rsid w:val="00704031"/>
    <w:rsid w:val="00705710"/>
    <w:rsid w:val="00705DDF"/>
    <w:rsid w:val="0070608F"/>
    <w:rsid w:val="00706174"/>
    <w:rsid w:val="0070685D"/>
    <w:rsid w:val="00706E0C"/>
    <w:rsid w:val="0070715D"/>
    <w:rsid w:val="00707210"/>
    <w:rsid w:val="007075F6"/>
    <w:rsid w:val="0071022D"/>
    <w:rsid w:val="00710237"/>
    <w:rsid w:val="00711256"/>
    <w:rsid w:val="0071157A"/>
    <w:rsid w:val="00711988"/>
    <w:rsid w:val="00711E09"/>
    <w:rsid w:val="0071284A"/>
    <w:rsid w:val="00712DC3"/>
    <w:rsid w:val="00713446"/>
    <w:rsid w:val="00713A6E"/>
    <w:rsid w:val="00713F2F"/>
    <w:rsid w:val="00714179"/>
    <w:rsid w:val="007142D4"/>
    <w:rsid w:val="007145A3"/>
    <w:rsid w:val="00715545"/>
    <w:rsid w:val="007156B6"/>
    <w:rsid w:val="00715C8B"/>
    <w:rsid w:val="00715DBE"/>
    <w:rsid w:val="00716675"/>
    <w:rsid w:val="00717B9E"/>
    <w:rsid w:val="00717BA3"/>
    <w:rsid w:val="00717D70"/>
    <w:rsid w:val="007211DF"/>
    <w:rsid w:val="007214C4"/>
    <w:rsid w:val="00722F26"/>
    <w:rsid w:val="00723834"/>
    <w:rsid w:val="00723963"/>
    <w:rsid w:val="007243F3"/>
    <w:rsid w:val="007246FF"/>
    <w:rsid w:val="00724B47"/>
    <w:rsid w:val="00724D59"/>
    <w:rsid w:val="007255CE"/>
    <w:rsid w:val="00725B04"/>
    <w:rsid w:val="00725D85"/>
    <w:rsid w:val="00725DB7"/>
    <w:rsid w:val="007260D2"/>
    <w:rsid w:val="007264C7"/>
    <w:rsid w:val="00726669"/>
    <w:rsid w:val="007266A8"/>
    <w:rsid w:val="00726988"/>
    <w:rsid w:val="00726E4A"/>
    <w:rsid w:val="00727454"/>
    <w:rsid w:val="00731429"/>
    <w:rsid w:val="0073162B"/>
    <w:rsid w:val="0073213F"/>
    <w:rsid w:val="00733619"/>
    <w:rsid w:val="007339AA"/>
    <w:rsid w:val="00733F25"/>
    <w:rsid w:val="00734393"/>
    <w:rsid w:val="00734509"/>
    <w:rsid w:val="0073517F"/>
    <w:rsid w:val="0073597B"/>
    <w:rsid w:val="007360C0"/>
    <w:rsid w:val="00736127"/>
    <w:rsid w:val="00736541"/>
    <w:rsid w:val="007365C9"/>
    <w:rsid w:val="00737592"/>
    <w:rsid w:val="007378C9"/>
    <w:rsid w:val="00737D50"/>
    <w:rsid w:val="00737F47"/>
    <w:rsid w:val="007400C9"/>
    <w:rsid w:val="0074053F"/>
    <w:rsid w:val="00740FE1"/>
    <w:rsid w:val="00741841"/>
    <w:rsid w:val="00741B25"/>
    <w:rsid w:val="00741CCB"/>
    <w:rsid w:val="00742750"/>
    <w:rsid w:val="00742A89"/>
    <w:rsid w:val="00743A3E"/>
    <w:rsid w:val="00743FFE"/>
    <w:rsid w:val="0074439A"/>
    <w:rsid w:val="0074494E"/>
    <w:rsid w:val="00744F44"/>
    <w:rsid w:val="00745593"/>
    <w:rsid w:val="00745804"/>
    <w:rsid w:val="00745CA8"/>
    <w:rsid w:val="00746165"/>
    <w:rsid w:val="00746C9E"/>
    <w:rsid w:val="00746EE7"/>
    <w:rsid w:val="0074730C"/>
    <w:rsid w:val="0074793C"/>
    <w:rsid w:val="00747E0D"/>
    <w:rsid w:val="0075014B"/>
    <w:rsid w:val="00751482"/>
    <w:rsid w:val="00751839"/>
    <w:rsid w:val="00751881"/>
    <w:rsid w:val="00752016"/>
    <w:rsid w:val="00752E39"/>
    <w:rsid w:val="007538DB"/>
    <w:rsid w:val="007541F5"/>
    <w:rsid w:val="0075420A"/>
    <w:rsid w:val="00754C4C"/>
    <w:rsid w:val="00755160"/>
    <w:rsid w:val="007554F5"/>
    <w:rsid w:val="00755C0B"/>
    <w:rsid w:val="00755E0E"/>
    <w:rsid w:val="007561A5"/>
    <w:rsid w:val="007569DF"/>
    <w:rsid w:val="00756CFE"/>
    <w:rsid w:val="00756ECA"/>
    <w:rsid w:val="007571FA"/>
    <w:rsid w:val="00757685"/>
    <w:rsid w:val="007579A9"/>
    <w:rsid w:val="007602DC"/>
    <w:rsid w:val="007605C4"/>
    <w:rsid w:val="007606A0"/>
    <w:rsid w:val="00760E7A"/>
    <w:rsid w:val="00760EB8"/>
    <w:rsid w:val="00761D27"/>
    <w:rsid w:val="0076225C"/>
    <w:rsid w:val="007630AD"/>
    <w:rsid w:val="0076336F"/>
    <w:rsid w:val="00763C48"/>
    <w:rsid w:val="007640EB"/>
    <w:rsid w:val="00764AC5"/>
    <w:rsid w:val="00764D1D"/>
    <w:rsid w:val="00765154"/>
    <w:rsid w:val="007651B4"/>
    <w:rsid w:val="00765501"/>
    <w:rsid w:val="007656AE"/>
    <w:rsid w:val="007656E4"/>
    <w:rsid w:val="00765803"/>
    <w:rsid w:val="00765B0F"/>
    <w:rsid w:val="007666EC"/>
    <w:rsid w:val="00767063"/>
    <w:rsid w:val="00767A02"/>
    <w:rsid w:val="00767BE2"/>
    <w:rsid w:val="00767C61"/>
    <w:rsid w:val="00767EC6"/>
    <w:rsid w:val="007705F3"/>
    <w:rsid w:val="00770C26"/>
    <w:rsid w:val="00770C65"/>
    <w:rsid w:val="007722A7"/>
    <w:rsid w:val="007723CA"/>
    <w:rsid w:val="00772715"/>
    <w:rsid w:val="00772AE5"/>
    <w:rsid w:val="00772D52"/>
    <w:rsid w:val="0077363E"/>
    <w:rsid w:val="00773DF5"/>
    <w:rsid w:val="00773E0C"/>
    <w:rsid w:val="00773FC5"/>
    <w:rsid w:val="007748E3"/>
    <w:rsid w:val="0077501E"/>
    <w:rsid w:val="007760C6"/>
    <w:rsid w:val="0077651B"/>
    <w:rsid w:val="0077717F"/>
    <w:rsid w:val="0077782F"/>
    <w:rsid w:val="007805F6"/>
    <w:rsid w:val="007808B5"/>
    <w:rsid w:val="0078124F"/>
    <w:rsid w:val="007819ED"/>
    <w:rsid w:val="00782237"/>
    <w:rsid w:val="0078240E"/>
    <w:rsid w:val="007824EB"/>
    <w:rsid w:val="00782D5A"/>
    <w:rsid w:val="007837E5"/>
    <w:rsid w:val="007838ED"/>
    <w:rsid w:val="00783BED"/>
    <w:rsid w:val="00783D80"/>
    <w:rsid w:val="00783DA4"/>
    <w:rsid w:val="00783FE6"/>
    <w:rsid w:val="0078425D"/>
    <w:rsid w:val="00785267"/>
    <w:rsid w:val="007857FF"/>
    <w:rsid w:val="00785D85"/>
    <w:rsid w:val="00785EE1"/>
    <w:rsid w:val="00785F82"/>
    <w:rsid w:val="00786277"/>
    <w:rsid w:val="00786340"/>
    <w:rsid w:val="0078659F"/>
    <w:rsid w:val="0078664A"/>
    <w:rsid w:val="00786933"/>
    <w:rsid w:val="00787C4C"/>
    <w:rsid w:val="007903F4"/>
    <w:rsid w:val="00790612"/>
    <w:rsid w:val="0079073F"/>
    <w:rsid w:val="007914B2"/>
    <w:rsid w:val="00792550"/>
    <w:rsid w:val="007931FB"/>
    <w:rsid w:val="007934ED"/>
    <w:rsid w:val="00793A7B"/>
    <w:rsid w:val="007942A2"/>
    <w:rsid w:val="0079470E"/>
    <w:rsid w:val="00795928"/>
    <w:rsid w:val="00795BFB"/>
    <w:rsid w:val="00796037"/>
    <w:rsid w:val="00796077"/>
    <w:rsid w:val="00796160"/>
    <w:rsid w:val="00796566"/>
    <w:rsid w:val="0079744C"/>
    <w:rsid w:val="007979D0"/>
    <w:rsid w:val="007A0059"/>
    <w:rsid w:val="007A02C7"/>
    <w:rsid w:val="007A0410"/>
    <w:rsid w:val="007A044F"/>
    <w:rsid w:val="007A0508"/>
    <w:rsid w:val="007A0E88"/>
    <w:rsid w:val="007A15CB"/>
    <w:rsid w:val="007A1797"/>
    <w:rsid w:val="007A17C2"/>
    <w:rsid w:val="007A2115"/>
    <w:rsid w:val="007A2A81"/>
    <w:rsid w:val="007A2BE8"/>
    <w:rsid w:val="007A3112"/>
    <w:rsid w:val="007A3B74"/>
    <w:rsid w:val="007A3DF0"/>
    <w:rsid w:val="007A486A"/>
    <w:rsid w:val="007A4FE7"/>
    <w:rsid w:val="007A5999"/>
    <w:rsid w:val="007A64F2"/>
    <w:rsid w:val="007A6A81"/>
    <w:rsid w:val="007A6EB4"/>
    <w:rsid w:val="007A70FE"/>
    <w:rsid w:val="007A746C"/>
    <w:rsid w:val="007A78E0"/>
    <w:rsid w:val="007B04B4"/>
    <w:rsid w:val="007B0A50"/>
    <w:rsid w:val="007B0BBD"/>
    <w:rsid w:val="007B103A"/>
    <w:rsid w:val="007B1313"/>
    <w:rsid w:val="007B1676"/>
    <w:rsid w:val="007B1A79"/>
    <w:rsid w:val="007B2743"/>
    <w:rsid w:val="007B2963"/>
    <w:rsid w:val="007B2D61"/>
    <w:rsid w:val="007B340F"/>
    <w:rsid w:val="007B44FF"/>
    <w:rsid w:val="007B4E89"/>
    <w:rsid w:val="007B5A02"/>
    <w:rsid w:val="007B5C7F"/>
    <w:rsid w:val="007B6528"/>
    <w:rsid w:val="007B68A0"/>
    <w:rsid w:val="007B6B87"/>
    <w:rsid w:val="007B7A35"/>
    <w:rsid w:val="007B7C41"/>
    <w:rsid w:val="007C01A6"/>
    <w:rsid w:val="007C03A0"/>
    <w:rsid w:val="007C0634"/>
    <w:rsid w:val="007C19EE"/>
    <w:rsid w:val="007C2494"/>
    <w:rsid w:val="007C2614"/>
    <w:rsid w:val="007C2836"/>
    <w:rsid w:val="007C31EA"/>
    <w:rsid w:val="007C3423"/>
    <w:rsid w:val="007C3660"/>
    <w:rsid w:val="007C36A3"/>
    <w:rsid w:val="007C3BF4"/>
    <w:rsid w:val="007C472A"/>
    <w:rsid w:val="007C4E09"/>
    <w:rsid w:val="007C50F3"/>
    <w:rsid w:val="007C55DD"/>
    <w:rsid w:val="007C5AC7"/>
    <w:rsid w:val="007C5B88"/>
    <w:rsid w:val="007C5BFB"/>
    <w:rsid w:val="007C637E"/>
    <w:rsid w:val="007C6AB8"/>
    <w:rsid w:val="007C7736"/>
    <w:rsid w:val="007C797E"/>
    <w:rsid w:val="007D0331"/>
    <w:rsid w:val="007D1300"/>
    <w:rsid w:val="007D18AF"/>
    <w:rsid w:val="007D1ADD"/>
    <w:rsid w:val="007D273A"/>
    <w:rsid w:val="007D3108"/>
    <w:rsid w:val="007D44E5"/>
    <w:rsid w:val="007D4830"/>
    <w:rsid w:val="007D4953"/>
    <w:rsid w:val="007D4D2C"/>
    <w:rsid w:val="007D51C5"/>
    <w:rsid w:val="007D5364"/>
    <w:rsid w:val="007D5A05"/>
    <w:rsid w:val="007D5EAC"/>
    <w:rsid w:val="007D624D"/>
    <w:rsid w:val="007D68B3"/>
    <w:rsid w:val="007D75EA"/>
    <w:rsid w:val="007D7D6E"/>
    <w:rsid w:val="007E0601"/>
    <w:rsid w:val="007E0735"/>
    <w:rsid w:val="007E11CA"/>
    <w:rsid w:val="007E176F"/>
    <w:rsid w:val="007E1B27"/>
    <w:rsid w:val="007E1FF5"/>
    <w:rsid w:val="007E27AB"/>
    <w:rsid w:val="007E2AA1"/>
    <w:rsid w:val="007E2B83"/>
    <w:rsid w:val="007E2BB2"/>
    <w:rsid w:val="007E2CBF"/>
    <w:rsid w:val="007E3130"/>
    <w:rsid w:val="007E327E"/>
    <w:rsid w:val="007E3EEA"/>
    <w:rsid w:val="007E4995"/>
    <w:rsid w:val="007E5BE4"/>
    <w:rsid w:val="007E5C0B"/>
    <w:rsid w:val="007E69D8"/>
    <w:rsid w:val="007F03BD"/>
    <w:rsid w:val="007F0D5F"/>
    <w:rsid w:val="007F1290"/>
    <w:rsid w:val="007F161B"/>
    <w:rsid w:val="007F1E23"/>
    <w:rsid w:val="007F24BF"/>
    <w:rsid w:val="007F253E"/>
    <w:rsid w:val="007F2C11"/>
    <w:rsid w:val="007F2C4E"/>
    <w:rsid w:val="007F3AA6"/>
    <w:rsid w:val="007F3B23"/>
    <w:rsid w:val="007F3E9C"/>
    <w:rsid w:val="007F4302"/>
    <w:rsid w:val="007F5450"/>
    <w:rsid w:val="007F5509"/>
    <w:rsid w:val="007F564D"/>
    <w:rsid w:val="007F5825"/>
    <w:rsid w:val="007F59F0"/>
    <w:rsid w:val="007F623C"/>
    <w:rsid w:val="007F633E"/>
    <w:rsid w:val="007F6395"/>
    <w:rsid w:val="007F64E4"/>
    <w:rsid w:val="007F6831"/>
    <w:rsid w:val="007F68DF"/>
    <w:rsid w:val="007F6FB1"/>
    <w:rsid w:val="007F7094"/>
    <w:rsid w:val="007F7275"/>
    <w:rsid w:val="007F7778"/>
    <w:rsid w:val="007F7DF2"/>
    <w:rsid w:val="0080016B"/>
    <w:rsid w:val="008006B4"/>
    <w:rsid w:val="008009A4"/>
    <w:rsid w:val="00800AB4"/>
    <w:rsid w:val="00800CB8"/>
    <w:rsid w:val="0080161B"/>
    <w:rsid w:val="0080198B"/>
    <w:rsid w:val="00802DEB"/>
    <w:rsid w:val="00803DB1"/>
    <w:rsid w:val="00804071"/>
    <w:rsid w:val="0080407F"/>
    <w:rsid w:val="00804AD9"/>
    <w:rsid w:val="00804BD6"/>
    <w:rsid w:val="00804ECE"/>
    <w:rsid w:val="00804EF7"/>
    <w:rsid w:val="00804FBD"/>
    <w:rsid w:val="00805214"/>
    <w:rsid w:val="008055A6"/>
    <w:rsid w:val="008057F1"/>
    <w:rsid w:val="00805ABA"/>
    <w:rsid w:val="008073D6"/>
    <w:rsid w:val="00807B23"/>
    <w:rsid w:val="00807B8B"/>
    <w:rsid w:val="00807E0F"/>
    <w:rsid w:val="00807E44"/>
    <w:rsid w:val="00810300"/>
    <w:rsid w:val="00811144"/>
    <w:rsid w:val="008117CE"/>
    <w:rsid w:val="00811CDB"/>
    <w:rsid w:val="00812662"/>
    <w:rsid w:val="0081279F"/>
    <w:rsid w:val="00812E9C"/>
    <w:rsid w:val="0081319C"/>
    <w:rsid w:val="00813A36"/>
    <w:rsid w:val="00813BF8"/>
    <w:rsid w:val="00813CBC"/>
    <w:rsid w:val="0081428F"/>
    <w:rsid w:val="0081458B"/>
    <w:rsid w:val="008151D1"/>
    <w:rsid w:val="008156FA"/>
    <w:rsid w:val="00815869"/>
    <w:rsid w:val="00815D00"/>
    <w:rsid w:val="00815DCD"/>
    <w:rsid w:val="008168FC"/>
    <w:rsid w:val="00816D19"/>
    <w:rsid w:val="008170E6"/>
    <w:rsid w:val="008200FF"/>
    <w:rsid w:val="008216CC"/>
    <w:rsid w:val="0082188C"/>
    <w:rsid w:val="00822C16"/>
    <w:rsid w:val="0082331E"/>
    <w:rsid w:val="00823705"/>
    <w:rsid w:val="00823DA4"/>
    <w:rsid w:val="008241C8"/>
    <w:rsid w:val="008254C0"/>
    <w:rsid w:val="00825680"/>
    <w:rsid w:val="0082604A"/>
    <w:rsid w:val="0082633C"/>
    <w:rsid w:val="0082633F"/>
    <w:rsid w:val="00826892"/>
    <w:rsid w:val="00826F24"/>
    <w:rsid w:val="00826FF6"/>
    <w:rsid w:val="008272CB"/>
    <w:rsid w:val="00827BFA"/>
    <w:rsid w:val="00831844"/>
    <w:rsid w:val="00831F71"/>
    <w:rsid w:val="00832326"/>
    <w:rsid w:val="00832D5F"/>
    <w:rsid w:val="00833114"/>
    <w:rsid w:val="008340F6"/>
    <w:rsid w:val="008341C7"/>
    <w:rsid w:val="00834376"/>
    <w:rsid w:val="0083492D"/>
    <w:rsid w:val="00834D09"/>
    <w:rsid w:val="008352E0"/>
    <w:rsid w:val="00835F7B"/>
    <w:rsid w:val="00836445"/>
    <w:rsid w:val="008365E7"/>
    <w:rsid w:val="0084055C"/>
    <w:rsid w:val="008406F5"/>
    <w:rsid w:val="00840815"/>
    <w:rsid w:val="0084096D"/>
    <w:rsid w:val="008411AF"/>
    <w:rsid w:val="00841F29"/>
    <w:rsid w:val="00843175"/>
    <w:rsid w:val="00843AF2"/>
    <w:rsid w:val="00843E39"/>
    <w:rsid w:val="00843F20"/>
    <w:rsid w:val="00844331"/>
    <w:rsid w:val="00844861"/>
    <w:rsid w:val="00844A1C"/>
    <w:rsid w:val="00844E73"/>
    <w:rsid w:val="008451C0"/>
    <w:rsid w:val="0084591F"/>
    <w:rsid w:val="00845D17"/>
    <w:rsid w:val="00845D24"/>
    <w:rsid w:val="00845EF8"/>
    <w:rsid w:val="00846044"/>
    <w:rsid w:val="00846BAD"/>
    <w:rsid w:val="00846D0E"/>
    <w:rsid w:val="00847B90"/>
    <w:rsid w:val="00847DDA"/>
    <w:rsid w:val="00847F64"/>
    <w:rsid w:val="00850482"/>
    <w:rsid w:val="00850ABE"/>
    <w:rsid w:val="00850C1E"/>
    <w:rsid w:val="008514D6"/>
    <w:rsid w:val="0085174B"/>
    <w:rsid w:val="00851E87"/>
    <w:rsid w:val="00852273"/>
    <w:rsid w:val="00852518"/>
    <w:rsid w:val="0085263C"/>
    <w:rsid w:val="00852F5D"/>
    <w:rsid w:val="00852F83"/>
    <w:rsid w:val="0085305C"/>
    <w:rsid w:val="008535C4"/>
    <w:rsid w:val="00853BAA"/>
    <w:rsid w:val="0085443C"/>
    <w:rsid w:val="008549DB"/>
    <w:rsid w:val="0085559A"/>
    <w:rsid w:val="00855C17"/>
    <w:rsid w:val="00855FC7"/>
    <w:rsid w:val="008561B8"/>
    <w:rsid w:val="00856549"/>
    <w:rsid w:val="00856AA5"/>
    <w:rsid w:val="008576B7"/>
    <w:rsid w:val="00857B14"/>
    <w:rsid w:val="00857D82"/>
    <w:rsid w:val="00860314"/>
    <w:rsid w:val="0086151A"/>
    <w:rsid w:val="008622A3"/>
    <w:rsid w:val="008622AE"/>
    <w:rsid w:val="00862620"/>
    <w:rsid w:val="00862861"/>
    <w:rsid w:val="00862A73"/>
    <w:rsid w:val="008630AD"/>
    <w:rsid w:val="00863A52"/>
    <w:rsid w:val="00863D79"/>
    <w:rsid w:val="0086403B"/>
    <w:rsid w:val="00864201"/>
    <w:rsid w:val="00864279"/>
    <w:rsid w:val="00864D6F"/>
    <w:rsid w:val="00865CF4"/>
    <w:rsid w:val="00865F01"/>
    <w:rsid w:val="00867335"/>
    <w:rsid w:val="0086749C"/>
    <w:rsid w:val="00867671"/>
    <w:rsid w:val="008677B2"/>
    <w:rsid w:val="00867C8F"/>
    <w:rsid w:val="00870637"/>
    <w:rsid w:val="0087067B"/>
    <w:rsid w:val="00870951"/>
    <w:rsid w:val="00870B4D"/>
    <w:rsid w:val="00871DE5"/>
    <w:rsid w:val="008724C8"/>
    <w:rsid w:val="00872A64"/>
    <w:rsid w:val="00872D63"/>
    <w:rsid w:val="00874190"/>
    <w:rsid w:val="00874DB9"/>
    <w:rsid w:val="00875166"/>
    <w:rsid w:val="008753B5"/>
    <w:rsid w:val="00875653"/>
    <w:rsid w:val="00875C0E"/>
    <w:rsid w:val="00875D54"/>
    <w:rsid w:val="00876095"/>
    <w:rsid w:val="00876D7F"/>
    <w:rsid w:val="00877E4F"/>
    <w:rsid w:val="008806DC"/>
    <w:rsid w:val="00880AAD"/>
    <w:rsid w:val="00880D8D"/>
    <w:rsid w:val="00880EA8"/>
    <w:rsid w:val="008811A4"/>
    <w:rsid w:val="00882664"/>
    <w:rsid w:val="00882B70"/>
    <w:rsid w:val="008830A1"/>
    <w:rsid w:val="00883678"/>
    <w:rsid w:val="008837C1"/>
    <w:rsid w:val="00883A73"/>
    <w:rsid w:val="00883AA9"/>
    <w:rsid w:val="00883D04"/>
    <w:rsid w:val="008842F5"/>
    <w:rsid w:val="00884333"/>
    <w:rsid w:val="00884A0F"/>
    <w:rsid w:val="00884FEE"/>
    <w:rsid w:val="00885164"/>
    <w:rsid w:val="0088530D"/>
    <w:rsid w:val="0088552E"/>
    <w:rsid w:val="00885D17"/>
    <w:rsid w:val="00885DBA"/>
    <w:rsid w:val="008862AC"/>
    <w:rsid w:val="00886715"/>
    <w:rsid w:val="00886C85"/>
    <w:rsid w:val="00886D17"/>
    <w:rsid w:val="008871FD"/>
    <w:rsid w:val="00887E4F"/>
    <w:rsid w:val="00890316"/>
    <w:rsid w:val="00890A86"/>
    <w:rsid w:val="00891907"/>
    <w:rsid w:val="0089192A"/>
    <w:rsid w:val="00891C87"/>
    <w:rsid w:val="008929AF"/>
    <w:rsid w:val="00892A33"/>
    <w:rsid w:val="00894B13"/>
    <w:rsid w:val="00894B54"/>
    <w:rsid w:val="00894FCD"/>
    <w:rsid w:val="0089504A"/>
    <w:rsid w:val="00895069"/>
    <w:rsid w:val="008952FE"/>
    <w:rsid w:val="00895692"/>
    <w:rsid w:val="00895792"/>
    <w:rsid w:val="00895AA1"/>
    <w:rsid w:val="00896162"/>
    <w:rsid w:val="008966C5"/>
    <w:rsid w:val="0089672D"/>
    <w:rsid w:val="00896A61"/>
    <w:rsid w:val="00896BC2"/>
    <w:rsid w:val="00896FA4"/>
    <w:rsid w:val="00897DD2"/>
    <w:rsid w:val="008A09DF"/>
    <w:rsid w:val="008A0D7D"/>
    <w:rsid w:val="008A0F89"/>
    <w:rsid w:val="008A1347"/>
    <w:rsid w:val="008A1777"/>
    <w:rsid w:val="008A17A6"/>
    <w:rsid w:val="008A1C67"/>
    <w:rsid w:val="008A204E"/>
    <w:rsid w:val="008A2AD2"/>
    <w:rsid w:val="008A2E9C"/>
    <w:rsid w:val="008A359F"/>
    <w:rsid w:val="008A3980"/>
    <w:rsid w:val="008A40F6"/>
    <w:rsid w:val="008A5E2F"/>
    <w:rsid w:val="008A68BF"/>
    <w:rsid w:val="008A77E7"/>
    <w:rsid w:val="008B0193"/>
    <w:rsid w:val="008B077E"/>
    <w:rsid w:val="008B0A0F"/>
    <w:rsid w:val="008B1994"/>
    <w:rsid w:val="008B1A59"/>
    <w:rsid w:val="008B1E18"/>
    <w:rsid w:val="008B1E22"/>
    <w:rsid w:val="008B2724"/>
    <w:rsid w:val="008B3405"/>
    <w:rsid w:val="008B43F3"/>
    <w:rsid w:val="008B4488"/>
    <w:rsid w:val="008B472D"/>
    <w:rsid w:val="008B4A55"/>
    <w:rsid w:val="008B4E2B"/>
    <w:rsid w:val="008B5006"/>
    <w:rsid w:val="008B506F"/>
    <w:rsid w:val="008B542A"/>
    <w:rsid w:val="008B59C2"/>
    <w:rsid w:val="008B5FD8"/>
    <w:rsid w:val="008B6303"/>
    <w:rsid w:val="008B68B1"/>
    <w:rsid w:val="008B6BBE"/>
    <w:rsid w:val="008B75D0"/>
    <w:rsid w:val="008B7F37"/>
    <w:rsid w:val="008C0188"/>
    <w:rsid w:val="008C05C9"/>
    <w:rsid w:val="008C06B4"/>
    <w:rsid w:val="008C1400"/>
    <w:rsid w:val="008C1B86"/>
    <w:rsid w:val="008C1EE2"/>
    <w:rsid w:val="008C2167"/>
    <w:rsid w:val="008C2371"/>
    <w:rsid w:val="008C2CDC"/>
    <w:rsid w:val="008C376E"/>
    <w:rsid w:val="008C3DD0"/>
    <w:rsid w:val="008C468F"/>
    <w:rsid w:val="008C4ABB"/>
    <w:rsid w:val="008C54A3"/>
    <w:rsid w:val="008C581B"/>
    <w:rsid w:val="008C5B7C"/>
    <w:rsid w:val="008C5D3F"/>
    <w:rsid w:val="008D0316"/>
    <w:rsid w:val="008D05D4"/>
    <w:rsid w:val="008D063F"/>
    <w:rsid w:val="008D0CDD"/>
    <w:rsid w:val="008D120C"/>
    <w:rsid w:val="008D14CA"/>
    <w:rsid w:val="008D1CF7"/>
    <w:rsid w:val="008D223D"/>
    <w:rsid w:val="008D30CF"/>
    <w:rsid w:val="008D360A"/>
    <w:rsid w:val="008D47DF"/>
    <w:rsid w:val="008D6AC5"/>
    <w:rsid w:val="008D6D37"/>
    <w:rsid w:val="008D6FD1"/>
    <w:rsid w:val="008E06FA"/>
    <w:rsid w:val="008E070D"/>
    <w:rsid w:val="008E0D1F"/>
    <w:rsid w:val="008E162F"/>
    <w:rsid w:val="008E2488"/>
    <w:rsid w:val="008E2524"/>
    <w:rsid w:val="008E25C1"/>
    <w:rsid w:val="008E2829"/>
    <w:rsid w:val="008E329E"/>
    <w:rsid w:val="008E362D"/>
    <w:rsid w:val="008E4A3F"/>
    <w:rsid w:val="008E4DAC"/>
    <w:rsid w:val="008E4F79"/>
    <w:rsid w:val="008E5058"/>
    <w:rsid w:val="008E5505"/>
    <w:rsid w:val="008E5A9B"/>
    <w:rsid w:val="008E617D"/>
    <w:rsid w:val="008E6A3A"/>
    <w:rsid w:val="008E6E88"/>
    <w:rsid w:val="008E743E"/>
    <w:rsid w:val="008E7487"/>
    <w:rsid w:val="008E76CF"/>
    <w:rsid w:val="008E7C3E"/>
    <w:rsid w:val="008F08A1"/>
    <w:rsid w:val="008F0BFB"/>
    <w:rsid w:val="008F0F6A"/>
    <w:rsid w:val="008F0F9F"/>
    <w:rsid w:val="008F166F"/>
    <w:rsid w:val="008F179C"/>
    <w:rsid w:val="008F1955"/>
    <w:rsid w:val="008F1B6D"/>
    <w:rsid w:val="008F226F"/>
    <w:rsid w:val="008F2807"/>
    <w:rsid w:val="008F2DB5"/>
    <w:rsid w:val="008F2FA6"/>
    <w:rsid w:val="008F2FB1"/>
    <w:rsid w:val="008F3301"/>
    <w:rsid w:val="008F3D30"/>
    <w:rsid w:val="008F4788"/>
    <w:rsid w:val="008F4B81"/>
    <w:rsid w:val="008F4CFB"/>
    <w:rsid w:val="008F58A1"/>
    <w:rsid w:val="008F692F"/>
    <w:rsid w:val="008F6A48"/>
    <w:rsid w:val="008F6D2D"/>
    <w:rsid w:val="008F766E"/>
    <w:rsid w:val="00900578"/>
    <w:rsid w:val="00901413"/>
    <w:rsid w:val="00901921"/>
    <w:rsid w:val="00901BAA"/>
    <w:rsid w:val="00902816"/>
    <w:rsid w:val="0090298B"/>
    <w:rsid w:val="00902DD9"/>
    <w:rsid w:val="00902E71"/>
    <w:rsid w:val="009033F1"/>
    <w:rsid w:val="0090384C"/>
    <w:rsid w:val="0090534D"/>
    <w:rsid w:val="009057BC"/>
    <w:rsid w:val="00905E7C"/>
    <w:rsid w:val="00906D0B"/>
    <w:rsid w:val="00906DD2"/>
    <w:rsid w:val="00906FCE"/>
    <w:rsid w:val="009075E8"/>
    <w:rsid w:val="00907AE5"/>
    <w:rsid w:val="00907F56"/>
    <w:rsid w:val="0091076C"/>
    <w:rsid w:val="00911855"/>
    <w:rsid w:val="0091265D"/>
    <w:rsid w:val="009128D6"/>
    <w:rsid w:val="00912BEC"/>
    <w:rsid w:val="00913703"/>
    <w:rsid w:val="00913D02"/>
    <w:rsid w:val="00913F3B"/>
    <w:rsid w:val="0091420A"/>
    <w:rsid w:val="009142E8"/>
    <w:rsid w:val="009148D7"/>
    <w:rsid w:val="00914CDA"/>
    <w:rsid w:val="009156EC"/>
    <w:rsid w:val="0091581D"/>
    <w:rsid w:val="009159E7"/>
    <w:rsid w:val="00915ADB"/>
    <w:rsid w:val="00915C0C"/>
    <w:rsid w:val="00916375"/>
    <w:rsid w:val="009164A9"/>
    <w:rsid w:val="00916557"/>
    <w:rsid w:val="009176E9"/>
    <w:rsid w:val="0092027B"/>
    <w:rsid w:val="00920449"/>
    <w:rsid w:val="009204DE"/>
    <w:rsid w:val="00920738"/>
    <w:rsid w:val="00921508"/>
    <w:rsid w:val="00922523"/>
    <w:rsid w:val="00922709"/>
    <w:rsid w:val="00922E8A"/>
    <w:rsid w:val="009236DD"/>
    <w:rsid w:val="00923FD1"/>
    <w:rsid w:val="00924104"/>
    <w:rsid w:val="00924704"/>
    <w:rsid w:val="00924F7B"/>
    <w:rsid w:val="009257CB"/>
    <w:rsid w:val="009266D3"/>
    <w:rsid w:val="00927976"/>
    <w:rsid w:val="00927B4B"/>
    <w:rsid w:val="00930190"/>
    <w:rsid w:val="009301DE"/>
    <w:rsid w:val="00930CCA"/>
    <w:rsid w:val="00930E73"/>
    <w:rsid w:val="00930F71"/>
    <w:rsid w:val="00930FD7"/>
    <w:rsid w:val="00932600"/>
    <w:rsid w:val="009328B2"/>
    <w:rsid w:val="009338F7"/>
    <w:rsid w:val="00933F00"/>
    <w:rsid w:val="00933FDA"/>
    <w:rsid w:val="00934634"/>
    <w:rsid w:val="009346C9"/>
    <w:rsid w:val="00934EB6"/>
    <w:rsid w:val="00935379"/>
    <w:rsid w:val="00935C65"/>
    <w:rsid w:val="009363F2"/>
    <w:rsid w:val="009372E6"/>
    <w:rsid w:val="0094049E"/>
    <w:rsid w:val="00940A18"/>
    <w:rsid w:val="00940D00"/>
    <w:rsid w:val="009414BE"/>
    <w:rsid w:val="00941C91"/>
    <w:rsid w:val="009421CD"/>
    <w:rsid w:val="009427EC"/>
    <w:rsid w:val="00942D07"/>
    <w:rsid w:val="00942DF5"/>
    <w:rsid w:val="00943487"/>
    <w:rsid w:val="009439BB"/>
    <w:rsid w:val="009443A0"/>
    <w:rsid w:val="00944B16"/>
    <w:rsid w:val="00944C93"/>
    <w:rsid w:val="00945AD9"/>
    <w:rsid w:val="00946412"/>
    <w:rsid w:val="0094652D"/>
    <w:rsid w:val="00946CA1"/>
    <w:rsid w:val="00947091"/>
    <w:rsid w:val="0094742E"/>
    <w:rsid w:val="009478E4"/>
    <w:rsid w:val="00950429"/>
    <w:rsid w:val="00950504"/>
    <w:rsid w:val="00950CD9"/>
    <w:rsid w:val="00950DCE"/>
    <w:rsid w:val="00951B53"/>
    <w:rsid w:val="00951EE4"/>
    <w:rsid w:val="009529C0"/>
    <w:rsid w:val="00952CE7"/>
    <w:rsid w:val="00954BB8"/>
    <w:rsid w:val="00954CEF"/>
    <w:rsid w:val="00954D14"/>
    <w:rsid w:val="00954DC8"/>
    <w:rsid w:val="00955037"/>
    <w:rsid w:val="00955469"/>
    <w:rsid w:val="00955600"/>
    <w:rsid w:val="00955867"/>
    <w:rsid w:val="00955BC0"/>
    <w:rsid w:val="00955C22"/>
    <w:rsid w:val="00955E93"/>
    <w:rsid w:val="00955EC8"/>
    <w:rsid w:val="0095647B"/>
    <w:rsid w:val="009564CC"/>
    <w:rsid w:val="0095742E"/>
    <w:rsid w:val="0095762D"/>
    <w:rsid w:val="00957E90"/>
    <w:rsid w:val="00960507"/>
    <w:rsid w:val="00960648"/>
    <w:rsid w:val="009606FE"/>
    <w:rsid w:val="00960A01"/>
    <w:rsid w:val="0096190B"/>
    <w:rsid w:val="009620FF"/>
    <w:rsid w:val="0096237C"/>
    <w:rsid w:val="009624B1"/>
    <w:rsid w:val="00962570"/>
    <w:rsid w:val="0096293D"/>
    <w:rsid w:val="009631E9"/>
    <w:rsid w:val="0096365D"/>
    <w:rsid w:val="00963EBF"/>
    <w:rsid w:val="00963FAA"/>
    <w:rsid w:val="009642EF"/>
    <w:rsid w:val="009645BE"/>
    <w:rsid w:val="009653F4"/>
    <w:rsid w:val="0096573F"/>
    <w:rsid w:val="009659E9"/>
    <w:rsid w:val="00965D78"/>
    <w:rsid w:val="00966921"/>
    <w:rsid w:val="00966C1F"/>
    <w:rsid w:val="00967152"/>
    <w:rsid w:val="009678C3"/>
    <w:rsid w:val="009679EA"/>
    <w:rsid w:val="00967ACE"/>
    <w:rsid w:val="009703C3"/>
    <w:rsid w:val="0097063B"/>
    <w:rsid w:val="00970ADB"/>
    <w:rsid w:val="00970EA5"/>
    <w:rsid w:val="00971061"/>
    <w:rsid w:val="0097126D"/>
    <w:rsid w:val="00971490"/>
    <w:rsid w:val="00971CDD"/>
    <w:rsid w:val="00971D29"/>
    <w:rsid w:val="00972387"/>
    <w:rsid w:val="00972511"/>
    <w:rsid w:val="00972E3D"/>
    <w:rsid w:val="00973306"/>
    <w:rsid w:val="009735F6"/>
    <w:rsid w:val="0097410E"/>
    <w:rsid w:val="0097448E"/>
    <w:rsid w:val="00974D39"/>
    <w:rsid w:val="0097532B"/>
    <w:rsid w:val="00975342"/>
    <w:rsid w:val="009753E9"/>
    <w:rsid w:val="009754C8"/>
    <w:rsid w:val="00975B71"/>
    <w:rsid w:val="009768AF"/>
    <w:rsid w:val="00976BE9"/>
    <w:rsid w:val="00976F2D"/>
    <w:rsid w:val="009774F6"/>
    <w:rsid w:val="00977C9A"/>
    <w:rsid w:val="009803E6"/>
    <w:rsid w:val="009805AB"/>
    <w:rsid w:val="00980955"/>
    <w:rsid w:val="009809D2"/>
    <w:rsid w:val="00980E46"/>
    <w:rsid w:val="00980F5E"/>
    <w:rsid w:val="00981635"/>
    <w:rsid w:val="0098191C"/>
    <w:rsid w:val="00981951"/>
    <w:rsid w:val="00981E37"/>
    <w:rsid w:val="00982317"/>
    <w:rsid w:val="009828CC"/>
    <w:rsid w:val="00982AFD"/>
    <w:rsid w:val="009834ED"/>
    <w:rsid w:val="009835AA"/>
    <w:rsid w:val="00983886"/>
    <w:rsid w:val="00983F8A"/>
    <w:rsid w:val="00984055"/>
    <w:rsid w:val="00984468"/>
    <w:rsid w:val="0098458C"/>
    <w:rsid w:val="00984B58"/>
    <w:rsid w:val="00984EC2"/>
    <w:rsid w:val="00986668"/>
    <w:rsid w:val="00987020"/>
    <w:rsid w:val="00987A01"/>
    <w:rsid w:val="00987C2B"/>
    <w:rsid w:val="009904A4"/>
    <w:rsid w:val="009908C7"/>
    <w:rsid w:val="00990F36"/>
    <w:rsid w:val="0099234E"/>
    <w:rsid w:val="0099272A"/>
    <w:rsid w:val="00992C44"/>
    <w:rsid w:val="00992CCA"/>
    <w:rsid w:val="009938F8"/>
    <w:rsid w:val="00993A0A"/>
    <w:rsid w:val="00993DEB"/>
    <w:rsid w:val="00993EA0"/>
    <w:rsid w:val="009940DB"/>
    <w:rsid w:val="009945E7"/>
    <w:rsid w:val="0099612E"/>
    <w:rsid w:val="00997679"/>
    <w:rsid w:val="00997B9D"/>
    <w:rsid w:val="00997CF9"/>
    <w:rsid w:val="009A0CD3"/>
    <w:rsid w:val="009A16F3"/>
    <w:rsid w:val="009A18E9"/>
    <w:rsid w:val="009A1A9E"/>
    <w:rsid w:val="009A1D90"/>
    <w:rsid w:val="009A25F1"/>
    <w:rsid w:val="009A2A84"/>
    <w:rsid w:val="009A2D21"/>
    <w:rsid w:val="009A2EDF"/>
    <w:rsid w:val="009A3F74"/>
    <w:rsid w:val="009A4286"/>
    <w:rsid w:val="009A4288"/>
    <w:rsid w:val="009A4532"/>
    <w:rsid w:val="009A45F2"/>
    <w:rsid w:val="009A5F1F"/>
    <w:rsid w:val="009A62E4"/>
    <w:rsid w:val="009A65CA"/>
    <w:rsid w:val="009A6711"/>
    <w:rsid w:val="009A6D05"/>
    <w:rsid w:val="009A74A4"/>
    <w:rsid w:val="009A761C"/>
    <w:rsid w:val="009A771D"/>
    <w:rsid w:val="009B084B"/>
    <w:rsid w:val="009B09FE"/>
    <w:rsid w:val="009B0A98"/>
    <w:rsid w:val="009B0E10"/>
    <w:rsid w:val="009B1140"/>
    <w:rsid w:val="009B234C"/>
    <w:rsid w:val="009B2669"/>
    <w:rsid w:val="009B332B"/>
    <w:rsid w:val="009B3D8E"/>
    <w:rsid w:val="009B3ED6"/>
    <w:rsid w:val="009B4F14"/>
    <w:rsid w:val="009B5CC9"/>
    <w:rsid w:val="009B5E39"/>
    <w:rsid w:val="009B5ED7"/>
    <w:rsid w:val="009B74F1"/>
    <w:rsid w:val="009B7CB1"/>
    <w:rsid w:val="009C03E3"/>
    <w:rsid w:val="009C03ED"/>
    <w:rsid w:val="009C0B4E"/>
    <w:rsid w:val="009C0FC7"/>
    <w:rsid w:val="009C1075"/>
    <w:rsid w:val="009C15A8"/>
    <w:rsid w:val="009C1B34"/>
    <w:rsid w:val="009C1B67"/>
    <w:rsid w:val="009C1F82"/>
    <w:rsid w:val="009C27B7"/>
    <w:rsid w:val="009C2930"/>
    <w:rsid w:val="009C2E6F"/>
    <w:rsid w:val="009C3206"/>
    <w:rsid w:val="009C3275"/>
    <w:rsid w:val="009C371A"/>
    <w:rsid w:val="009C3A40"/>
    <w:rsid w:val="009C43DF"/>
    <w:rsid w:val="009C4445"/>
    <w:rsid w:val="009C51E9"/>
    <w:rsid w:val="009C5DA1"/>
    <w:rsid w:val="009C62DB"/>
    <w:rsid w:val="009C69D6"/>
    <w:rsid w:val="009C6BF7"/>
    <w:rsid w:val="009C6E46"/>
    <w:rsid w:val="009C7266"/>
    <w:rsid w:val="009C7A83"/>
    <w:rsid w:val="009D0543"/>
    <w:rsid w:val="009D08A0"/>
    <w:rsid w:val="009D0C10"/>
    <w:rsid w:val="009D1171"/>
    <w:rsid w:val="009D16A5"/>
    <w:rsid w:val="009D1908"/>
    <w:rsid w:val="009D1B9D"/>
    <w:rsid w:val="009D1DC2"/>
    <w:rsid w:val="009D217F"/>
    <w:rsid w:val="009D2518"/>
    <w:rsid w:val="009D2701"/>
    <w:rsid w:val="009D2D5B"/>
    <w:rsid w:val="009D2E66"/>
    <w:rsid w:val="009D3B65"/>
    <w:rsid w:val="009D3BC8"/>
    <w:rsid w:val="009D4567"/>
    <w:rsid w:val="009D4778"/>
    <w:rsid w:val="009D502E"/>
    <w:rsid w:val="009D5167"/>
    <w:rsid w:val="009D55A7"/>
    <w:rsid w:val="009D5A4F"/>
    <w:rsid w:val="009D6068"/>
    <w:rsid w:val="009D63F5"/>
    <w:rsid w:val="009D65EC"/>
    <w:rsid w:val="009D6798"/>
    <w:rsid w:val="009D6A51"/>
    <w:rsid w:val="009D6D7B"/>
    <w:rsid w:val="009D7734"/>
    <w:rsid w:val="009E059A"/>
    <w:rsid w:val="009E0BBB"/>
    <w:rsid w:val="009E1555"/>
    <w:rsid w:val="009E1734"/>
    <w:rsid w:val="009E2223"/>
    <w:rsid w:val="009E3900"/>
    <w:rsid w:val="009E4B04"/>
    <w:rsid w:val="009E4E42"/>
    <w:rsid w:val="009E4E63"/>
    <w:rsid w:val="009E4EDD"/>
    <w:rsid w:val="009E4FA0"/>
    <w:rsid w:val="009E4FEE"/>
    <w:rsid w:val="009E56B7"/>
    <w:rsid w:val="009E66A7"/>
    <w:rsid w:val="009E68A5"/>
    <w:rsid w:val="009E6B77"/>
    <w:rsid w:val="009E74D7"/>
    <w:rsid w:val="009E76D2"/>
    <w:rsid w:val="009F02FA"/>
    <w:rsid w:val="009F09F6"/>
    <w:rsid w:val="009F0D4F"/>
    <w:rsid w:val="009F0DD7"/>
    <w:rsid w:val="009F1E58"/>
    <w:rsid w:val="009F2113"/>
    <w:rsid w:val="009F2357"/>
    <w:rsid w:val="009F2A4B"/>
    <w:rsid w:val="009F3024"/>
    <w:rsid w:val="009F320E"/>
    <w:rsid w:val="009F3AD0"/>
    <w:rsid w:val="009F3D2A"/>
    <w:rsid w:val="009F3D2C"/>
    <w:rsid w:val="009F404D"/>
    <w:rsid w:val="009F4870"/>
    <w:rsid w:val="009F491F"/>
    <w:rsid w:val="009F5366"/>
    <w:rsid w:val="009F6072"/>
    <w:rsid w:val="009F6602"/>
    <w:rsid w:val="009F6ABA"/>
    <w:rsid w:val="009F6C6C"/>
    <w:rsid w:val="009F7B2D"/>
    <w:rsid w:val="009F7E50"/>
    <w:rsid w:val="00A0036A"/>
    <w:rsid w:val="00A006B1"/>
    <w:rsid w:val="00A00811"/>
    <w:rsid w:val="00A00852"/>
    <w:rsid w:val="00A00DD5"/>
    <w:rsid w:val="00A00DF0"/>
    <w:rsid w:val="00A0135C"/>
    <w:rsid w:val="00A02D8B"/>
    <w:rsid w:val="00A02EFC"/>
    <w:rsid w:val="00A0340D"/>
    <w:rsid w:val="00A03DDD"/>
    <w:rsid w:val="00A04A77"/>
    <w:rsid w:val="00A05713"/>
    <w:rsid w:val="00A06114"/>
    <w:rsid w:val="00A06A11"/>
    <w:rsid w:val="00A06B5E"/>
    <w:rsid w:val="00A0730F"/>
    <w:rsid w:val="00A101FF"/>
    <w:rsid w:val="00A10A6A"/>
    <w:rsid w:val="00A10CE2"/>
    <w:rsid w:val="00A11339"/>
    <w:rsid w:val="00A1172B"/>
    <w:rsid w:val="00A11796"/>
    <w:rsid w:val="00A11CF7"/>
    <w:rsid w:val="00A12132"/>
    <w:rsid w:val="00A126C5"/>
    <w:rsid w:val="00A129D1"/>
    <w:rsid w:val="00A130CB"/>
    <w:rsid w:val="00A13DAF"/>
    <w:rsid w:val="00A13E20"/>
    <w:rsid w:val="00A140E7"/>
    <w:rsid w:val="00A14A1D"/>
    <w:rsid w:val="00A14E0F"/>
    <w:rsid w:val="00A1567E"/>
    <w:rsid w:val="00A1616D"/>
    <w:rsid w:val="00A16756"/>
    <w:rsid w:val="00A16E4F"/>
    <w:rsid w:val="00A17539"/>
    <w:rsid w:val="00A2092B"/>
    <w:rsid w:val="00A20C54"/>
    <w:rsid w:val="00A20CA5"/>
    <w:rsid w:val="00A21461"/>
    <w:rsid w:val="00A21D46"/>
    <w:rsid w:val="00A22B86"/>
    <w:rsid w:val="00A22CF9"/>
    <w:rsid w:val="00A22D63"/>
    <w:rsid w:val="00A23F91"/>
    <w:rsid w:val="00A24818"/>
    <w:rsid w:val="00A24C3F"/>
    <w:rsid w:val="00A25268"/>
    <w:rsid w:val="00A252CF"/>
    <w:rsid w:val="00A254DF"/>
    <w:rsid w:val="00A25619"/>
    <w:rsid w:val="00A25732"/>
    <w:rsid w:val="00A25C13"/>
    <w:rsid w:val="00A2600E"/>
    <w:rsid w:val="00A27366"/>
    <w:rsid w:val="00A27718"/>
    <w:rsid w:val="00A27E78"/>
    <w:rsid w:val="00A30421"/>
    <w:rsid w:val="00A30A4A"/>
    <w:rsid w:val="00A30B21"/>
    <w:rsid w:val="00A3174F"/>
    <w:rsid w:val="00A31CF0"/>
    <w:rsid w:val="00A31CF1"/>
    <w:rsid w:val="00A31DB7"/>
    <w:rsid w:val="00A321E1"/>
    <w:rsid w:val="00A3331E"/>
    <w:rsid w:val="00A3347D"/>
    <w:rsid w:val="00A33E25"/>
    <w:rsid w:val="00A345E6"/>
    <w:rsid w:val="00A345FD"/>
    <w:rsid w:val="00A3473B"/>
    <w:rsid w:val="00A34B2F"/>
    <w:rsid w:val="00A3598E"/>
    <w:rsid w:val="00A359BB"/>
    <w:rsid w:val="00A35BA5"/>
    <w:rsid w:val="00A35BAF"/>
    <w:rsid w:val="00A362FF"/>
    <w:rsid w:val="00A36541"/>
    <w:rsid w:val="00A36A02"/>
    <w:rsid w:val="00A36F53"/>
    <w:rsid w:val="00A37213"/>
    <w:rsid w:val="00A3733A"/>
    <w:rsid w:val="00A3771C"/>
    <w:rsid w:val="00A37989"/>
    <w:rsid w:val="00A379D3"/>
    <w:rsid w:val="00A4069B"/>
    <w:rsid w:val="00A4209F"/>
    <w:rsid w:val="00A42F9B"/>
    <w:rsid w:val="00A4311D"/>
    <w:rsid w:val="00A43E85"/>
    <w:rsid w:val="00A44602"/>
    <w:rsid w:val="00A446CC"/>
    <w:rsid w:val="00A44C76"/>
    <w:rsid w:val="00A458F5"/>
    <w:rsid w:val="00A45E49"/>
    <w:rsid w:val="00A46E2E"/>
    <w:rsid w:val="00A473B1"/>
    <w:rsid w:val="00A477EB"/>
    <w:rsid w:val="00A50424"/>
    <w:rsid w:val="00A504B7"/>
    <w:rsid w:val="00A50753"/>
    <w:rsid w:val="00A51D43"/>
    <w:rsid w:val="00A5227B"/>
    <w:rsid w:val="00A52A52"/>
    <w:rsid w:val="00A52B0A"/>
    <w:rsid w:val="00A52DD9"/>
    <w:rsid w:val="00A5375F"/>
    <w:rsid w:val="00A5414D"/>
    <w:rsid w:val="00A54A40"/>
    <w:rsid w:val="00A55BB5"/>
    <w:rsid w:val="00A561D4"/>
    <w:rsid w:val="00A56A29"/>
    <w:rsid w:val="00A57167"/>
    <w:rsid w:val="00A5796E"/>
    <w:rsid w:val="00A60263"/>
    <w:rsid w:val="00A603C6"/>
    <w:rsid w:val="00A605CB"/>
    <w:rsid w:val="00A613D5"/>
    <w:rsid w:val="00A61623"/>
    <w:rsid w:val="00A6276B"/>
    <w:rsid w:val="00A62C11"/>
    <w:rsid w:val="00A62CB2"/>
    <w:rsid w:val="00A635E5"/>
    <w:rsid w:val="00A638CC"/>
    <w:rsid w:val="00A64583"/>
    <w:rsid w:val="00A649D1"/>
    <w:rsid w:val="00A65330"/>
    <w:rsid w:val="00A65704"/>
    <w:rsid w:val="00A669C4"/>
    <w:rsid w:val="00A66CD4"/>
    <w:rsid w:val="00A67B14"/>
    <w:rsid w:val="00A70C79"/>
    <w:rsid w:val="00A70C99"/>
    <w:rsid w:val="00A71120"/>
    <w:rsid w:val="00A7157A"/>
    <w:rsid w:val="00A716DA"/>
    <w:rsid w:val="00A71E24"/>
    <w:rsid w:val="00A726A7"/>
    <w:rsid w:val="00A73119"/>
    <w:rsid w:val="00A732D9"/>
    <w:rsid w:val="00A733DC"/>
    <w:rsid w:val="00A73C2A"/>
    <w:rsid w:val="00A752A6"/>
    <w:rsid w:val="00A75792"/>
    <w:rsid w:val="00A75CB0"/>
    <w:rsid w:val="00A766D8"/>
    <w:rsid w:val="00A76A0C"/>
    <w:rsid w:val="00A76EF1"/>
    <w:rsid w:val="00A77322"/>
    <w:rsid w:val="00A77A13"/>
    <w:rsid w:val="00A80152"/>
    <w:rsid w:val="00A80870"/>
    <w:rsid w:val="00A81016"/>
    <w:rsid w:val="00A81675"/>
    <w:rsid w:val="00A81FFF"/>
    <w:rsid w:val="00A82071"/>
    <w:rsid w:val="00A824A1"/>
    <w:rsid w:val="00A8275F"/>
    <w:rsid w:val="00A82804"/>
    <w:rsid w:val="00A83076"/>
    <w:rsid w:val="00A832D1"/>
    <w:rsid w:val="00A84603"/>
    <w:rsid w:val="00A84974"/>
    <w:rsid w:val="00A84C90"/>
    <w:rsid w:val="00A84D67"/>
    <w:rsid w:val="00A84F06"/>
    <w:rsid w:val="00A85E73"/>
    <w:rsid w:val="00A85FDA"/>
    <w:rsid w:val="00A86769"/>
    <w:rsid w:val="00A86AE3"/>
    <w:rsid w:val="00A87B1E"/>
    <w:rsid w:val="00A9039D"/>
    <w:rsid w:val="00A9069C"/>
    <w:rsid w:val="00A90E43"/>
    <w:rsid w:val="00A91330"/>
    <w:rsid w:val="00A91A9F"/>
    <w:rsid w:val="00A93269"/>
    <w:rsid w:val="00A93809"/>
    <w:rsid w:val="00A93B14"/>
    <w:rsid w:val="00A93CC5"/>
    <w:rsid w:val="00A940DC"/>
    <w:rsid w:val="00A9453F"/>
    <w:rsid w:val="00A9479C"/>
    <w:rsid w:val="00A94AE3"/>
    <w:rsid w:val="00A94CC0"/>
    <w:rsid w:val="00A94D45"/>
    <w:rsid w:val="00A952C1"/>
    <w:rsid w:val="00A95935"/>
    <w:rsid w:val="00A95B89"/>
    <w:rsid w:val="00A9602E"/>
    <w:rsid w:val="00A96177"/>
    <w:rsid w:val="00A9640F"/>
    <w:rsid w:val="00A96821"/>
    <w:rsid w:val="00A96A2B"/>
    <w:rsid w:val="00A972B9"/>
    <w:rsid w:val="00A97582"/>
    <w:rsid w:val="00A978A8"/>
    <w:rsid w:val="00AA0198"/>
    <w:rsid w:val="00AA0958"/>
    <w:rsid w:val="00AA09B9"/>
    <w:rsid w:val="00AA115B"/>
    <w:rsid w:val="00AA1CA0"/>
    <w:rsid w:val="00AA22B0"/>
    <w:rsid w:val="00AA24D6"/>
    <w:rsid w:val="00AA3BAB"/>
    <w:rsid w:val="00AA3DA2"/>
    <w:rsid w:val="00AA53F6"/>
    <w:rsid w:val="00AA5DF6"/>
    <w:rsid w:val="00AA6061"/>
    <w:rsid w:val="00AA62E0"/>
    <w:rsid w:val="00AA6845"/>
    <w:rsid w:val="00AA68DA"/>
    <w:rsid w:val="00AA696F"/>
    <w:rsid w:val="00AA721A"/>
    <w:rsid w:val="00AA75D9"/>
    <w:rsid w:val="00AA7854"/>
    <w:rsid w:val="00AB0102"/>
    <w:rsid w:val="00AB0A82"/>
    <w:rsid w:val="00AB0BFF"/>
    <w:rsid w:val="00AB0DD7"/>
    <w:rsid w:val="00AB1249"/>
    <w:rsid w:val="00AB1264"/>
    <w:rsid w:val="00AB1E2D"/>
    <w:rsid w:val="00AB28BE"/>
    <w:rsid w:val="00AB2A85"/>
    <w:rsid w:val="00AB3500"/>
    <w:rsid w:val="00AB3952"/>
    <w:rsid w:val="00AB3C3B"/>
    <w:rsid w:val="00AB3F76"/>
    <w:rsid w:val="00AB4C21"/>
    <w:rsid w:val="00AB4F5E"/>
    <w:rsid w:val="00AB55CC"/>
    <w:rsid w:val="00AB5ABD"/>
    <w:rsid w:val="00AB5CEF"/>
    <w:rsid w:val="00AB6033"/>
    <w:rsid w:val="00AB646F"/>
    <w:rsid w:val="00AB77C2"/>
    <w:rsid w:val="00AB7F5D"/>
    <w:rsid w:val="00AC03CA"/>
    <w:rsid w:val="00AC04B9"/>
    <w:rsid w:val="00AC0CA4"/>
    <w:rsid w:val="00AC0DA8"/>
    <w:rsid w:val="00AC0F3D"/>
    <w:rsid w:val="00AC0F53"/>
    <w:rsid w:val="00AC10EF"/>
    <w:rsid w:val="00AC1F53"/>
    <w:rsid w:val="00AC20C3"/>
    <w:rsid w:val="00AC31DD"/>
    <w:rsid w:val="00AC3963"/>
    <w:rsid w:val="00AC40E1"/>
    <w:rsid w:val="00AC4236"/>
    <w:rsid w:val="00AC6287"/>
    <w:rsid w:val="00AC63B3"/>
    <w:rsid w:val="00AC63C1"/>
    <w:rsid w:val="00AC716D"/>
    <w:rsid w:val="00AC7BCA"/>
    <w:rsid w:val="00AD0735"/>
    <w:rsid w:val="00AD1309"/>
    <w:rsid w:val="00AD180F"/>
    <w:rsid w:val="00AD18D4"/>
    <w:rsid w:val="00AD2D93"/>
    <w:rsid w:val="00AD45D5"/>
    <w:rsid w:val="00AD504D"/>
    <w:rsid w:val="00AD52FD"/>
    <w:rsid w:val="00AD57A2"/>
    <w:rsid w:val="00AD5B31"/>
    <w:rsid w:val="00AD5FCC"/>
    <w:rsid w:val="00AD6BC2"/>
    <w:rsid w:val="00AD74F2"/>
    <w:rsid w:val="00AD7724"/>
    <w:rsid w:val="00AD778D"/>
    <w:rsid w:val="00AD7B02"/>
    <w:rsid w:val="00AD7B48"/>
    <w:rsid w:val="00AE0651"/>
    <w:rsid w:val="00AE22FE"/>
    <w:rsid w:val="00AE2351"/>
    <w:rsid w:val="00AE2662"/>
    <w:rsid w:val="00AE2D4D"/>
    <w:rsid w:val="00AE3356"/>
    <w:rsid w:val="00AE3E36"/>
    <w:rsid w:val="00AE3F2B"/>
    <w:rsid w:val="00AE4219"/>
    <w:rsid w:val="00AE44A0"/>
    <w:rsid w:val="00AE47C8"/>
    <w:rsid w:val="00AE4D50"/>
    <w:rsid w:val="00AE5305"/>
    <w:rsid w:val="00AE56F6"/>
    <w:rsid w:val="00AE5BF1"/>
    <w:rsid w:val="00AE6902"/>
    <w:rsid w:val="00AE6A68"/>
    <w:rsid w:val="00AE6F87"/>
    <w:rsid w:val="00AE7534"/>
    <w:rsid w:val="00AE755D"/>
    <w:rsid w:val="00AE765B"/>
    <w:rsid w:val="00AE7EDA"/>
    <w:rsid w:val="00AF007A"/>
    <w:rsid w:val="00AF01F7"/>
    <w:rsid w:val="00AF0268"/>
    <w:rsid w:val="00AF03C5"/>
    <w:rsid w:val="00AF2079"/>
    <w:rsid w:val="00AF24B6"/>
    <w:rsid w:val="00AF2D8E"/>
    <w:rsid w:val="00AF317A"/>
    <w:rsid w:val="00AF32DE"/>
    <w:rsid w:val="00AF4022"/>
    <w:rsid w:val="00AF435C"/>
    <w:rsid w:val="00AF481A"/>
    <w:rsid w:val="00AF5442"/>
    <w:rsid w:val="00AF54FA"/>
    <w:rsid w:val="00AF5725"/>
    <w:rsid w:val="00AF572C"/>
    <w:rsid w:val="00AF60C6"/>
    <w:rsid w:val="00AF6395"/>
    <w:rsid w:val="00AF63D7"/>
    <w:rsid w:val="00AF63FB"/>
    <w:rsid w:val="00AF66F8"/>
    <w:rsid w:val="00AF6888"/>
    <w:rsid w:val="00B00DB8"/>
    <w:rsid w:val="00B014F8"/>
    <w:rsid w:val="00B01F7E"/>
    <w:rsid w:val="00B02117"/>
    <w:rsid w:val="00B0224F"/>
    <w:rsid w:val="00B026F6"/>
    <w:rsid w:val="00B0431F"/>
    <w:rsid w:val="00B04A3C"/>
    <w:rsid w:val="00B04C84"/>
    <w:rsid w:val="00B050A3"/>
    <w:rsid w:val="00B05AFD"/>
    <w:rsid w:val="00B06094"/>
    <w:rsid w:val="00B061C2"/>
    <w:rsid w:val="00B061F4"/>
    <w:rsid w:val="00B06297"/>
    <w:rsid w:val="00B066A7"/>
    <w:rsid w:val="00B06C9E"/>
    <w:rsid w:val="00B073C1"/>
    <w:rsid w:val="00B07AD4"/>
    <w:rsid w:val="00B07C42"/>
    <w:rsid w:val="00B07D93"/>
    <w:rsid w:val="00B1045E"/>
    <w:rsid w:val="00B10CA9"/>
    <w:rsid w:val="00B10F45"/>
    <w:rsid w:val="00B110C8"/>
    <w:rsid w:val="00B11855"/>
    <w:rsid w:val="00B125A2"/>
    <w:rsid w:val="00B125E4"/>
    <w:rsid w:val="00B12816"/>
    <w:rsid w:val="00B129EE"/>
    <w:rsid w:val="00B12A4D"/>
    <w:rsid w:val="00B1313D"/>
    <w:rsid w:val="00B1353E"/>
    <w:rsid w:val="00B13ADA"/>
    <w:rsid w:val="00B1486F"/>
    <w:rsid w:val="00B165EF"/>
    <w:rsid w:val="00B17135"/>
    <w:rsid w:val="00B17946"/>
    <w:rsid w:val="00B17F67"/>
    <w:rsid w:val="00B20966"/>
    <w:rsid w:val="00B20A69"/>
    <w:rsid w:val="00B21A10"/>
    <w:rsid w:val="00B21DD9"/>
    <w:rsid w:val="00B21ED9"/>
    <w:rsid w:val="00B22385"/>
    <w:rsid w:val="00B22C67"/>
    <w:rsid w:val="00B22C93"/>
    <w:rsid w:val="00B22E6F"/>
    <w:rsid w:val="00B2357E"/>
    <w:rsid w:val="00B239FC"/>
    <w:rsid w:val="00B23C7E"/>
    <w:rsid w:val="00B2490A"/>
    <w:rsid w:val="00B249C1"/>
    <w:rsid w:val="00B24A03"/>
    <w:rsid w:val="00B24FA3"/>
    <w:rsid w:val="00B24FDF"/>
    <w:rsid w:val="00B255B2"/>
    <w:rsid w:val="00B25609"/>
    <w:rsid w:val="00B25A02"/>
    <w:rsid w:val="00B26965"/>
    <w:rsid w:val="00B26B44"/>
    <w:rsid w:val="00B27B58"/>
    <w:rsid w:val="00B27D80"/>
    <w:rsid w:val="00B302EA"/>
    <w:rsid w:val="00B303F4"/>
    <w:rsid w:val="00B306E7"/>
    <w:rsid w:val="00B308AE"/>
    <w:rsid w:val="00B309BB"/>
    <w:rsid w:val="00B31A71"/>
    <w:rsid w:val="00B31DF5"/>
    <w:rsid w:val="00B31F55"/>
    <w:rsid w:val="00B321C0"/>
    <w:rsid w:val="00B328F5"/>
    <w:rsid w:val="00B32902"/>
    <w:rsid w:val="00B32D97"/>
    <w:rsid w:val="00B332CB"/>
    <w:rsid w:val="00B33CE1"/>
    <w:rsid w:val="00B34DDC"/>
    <w:rsid w:val="00B3602E"/>
    <w:rsid w:val="00B3613B"/>
    <w:rsid w:val="00B36A2F"/>
    <w:rsid w:val="00B36E96"/>
    <w:rsid w:val="00B37C7B"/>
    <w:rsid w:val="00B37CF8"/>
    <w:rsid w:val="00B37D08"/>
    <w:rsid w:val="00B37E04"/>
    <w:rsid w:val="00B41434"/>
    <w:rsid w:val="00B41496"/>
    <w:rsid w:val="00B42B64"/>
    <w:rsid w:val="00B433D2"/>
    <w:rsid w:val="00B43570"/>
    <w:rsid w:val="00B4442D"/>
    <w:rsid w:val="00B44483"/>
    <w:rsid w:val="00B4452A"/>
    <w:rsid w:val="00B44716"/>
    <w:rsid w:val="00B44FB7"/>
    <w:rsid w:val="00B44FCE"/>
    <w:rsid w:val="00B45688"/>
    <w:rsid w:val="00B46B38"/>
    <w:rsid w:val="00B472E7"/>
    <w:rsid w:val="00B50635"/>
    <w:rsid w:val="00B51555"/>
    <w:rsid w:val="00B51A08"/>
    <w:rsid w:val="00B52EFE"/>
    <w:rsid w:val="00B53797"/>
    <w:rsid w:val="00B542D2"/>
    <w:rsid w:val="00B545AC"/>
    <w:rsid w:val="00B54A28"/>
    <w:rsid w:val="00B555D3"/>
    <w:rsid w:val="00B56044"/>
    <w:rsid w:val="00B575D5"/>
    <w:rsid w:val="00B602A3"/>
    <w:rsid w:val="00B6073C"/>
    <w:rsid w:val="00B60EDC"/>
    <w:rsid w:val="00B60EEF"/>
    <w:rsid w:val="00B610E3"/>
    <w:rsid w:val="00B615CA"/>
    <w:rsid w:val="00B61683"/>
    <w:rsid w:val="00B61812"/>
    <w:rsid w:val="00B619C5"/>
    <w:rsid w:val="00B61A46"/>
    <w:rsid w:val="00B61D22"/>
    <w:rsid w:val="00B61FE3"/>
    <w:rsid w:val="00B646BD"/>
    <w:rsid w:val="00B64AE8"/>
    <w:rsid w:val="00B655F6"/>
    <w:rsid w:val="00B65E7C"/>
    <w:rsid w:val="00B66778"/>
    <w:rsid w:val="00B66D2B"/>
    <w:rsid w:val="00B676B6"/>
    <w:rsid w:val="00B704AD"/>
    <w:rsid w:val="00B705A9"/>
    <w:rsid w:val="00B70A67"/>
    <w:rsid w:val="00B70D1D"/>
    <w:rsid w:val="00B71092"/>
    <w:rsid w:val="00B7124C"/>
    <w:rsid w:val="00B712C6"/>
    <w:rsid w:val="00B71409"/>
    <w:rsid w:val="00B716AD"/>
    <w:rsid w:val="00B72465"/>
    <w:rsid w:val="00B72EE2"/>
    <w:rsid w:val="00B734BD"/>
    <w:rsid w:val="00B736AE"/>
    <w:rsid w:val="00B74AF3"/>
    <w:rsid w:val="00B74B41"/>
    <w:rsid w:val="00B75003"/>
    <w:rsid w:val="00B7551C"/>
    <w:rsid w:val="00B755A8"/>
    <w:rsid w:val="00B759EF"/>
    <w:rsid w:val="00B763D7"/>
    <w:rsid w:val="00B76639"/>
    <w:rsid w:val="00B76A01"/>
    <w:rsid w:val="00B76E0A"/>
    <w:rsid w:val="00B77395"/>
    <w:rsid w:val="00B77C90"/>
    <w:rsid w:val="00B77F10"/>
    <w:rsid w:val="00B80217"/>
    <w:rsid w:val="00B80579"/>
    <w:rsid w:val="00B807E9"/>
    <w:rsid w:val="00B80B4B"/>
    <w:rsid w:val="00B80BEA"/>
    <w:rsid w:val="00B8206A"/>
    <w:rsid w:val="00B83936"/>
    <w:rsid w:val="00B83A0B"/>
    <w:rsid w:val="00B83C5E"/>
    <w:rsid w:val="00B83C91"/>
    <w:rsid w:val="00B84533"/>
    <w:rsid w:val="00B84784"/>
    <w:rsid w:val="00B84879"/>
    <w:rsid w:val="00B853F8"/>
    <w:rsid w:val="00B85A9A"/>
    <w:rsid w:val="00B85EE5"/>
    <w:rsid w:val="00B86634"/>
    <w:rsid w:val="00B8678F"/>
    <w:rsid w:val="00B870F7"/>
    <w:rsid w:val="00B902FC"/>
    <w:rsid w:val="00B9079A"/>
    <w:rsid w:val="00B907C8"/>
    <w:rsid w:val="00B9176C"/>
    <w:rsid w:val="00B91A87"/>
    <w:rsid w:val="00B91EB7"/>
    <w:rsid w:val="00B92254"/>
    <w:rsid w:val="00B92332"/>
    <w:rsid w:val="00B9273E"/>
    <w:rsid w:val="00B932A6"/>
    <w:rsid w:val="00B93585"/>
    <w:rsid w:val="00B9418E"/>
    <w:rsid w:val="00B941E8"/>
    <w:rsid w:val="00B94C20"/>
    <w:rsid w:val="00B950EA"/>
    <w:rsid w:val="00B958FB"/>
    <w:rsid w:val="00B95E21"/>
    <w:rsid w:val="00B96436"/>
    <w:rsid w:val="00B9669F"/>
    <w:rsid w:val="00B96CAC"/>
    <w:rsid w:val="00B96F4F"/>
    <w:rsid w:val="00B97598"/>
    <w:rsid w:val="00BA055E"/>
    <w:rsid w:val="00BA062A"/>
    <w:rsid w:val="00BA0646"/>
    <w:rsid w:val="00BA0690"/>
    <w:rsid w:val="00BA0759"/>
    <w:rsid w:val="00BA0B6D"/>
    <w:rsid w:val="00BA0D0E"/>
    <w:rsid w:val="00BA0EAE"/>
    <w:rsid w:val="00BA0F5F"/>
    <w:rsid w:val="00BA13C4"/>
    <w:rsid w:val="00BA2D0F"/>
    <w:rsid w:val="00BA3CB1"/>
    <w:rsid w:val="00BA493A"/>
    <w:rsid w:val="00BA4FE2"/>
    <w:rsid w:val="00BA62FF"/>
    <w:rsid w:val="00BA6C83"/>
    <w:rsid w:val="00BA6EC8"/>
    <w:rsid w:val="00BA77AD"/>
    <w:rsid w:val="00BA781A"/>
    <w:rsid w:val="00BA7E25"/>
    <w:rsid w:val="00BA7FA9"/>
    <w:rsid w:val="00BB08B0"/>
    <w:rsid w:val="00BB117A"/>
    <w:rsid w:val="00BB1E6E"/>
    <w:rsid w:val="00BB1EBC"/>
    <w:rsid w:val="00BB1F81"/>
    <w:rsid w:val="00BB399B"/>
    <w:rsid w:val="00BB399F"/>
    <w:rsid w:val="00BB39AB"/>
    <w:rsid w:val="00BB3B92"/>
    <w:rsid w:val="00BB3BDB"/>
    <w:rsid w:val="00BB3BDC"/>
    <w:rsid w:val="00BB3F35"/>
    <w:rsid w:val="00BB3F75"/>
    <w:rsid w:val="00BB601F"/>
    <w:rsid w:val="00BB6319"/>
    <w:rsid w:val="00BB6994"/>
    <w:rsid w:val="00BB6CA6"/>
    <w:rsid w:val="00BB6EF3"/>
    <w:rsid w:val="00BB7314"/>
    <w:rsid w:val="00BB742D"/>
    <w:rsid w:val="00BB7C45"/>
    <w:rsid w:val="00BC038D"/>
    <w:rsid w:val="00BC03AE"/>
    <w:rsid w:val="00BC0775"/>
    <w:rsid w:val="00BC16EE"/>
    <w:rsid w:val="00BC2187"/>
    <w:rsid w:val="00BC21DC"/>
    <w:rsid w:val="00BC29B2"/>
    <w:rsid w:val="00BC2B9B"/>
    <w:rsid w:val="00BC2BDA"/>
    <w:rsid w:val="00BC2D5F"/>
    <w:rsid w:val="00BC3C98"/>
    <w:rsid w:val="00BC4F35"/>
    <w:rsid w:val="00BC4FA9"/>
    <w:rsid w:val="00BC52E1"/>
    <w:rsid w:val="00BC5AB3"/>
    <w:rsid w:val="00BC5C5E"/>
    <w:rsid w:val="00BC5F5D"/>
    <w:rsid w:val="00BC62A4"/>
    <w:rsid w:val="00BC68F0"/>
    <w:rsid w:val="00BC6A70"/>
    <w:rsid w:val="00BC7860"/>
    <w:rsid w:val="00BC794B"/>
    <w:rsid w:val="00BD030C"/>
    <w:rsid w:val="00BD04F9"/>
    <w:rsid w:val="00BD0DFA"/>
    <w:rsid w:val="00BD19CD"/>
    <w:rsid w:val="00BD1D84"/>
    <w:rsid w:val="00BD2D74"/>
    <w:rsid w:val="00BD3DF7"/>
    <w:rsid w:val="00BD3F4E"/>
    <w:rsid w:val="00BD4715"/>
    <w:rsid w:val="00BD4763"/>
    <w:rsid w:val="00BD5004"/>
    <w:rsid w:val="00BD5465"/>
    <w:rsid w:val="00BD5476"/>
    <w:rsid w:val="00BD54D6"/>
    <w:rsid w:val="00BD6C51"/>
    <w:rsid w:val="00BD6FD8"/>
    <w:rsid w:val="00BD785E"/>
    <w:rsid w:val="00BE023D"/>
    <w:rsid w:val="00BE0443"/>
    <w:rsid w:val="00BE09CD"/>
    <w:rsid w:val="00BE0AFA"/>
    <w:rsid w:val="00BE0ED8"/>
    <w:rsid w:val="00BE2875"/>
    <w:rsid w:val="00BE3255"/>
    <w:rsid w:val="00BE38FB"/>
    <w:rsid w:val="00BE3E80"/>
    <w:rsid w:val="00BE3F85"/>
    <w:rsid w:val="00BE4042"/>
    <w:rsid w:val="00BE45A4"/>
    <w:rsid w:val="00BE48B6"/>
    <w:rsid w:val="00BE589B"/>
    <w:rsid w:val="00BE5999"/>
    <w:rsid w:val="00BE5C82"/>
    <w:rsid w:val="00BE6F24"/>
    <w:rsid w:val="00BE707F"/>
    <w:rsid w:val="00BF0E30"/>
    <w:rsid w:val="00BF1465"/>
    <w:rsid w:val="00BF1A75"/>
    <w:rsid w:val="00BF1B85"/>
    <w:rsid w:val="00BF23FB"/>
    <w:rsid w:val="00BF2525"/>
    <w:rsid w:val="00BF2AAE"/>
    <w:rsid w:val="00BF2E04"/>
    <w:rsid w:val="00BF4075"/>
    <w:rsid w:val="00BF4209"/>
    <w:rsid w:val="00BF4692"/>
    <w:rsid w:val="00BF4A7D"/>
    <w:rsid w:val="00BF4E7D"/>
    <w:rsid w:val="00BF543D"/>
    <w:rsid w:val="00BF5BFE"/>
    <w:rsid w:val="00BF62E3"/>
    <w:rsid w:val="00BF6860"/>
    <w:rsid w:val="00BF69BA"/>
    <w:rsid w:val="00BF6B06"/>
    <w:rsid w:val="00BF7A22"/>
    <w:rsid w:val="00C00B43"/>
    <w:rsid w:val="00C01A4A"/>
    <w:rsid w:val="00C02048"/>
    <w:rsid w:val="00C02186"/>
    <w:rsid w:val="00C03078"/>
    <w:rsid w:val="00C03CBB"/>
    <w:rsid w:val="00C041AD"/>
    <w:rsid w:val="00C05564"/>
    <w:rsid w:val="00C05D66"/>
    <w:rsid w:val="00C0607E"/>
    <w:rsid w:val="00C062E9"/>
    <w:rsid w:val="00C071EC"/>
    <w:rsid w:val="00C07744"/>
    <w:rsid w:val="00C077CC"/>
    <w:rsid w:val="00C07BD3"/>
    <w:rsid w:val="00C10105"/>
    <w:rsid w:val="00C107A8"/>
    <w:rsid w:val="00C10A3C"/>
    <w:rsid w:val="00C10CFE"/>
    <w:rsid w:val="00C11208"/>
    <w:rsid w:val="00C1130C"/>
    <w:rsid w:val="00C115A1"/>
    <w:rsid w:val="00C11E3F"/>
    <w:rsid w:val="00C124D6"/>
    <w:rsid w:val="00C1266C"/>
    <w:rsid w:val="00C12E1E"/>
    <w:rsid w:val="00C13279"/>
    <w:rsid w:val="00C1349B"/>
    <w:rsid w:val="00C136F3"/>
    <w:rsid w:val="00C13E6C"/>
    <w:rsid w:val="00C1411E"/>
    <w:rsid w:val="00C145E6"/>
    <w:rsid w:val="00C14A2D"/>
    <w:rsid w:val="00C14D8C"/>
    <w:rsid w:val="00C14F2C"/>
    <w:rsid w:val="00C15B8D"/>
    <w:rsid w:val="00C16BDD"/>
    <w:rsid w:val="00C17122"/>
    <w:rsid w:val="00C17701"/>
    <w:rsid w:val="00C177B5"/>
    <w:rsid w:val="00C17A6A"/>
    <w:rsid w:val="00C20192"/>
    <w:rsid w:val="00C223EF"/>
    <w:rsid w:val="00C2248D"/>
    <w:rsid w:val="00C22574"/>
    <w:rsid w:val="00C23239"/>
    <w:rsid w:val="00C23FDB"/>
    <w:rsid w:val="00C249A0"/>
    <w:rsid w:val="00C24A4B"/>
    <w:rsid w:val="00C24ECD"/>
    <w:rsid w:val="00C2503A"/>
    <w:rsid w:val="00C25FA6"/>
    <w:rsid w:val="00C26AC1"/>
    <w:rsid w:val="00C2702D"/>
    <w:rsid w:val="00C2773D"/>
    <w:rsid w:val="00C301A7"/>
    <w:rsid w:val="00C303B3"/>
    <w:rsid w:val="00C30764"/>
    <w:rsid w:val="00C3090F"/>
    <w:rsid w:val="00C30B72"/>
    <w:rsid w:val="00C30E6E"/>
    <w:rsid w:val="00C31541"/>
    <w:rsid w:val="00C3169D"/>
    <w:rsid w:val="00C31C57"/>
    <w:rsid w:val="00C329FB"/>
    <w:rsid w:val="00C32C60"/>
    <w:rsid w:val="00C32E34"/>
    <w:rsid w:val="00C3354E"/>
    <w:rsid w:val="00C34111"/>
    <w:rsid w:val="00C3706E"/>
    <w:rsid w:val="00C37726"/>
    <w:rsid w:val="00C37DEC"/>
    <w:rsid w:val="00C41308"/>
    <w:rsid w:val="00C4171C"/>
    <w:rsid w:val="00C429C8"/>
    <w:rsid w:val="00C42A95"/>
    <w:rsid w:val="00C42D13"/>
    <w:rsid w:val="00C437F9"/>
    <w:rsid w:val="00C43F22"/>
    <w:rsid w:val="00C44576"/>
    <w:rsid w:val="00C446B6"/>
    <w:rsid w:val="00C450DC"/>
    <w:rsid w:val="00C45332"/>
    <w:rsid w:val="00C45A98"/>
    <w:rsid w:val="00C45AB6"/>
    <w:rsid w:val="00C46004"/>
    <w:rsid w:val="00C46EDD"/>
    <w:rsid w:val="00C476D7"/>
    <w:rsid w:val="00C50265"/>
    <w:rsid w:val="00C50605"/>
    <w:rsid w:val="00C506A9"/>
    <w:rsid w:val="00C50A26"/>
    <w:rsid w:val="00C50A82"/>
    <w:rsid w:val="00C515CD"/>
    <w:rsid w:val="00C51A1B"/>
    <w:rsid w:val="00C52391"/>
    <w:rsid w:val="00C52E7F"/>
    <w:rsid w:val="00C53138"/>
    <w:rsid w:val="00C5355E"/>
    <w:rsid w:val="00C53904"/>
    <w:rsid w:val="00C53BFE"/>
    <w:rsid w:val="00C53D09"/>
    <w:rsid w:val="00C543BD"/>
    <w:rsid w:val="00C5495E"/>
    <w:rsid w:val="00C55467"/>
    <w:rsid w:val="00C568A8"/>
    <w:rsid w:val="00C56D67"/>
    <w:rsid w:val="00C56E18"/>
    <w:rsid w:val="00C5720A"/>
    <w:rsid w:val="00C57372"/>
    <w:rsid w:val="00C57485"/>
    <w:rsid w:val="00C57AED"/>
    <w:rsid w:val="00C602E0"/>
    <w:rsid w:val="00C614F9"/>
    <w:rsid w:val="00C61A63"/>
    <w:rsid w:val="00C61ECF"/>
    <w:rsid w:val="00C6235E"/>
    <w:rsid w:val="00C62D65"/>
    <w:rsid w:val="00C62D9F"/>
    <w:rsid w:val="00C633C2"/>
    <w:rsid w:val="00C63F17"/>
    <w:rsid w:val="00C641C9"/>
    <w:rsid w:val="00C64B98"/>
    <w:rsid w:val="00C64E57"/>
    <w:rsid w:val="00C6596E"/>
    <w:rsid w:val="00C66E10"/>
    <w:rsid w:val="00C66ECF"/>
    <w:rsid w:val="00C67657"/>
    <w:rsid w:val="00C67ADF"/>
    <w:rsid w:val="00C70320"/>
    <w:rsid w:val="00C70C36"/>
    <w:rsid w:val="00C712BB"/>
    <w:rsid w:val="00C7156C"/>
    <w:rsid w:val="00C71B90"/>
    <w:rsid w:val="00C727F7"/>
    <w:rsid w:val="00C72891"/>
    <w:rsid w:val="00C72F71"/>
    <w:rsid w:val="00C73253"/>
    <w:rsid w:val="00C733E8"/>
    <w:rsid w:val="00C7370F"/>
    <w:rsid w:val="00C738BD"/>
    <w:rsid w:val="00C73B06"/>
    <w:rsid w:val="00C73F59"/>
    <w:rsid w:val="00C74384"/>
    <w:rsid w:val="00C74525"/>
    <w:rsid w:val="00C74A38"/>
    <w:rsid w:val="00C74E7B"/>
    <w:rsid w:val="00C74ECF"/>
    <w:rsid w:val="00C7533D"/>
    <w:rsid w:val="00C7536D"/>
    <w:rsid w:val="00C75D6F"/>
    <w:rsid w:val="00C75DB7"/>
    <w:rsid w:val="00C7617E"/>
    <w:rsid w:val="00C76CB1"/>
    <w:rsid w:val="00C773C4"/>
    <w:rsid w:val="00C77A34"/>
    <w:rsid w:val="00C80A5A"/>
    <w:rsid w:val="00C810D9"/>
    <w:rsid w:val="00C8189F"/>
    <w:rsid w:val="00C818E2"/>
    <w:rsid w:val="00C81C27"/>
    <w:rsid w:val="00C81FAC"/>
    <w:rsid w:val="00C82380"/>
    <w:rsid w:val="00C828AF"/>
    <w:rsid w:val="00C82CC6"/>
    <w:rsid w:val="00C83B11"/>
    <w:rsid w:val="00C8520D"/>
    <w:rsid w:val="00C85387"/>
    <w:rsid w:val="00C8557A"/>
    <w:rsid w:val="00C85699"/>
    <w:rsid w:val="00C85905"/>
    <w:rsid w:val="00C85A98"/>
    <w:rsid w:val="00C869C8"/>
    <w:rsid w:val="00C875CB"/>
    <w:rsid w:val="00C90145"/>
    <w:rsid w:val="00C90AB1"/>
    <w:rsid w:val="00C90DE3"/>
    <w:rsid w:val="00C913DE"/>
    <w:rsid w:val="00C91CB6"/>
    <w:rsid w:val="00C925E2"/>
    <w:rsid w:val="00C92853"/>
    <w:rsid w:val="00C9290B"/>
    <w:rsid w:val="00C92EB9"/>
    <w:rsid w:val="00C955C3"/>
    <w:rsid w:val="00C95A2F"/>
    <w:rsid w:val="00C95B35"/>
    <w:rsid w:val="00C97F23"/>
    <w:rsid w:val="00C97F8D"/>
    <w:rsid w:val="00CA06EF"/>
    <w:rsid w:val="00CA1600"/>
    <w:rsid w:val="00CA2559"/>
    <w:rsid w:val="00CA3206"/>
    <w:rsid w:val="00CA36C4"/>
    <w:rsid w:val="00CA3A38"/>
    <w:rsid w:val="00CA3F00"/>
    <w:rsid w:val="00CA4438"/>
    <w:rsid w:val="00CA44BD"/>
    <w:rsid w:val="00CA4935"/>
    <w:rsid w:val="00CA4C20"/>
    <w:rsid w:val="00CA4EB3"/>
    <w:rsid w:val="00CA5625"/>
    <w:rsid w:val="00CA57C0"/>
    <w:rsid w:val="00CA5926"/>
    <w:rsid w:val="00CA5AD8"/>
    <w:rsid w:val="00CA6144"/>
    <w:rsid w:val="00CA61D6"/>
    <w:rsid w:val="00CB0056"/>
    <w:rsid w:val="00CB0FFC"/>
    <w:rsid w:val="00CB198D"/>
    <w:rsid w:val="00CB1B4E"/>
    <w:rsid w:val="00CB1C6A"/>
    <w:rsid w:val="00CB1D67"/>
    <w:rsid w:val="00CB210A"/>
    <w:rsid w:val="00CB215A"/>
    <w:rsid w:val="00CB2B45"/>
    <w:rsid w:val="00CB3104"/>
    <w:rsid w:val="00CB32A4"/>
    <w:rsid w:val="00CB3659"/>
    <w:rsid w:val="00CB3673"/>
    <w:rsid w:val="00CB36B0"/>
    <w:rsid w:val="00CB37AE"/>
    <w:rsid w:val="00CB37D7"/>
    <w:rsid w:val="00CB38B6"/>
    <w:rsid w:val="00CB4411"/>
    <w:rsid w:val="00CB480D"/>
    <w:rsid w:val="00CB4FFC"/>
    <w:rsid w:val="00CB52CA"/>
    <w:rsid w:val="00CB5E8C"/>
    <w:rsid w:val="00CB669C"/>
    <w:rsid w:val="00CB6B9A"/>
    <w:rsid w:val="00CB7F54"/>
    <w:rsid w:val="00CC0387"/>
    <w:rsid w:val="00CC1143"/>
    <w:rsid w:val="00CC2F12"/>
    <w:rsid w:val="00CC301F"/>
    <w:rsid w:val="00CC37EB"/>
    <w:rsid w:val="00CC4129"/>
    <w:rsid w:val="00CC4132"/>
    <w:rsid w:val="00CC4FF3"/>
    <w:rsid w:val="00CC511F"/>
    <w:rsid w:val="00CC51EA"/>
    <w:rsid w:val="00CC5864"/>
    <w:rsid w:val="00CC5CF4"/>
    <w:rsid w:val="00CC5D11"/>
    <w:rsid w:val="00CC5D38"/>
    <w:rsid w:val="00CC6021"/>
    <w:rsid w:val="00CC6527"/>
    <w:rsid w:val="00CC680D"/>
    <w:rsid w:val="00CC6925"/>
    <w:rsid w:val="00CC7554"/>
    <w:rsid w:val="00CC77C8"/>
    <w:rsid w:val="00CD005C"/>
    <w:rsid w:val="00CD0357"/>
    <w:rsid w:val="00CD104D"/>
    <w:rsid w:val="00CD163B"/>
    <w:rsid w:val="00CD1997"/>
    <w:rsid w:val="00CD1CC8"/>
    <w:rsid w:val="00CD3C65"/>
    <w:rsid w:val="00CD450A"/>
    <w:rsid w:val="00CD4938"/>
    <w:rsid w:val="00CD57FE"/>
    <w:rsid w:val="00CD5EF3"/>
    <w:rsid w:val="00CD5F71"/>
    <w:rsid w:val="00CD5F7E"/>
    <w:rsid w:val="00CD711C"/>
    <w:rsid w:val="00CD72D7"/>
    <w:rsid w:val="00CD770A"/>
    <w:rsid w:val="00CD7B77"/>
    <w:rsid w:val="00CD7D1F"/>
    <w:rsid w:val="00CD7FB8"/>
    <w:rsid w:val="00CE095C"/>
    <w:rsid w:val="00CE0AD3"/>
    <w:rsid w:val="00CE0C73"/>
    <w:rsid w:val="00CE0C85"/>
    <w:rsid w:val="00CE0DBC"/>
    <w:rsid w:val="00CE1836"/>
    <w:rsid w:val="00CE1E9E"/>
    <w:rsid w:val="00CE2821"/>
    <w:rsid w:val="00CE293E"/>
    <w:rsid w:val="00CE31D5"/>
    <w:rsid w:val="00CE35AA"/>
    <w:rsid w:val="00CE3A25"/>
    <w:rsid w:val="00CE3D0A"/>
    <w:rsid w:val="00CE40B0"/>
    <w:rsid w:val="00CE417A"/>
    <w:rsid w:val="00CE4984"/>
    <w:rsid w:val="00CE568A"/>
    <w:rsid w:val="00CE5C03"/>
    <w:rsid w:val="00CE62B5"/>
    <w:rsid w:val="00CE63AB"/>
    <w:rsid w:val="00CE681A"/>
    <w:rsid w:val="00CE6861"/>
    <w:rsid w:val="00CE6DA4"/>
    <w:rsid w:val="00CE71A7"/>
    <w:rsid w:val="00CF0732"/>
    <w:rsid w:val="00CF239A"/>
    <w:rsid w:val="00CF3CD5"/>
    <w:rsid w:val="00CF3E7D"/>
    <w:rsid w:val="00CF42BE"/>
    <w:rsid w:val="00CF4B38"/>
    <w:rsid w:val="00CF4BED"/>
    <w:rsid w:val="00CF5425"/>
    <w:rsid w:val="00CF54AA"/>
    <w:rsid w:val="00CF555C"/>
    <w:rsid w:val="00CF5637"/>
    <w:rsid w:val="00CF5DD8"/>
    <w:rsid w:val="00CF5E10"/>
    <w:rsid w:val="00CF6057"/>
    <w:rsid w:val="00CF6489"/>
    <w:rsid w:val="00CF6D3C"/>
    <w:rsid w:val="00CF7B1E"/>
    <w:rsid w:val="00CF7DAC"/>
    <w:rsid w:val="00D0084A"/>
    <w:rsid w:val="00D016D6"/>
    <w:rsid w:val="00D02C72"/>
    <w:rsid w:val="00D02FE5"/>
    <w:rsid w:val="00D030FF"/>
    <w:rsid w:val="00D03AFA"/>
    <w:rsid w:val="00D03F46"/>
    <w:rsid w:val="00D043B0"/>
    <w:rsid w:val="00D053E0"/>
    <w:rsid w:val="00D05E2B"/>
    <w:rsid w:val="00D06C36"/>
    <w:rsid w:val="00D06DA4"/>
    <w:rsid w:val="00D07F61"/>
    <w:rsid w:val="00D100B6"/>
    <w:rsid w:val="00D102A5"/>
    <w:rsid w:val="00D107E0"/>
    <w:rsid w:val="00D10813"/>
    <w:rsid w:val="00D10F62"/>
    <w:rsid w:val="00D11423"/>
    <w:rsid w:val="00D11F23"/>
    <w:rsid w:val="00D1274A"/>
    <w:rsid w:val="00D131DC"/>
    <w:rsid w:val="00D13962"/>
    <w:rsid w:val="00D13A91"/>
    <w:rsid w:val="00D14249"/>
    <w:rsid w:val="00D143F8"/>
    <w:rsid w:val="00D144C8"/>
    <w:rsid w:val="00D14C66"/>
    <w:rsid w:val="00D14D92"/>
    <w:rsid w:val="00D15C13"/>
    <w:rsid w:val="00D160E3"/>
    <w:rsid w:val="00D1684E"/>
    <w:rsid w:val="00D16923"/>
    <w:rsid w:val="00D16CA8"/>
    <w:rsid w:val="00D1743C"/>
    <w:rsid w:val="00D17503"/>
    <w:rsid w:val="00D208DC"/>
    <w:rsid w:val="00D20E62"/>
    <w:rsid w:val="00D21089"/>
    <w:rsid w:val="00D22F10"/>
    <w:rsid w:val="00D235D2"/>
    <w:rsid w:val="00D24C2D"/>
    <w:rsid w:val="00D2514B"/>
    <w:rsid w:val="00D255A6"/>
    <w:rsid w:val="00D25902"/>
    <w:rsid w:val="00D25B5A"/>
    <w:rsid w:val="00D25E2E"/>
    <w:rsid w:val="00D266AA"/>
    <w:rsid w:val="00D27534"/>
    <w:rsid w:val="00D27CE4"/>
    <w:rsid w:val="00D27E64"/>
    <w:rsid w:val="00D27E9A"/>
    <w:rsid w:val="00D312B2"/>
    <w:rsid w:val="00D32129"/>
    <w:rsid w:val="00D3249C"/>
    <w:rsid w:val="00D33211"/>
    <w:rsid w:val="00D335E6"/>
    <w:rsid w:val="00D33703"/>
    <w:rsid w:val="00D33E06"/>
    <w:rsid w:val="00D34691"/>
    <w:rsid w:val="00D348C4"/>
    <w:rsid w:val="00D35A3B"/>
    <w:rsid w:val="00D35B86"/>
    <w:rsid w:val="00D360C1"/>
    <w:rsid w:val="00D3619C"/>
    <w:rsid w:val="00D36D5E"/>
    <w:rsid w:val="00D37059"/>
    <w:rsid w:val="00D40AAE"/>
    <w:rsid w:val="00D40C7D"/>
    <w:rsid w:val="00D414D8"/>
    <w:rsid w:val="00D4336E"/>
    <w:rsid w:val="00D43EE7"/>
    <w:rsid w:val="00D44088"/>
    <w:rsid w:val="00D45072"/>
    <w:rsid w:val="00D452FA"/>
    <w:rsid w:val="00D46B08"/>
    <w:rsid w:val="00D46D98"/>
    <w:rsid w:val="00D47751"/>
    <w:rsid w:val="00D47F86"/>
    <w:rsid w:val="00D50CFE"/>
    <w:rsid w:val="00D50F97"/>
    <w:rsid w:val="00D50FBD"/>
    <w:rsid w:val="00D51A5C"/>
    <w:rsid w:val="00D524BE"/>
    <w:rsid w:val="00D52509"/>
    <w:rsid w:val="00D52CDA"/>
    <w:rsid w:val="00D52D8B"/>
    <w:rsid w:val="00D52F64"/>
    <w:rsid w:val="00D5322B"/>
    <w:rsid w:val="00D53A4A"/>
    <w:rsid w:val="00D53CBE"/>
    <w:rsid w:val="00D540EE"/>
    <w:rsid w:val="00D54E35"/>
    <w:rsid w:val="00D55231"/>
    <w:rsid w:val="00D553B8"/>
    <w:rsid w:val="00D55D10"/>
    <w:rsid w:val="00D56263"/>
    <w:rsid w:val="00D56472"/>
    <w:rsid w:val="00D56CA2"/>
    <w:rsid w:val="00D57089"/>
    <w:rsid w:val="00D570C6"/>
    <w:rsid w:val="00D571C9"/>
    <w:rsid w:val="00D57990"/>
    <w:rsid w:val="00D60DA7"/>
    <w:rsid w:val="00D60E38"/>
    <w:rsid w:val="00D60F09"/>
    <w:rsid w:val="00D612F5"/>
    <w:rsid w:val="00D616C8"/>
    <w:rsid w:val="00D62455"/>
    <w:rsid w:val="00D630F2"/>
    <w:rsid w:val="00D64021"/>
    <w:rsid w:val="00D651BA"/>
    <w:rsid w:val="00D655B7"/>
    <w:rsid w:val="00D656FB"/>
    <w:rsid w:val="00D65B38"/>
    <w:rsid w:val="00D65FE2"/>
    <w:rsid w:val="00D66798"/>
    <w:rsid w:val="00D676BD"/>
    <w:rsid w:val="00D67D4D"/>
    <w:rsid w:val="00D70D94"/>
    <w:rsid w:val="00D71110"/>
    <w:rsid w:val="00D7132F"/>
    <w:rsid w:val="00D7166C"/>
    <w:rsid w:val="00D725CA"/>
    <w:rsid w:val="00D726C0"/>
    <w:rsid w:val="00D729B8"/>
    <w:rsid w:val="00D72E0F"/>
    <w:rsid w:val="00D732F6"/>
    <w:rsid w:val="00D73346"/>
    <w:rsid w:val="00D737A5"/>
    <w:rsid w:val="00D74109"/>
    <w:rsid w:val="00D7456E"/>
    <w:rsid w:val="00D7510F"/>
    <w:rsid w:val="00D75331"/>
    <w:rsid w:val="00D7560A"/>
    <w:rsid w:val="00D76A67"/>
    <w:rsid w:val="00D77E1A"/>
    <w:rsid w:val="00D77EB8"/>
    <w:rsid w:val="00D802F0"/>
    <w:rsid w:val="00D804AD"/>
    <w:rsid w:val="00D809B9"/>
    <w:rsid w:val="00D81548"/>
    <w:rsid w:val="00D816AE"/>
    <w:rsid w:val="00D816DB"/>
    <w:rsid w:val="00D81955"/>
    <w:rsid w:val="00D81C10"/>
    <w:rsid w:val="00D81EE5"/>
    <w:rsid w:val="00D82334"/>
    <w:rsid w:val="00D823C1"/>
    <w:rsid w:val="00D82745"/>
    <w:rsid w:val="00D82827"/>
    <w:rsid w:val="00D829E7"/>
    <w:rsid w:val="00D83271"/>
    <w:rsid w:val="00D83556"/>
    <w:rsid w:val="00D83800"/>
    <w:rsid w:val="00D83A35"/>
    <w:rsid w:val="00D84558"/>
    <w:rsid w:val="00D84EA7"/>
    <w:rsid w:val="00D8545D"/>
    <w:rsid w:val="00D86606"/>
    <w:rsid w:val="00D86C71"/>
    <w:rsid w:val="00D87F4D"/>
    <w:rsid w:val="00D90780"/>
    <w:rsid w:val="00D91518"/>
    <w:rsid w:val="00D9192C"/>
    <w:rsid w:val="00D91A49"/>
    <w:rsid w:val="00D91CA8"/>
    <w:rsid w:val="00D91D93"/>
    <w:rsid w:val="00D91E83"/>
    <w:rsid w:val="00D926A8"/>
    <w:rsid w:val="00D935EF"/>
    <w:rsid w:val="00D93BAE"/>
    <w:rsid w:val="00D945BC"/>
    <w:rsid w:val="00D94682"/>
    <w:rsid w:val="00D94D1D"/>
    <w:rsid w:val="00D9576F"/>
    <w:rsid w:val="00D9582A"/>
    <w:rsid w:val="00D95E7E"/>
    <w:rsid w:val="00D95EE3"/>
    <w:rsid w:val="00D961B6"/>
    <w:rsid w:val="00D96322"/>
    <w:rsid w:val="00D967C0"/>
    <w:rsid w:val="00D96E00"/>
    <w:rsid w:val="00D96F44"/>
    <w:rsid w:val="00D974F9"/>
    <w:rsid w:val="00D974FD"/>
    <w:rsid w:val="00D9765A"/>
    <w:rsid w:val="00DA048C"/>
    <w:rsid w:val="00DA04FE"/>
    <w:rsid w:val="00DA0A42"/>
    <w:rsid w:val="00DA189B"/>
    <w:rsid w:val="00DA22FD"/>
    <w:rsid w:val="00DA2328"/>
    <w:rsid w:val="00DA29C1"/>
    <w:rsid w:val="00DA473A"/>
    <w:rsid w:val="00DA47B3"/>
    <w:rsid w:val="00DA4AC2"/>
    <w:rsid w:val="00DA4B27"/>
    <w:rsid w:val="00DA4E04"/>
    <w:rsid w:val="00DA50B1"/>
    <w:rsid w:val="00DA539B"/>
    <w:rsid w:val="00DA58FE"/>
    <w:rsid w:val="00DA5B85"/>
    <w:rsid w:val="00DA5CC6"/>
    <w:rsid w:val="00DA7712"/>
    <w:rsid w:val="00DA7B3D"/>
    <w:rsid w:val="00DA7C98"/>
    <w:rsid w:val="00DB0B0C"/>
    <w:rsid w:val="00DB0F85"/>
    <w:rsid w:val="00DB2220"/>
    <w:rsid w:val="00DB249D"/>
    <w:rsid w:val="00DB266E"/>
    <w:rsid w:val="00DB2A8E"/>
    <w:rsid w:val="00DB3FA3"/>
    <w:rsid w:val="00DB437E"/>
    <w:rsid w:val="00DB44D3"/>
    <w:rsid w:val="00DB6481"/>
    <w:rsid w:val="00DB6AFD"/>
    <w:rsid w:val="00DB6D14"/>
    <w:rsid w:val="00DB74CD"/>
    <w:rsid w:val="00DB7F0D"/>
    <w:rsid w:val="00DC0186"/>
    <w:rsid w:val="00DC0564"/>
    <w:rsid w:val="00DC0862"/>
    <w:rsid w:val="00DC0881"/>
    <w:rsid w:val="00DC1633"/>
    <w:rsid w:val="00DC19F6"/>
    <w:rsid w:val="00DC1FB7"/>
    <w:rsid w:val="00DC1FBD"/>
    <w:rsid w:val="00DC2340"/>
    <w:rsid w:val="00DC3580"/>
    <w:rsid w:val="00DC528F"/>
    <w:rsid w:val="00DC6072"/>
    <w:rsid w:val="00DC622A"/>
    <w:rsid w:val="00DC6DB6"/>
    <w:rsid w:val="00DC738B"/>
    <w:rsid w:val="00DC750F"/>
    <w:rsid w:val="00DC7866"/>
    <w:rsid w:val="00DC78F5"/>
    <w:rsid w:val="00DC7BB3"/>
    <w:rsid w:val="00DD05C6"/>
    <w:rsid w:val="00DD104E"/>
    <w:rsid w:val="00DD271F"/>
    <w:rsid w:val="00DD38BE"/>
    <w:rsid w:val="00DD3AEF"/>
    <w:rsid w:val="00DD3CF2"/>
    <w:rsid w:val="00DD3DD5"/>
    <w:rsid w:val="00DD4E05"/>
    <w:rsid w:val="00DD529E"/>
    <w:rsid w:val="00DD5481"/>
    <w:rsid w:val="00DD66CA"/>
    <w:rsid w:val="00DD7132"/>
    <w:rsid w:val="00DD71A9"/>
    <w:rsid w:val="00DD7D75"/>
    <w:rsid w:val="00DE0BAB"/>
    <w:rsid w:val="00DE13F5"/>
    <w:rsid w:val="00DE20B6"/>
    <w:rsid w:val="00DE290D"/>
    <w:rsid w:val="00DE2910"/>
    <w:rsid w:val="00DE2AC8"/>
    <w:rsid w:val="00DE2D2A"/>
    <w:rsid w:val="00DE2EEA"/>
    <w:rsid w:val="00DE30DA"/>
    <w:rsid w:val="00DE3AD6"/>
    <w:rsid w:val="00DE4467"/>
    <w:rsid w:val="00DE46F2"/>
    <w:rsid w:val="00DE4FB4"/>
    <w:rsid w:val="00DE60CA"/>
    <w:rsid w:val="00DE6D1D"/>
    <w:rsid w:val="00DE6DBF"/>
    <w:rsid w:val="00DE6E92"/>
    <w:rsid w:val="00DE72F7"/>
    <w:rsid w:val="00DE7BD0"/>
    <w:rsid w:val="00DE7E89"/>
    <w:rsid w:val="00DF019F"/>
    <w:rsid w:val="00DF0214"/>
    <w:rsid w:val="00DF02FB"/>
    <w:rsid w:val="00DF0390"/>
    <w:rsid w:val="00DF0538"/>
    <w:rsid w:val="00DF1033"/>
    <w:rsid w:val="00DF1941"/>
    <w:rsid w:val="00DF1E49"/>
    <w:rsid w:val="00DF33B1"/>
    <w:rsid w:val="00DF34DA"/>
    <w:rsid w:val="00DF34FE"/>
    <w:rsid w:val="00DF3569"/>
    <w:rsid w:val="00DF414C"/>
    <w:rsid w:val="00DF4181"/>
    <w:rsid w:val="00DF4321"/>
    <w:rsid w:val="00DF4553"/>
    <w:rsid w:val="00DF4C4F"/>
    <w:rsid w:val="00DF518E"/>
    <w:rsid w:val="00DF6968"/>
    <w:rsid w:val="00DF6BAC"/>
    <w:rsid w:val="00DF727E"/>
    <w:rsid w:val="00DF77BD"/>
    <w:rsid w:val="00DF78D0"/>
    <w:rsid w:val="00DF7BDF"/>
    <w:rsid w:val="00E003A1"/>
    <w:rsid w:val="00E008B1"/>
    <w:rsid w:val="00E015FC"/>
    <w:rsid w:val="00E01918"/>
    <w:rsid w:val="00E02474"/>
    <w:rsid w:val="00E03477"/>
    <w:rsid w:val="00E035EA"/>
    <w:rsid w:val="00E03D4F"/>
    <w:rsid w:val="00E03E63"/>
    <w:rsid w:val="00E042FE"/>
    <w:rsid w:val="00E0437F"/>
    <w:rsid w:val="00E04D90"/>
    <w:rsid w:val="00E05236"/>
    <w:rsid w:val="00E05B1A"/>
    <w:rsid w:val="00E05D36"/>
    <w:rsid w:val="00E06118"/>
    <w:rsid w:val="00E06299"/>
    <w:rsid w:val="00E06323"/>
    <w:rsid w:val="00E0741F"/>
    <w:rsid w:val="00E07F3F"/>
    <w:rsid w:val="00E10200"/>
    <w:rsid w:val="00E1059D"/>
    <w:rsid w:val="00E105A6"/>
    <w:rsid w:val="00E1096B"/>
    <w:rsid w:val="00E1130D"/>
    <w:rsid w:val="00E11A3F"/>
    <w:rsid w:val="00E11BF5"/>
    <w:rsid w:val="00E12673"/>
    <w:rsid w:val="00E1314B"/>
    <w:rsid w:val="00E1348B"/>
    <w:rsid w:val="00E134FE"/>
    <w:rsid w:val="00E13B57"/>
    <w:rsid w:val="00E140B5"/>
    <w:rsid w:val="00E14245"/>
    <w:rsid w:val="00E142ED"/>
    <w:rsid w:val="00E1479A"/>
    <w:rsid w:val="00E14D90"/>
    <w:rsid w:val="00E1502B"/>
    <w:rsid w:val="00E150A1"/>
    <w:rsid w:val="00E15333"/>
    <w:rsid w:val="00E158AF"/>
    <w:rsid w:val="00E15AA2"/>
    <w:rsid w:val="00E160ED"/>
    <w:rsid w:val="00E16202"/>
    <w:rsid w:val="00E16A2C"/>
    <w:rsid w:val="00E16B47"/>
    <w:rsid w:val="00E1782D"/>
    <w:rsid w:val="00E17902"/>
    <w:rsid w:val="00E17E39"/>
    <w:rsid w:val="00E17F6B"/>
    <w:rsid w:val="00E17FFA"/>
    <w:rsid w:val="00E201D3"/>
    <w:rsid w:val="00E20565"/>
    <w:rsid w:val="00E205A2"/>
    <w:rsid w:val="00E20DFF"/>
    <w:rsid w:val="00E20E75"/>
    <w:rsid w:val="00E214E4"/>
    <w:rsid w:val="00E21521"/>
    <w:rsid w:val="00E21ECD"/>
    <w:rsid w:val="00E22061"/>
    <w:rsid w:val="00E2243B"/>
    <w:rsid w:val="00E23688"/>
    <w:rsid w:val="00E23F34"/>
    <w:rsid w:val="00E248C7"/>
    <w:rsid w:val="00E24B73"/>
    <w:rsid w:val="00E24BC3"/>
    <w:rsid w:val="00E24CC0"/>
    <w:rsid w:val="00E25A3A"/>
    <w:rsid w:val="00E270F4"/>
    <w:rsid w:val="00E27245"/>
    <w:rsid w:val="00E27478"/>
    <w:rsid w:val="00E30736"/>
    <w:rsid w:val="00E30CA6"/>
    <w:rsid w:val="00E30D30"/>
    <w:rsid w:val="00E319A8"/>
    <w:rsid w:val="00E3231A"/>
    <w:rsid w:val="00E326CD"/>
    <w:rsid w:val="00E33079"/>
    <w:rsid w:val="00E33199"/>
    <w:rsid w:val="00E345FE"/>
    <w:rsid w:val="00E346C1"/>
    <w:rsid w:val="00E348B0"/>
    <w:rsid w:val="00E34E43"/>
    <w:rsid w:val="00E35B4F"/>
    <w:rsid w:val="00E364C6"/>
    <w:rsid w:val="00E36967"/>
    <w:rsid w:val="00E37B80"/>
    <w:rsid w:val="00E400F1"/>
    <w:rsid w:val="00E4049B"/>
    <w:rsid w:val="00E404E2"/>
    <w:rsid w:val="00E4194D"/>
    <w:rsid w:val="00E4225E"/>
    <w:rsid w:val="00E42521"/>
    <w:rsid w:val="00E427FC"/>
    <w:rsid w:val="00E42933"/>
    <w:rsid w:val="00E42984"/>
    <w:rsid w:val="00E42B9D"/>
    <w:rsid w:val="00E42E0F"/>
    <w:rsid w:val="00E42F66"/>
    <w:rsid w:val="00E4323D"/>
    <w:rsid w:val="00E437B7"/>
    <w:rsid w:val="00E43A05"/>
    <w:rsid w:val="00E43B7A"/>
    <w:rsid w:val="00E43BAE"/>
    <w:rsid w:val="00E44847"/>
    <w:rsid w:val="00E451D8"/>
    <w:rsid w:val="00E45FA8"/>
    <w:rsid w:val="00E46502"/>
    <w:rsid w:val="00E476CF"/>
    <w:rsid w:val="00E4786E"/>
    <w:rsid w:val="00E47FE9"/>
    <w:rsid w:val="00E50119"/>
    <w:rsid w:val="00E504EE"/>
    <w:rsid w:val="00E50D0A"/>
    <w:rsid w:val="00E5145F"/>
    <w:rsid w:val="00E51B5C"/>
    <w:rsid w:val="00E52062"/>
    <w:rsid w:val="00E526AC"/>
    <w:rsid w:val="00E53B3F"/>
    <w:rsid w:val="00E54CAE"/>
    <w:rsid w:val="00E54CD7"/>
    <w:rsid w:val="00E5508B"/>
    <w:rsid w:val="00E55326"/>
    <w:rsid w:val="00E55F9B"/>
    <w:rsid w:val="00E55F9F"/>
    <w:rsid w:val="00E56169"/>
    <w:rsid w:val="00E564C0"/>
    <w:rsid w:val="00E566E2"/>
    <w:rsid w:val="00E56B9C"/>
    <w:rsid w:val="00E5713B"/>
    <w:rsid w:val="00E5760E"/>
    <w:rsid w:val="00E57A27"/>
    <w:rsid w:val="00E57D12"/>
    <w:rsid w:val="00E60F89"/>
    <w:rsid w:val="00E61584"/>
    <w:rsid w:val="00E621E7"/>
    <w:rsid w:val="00E634BD"/>
    <w:rsid w:val="00E63506"/>
    <w:rsid w:val="00E6385E"/>
    <w:rsid w:val="00E64369"/>
    <w:rsid w:val="00E644EB"/>
    <w:rsid w:val="00E64AFD"/>
    <w:rsid w:val="00E64B64"/>
    <w:rsid w:val="00E64C60"/>
    <w:rsid w:val="00E6555A"/>
    <w:rsid w:val="00E65B33"/>
    <w:rsid w:val="00E65D1D"/>
    <w:rsid w:val="00E65DE1"/>
    <w:rsid w:val="00E663D1"/>
    <w:rsid w:val="00E66EF1"/>
    <w:rsid w:val="00E674A3"/>
    <w:rsid w:val="00E679A1"/>
    <w:rsid w:val="00E701AF"/>
    <w:rsid w:val="00E7043F"/>
    <w:rsid w:val="00E70FDD"/>
    <w:rsid w:val="00E7149B"/>
    <w:rsid w:val="00E71DA0"/>
    <w:rsid w:val="00E72DD1"/>
    <w:rsid w:val="00E72EB8"/>
    <w:rsid w:val="00E73287"/>
    <w:rsid w:val="00E73458"/>
    <w:rsid w:val="00E7373E"/>
    <w:rsid w:val="00E737CC"/>
    <w:rsid w:val="00E73829"/>
    <w:rsid w:val="00E73D4D"/>
    <w:rsid w:val="00E73EAD"/>
    <w:rsid w:val="00E741B7"/>
    <w:rsid w:val="00E745FC"/>
    <w:rsid w:val="00E748EA"/>
    <w:rsid w:val="00E750AB"/>
    <w:rsid w:val="00E75B05"/>
    <w:rsid w:val="00E75BF2"/>
    <w:rsid w:val="00E761FE"/>
    <w:rsid w:val="00E76336"/>
    <w:rsid w:val="00E76A31"/>
    <w:rsid w:val="00E7742A"/>
    <w:rsid w:val="00E77BA2"/>
    <w:rsid w:val="00E80392"/>
    <w:rsid w:val="00E80921"/>
    <w:rsid w:val="00E81343"/>
    <w:rsid w:val="00E81759"/>
    <w:rsid w:val="00E81A04"/>
    <w:rsid w:val="00E81C7D"/>
    <w:rsid w:val="00E81F09"/>
    <w:rsid w:val="00E8243C"/>
    <w:rsid w:val="00E82C0A"/>
    <w:rsid w:val="00E8339D"/>
    <w:rsid w:val="00E836A8"/>
    <w:rsid w:val="00E837AD"/>
    <w:rsid w:val="00E84491"/>
    <w:rsid w:val="00E849A8"/>
    <w:rsid w:val="00E84B46"/>
    <w:rsid w:val="00E867FE"/>
    <w:rsid w:val="00E868D4"/>
    <w:rsid w:val="00E87834"/>
    <w:rsid w:val="00E8795B"/>
    <w:rsid w:val="00E901DA"/>
    <w:rsid w:val="00E90D9C"/>
    <w:rsid w:val="00E90F75"/>
    <w:rsid w:val="00E91741"/>
    <w:rsid w:val="00E91980"/>
    <w:rsid w:val="00E91ADC"/>
    <w:rsid w:val="00E932FC"/>
    <w:rsid w:val="00E93B90"/>
    <w:rsid w:val="00E94E6E"/>
    <w:rsid w:val="00E95598"/>
    <w:rsid w:val="00E9596A"/>
    <w:rsid w:val="00E95D60"/>
    <w:rsid w:val="00E95DBF"/>
    <w:rsid w:val="00E95E84"/>
    <w:rsid w:val="00E95EAF"/>
    <w:rsid w:val="00E96616"/>
    <w:rsid w:val="00E96EAF"/>
    <w:rsid w:val="00E9767E"/>
    <w:rsid w:val="00E97AAF"/>
    <w:rsid w:val="00E97D3C"/>
    <w:rsid w:val="00E97F3B"/>
    <w:rsid w:val="00EA04C1"/>
    <w:rsid w:val="00EA0720"/>
    <w:rsid w:val="00EA0898"/>
    <w:rsid w:val="00EA0C5E"/>
    <w:rsid w:val="00EA121E"/>
    <w:rsid w:val="00EA148E"/>
    <w:rsid w:val="00EA259A"/>
    <w:rsid w:val="00EA3131"/>
    <w:rsid w:val="00EA3334"/>
    <w:rsid w:val="00EA4087"/>
    <w:rsid w:val="00EA4487"/>
    <w:rsid w:val="00EA4BEC"/>
    <w:rsid w:val="00EA6172"/>
    <w:rsid w:val="00EA619E"/>
    <w:rsid w:val="00EA61AC"/>
    <w:rsid w:val="00EA6DFA"/>
    <w:rsid w:val="00EA71E0"/>
    <w:rsid w:val="00EA7331"/>
    <w:rsid w:val="00EA7422"/>
    <w:rsid w:val="00EB1658"/>
    <w:rsid w:val="00EB165C"/>
    <w:rsid w:val="00EB171C"/>
    <w:rsid w:val="00EB189A"/>
    <w:rsid w:val="00EB24B3"/>
    <w:rsid w:val="00EB2C7D"/>
    <w:rsid w:val="00EB4A88"/>
    <w:rsid w:val="00EB4C89"/>
    <w:rsid w:val="00EB50A2"/>
    <w:rsid w:val="00EB5253"/>
    <w:rsid w:val="00EB5D7A"/>
    <w:rsid w:val="00EB5EDA"/>
    <w:rsid w:val="00EB62B0"/>
    <w:rsid w:val="00EB6AB0"/>
    <w:rsid w:val="00EB7B69"/>
    <w:rsid w:val="00EC05D4"/>
    <w:rsid w:val="00EC17A1"/>
    <w:rsid w:val="00EC1876"/>
    <w:rsid w:val="00EC1E9B"/>
    <w:rsid w:val="00EC2510"/>
    <w:rsid w:val="00EC274A"/>
    <w:rsid w:val="00EC28BC"/>
    <w:rsid w:val="00EC368F"/>
    <w:rsid w:val="00EC395C"/>
    <w:rsid w:val="00EC3BD8"/>
    <w:rsid w:val="00EC499E"/>
    <w:rsid w:val="00EC5014"/>
    <w:rsid w:val="00EC5276"/>
    <w:rsid w:val="00EC59B3"/>
    <w:rsid w:val="00EC619B"/>
    <w:rsid w:val="00EC63B0"/>
    <w:rsid w:val="00EC672C"/>
    <w:rsid w:val="00ED00DC"/>
    <w:rsid w:val="00ED052A"/>
    <w:rsid w:val="00ED0BD0"/>
    <w:rsid w:val="00ED1C44"/>
    <w:rsid w:val="00ED1F37"/>
    <w:rsid w:val="00ED2131"/>
    <w:rsid w:val="00ED2280"/>
    <w:rsid w:val="00ED2328"/>
    <w:rsid w:val="00ED3B8B"/>
    <w:rsid w:val="00ED41B2"/>
    <w:rsid w:val="00ED445A"/>
    <w:rsid w:val="00ED4C67"/>
    <w:rsid w:val="00ED61AE"/>
    <w:rsid w:val="00ED66D1"/>
    <w:rsid w:val="00ED6C69"/>
    <w:rsid w:val="00ED701D"/>
    <w:rsid w:val="00ED7556"/>
    <w:rsid w:val="00ED781A"/>
    <w:rsid w:val="00ED7902"/>
    <w:rsid w:val="00ED7CFE"/>
    <w:rsid w:val="00ED7EC3"/>
    <w:rsid w:val="00ED7F77"/>
    <w:rsid w:val="00EE02E7"/>
    <w:rsid w:val="00EE0F2B"/>
    <w:rsid w:val="00EE16FB"/>
    <w:rsid w:val="00EE2B23"/>
    <w:rsid w:val="00EE2CCA"/>
    <w:rsid w:val="00EE31DF"/>
    <w:rsid w:val="00EE479B"/>
    <w:rsid w:val="00EE4CBD"/>
    <w:rsid w:val="00EE4FE2"/>
    <w:rsid w:val="00EE5435"/>
    <w:rsid w:val="00EE58B1"/>
    <w:rsid w:val="00EE6409"/>
    <w:rsid w:val="00EE6AD1"/>
    <w:rsid w:val="00EE6EDE"/>
    <w:rsid w:val="00EE769B"/>
    <w:rsid w:val="00EE7B19"/>
    <w:rsid w:val="00EE7E32"/>
    <w:rsid w:val="00EF056D"/>
    <w:rsid w:val="00EF24EC"/>
    <w:rsid w:val="00EF2E53"/>
    <w:rsid w:val="00EF2EF2"/>
    <w:rsid w:val="00EF2F53"/>
    <w:rsid w:val="00EF363D"/>
    <w:rsid w:val="00EF383E"/>
    <w:rsid w:val="00EF3E6A"/>
    <w:rsid w:val="00EF4B89"/>
    <w:rsid w:val="00EF4EFC"/>
    <w:rsid w:val="00EF5769"/>
    <w:rsid w:val="00EF5D8E"/>
    <w:rsid w:val="00EF5F18"/>
    <w:rsid w:val="00EF638C"/>
    <w:rsid w:val="00EF6AE4"/>
    <w:rsid w:val="00EF7130"/>
    <w:rsid w:val="00EF74AC"/>
    <w:rsid w:val="00EF750A"/>
    <w:rsid w:val="00EF78E2"/>
    <w:rsid w:val="00EF7B76"/>
    <w:rsid w:val="00EF7BC9"/>
    <w:rsid w:val="00F00476"/>
    <w:rsid w:val="00F006CE"/>
    <w:rsid w:val="00F00F19"/>
    <w:rsid w:val="00F01158"/>
    <w:rsid w:val="00F01D56"/>
    <w:rsid w:val="00F020BC"/>
    <w:rsid w:val="00F02225"/>
    <w:rsid w:val="00F024D0"/>
    <w:rsid w:val="00F02524"/>
    <w:rsid w:val="00F02965"/>
    <w:rsid w:val="00F040E3"/>
    <w:rsid w:val="00F0411A"/>
    <w:rsid w:val="00F04256"/>
    <w:rsid w:val="00F04A18"/>
    <w:rsid w:val="00F04F76"/>
    <w:rsid w:val="00F055BF"/>
    <w:rsid w:val="00F0580E"/>
    <w:rsid w:val="00F05A38"/>
    <w:rsid w:val="00F05DC1"/>
    <w:rsid w:val="00F06C86"/>
    <w:rsid w:val="00F06E01"/>
    <w:rsid w:val="00F06EDA"/>
    <w:rsid w:val="00F077F0"/>
    <w:rsid w:val="00F07A7F"/>
    <w:rsid w:val="00F104AC"/>
    <w:rsid w:val="00F11202"/>
    <w:rsid w:val="00F121BC"/>
    <w:rsid w:val="00F12EDF"/>
    <w:rsid w:val="00F12F98"/>
    <w:rsid w:val="00F133BF"/>
    <w:rsid w:val="00F13528"/>
    <w:rsid w:val="00F13E13"/>
    <w:rsid w:val="00F146EF"/>
    <w:rsid w:val="00F147EF"/>
    <w:rsid w:val="00F15796"/>
    <w:rsid w:val="00F16256"/>
    <w:rsid w:val="00F165DB"/>
    <w:rsid w:val="00F16956"/>
    <w:rsid w:val="00F16D52"/>
    <w:rsid w:val="00F1766E"/>
    <w:rsid w:val="00F17937"/>
    <w:rsid w:val="00F17E0C"/>
    <w:rsid w:val="00F17E85"/>
    <w:rsid w:val="00F200CE"/>
    <w:rsid w:val="00F20F90"/>
    <w:rsid w:val="00F22F11"/>
    <w:rsid w:val="00F232D2"/>
    <w:rsid w:val="00F23E32"/>
    <w:rsid w:val="00F24F80"/>
    <w:rsid w:val="00F256A1"/>
    <w:rsid w:val="00F2575C"/>
    <w:rsid w:val="00F2577D"/>
    <w:rsid w:val="00F259EB"/>
    <w:rsid w:val="00F25DB2"/>
    <w:rsid w:val="00F26BCD"/>
    <w:rsid w:val="00F27574"/>
    <w:rsid w:val="00F27B23"/>
    <w:rsid w:val="00F27C05"/>
    <w:rsid w:val="00F30F18"/>
    <w:rsid w:val="00F315B2"/>
    <w:rsid w:val="00F31853"/>
    <w:rsid w:val="00F3187F"/>
    <w:rsid w:val="00F325F8"/>
    <w:rsid w:val="00F32699"/>
    <w:rsid w:val="00F32F61"/>
    <w:rsid w:val="00F331F5"/>
    <w:rsid w:val="00F33618"/>
    <w:rsid w:val="00F33AD6"/>
    <w:rsid w:val="00F33E12"/>
    <w:rsid w:val="00F3403C"/>
    <w:rsid w:val="00F3448A"/>
    <w:rsid w:val="00F34943"/>
    <w:rsid w:val="00F34F59"/>
    <w:rsid w:val="00F357FD"/>
    <w:rsid w:val="00F36EE4"/>
    <w:rsid w:val="00F40843"/>
    <w:rsid w:val="00F410C8"/>
    <w:rsid w:val="00F41CF4"/>
    <w:rsid w:val="00F42077"/>
    <w:rsid w:val="00F42BDE"/>
    <w:rsid w:val="00F43632"/>
    <w:rsid w:val="00F4385A"/>
    <w:rsid w:val="00F43948"/>
    <w:rsid w:val="00F43B4E"/>
    <w:rsid w:val="00F43CF7"/>
    <w:rsid w:val="00F43E4B"/>
    <w:rsid w:val="00F43FE8"/>
    <w:rsid w:val="00F440C0"/>
    <w:rsid w:val="00F44108"/>
    <w:rsid w:val="00F445C8"/>
    <w:rsid w:val="00F454CB"/>
    <w:rsid w:val="00F4579A"/>
    <w:rsid w:val="00F4585D"/>
    <w:rsid w:val="00F469E7"/>
    <w:rsid w:val="00F46C5E"/>
    <w:rsid w:val="00F46D53"/>
    <w:rsid w:val="00F47565"/>
    <w:rsid w:val="00F47B22"/>
    <w:rsid w:val="00F50A5E"/>
    <w:rsid w:val="00F50E03"/>
    <w:rsid w:val="00F51731"/>
    <w:rsid w:val="00F51D7B"/>
    <w:rsid w:val="00F51FD4"/>
    <w:rsid w:val="00F5206E"/>
    <w:rsid w:val="00F52343"/>
    <w:rsid w:val="00F523AD"/>
    <w:rsid w:val="00F524E4"/>
    <w:rsid w:val="00F52823"/>
    <w:rsid w:val="00F52998"/>
    <w:rsid w:val="00F53F6A"/>
    <w:rsid w:val="00F53FCF"/>
    <w:rsid w:val="00F54162"/>
    <w:rsid w:val="00F5443F"/>
    <w:rsid w:val="00F5469D"/>
    <w:rsid w:val="00F5497D"/>
    <w:rsid w:val="00F54DD3"/>
    <w:rsid w:val="00F54FA6"/>
    <w:rsid w:val="00F55ED6"/>
    <w:rsid w:val="00F5661B"/>
    <w:rsid w:val="00F56AE1"/>
    <w:rsid w:val="00F56E10"/>
    <w:rsid w:val="00F57432"/>
    <w:rsid w:val="00F5746B"/>
    <w:rsid w:val="00F5763F"/>
    <w:rsid w:val="00F57658"/>
    <w:rsid w:val="00F57742"/>
    <w:rsid w:val="00F608AE"/>
    <w:rsid w:val="00F60E62"/>
    <w:rsid w:val="00F612A6"/>
    <w:rsid w:val="00F613DA"/>
    <w:rsid w:val="00F615E3"/>
    <w:rsid w:val="00F61A28"/>
    <w:rsid w:val="00F61CE2"/>
    <w:rsid w:val="00F61D5E"/>
    <w:rsid w:val="00F61ED9"/>
    <w:rsid w:val="00F61EFE"/>
    <w:rsid w:val="00F62205"/>
    <w:rsid w:val="00F62644"/>
    <w:rsid w:val="00F63555"/>
    <w:rsid w:val="00F63612"/>
    <w:rsid w:val="00F638FB"/>
    <w:rsid w:val="00F639E5"/>
    <w:rsid w:val="00F63EE0"/>
    <w:rsid w:val="00F63F68"/>
    <w:rsid w:val="00F64180"/>
    <w:rsid w:val="00F644DA"/>
    <w:rsid w:val="00F64853"/>
    <w:rsid w:val="00F648CD"/>
    <w:rsid w:val="00F64BE7"/>
    <w:rsid w:val="00F65482"/>
    <w:rsid w:val="00F656ED"/>
    <w:rsid w:val="00F65969"/>
    <w:rsid w:val="00F66A5A"/>
    <w:rsid w:val="00F66B96"/>
    <w:rsid w:val="00F66F2A"/>
    <w:rsid w:val="00F6723A"/>
    <w:rsid w:val="00F674D5"/>
    <w:rsid w:val="00F67B3A"/>
    <w:rsid w:val="00F67B48"/>
    <w:rsid w:val="00F67BD9"/>
    <w:rsid w:val="00F67FE9"/>
    <w:rsid w:val="00F70678"/>
    <w:rsid w:val="00F7077A"/>
    <w:rsid w:val="00F70886"/>
    <w:rsid w:val="00F71D9B"/>
    <w:rsid w:val="00F724FF"/>
    <w:rsid w:val="00F733D9"/>
    <w:rsid w:val="00F73675"/>
    <w:rsid w:val="00F73758"/>
    <w:rsid w:val="00F739E1"/>
    <w:rsid w:val="00F74643"/>
    <w:rsid w:val="00F75187"/>
    <w:rsid w:val="00F753C4"/>
    <w:rsid w:val="00F755F3"/>
    <w:rsid w:val="00F75BB4"/>
    <w:rsid w:val="00F763B0"/>
    <w:rsid w:val="00F7644E"/>
    <w:rsid w:val="00F76CBD"/>
    <w:rsid w:val="00F76DFB"/>
    <w:rsid w:val="00F771FA"/>
    <w:rsid w:val="00F77221"/>
    <w:rsid w:val="00F7728E"/>
    <w:rsid w:val="00F800F5"/>
    <w:rsid w:val="00F81184"/>
    <w:rsid w:val="00F8184B"/>
    <w:rsid w:val="00F81982"/>
    <w:rsid w:val="00F82467"/>
    <w:rsid w:val="00F828CF"/>
    <w:rsid w:val="00F8296F"/>
    <w:rsid w:val="00F82DB4"/>
    <w:rsid w:val="00F833C8"/>
    <w:rsid w:val="00F834F2"/>
    <w:rsid w:val="00F83728"/>
    <w:rsid w:val="00F83AA0"/>
    <w:rsid w:val="00F840AE"/>
    <w:rsid w:val="00F845E2"/>
    <w:rsid w:val="00F84973"/>
    <w:rsid w:val="00F84D6A"/>
    <w:rsid w:val="00F851FC"/>
    <w:rsid w:val="00F8638C"/>
    <w:rsid w:val="00F86C48"/>
    <w:rsid w:val="00F86E76"/>
    <w:rsid w:val="00F8759F"/>
    <w:rsid w:val="00F876E1"/>
    <w:rsid w:val="00F8778A"/>
    <w:rsid w:val="00F878FA"/>
    <w:rsid w:val="00F87B4F"/>
    <w:rsid w:val="00F87BBF"/>
    <w:rsid w:val="00F907C5"/>
    <w:rsid w:val="00F9081E"/>
    <w:rsid w:val="00F908FD"/>
    <w:rsid w:val="00F90C7D"/>
    <w:rsid w:val="00F91476"/>
    <w:rsid w:val="00F9168A"/>
    <w:rsid w:val="00F916E4"/>
    <w:rsid w:val="00F91B86"/>
    <w:rsid w:val="00F91C07"/>
    <w:rsid w:val="00F91D2E"/>
    <w:rsid w:val="00F91E33"/>
    <w:rsid w:val="00F91FEC"/>
    <w:rsid w:val="00F92019"/>
    <w:rsid w:val="00F922A4"/>
    <w:rsid w:val="00F922CB"/>
    <w:rsid w:val="00F931AA"/>
    <w:rsid w:val="00F9335E"/>
    <w:rsid w:val="00F935C3"/>
    <w:rsid w:val="00F93E57"/>
    <w:rsid w:val="00F94B64"/>
    <w:rsid w:val="00F94E53"/>
    <w:rsid w:val="00F95ED6"/>
    <w:rsid w:val="00F960CB"/>
    <w:rsid w:val="00F962C4"/>
    <w:rsid w:val="00F96524"/>
    <w:rsid w:val="00F96A5A"/>
    <w:rsid w:val="00F97004"/>
    <w:rsid w:val="00F9703F"/>
    <w:rsid w:val="00F97C52"/>
    <w:rsid w:val="00F97C9F"/>
    <w:rsid w:val="00F97F10"/>
    <w:rsid w:val="00FA01B2"/>
    <w:rsid w:val="00FA0D62"/>
    <w:rsid w:val="00FA2F9E"/>
    <w:rsid w:val="00FA366F"/>
    <w:rsid w:val="00FA3880"/>
    <w:rsid w:val="00FA390B"/>
    <w:rsid w:val="00FA3AE8"/>
    <w:rsid w:val="00FA3E7F"/>
    <w:rsid w:val="00FA45AB"/>
    <w:rsid w:val="00FA4B24"/>
    <w:rsid w:val="00FA4E16"/>
    <w:rsid w:val="00FA5039"/>
    <w:rsid w:val="00FA514C"/>
    <w:rsid w:val="00FA5526"/>
    <w:rsid w:val="00FA5AE0"/>
    <w:rsid w:val="00FA5BD0"/>
    <w:rsid w:val="00FA5C0B"/>
    <w:rsid w:val="00FA6D09"/>
    <w:rsid w:val="00FA6F1A"/>
    <w:rsid w:val="00FA6FED"/>
    <w:rsid w:val="00FA723D"/>
    <w:rsid w:val="00FB01DC"/>
    <w:rsid w:val="00FB02C9"/>
    <w:rsid w:val="00FB04AC"/>
    <w:rsid w:val="00FB08EF"/>
    <w:rsid w:val="00FB1D66"/>
    <w:rsid w:val="00FB26DC"/>
    <w:rsid w:val="00FB2FF7"/>
    <w:rsid w:val="00FB379D"/>
    <w:rsid w:val="00FB3A4B"/>
    <w:rsid w:val="00FB3BC6"/>
    <w:rsid w:val="00FB3D61"/>
    <w:rsid w:val="00FB46ED"/>
    <w:rsid w:val="00FB47B7"/>
    <w:rsid w:val="00FB4C8D"/>
    <w:rsid w:val="00FB4F3E"/>
    <w:rsid w:val="00FB53E2"/>
    <w:rsid w:val="00FB564C"/>
    <w:rsid w:val="00FB5882"/>
    <w:rsid w:val="00FB5C31"/>
    <w:rsid w:val="00FB5E2E"/>
    <w:rsid w:val="00FB6519"/>
    <w:rsid w:val="00FB7228"/>
    <w:rsid w:val="00FB7411"/>
    <w:rsid w:val="00FB74FB"/>
    <w:rsid w:val="00FB7964"/>
    <w:rsid w:val="00FC00D6"/>
    <w:rsid w:val="00FC0891"/>
    <w:rsid w:val="00FC0D4F"/>
    <w:rsid w:val="00FC29FC"/>
    <w:rsid w:val="00FC3131"/>
    <w:rsid w:val="00FC3698"/>
    <w:rsid w:val="00FC3961"/>
    <w:rsid w:val="00FC3B21"/>
    <w:rsid w:val="00FC44AC"/>
    <w:rsid w:val="00FC4737"/>
    <w:rsid w:val="00FC4CC3"/>
    <w:rsid w:val="00FC4F8D"/>
    <w:rsid w:val="00FC50DF"/>
    <w:rsid w:val="00FC6170"/>
    <w:rsid w:val="00FC737A"/>
    <w:rsid w:val="00FC79E0"/>
    <w:rsid w:val="00FC7CA7"/>
    <w:rsid w:val="00FD09EA"/>
    <w:rsid w:val="00FD10A8"/>
    <w:rsid w:val="00FD119E"/>
    <w:rsid w:val="00FD1899"/>
    <w:rsid w:val="00FD1DCC"/>
    <w:rsid w:val="00FD23C4"/>
    <w:rsid w:val="00FD28BF"/>
    <w:rsid w:val="00FD303F"/>
    <w:rsid w:val="00FD31CD"/>
    <w:rsid w:val="00FD3824"/>
    <w:rsid w:val="00FD3881"/>
    <w:rsid w:val="00FD4BB6"/>
    <w:rsid w:val="00FD5752"/>
    <w:rsid w:val="00FD5D13"/>
    <w:rsid w:val="00FD652F"/>
    <w:rsid w:val="00FD6787"/>
    <w:rsid w:val="00FD6BFD"/>
    <w:rsid w:val="00FE0233"/>
    <w:rsid w:val="00FE0821"/>
    <w:rsid w:val="00FE149D"/>
    <w:rsid w:val="00FE1554"/>
    <w:rsid w:val="00FE1CF1"/>
    <w:rsid w:val="00FE1D9E"/>
    <w:rsid w:val="00FE2082"/>
    <w:rsid w:val="00FE27FE"/>
    <w:rsid w:val="00FE29EC"/>
    <w:rsid w:val="00FE2D3B"/>
    <w:rsid w:val="00FE3042"/>
    <w:rsid w:val="00FE33DB"/>
    <w:rsid w:val="00FE3F3A"/>
    <w:rsid w:val="00FE3F95"/>
    <w:rsid w:val="00FE42A4"/>
    <w:rsid w:val="00FE47AF"/>
    <w:rsid w:val="00FE5752"/>
    <w:rsid w:val="00FE63C7"/>
    <w:rsid w:val="00FF07FE"/>
    <w:rsid w:val="00FF16A9"/>
    <w:rsid w:val="00FF1774"/>
    <w:rsid w:val="00FF201E"/>
    <w:rsid w:val="00FF25F3"/>
    <w:rsid w:val="00FF309E"/>
    <w:rsid w:val="00FF3360"/>
    <w:rsid w:val="00FF38E4"/>
    <w:rsid w:val="00FF4298"/>
    <w:rsid w:val="00FF5395"/>
    <w:rsid w:val="00FF5971"/>
    <w:rsid w:val="00FF5C86"/>
    <w:rsid w:val="00FF5DD0"/>
    <w:rsid w:val="00FF641E"/>
    <w:rsid w:val="00FF6E93"/>
    <w:rsid w:val="00FF7198"/>
    <w:rsid w:val="00FF758C"/>
    <w:rsid w:val="00FF76B8"/>
    <w:rsid w:val="00FF7967"/>
    <w:rsid w:val="00FF7B3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0853D3FC"/>
  <w15:docId w15:val="{DB8ECEB2-913A-4EAB-A0B3-1D0FD8993C7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qFormat="1"/>
    <w:lsdException w:name="toc 2" w:semiHidden="1" w:uiPriority="39" w:unhideWhenUsed="1" w:qFormat="1"/>
    <w:lsdException w:name="toc 3" w:semiHidden="1" w:uiPriority="39" w:unhideWhenUsed="1" w:qFormat="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555268"/>
  </w:style>
  <w:style w:type="paragraph" w:styleId="Heading1">
    <w:name w:val="heading 1"/>
    <w:basedOn w:val="Normal"/>
    <w:link w:val="Heading1Char"/>
    <w:uiPriority w:val="9"/>
    <w:qFormat/>
    <w:rsid w:val="00201C5A"/>
    <w:pPr>
      <w:spacing w:before="100" w:beforeAutospacing="1" w:after="100" w:afterAutospacing="1" w:line="240" w:lineRule="auto"/>
      <w:outlineLvl w:val="0"/>
    </w:pPr>
    <w:rPr>
      <w:rFonts w:eastAsia="Times New Roman" w:cs="Times New Roman"/>
      <w:b/>
      <w:bCs/>
      <w:kern w:val="36"/>
      <w:sz w:val="24"/>
      <w:szCs w:val="48"/>
      <w:lang w:eastAsia="en-GB"/>
    </w:rPr>
  </w:style>
  <w:style w:type="paragraph" w:styleId="Heading2">
    <w:name w:val="heading 2"/>
    <w:basedOn w:val="Normal"/>
    <w:next w:val="Normal"/>
    <w:link w:val="Heading2Char"/>
    <w:uiPriority w:val="9"/>
    <w:unhideWhenUsed/>
    <w:qFormat/>
    <w:rsid w:val="0073597B"/>
    <w:pPr>
      <w:keepNext/>
      <w:keepLines/>
      <w:numPr>
        <w:ilvl w:val="2"/>
        <w:numId w:val="4"/>
      </w:numPr>
      <w:spacing w:before="200" w:after="0" w:line="360" w:lineRule="auto"/>
      <w:outlineLvl w:val="1"/>
    </w:pPr>
    <w:rPr>
      <w:rFonts w:eastAsiaTheme="majorEastAsia" w:cstheme="majorBidi"/>
      <w:b/>
      <w:bCs/>
      <w:i/>
      <w:sz w:val="24"/>
      <w:szCs w:val="26"/>
    </w:rPr>
  </w:style>
  <w:style w:type="paragraph" w:styleId="Heading3">
    <w:name w:val="heading 3"/>
    <w:basedOn w:val="Normal"/>
    <w:next w:val="Normal"/>
    <w:link w:val="Heading3Char"/>
    <w:uiPriority w:val="9"/>
    <w:unhideWhenUsed/>
    <w:qFormat/>
    <w:rsid w:val="001D748F"/>
    <w:pPr>
      <w:keepNext/>
      <w:keepLines/>
      <w:spacing w:before="200" w:after="0" w:line="360" w:lineRule="auto"/>
      <w:ind w:left="2160"/>
      <w:outlineLvl w:val="2"/>
    </w:pPr>
    <w:rPr>
      <w:rFonts w:eastAsiaTheme="majorEastAsia" w:cstheme="majorBidi"/>
      <w:b/>
      <w:bCs/>
      <w:i/>
      <w:sz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5A72D3"/>
    <w:pPr>
      <w:ind w:left="720"/>
      <w:contextualSpacing/>
    </w:pPr>
  </w:style>
  <w:style w:type="paragraph" w:styleId="Header">
    <w:name w:val="header"/>
    <w:basedOn w:val="Normal"/>
    <w:link w:val="HeaderChar"/>
    <w:uiPriority w:val="99"/>
    <w:unhideWhenUsed/>
    <w:rsid w:val="003D1C9B"/>
    <w:pPr>
      <w:tabs>
        <w:tab w:val="center" w:pos="4513"/>
        <w:tab w:val="right" w:pos="9026"/>
      </w:tabs>
      <w:spacing w:after="0" w:line="240" w:lineRule="auto"/>
    </w:pPr>
  </w:style>
  <w:style w:type="character" w:customStyle="1" w:styleId="HeaderChar">
    <w:name w:val="Header Char"/>
    <w:basedOn w:val="DefaultParagraphFont"/>
    <w:link w:val="Header"/>
    <w:uiPriority w:val="99"/>
    <w:rsid w:val="003D1C9B"/>
  </w:style>
  <w:style w:type="paragraph" w:styleId="Footer">
    <w:name w:val="footer"/>
    <w:basedOn w:val="Normal"/>
    <w:link w:val="FooterChar"/>
    <w:uiPriority w:val="99"/>
    <w:unhideWhenUsed/>
    <w:rsid w:val="003D1C9B"/>
    <w:pPr>
      <w:tabs>
        <w:tab w:val="center" w:pos="4513"/>
        <w:tab w:val="right" w:pos="9026"/>
      </w:tabs>
      <w:spacing w:after="0" w:line="240" w:lineRule="auto"/>
    </w:pPr>
  </w:style>
  <w:style w:type="character" w:customStyle="1" w:styleId="FooterChar">
    <w:name w:val="Footer Char"/>
    <w:basedOn w:val="DefaultParagraphFont"/>
    <w:link w:val="Footer"/>
    <w:uiPriority w:val="99"/>
    <w:rsid w:val="003D1C9B"/>
  </w:style>
  <w:style w:type="paragraph" w:styleId="NoSpacing">
    <w:name w:val="No Spacing"/>
    <w:uiPriority w:val="1"/>
    <w:qFormat/>
    <w:rsid w:val="002D6F93"/>
    <w:pPr>
      <w:spacing w:after="0" w:line="240" w:lineRule="auto"/>
    </w:pPr>
  </w:style>
  <w:style w:type="paragraph" w:styleId="BalloonText">
    <w:name w:val="Balloon Text"/>
    <w:basedOn w:val="Normal"/>
    <w:link w:val="BalloonTextChar"/>
    <w:uiPriority w:val="99"/>
    <w:semiHidden/>
    <w:unhideWhenUsed/>
    <w:rsid w:val="00033572"/>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033572"/>
    <w:rPr>
      <w:rFonts w:ascii="Tahoma" w:hAnsi="Tahoma" w:cs="Tahoma"/>
      <w:sz w:val="16"/>
      <w:szCs w:val="16"/>
    </w:rPr>
  </w:style>
  <w:style w:type="character" w:customStyle="1" w:styleId="prodscientificname">
    <w:name w:val="prodscientificname"/>
    <w:basedOn w:val="DefaultParagraphFont"/>
    <w:rsid w:val="00E46502"/>
  </w:style>
  <w:style w:type="paragraph" w:styleId="Bibliography">
    <w:name w:val="Bibliography"/>
    <w:basedOn w:val="Normal"/>
    <w:next w:val="Normal"/>
    <w:uiPriority w:val="37"/>
    <w:unhideWhenUsed/>
    <w:rsid w:val="002D41CF"/>
    <w:pPr>
      <w:spacing w:after="0" w:line="240" w:lineRule="auto"/>
      <w:ind w:left="720" w:hanging="720"/>
    </w:pPr>
  </w:style>
  <w:style w:type="character" w:customStyle="1" w:styleId="Heading1Char">
    <w:name w:val="Heading 1 Char"/>
    <w:basedOn w:val="DefaultParagraphFont"/>
    <w:link w:val="Heading1"/>
    <w:uiPriority w:val="9"/>
    <w:rsid w:val="00201C5A"/>
    <w:rPr>
      <w:rFonts w:eastAsia="Times New Roman" w:cs="Times New Roman"/>
      <w:b/>
      <w:bCs/>
      <w:kern w:val="36"/>
      <w:sz w:val="24"/>
      <w:szCs w:val="48"/>
      <w:lang w:eastAsia="en-GB"/>
    </w:rPr>
  </w:style>
  <w:style w:type="character" w:customStyle="1" w:styleId="profilename">
    <w:name w:val="profilename"/>
    <w:basedOn w:val="DefaultParagraphFont"/>
    <w:rsid w:val="00CE35AA"/>
  </w:style>
  <w:style w:type="paragraph" w:styleId="TOCHeading">
    <w:name w:val="TOC Heading"/>
    <w:basedOn w:val="Heading1"/>
    <w:next w:val="Normal"/>
    <w:uiPriority w:val="39"/>
    <w:unhideWhenUsed/>
    <w:qFormat/>
    <w:rsid w:val="009D0543"/>
    <w:pPr>
      <w:keepNext/>
      <w:keepLines/>
      <w:spacing w:before="480" w:beforeAutospacing="0" w:after="0" w:afterAutospacing="0" w:line="276" w:lineRule="auto"/>
      <w:outlineLvl w:val="9"/>
    </w:pPr>
    <w:rPr>
      <w:rFonts w:asciiTheme="majorHAnsi" w:eastAsiaTheme="majorEastAsia" w:hAnsiTheme="majorHAnsi" w:cstheme="majorBidi"/>
      <w:color w:val="365F91" w:themeColor="accent1" w:themeShade="BF"/>
      <w:kern w:val="0"/>
      <w:sz w:val="28"/>
      <w:szCs w:val="28"/>
      <w:lang w:val="en-US" w:eastAsia="en-US"/>
    </w:rPr>
  </w:style>
  <w:style w:type="paragraph" w:styleId="TOC1">
    <w:name w:val="toc 1"/>
    <w:basedOn w:val="Normal"/>
    <w:next w:val="Normal"/>
    <w:autoRedefine/>
    <w:uiPriority w:val="39"/>
    <w:unhideWhenUsed/>
    <w:qFormat/>
    <w:rsid w:val="000239EA"/>
    <w:pPr>
      <w:tabs>
        <w:tab w:val="right" w:leader="dot" w:pos="9016"/>
      </w:tabs>
      <w:spacing w:after="100"/>
    </w:pPr>
    <w:rPr>
      <w:b/>
    </w:rPr>
  </w:style>
  <w:style w:type="character" w:styleId="Hyperlink">
    <w:name w:val="Hyperlink"/>
    <w:basedOn w:val="DefaultParagraphFont"/>
    <w:uiPriority w:val="99"/>
    <w:unhideWhenUsed/>
    <w:rsid w:val="009D0543"/>
    <w:rPr>
      <w:color w:val="0000FF" w:themeColor="hyperlink"/>
      <w:u w:val="single"/>
    </w:rPr>
  </w:style>
  <w:style w:type="paragraph" w:styleId="TOC2">
    <w:name w:val="toc 2"/>
    <w:basedOn w:val="Normal"/>
    <w:next w:val="Normal"/>
    <w:autoRedefine/>
    <w:uiPriority w:val="39"/>
    <w:unhideWhenUsed/>
    <w:qFormat/>
    <w:rsid w:val="009D0543"/>
    <w:pPr>
      <w:spacing w:after="100"/>
      <w:ind w:left="220"/>
    </w:pPr>
    <w:rPr>
      <w:rFonts w:eastAsiaTheme="minorEastAsia"/>
      <w:lang w:val="en-US"/>
    </w:rPr>
  </w:style>
  <w:style w:type="paragraph" w:styleId="TOC3">
    <w:name w:val="toc 3"/>
    <w:basedOn w:val="Normal"/>
    <w:next w:val="Normal"/>
    <w:autoRedefine/>
    <w:uiPriority w:val="39"/>
    <w:unhideWhenUsed/>
    <w:qFormat/>
    <w:rsid w:val="009D0543"/>
    <w:pPr>
      <w:spacing w:after="100"/>
      <w:ind w:left="440"/>
    </w:pPr>
    <w:rPr>
      <w:rFonts w:eastAsiaTheme="minorEastAsia"/>
      <w:lang w:val="en-US"/>
    </w:rPr>
  </w:style>
  <w:style w:type="character" w:customStyle="1" w:styleId="Heading2Char">
    <w:name w:val="Heading 2 Char"/>
    <w:basedOn w:val="DefaultParagraphFont"/>
    <w:link w:val="Heading2"/>
    <w:uiPriority w:val="9"/>
    <w:rsid w:val="0073597B"/>
    <w:rPr>
      <w:rFonts w:eastAsiaTheme="majorEastAsia" w:cstheme="majorBidi"/>
      <w:b/>
      <w:bCs/>
      <w:i/>
      <w:sz w:val="24"/>
      <w:szCs w:val="26"/>
    </w:rPr>
  </w:style>
  <w:style w:type="character" w:customStyle="1" w:styleId="Heading3Char">
    <w:name w:val="Heading 3 Char"/>
    <w:basedOn w:val="DefaultParagraphFont"/>
    <w:link w:val="Heading3"/>
    <w:uiPriority w:val="9"/>
    <w:rsid w:val="001D748F"/>
    <w:rPr>
      <w:rFonts w:eastAsiaTheme="majorEastAsia" w:cstheme="majorBidi"/>
      <w:b/>
      <w:bCs/>
      <w:i/>
      <w:sz w:val="24"/>
    </w:rPr>
  </w:style>
  <w:style w:type="character" w:styleId="PlaceholderText">
    <w:name w:val="Placeholder Text"/>
    <w:basedOn w:val="DefaultParagraphFont"/>
    <w:uiPriority w:val="99"/>
    <w:semiHidden/>
    <w:rsid w:val="008F766E"/>
    <w:rPr>
      <w:color w:val="808080"/>
    </w:rPr>
  </w:style>
  <w:style w:type="table" w:styleId="GridTable3">
    <w:name w:val="Grid Table 3"/>
    <w:basedOn w:val="TableNormal"/>
    <w:uiPriority w:val="48"/>
    <w:rsid w:val="009148D7"/>
    <w:pPr>
      <w:spacing w:after="0" w:line="240" w:lineRule="auto"/>
    </w:pPr>
    <w:tblPr>
      <w:tblStyleRowBandSize w:val="1"/>
      <w:tblStyleColBandSize w:val="1"/>
      <w:tblBorders>
        <w:top w:val="single" w:sz="4" w:space="0" w:color="666666" w:themeColor="text1" w:themeTint="99"/>
        <w:left w:val="single" w:sz="4" w:space="0" w:color="666666" w:themeColor="text1" w:themeTint="99"/>
        <w:bottom w:val="single" w:sz="4" w:space="0" w:color="666666" w:themeColor="text1" w:themeTint="99"/>
        <w:right w:val="single" w:sz="4" w:space="0" w:color="666666" w:themeColor="text1" w:themeTint="99"/>
        <w:insideH w:val="single" w:sz="4" w:space="0" w:color="666666" w:themeColor="text1" w:themeTint="99"/>
        <w:insideV w:val="single" w:sz="4" w:space="0" w:color="666666" w:themeColor="text1" w:themeTint="99"/>
      </w:tblBorders>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CCCCCC" w:themeFill="text1" w:themeFillTint="33"/>
      </w:tcPr>
    </w:tblStylePr>
    <w:tblStylePr w:type="band1Horz">
      <w:tblPr/>
      <w:tcPr>
        <w:shd w:val="clear" w:color="auto" w:fill="CCCCCC" w:themeFill="text1" w:themeFillTint="33"/>
      </w:tcPr>
    </w:tblStylePr>
    <w:tblStylePr w:type="neCell">
      <w:tblPr/>
      <w:tcPr>
        <w:tcBorders>
          <w:bottom w:val="single" w:sz="4" w:space="0" w:color="666666" w:themeColor="text1" w:themeTint="99"/>
        </w:tcBorders>
      </w:tcPr>
    </w:tblStylePr>
    <w:tblStylePr w:type="nwCell">
      <w:tblPr/>
      <w:tcPr>
        <w:tcBorders>
          <w:bottom w:val="single" w:sz="4" w:space="0" w:color="666666" w:themeColor="text1" w:themeTint="99"/>
        </w:tcBorders>
      </w:tcPr>
    </w:tblStylePr>
    <w:tblStylePr w:type="seCell">
      <w:tblPr/>
      <w:tcPr>
        <w:tcBorders>
          <w:top w:val="single" w:sz="4" w:space="0" w:color="666666" w:themeColor="text1" w:themeTint="99"/>
        </w:tcBorders>
      </w:tcPr>
    </w:tblStylePr>
    <w:tblStylePr w:type="swCell">
      <w:tblPr/>
      <w:tcPr>
        <w:tcBorders>
          <w:top w:val="single" w:sz="4" w:space="0" w:color="666666" w:themeColor="text1" w:themeTint="99"/>
        </w:tcBorders>
      </w:tcPr>
    </w:tblStylePr>
  </w:style>
  <w:style w:type="table" w:styleId="GridTable2">
    <w:name w:val="Grid Table 2"/>
    <w:basedOn w:val="TableNormal"/>
    <w:uiPriority w:val="47"/>
    <w:rsid w:val="009148D7"/>
    <w:pPr>
      <w:spacing w:after="0" w:line="240" w:lineRule="auto"/>
    </w:pPr>
    <w:tblPr>
      <w:tblStyleRowBandSize w:val="1"/>
      <w:tblStyleColBandSize w:val="1"/>
      <w:tblBorders>
        <w:top w:val="single" w:sz="2" w:space="0" w:color="666666" w:themeColor="text1" w:themeTint="99"/>
        <w:bottom w:val="single" w:sz="2" w:space="0" w:color="666666" w:themeColor="text1" w:themeTint="99"/>
        <w:insideH w:val="single" w:sz="2" w:space="0" w:color="666666" w:themeColor="text1" w:themeTint="99"/>
        <w:insideV w:val="single" w:sz="2" w:space="0" w:color="666666" w:themeColor="text1" w:themeTint="99"/>
      </w:tblBorders>
    </w:tblPr>
    <w:tblStylePr w:type="firstRow">
      <w:rPr>
        <w:b/>
        <w:bCs/>
      </w:rPr>
      <w:tblPr/>
      <w:tcPr>
        <w:tcBorders>
          <w:top w:val="nil"/>
          <w:bottom w:val="single" w:sz="12" w:space="0" w:color="666666" w:themeColor="text1" w:themeTint="99"/>
          <w:insideH w:val="nil"/>
          <w:insideV w:val="nil"/>
        </w:tcBorders>
        <w:shd w:val="clear" w:color="auto" w:fill="FFFFFF" w:themeFill="background1"/>
      </w:tcPr>
    </w:tblStylePr>
    <w:tblStylePr w:type="lastRow">
      <w:rPr>
        <w:b/>
        <w:bCs/>
      </w:rPr>
      <w:tblPr/>
      <w:tcPr>
        <w:tcBorders>
          <w:top w:val="double" w:sz="2" w:space="0" w:color="666666" w:themeColor="text1" w:themeTint="99"/>
          <w:bottom w:val="nil"/>
          <w:insideH w:val="nil"/>
          <w:insideV w:val="nil"/>
        </w:tcBorders>
        <w:shd w:val="clear" w:color="auto" w:fill="FFFFFF" w:themeFill="background1"/>
      </w:tcPr>
    </w:tblStylePr>
    <w:tblStylePr w:type="firstCol">
      <w:rPr>
        <w:b/>
        <w:bCs/>
      </w:rPr>
    </w:tblStylePr>
    <w:tblStylePr w:type="lastCol">
      <w:rPr>
        <w:b/>
        <w:bCs/>
      </w:rPr>
    </w:tblStylePr>
    <w:tblStylePr w:type="band1Vert">
      <w:tblPr/>
      <w:tcPr>
        <w:shd w:val="clear" w:color="auto" w:fill="CCCCCC" w:themeFill="text1" w:themeFillTint="33"/>
      </w:tcPr>
    </w:tblStylePr>
    <w:tblStylePr w:type="band1Horz">
      <w:tblPr/>
      <w:tcPr>
        <w:shd w:val="clear" w:color="auto" w:fill="CCCCCC" w:themeFill="text1" w:themeFillTint="33"/>
      </w:tcPr>
    </w:tblStylePr>
  </w:style>
  <w:style w:type="paragraph" w:styleId="NormalWeb">
    <w:name w:val="Normal (Web)"/>
    <w:basedOn w:val="Normal"/>
    <w:uiPriority w:val="99"/>
    <w:unhideWhenUsed/>
    <w:rsid w:val="008622A3"/>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PageNumber">
    <w:name w:val="page number"/>
    <w:basedOn w:val="DefaultParagraphFont"/>
    <w:uiPriority w:val="99"/>
    <w:semiHidden/>
    <w:unhideWhenUsed/>
    <w:rsid w:val="009C3206"/>
  </w:style>
  <w:style w:type="paragraph" w:styleId="TOC4">
    <w:name w:val="toc 4"/>
    <w:basedOn w:val="Normal"/>
    <w:next w:val="Normal"/>
    <w:autoRedefine/>
    <w:uiPriority w:val="39"/>
    <w:unhideWhenUsed/>
    <w:rsid w:val="00112407"/>
    <w:pPr>
      <w:spacing w:after="100" w:line="240" w:lineRule="auto"/>
      <w:ind w:left="720"/>
    </w:pPr>
    <w:rPr>
      <w:rFonts w:eastAsiaTheme="minorEastAsia"/>
      <w:kern w:val="2"/>
      <w:sz w:val="24"/>
      <w:szCs w:val="24"/>
      <w:lang w:eastAsia="en-GB"/>
    </w:rPr>
  </w:style>
  <w:style w:type="paragraph" w:styleId="TOC5">
    <w:name w:val="toc 5"/>
    <w:basedOn w:val="Normal"/>
    <w:next w:val="Normal"/>
    <w:autoRedefine/>
    <w:uiPriority w:val="39"/>
    <w:unhideWhenUsed/>
    <w:rsid w:val="00112407"/>
    <w:pPr>
      <w:spacing w:after="100" w:line="240" w:lineRule="auto"/>
      <w:ind w:left="960"/>
    </w:pPr>
    <w:rPr>
      <w:rFonts w:eastAsiaTheme="minorEastAsia"/>
      <w:kern w:val="2"/>
      <w:sz w:val="24"/>
      <w:szCs w:val="24"/>
      <w:lang w:eastAsia="en-GB"/>
    </w:rPr>
  </w:style>
  <w:style w:type="paragraph" w:styleId="TOC6">
    <w:name w:val="toc 6"/>
    <w:basedOn w:val="Normal"/>
    <w:next w:val="Normal"/>
    <w:autoRedefine/>
    <w:uiPriority w:val="39"/>
    <w:unhideWhenUsed/>
    <w:rsid w:val="00112407"/>
    <w:pPr>
      <w:spacing w:after="100" w:line="240" w:lineRule="auto"/>
      <w:ind w:left="1200"/>
    </w:pPr>
    <w:rPr>
      <w:rFonts w:eastAsiaTheme="minorEastAsia"/>
      <w:kern w:val="2"/>
      <w:sz w:val="24"/>
      <w:szCs w:val="24"/>
      <w:lang w:eastAsia="en-GB"/>
    </w:rPr>
  </w:style>
  <w:style w:type="paragraph" w:styleId="TOC7">
    <w:name w:val="toc 7"/>
    <w:basedOn w:val="Normal"/>
    <w:next w:val="Normal"/>
    <w:autoRedefine/>
    <w:uiPriority w:val="39"/>
    <w:unhideWhenUsed/>
    <w:rsid w:val="00112407"/>
    <w:pPr>
      <w:spacing w:after="100" w:line="240" w:lineRule="auto"/>
      <w:ind w:left="1440"/>
    </w:pPr>
    <w:rPr>
      <w:rFonts w:eastAsiaTheme="minorEastAsia"/>
      <w:kern w:val="2"/>
      <w:sz w:val="24"/>
      <w:szCs w:val="24"/>
      <w:lang w:eastAsia="en-GB"/>
    </w:rPr>
  </w:style>
  <w:style w:type="paragraph" w:styleId="TOC8">
    <w:name w:val="toc 8"/>
    <w:basedOn w:val="Normal"/>
    <w:next w:val="Normal"/>
    <w:autoRedefine/>
    <w:uiPriority w:val="39"/>
    <w:unhideWhenUsed/>
    <w:rsid w:val="00112407"/>
    <w:pPr>
      <w:spacing w:after="100" w:line="240" w:lineRule="auto"/>
      <w:ind w:left="1680"/>
    </w:pPr>
    <w:rPr>
      <w:rFonts w:eastAsiaTheme="minorEastAsia"/>
      <w:kern w:val="2"/>
      <w:sz w:val="24"/>
      <w:szCs w:val="24"/>
      <w:lang w:eastAsia="en-GB"/>
    </w:rPr>
  </w:style>
  <w:style w:type="paragraph" w:styleId="TOC9">
    <w:name w:val="toc 9"/>
    <w:basedOn w:val="Normal"/>
    <w:next w:val="Normal"/>
    <w:autoRedefine/>
    <w:uiPriority w:val="39"/>
    <w:unhideWhenUsed/>
    <w:rsid w:val="00112407"/>
    <w:pPr>
      <w:spacing w:after="100" w:line="240" w:lineRule="auto"/>
      <w:ind w:left="1920"/>
    </w:pPr>
    <w:rPr>
      <w:rFonts w:eastAsiaTheme="minorEastAsia"/>
      <w:kern w:val="2"/>
      <w:sz w:val="24"/>
      <w:szCs w:val="24"/>
      <w:lang w:eastAsia="en-GB"/>
    </w:rPr>
  </w:style>
  <w:style w:type="character" w:styleId="UnresolvedMention">
    <w:name w:val="Unresolved Mention"/>
    <w:basedOn w:val="DefaultParagraphFont"/>
    <w:uiPriority w:val="99"/>
    <w:semiHidden/>
    <w:unhideWhenUsed/>
    <w:rsid w:val="00112407"/>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8090802">
      <w:bodyDiv w:val="1"/>
      <w:marLeft w:val="0"/>
      <w:marRight w:val="0"/>
      <w:marTop w:val="0"/>
      <w:marBottom w:val="0"/>
      <w:divBdr>
        <w:top w:val="none" w:sz="0" w:space="0" w:color="auto"/>
        <w:left w:val="none" w:sz="0" w:space="0" w:color="auto"/>
        <w:bottom w:val="none" w:sz="0" w:space="0" w:color="auto"/>
        <w:right w:val="none" w:sz="0" w:space="0" w:color="auto"/>
      </w:divBdr>
    </w:div>
    <w:div w:id="282079299">
      <w:bodyDiv w:val="1"/>
      <w:marLeft w:val="0"/>
      <w:marRight w:val="0"/>
      <w:marTop w:val="0"/>
      <w:marBottom w:val="0"/>
      <w:divBdr>
        <w:top w:val="none" w:sz="0" w:space="0" w:color="auto"/>
        <w:left w:val="none" w:sz="0" w:space="0" w:color="auto"/>
        <w:bottom w:val="none" w:sz="0" w:space="0" w:color="auto"/>
        <w:right w:val="none" w:sz="0" w:space="0" w:color="auto"/>
      </w:divBdr>
    </w:div>
    <w:div w:id="409078885">
      <w:bodyDiv w:val="1"/>
      <w:marLeft w:val="0"/>
      <w:marRight w:val="0"/>
      <w:marTop w:val="0"/>
      <w:marBottom w:val="0"/>
      <w:divBdr>
        <w:top w:val="none" w:sz="0" w:space="0" w:color="auto"/>
        <w:left w:val="none" w:sz="0" w:space="0" w:color="auto"/>
        <w:bottom w:val="none" w:sz="0" w:space="0" w:color="auto"/>
        <w:right w:val="none" w:sz="0" w:space="0" w:color="auto"/>
      </w:divBdr>
    </w:div>
    <w:div w:id="417141628">
      <w:bodyDiv w:val="1"/>
      <w:marLeft w:val="0"/>
      <w:marRight w:val="0"/>
      <w:marTop w:val="0"/>
      <w:marBottom w:val="0"/>
      <w:divBdr>
        <w:top w:val="none" w:sz="0" w:space="0" w:color="auto"/>
        <w:left w:val="none" w:sz="0" w:space="0" w:color="auto"/>
        <w:bottom w:val="none" w:sz="0" w:space="0" w:color="auto"/>
        <w:right w:val="none" w:sz="0" w:space="0" w:color="auto"/>
      </w:divBdr>
    </w:div>
    <w:div w:id="484199610">
      <w:bodyDiv w:val="1"/>
      <w:marLeft w:val="0"/>
      <w:marRight w:val="0"/>
      <w:marTop w:val="0"/>
      <w:marBottom w:val="0"/>
      <w:divBdr>
        <w:top w:val="none" w:sz="0" w:space="0" w:color="auto"/>
        <w:left w:val="none" w:sz="0" w:space="0" w:color="auto"/>
        <w:bottom w:val="none" w:sz="0" w:space="0" w:color="auto"/>
        <w:right w:val="none" w:sz="0" w:space="0" w:color="auto"/>
      </w:divBdr>
    </w:div>
    <w:div w:id="503937604">
      <w:bodyDiv w:val="1"/>
      <w:marLeft w:val="0"/>
      <w:marRight w:val="0"/>
      <w:marTop w:val="0"/>
      <w:marBottom w:val="0"/>
      <w:divBdr>
        <w:top w:val="none" w:sz="0" w:space="0" w:color="auto"/>
        <w:left w:val="none" w:sz="0" w:space="0" w:color="auto"/>
        <w:bottom w:val="none" w:sz="0" w:space="0" w:color="auto"/>
        <w:right w:val="none" w:sz="0" w:space="0" w:color="auto"/>
      </w:divBdr>
    </w:div>
    <w:div w:id="627785145">
      <w:bodyDiv w:val="1"/>
      <w:marLeft w:val="0"/>
      <w:marRight w:val="0"/>
      <w:marTop w:val="0"/>
      <w:marBottom w:val="0"/>
      <w:divBdr>
        <w:top w:val="none" w:sz="0" w:space="0" w:color="auto"/>
        <w:left w:val="none" w:sz="0" w:space="0" w:color="auto"/>
        <w:bottom w:val="none" w:sz="0" w:space="0" w:color="auto"/>
        <w:right w:val="none" w:sz="0" w:space="0" w:color="auto"/>
      </w:divBdr>
    </w:div>
    <w:div w:id="683871449">
      <w:bodyDiv w:val="1"/>
      <w:marLeft w:val="0"/>
      <w:marRight w:val="0"/>
      <w:marTop w:val="0"/>
      <w:marBottom w:val="0"/>
      <w:divBdr>
        <w:top w:val="none" w:sz="0" w:space="0" w:color="auto"/>
        <w:left w:val="none" w:sz="0" w:space="0" w:color="auto"/>
        <w:bottom w:val="none" w:sz="0" w:space="0" w:color="auto"/>
        <w:right w:val="none" w:sz="0" w:space="0" w:color="auto"/>
      </w:divBdr>
    </w:div>
    <w:div w:id="693575719">
      <w:bodyDiv w:val="1"/>
      <w:marLeft w:val="0"/>
      <w:marRight w:val="0"/>
      <w:marTop w:val="0"/>
      <w:marBottom w:val="0"/>
      <w:divBdr>
        <w:top w:val="none" w:sz="0" w:space="0" w:color="auto"/>
        <w:left w:val="none" w:sz="0" w:space="0" w:color="auto"/>
        <w:bottom w:val="none" w:sz="0" w:space="0" w:color="auto"/>
        <w:right w:val="none" w:sz="0" w:space="0" w:color="auto"/>
      </w:divBdr>
    </w:div>
    <w:div w:id="704211838">
      <w:bodyDiv w:val="1"/>
      <w:marLeft w:val="0"/>
      <w:marRight w:val="0"/>
      <w:marTop w:val="0"/>
      <w:marBottom w:val="0"/>
      <w:divBdr>
        <w:top w:val="none" w:sz="0" w:space="0" w:color="auto"/>
        <w:left w:val="none" w:sz="0" w:space="0" w:color="auto"/>
        <w:bottom w:val="none" w:sz="0" w:space="0" w:color="auto"/>
        <w:right w:val="none" w:sz="0" w:space="0" w:color="auto"/>
      </w:divBdr>
    </w:div>
    <w:div w:id="1096099912">
      <w:bodyDiv w:val="1"/>
      <w:marLeft w:val="0"/>
      <w:marRight w:val="0"/>
      <w:marTop w:val="0"/>
      <w:marBottom w:val="0"/>
      <w:divBdr>
        <w:top w:val="none" w:sz="0" w:space="0" w:color="auto"/>
        <w:left w:val="none" w:sz="0" w:space="0" w:color="auto"/>
        <w:bottom w:val="none" w:sz="0" w:space="0" w:color="auto"/>
        <w:right w:val="none" w:sz="0" w:space="0" w:color="auto"/>
      </w:divBdr>
    </w:div>
    <w:div w:id="1109200875">
      <w:bodyDiv w:val="1"/>
      <w:marLeft w:val="0"/>
      <w:marRight w:val="0"/>
      <w:marTop w:val="0"/>
      <w:marBottom w:val="0"/>
      <w:divBdr>
        <w:top w:val="none" w:sz="0" w:space="0" w:color="auto"/>
        <w:left w:val="none" w:sz="0" w:space="0" w:color="auto"/>
        <w:bottom w:val="none" w:sz="0" w:space="0" w:color="auto"/>
        <w:right w:val="none" w:sz="0" w:space="0" w:color="auto"/>
      </w:divBdr>
    </w:div>
    <w:div w:id="1207062171">
      <w:bodyDiv w:val="1"/>
      <w:marLeft w:val="0"/>
      <w:marRight w:val="0"/>
      <w:marTop w:val="0"/>
      <w:marBottom w:val="0"/>
      <w:divBdr>
        <w:top w:val="none" w:sz="0" w:space="0" w:color="auto"/>
        <w:left w:val="none" w:sz="0" w:space="0" w:color="auto"/>
        <w:bottom w:val="none" w:sz="0" w:space="0" w:color="auto"/>
        <w:right w:val="none" w:sz="0" w:space="0" w:color="auto"/>
      </w:divBdr>
      <w:divsChild>
        <w:div w:id="178009951">
          <w:marLeft w:val="0"/>
          <w:marRight w:val="0"/>
          <w:marTop w:val="0"/>
          <w:marBottom w:val="0"/>
          <w:divBdr>
            <w:top w:val="none" w:sz="0" w:space="0" w:color="auto"/>
            <w:left w:val="none" w:sz="0" w:space="0" w:color="auto"/>
            <w:bottom w:val="none" w:sz="0" w:space="0" w:color="auto"/>
            <w:right w:val="none" w:sz="0" w:space="0" w:color="auto"/>
          </w:divBdr>
          <w:divsChild>
            <w:div w:id="317619005">
              <w:marLeft w:val="0"/>
              <w:marRight w:val="0"/>
              <w:marTop w:val="0"/>
              <w:marBottom w:val="0"/>
              <w:divBdr>
                <w:top w:val="none" w:sz="0" w:space="0" w:color="auto"/>
                <w:left w:val="none" w:sz="0" w:space="0" w:color="auto"/>
                <w:bottom w:val="none" w:sz="0" w:space="0" w:color="auto"/>
                <w:right w:val="none" w:sz="0" w:space="0" w:color="auto"/>
              </w:divBdr>
              <w:divsChild>
                <w:div w:id="206683253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311977415">
      <w:bodyDiv w:val="1"/>
      <w:marLeft w:val="0"/>
      <w:marRight w:val="0"/>
      <w:marTop w:val="0"/>
      <w:marBottom w:val="0"/>
      <w:divBdr>
        <w:top w:val="none" w:sz="0" w:space="0" w:color="auto"/>
        <w:left w:val="none" w:sz="0" w:space="0" w:color="auto"/>
        <w:bottom w:val="none" w:sz="0" w:space="0" w:color="auto"/>
        <w:right w:val="none" w:sz="0" w:space="0" w:color="auto"/>
      </w:divBdr>
    </w:div>
    <w:div w:id="1388650183">
      <w:bodyDiv w:val="1"/>
      <w:marLeft w:val="0"/>
      <w:marRight w:val="0"/>
      <w:marTop w:val="0"/>
      <w:marBottom w:val="0"/>
      <w:divBdr>
        <w:top w:val="none" w:sz="0" w:space="0" w:color="auto"/>
        <w:left w:val="none" w:sz="0" w:space="0" w:color="auto"/>
        <w:bottom w:val="none" w:sz="0" w:space="0" w:color="auto"/>
        <w:right w:val="none" w:sz="0" w:space="0" w:color="auto"/>
      </w:divBdr>
    </w:div>
    <w:div w:id="1431897348">
      <w:bodyDiv w:val="1"/>
      <w:marLeft w:val="0"/>
      <w:marRight w:val="0"/>
      <w:marTop w:val="0"/>
      <w:marBottom w:val="0"/>
      <w:divBdr>
        <w:top w:val="none" w:sz="0" w:space="0" w:color="auto"/>
        <w:left w:val="none" w:sz="0" w:space="0" w:color="auto"/>
        <w:bottom w:val="none" w:sz="0" w:space="0" w:color="auto"/>
        <w:right w:val="none" w:sz="0" w:space="0" w:color="auto"/>
      </w:divBdr>
    </w:div>
    <w:div w:id="1473019161">
      <w:bodyDiv w:val="1"/>
      <w:marLeft w:val="0"/>
      <w:marRight w:val="0"/>
      <w:marTop w:val="0"/>
      <w:marBottom w:val="0"/>
      <w:divBdr>
        <w:top w:val="none" w:sz="0" w:space="0" w:color="auto"/>
        <w:left w:val="none" w:sz="0" w:space="0" w:color="auto"/>
        <w:bottom w:val="none" w:sz="0" w:space="0" w:color="auto"/>
        <w:right w:val="none" w:sz="0" w:space="0" w:color="auto"/>
      </w:divBdr>
    </w:div>
    <w:div w:id="1506169010">
      <w:bodyDiv w:val="1"/>
      <w:marLeft w:val="0"/>
      <w:marRight w:val="0"/>
      <w:marTop w:val="0"/>
      <w:marBottom w:val="0"/>
      <w:divBdr>
        <w:top w:val="none" w:sz="0" w:space="0" w:color="auto"/>
        <w:left w:val="none" w:sz="0" w:space="0" w:color="auto"/>
        <w:bottom w:val="none" w:sz="0" w:space="0" w:color="auto"/>
        <w:right w:val="none" w:sz="0" w:space="0" w:color="auto"/>
      </w:divBdr>
    </w:div>
    <w:div w:id="1693873567">
      <w:bodyDiv w:val="1"/>
      <w:marLeft w:val="0"/>
      <w:marRight w:val="0"/>
      <w:marTop w:val="0"/>
      <w:marBottom w:val="0"/>
      <w:divBdr>
        <w:top w:val="none" w:sz="0" w:space="0" w:color="auto"/>
        <w:left w:val="none" w:sz="0" w:space="0" w:color="auto"/>
        <w:bottom w:val="none" w:sz="0" w:space="0" w:color="auto"/>
        <w:right w:val="none" w:sz="0" w:space="0" w:color="auto"/>
      </w:divBdr>
    </w:div>
    <w:div w:id="1697923854">
      <w:bodyDiv w:val="1"/>
      <w:marLeft w:val="0"/>
      <w:marRight w:val="0"/>
      <w:marTop w:val="0"/>
      <w:marBottom w:val="0"/>
      <w:divBdr>
        <w:top w:val="none" w:sz="0" w:space="0" w:color="auto"/>
        <w:left w:val="none" w:sz="0" w:space="0" w:color="auto"/>
        <w:bottom w:val="none" w:sz="0" w:space="0" w:color="auto"/>
        <w:right w:val="none" w:sz="0" w:space="0" w:color="auto"/>
      </w:divBdr>
    </w:div>
    <w:div w:id="1720400640">
      <w:bodyDiv w:val="1"/>
      <w:marLeft w:val="0"/>
      <w:marRight w:val="0"/>
      <w:marTop w:val="0"/>
      <w:marBottom w:val="0"/>
      <w:divBdr>
        <w:top w:val="none" w:sz="0" w:space="0" w:color="auto"/>
        <w:left w:val="none" w:sz="0" w:space="0" w:color="auto"/>
        <w:bottom w:val="none" w:sz="0" w:space="0" w:color="auto"/>
        <w:right w:val="none" w:sz="0" w:space="0" w:color="auto"/>
      </w:divBdr>
    </w:div>
    <w:div w:id="1743480242">
      <w:bodyDiv w:val="1"/>
      <w:marLeft w:val="0"/>
      <w:marRight w:val="0"/>
      <w:marTop w:val="0"/>
      <w:marBottom w:val="0"/>
      <w:divBdr>
        <w:top w:val="none" w:sz="0" w:space="0" w:color="auto"/>
        <w:left w:val="none" w:sz="0" w:space="0" w:color="auto"/>
        <w:bottom w:val="none" w:sz="0" w:space="0" w:color="auto"/>
        <w:right w:val="none" w:sz="0" w:space="0" w:color="auto"/>
      </w:divBdr>
    </w:div>
    <w:div w:id="1749499374">
      <w:bodyDiv w:val="1"/>
      <w:marLeft w:val="0"/>
      <w:marRight w:val="0"/>
      <w:marTop w:val="0"/>
      <w:marBottom w:val="0"/>
      <w:divBdr>
        <w:top w:val="none" w:sz="0" w:space="0" w:color="auto"/>
        <w:left w:val="none" w:sz="0" w:space="0" w:color="auto"/>
        <w:bottom w:val="none" w:sz="0" w:space="0" w:color="auto"/>
        <w:right w:val="none" w:sz="0" w:space="0" w:color="auto"/>
      </w:divBdr>
    </w:div>
    <w:div w:id="1963727966">
      <w:bodyDiv w:val="1"/>
      <w:marLeft w:val="0"/>
      <w:marRight w:val="0"/>
      <w:marTop w:val="0"/>
      <w:marBottom w:val="0"/>
      <w:divBdr>
        <w:top w:val="none" w:sz="0" w:space="0" w:color="auto"/>
        <w:left w:val="none" w:sz="0" w:space="0" w:color="auto"/>
        <w:bottom w:val="none" w:sz="0" w:space="0" w:color="auto"/>
        <w:right w:val="none" w:sz="0" w:space="0" w:color="auto"/>
      </w:divBdr>
    </w:div>
    <w:div w:id="2081556785">
      <w:bodyDiv w:val="1"/>
      <w:marLeft w:val="0"/>
      <w:marRight w:val="0"/>
      <w:marTop w:val="0"/>
      <w:marBottom w:val="0"/>
      <w:divBdr>
        <w:top w:val="none" w:sz="0" w:space="0" w:color="auto"/>
        <w:left w:val="none" w:sz="0" w:space="0" w:color="auto"/>
        <w:bottom w:val="none" w:sz="0" w:space="0" w:color="auto"/>
        <w:right w:val="none" w:sz="0" w:space="0" w:color="auto"/>
      </w:divBdr>
    </w:div>
    <w:div w:id="211617012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26" Type="http://schemas.openxmlformats.org/officeDocument/2006/relationships/chart" Target="charts/chart9.xml"/><Relationship Id="rId21" Type="http://schemas.openxmlformats.org/officeDocument/2006/relationships/chart" Target="charts/chart4.xml"/><Relationship Id="rId42" Type="http://schemas.openxmlformats.org/officeDocument/2006/relationships/chart" Target="charts/chart24.xml"/><Relationship Id="rId47" Type="http://schemas.openxmlformats.org/officeDocument/2006/relationships/image" Target="media/image12.png"/><Relationship Id="rId63" Type="http://schemas.openxmlformats.org/officeDocument/2006/relationships/image" Target="media/image26.png"/><Relationship Id="rId68" Type="http://schemas.openxmlformats.org/officeDocument/2006/relationships/image" Target="media/image31.png"/><Relationship Id="rId7" Type="http://schemas.openxmlformats.org/officeDocument/2006/relationships/endnotes" Target="endnotes.xml"/><Relationship Id="rId71"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image" Target="media/image7.jpeg"/><Relationship Id="rId29" Type="http://schemas.openxmlformats.org/officeDocument/2006/relationships/chart" Target="charts/chart12.xml"/><Relationship Id="rId11" Type="http://schemas.openxmlformats.org/officeDocument/2006/relationships/footer" Target="footer2.xml"/><Relationship Id="rId24" Type="http://schemas.openxmlformats.org/officeDocument/2006/relationships/chart" Target="charts/chart7.xml"/><Relationship Id="rId32" Type="http://schemas.openxmlformats.org/officeDocument/2006/relationships/chart" Target="charts/chart15.xml"/><Relationship Id="rId37" Type="http://schemas.openxmlformats.org/officeDocument/2006/relationships/chart" Target="charts/chart19.xml"/><Relationship Id="rId40" Type="http://schemas.openxmlformats.org/officeDocument/2006/relationships/chart" Target="charts/chart22.xml"/><Relationship Id="rId45" Type="http://schemas.openxmlformats.org/officeDocument/2006/relationships/image" Target="media/image10.png"/><Relationship Id="rId53" Type="http://schemas.openxmlformats.org/officeDocument/2006/relationships/image" Target="media/image17.png"/><Relationship Id="rId58" Type="http://schemas.openxmlformats.org/officeDocument/2006/relationships/image" Target="media/image21.png"/><Relationship Id="rId66" Type="http://schemas.openxmlformats.org/officeDocument/2006/relationships/image" Target="media/image29.png"/><Relationship Id="rId5" Type="http://schemas.openxmlformats.org/officeDocument/2006/relationships/webSettings" Target="webSettings.xml"/><Relationship Id="rId61" Type="http://schemas.openxmlformats.org/officeDocument/2006/relationships/image" Target="media/image24.png"/><Relationship Id="rId19" Type="http://schemas.openxmlformats.org/officeDocument/2006/relationships/chart" Target="charts/chart2.xml"/><Relationship Id="rId14" Type="http://schemas.openxmlformats.org/officeDocument/2006/relationships/image" Target="media/image5.png"/><Relationship Id="rId22" Type="http://schemas.openxmlformats.org/officeDocument/2006/relationships/chart" Target="charts/chart5.xml"/><Relationship Id="rId27" Type="http://schemas.openxmlformats.org/officeDocument/2006/relationships/chart" Target="charts/chart10.xml"/><Relationship Id="rId30" Type="http://schemas.openxmlformats.org/officeDocument/2006/relationships/chart" Target="charts/chart13.xml"/><Relationship Id="rId35" Type="http://schemas.openxmlformats.org/officeDocument/2006/relationships/chart" Target="charts/chart17.xml"/><Relationship Id="rId43" Type="http://schemas.openxmlformats.org/officeDocument/2006/relationships/chart" Target="charts/chart25.xml"/><Relationship Id="rId48" Type="http://schemas.openxmlformats.org/officeDocument/2006/relationships/footer" Target="footer4.xml"/><Relationship Id="rId56" Type="http://schemas.openxmlformats.org/officeDocument/2006/relationships/image" Target="media/image19.png"/><Relationship Id="rId64" Type="http://schemas.openxmlformats.org/officeDocument/2006/relationships/image" Target="media/image27.png"/><Relationship Id="rId69" Type="http://schemas.openxmlformats.org/officeDocument/2006/relationships/image" Target="media/image32.png"/><Relationship Id="rId8" Type="http://schemas.openxmlformats.org/officeDocument/2006/relationships/image" Target="media/image1.png"/><Relationship Id="rId51" Type="http://schemas.openxmlformats.org/officeDocument/2006/relationships/image" Target="media/image15.png"/><Relationship Id="rId72" Type="http://schemas.openxmlformats.org/officeDocument/2006/relationships/theme" Target="theme/theme1.xml"/><Relationship Id="rId3" Type="http://schemas.openxmlformats.org/officeDocument/2006/relationships/styles" Target="styles.xml"/><Relationship Id="rId12" Type="http://schemas.openxmlformats.org/officeDocument/2006/relationships/image" Target="media/image3.png"/><Relationship Id="rId17" Type="http://schemas.openxmlformats.org/officeDocument/2006/relationships/image" Target="media/image8.png"/><Relationship Id="rId25" Type="http://schemas.openxmlformats.org/officeDocument/2006/relationships/chart" Target="charts/chart8.xml"/><Relationship Id="rId33" Type="http://schemas.openxmlformats.org/officeDocument/2006/relationships/image" Target="media/image9.png"/><Relationship Id="rId38" Type="http://schemas.openxmlformats.org/officeDocument/2006/relationships/chart" Target="charts/chart20.xml"/><Relationship Id="rId46" Type="http://schemas.openxmlformats.org/officeDocument/2006/relationships/image" Target="media/image11.png"/><Relationship Id="rId59" Type="http://schemas.openxmlformats.org/officeDocument/2006/relationships/image" Target="media/image22.png"/><Relationship Id="rId67" Type="http://schemas.openxmlformats.org/officeDocument/2006/relationships/image" Target="media/image30.png"/><Relationship Id="rId20" Type="http://schemas.openxmlformats.org/officeDocument/2006/relationships/chart" Target="charts/chart3.xml"/><Relationship Id="rId41" Type="http://schemas.openxmlformats.org/officeDocument/2006/relationships/chart" Target="charts/chart23.xml"/><Relationship Id="rId54" Type="http://schemas.openxmlformats.org/officeDocument/2006/relationships/image" Target="media/image18.png"/><Relationship Id="rId62" Type="http://schemas.openxmlformats.org/officeDocument/2006/relationships/image" Target="media/image25.png"/><Relationship Id="rId70" Type="http://schemas.openxmlformats.org/officeDocument/2006/relationships/image" Target="media/image33.png"/><Relationship Id="rId1" Type="http://schemas.openxmlformats.org/officeDocument/2006/relationships/customXml" Target="../customXml/item1.xml"/><Relationship Id="rId6" Type="http://schemas.openxmlformats.org/officeDocument/2006/relationships/footnotes" Target="footnotes.xml"/><Relationship Id="rId15" Type="http://schemas.openxmlformats.org/officeDocument/2006/relationships/image" Target="media/image6.png"/><Relationship Id="rId23" Type="http://schemas.openxmlformats.org/officeDocument/2006/relationships/chart" Target="charts/chart6.xml"/><Relationship Id="rId28" Type="http://schemas.openxmlformats.org/officeDocument/2006/relationships/chart" Target="charts/chart11.xml"/><Relationship Id="rId36" Type="http://schemas.openxmlformats.org/officeDocument/2006/relationships/chart" Target="charts/chart18.xml"/><Relationship Id="rId49" Type="http://schemas.openxmlformats.org/officeDocument/2006/relationships/image" Target="media/image13.png"/><Relationship Id="rId57" Type="http://schemas.openxmlformats.org/officeDocument/2006/relationships/image" Target="media/image20.png"/><Relationship Id="rId10" Type="http://schemas.openxmlformats.org/officeDocument/2006/relationships/footer" Target="footer1.xml"/><Relationship Id="rId31" Type="http://schemas.openxmlformats.org/officeDocument/2006/relationships/chart" Target="charts/chart14.xml"/><Relationship Id="rId44" Type="http://schemas.openxmlformats.org/officeDocument/2006/relationships/footer" Target="footer3.xml"/><Relationship Id="rId52" Type="http://schemas.openxmlformats.org/officeDocument/2006/relationships/image" Target="media/image16.png"/><Relationship Id="rId60" Type="http://schemas.openxmlformats.org/officeDocument/2006/relationships/image" Target="media/image23.png"/><Relationship Id="rId65" Type="http://schemas.openxmlformats.org/officeDocument/2006/relationships/image" Target="media/image28.png"/><Relationship Id="rId4" Type="http://schemas.openxmlformats.org/officeDocument/2006/relationships/settings" Target="settings.xml"/><Relationship Id="rId9" Type="http://schemas.openxmlformats.org/officeDocument/2006/relationships/image" Target="media/image2.png"/><Relationship Id="rId13" Type="http://schemas.openxmlformats.org/officeDocument/2006/relationships/image" Target="media/image4.png"/><Relationship Id="rId18" Type="http://schemas.openxmlformats.org/officeDocument/2006/relationships/chart" Target="charts/chart1.xml"/><Relationship Id="rId39" Type="http://schemas.openxmlformats.org/officeDocument/2006/relationships/chart" Target="charts/chart21.xml"/><Relationship Id="rId34" Type="http://schemas.openxmlformats.org/officeDocument/2006/relationships/chart" Target="charts/chart16.xml"/><Relationship Id="rId50" Type="http://schemas.openxmlformats.org/officeDocument/2006/relationships/image" Target="media/image14.png"/><Relationship Id="rId55" Type="http://schemas.openxmlformats.org/officeDocument/2006/relationships/footer" Target="footer5.xml"/></Relationships>
</file>

<file path=word/charts/_rels/chart1.xml.rels><?xml version="1.0" encoding="UTF-8" standalone="yes"?>
<Relationships xmlns="http://schemas.openxmlformats.org/package/2006/relationships"><Relationship Id="rId3" Type="http://schemas.openxmlformats.org/officeDocument/2006/relationships/themeOverride" Target="../theme/themeOverride1.xml"/><Relationship Id="rId2" Type="http://schemas.microsoft.com/office/2011/relationships/chartColorStyle" Target="colors1.xml"/><Relationship Id="rId1" Type="http://schemas.microsoft.com/office/2011/relationships/chartStyle" Target="style1.xml"/><Relationship Id="rId4" Type="http://schemas.openxmlformats.org/officeDocument/2006/relationships/oleObject" Target="https://d.docs.live.net/37d952e21b69237b/Documents/MBA/Thesis/Writeup/Charts%20and%20Images/Tables%20for%20Results.xlsx" TargetMode="External"/></Relationships>
</file>

<file path=word/charts/_rels/chart2.xml.rels><?xml version="1.0" encoding="UTF-8" standalone="yes"?>
<Relationships xmlns="http://schemas.openxmlformats.org/package/2006/relationships"><Relationship Id="rId3" Type="http://schemas.openxmlformats.org/officeDocument/2006/relationships/themeOverride" Target="../theme/themeOverride2.xml"/><Relationship Id="rId2" Type="http://schemas.microsoft.com/office/2011/relationships/chartColorStyle" Target="colors2.xml"/><Relationship Id="rId1" Type="http://schemas.microsoft.com/office/2011/relationships/chartStyle" Target="style2.xml"/><Relationship Id="rId4" Type="http://schemas.openxmlformats.org/officeDocument/2006/relationships/oleObject" Target="https://d.docs.live.net/37d952e21b69237b/Documents/MBA/Thesis/Writeup/Charts%20and%20Images/Tables%20for%20Results.xlsx" TargetMode="External"/></Relationships>
</file>

<file path=word/charts/_rels/chart3.xml.rels><?xml version="1.0" encoding="UTF-8" standalone="yes"?>
<Relationships xmlns="http://schemas.openxmlformats.org/package/2006/relationships"><Relationship Id="rId3" Type="http://schemas.openxmlformats.org/officeDocument/2006/relationships/themeOverride" Target="../theme/themeOverride3.xml"/><Relationship Id="rId2" Type="http://schemas.microsoft.com/office/2011/relationships/chartColorStyle" Target="colors3.xml"/><Relationship Id="rId1" Type="http://schemas.microsoft.com/office/2011/relationships/chartStyle" Target="style3.xml"/><Relationship Id="rId4" Type="http://schemas.openxmlformats.org/officeDocument/2006/relationships/oleObject" Target="https://d.docs.live.net/37d952e21b69237b/Documents/MBA/Thesis/Writeup/Charts%20and%20Images/Tables%20for%20Results.xlsx" TargetMode="External"/></Relationships>
</file>

<file path=word/charts/_rels/chart4.xml.rels><?xml version="1.0" encoding="UTF-8" standalone="yes"?>
<Relationships xmlns="http://schemas.openxmlformats.org/package/2006/relationships"><Relationship Id="rId3" Type="http://schemas.openxmlformats.org/officeDocument/2006/relationships/themeOverride" Target="../theme/themeOverride4.xml"/><Relationship Id="rId2" Type="http://schemas.microsoft.com/office/2011/relationships/chartColorStyle" Target="colors4.xml"/><Relationship Id="rId1" Type="http://schemas.microsoft.com/office/2011/relationships/chartStyle" Target="style4.xml"/><Relationship Id="rId4" Type="http://schemas.openxmlformats.org/officeDocument/2006/relationships/oleObject" Target="https://d.docs.live.net/37d952e21b69237b/Documents/MBA/Thesis/Writeup/Charts%20and%20Images/Tables%20for%20Results.xlsx" TargetMode="External"/></Relationships>
</file>

<file path=word/charts/_rels/chart5.xml.rels><?xml version="1.0" encoding="UTF-8" standalone="yes"?>
<Relationships xmlns="http://schemas.openxmlformats.org/package/2006/relationships"><Relationship Id="rId3" Type="http://schemas.openxmlformats.org/officeDocument/2006/relationships/themeOverride" Target="../theme/themeOverride5.xml"/><Relationship Id="rId2" Type="http://schemas.microsoft.com/office/2011/relationships/chartColorStyle" Target="colors5.xml"/><Relationship Id="rId1" Type="http://schemas.microsoft.com/office/2011/relationships/chartStyle" Target="style5.xml"/><Relationship Id="rId4" Type="http://schemas.openxmlformats.org/officeDocument/2006/relationships/oleObject" Target="https://d.docs.live.net/37d952e21b69237b/Documents/MBA/Thesis/Writeup/Charts%20and%20Images/Tables%20for%20Results.xlsx" TargetMode="External"/></Relationships>
</file>

<file path=word/charts/_rels/chart6.xml.rels><?xml version="1.0" encoding="UTF-8" standalone="yes"?>
<Relationships xmlns="http://schemas.openxmlformats.org/package/2006/relationships"><Relationship Id="rId3" Type="http://schemas.openxmlformats.org/officeDocument/2006/relationships/themeOverride" Target="../theme/themeOverride6.xml"/><Relationship Id="rId2" Type="http://schemas.microsoft.com/office/2011/relationships/chartColorStyle" Target="colors6.xml"/><Relationship Id="rId1" Type="http://schemas.microsoft.com/office/2011/relationships/chartStyle" Target="style6.xml"/><Relationship Id="rId4" Type="http://schemas.openxmlformats.org/officeDocument/2006/relationships/oleObject" Target="https://d.docs.live.net/37d952e21b69237b/Documents/MBA/Thesis/Writeup/Charts%20and%20Images/Tables%20for%20Results.xlsx" TargetMode="External"/></Relationships>
</file>

<file path=word/charts/_rels/chart7.xml.rels><?xml version="1.0" encoding="UTF-8" standalone="yes"?>
<Relationships xmlns="http://schemas.openxmlformats.org/package/2006/relationships"><Relationship Id="rId3" Type="http://schemas.openxmlformats.org/officeDocument/2006/relationships/themeOverride" Target="../theme/themeOverride7.xml"/><Relationship Id="rId2" Type="http://schemas.microsoft.com/office/2011/relationships/chartColorStyle" Target="colors7.xml"/><Relationship Id="rId1" Type="http://schemas.microsoft.com/office/2011/relationships/chartStyle" Target="style7.xml"/><Relationship Id="rId4" Type="http://schemas.openxmlformats.org/officeDocument/2006/relationships/oleObject" Target="https://d.docs.live.net/37d952e21b69237b/Documents/MBA/Thesis/Writeup/Charts%20and%20Images/Tables%20for%20Results.xlsx" TargetMode="External"/></Relationships>
</file>

<file path=word/charts/_rels/chart8.xml.rels><?xml version="1.0" encoding="UTF-8" standalone="yes"?>
<Relationships xmlns="http://schemas.openxmlformats.org/package/2006/relationships"><Relationship Id="rId3" Type="http://schemas.openxmlformats.org/officeDocument/2006/relationships/themeOverride" Target="../theme/themeOverride8.xml"/><Relationship Id="rId2" Type="http://schemas.microsoft.com/office/2011/relationships/chartColorStyle" Target="colors8.xml"/><Relationship Id="rId1" Type="http://schemas.microsoft.com/office/2011/relationships/chartStyle" Target="style8.xml"/><Relationship Id="rId4" Type="http://schemas.openxmlformats.org/officeDocument/2006/relationships/oleObject" Target="https://d.docs.live.net/37d952e21b69237b/Documents/MBA/Thesis/Writeup/Charts%20and%20Images/Tables%20for%20Results.xlsx" TargetMode="External"/></Relationships>
</file>

<file path=word/charts/_rels/chart9.xml.rels><?xml version="1.0" encoding="UTF-8" standalone="yes"?>
<Relationships xmlns="http://schemas.openxmlformats.org/package/2006/relationships"><Relationship Id="rId3" Type="http://schemas.openxmlformats.org/officeDocument/2006/relationships/themeOverride" Target="../theme/themeOverride9.xml"/><Relationship Id="rId2" Type="http://schemas.microsoft.com/office/2011/relationships/chartColorStyle" Target="colors9.xml"/><Relationship Id="rId1" Type="http://schemas.microsoft.com/office/2011/relationships/chartStyle" Target="style9.xml"/><Relationship Id="rId4" Type="http://schemas.openxmlformats.org/officeDocument/2006/relationships/oleObject" Target="https://d.docs.live.net/37d952e21b69237b/Documents/MBA/Thesis/Writeup/Charts%20and%20Images/Tables%20for%20Results.xlsx" TargetMode="External"/></Relationships>
</file>

<file path=word/charts/_rels/chart10.xml.rels><?xml version="1.0" encoding="UTF-8" standalone="yes"?>
<Relationships xmlns="http://schemas.openxmlformats.org/package/2006/relationships"><Relationship Id="rId3" Type="http://schemas.openxmlformats.org/officeDocument/2006/relationships/themeOverride" Target="../theme/themeOverride10.xml"/><Relationship Id="rId2" Type="http://schemas.microsoft.com/office/2011/relationships/chartColorStyle" Target="colors10.xml"/><Relationship Id="rId1" Type="http://schemas.microsoft.com/office/2011/relationships/chartStyle" Target="style10.xml"/><Relationship Id="rId4" Type="http://schemas.openxmlformats.org/officeDocument/2006/relationships/oleObject" Target="https://d.docs.live.net/37d952e21b69237b/Documents/MBA/Thesis/Writeup/Charts%20and%20Images/Tables%20for%20Results.xlsx" TargetMode="External"/></Relationships>
</file>

<file path=word/charts/_rels/chart11.xml.rels><?xml version="1.0" encoding="UTF-8" standalone="yes"?>
<Relationships xmlns="http://schemas.openxmlformats.org/package/2006/relationships"><Relationship Id="rId3" Type="http://schemas.openxmlformats.org/officeDocument/2006/relationships/themeOverride" Target="../theme/themeOverride11.xml"/><Relationship Id="rId2" Type="http://schemas.microsoft.com/office/2011/relationships/chartColorStyle" Target="colors11.xml"/><Relationship Id="rId1" Type="http://schemas.microsoft.com/office/2011/relationships/chartStyle" Target="style11.xml"/><Relationship Id="rId4" Type="http://schemas.openxmlformats.org/officeDocument/2006/relationships/oleObject" Target="https://d.docs.live.net/37d952e21b69237b/Documents/MBA/Thesis/Writeup/Charts%20and%20Images/Tables%20for%20Results.xlsx" TargetMode="External"/></Relationships>
</file>

<file path=word/charts/_rels/chart12.xml.rels><?xml version="1.0" encoding="UTF-8" standalone="yes"?>
<Relationships xmlns="http://schemas.openxmlformats.org/package/2006/relationships"><Relationship Id="rId3" Type="http://schemas.openxmlformats.org/officeDocument/2006/relationships/themeOverride" Target="../theme/themeOverride12.xml"/><Relationship Id="rId2" Type="http://schemas.microsoft.com/office/2011/relationships/chartColorStyle" Target="colors12.xml"/><Relationship Id="rId1" Type="http://schemas.microsoft.com/office/2011/relationships/chartStyle" Target="style12.xml"/><Relationship Id="rId4" Type="http://schemas.openxmlformats.org/officeDocument/2006/relationships/oleObject" Target="https://d.docs.live.net/37d952e21b69237b/Documents/MBA/Thesis/Writeup/Charts%20and%20Images/Tables%20for%20Results.xlsx" TargetMode="External"/></Relationships>
</file>

<file path=word/charts/_rels/chart13.xml.rels><?xml version="1.0" encoding="UTF-8" standalone="yes"?>
<Relationships xmlns="http://schemas.openxmlformats.org/package/2006/relationships"><Relationship Id="rId3" Type="http://schemas.openxmlformats.org/officeDocument/2006/relationships/themeOverride" Target="../theme/themeOverride13.xml"/><Relationship Id="rId2" Type="http://schemas.microsoft.com/office/2011/relationships/chartColorStyle" Target="colors13.xml"/><Relationship Id="rId1" Type="http://schemas.microsoft.com/office/2011/relationships/chartStyle" Target="style13.xml"/><Relationship Id="rId4" Type="http://schemas.openxmlformats.org/officeDocument/2006/relationships/oleObject" Target="https://d.docs.live.net/37d952e21b69237b/Documents/MBA/Thesis/Writeup/Charts%20and%20Images/Tables%20for%20Results.xlsx" TargetMode="External"/></Relationships>
</file>

<file path=word/charts/_rels/chart14.xml.rels><?xml version="1.0" encoding="UTF-8" standalone="yes"?>
<Relationships xmlns="http://schemas.openxmlformats.org/package/2006/relationships"><Relationship Id="rId3" Type="http://schemas.openxmlformats.org/officeDocument/2006/relationships/themeOverride" Target="../theme/themeOverride14.xml"/><Relationship Id="rId2" Type="http://schemas.microsoft.com/office/2011/relationships/chartColorStyle" Target="colors14.xml"/><Relationship Id="rId1" Type="http://schemas.microsoft.com/office/2011/relationships/chartStyle" Target="style14.xml"/><Relationship Id="rId4" Type="http://schemas.openxmlformats.org/officeDocument/2006/relationships/oleObject" Target="https://d.docs.live.net/37d952e21b69237b/Documents/MBA/Thesis/Writeup/Charts%20and%20Images/Tables%20for%20Results.xlsx" TargetMode="External"/></Relationships>
</file>

<file path=word/charts/_rels/chart15.xml.rels><?xml version="1.0" encoding="UTF-8" standalone="yes"?>
<Relationships xmlns="http://schemas.openxmlformats.org/package/2006/relationships"><Relationship Id="rId3" Type="http://schemas.openxmlformats.org/officeDocument/2006/relationships/themeOverride" Target="../theme/themeOverride15.xml"/><Relationship Id="rId2" Type="http://schemas.microsoft.com/office/2011/relationships/chartColorStyle" Target="colors15.xml"/><Relationship Id="rId1" Type="http://schemas.microsoft.com/office/2011/relationships/chartStyle" Target="style15.xml"/><Relationship Id="rId4" Type="http://schemas.openxmlformats.org/officeDocument/2006/relationships/oleObject" Target="https://d.docs.live.net/37d952e21b69237b/Documents/MBA/Thesis/Writeup/Charts%20and%20Images/Tables%20for%20Results.xlsx" TargetMode="External"/></Relationships>
</file>

<file path=word/charts/_rels/chart16.xml.rels><?xml version="1.0" encoding="UTF-8" standalone="yes"?>
<Relationships xmlns="http://schemas.openxmlformats.org/package/2006/relationships"><Relationship Id="rId3" Type="http://schemas.openxmlformats.org/officeDocument/2006/relationships/themeOverride" Target="../theme/themeOverride16.xml"/><Relationship Id="rId2" Type="http://schemas.microsoft.com/office/2011/relationships/chartColorStyle" Target="colors16.xml"/><Relationship Id="rId1" Type="http://schemas.microsoft.com/office/2011/relationships/chartStyle" Target="style16.xml"/><Relationship Id="rId4" Type="http://schemas.openxmlformats.org/officeDocument/2006/relationships/oleObject" Target="https://d.docs.live.net/37d952e21b69237b/Documents/MBA/Thesis/Writeup/Charts%20and%20Images/Tables%20for%20Results.xlsx" TargetMode="External"/></Relationships>
</file>

<file path=word/charts/_rels/chart17.xml.rels><?xml version="1.0" encoding="UTF-8" standalone="yes"?>
<Relationships xmlns="http://schemas.openxmlformats.org/package/2006/relationships"><Relationship Id="rId3" Type="http://schemas.openxmlformats.org/officeDocument/2006/relationships/themeOverride" Target="../theme/themeOverride17.xml"/><Relationship Id="rId2" Type="http://schemas.microsoft.com/office/2011/relationships/chartColorStyle" Target="colors17.xml"/><Relationship Id="rId1" Type="http://schemas.microsoft.com/office/2011/relationships/chartStyle" Target="style17.xml"/><Relationship Id="rId4" Type="http://schemas.openxmlformats.org/officeDocument/2006/relationships/oleObject" Target="https://d.docs.live.net/37d952e21b69237b/Documents/MBA/Thesis/Writeup/Charts%20and%20Images/Tables%20for%20Results.xlsx" TargetMode="External"/></Relationships>
</file>

<file path=word/charts/_rels/chart18.xml.rels><?xml version="1.0" encoding="UTF-8" standalone="yes"?>
<Relationships xmlns="http://schemas.openxmlformats.org/package/2006/relationships"><Relationship Id="rId3" Type="http://schemas.openxmlformats.org/officeDocument/2006/relationships/themeOverride" Target="../theme/themeOverride18.xml"/><Relationship Id="rId2" Type="http://schemas.microsoft.com/office/2011/relationships/chartColorStyle" Target="colors18.xml"/><Relationship Id="rId1" Type="http://schemas.microsoft.com/office/2011/relationships/chartStyle" Target="style18.xml"/><Relationship Id="rId4" Type="http://schemas.openxmlformats.org/officeDocument/2006/relationships/oleObject" Target="https://d.docs.live.net/37d952e21b69237b/Documents/MBA/Thesis/Writeup/Charts%20and%20Images/Tables%20for%20Results.xlsx" TargetMode="External"/></Relationships>
</file>

<file path=word/charts/_rels/chart19.xml.rels><?xml version="1.0" encoding="UTF-8" standalone="yes"?>
<Relationships xmlns="http://schemas.openxmlformats.org/package/2006/relationships"><Relationship Id="rId3" Type="http://schemas.openxmlformats.org/officeDocument/2006/relationships/themeOverride" Target="../theme/themeOverride19.xml"/><Relationship Id="rId2" Type="http://schemas.microsoft.com/office/2011/relationships/chartColorStyle" Target="colors19.xml"/><Relationship Id="rId1" Type="http://schemas.microsoft.com/office/2011/relationships/chartStyle" Target="style19.xml"/><Relationship Id="rId4" Type="http://schemas.openxmlformats.org/officeDocument/2006/relationships/oleObject" Target="https://d.docs.live.net/37d952e21b69237b/Documents/MBA/Thesis/Writeup/Charts%20and%20Images/Tables%20for%20Results.xlsx" TargetMode="External"/></Relationships>
</file>

<file path=word/charts/_rels/chart20.xml.rels><?xml version="1.0" encoding="UTF-8" standalone="yes"?>
<Relationships xmlns="http://schemas.openxmlformats.org/package/2006/relationships"><Relationship Id="rId3" Type="http://schemas.openxmlformats.org/officeDocument/2006/relationships/themeOverride" Target="../theme/themeOverride20.xml"/><Relationship Id="rId2" Type="http://schemas.microsoft.com/office/2011/relationships/chartColorStyle" Target="colors20.xml"/><Relationship Id="rId1" Type="http://schemas.microsoft.com/office/2011/relationships/chartStyle" Target="style20.xml"/><Relationship Id="rId4" Type="http://schemas.openxmlformats.org/officeDocument/2006/relationships/oleObject" Target="https://d.docs.live.net/37d952e21b69237b/Documents/MBA/Thesis/Writeup/Charts%20and%20Images/Tables%20for%20Results.xlsx" TargetMode="External"/></Relationships>
</file>

<file path=word/charts/_rels/chart21.xml.rels><?xml version="1.0" encoding="UTF-8" standalone="yes"?>
<Relationships xmlns="http://schemas.openxmlformats.org/package/2006/relationships"><Relationship Id="rId3" Type="http://schemas.openxmlformats.org/officeDocument/2006/relationships/themeOverride" Target="../theme/themeOverride21.xml"/><Relationship Id="rId2" Type="http://schemas.microsoft.com/office/2011/relationships/chartColorStyle" Target="colors21.xml"/><Relationship Id="rId1" Type="http://schemas.microsoft.com/office/2011/relationships/chartStyle" Target="style21.xml"/><Relationship Id="rId4" Type="http://schemas.openxmlformats.org/officeDocument/2006/relationships/oleObject" Target="https://d.docs.live.net/37d952e21b69237b/Documents/MBA/Thesis/Writeup/Charts%20and%20Images/Tables%20for%20Results.xlsx" TargetMode="External"/></Relationships>
</file>

<file path=word/charts/_rels/chart22.xml.rels><?xml version="1.0" encoding="UTF-8" standalone="yes"?>
<Relationships xmlns="http://schemas.openxmlformats.org/package/2006/relationships"><Relationship Id="rId3" Type="http://schemas.openxmlformats.org/officeDocument/2006/relationships/themeOverride" Target="../theme/themeOverride22.xml"/><Relationship Id="rId2" Type="http://schemas.microsoft.com/office/2011/relationships/chartColorStyle" Target="colors22.xml"/><Relationship Id="rId1" Type="http://schemas.microsoft.com/office/2011/relationships/chartStyle" Target="style22.xml"/><Relationship Id="rId4" Type="http://schemas.openxmlformats.org/officeDocument/2006/relationships/oleObject" Target="https://d.docs.live.net/37d952e21b69237b/Documents/MBA/Thesis/Writeup/Charts%20and%20Images/Tables%20for%20Results.xlsx" TargetMode="External"/></Relationships>
</file>

<file path=word/charts/_rels/chart23.xml.rels><?xml version="1.0" encoding="UTF-8" standalone="yes"?>
<Relationships xmlns="http://schemas.openxmlformats.org/package/2006/relationships"><Relationship Id="rId3" Type="http://schemas.openxmlformats.org/officeDocument/2006/relationships/themeOverride" Target="../theme/themeOverride23.xml"/><Relationship Id="rId2" Type="http://schemas.microsoft.com/office/2011/relationships/chartColorStyle" Target="colors23.xml"/><Relationship Id="rId1" Type="http://schemas.microsoft.com/office/2011/relationships/chartStyle" Target="style23.xml"/><Relationship Id="rId4" Type="http://schemas.openxmlformats.org/officeDocument/2006/relationships/oleObject" Target="https://d.docs.live.net/37d952e21b69237b/Documents/MBA/Thesis/Writeup/Charts%20and%20Images/Tables%20for%20Results.xlsx" TargetMode="External"/></Relationships>
</file>

<file path=word/charts/_rels/chart24.xml.rels><?xml version="1.0" encoding="UTF-8" standalone="yes"?>
<Relationships xmlns="http://schemas.openxmlformats.org/package/2006/relationships"><Relationship Id="rId3" Type="http://schemas.openxmlformats.org/officeDocument/2006/relationships/themeOverride" Target="../theme/themeOverride24.xml"/><Relationship Id="rId2" Type="http://schemas.microsoft.com/office/2011/relationships/chartColorStyle" Target="colors24.xml"/><Relationship Id="rId1" Type="http://schemas.microsoft.com/office/2011/relationships/chartStyle" Target="style24.xml"/><Relationship Id="rId4" Type="http://schemas.openxmlformats.org/officeDocument/2006/relationships/oleObject" Target="https://d.docs.live.net/37d952e21b69237b/Documents/MBA/Thesis/Writeup/Charts%20and%20Images/Tables%20for%20Results.xlsx" TargetMode="External"/></Relationships>
</file>

<file path=word/charts/_rels/chart25.xml.rels><?xml version="1.0" encoding="UTF-8" standalone="yes"?>
<Relationships xmlns="http://schemas.openxmlformats.org/package/2006/relationships"><Relationship Id="rId3" Type="http://schemas.openxmlformats.org/officeDocument/2006/relationships/themeOverride" Target="../theme/themeOverride25.xml"/><Relationship Id="rId2" Type="http://schemas.microsoft.com/office/2011/relationships/chartColorStyle" Target="colors25.xml"/><Relationship Id="rId1" Type="http://schemas.microsoft.com/office/2011/relationships/chartStyle" Target="style25.xml"/><Relationship Id="rId4" Type="http://schemas.openxmlformats.org/officeDocument/2006/relationships/oleObject" Target="https://d.docs.live.net/37d952e21b69237b/Documents/MBA/Thesis/Writeup/Charts%20and%20Images/Tables%20for%20Results.xlsx" TargetMode="Externa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lrMapOvr bg1="lt1" tx1="dk1" bg2="lt2" tx2="dk2" accent1="accent1" accent2="accent2" accent3="accent3" accent4="accent4" accent5="accent5" accent6="accent6" hlink="hlink" folHlink="folHlink"/>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Gross Margin </a:t>
            </a: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barChart>
        <c:barDir val="col"/>
        <c:grouping val="clustered"/>
        <c:varyColors val="0"/>
        <c:ser>
          <c:idx val="0"/>
          <c:order val="0"/>
          <c:tx>
            <c:strRef>
              <c:f>'[Tables for Results.xlsx]Gross Profit'!$B$2</c:f>
              <c:strCache>
                <c:ptCount val="1"/>
                <c:pt idx="0">
                  <c:v>2019</c:v>
                </c:pt>
              </c:strCache>
            </c:strRef>
          </c:tx>
          <c:spPr>
            <a:solidFill>
              <a:schemeClr val="accent1"/>
            </a:solidFill>
            <a:ln>
              <a:noFill/>
            </a:ln>
            <a:effectLst/>
          </c:spPr>
          <c:invertIfNegative val="0"/>
          <c:cat>
            <c:strRef>
              <c:f>'[Tables for Results.xlsx]Gross Profit'!$A$51:$A$61</c:f>
              <c:strCache>
                <c:ptCount val="11"/>
                <c:pt idx="0">
                  <c:v>Financials</c:v>
                </c:pt>
                <c:pt idx="1">
                  <c:v>Consumer Discretionary</c:v>
                </c:pt>
                <c:pt idx="2">
                  <c:v>Telecommunications</c:v>
                </c:pt>
                <c:pt idx="3">
                  <c:v>Technology</c:v>
                </c:pt>
                <c:pt idx="4">
                  <c:v>Real Estate</c:v>
                </c:pt>
                <c:pt idx="5">
                  <c:v>Industrials</c:v>
                </c:pt>
                <c:pt idx="6">
                  <c:v>Utilities</c:v>
                </c:pt>
                <c:pt idx="7">
                  <c:v>Basic Materials</c:v>
                </c:pt>
                <c:pt idx="8">
                  <c:v>Consumer Staples</c:v>
                </c:pt>
                <c:pt idx="9">
                  <c:v>Energy</c:v>
                </c:pt>
                <c:pt idx="10">
                  <c:v>Health Care</c:v>
                </c:pt>
              </c:strCache>
            </c:strRef>
          </c:cat>
          <c:val>
            <c:numRef>
              <c:f>'[Tables for Results.xlsx]Gross Profit'!$B$51:$B$61</c:f>
              <c:numCache>
                <c:formatCode>0.0%</c:formatCode>
                <c:ptCount val="11"/>
                <c:pt idx="0">
                  <c:v>0.84914842839176008</c:v>
                </c:pt>
                <c:pt idx="1">
                  <c:v>0.36088531385537576</c:v>
                </c:pt>
                <c:pt idx="2">
                  <c:v>0.52829099283508418</c:v>
                </c:pt>
                <c:pt idx="3">
                  <c:v>0.50435688247051946</c:v>
                </c:pt>
                <c:pt idx="4">
                  <c:v>0.70599999999999996</c:v>
                </c:pt>
                <c:pt idx="5">
                  <c:v>0.39</c:v>
                </c:pt>
                <c:pt idx="6">
                  <c:v>0.18847188262189243</c:v>
                </c:pt>
                <c:pt idx="7">
                  <c:v>0.33577546370523426</c:v>
                </c:pt>
                <c:pt idx="8">
                  <c:v>0.36641123485341703</c:v>
                </c:pt>
                <c:pt idx="9">
                  <c:v>0.41199999999999998</c:v>
                </c:pt>
                <c:pt idx="10">
                  <c:v>0.49199999999999999</c:v>
                </c:pt>
              </c:numCache>
            </c:numRef>
          </c:val>
          <c:extLst>
            <c:ext xmlns:c16="http://schemas.microsoft.com/office/drawing/2014/chart" uri="{C3380CC4-5D6E-409C-BE32-E72D297353CC}">
              <c16:uniqueId val="{00000000-2500-DE49-B518-35704013986F}"/>
            </c:ext>
          </c:extLst>
        </c:ser>
        <c:ser>
          <c:idx val="1"/>
          <c:order val="1"/>
          <c:tx>
            <c:strRef>
              <c:f>'[Tables for Results.xlsx]Gross Profit'!$C$2</c:f>
              <c:strCache>
                <c:ptCount val="1"/>
                <c:pt idx="0">
                  <c:v>2020</c:v>
                </c:pt>
              </c:strCache>
            </c:strRef>
          </c:tx>
          <c:spPr>
            <a:solidFill>
              <a:schemeClr val="accent2"/>
            </a:solidFill>
            <a:ln>
              <a:noFill/>
            </a:ln>
            <a:effectLst/>
          </c:spPr>
          <c:invertIfNegative val="0"/>
          <c:cat>
            <c:strRef>
              <c:f>'[Tables for Results.xlsx]Gross Profit'!$A$51:$A$61</c:f>
              <c:strCache>
                <c:ptCount val="11"/>
                <c:pt idx="0">
                  <c:v>Financials</c:v>
                </c:pt>
                <c:pt idx="1">
                  <c:v>Consumer Discretionary</c:v>
                </c:pt>
                <c:pt idx="2">
                  <c:v>Telecommunications</c:v>
                </c:pt>
                <c:pt idx="3">
                  <c:v>Technology</c:v>
                </c:pt>
                <c:pt idx="4">
                  <c:v>Real Estate</c:v>
                </c:pt>
                <c:pt idx="5">
                  <c:v>Industrials</c:v>
                </c:pt>
                <c:pt idx="6">
                  <c:v>Utilities</c:v>
                </c:pt>
                <c:pt idx="7">
                  <c:v>Basic Materials</c:v>
                </c:pt>
                <c:pt idx="8">
                  <c:v>Consumer Staples</c:v>
                </c:pt>
                <c:pt idx="9">
                  <c:v>Energy</c:v>
                </c:pt>
                <c:pt idx="10">
                  <c:v>Health Care</c:v>
                </c:pt>
              </c:strCache>
            </c:strRef>
          </c:cat>
          <c:val>
            <c:numRef>
              <c:f>'[Tables for Results.xlsx]Gross Profit'!$C$51:$C$61</c:f>
              <c:numCache>
                <c:formatCode>0.0%</c:formatCode>
                <c:ptCount val="11"/>
                <c:pt idx="0">
                  <c:v>0.81498764518339473</c:v>
                </c:pt>
                <c:pt idx="1">
                  <c:v>0.26857647854421896</c:v>
                </c:pt>
                <c:pt idx="2">
                  <c:v>0.54558337217302522</c:v>
                </c:pt>
                <c:pt idx="3">
                  <c:v>0.47859719556842117</c:v>
                </c:pt>
                <c:pt idx="4">
                  <c:v>0.61299999999999999</c:v>
                </c:pt>
                <c:pt idx="5">
                  <c:v>0.36699999999999999</c:v>
                </c:pt>
                <c:pt idx="6">
                  <c:v>0.23099472115410671</c:v>
                </c:pt>
                <c:pt idx="7">
                  <c:v>0.34749922238556985</c:v>
                </c:pt>
                <c:pt idx="8">
                  <c:v>0.33345490992190069</c:v>
                </c:pt>
                <c:pt idx="9">
                  <c:v>0.222</c:v>
                </c:pt>
                <c:pt idx="10">
                  <c:v>0.53600000000000003</c:v>
                </c:pt>
              </c:numCache>
            </c:numRef>
          </c:val>
          <c:extLst>
            <c:ext xmlns:c16="http://schemas.microsoft.com/office/drawing/2014/chart" uri="{C3380CC4-5D6E-409C-BE32-E72D297353CC}">
              <c16:uniqueId val="{00000001-2500-DE49-B518-35704013986F}"/>
            </c:ext>
          </c:extLst>
        </c:ser>
        <c:ser>
          <c:idx val="2"/>
          <c:order val="2"/>
          <c:tx>
            <c:strRef>
              <c:f>'[Tables for Results.xlsx]Gross Profit'!$D$2</c:f>
              <c:strCache>
                <c:ptCount val="1"/>
                <c:pt idx="0">
                  <c:v>2021</c:v>
                </c:pt>
              </c:strCache>
            </c:strRef>
          </c:tx>
          <c:spPr>
            <a:solidFill>
              <a:schemeClr val="accent3"/>
            </a:solidFill>
            <a:ln>
              <a:noFill/>
            </a:ln>
            <a:effectLst/>
          </c:spPr>
          <c:invertIfNegative val="0"/>
          <c:cat>
            <c:strRef>
              <c:f>'[Tables for Results.xlsx]Gross Profit'!$A$51:$A$61</c:f>
              <c:strCache>
                <c:ptCount val="11"/>
                <c:pt idx="0">
                  <c:v>Financials</c:v>
                </c:pt>
                <c:pt idx="1">
                  <c:v>Consumer Discretionary</c:v>
                </c:pt>
                <c:pt idx="2">
                  <c:v>Telecommunications</c:v>
                </c:pt>
                <c:pt idx="3">
                  <c:v>Technology</c:v>
                </c:pt>
                <c:pt idx="4">
                  <c:v>Real Estate</c:v>
                </c:pt>
                <c:pt idx="5">
                  <c:v>Industrials</c:v>
                </c:pt>
                <c:pt idx="6">
                  <c:v>Utilities</c:v>
                </c:pt>
                <c:pt idx="7">
                  <c:v>Basic Materials</c:v>
                </c:pt>
                <c:pt idx="8">
                  <c:v>Consumer Staples</c:v>
                </c:pt>
                <c:pt idx="9">
                  <c:v>Energy</c:v>
                </c:pt>
                <c:pt idx="10">
                  <c:v>Health Care</c:v>
                </c:pt>
              </c:strCache>
            </c:strRef>
          </c:cat>
          <c:val>
            <c:numRef>
              <c:f>'[Tables for Results.xlsx]Gross Profit'!$D$51:$D$61</c:f>
              <c:numCache>
                <c:formatCode>0.0%</c:formatCode>
                <c:ptCount val="11"/>
                <c:pt idx="0">
                  <c:v>0.86499999999999999</c:v>
                </c:pt>
                <c:pt idx="1">
                  <c:v>0.25583792833712204</c:v>
                </c:pt>
                <c:pt idx="2">
                  <c:v>0.53989454603651743</c:v>
                </c:pt>
                <c:pt idx="3">
                  <c:v>0.49963079698850915</c:v>
                </c:pt>
                <c:pt idx="4">
                  <c:v>0.71299999999999997</c:v>
                </c:pt>
                <c:pt idx="5">
                  <c:v>0.38500000000000001</c:v>
                </c:pt>
                <c:pt idx="6">
                  <c:v>0.16048993253509369</c:v>
                </c:pt>
                <c:pt idx="7">
                  <c:v>0.35790778005205182</c:v>
                </c:pt>
                <c:pt idx="8">
                  <c:v>0.44571366101194337</c:v>
                </c:pt>
                <c:pt idx="9">
                  <c:v>0.28299999999999997</c:v>
                </c:pt>
                <c:pt idx="10">
                  <c:v>0.53400000000000003</c:v>
                </c:pt>
              </c:numCache>
            </c:numRef>
          </c:val>
          <c:extLst>
            <c:ext xmlns:c16="http://schemas.microsoft.com/office/drawing/2014/chart" uri="{C3380CC4-5D6E-409C-BE32-E72D297353CC}">
              <c16:uniqueId val="{00000002-2500-DE49-B518-35704013986F}"/>
            </c:ext>
          </c:extLst>
        </c:ser>
        <c:dLbls>
          <c:showLegendKey val="0"/>
          <c:showVal val="0"/>
          <c:showCatName val="0"/>
          <c:showSerName val="0"/>
          <c:showPercent val="0"/>
          <c:showBubbleSize val="0"/>
        </c:dLbls>
        <c:gapWidth val="219"/>
        <c:overlap val="-27"/>
        <c:axId val="217881712"/>
        <c:axId val="217756480"/>
      </c:barChart>
      <c:catAx>
        <c:axId val="217881712"/>
        <c:scaling>
          <c:orientation val="minMax"/>
        </c:scaling>
        <c:delete val="0"/>
        <c:axPos val="b"/>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217756480"/>
        <c:crosses val="autoZero"/>
        <c:auto val="1"/>
        <c:lblAlgn val="ctr"/>
        <c:lblOffset val="100"/>
        <c:noMultiLvlLbl val="0"/>
      </c:catAx>
      <c:valAx>
        <c:axId val="217756480"/>
        <c:scaling>
          <c:orientation val="minMax"/>
        </c:scaling>
        <c:delete val="0"/>
        <c:axPos val="l"/>
        <c:majorGridlines>
          <c:spPr>
            <a:ln w="9525" cap="flat" cmpd="sng" algn="ctr">
              <a:solidFill>
                <a:schemeClr val="tx1">
                  <a:lumMod val="15000"/>
                  <a:lumOff val="85000"/>
                </a:schemeClr>
              </a:solidFill>
              <a:round/>
            </a:ln>
            <a:effectLst/>
          </c:spPr>
        </c:majorGridlines>
        <c:numFmt formatCode="0.0%"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217881712"/>
        <c:crosses val="autoZero"/>
        <c:crossBetween val="between"/>
      </c:valAx>
      <c:dTable>
        <c:showHorzBorder val="1"/>
        <c:showVertBorder val="1"/>
        <c:showOutline val="1"/>
        <c:showKeys val="1"/>
        <c:spPr>
          <a:noFill/>
          <a:ln w="9525" cap="flat" cmpd="sng" algn="ctr">
            <a:solidFill>
              <a:schemeClr val="tx1">
                <a:lumMod val="15000"/>
                <a:lumOff val="85000"/>
              </a:schemeClr>
            </a:solidFill>
            <a:round/>
          </a:ln>
          <a:effectLst/>
        </c:spPr>
        <c:txPr>
          <a:bodyPr rot="0" spcFirstLastPara="1" vertOverflow="ellipsis" vert="horz" wrap="square" anchor="ctr" anchorCtr="1"/>
          <a:lstStyle/>
          <a:p>
            <a:pPr rtl="0">
              <a:defRPr sz="700" b="0" i="0" u="none" strike="noStrike" kern="1200" baseline="0">
                <a:solidFill>
                  <a:schemeClr val="tx1">
                    <a:lumMod val="65000"/>
                    <a:lumOff val="35000"/>
                  </a:schemeClr>
                </a:solidFill>
                <a:latin typeface="+mn-lt"/>
                <a:ea typeface="+mn-ea"/>
                <a:cs typeface="+mn-cs"/>
              </a:defRPr>
            </a:pPr>
            <a:endParaRPr lang="en-US"/>
          </a:p>
        </c:txPr>
      </c:dTable>
      <c:spPr>
        <a:noFill/>
        <a:ln>
          <a:noFill/>
        </a:ln>
        <a:effectLst/>
      </c:spPr>
    </c:plotArea>
    <c:plotVisOnly val="1"/>
    <c:dispBlanksAs val="gap"/>
    <c:showDLblsOverMax val="0"/>
  </c:chart>
  <c:spPr>
    <a:solidFill>
      <a:schemeClr val="bg1"/>
    </a:solidFill>
    <a:ln w="9525" cap="flat" cmpd="sng" algn="ctr">
      <a:noFill/>
      <a:round/>
    </a:ln>
    <a:effectLst/>
  </c:spPr>
  <c:txPr>
    <a:bodyPr/>
    <a:lstStyle/>
    <a:p>
      <a:pPr>
        <a:defRPr/>
      </a:pPr>
      <a:endParaRPr lang="en-US"/>
    </a:p>
  </c:txPr>
  <c:externalData r:id="rId4">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lrMapOvr bg1="lt1" tx1="dk1" bg2="lt2" tx2="dk2" accent1="accent1" accent2="accent2" accent3="accent3" accent4="accent4" accent5="accent5" accent6="accent6" hlink="hlink" folHlink="folHlink"/>
  <c:chart>
    <c:title>
      <c:tx>
        <c:rich>
          <a:bodyPr rot="0" spcFirstLastPara="1" vertOverflow="ellipsis" vert="horz" wrap="square" anchor="ctr" anchorCtr="1"/>
          <a:lstStyle/>
          <a:p>
            <a:pPr>
              <a:defRPr sz="840" b="0" i="0" u="none" strike="noStrike" kern="1200" spc="0" baseline="0">
                <a:solidFill>
                  <a:schemeClr val="tx1">
                    <a:lumMod val="65000"/>
                    <a:lumOff val="35000"/>
                  </a:schemeClr>
                </a:solidFill>
                <a:latin typeface="+mn-lt"/>
                <a:ea typeface="+mn-ea"/>
                <a:cs typeface="+mn-cs"/>
              </a:defRPr>
            </a:pPr>
            <a:r>
              <a:rPr lang="en-GB" sz="1400" baseline="0"/>
              <a:t>Cost of Sales</a:t>
            </a:r>
          </a:p>
        </c:rich>
      </c:tx>
      <c:overlay val="0"/>
      <c:spPr>
        <a:noFill/>
        <a:ln>
          <a:noFill/>
        </a:ln>
        <a:effectLst/>
      </c:spPr>
      <c:txPr>
        <a:bodyPr rot="0" spcFirstLastPara="1" vertOverflow="ellipsis" vert="horz" wrap="square" anchor="ctr" anchorCtr="1"/>
        <a:lstStyle/>
        <a:p>
          <a:pPr>
            <a:defRPr sz="84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barChart>
        <c:barDir val="col"/>
        <c:grouping val="clustered"/>
        <c:varyColors val="0"/>
        <c:ser>
          <c:idx val="0"/>
          <c:order val="0"/>
          <c:tx>
            <c:strRef>
              <c:f>'[Tables for Results.xlsx]Cost of Sales'!$B$2</c:f>
              <c:strCache>
                <c:ptCount val="1"/>
                <c:pt idx="0">
                  <c:v>2019</c:v>
                </c:pt>
              </c:strCache>
            </c:strRef>
          </c:tx>
          <c:spPr>
            <a:solidFill>
              <a:schemeClr val="accent1"/>
            </a:solidFill>
            <a:ln>
              <a:noFill/>
            </a:ln>
            <a:effectLst/>
          </c:spPr>
          <c:invertIfNegative val="0"/>
          <c:cat>
            <c:strRef>
              <c:f>'[Tables for Results.xlsx]Cost of Sales'!$A$54:$A$64</c:f>
              <c:strCache>
                <c:ptCount val="11"/>
                <c:pt idx="0">
                  <c:v>Financials</c:v>
                </c:pt>
                <c:pt idx="1">
                  <c:v>Consumer Discretionary</c:v>
                </c:pt>
                <c:pt idx="2">
                  <c:v>Telecommunications</c:v>
                </c:pt>
                <c:pt idx="3">
                  <c:v>Technology</c:v>
                </c:pt>
                <c:pt idx="4">
                  <c:v>Real Estate</c:v>
                </c:pt>
                <c:pt idx="5">
                  <c:v>Industrials</c:v>
                </c:pt>
                <c:pt idx="6">
                  <c:v>Utilities</c:v>
                </c:pt>
                <c:pt idx="7">
                  <c:v>Basic Materials</c:v>
                </c:pt>
                <c:pt idx="8">
                  <c:v>Consumer Staples</c:v>
                </c:pt>
                <c:pt idx="9">
                  <c:v>Energy</c:v>
                </c:pt>
                <c:pt idx="10">
                  <c:v>Health Care</c:v>
                </c:pt>
              </c:strCache>
            </c:strRef>
          </c:cat>
          <c:val>
            <c:numRef>
              <c:f>'[Tables for Results.xlsx]Cost of Sales'!$B$54:$B$64</c:f>
              <c:numCache>
                <c:formatCode>0.0%</c:formatCode>
                <c:ptCount val="11"/>
                <c:pt idx="0">
                  <c:v>0.15085157160824003</c:v>
                </c:pt>
                <c:pt idx="1">
                  <c:v>0.6391146861446243</c:v>
                </c:pt>
                <c:pt idx="2">
                  <c:v>0.47170900716491593</c:v>
                </c:pt>
                <c:pt idx="3">
                  <c:v>0.49564311752948059</c:v>
                </c:pt>
                <c:pt idx="4">
                  <c:v>0.29399999999999998</c:v>
                </c:pt>
                <c:pt idx="5">
                  <c:v>0.59189242173596857</c:v>
                </c:pt>
                <c:pt idx="6">
                  <c:v>0.81152811737810759</c:v>
                </c:pt>
                <c:pt idx="7">
                  <c:v>0.66422453629476563</c:v>
                </c:pt>
                <c:pt idx="8">
                  <c:v>0.63358876514658291</c:v>
                </c:pt>
                <c:pt idx="9">
                  <c:v>0.65831463382663946</c:v>
                </c:pt>
                <c:pt idx="10">
                  <c:v>0.50800000000000001</c:v>
                </c:pt>
              </c:numCache>
            </c:numRef>
          </c:val>
          <c:extLst>
            <c:ext xmlns:c16="http://schemas.microsoft.com/office/drawing/2014/chart" uri="{C3380CC4-5D6E-409C-BE32-E72D297353CC}">
              <c16:uniqueId val="{00000000-7C55-A74D-8A0A-C066080F1429}"/>
            </c:ext>
          </c:extLst>
        </c:ser>
        <c:ser>
          <c:idx val="1"/>
          <c:order val="1"/>
          <c:tx>
            <c:strRef>
              <c:f>'[Tables for Results.xlsx]Cost of Sales'!$C$2</c:f>
              <c:strCache>
                <c:ptCount val="1"/>
                <c:pt idx="0">
                  <c:v>2020</c:v>
                </c:pt>
              </c:strCache>
            </c:strRef>
          </c:tx>
          <c:spPr>
            <a:solidFill>
              <a:schemeClr val="accent2"/>
            </a:solidFill>
            <a:ln>
              <a:noFill/>
            </a:ln>
            <a:effectLst/>
          </c:spPr>
          <c:invertIfNegative val="0"/>
          <c:cat>
            <c:strRef>
              <c:f>'[Tables for Results.xlsx]Cost of Sales'!$A$54:$A$64</c:f>
              <c:strCache>
                <c:ptCount val="11"/>
                <c:pt idx="0">
                  <c:v>Financials</c:v>
                </c:pt>
                <c:pt idx="1">
                  <c:v>Consumer Discretionary</c:v>
                </c:pt>
                <c:pt idx="2">
                  <c:v>Telecommunications</c:v>
                </c:pt>
                <c:pt idx="3">
                  <c:v>Technology</c:v>
                </c:pt>
                <c:pt idx="4">
                  <c:v>Real Estate</c:v>
                </c:pt>
                <c:pt idx="5">
                  <c:v>Industrials</c:v>
                </c:pt>
                <c:pt idx="6">
                  <c:v>Utilities</c:v>
                </c:pt>
                <c:pt idx="7">
                  <c:v>Basic Materials</c:v>
                </c:pt>
                <c:pt idx="8">
                  <c:v>Consumer Staples</c:v>
                </c:pt>
                <c:pt idx="9">
                  <c:v>Energy</c:v>
                </c:pt>
                <c:pt idx="10">
                  <c:v>Health Care</c:v>
                </c:pt>
              </c:strCache>
            </c:strRef>
          </c:cat>
          <c:val>
            <c:numRef>
              <c:f>'[Tables for Results.xlsx]Cost of Sales'!$C$54:$C$64</c:f>
              <c:numCache>
                <c:formatCode>0.0%</c:formatCode>
                <c:ptCount val="11"/>
                <c:pt idx="0">
                  <c:v>0.18501235481660522</c:v>
                </c:pt>
                <c:pt idx="1">
                  <c:v>0.73142352145578093</c:v>
                </c:pt>
                <c:pt idx="2">
                  <c:v>0.45441662782697478</c:v>
                </c:pt>
                <c:pt idx="3">
                  <c:v>0.52140280443157883</c:v>
                </c:pt>
                <c:pt idx="4">
                  <c:v>0.38700000000000001</c:v>
                </c:pt>
                <c:pt idx="5">
                  <c:v>0.61362767978990351</c:v>
                </c:pt>
                <c:pt idx="6">
                  <c:v>0.76900527884589331</c:v>
                </c:pt>
                <c:pt idx="7">
                  <c:v>0.65250077761443015</c:v>
                </c:pt>
                <c:pt idx="8">
                  <c:v>0.66654509007809926</c:v>
                </c:pt>
                <c:pt idx="9">
                  <c:v>1.0158444735284067</c:v>
                </c:pt>
                <c:pt idx="10">
                  <c:v>0.46400000000000002</c:v>
                </c:pt>
              </c:numCache>
            </c:numRef>
          </c:val>
          <c:extLst>
            <c:ext xmlns:c16="http://schemas.microsoft.com/office/drawing/2014/chart" uri="{C3380CC4-5D6E-409C-BE32-E72D297353CC}">
              <c16:uniqueId val="{00000001-7C55-A74D-8A0A-C066080F1429}"/>
            </c:ext>
          </c:extLst>
        </c:ser>
        <c:ser>
          <c:idx val="2"/>
          <c:order val="2"/>
          <c:tx>
            <c:strRef>
              <c:f>'[Tables for Results.xlsx]Cost of Sales'!$D$2</c:f>
              <c:strCache>
                <c:ptCount val="1"/>
                <c:pt idx="0">
                  <c:v>2021</c:v>
                </c:pt>
              </c:strCache>
            </c:strRef>
          </c:tx>
          <c:spPr>
            <a:solidFill>
              <a:schemeClr val="accent3"/>
            </a:solidFill>
            <a:ln>
              <a:noFill/>
            </a:ln>
            <a:effectLst/>
          </c:spPr>
          <c:invertIfNegative val="0"/>
          <c:cat>
            <c:strRef>
              <c:f>'[Tables for Results.xlsx]Cost of Sales'!$A$54:$A$64</c:f>
              <c:strCache>
                <c:ptCount val="11"/>
                <c:pt idx="0">
                  <c:v>Financials</c:v>
                </c:pt>
                <c:pt idx="1">
                  <c:v>Consumer Discretionary</c:v>
                </c:pt>
                <c:pt idx="2">
                  <c:v>Telecommunications</c:v>
                </c:pt>
                <c:pt idx="3">
                  <c:v>Technology</c:v>
                </c:pt>
                <c:pt idx="4">
                  <c:v>Real Estate</c:v>
                </c:pt>
                <c:pt idx="5">
                  <c:v>Industrials</c:v>
                </c:pt>
                <c:pt idx="6">
                  <c:v>Utilities</c:v>
                </c:pt>
                <c:pt idx="7">
                  <c:v>Basic Materials</c:v>
                </c:pt>
                <c:pt idx="8">
                  <c:v>Consumer Staples</c:v>
                </c:pt>
                <c:pt idx="9">
                  <c:v>Energy</c:v>
                </c:pt>
                <c:pt idx="10">
                  <c:v>Health Care</c:v>
                </c:pt>
              </c:strCache>
            </c:strRef>
          </c:cat>
          <c:val>
            <c:numRef>
              <c:f>'[Tables for Results.xlsx]Cost of Sales'!$D$54:$D$64</c:f>
              <c:numCache>
                <c:formatCode>0.0%</c:formatCode>
                <c:ptCount val="11"/>
                <c:pt idx="0">
                  <c:v>0.13500000000000001</c:v>
                </c:pt>
                <c:pt idx="1">
                  <c:v>0.74416207166287784</c:v>
                </c:pt>
                <c:pt idx="2">
                  <c:v>0.46010545396348257</c:v>
                </c:pt>
                <c:pt idx="3">
                  <c:v>0.5003692030114909</c:v>
                </c:pt>
                <c:pt idx="4">
                  <c:v>0.28699999999999998</c:v>
                </c:pt>
                <c:pt idx="5">
                  <c:v>0.59571050397180203</c:v>
                </c:pt>
                <c:pt idx="6">
                  <c:v>0.83951006746490631</c:v>
                </c:pt>
                <c:pt idx="7">
                  <c:v>0.64209221994794818</c:v>
                </c:pt>
                <c:pt idx="8">
                  <c:v>0.55428633898805657</c:v>
                </c:pt>
                <c:pt idx="9">
                  <c:v>0.71140749478561216</c:v>
                </c:pt>
                <c:pt idx="10">
                  <c:v>0.46600000000000003</c:v>
                </c:pt>
              </c:numCache>
            </c:numRef>
          </c:val>
          <c:extLst>
            <c:ext xmlns:c16="http://schemas.microsoft.com/office/drawing/2014/chart" uri="{C3380CC4-5D6E-409C-BE32-E72D297353CC}">
              <c16:uniqueId val="{00000002-7C55-A74D-8A0A-C066080F1429}"/>
            </c:ext>
          </c:extLst>
        </c:ser>
        <c:dLbls>
          <c:showLegendKey val="0"/>
          <c:showVal val="0"/>
          <c:showCatName val="0"/>
          <c:showSerName val="0"/>
          <c:showPercent val="0"/>
          <c:showBubbleSize val="0"/>
        </c:dLbls>
        <c:gapWidth val="219"/>
        <c:overlap val="-27"/>
        <c:axId val="217881712"/>
        <c:axId val="217756480"/>
      </c:barChart>
      <c:catAx>
        <c:axId val="217881712"/>
        <c:scaling>
          <c:orientation val="minMax"/>
        </c:scaling>
        <c:delete val="0"/>
        <c:axPos val="b"/>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700" b="0" i="0" u="none" strike="noStrike" kern="1200" baseline="0">
                <a:solidFill>
                  <a:schemeClr val="tx1">
                    <a:lumMod val="65000"/>
                    <a:lumOff val="35000"/>
                  </a:schemeClr>
                </a:solidFill>
                <a:latin typeface="+mn-lt"/>
                <a:ea typeface="+mn-ea"/>
                <a:cs typeface="+mn-cs"/>
              </a:defRPr>
            </a:pPr>
            <a:endParaRPr lang="en-US"/>
          </a:p>
        </c:txPr>
        <c:crossAx val="217756480"/>
        <c:crosses val="autoZero"/>
        <c:auto val="1"/>
        <c:lblAlgn val="ctr"/>
        <c:lblOffset val="100"/>
        <c:noMultiLvlLbl val="0"/>
      </c:catAx>
      <c:valAx>
        <c:axId val="217756480"/>
        <c:scaling>
          <c:orientation val="minMax"/>
        </c:scaling>
        <c:delete val="0"/>
        <c:axPos val="l"/>
        <c:majorGridlines>
          <c:spPr>
            <a:ln w="9525" cap="flat" cmpd="sng" algn="ctr">
              <a:solidFill>
                <a:schemeClr val="tx1">
                  <a:lumMod val="15000"/>
                  <a:lumOff val="85000"/>
                </a:schemeClr>
              </a:solidFill>
              <a:round/>
            </a:ln>
            <a:effectLst/>
          </c:spPr>
        </c:majorGridlines>
        <c:numFmt formatCode="0.0%" sourceLinked="1"/>
        <c:majorTickMark val="none"/>
        <c:minorTickMark val="none"/>
        <c:tickLblPos val="nextTo"/>
        <c:spPr>
          <a:noFill/>
          <a:ln>
            <a:noFill/>
          </a:ln>
          <a:effectLst/>
        </c:spPr>
        <c:txPr>
          <a:bodyPr rot="-60000000" spcFirstLastPara="1" vertOverflow="ellipsis" vert="horz" wrap="square" anchor="ctr" anchorCtr="1"/>
          <a:lstStyle/>
          <a:p>
            <a:pPr>
              <a:defRPr sz="700" b="0" i="0" u="none" strike="noStrike" kern="1200" baseline="0">
                <a:solidFill>
                  <a:schemeClr val="tx1">
                    <a:lumMod val="65000"/>
                    <a:lumOff val="35000"/>
                  </a:schemeClr>
                </a:solidFill>
                <a:latin typeface="+mn-lt"/>
                <a:ea typeface="+mn-ea"/>
                <a:cs typeface="+mn-cs"/>
              </a:defRPr>
            </a:pPr>
            <a:endParaRPr lang="en-US"/>
          </a:p>
        </c:txPr>
        <c:crossAx val="217881712"/>
        <c:crosses val="autoZero"/>
        <c:crossBetween val="between"/>
      </c:valAx>
      <c:dTable>
        <c:showHorzBorder val="1"/>
        <c:showVertBorder val="1"/>
        <c:showOutline val="1"/>
        <c:showKeys val="1"/>
        <c:spPr>
          <a:noFill/>
          <a:ln w="9525" cap="flat" cmpd="sng" algn="ctr">
            <a:solidFill>
              <a:schemeClr val="tx1">
                <a:lumMod val="15000"/>
                <a:lumOff val="85000"/>
              </a:schemeClr>
            </a:solidFill>
            <a:round/>
          </a:ln>
          <a:effectLst/>
        </c:spPr>
        <c:txPr>
          <a:bodyPr rot="0" spcFirstLastPara="1" vertOverflow="ellipsis" vert="horz" wrap="square" anchor="ctr" anchorCtr="1"/>
          <a:lstStyle/>
          <a:p>
            <a:pPr rtl="0">
              <a:defRPr sz="700" b="0" i="0" u="none" strike="noStrike" kern="1200" baseline="0">
                <a:solidFill>
                  <a:schemeClr val="tx1">
                    <a:lumMod val="65000"/>
                    <a:lumOff val="35000"/>
                  </a:schemeClr>
                </a:solidFill>
                <a:latin typeface="+mn-lt"/>
                <a:ea typeface="+mn-ea"/>
                <a:cs typeface="+mn-cs"/>
              </a:defRPr>
            </a:pPr>
            <a:endParaRPr lang="en-US"/>
          </a:p>
        </c:txPr>
      </c:dTable>
      <c:spPr>
        <a:noFill/>
        <a:ln>
          <a:noFill/>
        </a:ln>
        <a:effectLst/>
      </c:spPr>
    </c:plotArea>
    <c:plotVisOnly val="1"/>
    <c:dispBlanksAs val="gap"/>
    <c:showDLblsOverMax val="0"/>
  </c:chart>
  <c:spPr>
    <a:solidFill>
      <a:schemeClr val="bg1"/>
    </a:solidFill>
    <a:ln w="9525" cap="flat" cmpd="sng" algn="ctr">
      <a:noFill/>
      <a:round/>
    </a:ln>
    <a:effectLst/>
  </c:spPr>
  <c:txPr>
    <a:bodyPr/>
    <a:lstStyle/>
    <a:p>
      <a:pPr>
        <a:defRPr sz="700" baseline="0"/>
      </a:pPr>
      <a:endParaRPr lang="en-US"/>
    </a:p>
  </c:txPr>
  <c:externalData r:id="rId4">
    <c:autoUpdate val="0"/>
  </c:externalData>
</c:chartSpace>
</file>

<file path=word/charts/chart3.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lrMapOvr bg1="lt1" tx1="dk1" bg2="lt2" tx2="dk2" accent1="accent1" accent2="accent2" accent3="accent3" accent4="accent4" accent5="accent5" accent6="accent6" hlink="hlink" folHlink="folHlink"/>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Tax</a:t>
            </a: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barChart>
        <c:barDir val="col"/>
        <c:grouping val="clustered"/>
        <c:varyColors val="0"/>
        <c:ser>
          <c:idx val="0"/>
          <c:order val="0"/>
          <c:tx>
            <c:strRef>
              <c:f>'[Tables for Results.xlsx]Tax'!$B$2</c:f>
              <c:strCache>
                <c:ptCount val="1"/>
                <c:pt idx="0">
                  <c:v>2019</c:v>
                </c:pt>
              </c:strCache>
            </c:strRef>
          </c:tx>
          <c:spPr>
            <a:solidFill>
              <a:schemeClr val="accent1"/>
            </a:solidFill>
            <a:ln>
              <a:noFill/>
            </a:ln>
            <a:effectLst/>
          </c:spPr>
          <c:invertIfNegative val="0"/>
          <c:cat>
            <c:strRef>
              <c:f>'[Tables for Results.xlsx]Tax'!$A$51:$A$61</c:f>
              <c:strCache>
                <c:ptCount val="11"/>
                <c:pt idx="0">
                  <c:v>Financials</c:v>
                </c:pt>
                <c:pt idx="1">
                  <c:v>Consumer Discretionary</c:v>
                </c:pt>
                <c:pt idx="2">
                  <c:v>Telecommunications</c:v>
                </c:pt>
                <c:pt idx="3">
                  <c:v>Technology</c:v>
                </c:pt>
                <c:pt idx="4">
                  <c:v>Real Estate</c:v>
                </c:pt>
                <c:pt idx="5">
                  <c:v>Industrials</c:v>
                </c:pt>
                <c:pt idx="6">
                  <c:v>Utilities</c:v>
                </c:pt>
                <c:pt idx="7">
                  <c:v>Basic Materials</c:v>
                </c:pt>
                <c:pt idx="8">
                  <c:v>Consumer Staples</c:v>
                </c:pt>
                <c:pt idx="9">
                  <c:v>Energy</c:v>
                </c:pt>
                <c:pt idx="10">
                  <c:v>Health Care</c:v>
                </c:pt>
              </c:strCache>
            </c:strRef>
          </c:cat>
          <c:val>
            <c:numRef>
              <c:f>'[Tables for Results.xlsx]Tax'!$B$51:$B$61</c:f>
              <c:numCache>
                <c:formatCode>0.0%</c:formatCode>
                <c:ptCount val="11"/>
                <c:pt idx="0">
                  <c:v>9.665934991009334E-2</c:v>
                </c:pt>
                <c:pt idx="1">
                  <c:v>0.23541321953082536</c:v>
                </c:pt>
                <c:pt idx="2">
                  <c:v>-0.34836946142093234</c:v>
                </c:pt>
                <c:pt idx="3">
                  <c:v>0.19934803267617726</c:v>
                </c:pt>
                <c:pt idx="4">
                  <c:v>8.5999999999999993E-2</c:v>
                </c:pt>
                <c:pt idx="5">
                  <c:v>6.0999999999999999E-2</c:v>
                </c:pt>
                <c:pt idx="6">
                  <c:v>0.59686277892795636</c:v>
                </c:pt>
                <c:pt idx="7">
                  <c:v>0.11539952108287907</c:v>
                </c:pt>
                <c:pt idx="8">
                  <c:v>0.23286989791957924</c:v>
                </c:pt>
                <c:pt idx="9">
                  <c:v>0.252</c:v>
                </c:pt>
                <c:pt idx="10">
                  <c:v>0.23100000000000001</c:v>
                </c:pt>
              </c:numCache>
            </c:numRef>
          </c:val>
          <c:extLst>
            <c:ext xmlns:c16="http://schemas.microsoft.com/office/drawing/2014/chart" uri="{C3380CC4-5D6E-409C-BE32-E72D297353CC}">
              <c16:uniqueId val="{00000000-1AAD-1D4C-A23A-1902AD613B66}"/>
            </c:ext>
          </c:extLst>
        </c:ser>
        <c:ser>
          <c:idx val="1"/>
          <c:order val="1"/>
          <c:tx>
            <c:strRef>
              <c:f>'[Tables for Results.xlsx]Tax'!$C$2</c:f>
              <c:strCache>
                <c:ptCount val="1"/>
                <c:pt idx="0">
                  <c:v>2020</c:v>
                </c:pt>
              </c:strCache>
            </c:strRef>
          </c:tx>
          <c:spPr>
            <a:solidFill>
              <a:schemeClr val="accent2"/>
            </a:solidFill>
            <a:ln>
              <a:noFill/>
            </a:ln>
            <a:effectLst/>
          </c:spPr>
          <c:invertIfNegative val="0"/>
          <c:cat>
            <c:strRef>
              <c:f>'[Tables for Results.xlsx]Tax'!$A$51:$A$61</c:f>
              <c:strCache>
                <c:ptCount val="11"/>
                <c:pt idx="0">
                  <c:v>Financials</c:v>
                </c:pt>
                <c:pt idx="1">
                  <c:v>Consumer Discretionary</c:v>
                </c:pt>
                <c:pt idx="2">
                  <c:v>Telecommunications</c:v>
                </c:pt>
                <c:pt idx="3">
                  <c:v>Technology</c:v>
                </c:pt>
                <c:pt idx="4">
                  <c:v>Real Estate</c:v>
                </c:pt>
                <c:pt idx="5">
                  <c:v>Industrials</c:v>
                </c:pt>
                <c:pt idx="6">
                  <c:v>Utilities</c:v>
                </c:pt>
                <c:pt idx="7">
                  <c:v>Basic Materials</c:v>
                </c:pt>
                <c:pt idx="8">
                  <c:v>Consumer Staples</c:v>
                </c:pt>
                <c:pt idx="9">
                  <c:v>Energy</c:v>
                </c:pt>
                <c:pt idx="10">
                  <c:v>Health Care</c:v>
                </c:pt>
              </c:strCache>
            </c:strRef>
          </c:cat>
          <c:val>
            <c:numRef>
              <c:f>'[Tables for Results.xlsx]Tax'!$C$51:$C$61</c:f>
              <c:numCache>
                <c:formatCode>0.0%</c:formatCode>
                <c:ptCount val="11"/>
                <c:pt idx="0">
                  <c:v>6.7819604338121717E-2</c:v>
                </c:pt>
                <c:pt idx="1">
                  <c:v>2.3362848090756345</c:v>
                </c:pt>
                <c:pt idx="2">
                  <c:v>-0.31849147446334486</c:v>
                </c:pt>
                <c:pt idx="3">
                  <c:v>0.17806765699707411</c:v>
                </c:pt>
                <c:pt idx="4">
                  <c:v>6.8000000000000005E-2</c:v>
                </c:pt>
                <c:pt idx="5">
                  <c:v>1.6639999999999999</c:v>
                </c:pt>
                <c:pt idx="6">
                  <c:v>0.34191579978406123</c:v>
                </c:pt>
                <c:pt idx="7">
                  <c:v>0.46561774411526963</c:v>
                </c:pt>
                <c:pt idx="8">
                  <c:v>0.1625252260342849</c:v>
                </c:pt>
                <c:pt idx="9">
                  <c:v>9.7000000000000003E-2</c:v>
                </c:pt>
                <c:pt idx="10">
                  <c:v>0.05</c:v>
                </c:pt>
              </c:numCache>
            </c:numRef>
          </c:val>
          <c:extLst>
            <c:ext xmlns:c16="http://schemas.microsoft.com/office/drawing/2014/chart" uri="{C3380CC4-5D6E-409C-BE32-E72D297353CC}">
              <c16:uniqueId val="{00000001-1AAD-1D4C-A23A-1902AD613B66}"/>
            </c:ext>
          </c:extLst>
        </c:ser>
        <c:ser>
          <c:idx val="2"/>
          <c:order val="2"/>
          <c:tx>
            <c:strRef>
              <c:f>'[Tables for Results.xlsx]Tax'!$D$2</c:f>
              <c:strCache>
                <c:ptCount val="1"/>
                <c:pt idx="0">
                  <c:v>2021</c:v>
                </c:pt>
              </c:strCache>
            </c:strRef>
          </c:tx>
          <c:spPr>
            <a:solidFill>
              <a:schemeClr val="accent3"/>
            </a:solidFill>
            <a:ln>
              <a:noFill/>
            </a:ln>
            <a:effectLst/>
          </c:spPr>
          <c:invertIfNegative val="0"/>
          <c:cat>
            <c:strRef>
              <c:f>'[Tables for Results.xlsx]Tax'!$A$51:$A$61</c:f>
              <c:strCache>
                <c:ptCount val="11"/>
                <c:pt idx="0">
                  <c:v>Financials</c:v>
                </c:pt>
                <c:pt idx="1">
                  <c:v>Consumer Discretionary</c:v>
                </c:pt>
                <c:pt idx="2">
                  <c:v>Telecommunications</c:v>
                </c:pt>
                <c:pt idx="3">
                  <c:v>Technology</c:v>
                </c:pt>
                <c:pt idx="4">
                  <c:v>Real Estate</c:v>
                </c:pt>
                <c:pt idx="5">
                  <c:v>Industrials</c:v>
                </c:pt>
                <c:pt idx="6">
                  <c:v>Utilities</c:v>
                </c:pt>
                <c:pt idx="7">
                  <c:v>Basic Materials</c:v>
                </c:pt>
                <c:pt idx="8">
                  <c:v>Consumer Staples</c:v>
                </c:pt>
                <c:pt idx="9">
                  <c:v>Energy</c:v>
                </c:pt>
                <c:pt idx="10">
                  <c:v>Health Care</c:v>
                </c:pt>
              </c:strCache>
            </c:strRef>
          </c:cat>
          <c:val>
            <c:numRef>
              <c:f>'[Tables for Results.xlsx]Tax'!$D$51:$D$61</c:f>
              <c:numCache>
                <c:formatCode>0.0%</c:formatCode>
                <c:ptCount val="11"/>
                <c:pt idx="0">
                  <c:v>4.0396993369915729E-2</c:v>
                </c:pt>
                <c:pt idx="1">
                  <c:v>0.53875277096036922</c:v>
                </c:pt>
                <c:pt idx="2">
                  <c:v>-8.4605783098245485E-2</c:v>
                </c:pt>
                <c:pt idx="3">
                  <c:v>0.16238994626142952</c:v>
                </c:pt>
                <c:pt idx="4">
                  <c:v>3.6999999999999998E-2</c:v>
                </c:pt>
                <c:pt idx="5">
                  <c:v>0.21299999999999999</c:v>
                </c:pt>
                <c:pt idx="6">
                  <c:v>0.42433120924772466</c:v>
                </c:pt>
                <c:pt idx="7">
                  <c:v>0.27422123255523234</c:v>
                </c:pt>
                <c:pt idx="8">
                  <c:v>0.2253279869252065</c:v>
                </c:pt>
                <c:pt idx="9">
                  <c:v>-8.8999999999999996E-2</c:v>
                </c:pt>
                <c:pt idx="10">
                  <c:v>4.3999999999999997E-2</c:v>
                </c:pt>
              </c:numCache>
            </c:numRef>
          </c:val>
          <c:extLst>
            <c:ext xmlns:c16="http://schemas.microsoft.com/office/drawing/2014/chart" uri="{C3380CC4-5D6E-409C-BE32-E72D297353CC}">
              <c16:uniqueId val="{00000002-1AAD-1D4C-A23A-1902AD613B66}"/>
            </c:ext>
          </c:extLst>
        </c:ser>
        <c:dLbls>
          <c:showLegendKey val="0"/>
          <c:showVal val="0"/>
          <c:showCatName val="0"/>
          <c:showSerName val="0"/>
          <c:showPercent val="0"/>
          <c:showBubbleSize val="0"/>
        </c:dLbls>
        <c:gapWidth val="219"/>
        <c:overlap val="-27"/>
        <c:axId val="217881712"/>
        <c:axId val="217756480"/>
      </c:barChart>
      <c:catAx>
        <c:axId val="217881712"/>
        <c:scaling>
          <c:orientation val="minMax"/>
        </c:scaling>
        <c:delete val="0"/>
        <c:axPos val="b"/>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217756480"/>
        <c:crosses val="autoZero"/>
        <c:auto val="1"/>
        <c:lblAlgn val="ctr"/>
        <c:lblOffset val="100"/>
        <c:noMultiLvlLbl val="0"/>
      </c:catAx>
      <c:valAx>
        <c:axId val="217756480"/>
        <c:scaling>
          <c:orientation val="minMax"/>
        </c:scaling>
        <c:delete val="0"/>
        <c:axPos val="l"/>
        <c:majorGridlines>
          <c:spPr>
            <a:ln w="9525" cap="flat" cmpd="sng" algn="ctr">
              <a:solidFill>
                <a:schemeClr val="tx1">
                  <a:lumMod val="15000"/>
                  <a:lumOff val="85000"/>
                </a:schemeClr>
              </a:solidFill>
              <a:round/>
            </a:ln>
            <a:effectLst/>
          </c:spPr>
        </c:majorGridlines>
        <c:numFmt formatCode="0.0%"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217881712"/>
        <c:crosses val="autoZero"/>
        <c:crossBetween val="between"/>
      </c:valAx>
      <c:dTable>
        <c:showHorzBorder val="1"/>
        <c:showVertBorder val="1"/>
        <c:showOutline val="1"/>
        <c:showKeys val="1"/>
        <c:spPr>
          <a:noFill/>
          <a:ln w="9525" cap="flat" cmpd="sng" algn="ctr">
            <a:solidFill>
              <a:schemeClr val="tx1">
                <a:lumMod val="15000"/>
                <a:lumOff val="85000"/>
              </a:schemeClr>
            </a:solidFill>
            <a:round/>
          </a:ln>
          <a:effectLst/>
        </c:spPr>
        <c:txPr>
          <a:bodyPr rot="0" spcFirstLastPara="1" vertOverflow="ellipsis" vert="horz" wrap="square" anchor="ctr" anchorCtr="1"/>
          <a:lstStyle/>
          <a:p>
            <a:pPr rtl="0">
              <a:defRPr sz="700" b="0" i="0" u="none" strike="noStrike" kern="1200" baseline="0">
                <a:solidFill>
                  <a:schemeClr val="tx1">
                    <a:lumMod val="65000"/>
                    <a:lumOff val="35000"/>
                  </a:schemeClr>
                </a:solidFill>
                <a:latin typeface="+mn-lt"/>
                <a:ea typeface="+mn-ea"/>
                <a:cs typeface="+mn-cs"/>
              </a:defRPr>
            </a:pPr>
            <a:endParaRPr lang="en-US"/>
          </a:p>
        </c:txPr>
      </c:dTable>
      <c:spPr>
        <a:noFill/>
        <a:ln>
          <a:noFill/>
        </a:ln>
        <a:effectLst/>
      </c:spPr>
    </c:plotArea>
    <c:plotVisOnly val="1"/>
    <c:dispBlanksAs val="gap"/>
    <c:showDLblsOverMax val="0"/>
  </c:chart>
  <c:spPr>
    <a:solidFill>
      <a:schemeClr val="bg1"/>
    </a:solidFill>
    <a:ln w="9525" cap="flat" cmpd="sng" algn="ctr">
      <a:noFill/>
      <a:round/>
    </a:ln>
    <a:effectLst/>
  </c:spPr>
  <c:txPr>
    <a:bodyPr/>
    <a:lstStyle/>
    <a:p>
      <a:pPr>
        <a:defRPr/>
      </a:pPr>
      <a:endParaRPr lang="en-US"/>
    </a:p>
  </c:txPr>
  <c:externalData r:id="rId4">
    <c:autoUpdate val="0"/>
  </c:externalData>
</c:chartSpace>
</file>

<file path=word/charts/chart4.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lrMapOvr bg1="lt1" tx1="dk1" bg2="lt2" tx2="dk2" accent1="accent1" accent2="accent2" accent3="accent3" accent4="accent4" accent5="accent5" accent6="accent6" hlink="hlink" folHlink="folHlink"/>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Operating Profit</a:t>
            </a: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barChart>
        <c:barDir val="col"/>
        <c:grouping val="clustered"/>
        <c:varyColors val="0"/>
        <c:ser>
          <c:idx val="0"/>
          <c:order val="0"/>
          <c:tx>
            <c:strRef>
              <c:f>'[Tables for Results.xlsx]Operating Profit'!$B$2</c:f>
              <c:strCache>
                <c:ptCount val="1"/>
                <c:pt idx="0">
                  <c:v>2019</c:v>
                </c:pt>
              </c:strCache>
            </c:strRef>
          </c:tx>
          <c:spPr>
            <a:solidFill>
              <a:schemeClr val="accent1"/>
            </a:solidFill>
            <a:ln>
              <a:noFill/>
            </a:ln>
            <a:effectLst/>
          </c:spPr>
          <c:invertIfNegative val="0"/>
          <c:cat>
            <c:strRef>
              <c:f>'[Tables for Results.xlsx]Operating Profit'!$A$51:$A$61</c:f>
              <c:strCache>
                <c:ptCount val="11"/>
                <c:pt idx="0">
                  <c:v>Financials</c:v>
                </c:pt>
                <c:pt idx="1">
                  <c:v>Consumer Discretionary</c:v>
                </c:pt>
                <c:pt idx="2">
                  <c:v>Telecommunications</c:v>
                </c:pt>
                <c:pt idx="3">
                  <c:v>Technology</c:v>
                </c:pt>
                <c:pt idx="4">
                  <c:v>Real Estate</c:v>
                </c:pt>
                <c:pt idx="5">
                  <c:v>Industrials</c:v>
                </c:pt>
                <c:pt idx="6">
                  <c:v>Utilities</c:v>
                </c:pt>
                <c:pt idx="7">
                  <c:v>Basic Materials</c:v>
                </c:pt>
                <c:pt idx="8">
                  <c:v>Consumer Staples</c:v>
                </c:pt>
                <c:pt idx="9">
                  <c:v>Energy</c:v>
                </c:pt>
                <c:pt idx="10">
                  <c:v>Health Care</c:v>
                </c:pt>
              </c:strCache>
            </c:strRef>
          </c:cat>
          <c:val>
            <c:numRef>
              <c:f>'[Tables for Results.xlsx]Operating Profit'!$B$51:$B$61</c:f>
              <c:numCache>
                <c:formatCode>0.0%</c:formatCode>
                <c:ptCount val="11"/>
                <c:pt idx="0">
                  <c:v>0.71307021152569661</c:v>
                </c:pt>
                <c:pt idx="1">
                  <c:v>0.10886451414168102</c:v>
                </c:pt>
                <c:pt idx="2">
                  <c:v>8.2164680417548736E-2</c:v>
                </c:pt>
                <c:pt idx="3">
                  <c:v>0.13111017824913992</c:v>
                </c:pt>
                <c:pt idx="4">
                  <c:v>0.49299999999999999</c:v>
                </c:pt>
                <c:pt idx="5">
                  <c:v>9.5272407394066699E-2</c:v>
                </c:pt>
                <c:pt idx="6">
                  <c:v>6.7881955696177512E-2</c:v>
                </c:pt>
                <c:pt idx="7">
                  <c:v>0.16569706094852477</c:v>
                </c:pt>
                <c:pt idx="8">
                  <c:v>6.0655774193277924E-2</c:v>
                </c:pt>
                <c:pt idx="9">
                  <c:v>0.30399999999999999</c:v>
                </c:pt>
                <c:pt idx="10">
                  <c:v>3.5999999999999997E-2</c:v>
                </c:pt>
              </c:numCache>
            </c:numRef>
          </c:val>
          <c:extLst>
            <c:ext xmlns:c16="http://schemas.microsoft.com/office/drawing/2014/chart" uri="{C3380CC4-5D6E-409C-BE32-E72D297353CC}">
              <c16:uniqueId val="{00000000-B358-ED41-8880-A0CB4458DE83}"/>
            </c:ext>
          </c:extLst>
        </c:ser>
        <c:ser>
          <c:idx val="1"/>
          <c:order val="1"/>
          <c:tx>
            <c:strRef>
              <c:f>'[Tables for Results.xlsx]Operating Profit'!$C$2</c:f>
              <c:strCache>
                <c:ptCount val="1"/>
                <c:pt idx="0">
                  <c:v>2020</c:v>
                </c:pt>
              </c:strCache>
            </c:strRef>
          </c:tx>
          <c:spPr>
            <a:solidFill>
              <a:schemeClr val="accent2"/>
            </a:solidFill>
            <a:ln>
              <a:noFill/>
            </a:ln>
            <a:effectLst/>
          </c:spPr>
          <c:invertIfNegative val="0"/>
          <c:cat>
            <c:strRef>
              <c:f>'[Tables for Results.xlsx]Operating Profit'!$A$51:$A$61</c:f>
              <c:strCache>
                <c:ptCount val="11"/>
                <c:pt idx="0">
                  <c:v>Financials</c:v>
                </c:pt>
                <c:pt idx="1">
                  <c:v>Consumer Discretionary</c:v>
                </c:pt>
                <c:pt idx="2">
                  <c:v>Telecommunications</c:v>
                </c:pt>
                <c:pt idx="3">
                  <c:v>Technology</c:v>
                </c:pt>
                <c:pt idx="4">
                  <c:v>Real Estate</c:v>
                </c:pt>
                <c:pt idx="5">
                  <c:v>Industrials</c:v>
                </c:pt>
                <c:pt idx="6">
                  <c:v>Utilities</c:v>
                </c:pt>
                <c:pt idx="7">
                  <c:v>Basic Materials</c:v>
                </c:pt>
                <c:pt idx="8">
                  <c:v>Consumer Staples</c:v>
                </c:pt>
                <c:pt idx="9">
                  <c:v>Energy</c:v>
                </c:pt>
                <c:pt idx="10">
                  <c:v>Health Care</c:v>
                </c:pt>
              </c:strCache>
            </c:strRef>
          </c:cat>
          <c:val>
            <c:numRef>
              <c:f>'[Tables for Results.xlsx]Operating Profit'!$C$51:$C$61</c:f>
              <c:numCache>
                <c:formatCode>0.0%</c:formatCode>
                <c:ptCount val="11"/>
                <c:pt idx="0">
                  <c:v>0.65432749981259442</c:v>
                </c:pt>
                <c:pt idx="1">
                  <c:v>-0.19614051578467823</c:v>
                </c:pt>
                <c:pt idx="2">
                  <c:v>0.15959164687691874</c:v>
                </c:pt>
                <c:pt idx="3">
                  <c:v>-0.17331260980897678</c:v>
                </c:pt>
                <c:pt idx="4">
                  <c:v>-0.62</c:v>
                </c:pt>
                <c:pt idx="5">
                  <c:v>4.9000000000000002E-2</c:v>
                </c:pt>
                <c:pt idx="6">
                  <c:v>5.3550269363429499E-2</c:v>
                </c:pt>
                <c:pt idx="7">
                  <c:v>0.15638688039366705</c:v>
                </c:pt>
                <c:pt idx="8">
                  <c:v>6.6648076447558269E-3</c:v>
                </c:pt>
                <c:pt idx="9">
                  <c:v>-0.19</c:v>
                </c:pt>
                <c:pt idx="10">
                  <c:v>-0.05</c:v>
                </c:pt>
              </c:numCache>
            </c:numRef>
          </c:val>
          <c:extLst>
            <c:ext xmlns:c16="http://schemas.microsoft.com/office/drawing/2014/chart" uri="{C3380CC4-5D6E-409C-BE32-E72D297353CC}">
              <c16:uniqueId val="{00000001-B358-ED41-8880-A0CB4458DE83}"/>
            </c:ext>
          </c:extLst>
        </c:ser>
        <c:ser>
          <c:idx val="2"/>
          <c:order val="2"/>
          <c:tx>
            <c:strRef>
              <c:f>'[Tables for Results.xlsx]Operating Profit'!$D$2</c:f>
              <c:strCache>
                <c:ptCount val="1"/>
                <c:pt idx="0">
                  <c:v>2021</c:v>
                </c:pt>
              </c:strCache>
            </c:strRef>
          </c:tx>
          <c:spPr>
            <a:solidFill>
              <a:schemeClr val="accent3"/>
            </a:solidFill>
            <a:ln>
              <a:noFill/>
            </a:ln>
            <a:effectLst/>
          </c:spPr>
          <c:invertIfNegative val="0"/>
          <c:cat>
            <c:strRef>
              <c:f>'[Tables for Results.xlsx]Operating Profit'!$A$51:$A$61</c:f>
              <c:strCache>
                <c:ptCount val="11"/>
                <c:pt idx="0">
                  <c:v>Financials</c:v>
                </c:pt>
                <c:pt idx="1">
                  <c:v>Consumer Discretionary</c:v>
                </c:pt>
                <c:pt idx="2">
                  <c:v>Telecommunications</c:v>
                </c:pt>
                <c:pt idx="3">
                  <c:v>Technology</c:v>
                </c:pt>
                <c:pt idx="4">
                  <c:v>Real Estate</c:v>
                </c:pt>
                <c:pt idx="5">
                  <c:v>Industrials</c:v>
                </c:pt>
                <c:pt idx="6">
                  <c:v>Utilities</c:v>
                </c:pt>
                <c:pt idx="7">
                  <c:v>Basic Materials</c:v>
                </c:pt>
                <c:pt idx="8">
                  <c:v>Consumer Staples</c:v>
                </c:pt>
                <c:pt idx="9">
                  <c:v>Energy</c:v>
                </c:pt>
                <c:pt idx="10">
                  <c:v>Health Care</c:v>
                </c:pt>
              </c:strCache>
            </c:strRef>
          </c:cat>
          <c:val>
            <c:numRef>
              <c:f>'[Tables for Results.xlsx]Operating Profit'!$D$51:$D$61</c:f>
              <c:numCache>
                <c:formatCode>0.0%</c:formatCode>
                <c:ptCount val="11"/>
                <c:pt idx="0">
                  <c:v>0.73499999999999999</c:v>
                </c:pt>
                <c:pt idx="1">
                  <c:v>-0.10832455242772697</c:v>
                </c:pt>
                <c:pt idx="2">
                  <c:v>0.15613831830327324</c:v>
                </c:pt>
                <c:pt idx="3">
                  <c:v>-4.9237539168505411E-3</c:v>
                </c:pt>
                <c:pt idx="4">
                  <c:v>1.2150000000000001</c:v>
                </c:pt>
                <c:pt idx="5">
                  <c:v>8.7999999999999995E-2</c:v>
                </c:pt>
                <c:pt idx="6">
                  <c:v>9.4280115421237556E-2</c:v>
                </c:pt>
                <c:pt idx="7">
                  <c:v>0.18196451523600549</c:v>
                </c:pt>
                <c:pt idx="8">
                  <c:v>7.33751463399447E-2</c:v>
                </c:pt>
                <c:pt idx="9">
                  <c:v>-0.83</c:v>
                </c:pt>
                <c:pt idx="10">
                  <c:v>0.14000000000000001</c:v>
                </c:pt>
              </c:numCache>
            </c:numRef>
          </c:val>
          <c:extLst>
            <c:ext xmlns:c16="http://schemas.microsoft.com/office/drawing/2014/chart" uri="{C3380CC4-5D6E-409C-BE32-E72D297353CC}">
              <c16:uniqueId val="{00000002-B358-ED41-8880-A0CB4458DE83}"/>
            </c:ext>
          </c:extLst>
        </c:ser>
        <c:dLbls>
          <c:showLegendKey val="0"/>
          <c:showVal val="0"/>
          <c:showCatName val="0"/>
          <c:showSerName val="0"/>
          <c:showPercent val="0"/>
          <c:showBubbleSize val="0"/>
        </c:dLbls>
        <c:gapWidth val="219"/>
        <c:overlap val="-27"/>
        <c:axId val="217881712"/>
        <c:axId val="217756480"/>
      </c:barChart>
      <c:catAx>
        <c:axId val="217881712"/>
        <c:scaling>
          <c:orientation val="minMax"/>
        </c:scaling>
        <c:delete val="0"/>
        <c:axPos val="b"/>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217756480"/>
        <c:crosses val="autoZero"/>
        <c:auto val="1"/>
        <c:lblAlgn val="ctr"/>
        <c:lblOffset val="100"/>
        <c:noMultiLvlLbl val="0"/>
      </c:catAx>
      <c:valAx>
        <c:axId val="217756480"/>
        <c:scaling>
          <c:orientation val="minMax"/>
        </c:scaling>
        <c:delete val="0"/>
        <c:axPos val="l"/>
        <c:majorGridlines>
          <c:spPr>
            <a:ln w="9525" cap="flat" cmpd="sng" algn="ctr">
              <a:solidFill>
                <a:schemeClr val="tx1">
                  <a:lumMod val="15000"/>
                  <a:lumOff val="85000"/>
                </a:schemeClr>
              </a:solidFill>
              <a:round/>
            </a:ln>
            <a:effectLst/>
          </c:spPr>
        </c:majorGridlines>
        <c:numFmt formatCode="0.0%"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217881712"/>
        <c:crosses val="autoZero"/>
        <c:crossBetween val="between"/>
      </c:valAx>
      <c:dTable>
        <c:showHorzBorder val="1"/>
        <c:showVertBorder val="1"/>
        <c:showOutline val="1"/>
        <c:showKeys val="1"/>
        <c:spPr>
          <a:noFill/>
          <a:ln w="9525" cap="flat" cmpd="sng" algn="ctr">
            <a:solidFill>
              <a:schemeClr val="tx1">
                <a:lumMod val="15000"/>
                <a:lumOff val="85000"/>
              </a:schemeClr>
            </a:solidFill>
            <a:round/>
          </a:ln>
          <a:effectLst/>
        </c:spPr>
        <c:txPr>
          <a:bodyPr rot="0" spcFirstLastPara="1" vertOverflow="ellipsis" vert="horz" wrap="square" anchor="ctr" anchorCtr="1"/>
          <a:lstStyle/>
          <a:p>
            <a:pPr rtl="0">
              <a:defRPr sz="700" b="0" i="0" u="none" strike="noStrike" kern="1200" baseline="0">
                <a:solidFill>
                  <a:schemeClr val="tx1">
                    <a:lumMod val="65000"/>
                    <a:lumOff val="35000"/>
                  </a:schemeClr>
                </a:solidFill>
                <a:latin typeface="+mn-lt"/>
                <a:ea typeface="+mn-ea"/>
                <a:cs typeface="+mn-cs"/>
              </a:defRPr>
            </a:pPr>
            <a:endParaRPr lang="en-US"/>
          </a:p>
        </c:txPr>
      </c:dTable>
      <c:spPr>
        <a:noFill/>
        <a:ln>
          <a:noFill/>
        </a:ln>
        <a:effectLst/>
      </c:spPr>
    </c:plotArea>
    <c:plotVisOnly val="1"/>
    <c:dispBlanksAs val="gap"/>
    <c:showDLblsOverMax val="0"/>
  </c:chart>
  <c:spPr>
    <a:solidFill>
      <a:schemeClr val="bg1"/>
    </a:solidFill>
    <a:ln w="9525" cap="flat" cmpd="sng" algn="ctr">
      <a:noFill/>
      <a:round/>
    </a:ln>
    <a:effectLst/>
  </c:spPr>
  <c:txPr>
    <a:bodyPr/>
    <a:lstStyle/>
    <a:p>
      <a:pPr>
        <a:defRPr/>
      </a:pPr>
      <a:endParaRPr lang="en-US"/>
    </a:p>
  </c:txPr>
  <c:externalData r:id="rId4">
    <c:autoUpdate val="0"/>
  </c:externalData>
</c:chartSpace>
</file>

<file path=word/charts/chart5.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lrMapOvr bg1="lt1" tx1="dk1" bg2="lt2" tx2="dk2" accent1="accent1" accent2="accent2" accent3="accent3" accent4="accent4" accent5="accent5" accent6="accent6" hlink="hlink" folHlink="folHlink"/>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Net Profit</a:t>
            </a: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barChart>
        <c:barDir val="col"/>
        <c:grouping val="clustered"/>
        <c:varyColors val="0"/>
        <c:ser>
          <c:idx val="0"/>
          <c:order val="0"/>
          <c:tx>
            <c:strRef>
              <c:f>'[Tables for Results.xlsx]Net Profit'!$B$2</c:f>
              <c:strCache>
                <c:ptCount val="1"/>
                <c:pt idx="0">
                  <c:v>2019</c:v>
                </c:pt>
              </c:strCache>
            </c:strRef>
          </c:tx>
          <c:spPr>
            <a:solidFill>
              <a:schemeClr val="accent1"/>
            </a:solidFill>
            <a:ln>
              <a:noFill/>
            </a:ln>
            <a:effectLst/>
          </c:spPr>
          <c:invertIfNegative val="0"/>
          <c:cat>
            <c:strRef>
              <c:f>'[Tables for Results.xlsx]Net Profit'!$A$51:$A$61</c:f>
              <c:strCache>
                <c:ptCount val="11"/>
                <c:pt idx="0">
                  <c:v>Financials</c:v>
                </c:pt>
                <c:pt idx="1">
                  <c:v>Consumer Discretionary</c:v>
                </c:pt>
                <c:pt idx="2">
                  <c:v>Telecommunications</c:v>
                </c:pt>
                <c:pt idx="3">
                  <c:v>Technology</c:v>
                </c:pt>
                <c:pt idx="4">
                  <c:v>Real Estate</c:v>
                </c:pt>
                <c:pt idx="5">
                  <c:v>Industrials</c:v>
                </c:pt>
                <c:pt idx="6">
                  <c:v>Utilities</c:v>
                </c:pt>
                <c:pt idx="7">
                  <c:v>Basic Materials</c:v>
                </c:pt>
                <c:pt idx="8">
                  <c:v>Consumer Staples</c:v>
                </c:pt>
                <c:pt idx="9">
                  <c:v>Energy</c:v>
                </c:pt>
                <c:pt idx="10">
                  <c:v>Health Care</c:v>
                </c:pt>
              </c:strCache>
            </c:strRef>
          </c:cat>
          <c:val>
            <c:numRef>
              <c:f>'[Tables for Results.xlsx]Net Profit'!$B$51:$B$61</c:f>
              <c:numCache>
                <c:formatCode>0.0%</c:formatCode>
                <c:ptCount val="11"/>
                <c:pt idx="0">
                  <c:v>0.67038475707980316</c:v>
                </c:pt>
                <c:pt idx="1">
                  <c:v>6.3161976963424862E-2</c:v>
                </c:pt>
                <c:pt idx="2">
                  <c:v>-9.8679297608021466E-2</c:v>
                </c:pt>
                <c:pt idx="3">
                  <c:v>7.5808326766041313E-3</c:v>
                </c:pt>
                <c:pt idx="4">
                  <c:v>3.5609521651056686E-2</c:v>
                </c:pt>
                <c:pt idx="5">
                  <c:v>7.1556568925760289E-2</c:v>
                </c:pt>
                <c:pt idx="6">
                  <c:v>-1.0391378698862178E-2</c:v>
                </c:pt>
                <c:pt idx="7">
                  <c:v>0.1116971562687354</c:v>
                </c:pt>
                <c:pt idx="8">
                  <c:v>4.3961537966894178E-2</c:v>
                </c:pt>
                <c:pt idx="9">
                  <c:v>0.2</c:v>
                </c:pt>
                <c:pt idx="10">
                  <c:v>-1.0735138499246389E-2</c:v>
                </c:pt>
              </c:numCache>
            </c:numRef>
          </c:val>
          <c:extLst>
            <c:ext xmlns:c16="http://schemas.microsoft.com/office/drawing/2014/chart" uri="{C3380CC4-5D6E-409C-BE32-E72D297353CC}">
              <c16:uniqueId val="{00000000-6C77-754D-B1CA-9A57B6C579F7}"/>
            </c:ext>
          </c:extLst>
        </c:ser>
        <c:ser>
          <c:idx val="1"/>
          <c:order val="1"/>
          <c:tx>
            <c:strRef>
              <c:f>'[Tables for Results.xlsx]Net Profit'!$C$2</c:f>
              <c:strCache>
                <c:ptCount val="1"/>
                <c:pt idx="0">
                  <c:v>2020</c:v>
                </c:pt>
              </c:strCache>
            </c:strRef>
          </c:tx>
          <c:spPr>
            <a:solidFill>
              <a:schemeClr val="accent2"/>
            </a:solidFill>
            <a:ln>
              <a:noFill/>
            </a:ln>
            <a:effectLst/>
          </c:spPr>
          <c:invertIfNegative val="0"/>
          <c:cat>
            <c:strRef>
              <c:f>'[Tables for Results.xlsx]Net Profit'!$A$51:$A$61</c:f>
              <c:strCache>
                <c:ptCount val="11"/>
                <c:pt idx="0">
                  <c:v>Financials</c:v>
                </c:pt>
                <c:pt idx="1">
                  <c:v>Consumer Discretionary</c:v>
                </c:pt>
                <c:pt idx="2">
                  <c:v>Telecommunications</c:v>
                </c:pt>
                <c:pt idx="3">
                  <c:v>Technology</c:v>
                </c:pt>
                <c:pt idx="4">
                  <c:v>Real Estate</c:v>
                </c:pt>
                <c:pt idx="5">
                  <c:v>Industrials</c:v>
                </c:pt>
                <c:pt idx="6">
                  <c:v>Utilities</c:v>
                </c:pt>
                <c:pt idx="7">
                  <c:v>Basic Materials</c:v>
                </c:pt>
                <c:pt idx="8">
                  <c:v>Consumer Staples</c:v>
                </c:pt>
                <c:pt idx="9">
                  <c:v>Energy</c:v>
                </c:pt>
                <c:pt idx="10">
                  <c:v>Health Care</c:v>
                </c:pt>
              </c:strCache>
            </c:strRef>
          </c:cat>
          <c:val>
            <c:numRef>
              <c:f>'[Tables for Results.xlsx]Net Profit'!$C$51:$C$61</c:f>
              <c:numCache>
                <c:formatCode>0.0%</c:formatCode>
                <c:ptCount val="11"/>
                <c:pt idx="0">
                  <c:v>0.58009673919321936</c:v>
                </c:pt>
                <c:pt idx="1">
                  <c:v>-0.24554751956045393</c:v>
                </c:pt>
                <c:pt idx="2">
                  <c:v>3.6457339222170322E-2</c:v>
                </c:pt>
                <c:pt idx="3">
                  <c:v>-0.23073905214463281</c:v>
                </c:pt>
                <c:pt idx="4">
                  <c:v>-0.80958660392951665</c:v>
                </c:pt>
                <c:pt idx="5">
                  <c:v>1.6823293744918918E-2</c:v>
                </c:pt>
                <c:pt idx="6">
                  <c:v>-8.8022070864888381E-3</c:v>
                </c:pt>
                <c:pt idx="7">
                  <c:v>0.10452333961827705</c:v>
                </c:pt>
                <c:pt idx="8">
                  <c:v>-9.5220717315306989E-3</c:v>
                </c:pt>
                <c:pt idx="9">
                  <c:v>-0.248</c:v>
                </c:pt>
                <c:pt idx="10">
                  <c:v>-8.4127450876763876E-2</c:v>
                </c:pt>
              </c:numCache>
            </c:numRef>
          </c:val>
          <c:extLst>
            <c:ext xmlns:c16="http://schemas.microsoft.com/office/drawing/2014/chart" uri="{C3380CC4-5D6E-409C-BE32-E72D297353CC}">
              <c16:uniqueId val="{00000001-6C77-754D-B1CA-9A57B6C579F7}"/>
            </c:ext>
          </c:extLst>
        </c:ser>
        <c:ser>
          <c:idx val="2"/>
          <c:order val="2"/>
          <c:tx>
            <c:strRef>
              <c:f>'[Tables for Results.xlsx]Net Profit'!$D$2</c:f>
              <c:strCache>
                <c:ptCount val="1"/>
                <c:pt idx="0">
                  <c:v>2021</c:v>
                </c:pt>
              </c:strCache>
            </c:strRef>
          </c:tx>
          <c:spPr>
            <a:solidFill>
              <a:schemeClr val="accent3"/>
            </a:solidFill>
            <a:ln>
              <a:noFill/>
            </a:ln>
            <a:effectLst/>
          </c:spPr>
          <c:invertIfNegative val="0"/>
          <c:cat>
            <c:strRef>
              <c:f>'[Tables for Results.xlsx]Net Profit'!$A$51:$A$61</c:f>
              <c:strCache>
                <c:ptCount val="11"/>
                <c:pt idx="0">
                  <c:v>Financials</c:v>
                </c:pt>
                <c:pt idx="1">
                  <c:v>Consumer Discretionary</c:v>
                </c:pt>
                <c:pt idx="2">
                  <c:v>Telecommunications</c:v>
                </c:pt>
                <c:pt idx="3">
                  <c:v>Technology</c:v>
                </c:pt>
                <c:pt idx="4">
                  <c:v>Real Estate</c:v>
                </c:pt>
                <c:pt idx="5">
                  <c:v>Industrials</c:v>
                </c:pt>
                <c:pt idx="6">
                  <c:v>Utilities</c:v>
                </c:pt>
                <c:pt idx="7">
                  <c:v>Basic Materials</c:v>
                </c:pt>
                <c:pt idx="8">
                  <c:v>Consumer Staples</c:v>
                </c:pt>
                <c:pt idx="9">
                  <c:v>Energy</c:v>
                </c:pt>
                <c:pt idx="10">
                  <c:v>Health Care</c:v>
                </c:pt>
              </c:strCache>
            </c:strRef>
          </c:cat>
          <c:val>
            <c:numRef>
              <c:f>'[Tables for Results.xlsx]Net Profit'!$D$51:$D$61</c:f>
              <c:numCache>
                <c:formatCode>0.0%</c:formatCode>
                <c:ptCount val="11"/>
                <c:pt idx="0">
                  <c:v>0.70499999999999996</c:v>
                </c:pt>
                <c:pt idx="1">
                  <c:v>-0.19475380550265839</c:v>
                </c:pt>
                <c:pt idx="2">
                  <c:v>-9.6472806724560142E-2</c:v>
                </c:pt>
                <c:pt idx="3">
                  <c:v>5.4991193331984337E-2</c:v>
                </c:pt>
                <c:pt idx="4">
                  <c:v>1.1220790549835551</c:v>
                </c:pt>
                <c:pt idx="5">
                  <c:v>6.8646386756697986E-2</c:v>
                </c:pt>
                <c:pt idx="6">
                  <c:v>4.4053620330336211E-2</c:v>
                </c:pt>
                <c:pt idx="7">
                  <c:v>0.1314406807806488</c:v>
                </c:pt>
                <c:pt idx="8">
                  <c:v>3.2239118765347088E-2</c:v>
                </c:pt>
                <c:pt idx="9">
                  <c:v>4.3860000000000001</c:v>
                </c:pt>
                <c:pt idx="10">
                  <c:v>0.10468774981436819</c:v>
                </c:pt>
              </c:numCache>
            </c:numRef>
          </c:val>
          <c:extLst>
            <c:ext xmlns:c16="http://schemas.microsoft.com/office/drawing/2014/chart" uri="{C3380CC4-5D6E-409C-BE32-E72D297353CC}">
              <c16:uniqueId val="{00000002-6C77-754D-B1CA-9A57B6C579F7}"/>
            </c:ext>
          </c:extLst>
        </c:ser>
        <c:dLbls>
          <c:showLegendKey val="0"/>
          <c:showVal val="0"/>
          <c:showCatName val="0"/>
          <c:showSerName val="0"/>
          <c:showPercent val="0"/>
          <c:showBubbleSize val="0"/>
        </c:dLbls>
        <c:gapWidth val="219"/>
        <c:overlap val="-27"/>
        <c:axId val="217881712"/>
        <c:axId val="217756480"/>
      </c:barChart>
      <c:catAx>
        <c:axId val="217881712"/>
        <c:scaling>
          <c:orientation val="minMax"/>
        </c:scaling>
        <c:delete val="0"/>
        <c:axPos val="b"/>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217756480"/>
        <c:crosses val="autoZero"/>
        <c:auto val="1"/>
        <c:lblAlgn val="ctr"/>
        <c:lblOffset val="100"/>
        <c:noMultiLvlLbl val="0"/>
      </c:catAx>
      <c:valAx>
        <c:axId val="217756480"/>
        <c:scaling>
          <c:orientation val="minMax"/>
        </c:scaling>
        <c:delete val="0"/>
        <c:axPos val="l"/>
        <c:majorGridlines>
          <c:spPr>
            <a:ln w="9525" cap="flat" cmpd="sng" algn="ctr">
              <a:solidFill>
                <a:schemeClr val="tx1">
                  <a:lumMod val="15000"/>
                  <a:lumOff val="85000"/>
                </a:schemeClr>
              </a:solidFill>
              <a:round/>
            </a:ln>
            <a:effectLst/>
          </c:spPr>
        </c:majorGridlines>
        <c:numFmt formatCode="0.0%"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217881712"/>
        <c:crosses val="autoZero"/>
        <c:crossBetween val="between"/>
      </c:valAx>
      <c:dTable>
        <c:showHorzBorder val="1"/>
        <c:showVertBorder val="1"/>
        <c:showOutline val="1"/>
        <c:showKeys val="1"/>
        <c:spPr>
          <a:noFill/>
          <a:ln w="9525" cap="flat" cmpd="sng" algn="ctr">
            <a:solidFill>
              <a:schemeClr val="tx1">
                <a:lumMod val="15000"/>
                <a:lumOff val="85000"/>
              </a:schemeClr>
            </a:solidFill>
            <a:round/>
          </a:ln>
          <a:effectLst/>
        </c:spPr>
        <c:txPr>
          <a:bodyPr rot="0" spcFirstLastPara="1" vertOverflow="ellipsis" vert="horz" wrap="square" anchor="ctr" anchorCtr="1"/>
          <a:lstStyle/>
          <a:p>
            <a:pPr rtl="0">
              <a:defRPr sz="700" b="0" i="0" u="none" strike="noStrike" kern="1200" baseline="0">
                <a:solidFill>
                  <a:schemeClr val="tx1">
                    <a:lumMod val="65000"/>
                    <a:lumOff val="35000"/>
                  </a:schemeClr>
                </a:solidFill>
                <a:latin typeface="+mn-lt"/>
                <a:ea typeface="+mn-ea"/>
                <a:cs typeface="+mn-cs"/>
              </a:defRPr>
            </a:pPr>
            <a:endParaRPr lang="en-US"/>
          </a:p>
        </c:txPr>
      </c:dTable>
      <c:spPr>
        <a:noFill/>
        <a:ln>
          <a:noFill/>
        </a:ln>
        <a:effectLst/>
      </c:spPr>
    </c:plotArea>
    <c:plotVisOnly val="1"/>
    <c:dispBlanksAs val="gap"/>
    <c:showDLblsOverMax val="0"/>
  </c:chart>
  <c:spPr>
    <a:solidFill>
      <a:schemeClr val="bg1"/>
    </a:solidFill>
    <a:ln w="9525" cap="flat" cmpd="sng" algn="ctr">
      <a:noFill/>
      <a:round/>
    </a:ln>
    <a:effectLst/>
  </c:spPr>
  <c:txPr>
    <a:bodyPr/>
    <a:lstStyle/>
    <a:p>
      <a:pPr>
        <a:defRPr/>
      </a:pPr>
      <a:endParaRPr lang="en-US"/>
    </a:p>
  </c:txPr>
  <c:externalData r:id="rId4">
    <c:autoUpdate val="0"/>
  </c:externalData>
</c:chartSpace>
</file>

<file path=word/charts/chart6.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lrMapOvr bg1="lt1" tx1="dk1" bg2="lt2" tx2="dk2" accent1="accent1" accent2="accent2" accent3="accent3" accent4="accent4" accent5="accent5" accent6="accent6" hlink="hlink" folHlink="folHlink"/>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Return on Capital Employed</a:t>
            </a: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barChart>
        <c:barDir val="col"/>
        <c:grouping val="clustered"/>
        <c:varyColors val="0"/>
        <c:ser>
          <c:idx val="0"/>
          <c:order val="0"/>
          <c:tx>
            <c:strRef>
              <c:f>'[Tables for Results.xlsx]Return on Capital Employed'!$B$2</c:f>
              <c:strCache>
                <c:ptCount val="1"/>
                <c:pt idx="0">
                  <c:v>2019</c:v>
                </c:pt>
              </c:strCache>
            </c:strRef>
          </c:tx>
          <c:spPr>
            <a:solidFill>
              <a:schemeClr val="accent1"/>
            </a:solidFill>
            <a:ln>
              <a:noFill/>
            </a:ln>
            <a:effectLst/>
          </c:spPr>
          <c:invertIfNegative val="0"/>
          <c:cat>
            <c:strRef>
              <c:f>'[Tables for Results.xlsx]Return on Capital Employed'!$A$51:$A$61</c:f>
              <c:strCache>
                <c:ptCount val="11"/>
                <c:pt idx="0">
                  <c:v>Financials</c:v>
                </c:pt>
                <c:pt idx="1">
                  <c:v>Consumer Discretionary</c:v>
                </c:pt>
                <c:pt idx="2">
                  <c:v>Telecommunications</c:v>
                </c:pt>
                <c:pt idx="3">
                  <c:v>Technology</c:v>
                </c:pt>
                <c:pt idx="4">
                  <c:v>Real Estate</c:v>
                </c:pt>
                <c:pt idx="5">
                  <c:v>Industrials</c:v>
                </c:pt>
                <c:pt idx="6">
                  <c:v>Utilities</c:v>
                </c:pt>
                <c:pt idx="7">
                  <c:v>Basic Materials</c:v>
                </c:pt>
                <c:pt idx="8">
                  <c:v>Consumer Staples</c:v>
                </c:pt>
                <c:pt idx="9">
                  <c:v>Energy</c:v>
                </c:pt>
                <c:pt idx="10">
                  <c:v>Health Care</c:v>
                </c:pt>
              </c:strCache>
            </c:strRef>
          </c:cat>
          <c:val>
            <c:numRef>
              <c:f>'[Tables for Results.xlsx]Return on Capital Employed'!$B$51:$B$61</c:f>
              <c:numCache>
                <c:formatCode>0.0%</c:formatCode>
                <c:ptCount val="11"/>
                <c:pt idx="0">
                  <c:v>0.1062550219495392</c:v>
                </c:pt>
                <c:pt idx="1">
                  <c:v>0.13368517803678442</c:v>
                </c:pt>
                <c:pt idx="2">
                  <c:v>9.6019378672980285E-2</c:v>
                </c:pt>
                <c:pt idx="3">
                  <c:v>0.24641835583131713</c:v>
                </c:pt>
                <c:pt idx="4">
                  <c:v>3.8136021582553033E-2</c:v>
                </c:pt>
                <c:pt idx="5">
                  <c:v>0.13410793377188873</c:v>
                </c:pt>
                <c:pt idx="6">
                  <c:v>-4.2099751331843155E-3</c:v>
                </c:pt>
                <c:pt idx="7">
                  <c:v>0.12907452236822875</c:v>
                </c:pt>
                <c:pt idx="8">
                  <c:v>0.10890405884933586</c:v>
                </c:pt>
                <c:pt idx="9">
                  <c:v>7.28929206484525E-2</c:v>
                </c:pt>
                <c:pt idx="10">
                  <c:v>2.723927312495994E-2</c:v>
                </c:pt>
              </c:numCache>
            </c:numRef>
          </c:val>
          <c:extLst>
            <c:ext xmlns:c16="http://schemas.microsoft.com/office/drawing/2014/chart" uri="{C3380CC4-5D6E-409C-BE32-E72D297353CC}">
              <c16:uniqueId val="{00000000-CF11-E748-8A4C-1BFB38773E8A}"/>
            </c:ext>
          </c:extLst>
        </c:ser>
        <c:ser>
          <c:idx val="1"/>
          <c:order val="1"/>
          <c:tx>
            <c:strRef>
              <c:f>'[Tables for Results.xlsx]Return on Capital Employed'!$C$2</c:f>
              <c:strCache>
                <c:ptCount val="1"/>
                <c:pt idx="0">
                  <c:v>2020</c:v>
                </c:pt>
              </c:strCache>
            </c:strRef>
          </c:tx>
          <c:spPr>
            <a:solidFill>
              <a:schemeClr val="accent2"/>
            </a:solidFill>
            <a:ln>
              <a:noFill/>
            </a:ln>
            <a:effectLst/>
          </c:spPr>
          <c:invertIfNegative val="0"/>
          <c:cat>
            <c:strRef>
              <c:f>'[Tables for Results.xlsx]Return on Capital Employed'!$A$51:$A$61</c:f>
              <c:strCache>
                <c:ptCount val="11"/>
                <c:pt idx="0">
                  <c:v>Financials</c:v>
                </c:pt>
                <c:pt idx="1">
                  <c:v>Consumer Discretionary</c:v>
                </c:pt>
                <c:pt idx="2">
                  <c:v>Telecommunications</c:v>
                </c:pt>
                <c:pt idx="3">
                  <c:v>Technology</c:v>
                </c:pt>
                <c:pt idx="4">
                  <c:v>Real Estate</c:v>
                </c:pt>
                <c:pt idx="5">
                  <c:v>Industrials</c:v>
                </c:pt>
                <c:pt idx="6">
                  <c:v>Utilities</c:v>
                </c:pt>
                <c:pt idx="7">
                  <c:v>Basic Materials</c:v>
                </c:pt>
                <c:pt idx="8">
                  <c:v>Consumer Staples</c:v>
                </c:pt>
                <c:pt idx="9">
                  <c:v>Energy</c:v>
                </c:pt>
                <c:pt idx="10">
                  <c:v>Health Care</c:v>
                </c:pt>
              </c:strCache>
            </c:strRef>
          </c:cat>
          <c:val>
            <c:numRef>
              <c:f>'[Tables for Results.xlsx]Return on Capital Employed'!$C$51:$C$61</c:f>
              <c:numCache>
                <c:formatCode>0.0%</c:formatCode>
                <c:ptCount val="11"/>
                <c:pt idx="0">
                  <c:v>9.1550379726822506E-2</c:v>
                </c:pt>
                <c:pt idx="1">
                  <c:v>1.0450211634444461E-2</c:v>
                </c:pt>
                <c:pt idx="2">
                  <c:v>0.11963660653706848</c:v>
                </c:pt>
                <c:pt idx="3">
                  <c:v>0.10365194172556184</c:v>
                </c:pt>
                <c:pt idx="4">
                  <c:v>2.5705248843040005E-3</c:v>
                </c:pt>
                <c:pt idx="5">
                  <c:v>6.3282441014174198E-2</c:v>
                </c:pt>
                <c:pt idx="6">
                  <c:v>-8.7015433537108791E-3</c:v>
                </c:pt>
                <c:pt idx="7">
                  <c:v>0.11564783111293657</c:v>
                </c:pt>
                <c:pt idx="8">
                  <c:v>2.7911660146289482E-2</c:v>
                </c:pt>
                <c:pt idx="9">
                  <c:v>-2.8899576464960487E-2</c:v>
                </c:pt>
                <c:pt idx="10">
                  <c:v>-2.9663238632256773E-2</c:v>
                </c:pt>
              </c:numCache>
            </c:numRef>
          </c:val>
          <c:extLst>
            <c:ext xmlns:c16="http://schemas.microsoft.com/office/drawing/2014/chart" uri="{C3380CC4-5D6E-409C-BE32-E72D297353CC}">
              <c16:uniqueId val="{00000001-CF11-E748-8A4C-1BFB38773E8A}"/>
            </c:ext>
          </c:extLst>
        </c:ser>
        <c:ser>
          <c:idx val="2"/>
          <c:order val="2"/>
          <c:tx>
            <c:strRef>
              <c:f>'[Tables for Results.xlsx]Return on Capital Employed'!$D$2</c:f>
              <c:strCache>
                <c:ptCount val="1"/>
                <c:pt idx="0">
                  <c:v>2021</c:v>
                </c:pt>
              </c:strCache>
            </c:strRef>
          </c:tx>
          <c:spPr>
            <a:solidFill>
              <a:schemeClr val="accent3"/>
            </a:solidFill>
            <a:ln>
              <a:noFill/>
            </a:ln>
            <a:effectLst/>
          </c:spPr>
          <c:invertIfNegative val="0"/>
          <c:cat>
            <c:strRef>
              <c:f>'[Tables for Results.xlsx]Return on Capital Employed'!$A$51:$A$61</c:f>
              <c:strCache>
                <c:ptCount val="11"/>
                <c:pt idx="0">
                  <c:v>Financials</c:v>
                </c:pt>
                <c:pt idx="1">
                  <c:v>Consumer Discretionary</c:v>
                </c:pt>
                <c:pt idx="2">
                  <c:v>Telecommunications</c:v>
                </c:pt>
                <c:pt idx="3">
                  <c:v>Technology</c:v>
                </c:pt>
                <c:pt idx="4">
                  <c:v>Real Estate</c:v>
                </c:pt>
                <c:pt idx="5">
                  <c:v>Industrials</c:v>
                </c:pt>
                <c:pt idx="6">
                  <c:v>Utilities</c:v>
                </c:pt>
                <c:pt idx="7">
                  <c:v>Basic Materials</c:v>
                </c:pt>
                <c:pt idx="8">
                  <c:v>Consumer Staples</c:v>
                </c:pt>
                <c:pt idx="9">
                  <c:v>Energy</c:v>
                </c:pt>
                <c:pt idx="10">
                  <c:v>Health Care</c:v>
                </c:pt>
              </c:strCache>
            </c:strRef>
          </c:cat>
          <c:val>
            <c:numRef>
              <c:f>'[Tables for Results.xlsx]Return on Capital Employed'!$D$51:$D$61</c:f>
              <c:numCache>
                <c:formatCode>0.0%</c:formatCode>
                <c:ptCount val="11"/>
                <c:pt idx="0">
                  <c:v>0.16788609745788816</c:v>
                </c:pt>
                <c:pt idx="1">
                  <c:v>7.4478747668398057E-2</c:v>
                </c:pt>
                <c:pt idx="2">
                  <c:v>0.11913006045339899</c:v>
                </c:pt>
                <c:pt idx="3">
                  <c:v>0.15719244079196398</c:v>
                </c:pt>
                <c:pt idx="4">
                  <c:v>7.5775416421524966E-2</c:v>
                </c:pt>
                <c:pt idx="5">
                  <c:v>-8.098871932473875E-2</c:v>
                </c:pt>
                <c:pt idx="6">
                  <c:v>7.9848196735021956E-2</c:v>
                </c:pt>
                <c:pt idx="7">
                  <c:v>0.15802127998224952</c:v>
                </c:pt>
                <c:pt idx="8">
                  <c:v>0.11904904443823539</c:v>
                </c:pt>
                <c:pt idx="9">
                  <c:v>-7.6835816516409638E-2</c:v>
                </c:pt>
                <c:pt idx="10">
                  <c:v>0.10107731211102125</c:v>
                </c:pt>
              </c:numCache>
            </c:numRef>
          </c:val>
          <c:extLst>
            <c:ext xmlns:c16="http://schemas.microsoft.com/office/drawing/2014/chart" uri="{C3380CC4-5D6E-409C-BE32-E72D297353CC}">
              <c16:uniqueId val="{00000002-CF11-E748-8A4C-1BFB38773E8A}"/>
            </c:ext>
          </c:extLst>
        </c:ser>
        <c:dLbls>
          <c:showLegendKey val="0"/>
          <c:showVal val="0"/>
          <c:showCatName val="0"/>
          <c:showSerName val="0"/>
          <c:showPercent val="0"/>
          <c:showBubbleSize val="0"/>
        </c:dLbls>
        <c:gapWidth val="219"/>
        <c:overlap val="-27"/>
        <c:axId val="217881712"/>
        <c:axId val="217756480"/>
      </c:barChart>
      <c:catAx>
        <c:axId val="217881712"/>
        <c:scaling>
          <c:orientation val="minMax"/>
        </c:scaling>
        <c:delete val="0"/>
        <c:axPos val="b"/>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217756480"/>
        <c:crosses val="autoZero"/>
        <c:auto val="1"/>
        <c:lblAlgn val="ctr"/>
        <c:lblOffset val="100"/>
        <c:noMultiLvlLbl val="0"/>
      </c:catAx>
      <c:valAx>
        <c:axId val="217756480"/>
        <c:scaling>
          <c:orientation val="minMax"/>
        </c:scaling>
        <c:delete val="0"/>
        <c:axPos val="l"/>
        <c:majorGridlines>
          <c:spPr>
            <a:ln w="9525" cap="flat" cmpd="sng" algn="ctr">
              <a:solidFill>
                <a:schemeClr val="tx1">
                  <a:lumMod val="15000"/>
                  <a:lumOff val="85000"/>
                </a:schemeClr>
              </a:solidFill>
              <a:round/>
            </a:ln>
            <a:effectLst/>
          </c:spPr>
        </c:majorGridlines>
        <c:numFmt formatCode="0.0%"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217881712"/>
        <c:crosses val="autoZero"/>
        <c:crossBetween val="between"/>
      </c:valAx>
      <c:dTable>
        <c:showHorzBorder val="1"/>
        <c:showVertBorder val="1"/>
        <c:showOutline val="1"/>
        <c:showKeys val="1"/>
        <c:spPr>
          <a:noFill/>
          <a:ln w="9525" cap="flat" cmpd="sng" algn="ctr">
            <a:solidFill>
              <a:schemeClr val="tx1">
                <a:lumMod val="15000"/>
                <a:lumOff val="85000"/>
              </a:schemeClr>
            </a:solidFill>
            <a:round/>
          </a:ln>
          <a:effectLst/>
        </c:spPr>
        <c:txPr>
          <a:bodyPr rot="0" spcFirstLastPara="1" vertOverflow="ellipsis" vert="horz" wrap="square" anchor="ctr" anchorCtr="1"/>
          <a:lstStyle/>
          <a:p>
            <a:pPr rtl="0">
              <a:defRPr sz="700" b="0" i="0" u="none" strike="noStrike" kern="1200" baseline="0">
                <a:solidFill>
                  <a:schemeClr val="tx1">
                    <a:lumMod val="65000"/>
                    <a:lumOff val="35000"/>
                  </a:schemeClr>
                </a:solidFill>
                <a:latin typeface="+mn-lt"/>
                <a:ea typeface="+mn-ea"/>
                <a:cs typeface="+mn-cs"/>
              </a:defRPr>
            </a:pPr>
            <a:endParaRPr lang="en-US"/>
          </a:p>
        </c:txPr>
      </c:dTable>
      <c:spPr>
        <a:noFill/>
        <a:ln>
          <a:noFill/>
        </a:ln>
        <a:effectLst/>
      </c:spPr>
    </c:plotArea>
    <c:plotVisOnly val="1"/>
    <c:dispBlanksAs val="gap"/>
    <c:showDLblsOverMax val="0"/>
  </c:chart>
  <c:spPr>
    <a:solidFill>
      <a:schemeClr val="bg1"/>
    </a:solidFill>
    <a:ln w="9525" cap="flat" cmpd="sng" algn="ctr">
      <a:noFill/>
      <a:round/>
    </a:ln>
    <a:effectLst/>
  </c:spPr>
  <c:txPr>
    <a:bodyPr/>
    <a:lstStyle/>
    <a:p>
      <a:pPr>
        <a:defRPr/>
      </a:pPr>
      <a:endParaRPr lang="en-US"/>
    </a:p>
  </c:txPr>
  <c:externalData r:id="rId4">
    <c:autoUpdate val="0"/>
  </c:externalData>
</c:chartSpace>
</file>

<file path=word/charts/chart7.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lrMapOvr bg1="lt1" tx1="dk1" bg2="lt2" tx2="dk2" accent1="accent1" accent2="accent2" accent3="accent3" accent4="accent4" accent5="accent5" accent6="accent6" hlink="hlink" folHlink="folHlink"/>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Asset Turnover</a:t>
            </a: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barChart>
        <c:barDir val="col"/>
        <c:grouping val="clustered"/>
        <c:varyColors val="0"/>
        <c:ser>
          <c:idx val="0"/>
          <c:order val="0"/>
          <c:tx>
            <c:strRef>
              <c:f>'[Tables for Results.xlsx]Asset Turnover'!$B$2</c:f>
              <c:strCache>
                <c:ptCount val="1"/>
                <c:pt idx="0">
                  <c:v>2019</c:v>
                </c:pt>
              </c:strCache>
            </c:strRef>
          </c:tx>
          <c:spPr>
            <a:solidFill>
              <a:schemeClr val="accent1"/>
            </a:solidFill>
            <a:ln>
              <a:noFill/>
            </a:ln>
            <a:effectLst/>
          </c:spPr>
          <c:invertIfNegative val="0"/>
          <c:cat>
            <c:strRef>
              <c:f>'[Tables for Results.xlsx]Asset Turnover'!$A$51:$A$61</c:f>
              <c:strCache>
                <c:ptCount val="11"/>
                <c:pt idx="0">
                  <c:v>Financials</c:v>
                </c:pt>
                <c:pt idx="1">
                  <c:v>Consumer Discretionary</c:v>
                </c:pt>
                <c:pt idx="2">
                  <c:v>Telecommunications</c:v>
                </c:pt>
                <c:pt idx="3">
                  <c:v>Technology</c:v>
                </c:pt>
                <c:pt idx="4">
                  <c:v>Real Estate</c:v>
                </c:pt>
                <c:pt idx="5">
                  <c:v>Industrials</c:v>
                </c:pt>
                <c:pt idx="6">
                  <c:v>Utilities</c:v>
                </c:pt>
                <c:pt idx="7">
                  <c:v>Basic Materials</c:v>
                </c:pt>
                <c:pt idx="8">
                  <c:v>Consumer Staples</c:v>
                </c:pt>
                <c:pt idx="9">
                  <c:v>Energy</c:v>
                </c:pt>
                <c:pt idx="10">
                  <c:v>Health Care</c:v>
                </c:pt>
              </c:strCache>
            </c:strRef>
          </c:cat>
          <c:val>
            <c:numRef>
              <c:f>'[Tables for Results.xlsx]Asset Turnover'!$B$51:$B$61</c:f>
              <c:numCache>
                <c:formatCode>0.00</c:formatCode>
                <c:ptCount val="11"/>
                <c:pt idx="0">
                  <c:v>0.16338790484837498</c:v>
                </c:pt>
                <c:pt idx="1">
                  <c:v>1.2461301019830417</c:v>
                </c:pt>
                <c:pt idx="2">
                  <c:v>0.57527414469490568</c:v>
                </c:pt>
                <c:pt idx="3">
                  <c:v>1.1851554123532015</c:v>
                </c:pt>
                <c:pt idx="4">
                  <c:v>0.1412297502249901</c:v>
                </c:pt>
                <c:pt idx="5">
                  <c:v>1.0959440795489455</c:v>
                </c:pt>
                <c:pt idx="6">
                  <c:v>0.82728643784624756</c:v>
                </c:pt>
                <c:pt idx="7">
                  <c:v>0.69943086484910766</c:v>
                </c:pt>
                <c:pt idx="8">
                  <c:v>1.2561159042632186</c:v>
                </c:pt>
                <c:pt idx="9">
                  <c:v>0.30211638587584311</c:v>
                </c:pt>
                <c:pt idx="10">
                  <c:v>0.50481328252609237</c:v>
                </c:pt>
              </c:numCache>
            </c:numRef>
          </c:val>
          <c:extLst>
            <c:ext xmlns:c16="http://schemas.microsoft.com/office/drawing/2014/chart" uri="{C3380CC4-5D6E-409C-BE32-E72D297353CC}">
              <c16:uniqueId val="{00000000-6003-364A-B5F3-EB9B8713D693}"/>
            </c:ext>
          </c:extLst>
        </c:ser>
        <c:ser>
          <c:idx val="1"/>
          <c:order val="1"/>
          <c:tx>
            <c:strRef>
              <c:f>'[Tables for Results.xlsx]Asset Turnover'!$C$2</c:f>
              <c:strCache>
                <c:ptCount val="1"/>
                <c:pt idx="0">
                  <c:v>2020</c:v>
                </c:pt>
              </c:strCache>
            </c:strRef>
          </c:tx>
          <c:spPr>
            <a:solidFill>
              <a:schemeClr val="accent2"/>
            </a:solidFill>
            <a:ln>
              <a:noFill/>
            </a:ln>
            <a:effectLst/>
          </c:spPr>
          <c:invertIfNegative val="0"/>
          <c:cat>
            <c:strRef>
              <c:f>'[Tables for Results.xlsx]Asset Turnover'!$A$51:$A$61</c:f>
              <c:strCache>
                <c:ptCount val="11"/>
                <c:pt idx="0">
                  <c:v>Financials</c:v>
                </c:pt>
                <c:pt idx="1">
                  <c:v>Consumer Discretionary</c:v>
                </c:pt>
                <c:pt idx="2">
                  <c:v>Telecommunications</c:v>
                </c:pt>
                <c:pt idx="3">
                  <c:v>Technology</c:v>
                </c:pt>
                <c:pt idx="4">
                  <c:v>Real Estate</c:v>
                </c:pt>
                <c:pt idx="5">
                  <c:v>Industrials</c:v>
                </c:pt>
                <c:pt idx="6">
                  <c:v>Utilities</c:v>
                </c:pt>
                <c:pt idx="7">
                  <c:v>Basic Materials</c:v>
                </c:pt>
                <c:pt idx="8">
                  <c:v>Consumer Staples</c:v>
                </c:pt>
                <c:pt idx="9">
                  <c:v>Energy</c:v>
                </c:pt>
                <c:pt idx="10">
                  <c:v>Health Care</c:v>
                </c:pt>
              </c:strCache>
            </c:strRef>
          </c:cat>
          <c:val>
            <c:numRef>
              <c:f>'[Tables for Results.xlsx]Asset Turnover'!$C$51:$C$61</c:f>
              <c:numCache>
                <c:formatCode>0.00</c:formatCode>
                <c:ptCount val="11"/>
                <c:pt idx="0">
                  <c:v>0.15294058307908076</c:v>
                </c:pt>
                <c:pt idx="1">
                  <c:v>0.8170672840449994</c:v>
                </c:pt>
                <c:pt idx="2">
                  <c:v>0.5466744855971063</c:v>
                </c:pt>
                <c:pt idx="3">
                  <c:v>1.0219583930144462</c:v>
                </c:pt>
                <c:pt idx="4">
                  <c:v>0.12743365393112674</c:v>
                </c:pt>
                <c:pt idx="5">
                  <c:v>0.97789347520549297</c:v>
                </c:pt>
                <c:pt idx="6">
                  <c:v>0.64976904782360956</c:v>
                </c:pt>
                <c:pt idx="7">
                  <c:v>0.62747467591268058</c:v>
                </c:pt>
                <c:pt idx="8">
                  <c:v>1.1161946332263171</c:v>
                </c:pt>
                <c:pt idx="9">
                  <c:v>0.26617758811519204</c:v>
                </c:pt>
                <c:pt idx="10">
                  <c:v>0.49485856672596978</c:v>
                </c:pt>
              </c:numCache>
            </c:numRef>
          </c:val>
          <c:extLst>
            <c:ext xmlns:c16="http://schemas.microsoft.com/office/drawing/2014/chart" uri="{C3380CC4-5D6E-409C-BE32-E72D297353CC}">
              <c16:uniqueId val="{00000001-6003-364A-B5F3-EB9B8713D693}"/>
            </c:ext>
          </c:extLst>
        </c:ser>
        <c:ser>
          <c:idx val="2"/>
          <c:order val="2"/>
          <c:tx>
            <c:strRef>
              <c:f>'[Tables for Results.xlsx]Asset Turnover'!$D$2</c:f>
              <c:strCache>
                <c:ptCount val="1"/>
                <c:pt idx="0">
                  <c:v>2021</c:v>
                </c:pt>
              </c:strCache>
            </c:strRef>
          </c:tx>
          <c:spPr>
            <a:solidFill>
              <a:schemeClr val="accent3"/>
            </a:solidFill>
            <a:ln>
              <a:noFill/>
            </a:ln>
            <a:effectLst/>
          </c:spPr>
          <c:invertIfNegative val="0"/>
          <c:cat>
            <c:strRef>
              <c:f>'[Tables for Results.xlsx]Asset Turnover'!$A$51:$A$61</c:f>
              <c:strCache>
                <c:ptCount val="11"/>
                <c:pt idx="0">
                  <c:v>Financials</c:v>
                </c:pt>
                <c:pt idx="1">
                  <c:v>Consumer Discretionary</c:v>
                </c:pt>
                <c:pt idx="2">
                  <c:v>Telecommunications</c:v>
                </c:pt>
                <c:pt idx="3">
                  <c:v>Technology</c:v>
                </c:pt>
                <c:pt idx="4">
                  <c:v>Real Estate</c:v>
                </c:pt>
                <c:pt idx="5">
                  <c:v>Industrials</c:v>
                </c:pt>
                <c:pt idx="6">
                  <c:v>Utilities</c:v>
                </c:pt>
                <c:pt idx="7">
                  <c:v>Basic Materials</c:v>
                </c:pt>
                <c:pt idx="8">
                  <c:v>Consumer Staples</c:v>
                </c:pt>
                <c:pt idx="9">
                  <c:v>Energy</c:v>
                </c:pt>
                <c:pt idx="10">
                  <c:v>Health Care</c:v>
                </c:pt>
              </c:strCache>
            </c:strRef>
          </c:cat>
          <c:val>
            <c:numRef>
              <c:f>'[Tables for Results.xlsx]Asset Turnover'!$D$51:$D$61</c:f>
              <c:numCache>
                <c:formatCode>0.00</c:formatCode>
                <c:ptCount val="11"/>
                <c:pt idx="0">
                  <c:v>0.21663249302703599</c:v>
                </c:pt>
                <c:pt idx="1">
                  <c:v>0.85758941923279763</c:v>
                </c:pt>
                <c:pt idx="2">
                  <c:v>0.53270690561688827</c:v>
                </c:pt>
                <c:pt idx="3">
                  <c:v>0.9753605291842401</c:v>
                </c:pt>
                <c:pt idx="4">
                  <c:v>0.13410325871240905</c:v>
                </c:pt>
                <c:pt idx="5">
                  <c:v>1.0205788782976768</c:v>
                </c:pt>
                <c:pt idx="6">
                  <c:v>0.58847108217681965</c:v>
                </c:pt>
                <c:pt idx="7">
                  <c:v>0.68970685386188113</c:v>
                </c:pt>
                <c:pt idx="8">
                  <c:v>1.3386119561330416</c:v>
                </c:pt>
                <c:pt idx="9">
                  <c:v>0.2697273529514943</c:v>
                </c:pt>
                <c:pt idx="10">
                  <c:v>0.55155252375227282</c:v>
                </c:pt>
              </c:numCache>
            </c:numRef>
          </c:val>
          <c:extLst>
            <c:ext xmlns:c16="http://schemas.microsoft.com/office/drawing/2014/chart" uri="{C3380CC4-5D6E-409C-BE32-E72D297353CC}">
              <c16:uniqueId val="{00000002-6003-364A-B5F3-EB9B8713D693}"/>
            </c:ext>
          </c:extLst>
        </c:ser>
        <c:dLbls>
          <c:showLegendKey val="0"/>
          <c:showVal val="0"/>
          <c:showCatName val="0"/>
          <c:showSerName val="0"/>
          <c:showPercent val="0"/>
          <c:showBubbleSize val="0"/>
        </c:dLbls>
        <c:gapWidth val="219"/>
        <c:overlap val="-27"/>
        <c:axId val="217881712"/>
        <c:axId val="217756480"/>
      </c:barChart>
      <c:catAx>
        <c:axId val="217881712"/>
        <c:scaling>
          <c:orientation val="minMax"/>
        </c:scaling>
        <c:delete val="0"/>
        <c:axPos val="b"/>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217756480"/>
        <c:crosses val="autoZero"/>
        <c:auto val="1"/>
        <c:lblAlgn val="ctr"/>
        <c:lblOffset val="100"/>
        <c:noMultiLvlLbl val="0"/>
      </c:catAx>
      <c:valAx>
        <c:axId val="217756480"/>
        <c:scaling>
          <c:orientation val="minMax"/>
        </c:scaling>
        <c:delete val="0"/>
        <c:axPos val="l"/>
        <c:majorGridlines>
          <c:spPr>
            <a:ln w="9525" cap="flat" cmpd="sng" algn="ctr">
              <a:solidFill>
                <a:schemeClr val="tx1">
                  <a:lumMod val="15000"/>
                  <a:lumOff val="85000"/>
                </a:schemeClr>
              </a:solidFill>
              <a:round/>
            </a:ln>
            <a:effectLst/>
          </c:spPr>
        </c:majorGridlines>
        <c:numFmt formatCode="0.00"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217881712"/>
        <c:crosses val="autoZero"/>
        <c:crossBetween val="between"/>
      </c:valAx>
      <c:dTable>
        <c:showHorzBorder val="1"/>
        <c:showVertBorder val="1"/>
        <c:showOutline val="1"/>
        <c:showKeys val="1"/>
        <c:spPr>
          <a:noFill/>
          <a:ln w="9525" cap="flat" cmpd="sng" algn="ctr">
            <a:solidFill>
              <a:schemeClr val="tx1">
                <a:lumMod val="15000"/>
                <a:lumOff val="85000"/>
              </a:schemeClr>
            </a:solidFill>
            <a:round/>
          </a:ln>
          <a:effectLst/>
        </c:spPr>
        <c:txPr>
          <a:bodyPr rot="0" spcFirstLastPara="1" vertOverflow="ellipsis" vert="horz" wrap="square" anchor="ctr" anchorCtr="1"/>
          <a:lstStyle/>
          <a:p>
            <a:pPr rtl="0">
              <a:defRPr sz="700" b="0" i="0" u="none" strike="noStrike" kern="1200" baseline="0">
                <a:solidFill>
                  <a:schemeClr val="tx1">
                    <a:lumMod val="65000"/>
                    <a:lumOff val="35000"/>
                  </a:schemeClr>
                </a:solidFill>
                <a:latin typeface="+mn-lt"/>
                <a:ea typeface="+mn-ea"/>
                <a:cs typeface="+mn-cs"/>
              </a:defRPr>
            </a:pPr>
            <a:endParaRPr lang="en-US"/>
          </a:p>
        </c:txPr>
      </c:dTable>
      <c:spPr>
        <a:noFill/>
        <a:ln>
          <a:noFill/>
        </a:ln>
        <a:effectLst/>
      </c:spPr>
    </c:plotArea>
    <c:plotVisOnly val="1"/>
    <c:dispBlanksAs val="gap"/>
    <c:showDLblsOverMax val="0"/>
  </c:chart>
  <c:spPr>
    <a:solidFill>
      <a:schemeClr val="bg1"/>
    </a:solidFill>
    <a:ln w="9525" cap="flat" cmpd="sng" algn="ctr">
      <a:noFill/>
      <a:round/>
    </a:ln>
    <a:effectLst/>
  </c:spPr>
  <c:txPr>
    <a:bodyPr/>
    <a:lstStyle/>
    <a:p>
      <a:pPr>
        <a:defRPr/>
      </a:pPr>
      <a:endParaRPr lang="en-US"/>
    </a:p>
  </c:txPr>
  <c:externalData r:id="rId4">
    <c:autoUpdate val="0"/>
  </c:externalData>
</c:chartSpace>
</file>

<file path=word/charts/chart8.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lrMapOvr bg1="lt1" tx1="dk1" bg2="lt2" tx2="dk2" accent1="accent1" accent2="accent2" accent3="accent3" accent4="accent4" accent5="accent5" accent6="accent6" hlink="hlink" folHlink="folHlink"/>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Return on Assets</a:t>
            </a: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barChart>
        <c:barDir val="col"/>
        <c:grouping val="clustered"/>
        <c:varyColors val="0"/>
        <c:ser>
          <c:idx val="0"/>
          <c:order val="0"/>
          <c:tx>
            <c:strRef>
              <c:f>'[Tables for Results.xlsx]Return on Assets'!$B$2</c:f>
              <c:strCache>
                <c:ptCount val="1"/>
                <c:pt idx="0">
                  <c:v>2019</c:v>
                </c:pt>
              </c:strCache>
            </c:strRef>
          </c:tx>
          <c:spPr>
            <a:solidFill>
              <a:schemeClr val="accent1"/>
            </a:solidFill>
            <a:ln>
              <a:noFill/>
            </a:ln>
            <a:effectLst/>
          </c:spPr>
          <c:invertIfNegative val="0"/>
          <c:cat>
            <c:strRef>
              <c:f>'[Tables for Results.xlsx]Return on Assets'!$A$51:$A$61</c:f>
              <c:strCache>
                <c:ptCount val="11"/>
                <c:pt idx="0">
                  <c:v>Financials</c:v>
                </c:pt>
                <c:pt idx="1">
                  <c:v>Consumer Discretionary</c:v>
                </c:pt>
                <c:pt idx="2">
                  <c:v>Telecommunications</c:v>
                </c:pt>
                <c:pt idx="3">
                  <c:v>Technology</c:v>
                </c:pt>
                <c:pt idx="4">
                  <c:v>Real Estate</c:v>
                </c:pt>
                <c:pt idx="5">
                  <c:v>Industrials</c:v>
                </c:pt>
                <c:pt idx="6">
                  <c:v>Utilities</c:v>
                </c:pt>
                <c:pt idx="7">
                  <c:v>Basic Materials</c:v>
                </c:pt>
                <c:pt idx="8">
                  <c:v>Consumer Staples</c:v>
                </c:pt>
                <c:pt idx="9">
                  <c:v>Energy</c:v>
                </c:pt>
                <c:pt idx="10">
                  <c:v>Health Care</c:v>
                </c:pt>
              </c:strCache>
            </c:strRef>
          </c:cat>
          <c:val>
            <c:numRef>
              <c:f>'[Tables for Results.xlsx]Return on Assets'!$B$51:$B$61</c:f>
              <c:numCache>
                <c:formatCode>0.0%</c:formatCode>
                <c:ptCount val="11"/>
                <c:pt idx="0">
                  <c:v>8.3540185023353003E-2</c:v>
                </c:pt>
                <c:pt idx="1">
                  <c:v>8.6831857213405653E-2</c:v>
                </c:pt>
                <c:pt idx="2">
                  <c:v>8.5341189495613395E-3</c:v>
                </c:pt>
                <c:pt idx="3">
                  <c:v>5.958338510437617E-2</c:v>
                </c:pt>
                <c:pt idx="4">
                  <c:v>1.7707804216510335E-2</c:v>
                </c:pt>
                <c:pt idx="5">
                  <c:v>6.8316389399597513E-2</c:v>
                </c:pt>
                <c:pt idx="6">
                  <c:v>-1.8906847415490008E-2</c:v>
                </c:pt>
                <c:pt idx="7">
                  <c:v>7.6043828158159382E-2</c:v>
                </c:pt>
                <c:pt idx="8">
                  <c:v>5.370188448162868E-2</c:v>
                </c:pt>
                <c:pt idx="9">
                  <c:v>1.9769702346189071E-2</c:v>
                </c:pt>
                <c:pt idx="10">
                  <c:v>-7.1175443563817817E-3</c:v>
                </c:pt>
              </c:numCache>
            </c:numRef>
          </c:val>
          <c:extLst>
            <c:ext xmlns:c16="http://schemas.microsoft.com/office/drawing/2014/chart" uri="{C3380CC4-5D6E-409C-BE32-E72D297353CC}">
              <c16:uniqueId val="{00000000-8216-1D46-850F-2C1FBEA4B560}"/>
            </c:ext>
          </c:extLst>
        </c:ser>
        <c:ser>
          <c:idx val="1"/>
          <c:order val="1"/>
          <c:tx>
            <c:strRef>
              <c:f>'[Tables for Results.xlsx]Return on Assets'!$C$2</c:f>
              <c:strCache>
                <c:ptCount val="1"/>
                <c:pt idx="0">
                  <c:v>2020</c:v>
                </c:pt>
              </c:strCache>
            </c:strRef>
          </c:tx>
          <c:spPr>
            <a:solidFill>
              <a:schemeClr val="accent2"/>
            </a:solidFill>
            <a:ln>
              <a:noFill/>
            </a:ln>
            <a:effectLst/>
          </c:spPr>
          <c:invertIfNegative val="0"/>
          <c:cat>
            <c:strRef>
              <c:f>'[Tables for Results.xlsx]Return on Assets'!$A$51:$A$61</c:f>
              <c:strCache>
                <c:ptCount val="11"/>
                <c:pt idx="0">
                  <c:v>Financials</c:v>
                </c:pt>
                <c:pt idx="1">
                  <c:v>Consumer Discretionary</c:v>
                </c:pt>
                <c:pt idx="2">
                  <c:v>Telecommunications</c:v>
                </c:pt>
                <c:pt idx="3">
                  <c:v>Technology</c:v>
                </c:pt>
                <c:pt idx="4">
                  <c:v>Real Estate</c:v>
                </c:pt>
                <c:pt idx="5">
                  <c:v>Industrials</c:v>
                </c:pt>
                <c:pt idx="6">
                  <c:v>Utilities</c:v>
                </c:pt>
                <c:pt idx="7">
                  <c:v>Basic Materials</c:v>
                </c:pt>
                <c:pt idx="8">
                  <c:v>Consumer Staples</c:v>
                </c:pt>
                <c:pt idx="9">
                  <c:v>Energy</c:v>
                </c:pt>
                <c:pt idx="10">
                  <c:v>Health Care</c:v>
                </c:pt>
              </c:strCache>
            </c:strRef>
          </c:cat>
          <c:val>
            <c:numRef>
              <c:f>'[Tables for Results.xlsx]Return on Assets'!$C$51:$C$61</c:f>
              <c:numCache>
                <c:formatCode>0.0%</c:formatCode>
                <c:ptCount val="11"/>
                <c:pt idx="0">
                  <c:v>7.4913279803468152E-2</c:v>
                </c:pt>
                <c:pt idx="1">
                  <c:v>-2.0126843427466793E-2</c:v>
                </c:pt>
                <c:pt idx="2">
                  <c:v>5.2115376774441544E-2</c:v>
                </c:pt>
                <c:pt idx="3">
                  <c:v>5.5457162971447272E-3</c:v>
                </c:pt>
                <c:pt idx="4">
                  <c:v>-7.9630741159296275E-3</c:v>
                </c:pt>
                <c:pt idx="5">
                  <c:v>2.3810256791827033E-2</c:v>
                </c:pt>
                <c:pt idx="6">
                  <c:v>-1.3329494064199547E-2</c:v>
                </c:pt>
                <c:pt idx="7">
                  <c:v>7.0831192266561399E-2</c:v>
                </c:pt>
                <c:pt idx="8">
                  <c:v>1.7525208400487428E-3</c:v>
                </c:pt>
                <c:pt idx="9">
                  <c:v>-3.1944348508595524E-2</c:v>
                </c:pt>
                <c:pt idx="10">
                  <c:v>-3.2959774134682054E-2</c:v>
                </c:pt>
              </c:numCache>
            </c:numRef>
          </c:val>
          <c:extLst>
            <c:ext xmlns:c16="http://schemas.microsoft.com/office/drawing/2014/chart" uri="{C3380CC4-5D6E-409C-BE32-E72D297353CC}">
              <c16:uniqueId val="{00000001-8216-1D46-850F-2C1FBEA4B560}"/>
            </c:ext>
          </c:extLst>
        </c:ser>
        <c:ser>
          <c:idx val="2"/>
          <c:order val="2"/>
          <c:tx>
            <c:strRef>
              <c:f>'[Tables for Results.xlsx]Return on Assets'!$D$2</c:f>
              <c:strCache>
                <c:ptCount val="1"/>
                <c:pt idx="0">
                  <c:v>2021</c:v>
                </c:pt>
              </c:strCache>
            </c:strRef>
          </c:tx>
          <c:spPr>
            <a:solidFill>
              <a:schemeClr val="accent3"/>
            </a:solidFill>
            <a:ln>
              <a:noFill/>
            </a:ln>
            <a:effectLst/>
          </c:spPr>
          <c:invertIfNegative val="0"/>
          <c:cat>
            <c:strRef>
              <c:f>'[Tables for Results.xlsx]Return on Assets'!$A$51:$A$61</c:f>
              <c:strCache>
                <c:ptCount val="11"/>
                <c:pt idx="0">
                  <c:v>Financials</c:v>
                </c:pt>
                <c:pt idx="1">
                  <c:v>Consumer Discretionary</c:v>
                </c:pt>
                <c:pt idx="2">
                  <c:v>Telecommunications</c:v>
                </c:pt>
                <c:pt idx="3">
                  <c:v>Technology</c:v>
                </c:pt>
                <c:pt idx="4">
                  <c:v>Real Estate</c:v>
                </c:pt>
                <c:pt idx="5">
                  <c:v>Industrials</c:v>
                </c:pt>
                <c:pt idx="6">
                  <c:v>Utilities</c:v>
                </c:pt>
                <c:pt idx="7">
                  <c:v>Basic Materials</c:v>
                </c:pt>
                <c:pt idx="8">
                  <c:v>Consumer Staples</c:v>
                </c:pt>
                <c:pt idx="9">
                  <c:v>Energy</c:v>
                </c:pt>
                <c:pt idx="10">
                  <c:v>Health Care</c:v>
                </c:pt>
              </c:strCache>
            </c:strRef>
          </c:cat>
          <c:val>
            <c:numRef>
              <c:f>'[Tables for Results.xlsx]Return on Assets'!$D$51:$D$61</c:f>
              <c:numCache>
                <c:formatCode>0.0%</c:formatCode>
                <c:ptCount val="11"/>
                <c:pt idx="0">
                  <c:v>0.14068498289195622</c:v>
                </c:pt>
                <c:pt idx="1">
                  <c:v>2.3879030404590631E-2</c:v>
                </c:pt>
                <c:pt idx="2">
                  <c:v>2.4135590280383826E-2</c:v>
                </c:pt>
                <c:pt idx="3">
                  <c:v>6.8907120880780395E-2</c:v>
                </c:pt>
                <c:pt idx="4">
                  <c:v>6.8725196652376461E-2</c:v>
                </c:pt>
                <c:pt idx="5">
                  <c:v>6.2389088951949508E-2</c:v>
                </c:pt>
                <c:pt idx="6">
                  <c:v>2.3258362657177827E-2</c:v>
                </c:pt>
                <c:pt idx="7">
                  <c:v>9.9053026810057648E-2</c:v>
                </c:pt>
                <c:pt idx="8">
                  <c:v>4.1519008882323995E-2</c:v>
                </c:pt>
                <c:pt idx="9">
                  <c:v>6.5381674379687157E-2</c:v>
                </c:pt>
                <c:pt idx="10">
                  <c:v>5.5012464701576572E-2</c:v>
                </c:pt>
              </c:numCache>
            </c:numRef>
          </c:val>
          <c:extLst>
            <c:ext xmlns:c16="http://schemas.microsoft.com/office/drawing/2014/chart" uri="{C3380CC4-5D6E-409C-BE32-E72D297353CC}">
              <c16:uniqueId val="{00000002-8216-1D46-850F-2C1FBEA4B560}"/>
            </c:ext>
          </c:extLst>
        </c:ser>
        <c:dLbls>
          <c:showLegendKey val="0"/>
          <c:showVal val="0"/>
          <c:showCatName val="0"/>
          <c:showSerName val="0"/>
          <c:showPercent val="0"/>
          <c:showBubbleSize val="0"/>
        </c:dLbls>
        <c:gapWidth val="219"/>
        <c:overlap val="-27"/>
        <c:axId val="217881712"/>
        <c:axId val="217756480"/>
      </c:barChart>
      <c:catAx>
        <c:axId val="217881712"/>
        <c:scaling>
          <c:orientation val="minMax"/>
        </c:scaling>
        <c:delete val="0"/>
        <c:axPos val="b"/>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217756480"/>
        <c:crosses val="autoZero"/>
        <c:auto val="1"/>
        <c:lblAlgn val="ctr"/>
        <c:lblOffset val="100"/>
        <c:noMultiLvlLbl val="0"/>
      </c:catAx>
      <c:valAx>
        <c:axId val="217756480"/>
        <c:scaling>
          <c:orientation val="minMax"/>
        </c:scaling>
        <c:delete val="0"/>
        <c:axPos val="l"/>
        <c:majorGridlines>
          <c:spPr>
            <a:ln w="9525" cap="flat" cmpd="sng" algn="ctr">
              <a:solidFill>
                <a:schemeClr val="tx1">
                  <a:lumMod val="15000"/>
                  <a:lumOff val="85000"/>
                </a:schemeClr>
              </a:solidFill>
              <a:round/>
            </a:ln>
            <a:effectLst/>
          </c:spPr>
        </c:majorGridlines>
        <c:numFmt formatCode="0.0%"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217881712"/>
        <c:crosses val="autoZero"/>
        <c:crossBetween val="between"/>
      </c:valAx>
      <c:dTable>
        <c:showHorzBorder val="1"/>
        <c:showVertBorder val="1"/>
        <c:showOutline val="1"/>
        <c:showKeys val="1"/>
        <c:spPr>
          <a:noFill/>
          <a:ln w="9525" cap="flat" cmpd="sng" algn="ctr">
            <a:solidFill>
              <a:schemeClr val="tx1">
                <a:lumMod val="15000"/>
                <a:lumOff val="85000"/>
              </a:schemeClr>
            </a:solidFill>
            <a:round/>
          </a:ln>
          <a:effectLst/>
        </c:spPr>
        <c:txPr>
          <a:bodyPr rot="0" spcFirstLastPara="1" vertOverflow="ellipsis" vert="horz" wrap="square" anchor="ctr" anchorCtr="1"/>
          <a:lstStyle/>
          <a:p>
            <a:pPr rtl="0">
              <a:defRPr sz="700" b="0" i="0" u="none" strike="noStrike" kern="1200" baseline="0">
                <a:solidFill>
                  <a:schemeClr val="tx1">
                    <a:lumMod val="65000"/>
                    <a:lumOff val="35000"/>
                  </a:schemeClr>
                </a:solidFill>
                <a:latin typeface="+mn-lt"/>
                <a:ea typeface="+mn-ea"/>
                <a:cs typeface="+mn-cs"/>
              </a:defRPr>
            </a:pPr>
            <a:endParaRPr lang="en-US"/>
          </a:p>
        </c:txPr>
      </c:dTable>
      <c:spPr>
        <a:noFill/>
        <a:ln>
          <a:noFill/>
        </a:ln>
        <a:effectLst/>
      </c:spPr>
    </c:plotArea>
    <c:plotVisOnly val="1"/>
    <c:dispBlanksAs val="gap"/>
    <c:showDLblsOverMax val="0"/>
  </c:chart>
  <c:spPr>
    <a:solidFill>
      <a:schemeClr val="bg1"/>
    </a:solidFill>
    <a:ln w="9525" cap="flat" cmpd="sng" algn="ctr">
      <a:noFill/>
      <a:round/>
    </a:ln>
    <a:effectLst/>
  </c:spPr>
  <c:txPr>
    <a:bodyPr/>
    <a:lstStyle/>
    <a:p>
      <a:pPr>
        <a:defRPr/>
      </a:pPr>
      <a:endParaRPr lang="en-US"/>
    </a:p>
  </c:txPr>
  <c:externalData r:id="rId4">
    <c:autoUpdate val="0"/>
  </c:externalData>
</c:chartSpace>
</file>

<file path=word/charts/chart9.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lrMapOvr bg1="lt1" tx1="dk1" bg2="lt2" tx2="dk2" accent1="accent1" accent2="accent2" accent3="accent3" accent4="accent4" accent5="accent5" accent6="accent6" hlink="hlink" folHlink="folHlink"/>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Non-current Asset Productivity</a:t>
            </a: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barChart>
        <c:barDir val="col"/>
        <c:grouping val="clustered"/>
        <c:varyColors val="0"/>
        <c:ser>
          <c:idx val="0"/>
          <c:order val="0"/>
          <c:tx>
            <c:strRef>
              <c:f>'[Tables for Results.xlsx]Non-current Asset Productivity'!$B$2</c:f>
              <c:strCache>
                <c:ptCount val="1"/>
                <c:pt idx="0">
                  <c:v>2019</c:v>
                </c:pt>
              </c:strCache>
            </c:strRef>
          </c:tx>
          <c:spPr>
            <a:solidFill>
              <a:schemeClr val="accent1"/>
            </a:solidFill>
            <a:ln>
              <a:noFill/>
            </a:ln>
            <a:effectLst/>
          </c:spPr>
          <c:invertIfNegative val="0"/>
          <c:cat>
            <c:strRef>
              <c:f>'[Tables for Results.xlsx]Non-current Asset Productivity'!$A$51:$A$61</c:f>
              <c:strCache>
                <c:ptCount val="11"/>
                <c:pt idx="0">
                  <c:v>Financials</c:v>
                </c:pt>
                <c:pt idx="1">
                  <c:v>Consumer Discretionary</c:v>
                </c:pt>
                <c:pt idx="2">
                  <c:v>Telecommunications</c:v>
                </c:pt>
                <c:pt idx="3">
                  <c:v>Technology</c:v>
                </c:pt>
                <c:pt idx="4">
                  <c:v>Real Estate</c:v>
                </c:pt>
                <c:pt idx="5">
                  <c:v>Industrials</c:v>
                </c:pt>
                <c:pt idx="6">
                  <c:v>Utilities</c:v>
                </c:pt>
                <c:pt idx="7">
                  <c:v>Basic Materials</c:v>
                </c:pt>
                <c:pt idx="8">
                  <c:v>Consumer Staples</c:v>
                </c:pt>
                <c:pt idx="9">
                  <c:v>Energy</c:v>
                </c:pt>
                <c:pt idx="10">
                  <c:v>Health Care</c:v>
                </c:pt>
              </c:strCache>
            </c:strRef>
          </c:cat>
          <c:val>
            <c:numRef>
              <c:f>'[Tables for Results.xlsx]Non-current Asset Productivity'!$B$51:$B$61</c:f>
              <c:numCache>
                <c:formatCode>0.00</c:formatCode>
                <c:ptCount val="11"/>
                <c:pt idx="0">
                  <c:v>1.0304299125110448</c:v>
                </c:pt>
                <c:pt idx="1">
                  <c:v>5.7825869185860101</c:v>
                </c:pt>
                <c:pt idx="2">
                  <c:v>1.2192971113936404</c:v>
                </c:pt>
                <c:pt idx="3">
                  <c:v>19.080331851832483</c:v>
                </c:pt>
                <c:pt idx="4">
                  <c:v>0.23708364106360383</c:v>
                </c:pt>
                <c:pt idx="5">
                  <c:v>2.474197951119915</c:v>
                </c:pt>
                <c:pt idx="6">
                  <c:v>1.3808980536936863</c:v>
                </c:pt>
                <c:pt idx="7">
                  <c:v>1.0375418091861832</c:v>
                </c:pt>
                <c:pt idx="8">
                  <c:v>1.8935575248335266</c:v>
                </c:pt>
                <c:pt idx="9">
                  <c:v>0.44105533098016081</c:v>
                </c:pt>
                <c:pt idx="10">
                  <c:v>1.1232376130065362</c:v>
                </c:pt>
              </c:numCache>
            </c:numRef>
          </c:val>
          <c:extLst>
            <c:ext xmlns:c16="http://schemas.microsoft.com/office/drawing/2014/chart" uri="{C3380CC4-5D6E-409C-BE32-E72D297353CC}">
              <c16:uniqueId val="{00000000-293A-7048-8271-D5E18C65F02F}"/>
            </c:ext>
          </c:extLst>
        </c:ser>
        <c:ser>
          <c:idx val="1"/>
          <c:order val="1"/>
          <c:tx>
            <c:strRef>
              <c:f>'[Tables for Results.xlsx]Non-current Asset Productivity'!$C$2</c:f>
              <c:strCache>
                <c:ptCount val="1"/>
                <c:pt idx="0">
                  <c:v>2020</c:v>
                </c:pt>
              </c:strCache>
            </c:strRef>
          </c:tx>
          <c:spPr>
            <a:solidFill>
              <a:schemeClr val="accent2"/>
            </a:solidFill>
            <a:ln>
              <a:noFill/>
            </a:ln>
            <a:effectLst/>
          </c:spPr>
          <c:invertIfNegative val="0"/>
          <c:cat>
            <c:strRef>
              <c:f>'[Tables for Results.xlsx]Non-current Asset Productivity'!$A$51:$A$61</c:f>
              <c:strCache>
                <c:ptCount val="11"/>
                <c:pt idx="0">
                  <c:v>Financials</c:v>
                </c:pt>
                <c:pt idx="1">
                  <c:v>Consumer Discretionary</c:v>
                </c:pt>
                <c:pt idx="2">
                  <c:v>Telecommunications</c:v>
                </c:pt>
                <c:pt idx="3">
                  <c:v>Technology</c:v>
                </c:pt>
                <c:pt idx="4">
                  <c:v>Real Estate</c:v>
                </c:pt>
                <c:pt idx="5">
                  <c:v>Industrials</c:v>
                </c:pt>
                <c:pt idx="6">
                  <c:v>Utilities</c:v>
                </c:pt>
                <c:pt idx="7">
                  <c:v>Basic Materials</c:v>
                </c:pt>
                <c:pt idx="8">
                  <c:v>Consumer Staples</c:v>
                </c:pt>
                <c:pt idx="9">
                  <c:v>Energy</c:v>
                </c:pt>
                <c:pt idx="10">
                  <c:v>Health Care</c:v>
                </c:pt>
              </c:strCache>
            </c:strRef>
          </c:cat>
          <c:val>
            <c:numRef>
              <c:f>'[Tables for Results.xlsx]Non-current Asset Productivity'!$C$51:$C$61</c:f>
              <c:numCache>
                <c:formatCode>0.00</c:formatCode>
                <c:ptCount val="11"/>
                <c:pt idx="0">
                  <c:v>1.5685101641641446</c:v>
                </c:pt>
                <c:pt idx="1">
                  <c:v>3.2125932087417564</c:v>
                </c:pt>
                <c:pt idx="2">
                  <c:v>1.2869354103025159</c:v>
                </c:pt>
                <c:pt idx="3">
                  <c:v>8.2316362900082432</c:v>
                </c:pt>
                <c:pt idx="4">
                  <c:v>0.21105200188996742</c:v>
                </c:pt>
                <c:pt idx="5">
                  <c:v>2.1797531810243838</c:v>
                </c:pt>
                <c:pt idx="6">
                  <c:v>1.2646000138401494</c:v>
                </c:pt>
                <c:pt idx="7">
                  <c:v>0.94251759926846235</c:v>
                </c:pt>
                <c:pt idx="8">
                  <c:v>1.7138500561407637</c:v>
                </c:pt>
                <c:pt idx="9">
                  <c:v>0.34809794311278602</c:v>
                </c:pt>
                <c:pt idx="10">
                  <c:v>1.0236715671038847</c:v>
                </c:pt>
              </c:numCache>
            </c:numRef>
          </c:val>
          <c:extLst>
            <c:ext xmlns:c16="http://schemas.microsoft.com/office/drawing/2014/chart" uri="{C3380CC4-5D6E-409C-BE32-E72D297353CC}">
              <c16:uniqueId val="{00000001-293A-7048-8271-D5E18C65F02F}"/>
            </c:ext>
          </c:extLst>
        </c:ser>
        <c:ser>
          <c:idx val="2"/>
          <c:order val="2"/>
          <c:tx>
            <c:strRef>
              <c:f>'[Tables for Results.xlsx]Non-current Asset Productivity'!$D$2</c:f>
              <c:strCache>
                <c:ptCount val="1"/>
                <c:pt idx="0">
                  <c:v>2021</c:v>
                </c:pt>
              </c:strCache>
            </c:strRef>
          </c:tx>
          <c:spPr>
            <a:solidFill>
              <a:schemeClr val="accent3"/>
            </a:solidFill>
            <a:ln>
              <a:noFill/>
            </a:ln>
            <a:effectLst/>
          </c:spPr>
          <c:invertIfNegative val="0"/>
          <c:cat>
            <c:strRef>
              <c:f>'[Tables for Results.xlsx]Non-current Asset Productivity'!$A$51:$A$61</c:f>
              <c:strCache>
                <c:ptCount val="11"/>
                <c:pt idx="0">
                  <c:v>Financials</c:v>
                </c:pt>
                <c:pt idx="1">
                  <c:v>Consumer Discretionary</c:v>
                </c:pt>
                <c:pt idx="2">
                  <c:v>Telecommunications</c:v>
                </c:pt>
                <c:pt idx="3">
                  <c:v>Technology</c:v>
                </c:pt>
                <c:pt idx="4">
                  <c:v>Real Estate</c:v>
                </c:pt>
                <c:pt idx="5">
                  <c:v>Industrials</c:v>
                </c:pt>
                <c:pt idx="6">
                  <c:v>Utilities</c:v>
                </c:pt>
                <c:pt idx="7">
                  <c:v>Basic Materials</c:v>
                </c:pt>
                <c:pt idx="8">
                  <c:v>Consumer Staples</c:v>
                </c:pt>
                <c:pt idx="9">
                  <c:v>Energy</c:v>
                </c:pt>
                <c:pt idx="10">
                  <c:v>Health Care</c:v>
                </c:pt>
              </c:strCache>
            </c:strRef>
          </c:cat>
          <c:val>
            <c:numRef>
              <c:f>'[Tables for Results.xlsx]Non-current Asset Productivity'!$D$51:$D$61</c:f>
              <c:numCache>
                <c:formatCode>0.00</c:formatCode>
                <c:ptCount val="11"/>
                <c:pt idx="0">
                  <c:v>0.79849152564771886</c:v>
                </c:pt>
                <c:pt idx="1">
                  <c:v>4.0528847131646275</c:v>
                </c:pt>
                <c:pt idx="2">
                  <c:v>1.0852496625527399</c:v>
                </c:pt>
                <c:pt idx="3">
                  <c:v>8.281495642347263</c:v>
                </c:pt>
                <c:pt idx="4">
                  <c:v>0.25009992961856703</c:v>
                </c:pt>
                <c:pt idx="5">
                  <c:v>2.3389767072313941</c:v>
                </c:pt>
                <c:pt idx="6">
                  <c:v>1.3214413712103925</c:v>
                </c:pt>
                <c:pt idx="7">
                  <c:v>1.0876575882901753</c:v>
                </c:pt>
                <c:pt idx="8">
                  <c:v>2.1568955179224854</c:v>
                </c:pt>
                <c:pt idx="9">
                  <c:v>0.35795753560235205</c:v>
                </c:pt>
                <c:pt idx="10">
                  <c:v>1.2584360309668416</c:v>
                </c:pt>
              </c:numCache>
            </c:numRef>
          </c:val>
          <c:extLst>
            <c:ext xmlns:c16="http://schemas.microsoft.com/office/drawing/2014/chart" uri="{C3380CC4-5D6E-409C-BE32-E72D297353CC}">
              <c16:uniqueId val="{00000002-293A-7048-8271-D5E18C65F02F}"/>
            </c:ext>
          </c:extLst>
        </c:ser>
        <c:dLbls>
          <c:showLegendKey val="0"/>
          <c:showVal val="0"/>
          <c:showCatName val="0"/>
          <c:showSerName val="0"/>
          <c:showPercent val="0"/>
          <c:showBubbleSize val="0"/>
        </c:dLbls>
        <c:gapWidth val="219"/>
        <c:overlap val="-27"/>
        <c:axId val="217881712"/>
        <c:axId val="217756480"/>
      </c:barChart>
      <c:catAx>
        <c:axId val="217881712"/>
        <c:scaling>
          <c:orientation val="minMax"/>
        </c:scaling>
        <c:delete val="0"/>
        <c:axPos val="b"/>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217756480"/>
        <c:crosses val="autoZero"/>
        <c:auto val="1"/>
        <c:lblAlgn val="ctr"/>
        <c:lblOffset val="100"/>
        <c:noMultiLvlLbl val="0"/>
      </c:catAx>
      <c:valAx>
        <c:axId val="217756480"/>
        <c:scaling>
          <c:orientation val="minMax"/>
        </c:scaling>
        <c:delete val="0"/>
        <c:axPos val="l"/>
        <c:majorGridlines>
          <c:spPr>
            <a:ln w="9525" cap="flat" cmpd="sng" algn="ctr">
              <a:solidFill>
                <a:schemeClr val="tx1">
                  <a:lumMod val="15000"/>
                  <a:lumOff val="85000"/>
                </a:schemeClr>
              </a:solidFill>
              <a:round/>
            </a:ln>
            <a:effectLst/>
          </c:spPr>
        </c:majorGridlines>
        <c:numFmt formatCode="0.00"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217881712"/>
        <c:crosses val="autoZero"/>
        <c:crossBetween val="between"/>
      </c:valAx>
      <c:dTable>
        <c:showHorzBorder val="1"/>
        <c:showVertBorder val="1"/>
        <c:showOutline val="1"/>
        <c:showKeys val="1"/>
        <c:spPr>
          <a:noFill/>
          <a:ln w="9525" cap="flat" cmpd="sng" algn="ctr">
            <a:solidFill>
              <a:schemeClr val="tx1">
                <a:lumMod val="15000"/>
                <a:lumOff val="85000"/>
              </a:schemeClr>
            </a:solidFill>
            <a:round/>
          </a:ln>
          <a:effectLst/>
        </c:spPr>
        <c:txPr>
          <a:bodyPr rot="0" spcFirstLastPara="1" vertOverflow="ellipsis" vert="horz" wrap="square" anchor="ctr" anchorCtr="1"/>
          <a:lstStyle/>
          <a:p>
            <a:pPr rtl="0">
              <a:defRPr sz="700" b="0" i="0" u="none" strike="noStrike" kern="1200" baseline="0">
                <a:solidFill>
                  <a:schemeClr val="tx1">
                    <a:lumMod val="65000"/>
                    <a:lumOff val="35000"/>
                  </a:schemeClr>
                </a:solidFill>
                <a:latin typeface="+mn-lt"/>
                <a:ea typeface="+mn-ea"/>
                <a:cs typeface="+mn-cs"/>
              </a:defRPr>
            </a:pPr>
            <a:endParaRPr lang="en-US"/>
          </a:p>
        </c:txPr>
      </c:dTable>
      <c:spPr>
        <a:noFill/>
        <a:ln>
          <a:noFill/>
        </a:ln>
        <a:effectLst/>
      </c:spPr>
    </c:plotArea>
    <c:plotVisOnly val="1"/>
    <c:dispBlanksAs val="gap"/>
    <c:showDLblsOverMax val="0"/>
  </c:chart>
  <c:spPr>
    <a:solidFill>
      <a:schemeClr val="bg1"/>
    </a:solidFill>
    <a:ln w="9525" cap="flat" cmpd="sng" algn="ctr">
      <a:noFill/>
      <a:round/>
    </a:ln>
    <a:effectLst/>
  </c:spPr>
  <c:txPr>
    <a:bodyPr/>
    <a:lstStyle/>
    <a:p>
      <a:pPr>
        <a:defRPr/>
      </a:pPr>
      <a:endParaRPr lang="en-US"/>
    </a:p>
  </c:txPr>
  <c:externalData r:id="rId4">
    <c:autoUpdate val="0"/>
  </c:externalData>
</c:chartSpace>
</file>

<file path=word/charts/chart10.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lrMapOvr bg1="lt1" tx1="dk1" bg2="lt2" tx2="dk2" accent1="accent1" accent2="accent2" accent3="accent3" accent4="accent4" accent5="accent5" accent6="accent6" hlink="hlink" folHlink="folHlink"/>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Debtors (Recievables) Control</a:t>
            </a: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barChart>
        <c:barDir val="col"/>
        <c:grouping val="clustered"/>
        <c:varyColors val="0"/>
        <c:ser>
          <c:idx val="0"/>
          <c:order val="0"/>
          <c:tx>
            <c:strRef>
              <c:f>'[Tables for Results.xlsx]Debtors (Recievables) Control'!$B$2</c:f>
              <c:strCache>
                <c:ptCount val="1"/>
                <c:pt idx="0">
                  <c:v>2019</c:v>
                </c:pt>
              </c:strCache>
            </c:strRef>
          </c:tx>
          <c:spPr>
            <a:solidFill>
              <a:schemeClr val="accent1"/>
            </a:solidFill>
            <a:ln>
              <a:noFill/>
            </a:ln>
            <a:effectLst/>
          </c:spPr>
          <c:invertIfNegative val="0"/>
          <c:cat>
            <c:strRef>
              <c:f>'[Tables for Results.xlsx]Debtors (Recievables) Control'!$A$51:$A$61</c:f>
              <c:strCache>
                <c:ptCount val="11"/>
                <c:pt idx="0">
                  <c:v>Financials</c:v>
                </c:pt>
                <c:pt idx="1">
                  <c:v>Consumer Discretionary</c:v>
                </c:pt>
                <c:pt idx="2">
                  <c:v>Telecommunications</c:v>
                </c:pt>
                <c:pt idx="3">
                  <c:v>Technology</c:v>
                </c:pt>
                <c:pt idx="4">
                  <c:v>Real Estate</c:v>
                </c:pt>
                <c:pt idx="5">
                  <c:v>Industrials</c:v>
                </c:pt>
                <c:pt idx="6">
                  <c:v>Utilities</c:v>
                </c:pt>
                <c:pt idx="7">
                  <c:v>Basic Materials</c:v>
                </c:pt>
                <c:pt idx="8">
                  <c:v>Consumer Staples</c:v>
                </c:pt>
                <c:pt idx="9">
                  <c:v>Energy</c:v>
                </c:pt>
                <c:pt idx="10">
                  <c:v>Health Care</c:v>
                </c:pt>
              </c:strCache>
            </c:strRef>
          </c:cat>
          <c:val>
            <c:numRef>
              <c:f>'[Tables for Results.xlsx]Debtors (Recievables) Control'!$B$51:$B$61</c:f>
              <c:numCache>
                <c:formatCode>0.00</c:formatCode>
                <c:ptCount val="11"/>
                <c:pt idx="0">
                  <c:v>299.9652071607843</c:v>
                </c:pt>
                <c:pt idx="1">
                  <c:v>35.769746943242033</c:v>
                </c:pt>
                <c:pt idx="2">
                  <c:v>130.10487102454897</c:v>
                </c:pt>
                <c:pt idx="3">
                  <c:v>86.645617846984649</c:v>
                </c:pt>
                <c:pt idx="4">
                  <c:v>182.26339824137207</c:v>
                </c:pt>
                <c:pt idx="5">
                  <c:v>64.982606706449445</c:v>
                </c:pt>
                <c:pt idx="6">
                  <c:v>74.864036743660051</c:v>
                </c:pt>
                <c:pt idx="7">
                  <c:v>45.017904050709312</c:v>
                </c:pt>
                <c:pt idx="8">
                  <c:v>49.784765272736848</c:v>
                </c:pt>
                <c:pt idx="9">
                  <c:v>140.10666298696404</c:v>
                </c:pt>
                <c:pt idx="10">
                  <c:v>87.439202964471804</c:v>
                </c:pt>
              </c:numCache>
            </c:numRef>
          </c:val>
          <c:extLst>
            <c:ext xmlns:c16="http://schemas.microsoft.com/office/drawing/2014/chart" uri="{C3380CC4-5D6E-409C-BE32-E72D297353CC}">
              <c16:uniqueId val="{00000000-45AB-2C4D-AAE8-980313BC8FE8}"/>
            </c:ext>
          </c:extLst>
        </c:ser>
        <c:ser>
          <c:idx val="1"/>
          <c:order val="1"/>
          <c:tx>
            <c:strRef>
              <c:f>'[Tables for Results.xlsx]Debtors (Recievables) Control'!$C$2</c:f>
              <c:strCache>
                <c:ptCount val="1"/>
                <c:pt idx="0">
                  <c:v>2020</c:v>
                </c:pt>
              </c:strCache>
            </c:strRef>
          </c:tx>
          <c:spPr>
            <a:solidFill>
              <a:schemeClr val="accent2"/>
            </a:solidFill>
            <a:ln>
              <a:noFill/>
            </a:ln>
            <a:effectLst/>
          </c:spPr>
          <c:invertIfNegative val="0"/>
          <c:cat>
            <c:strRef>
              <c:f>'[Tables for Results.xlsx]Debtors (Recievables) Control'!$A$51:$A$61</c:f>
              <c:strCache>
                <c:ptCount val="11"/>
                <c:pt idx="0">
                  <c:v>Financials</c:v>
                </c:pt>
                <c:pt idx="1">
                  <c:v>Consumer Discretionary</c:v>
                </c:pt>
                <c:pt idx="2">
                  <c:v>Telecommunications</c:v>
                </c:pt>
                <c:pt idx="3">
                  <c:v>Technology</c:v>
                </c:pt>
                <c:pt idx="4">
                  <c:v>Real Estate</c:v>
                </c:pt>
                <c:pt idx="5">
                  <c:v>Industrials</c:v>
                </c:pt>
                <c:pt idx="6">
                  <c:v>Utilities</c:v>
                </c:pt>
                <c:pt idx="7">
                  <c:v>Basic Materials</c:v>
                </c:pt>
                <c:pt idx="8">
                  <c:v>Consumer Staples</c:v>
                </c:pt>
                <c:pt idx="9">
                  <c:v>Energy</c:v>
                </c:pt>
                <c:pt idx="10">
                  <c:v>Health Care</c:v>
                </c:pt>
              </c:strCache>
            </c:strRef>
          </c:cat>
          <c:val>
            <c:numRef>
              <c:f>'[Tables for Results.xlsx]Debtors (Recievables) Control'!$C$51:$C$61</c:f>
              <c:numCache>
                <c:formatCode>0.00</c:formatCode>
                <c:ptCount val="11"/>
                <c:pt idx="0">
                  <c:v>381.48212849663059</c:v>
                </c:pt>
                <c:pt idx="1">
                  <c:v>39.620714046973717</c:v>
                </c:pt>
                <c:pt idx="2">
                  <c:v>106.87589839906491</c:v>
                </c:pt>
                <c:pt idx="3">
                  <c:v>111.55821287689039</c:v>
                </c:pt>
                <c:pt idx="4">
                  <c:v>158.14361770995978</c:v>
                </c:pt>
                <c:pt idx="5">
                  <c:v>68.997301579310843</c:v>
                </c:pt>
                <c:pt idx="6">
                  <c:v>65.64734179536633</c:v>
                </c:pt>
                <c:pt idx="7">
                  <c:v>45.107483145452065</c:v>
                </c:pt>
                <c:pt idx="8">
                  <c:v>48.639290572744677</c:v>
                </c:pt>
                <c:pt idx="9">
                  <c:v>1110.4028194869163</c:v>
                </c:pt>
                <c:pt idx="10">
                  <c:v>104.27974809235943</c:v>
                </c:pt>
              </c:numCache>
            </c:numRef>
          </c:val>
          <c:extLst>
            <c:ext xmlns:c16="http://schemas.microsoft.com/office/drawing/2014/chart" uri="{C3380CC4-5D6E-409C-BE32-E72D297353CC}">
              <c16:uniqueId val="{00000001-45AB-2C4D-AAE8-980313BC8FE8}"/>
            </c:ext>
          </c:extLst>
        </c:ser>
        <c:ser>
          <c:idx val="2"/>
          <c:order val="2"/>
          <c:tx>
            <c:strRef>
              <c:f>'[Tables for Results.xlsx]Debtors (Recievables) Control'!$D$2</c:f>
              <c:strCache>
                <c:ptCount val="1"/>
                <c:pt idx="0">
                  <c:v>2021</c:v>
                </c:pt>
              </c:strCache>
            </c:strRef>
          </c:tx>
          <c:spPr>
            <a:solidFill>
              <a:schemeClr val="accent3"/>
            </a:solidFill>
            <a:ln>
              <a:noFill/>
            </a:ln>
            <a:effectLst/>
          </c:spPr>
          <c:invertIfNegative val="0"/>
          <c:cat>
            <c:strRef>
              <c:f>'[Tables for Results.xlsx]Debtors (Recievables) Control'!$A$51:$A$61</c:f>
              <c:strCache>
                <c:ptCount val="11"/>
                <c:pt idx="0">
                  <c:v>Financials</c:v>
                </c:pt>
                <c:pt idx="1">
                  <c:v>Consumer Discretionary</c:v>
                </c:pt>
                <c:pt idx="2">
                  <c:v>Telecommunications</c:v>
                </c:pt>
                <c:pt idx="3">
                  <c:v>Technology</c:v>
                </c:pt>
                <c:pt idx="4">
                  <c:v>Real Estate</c:v>
                </c:pt>
                <c:pt idx="5">
                  <c:v>Industrials</c:v>
                </c:pt>
                <c:pt idx="6">
                  <c:v>Utilities</c:v>
                </c:pt>
                <c:pt idx="7">
                  <c:v>Basic Materials</c:v>
                </c:pt>
                <c:pt idx="8">
                  <c:v>Consumer Staples</c:v>
                </c:pt>
                <c:pt idx="9">
                  <c:v>Energy</c:v>
                </c:pt>
                <c:pt idx="10">
                  <c:v>Health Care</c:v>
                </c:pt>
              </c:strCache>
            </c:strRef>
          </c:cat>
          <c:val>
            <c:numRef>
              <c:f>'[Tables for Results.xlsx]Debtors (Recievables) Control'!$D$51:$D$61</c:f>
              <c:numCache>
                <c:formatCode>0.00</c:formatCode>
                <c:ptCount val="11"/>
                <c:pt idx="0">
                  <c:v>186.4</c:v>
                </c:pt>
                <c:pt idx="1">
                  <c:v>41.025276650907749</c:v>
                </c:pt>
                <c:pt idx="2">
                  <c:v>127.82181289662657</c:v>
                </c:pt>
                <c:pt idx="3">
                  <c:v>111.96241521852502</c:v>
                </c:pt>
                <c:pt idx="4">
                  <c:v>106.16246632898969</c:v>
                </c:pt>
                <c:pt idx="5">
                  <c:v>69.069690732402975</c:v>
                </c:pt>
                <c:pt idx="6">
                  <c:v>80.789970784306462</c:v>
                </c:pt>
                <c:pt idx="7">
                  <c:v>47.149166153510095</c:v>
                </c:pt>
                <c:pt idx="8">
                  <c:v>48.873870164697507</c:v>
                </c:pt>
                <c:pt idx="9">
                  <c:v>1820.3160842568473</c:v>
                </c:pt>
                <c:pt idx="10">
                  <c:v>76.102268125618778</c:v>
                </c:pt>
              </c:numCache>
            </c:numRef>
          </c:val>
          <c:extLst>
            <c:ext xmlns:c16="http://schemas.microsoft.com/office/drawing/2014/chart" uri="{C3380CC4-5D6E-409C-BE32-E72D297353CC}">
              <c16:uniqueId val="{00000002-45AB-2C4D-AAE8-980313BC8FE8}"/>
            </c:ext>
          </c:extLst>
        </c:ser>
        <c:dLbls>
          <c:showLegendKey val="0"/>
          <c:showVal val="0"/>
          <c:showCatName val="0"/>
          <c:showSerName val="0"/>
          <c:showPercent val="0"/>
          <c:showBubbleSize val="0"/>
        </c:dLbls>
        <c:gapWidth val="219"/>
        <c:overlap val="-27"/>
        <c:axId val="217881712"/>
        <c:axId val="217756480"/>
      </c:barChart>
      <c:catAx>
        <c:axId val="217881712"/>
        <c:scaling>
          <c:orientation val="minMax"/>
        </c:scaling>
        <c:delete val="0"/>
        <c:axPos val="b"/>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217756480"/>
        <c:crosses val="autoZero"/>
        <c:auto val="1"/>
        <c:lblAlgn val="ctr"/>
        <c:lblOffset val="100"/>
        <c:noMultiLvlLbl val="0"/>
      </c:catAx>
      <c:valAx>
        <c:axId val="217756480"/>
        <c:scaling>
          <c:orientation val="minMax"/>
        </c:scaling>
        <c:delete val="0"/>
        <c:axPos val="l"/>
        <c:majorGridlines>
          <c:spPr>
            <a:ln w="9525" cap="flat" cmpd="sng" algn="ctr">
              <a:solidFill>
                <a:schemeClr val="tx1">
                  <a:lumMod val="15000"/>
                  <a:lumOff val="85000"/>
                </a:schemeClr>
              </a:solidFill>
              <a:round/>
            </a:ln>
            <a:effectLst/>
          </c:spPr>
        </c:majorGridlines>
        <c:numFmt formatCode="0.00"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217881712"/>
        <c:crosses val="autoZero"/>
        <c:crossBetween val="between"/>
      </c:valAx>
      <c:dTable>
        <c:showHorzBorder val="1"/>
        <c:showVertBorder val="1"/>
        <c:showOutline val="1"/>
        <c:showKeys val="1"/>
        <c:spPr>
          <a:noFill/>
          <a:ln w="9525" cap="flat" cmpd="sng" algn="ctr">
            <a:solidFill>
              <a:schemeClr val="tx1">
                <a:lumMod val="15000"/>
                <a:lumOff val="85000"/>
              </a:schemeClr>
            </a:solidFill>
            <a:round/>
          </a:ln>
          <a:effectLst/>
        </c:spPr>
        <c:txPr>
          <a:bodyPr rot="0" spcFirstLastPara="1" vertOverflow="ellipsis" vert="horz" wrap="square" anchor="ctr" anchorCtr="1"/>
          <a:lstStyle/>
          <a:p>
            <a:pPr rtl="0">
              <a:defRPr sz="700" b="0" i="0" u="none" strike="noStrike" kern="1200" baseline="0">
                <a:solidFill>
                  <a:schemeClr val="tx1">
                    <a:lumMod val="65000"/>
                    <a:lumOff val="35000"/>
                  </a:schemeClr>
                </a:solidFill>
                <a:latin typeface="+mn-lt"/>
                <a:ea typeface="+mn-ea"/>
                <a:cs typeface="+mn-cs"/>
              </a:defRPr>
            </a:pPr>
            <a:endParaRPr lang="en-US"/>
          </a:p>
        </c:txPr>
      </c:dTable>
      <c:spPr>
        <a:noFill/>
        <a:ln>
          <a:noFill/>
        </a:ln>
        <a:effectLst/>
      </c:spPr>
    </c:plotArea>
    <c:plotVisOnly val="1"/>
    <c:dispBlanksAs val="gap"/>
    <c:showDLblsOverMax val="0"/>
  </c:chart>
  <c:spPr>
    <a:solidFill>
      <a:schemeClr val="bg1"/>
    </a:solidFill>
    <a:ln w="9525" cap="flat" cmpd="sng" algn="ctr">
      <a:noFill/>
      <a:round/>
    </a:ln>
    <a:effectLst/>
  </c:spPr>
  <c:txPr>
    <a:bodyPr/>
    <a:lstStyle/>
    <a:p>
      <a:pPr>
        <a:defRPr/>
      </a:pPr>
      <a:endParaRPr lang="en-US"/>
    </a:p>
  </c:txPr>
  <c:externalData r:id="rId4">
    <c:autoUpdate val="0"/>
  </c:externalData>
</c:chartSpace>
</file>

<file path=word/charts/chart1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lrMapOvr bg1="lt1" tx1="dk1" bg2="lt2" tx2="dk2" accent1="accent1" accent2="accent2" accent3="accent3" accent4="accent4" accent5="accent5" accent6="accent6" hlink="hlink" folHlink="folHlink"/>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Creditors (Payables) Control</a:t>
            </a: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barChart>
        <c:barDir val="col"/>
        <c:grouping val="clustered"/>
        <c:varyColors val="0"/>
        <c:ser>
          <c:idx val="0"/>
          <c:order val="0"/>
          <c:tx>
            <c:strRef>
              <c:f>'[Tables for Results.xlsx]Creditors (Payables) Control'!$B$2</c:f>
              <c:strCache>
                <c:ptCount val="1"/>
                <c:pt idx="0">
                  <c:v>2019</c:v>
                </c:pt>
              </c:strCache>
            </c:strRef>
          </c:tx>
          <c:spPr>
            <a:solidFill>
              <a:schemeClr val="accent1"/>
            </a:solidFill>
            <a:ln>
              <a:noFill/>
            </a:ln>
            <a:effectLst/>
          </c:spPr>
          <c:invertIfNegative val="0"/>
          <c:cat>
            <c:strRef>
              <c:f>'[Tables for Results.xlsx]Creditors (Payables) Control'!$A$51:$A$61</c:f>
              <c:strCache>
                <c:ptCount val="11"/>
                <c:pt idx="0">
                  <c:v>Financials</c:v>
                </c:pt>
                <c:pt idx="1">
                  <c:v>Consumer Discretionary</c:v>
                </c:pt>
                <c:pt idx="2">
                  <c:v>Telecommunications</c:v>
                </c:pt>
                <c:pt idx="3">
                  <c:v>Technology</c:v>
                </c:pt>
                <c:pt idx="4">
                  <c:v>Real Estate</c:v>
                </c:pt>
                <c:pt idx="5">
                  <c:v>Industrials</c:v>
                </c:pt>
                <c:pt idx="6">
                  <c:v>Utilities</c:v>
                </c:pt>
                <c:pt idx="7">
                  <c:v>Basic Materials</c:v>
                </c:pt>
                <c:pt idx="8">
                  <c:v>Consumer Staples</c:v>
                </c:pt>
                <c:pt idx="9">
                  <c:v>Energy</c:v>
                </c:pt>
                <c:pt idx="10">
                  <c:v>Health Care</c:v>
                </c:pt>
              </c:strCache>
            </c:strRef>
          </c:cat>
          <c:val>
            <c:numRef>
              <c:f>'[Tables for Results.xlsx]Creditors (Payables) Control'!$B$51:$B$61</c:f>
              <c:numCache>
                <c:formatCode>0.00</c:formatCode>
                <c:ptCount val="11"/>
                <c:pt idx="0">
                  <c:v>1367.4861539916892</c:v>
                </c:pt>
                <c:pt idx="1">
                  <c:v>158.25213210141209</c:v>
                </c:pt>
                <c:pt idx="2">
                  <c:v>340.79348988163423</c:v>
                </c:pt>
                <c:pt idx="3">
                  <c:v>191.57241577590392</c:v>
                </c:pt>
                <c:pt idx="4">
                  <c:v>1861.4311106068101</c:v>
                </c:pt>
                <c:pt idx="5">
                  <c:v>277.07363638495406</c:v>
                </c:pt>
                <c:pt idx="6">
                  <c:v>130.79949200525422</c:v>
                </c:pt>
                <c:pt idx="7">
                  <c:v>67.7438715018979</c:v>
                </c:pt>
                <c:pt idx="8">
                  <c:v>139.02312257210889</c:v>
                </c:pt>
                <c:pt idx="9">
                  <c:v>460.36368282391118</c:v>
                </c:pt>
                <c:pt idx="10">
                  <c:v>412.73215093703237</c:v>
                </c:pt>
              </c:numCache>
            </c:numRef>
          </c:val>
          <c:extLst>
            <c:ext xmlns:c16="http://schemas.microsoft.com/office/drawing/2014/chart" uri="{C3380CC4-5D6E-409C-BE32-E72D297353CC}">
              <c16:uniqueId val="{00000000-8500-AB44-BBBE-18A825743FE0}"/>
            </c:ext>
          </c:extLst>
        </c:ser>
        <c:ser>
          <c:idx val="1"/>
          <c:order val="1"/>
          <c:tx>
            <c:strRef>
              <c:f>'[Tables for Results.xlsx]Creditors (Payables) Control'!$C$2</c:f>
              <c:strCache>
                <c:ptCount val="1"/>
                <c:pt idx="0">
                  <c:v>2020</c:v>
                </c:pt>
              </c:strCache>
            </c:strRef>
          </c:tx>
          <c:spPr>
            <a:solidFill>
              <a:schemeClr val="accent2"/>
            </a:solidFill>
            <a:ln>
              <a:noFill/>
            </a:ln>
            <a:effectLst/>
          </c:spPr>
          <c:invertIfNegative val="0"/>
          <c:cat>
            <c:strRef>
              <c:f>'[Tables for Results.xlsx]Creditors (Payables) Control'!$A$51:$A$61</c:f>
              <c:strCache>
                <c:ptCount val="11"/>
                <c:pt idx="0">
                  <c:v>Financials</c:v>
                </c:pt>
                <c:pt idx="1">
                  <c:v>Consumer Discretionary</c:v>
                </c:pt>
                <c:pt idx="2">
                  <c:v>Telecommunications</c:v>
                </c:pt>
                <c:pt idx="3">
                  <c:v>Technology</c:v>
                </c:pt>
                <c:pt idx="4">
                  <c:v>Real Estate</c:v>
                </c:pt>
                <c:pt idx="5">
                  <c:v>Industrials</c:v>
                </c:pt>
                <c:pt idx="6">
                  <c:v>Utilities</c:v>
                </c:pt>
                <c:pt idx="7">
                  <c:v>Basic Materials</c:v>
                </c:pt>
                <c:pt idx="8">
                  <c:v>Consumer Staples</c:v>
                </c:pt>
                <c:pt idx="9">
                  <c:v>Energy</c:v>
                </c:pt>
                <c:pt idx="10">
                  <c:v>Health Care</c:v>
                </c:pt>
              </c:strCache>
            </c:strRef>
          </c:cat>
          <c:val>
            <c:numRef>
              <c:f>'[Tables for Results.xlsx]Creditors (Payables) Control'!$C$51:$C$61</c:f>
              <c:numCache>
                <c:formatCode>0.00</c:formatCode>
                <c:ptCount val="11"/>
                <c:pt idx="0">
                  <c:v>1505.3407275625343</c:v>
                </c:pt>
                <c:pt idx="1">
                  <c:v>179.71904212184563</c:v>
                </c:pt>
                <c:pt idx="2">
                  <c:v>301.92103431122069</c:v>
                </c:pt>
                <c:pt idx="3">
                  <c:v>222.29649201113557</c:v>
                </c:pt>
                <c:pt idx="4">
                  <c:v>1272.1625842147953</c:v>
                </c:pt>
                <c:pt idx="5">
                  <c:v>306.20066842311809</c:v>
                </c:pt>
                <c:pt idx="6">
                  <c:v>143.17488089286783</c:v>
                </c:pt>
                <c:pt idx="7">
                  <c:v>89.52322468098123</c:v>
                </c:pt>
                <c:pt idx="8">
                  <c:v>129.82962978069421</c:v>
                </c:pt>
                <c:pt idx="9">
                  <c:v>800.68915273186565</c:v>
                </c:pt>
                <c:pt idx="10">
                  <c:v>497.99299797291161</c:v>
                </c:pt>
              </c:numCache>
            </c:numRef>
          </c:val>
          <c:extLst>
            <c:ext xmlns:c16="http://schemas.microsoft.com/office/drawing/2014/chart" uri="{C3380CC4-5D6E-409C-BE32-E72D297353CC}">
              <c16:uniqueId val="{00000001-8500-AB44-BBBE-18A825743FE0}"/>
            </c:ext>
          </c:extLst>
        </c:ser>
        <c:ser>
          <c:idx val="2"/>
          <c:order val="2"/>
          <c:tx>
            <c:strRef>
              <c:f>'[Tables for Results.xlsx]Creditors (Payables) Control'!$D$2</c:f>
              <c:strCache>
                <c:ptCount val="1"/>
                <c:pt idx="0">
                  <c:v>2021</c:v>
                </c:pt>
              </c:strCache>
            </c:strRef>
          </c:tx>
          <c:spPr>
            <a:solidFill>
              <a:schemeClr val="accent3"/>
            </a:solidFill>
            <a:ln>
              <a:noFill/>
            </a:ln>
            <a:effectLst/>
          </c:spPr>
          <c:invertIfNegative val="0"/>
          <c:cat>
            <c:strRef>
              <c:f>'[Tables for Results.xlsx]Creditors (Payables) Control'!$A$51:$A$61</c:f>
              <c:strCache>
                <c:ptCount val="11"/>
                <c:pt idx="0">
                  <c:v>Financials</c:v>
                </c:pt>
                <c:pt idx="1">
                  <c:v>Consumer Discretionary</c:v>
                </c:pt>
                <c:pt idx="2">
                  <c:v>Telecommunications</c:v>
                </c:pt>
                <c:pt idx="3">
                  <c:v>Technology</c:v>
                </c:pt>
                <c:pt idx="4">
                  <c:v>Real Estate</c:v>
                </c:pt>
                <c:pt idx="5">
                  <c:v>Industrials</c:v>
                </c:pt>
                <c:pt idx="6">
                  <c:v>Utilities</c:v>
                </c:pt>
                <c:pt idx="7">
                  <c:v>Basic Materials</c:v>
                </c:pt>
                <c:pt idx="8">
                  <c:v>Consumer Staples</c:v>
                </c:pt>
                <c:pt idx="9">
                  <c:v>Energy</c:v>
                </c:pt>
                <c:pt idx="10">
                  <c:v>Health Care</c:v>
                </c:pt>
              </c:strCache>
            </c:strRef>
          </c:cat>
          <c:val>
            <c:numRef>
              <c:f>'[Tables for Results.xlsx]Creditors (Payables) Control'!$D$51:$D$61</c:f>
              <c:numCache>
                <c:formatCode>0.00</c:formatCode>
                <c:ptCount val="11"/>
                <c:pt idx="0">
                  <c:v>1296.0999999999999</c:v>
                </c:pt>
                <c:pt idx="1">
                  <c:v>254.21970668875485</c:v>
                </c:pt>
                <c:pt idx="2">
                  <c:v>346.51806647389844</c:v>
                </c:pt>
                <c:pt idx="3">
                  <c:v>264.27888800150345</c:v>
                </c:pt>
                <c:pt idx="4">
                  <c:v>1454.0242195608482</c:v>
                </c:pt>
                <c:pt idx="5">
                  <c:v>358.52007019259452</c:v>
                </c:pt>
                <c:pt idx="6">
                  <c:v>159.78787945652167</c:v>
                </c:pt>
                <c:pt idx="7">
                  <c:v>91.979212595892832</c:v>
                </c:pt>
                <c:pt idx="8">
                  <c:v>175.78668685036007</c:v>
                </c:pt>
                <c:pt idx="9">
                  <c:v>511.01758794422165</c:v>
                </c:pt>
                <c:pt idx="10">
                  <c:v>538.25598337242684</c:v>
                </c:pt>
              </c:numCache>
            </c:numRef>
          </c:val>
          <c:extLst>
            <c:ext xmlns:c16="http://schemas.microsoft.com/office/drawing/2014/chart" uri="{C3380CC4-5D6E-409C-BE32-E72D297353CC}">
              <c16:uniqueId val="{00000002-8500-AB44-BBBE-18A825743FE0}"/>
            </c:ext>
          </c:extLst>
        </c:ser>
        <c:dLbls>
          <c:showLegendKey val="0"/>
          <c:showVal val="0"/>
          <c:showCatName val="0"/>
          <c:showSerName val="0"/>
          <c:showPercent val="0"/>
          <c:showBubbleSize val="0"/>
        </c:dLbls>
        <c:gapWidth val="182"/>
        <c:axId val="217881712"/>
        <c:axId val="217756480"/>
      </c:barChart>
      <c:catAx>
        <c:axId val="217881712"/>
        <c:scaling>
          <c:orientation val="minMax"/>
        </c:scaling>
        <c:delete val="0"/>
        <c:axPos val="b"/>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217756480"/>
        <c:crosses val="autoZero"/>
        <c:auto val="1"/>
        <c:lblAlgn val="ctr"/>
        <c:lblOffset val="100"/>
        <c:noMultiLvlLbl val="0"/>
      </c:catAx>
      <c:valAx>
        <c:axId val="217756480"/>
        <c:scaling>
          <c:orientation val="minMax"/>
        </c:scaling>
        <c:delete val="0"/>
        <c:axPos val="l"/>
        <c:majorGridlines>
          <c:spPr>
            <a:ln w="9525" cap="flat" cmpd="sng" algn="ctr">
              <a:solidFill>
                <a:schemeClr val="tx1">
                  <a:lumMod val="15000"/>
                  <a:lumOff val="85000"/>
                </a:schemeClr>
              </a:solidFill>
              <a:round/>
            </a:ln>
            <a:effectLst/>
          </c:spPr>
        </c:majorGridlines>
        <c:numFmt formatCode="0.00"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217881712"/>
        <c:crosses val="autoZero"/>
        <c:crossBetween val="between"/>
      </c:valAx>
      <c:dTable>
        <c:showHorzBorder val="1"/>
        <c:showVertBorder val="1"/>
        <c:showOutline val="1"/>
        <c:showKeys val="1"/>
        <c:spPr>
          <a:noFill/>
          <a:ln w="9525" cap="flat" cmpd="sng" algn="ctr">
            <a:solidFill>
              <a:schemeClr val="tx1">
                <a:lumMod val="15000"/>
                <a:lumOff val="85000"/>
              </a:schemeClr>
            </a:solidFill>
            <a:round/>
          </a:ln>
          <a:effectLst/>
        </c:spPr>
        <c:txPr>
          <a:bodyPr rot="0" spcFirstLastPara="1" vertOverflow="ellipsis" vert="horz" wrap="square" anchor="ctr" anchorCtr="1"/>
          <a:lstStyle/>
          <a:p>
            <a:pPr rtl="0">
              <a:defRPr sz="700" b="0" i="0" u="none" strike="noStrike" kern="1200" baseline="0">
                <a:solidFill>
                  <a:schemeClr val="tx1">
                    <a:lumMod val="65000"/>
                    <a:lumOff val="35000"/>
                  </a:schemeClr>
                </a:solidFill>
                <a:latin typeface="+mn-lt"/>
                <a:ea typeface="+mn-ea"/>
                <a:cs typeface="+mn-cs"/>
              </a:defRPr>
            </a:pPr>
            <a:endParaRPr lang="en-US"/>
          </a:p>
        </c:txPr>
      </c:dTable>
      <c:spPr>
        <a:noFill/>
        <a:ln>
          <a:noFill/>
        </a:ln>
        <a:effectLst/>
      </c:spPr>
    </c:plotArea>
    <c:plotVisOnly val="1"/>
    <c:dispBlanksAs val="gap"/>
    <c:showDLblsOverMax val="0"/>
  </c:chart>
  <c:spPr>
    <a:solidFill>
      <a:schemeClr val="bg1"/>
    </a:solidFill>
    <a:ln w="9525" cap="flat" cmpd="sng" algn="ctr">
      <a:noFill/>
      <a:round/>
    </a:ln>
    <a:effectLst/>
  </c:spPr>
  <c:txPr>
    <a:bodyPr/>
    <a:lstStyle/>
    <a:p>
      <a:pPr>
        <a:defRPr/>
      </a:pPr>
      <a:endParaRPr lang="en-US"/>
    </a:p>
  </c:txPr>
  <c:externalData r:id="rId4">
    <c:autoUpdate val="0"/>
  </c:externalData>
</c:chartSpace>
</file>

<file path=word/charts/chart1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lrMapOvr bg1="lt1" tx1="dk1" bg2="lt2" tx2="dk2" accent1="accent1" accent2="accent2" accent3="accent3" accent4="accent4" accent5="accent5" accent6="accent6" hlink="hlink" folHlink="folHlink"/>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Stock Turnover in Days</a:t>
            </a: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barChart>
        <c:barDir val="col"/>
        <c:grouping val="clustered"/>
        <c:varyColors val="0"/>
        <c:ser>
          <c:idx val="0"/>
          <c:order val="0"/>
          <c:tx>
            <c:strRef>
              <c:f>'[Tables for Results.xlsx]Stock Turnover in Days'!$B$2</c:f>
              <c:strCache>
                <c:ptCount val="1"/>
                <c:pt idx="0">
                  <c:v>2019</c:v>
                </c:pt>
              </c:strCache>
            </c:strRef>
          </c:tx>
          <c:spPr>
            <a:solidFill>
              <a:schemeClr val="accent1"/>
            </a:solidFill>
            <a:ln>
              <a:noFill/>
            </a:ln>
            <a:effectLst/>
          </c:spPr>
          <c:invertIfNegative val="0"/>
          <c:cat>
            <c:strRef>
              <c:f>'[Tables for Results.xlsx]Stock Turnover in Days'!$A$51:$A$61</c:f>
              <c:strCache>
                <c:ptCount val="11"/>
                <c:pt idx="0">
                  <c:v>Financials</c:v>
                </c:pt>
                <c:pt idx="1">
                  <c:v>Consumer Discretionary</c:v>
                </c:pt>
                <c:pt idx="2">
                  <c:v>Telecommunications</c:v>
                </c:pt>
                <c:pt idx="3">
                  <c:v>Technology</c:v>
                </c:pt>
                <c:pt idx="4">
                  <c:v>Real Estate</c:v>
                </c:pt>
                <c:pt idx="5">
                  <c:v>Industrials</c:v>
                </c:pt>
                <c:pt idx="6">
                  <c:v>Utilities</c:v>
                </c:pt>
                <c:pt idx="7">
                  <c:v>Basic Materials</c:v>
                </c:pt>
                <c:pt idx="8">
                  <c:v>Consumer Staples</c:v>
                </c:pt>
                <c:pt idx="9">
                  <c:v>Energy</c:v>
                </c:pt>
                <c:pt idx="10">
                  <c:v>Health Care</c:v>
                </c:pt>
              </c:strCache>
            </c:strRef>
          </c:cat>
          <c:val>
            <c:numRef>
              <c:f>'[Tables for Results.xlsx]Stock Turnover in Days'!$B$51:$B$61</c:f>
              <c:numCache>
                <c:formatCode>0.00</c:formatCode>
                <c:ptCount val="11"/>
                <c:pt idx="0">
                  <c:v>526.24114683191897</c:v>
                </c:pt>
                <c:pt idx="1">
                  <c:v>108.65152424646337</c:v>
                </c:pt>
                <c:pt idx="2">
                  <c:v>34.3286750668194</c:v>
                </c:pt>
                <c:pt idx="3">
                  <c:v>6.5434875091135813</c:v>
                </c:pt>
                <c:pt idx="4">
                  <c:v>163.65104983431038</c:v>
                </c:pt>
                <c:pt idx="5">
                  <c:v>83.778943468778778</c:v>
                </c:pt>
                <c:pt idx="6">
                  <c:v>40.319917014056138</c:v>
                </c:pt>
                <c:pt idx="7">
                  <c:v>98.991880922342744</c:v>
                </c:pt>
                <c:pt idx="8">
                  <c:v>46.385955225345697</c:v>
                </c:pt>
                <c:pt idx="9">
                  <c:v>52.213168591370064</c:v>
                </c:pt>
                <c:pt idx="10">
                  <c:v>78.176647352789615</c:v>
                </c:pt>
              </c:numCache>
            </c:numRef>
          </c:val>
          <c:extLst>
            <c:ext xmlns:c16="http://schemas.microsoft.com/office/drawing/2014/chart" uri="{C3380CC4-5D6E-409C-BE32-E72D297353CC}">
              <c16:uniqueId val="{00000000-7544-A94A-ACE4-EA2F1DA5A164}"/>
            </c:ext>
          </c:extLst>
        </c:ser>
        <c:ser>
          <c:idx val="1"/>
          <c:order val="1"/>
          <c:tx>
            <c:strRef>
              <c:f>'[Tables for Results.xlsx]Stock Turnover in Days'!$C$2</c:f>
              <c:strCache>
                <c:ptCount val="1"/>
                <c:pt idx="0">
                  <c:v>2020</c:v>
                </c:pt>
              </c:strCache>
            </c:strRef>
          </c:tx>
          <c:spPr>
            <a:solidFill>
              <a:schemeClr val="accent2"/>
            </a:solidFill>
            <a:ln>
              <a:noFill/>
            </a:ln>
            <a:effectLst/>
          </c:spPr>
          <c:invertIfNegative val="0"/>
          <c:cat>
            <c:strRef>
              <c:f>'[Tables for Results.xlsx]Stock Turnover in Days'!$A$51:$A$61</c:f>
              <c:strCache>
                <c:ptCount val="11"/>
                <c:pt idx="0">
                  <c:v>Financials</c:v>
                </c:pt>
                <c:pt idx="1">
                  <c:v>Consumer Discretionary</c:v>
                </c:pt>
                <c:pt idx="2">
                  <c:v>Telecommunications</c:v>
                </c:pt>
                <c:pt idx="3">
                  <c:v>Technology</c:v>
                </c:pt>
                <c:pt idx="4">
                  <c:v>Real Estate</c:v>
                </c:pt>
                <c:pt idx="5">
                  <c:v>Industrials</c:v>
                </c:pt>
                <c:pt idx="6">
                  <c:v>Utilities</c:v>
                </c:pt>
                <c:pt idx="7">
                  <c:v>Basic Materials</c:v>
                </c:pt>
                <c:pt idx="8">
                  <c:v>Consumer Staples</c:v>
                </c:pt>
                <c:pt idx="9">
                  <c:v>Energy</c:v>
                </c:pt>
                <c:pt idx="10">
                  <c:v>Health Care</c:v>
                </c:pt>
              </c:strCache>
            </c:strRef>
          </c:cat>
          <c:val>
            <c:numRef>
              <c:f>'[Tables for Results.xlsx]Stock Turnover in Days'!$C$51:$C$61</c:f>
              <c:numCache>
                <c:formatCode>0.00</c:formatCode>
                <c:ptCount val="11"/>
                <c:pt idx="0">
                  <c:v>549.89703036162803</c:v>
                </c:pt>
                <c:pt idx="1">
                  <c:v>138.74551399472307</c:v>
                </c:pt>
                <c:pt idx="2">
                  <c:v>35.451268522949398</c:v>
                </c:pt>
                <c:pt idx="3">
                  <c:v>8.3594935800635373</c:v>
                </c:pt>
                <c:pt idx="4">
                  <c:v>152.399761410894</c:v>
                </c:pt>
                <c:pt idx="5">
                  <c:v>82.458294228182609</c:v>
                </c:pt>
                <c:pt idx="6">
                  <c:v>40.640643290882331</c:v>
                </c:pt>
                <c:pt idx="7">
                  <c:v>94.953323752195701</c:v>
                </c:pt>
                <c:pt idx="8">
                  <c:v>48.566753731695712</c:v>
                </c:pt>
                <c:pt idx="9">
                  <c:v>149.76704069487508</c:v>
                </c:pt>
                <c:pt idx="10">
                  <c:v>119.59810071780728</c:v>
                </c:pt>
              </c:numCache>
            </c:numRef>
          </c:val>
          <c:extLst>
            <c:ext xmlns:c16="http://schemas.microsoft.com/office/drawing/2014/chart" uri="{C3380CC4-5D6E-409C-BE32-E72D297353CC}">
              <c16:uniqueId val="{00000001-7544-A94A-ACE4-EA2F1DA5A164}"/>
            </c:ext>
          </c:extLst>
        </c:ser>
        <c:ser>
          <c:idx val="2"/>
          <c:order val="2"/>
          <c:tx>
            <c:strRef>
              <c:f>'[Tables for Results.xlsx]Stock Turnover in Days'!$D$2</c:f>
              <c:strCache>
                <c:ptCount val="1"/>
                <c:pt idx="0">
                  <c:v>2021</c:v>
                </c:pt>
              </c:strCache>
            </c:strRef>
          </c:tx>
          <c:spPr>
            <a:solidFill>
              <a:schemeClr val="accent3"/>
            </a:solidFill>
            <a:ln>
              <a:noFill/>
            </a:ln>
            <a:effectLst/>
          </c:spPr>
          <c:invertIfNegative val="0"/>
          <c:cat>
            <c:strRef>
              <c:f>'[Tables for Results.xlsx]Stock Turnover in Days'!$A$51:$A$61</c:f>
              <c:strCache>
                <c:ptCount val="11"/>
                <c:pt idx="0">
                  <c:v>Financials</c:v>
                </c:pt>
                <c:pt idx="1">
                  <c:v>Consumer Discretionary</c:v>
                </c:pt>
                <c:pt idx="2">
                  <c:v>Telecommunications</c:v>
                </c:pt>
                <c:pt idx="3">
                  <c:v>Technology</c:v>
                </c:pt>
                <c:pt idx="4">
                  <c:v>Real Estate</c:v>
                </c:pt>
                <c:pt idx="5">
                  <c:v>Industrials</c:v>
                </c:pt>
                <c:pt idx="6">
                  <c:v>Utilities</c:v>
                </c:pt>
                <c:pt idx="7">
                  <c:v>Basic Materials</c:v>
                </c:pt>
                <c:pt idx="8">
                  <c:v>Consumer Staples</c:v>
                </c:pt>
                <c:pt idx="9">
                  <c:v>Energy</c:v>
                </c:pt>
                <c:pt idx="10">
                  <c:v>Health Care</c:v>
                </c:pt>
              </c:strCache>
            </c:strRef>
          </c:cat>
          <c:val>
            <c:numRef>
              <c:f>'[Tables for Results.xlsx]Stock Turnover in Days'!$D$51:$D$61</c:f>
              <c:numCache>
                <c:formatCode>0.00</c:formatCode>
                <c:ptCount val="11"/>
                <c:pt idx="0">
                  <c:v>880.27754551507223</c:v>
                </c:pt>
                <c:pt idx="1">
                  <c:v>117.90337079442999</c:v>
                </c:pt>
                <c:pt idx="2">
                  <c:v>37.85069693987473</c:v>
                </c:pt>
                <c:pt idx="3">
                  <c:v>11.618077805946694</c:v>
                </c:pt>
                <c:pt idx="4">
                  <c:v>126.30388726915071</c:v>
                </c:pt>
                <c:pt idx="5">
                  <c:v>105.66243539752428</c:v>
                </c:pt>
                <c:pt idx="6">
                  <c:v>45.894529766794143</c:v>
                </c:pt>
                <c:pt idx="7">
                  <c:v>92.646009144629204</c:v>
                </c:pt>
                <c:pt idx="8">
                  <c:v>63.947987977911282</c:v>
                </c:pt>
                <c:pt idx="9">
                  <c:v>50.242639803730398</c:v>
                </c:pt>
                <c:pt idx="10">
                  <c:v>101.9091112764095</c:v>
                </c:pt>
              </c:numCache>
            </c:numRef>
          </c:val>
          <c:extLst>
            <c:ext xmlns:c16="http://schemas.microsoft.com/office/drawing/2014/chart" uri="{C3380CC4-5D6E-409C-BE32-E72D297353CC}">
              <c16:uniqueId val="{00000002-7544-A94A-ACE4-EA2F1DA5A164}"/>
            </c:ext>
          </c:extLst>
        </c:ser>
        <c:dLbls>
          <c:showLegendKey val="0"/>
          <c:showVal val="0"/>
          <c:showCatName val="0"/>
          <c:showSerName val="0"/>
          <c:showPercent val="0"/>
          <c:showBubbleSize val="0"/>
        </c:dLbls>
        <c:gapWidth val="219"/>
        <c:overlap val="-27"/>
        <c:axId val="217881712"/>
        <c:axId val="217756480"/>
      </c:barChart>
      <c:catAx>
        <c:axId val="217881712"/>
        <c:scaling>
          <c:orientation val="minMax"/>
        </c:scaling>
        <c:delete val="0"/>
        <c:axPos val="b"/>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217756480"/>
        <c:crosses val="autoZero"/>
        <c:auto val="1"/>
        <c:lblAlgn val="ctr"/>
        <c:lblOffset val="100"/>
        <c:noMultiLvlLbl val="0"/>
      </c:catAx>
      <c:valAx>
        <c:axId val="217756480"/>
        <c:scaling>
          <c:orientation val="minMax"/>
        </c:scaling>
        <c:delete val="0"/>
        <c:axPos val="l"/>
        <c:majorGridlines>
          <c:spPr>
            <a:ln w="9525" cap="flat" cmpd="sng" algn="ctr">
              <a:solidFill>
                <a:schemeClr val="tx1">
                  <a:lumMod val="15000"/>
                  <a:lumOff val="85000"/>
                </a:schemeClr>
              </a:solidFill>
              <a:round/>
            </a:ln>
            <a:effectLst/>
          </c:spPr>
        </c:majorGridlines>
        <c:numFmt formatCode="0.00"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217881712"/>
        <c:crosses val="autoZero"/>
        <c:crossBetween val="between"/>
      </c:valAx>
      <c:dTable>
        <c:showHorzBorder val="1"/>
        <c:showVertBorder val="1"/>
        <c:showOutline val="1"/>
        <c:showKeys val="1"/>
        <c:spPr>
          <a:noFill/>
          <a:ln w="9525" cap="flat" cmpd="sng" algn="ctr">
            <a:solidFill>
              <a:schemeClr val="tx1">
                <a:lumMod val="15000"/>
                <a:lumOff val="85000"/>
              </a:schemeClr>
            </a:solidFill>
            <a:round/>
          </a:ln>
          <a:effectLst/>
        </c:spPr>
        <c:txPr>
          <a:bodyPr rot="0" spcFirstLastPara="1" vertOverflow="ellipsis" vert="horz" wrap="square" anchor="ctr" anchorCtr="1"/>
          <a:lstStyle/>
          <a:p>
            <a:pPr rtl="0">
              <a:defRPr sz="700" b="0" i="0" u="none" strike="noStrike" kern="1200" baseline="0">
                <a:solidFill>
                  <a:schemeClr val="tx1">
                    <a:lumMod val="65000"/>
                    <a:lumOff val="35000"/>
                  </a:schemeClr>
                </a:solidFill>
                <a:latin typeface="+mn-lt"/>
                <a:ea typeface="+mn-ea"/>
                <a:cs typeface="+mn-cs"/>
              </a:defRPr>
            </a:pPr>
            <a:endParaRPr lang="en-US"/>
          </a:p>
        </c:txPr>
      </c:dTable>
      <c:spPr>
        <a:noFill/>
        <a:ln>
          <a:noFill/>
        </a:ln>
        <a:effectLst/>
      </c:spPr>
    </c:plotArea>
    <c:plotVisOnly val="1"/>
    <c:dispBlanksAs val="gap"/>
    <c:showDLblsOverMax val="0"/>
  </c:chart>
  <c:spPr>
    <a:solidFill>
      <a:schemeClr val="bg1"/>
    </a:solidFill>
    <a:ln w="9525" cap="flat" cmpd="sng" algn="ctr">
      <a:noFill/>
      <a:round/>
    </a:ln>
    <a:effectLst/>
  </c:spPr>
  <c:txPr>
    <a:bodyPr/>
    <a:lstStyle/>
    <a:p>
      <a:pPr>
        <a:defRPr/>
      </a:pPr>
      <a:endParaRPr lang="en-US"/>
    </a:p>
  </c:txPr>
  <c:externalData r:id="rId4">
    <c:autoUpdate val="0"/>
  </c:externalData>
</c:chartSpace>
</file>

<file path=word/charts/chart13.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lrMapOvr bg1="lt1" tx1="dk1" bg2="lt2" tx2="dk2" accent1="accent1" accent2="accent2" accent3="accent3" accent4="accent4" accent5="accent5" accent6="accent6" hlink="hlink" folHlink="folHlink"/>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Capital Employed Turnover</a:t>
            </a: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barChart>
        <c:barDir val="col"/>
        <c:grouping val="clustered"/>
        <c:varyColors val="0"/>
        <c:ser>
          <c:idx val="0"/>
          <c:order val="0"/>
          <c:tx>
            <c:strRef>
              <c:f>'[Tables for Results.xlsx]Capital Employed Turnover'!$B$2</c:f>
              <c:strCache>
                <c:ptCount val="1"/>
                <c:pt idx="0">
                  <c:v>2019</c:v>
                </c:pt>
              </c:strCache>
            </c:strRef>
          </c:tx>
          <c:spPr>
            <a:solidFill>
              <a:schemeClr val="accent1"/>
            </a:solidFill>
            <a:ln>
              <a:noFill/>
            </a:ln>
            <a:effectLst/>
          </c:spPr>
          <c:invertIfNegative val="0"/>
          <c:cat>
            <c:strRef>
              <c:f>'[Tables for Results.xlsx]Capital Employed Turnover'!$A$51:$A$61</c:f>
              <c:strCache>
                <c:ptCount val="11"/>
                <c:pt idx="0">
                  <c:v>Financials</c:v>
                </c:pt>
                <c:pt idx="1">
                  <c:v>Consumer Discretionary</c:v>
                </c:pt>
                <c:pt idx="2">
                  <c:v>Telecommunications</c:v>
                </c:pt>
                <c:pt idx="3">
                  <c:v>Technology</c:v>
                </c:pt>
                <c:pt idx="4">
                  <c:v>Real Estate</c:v>
                </c:pt>
                <c:pt idx="5">
                  <c:v>Industrials</c:v>
                </c:pt>
                <c:pt idx="6">
                  <c:v>Utilities</c:v>
                </c:pt>
                <c:pt idx="7">
                  <c:v>Basic Materials</c:v>
                </c:pt>
                <c:pt idx="8">
                  <c:v>Consumer Staples</c:v>
                </c:pt>
                <c:pt idx="9">
                  <c:v>Energy</c:v>
                </c:pt>
                <c:pt idx="10">
                  <c:v>Health Care</c:v>
                </c:pt>
              </c:strCache>
            </c:strRef>
          </c:cat>
          <c:val>
            <c:numRef>
              <c:f>'[Tables for Results.xlsx]Capital Employed Turnover'!$B$51:$B$61</c:f>
              <c:numCache>
                <c:formatCode>0.00</c:formatCode>
                <c:ptCount val="11"/>
                <c:pt idx="0">
                  <c:v>0.22506939959734631</c:v>
                </c:pt>
                <c:pt idx="1">
                  <c:v>1.9637279467776207</c:v>
                </c:pt>
                <c:pt idx="2">
                  <c:v>0.76251749858781692</c:v>
                </c:pt>
                <c:pt idx="3">
                  <c:v>2.8681721899760264</c:v>
                </c:pt>
                <c:pt idx="4">
                  <c:v>0.21939108794282394</c:v>
                </c:pt>
                <c:pt idx="5">
                  <c:v>1.7866328759668733</c:v>
                </c:pt>
                <c:pt idx="6">
                  <c:v>1.3685045590360287</c:v>
                </c:pt>
                <c:pt idx="7">
                  <c:v>0.79636845832372649</c:v>
                </c:pt>
                <c:pt idx="8">
                  <c:v>1.9353411900630999</c:v>
                </c:pt>
                <c:pt idx="9">
                  <c:v>0.44384265761287489</c:v>
                </c:pt>
                <c:pt idx="10">
                  <c:v>0.65220553172161988</c:v>
                </c:pt>
              </c:numCache>
            </c:numRef>
          </c:val>
          <c:extLst>
            <c:ext xmlns:c16="http://schemas.microsoft.com/office/drawing/2014/chart" uri="{C3380CC4-5D6E-409C-BE32-E72D297353CC}">
              <c16:uniqueId val="{00000000-A34D-6249-B3ED-74F63F92FE0A}"/>
            </c:ext>
          </c:extLst>
        </c:ser>
        <c:ser>
          <c:idx val="1"/>
          <c:order val="1"/>
          <c:tx>
            <c:strRef>
              <c:f>'[Tables for Results.xlsx]Capital Employed Turnover'!$C$2</c:f>
              <c:strCache>
                <c:ptCount val="1"/>
                <c:pt idx="0">
                  <c:v>2020</c:v>
                </c:pt>
              </c:strCache>
            </c:strRef>
          </c:tx>
          <c:spPr>
            <a:solidFill>
              <a:schemeClr val="accent2"/>
            </a:solidFill>
            <a:ln>
              <a:noFill/>
            </a:ln>
            <a:effectLst/>
          </c:spPr>
          <c:invertIfNegative val="0"/>
          <c:cat>
            <c:strRef>
              <c:f>'[Tables for Results.xlsx]Capital Employed Turnover'!$A$51:$A$61</c:f>
              <c:strCache>
                <c:ptCount val="11"/>
                <c:pt idx="0">
                  <c:v>Financials</c:v>
                </c:pt>
                <c:pt idx="1">
                  <c:v>Consumer Discretionary</c:v>
                </c:pt>
                <c:pt idx="2">
                  <c:v>Telecommunications</c:v>
                </c:pt>
                <c:pt idx="3">
                  <c:v>Technology</c:v>
                </c:pt>
                <c:pt idx="4">
                  <c:v>Real Estate</c:v>
                </c:pt>
                <c:pt idx="5">
                  <c:v>Industrials</c:v>
                </c:pt>
                <c:pt idx="6">
                  <c:v>Utilities</c:v>
                </c:pt>
                <c:pt idx="7">
                  <c:v>Basic Materials</c:v>
                </c:pt>
                <c:pt idx="8">
                  <c:v>Consumer Staples</c:v>
                </c:pt>
                <c:pt idx="9">
                  <c:v>Energy</c:v>
                </c:pt>
                <c:pt idx="10">
                  <c:v>Health Care</c:v>
                </c:pt>
              </c:strCache>
            </c:strRef>
          </c:cat>
          <c:val>
            <c:numRef>
              <c:f>'[Tables for Results.xlsx]Capital Employed Turnover'!$C$51:$C$61</c:f>
              <c:numCache>
                <c:formatCode>0.00</c:formatCode>
                <c:ptCount val="11"/>
                <c:pt idx="0">
                  <c:v>0.21299806073074731</c:v>
                </c:pt>
                <c:pt idx="1">
                  <c:v>1.2606597582869596</c:v>
                </c:pt>
                <c:pt idx="2">
                  <c:v>0.69643725793090883</c:v>
                </c:pt>
                <c:pt idx="3">
                  <c:v>2.3948768387114376</c:v>
                </c:pt>
                <c:pt idx="4">
                  <c:v>0.18572222325685325</c:v>
                </c:pt>
                <c:pt idx="5">
                  <c:v>1.5542087405207516</c:v>
                </c:pt>
                <c:pt idx="6">
                  <c:v>1.0196897744989741</c:v>
                </c:pt>
                <c:pt idx="7">
                  <c:v>0.76669342440890165</c:v>
                </c:pt>
                <c:pt idx="8">
                  <c:v>1.6519933416551318</c:v>
                </c:pt>
                <c:pt idx="9">
                  <c:v>0.35160174909115083</c:v>
                </c:pt>
                <c:pt idx="10">
                  <c:v>0.63747929508094192</c:v>
                </c:pt>
              </c:numCache>
            </c:numRef>
          </c:val>
          <c:extLst>
            <c:ext xmlns:c16="http://schemas.microsoft.com/office/drawing/2014/chart" uri="{C3380CC4-5D6E-409C-BE32-E72D297353CC}">
              <c16:uniqueId val="{00000001-A34D-6249-B3ED-74F63F92FE0A}"/>
            </c:ext>
          </c:extLst>
        </c:ser>
        <c:ser>
          <c:idx val="2"/>
          <c:order val="2"/>
          <c:tx>
            <c:strRef>
              <c:f>'[Tables for Results.xlsx]Capital Employed Turnover'!$D$2</c:f>
              <c:strCache>
                <c:ptCount val="1"/>
                <c:pt idx="0">
                  <c:v>2021</c:v>
                </c:pt>
              </c:strCache>
            </c:strRef>
          </c:tx>
          <c:spPr>
            <a:solidFill>
              <a:schemeClr val="accent3"/>
            </a:solidFill>
            <a:ln>
              <a:noFill/>
            </a:ln>
            <a:effectLst/>
          </c:spPr>
          <c:invertIfNegative val="0"/>
          <c:cat>
            <c:strRef>
              <c:f>'[Tables for Results.xlsx]Capital Employed Turnover'!$A$51:$A$61</c:f>
              <c:strCache>
                <c:ptCount val="11"/>
                <c:pt idx="0">
                  <c:v>Financials</c:v>
                </c:pt>
                <c:pt idx="1">
                  <c:v>Consumer Discretionary</c:v>
                </c:pt>
                <c:pt idx="2">
                  <c:v>Telecommunications</c:v>
                </c:pt>
                <c:pt idx="3">
                  <c:v>Technology</c:v>
                </c:pt>
                <c:pt idx="4">
                  <c:v>Real Estate</c:v>
                </c:pt>
                <c:pt idx="5">
                  <c:v>Industrials</c:v>
                </c:pt>
                <c:pt idx="6">
                  <c:v>Utilities</c:v>
                </c:pt>
                <c:pt idx="7">
                  <c:v>Basic Materials</c:v>
                </c:pt>
                <c:pt idx="8">
                  <c:v>Consumer Staples</c:v>
                </c:pt>
                <c:pt idx="9">
                  <c:v>Energy</c:v>
                </c:pt>
                <c:pt idx="10">
                  <c:v>Health Care</c:v>
                </c:pt>
              </c:strCache>
            </c:strRef>
          </c:cat>
          <c:val>
            <c:numRef>
              <c:f>'[Tables for Results.xlsx]Capital Employed Turnover'!$D$51:$D$61</c:f>
              <c:numCache>
                <c:formatCode>0.00</c:formatCode>
                <c:ptCount val="11"/>
                <c:pt idx="0">
                  <c:v>0.27889203365443954</c:v>
                </c:pt>
                <c:pt idx="1">
                  <c:v>1.3637404139948965</c:v>
                </c:pt>
                <c:pt idx="2">
                  <c:v>0.69580665591821234</c:v>
                </c:pt>
                <c:pt idx="3">
                  <c:v>2.2851799745656458</c:v>
                </c:pt>
                <c:pt idx="4">
                  <c:v>0.20505379730811477</c:v>
                </c:pt>
                <c:pt idx="5">
                  <c:v>1.618362801422665</c:v>
                </c:pt>
                <c:pt idx="6">
                  <c:v>1.1604622168474918</c:v>
                </c:pt>
                <c:pt idx="7">
                  <c:v>0.8420739741764468</c:v>
                </c:pt>
                <c:pt idx="8">
                  <c:v>2.2584419389594976</c:v>
                </c:pt>
                <c:pt idx="9">
                  <c:v>0.35995450206450946</c:v>
                </c:pt>
                <c:pt idx="10">
                  <c:v>0.70167692333710718</c:v>
                </c:pt>
              </c:numCache>
            </c:numRef>
          </c:val>
          <c:extLst>
            <c:ext xmlns:c16="http://schemas.microsoft.com/office/drawing/2014/chart" uri="{C3380CC4-5D6E-409C-BE32-E72D297353CC}">
              <c16:uniqueId val="{00000002-A34D-6249-B3ED-74F63F92FE0A}"/>
            </c:ext>
          </c:extLst>
        </c:ser>
        <c:dLbls>
          <c:showLegendKey val="0"/>
          <c:showVal val="0"/>
          <c:showCatName val="0"/>
          <c:showSerName val="0"/>
          <c:showPercent val="0"/>
          <c:showBubbleSize val="0"/>
        </c:dLbls>
        <c:gapWidth val="219"/>
        <c:overlap val="-27"/>
        <c:axId val="217881712"/>
        <c:axId val="217756480"/>
      </c:barChart>
      <c:catAx>
        <c:axId val="217881712"/>
        <c:scaling>
          <c:orientation val="minMax"/>
        </c:scaling>
        <c:delete val="0"/>
        <c:axPos val="b"/>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217756480"/>
        <c:crosses val="autoZero"/>
        <c:auto val="1"/>
        <c:lblAlgn val="ctr"/>
        <c:lblOffset val="100"/>
        <c:noMultiLvlLbl val="0"/>
      </c:catAx>
      <c:valAx>
        <c:axId val="217756480"/>
        <c:scaling>
          <c:orientation val="minMax"/>
        </c:scaling>
        <c:delete val="0"/>
        <c:axPos val="l"/>
        <c:majorGridlines>
          <c:spPr>
            <a:ln w="9525" cap="flat" cmpd="sng" algn="ctr">
              <a:solidFill>
                <a:schemeClr val="tx1">
                  <a:lumMod val="15000"/>
                  <a:lumOff val="85000"/>
                </a:schemeClr>
              </a:solidFill>
              <a:round/>
            </a:ln>
            <a:effectLst/>
          </c:spPr>
        </c:majorGridlines>
        <c:numFmt formatCode="0.00"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217881712"/>
        <c:crosses val="autoZero"/>
        <c:crossBetween val="between"/>
      </c:valAx>
      <c:dTable>
        <c:showHorzBorder val="1"/>
        <c:showVertBorder val="1"/>
        <c:showOutline val="1"/>
        <c:showKeys val="1"/>
        <c:spPr>
          <a:noFill/>
          <a:ln w="9525" cap="flat" cmpd="sng" algn="ctr">
            <a:solidFill>
              <a:schemeClr val="tx1">
                <a:lumMod val="15000"/>
                <a:lumOff val="85000"/>
              </a:schemeClr>
            </a:solidFill>
            <a:round/>
          </a:ln>
          <a:effectLst/>
        </c:spPr>
        <c:txPr>
          <a:bodyPr rot="0" spcFirstLastPara="1" vertOverflow="ellipsis" vert="horz" wrap="square" anchor="ctr" anchorCtr="1"/>
          <a:lstStyle/>
          <a:p>
            <a:pPr rtl="0">
              <a:defRPr sz="700" b="0" i="0" u="none" strike="noStrike" kern="1200" baseline="0">
                <a:solidFill>
                  <a:schemeClr val="tx1">
                    <a:lumMod val="65000"/>
                    <a:lumOff val="35000"/>
                  </a:schemeClr>
                </a:solidFill>
                <a:latin typeface="+mn-lt"/>
                <a:ea typeface="+mn-ea"/>
                <a:cs typeface="+mn-cs"/>
              </a:defRPr>
            </a:pPr>
            <a:endParaRPr lang="en-US"/>
          </a:p>
        </c:txPr>
      </c:dTable>
      <c:spPr>
        <a:noFill/>
        <a:ln>
          <a:noFill/>
        </a:ln>
        <a:effectLst/>
      </c:spPr>
    </c:plotArea>
    <c:plotVisOnly val="1"/>
    <c:dispBlanksAs val="gap"/>
    <c:showDLblsOverMax val="0"/>
  </c:chart>
  <c:spPr>
    <a:solidFill>
      <a:schemeClr val="bg1"/>
    </a:solidFill>
    <a:ln w="9525" cap="flat" cmpd="sng" algn="ctr">
      <a:noFill/>
      <a:round/>
    </a:ln>
    <a:effectLst/>
  </c:spPr>
  <c:txPr>
    <a:bodyPr/>
    <a:lstStyle/>
    <a:p>
      <a:pPr>
        <a:defRPr/>
      </a:pPr>
      <a:endParaRPr lang="en-US"/>
    </a:p>
  </c:txPr>
  <c:externalData r:id="rId4">
    <c:autoUpdate val="0"/>
  </c:externalData>
</c:chartSpace>
</file>

<file path=word/charts/chart14.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lrMapOvr bg1="lt1" tx1="dk1" bg2="lt2" tx2="dk2" accent1="accent1" accent2="accent2" accent3="accent3" accent4="accent4" accent5="accent5" accent6="accent6" hlink="hlink" folHlink="folHlink"/>
  <c:chart>
    <c:title>
      <c:tx>
        <c:rich>
          <a:bodyPr rot="0" spcFirstLastPara="1" vertOverflow="ellipsis" vert="horz" wrap="square" anchor="ctr" anchorCtr="1"/>
          <a:lstStyle/>
          <a:p>
            <a:pPr>
              <a:defRPr sz="840" b="0" i="0" u="none" strike="noStrike" kern="1200" spc="0" baseline="0">
                <a:solidFill>
                  <a:schemeClr val="tx1">
                    <a:lumMod val="65000"/>
                    <a:lumOff val="35000"/>
                  </a:schemeClr>
                </a:solidFill>
                <a:latin typeface="+mn-lt"/>
                <a:ea typeface="+mn-ea"/>
                <a:cs typeface="+mn-cs"/>
              </a:defRPr>
            </a:pPr>
            <a:r>
              <a:rPr lang="en-GB" sz="1400"/>
              <a:t>Current Ratio</a:t>
            </a:r>
          </a:p>
        </c:rich>
      </c:tx>
      <c:overlay val="0"/>
      <c:spPr>
        <a:noFill/>
        <a:ln>
          <a:noFill/>
        </a:ln>
        <a:effectLst/>
      </c:spPr>
      <c:txPr>
        <a:bodyPr rot="0" spcFirstLastPara="1" vertOverflow="ellipsis" vert="horz" wrap="square" anchor="ctr" anchorCtr="1"/>
        <a:lstStyle/>
        <a:p>
          <a:pPr>
            <a:defRPr sz="84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barChart>
        <c:barDir val="col"/>
        <c:grouping val="clustered"/>
        <c:varyColors val="0"/>
        <c:ser>
          <c:idx val="0"/>
          <c:order val="0"/>
          <c:tx>
            <c:strRef>
              <c:f>'[Tables for Results.xlsx]Current Ratio'!$B$2</c:f>
              <c:strCache>
                <c:ptCount val="1"/>
                <c:pt idx="0">
                  <c:v>2019</c:v>
                </c:pt>
              </c:strCache>
            </c:strRef>
          </c:tx>
          <c:spPr>
            <a:solidFill>
              <a:schemeClr val="accent1"/>
            </a:solidFill>
            <a:ln>
              <a:noFill/>
            </a:ln>
            <a:effectLst/>
          </c:spPr>
          <c:invertIfNegative val="0"/>
          <c:cat>
            <c:strRef>
              <c:f>'[Tables for Results.xlsx]Current Ratio'!$A$51:$A$61</c:f>
              <c:strCache>
                <c:ptCount val="11"/>
                <c:pt idx="0">
                  <c:v>Financials</c:v>
                </c:pt>
                <c:pt idx="1">
                  <c:v>Consumer Discretionary</c:v>
                </c:pt>
                <c:pt idx="2">
                  <c:v>Telecommunications</c:v>
                </c:pt>
                <c:pt idx="3">
                  <c:v>Technology</c:v>
                </c:pt>
                <c:pt idx="4">
                  <c:v>Real Estate</c:v>
                </c:pt>
                <c:pt idx="5">
                  <c:v>Industrials</c:v>
                </c:pt>
                <c:pt idx="6">
                  <c:v>Utilities</c:v>
                </c:pt>
                <c:pt idx="7">
                  <c:v>Basic Materials</c:v>
                </c:pt>
                <c:pt idx="8">
                  <c:v>Consumer Staples</c:v>
                </c:pt>
                <c:pt idx="9">
                  <c:v>Energy</c:v>
                </c:pt>
                <c:pt idx="10">
                  <c:v>Health Care</c:v>
                </c:pt>
              </c:strCache>
            </c:strRef>
          </c:cat>
          <c:val>
            <c:numRef>
              <c:f>'[Tables for Results.xlsx]Current Ratio'!$B$51:$B$61</c:f>
              <c:numCache>
                <c:formatCode>0.00</c:formatCode>
                <c:ptCount val="11"/>
                <c:pt idx="0">
                  <c:v>25.040508925031315</c:v>
                </c:pt>
                <c:pt idx="1">
                  <c:v>1.521951957805235</c:v>
                </c:pt>
                <c:pt idx="2">
                  <c:v>1.895922795209632</c:v>
                </c:pt>
                <c:pt idx="3">
                  <c:v>1.2069714977255763</c:v>
                </c:pt>
                <c:pt idx="4">
                  <c:v>2.4515250342614112</c:v>
                </c:pt>
                <c:pt idx="5">
                  <c:v>1.5857510506519117</c:v>
                </c:pt>
                <c:pt idx="6">
                  <c:v>1.1839766916701568</c:v>
                </c:pt>
                <c:pt idx="7">
                  <c:v>2.0514288155839178</c:v>
                </c:pt>
                <c:pt idx="8">
                  <c:v>0.98726751382799849</c:v>
                </c:pt>
                <c:pt idx="9">
                  <c:v>1.6047247917262024</c:v>
                </c:pt>
                <c:pt idx="10">
                  <c:v>1.855587678479824</c:v>
                </c:pt>
              </c:numCache>
            </c:numRef>
          </c:val>
          <c:extLst>
            <c:ext xmlns:c16="http://schemas.microsoft.com/office/drawing/2014/chart" uri="{C3380CC4-5D6E-409C-BE32-E72D297353CC}">
              <c16:uniqueId val="{00000000-B976-074F-84D5-7DBE60254266}"/>
            </c:ext>
          </c:extLst>
        </c:ser>
        <c:ser>
          <c:idx val="1"/>
          <c:order val="1"/>
          <c:tx>
            <c:strRef>
              <c:f>'[Tables for Results.xlsx]Current Ratio'!$C$2</c:f>
              <c:strCache>
                <c:ptCount val="1"/>
                <c:pt idx="0">
                  <c:v>2020</c:v>
                </c:pt>
              </c:strCache>
            </c:strRef>
          </c:tx>
          <c:spPr>
            <a:solidFill>
              <a:schemeClr val="accent2"/>
            </a:solidFill>
            <a:ln>
              <a:noFill/>
            </a:ln>
            <a:effectLst/>
          </c:spPr>
          <c:invertIfNegative val="0"/>
          <c:cat>
            <c:strRef>
              <c:f>'[Tables for Results.xlsx]Current Ratio'!$A$51:$A$61</c:f>
              <c:strCache>
                <c:ptCount val="11"/>
                <c:pt idx="0">
                  <c:v>Financials</c:v>
                </c:pt>
                <c:pt idx="1">
                  <c:v>Consumer Discretionary</c:v>
                </c:pt>
                <c:pt idx="2">
                  <c:v>Telecommunications</c:v>
                </c:pt>
                <c:pt idx="3">
                  <c:v>Technology</c:v>
                </c:pt>
                <c:pt idx="4">
                  <c:v>Real Estate</c:v>
                </c:pt>
                <c:pt idx="5">
                  <c:v>Industrials</c:v>
                </c:pt>
                <c:pt idx="6">
                  <c:v>Utilities</c:v>
                </c:pt>
                <c:pt idx="7">
                  <c:v>Basic Materials</c:v>
                </c:pt>
                <c:pt idx="8">
                  <c:v>Consumer Staples</c:v>
                </c:pt>
                <c:pt idx="9">
                  <c:v>Energy</c:v>
                </c:pt>
                <c:pt idx="10">
                  <c:v>Health Care</c:v>
                </c:pt>
              </c:strCache>
            </c:strRef>
          </c:cat>
          <c:val>
            <c:numRef>
              <c:f>'[Tables for Results.xlsx]Current Ratio'!$C$51:$C$61</c:f>
              <c:numCache>
                <c:formatCode>0.00</c:formatCode>
                <c:ptCount val="11"/>
                <c:pt idx="0">
                  <c:v>23.24207133398189</c:v>
                </c:pt>
                <c:pt idx="1">
                  <c:v>1.5408784892333898</c:v>
                </c:pt>
                <c:pt idx="2">
                  <c:v>2.8093733314166016</c:v>
                </c:pt>
                <c:pt idx="3">
                  <c:v>1.3822226480495845</c:v>
                </c:pt>
                <c:pt idx="4">
                  <c:v>4.0567909640266304</c:v>
                </c:pt>
                <c:pt idx="5">
                  <c:v>1.7601635992788955</c:v>
                </c:pt>
                <c:pt idx="6">
                  <c:v>1.2953653761030877</c:v>
                </c:pt>
                <c:pt idx="7">
                  <c:v>2.5232039129809807</c:v>
                </c:pt>
                <c:pt idx="8">
                  <c:v>1.0233564941736628</c:v>
                </c:pt>
                <c:pt idx="9">
                  <c:v>1.5892030550718106</c:v>
                </c:pt>
                <c:pt idx="10">
                  <c:v>1.8079634820714958</c:v>
                </c:pt>
              </c:numCache>
            </c:numRef>
          </c:val>
          <c:extLst>
            <c:ext xmlns:c16="http://schemas.microsoft.com/office/drawing/2014/chart" uri="{C3380CC4-5D6E-409C-BE32-E72D297353CC}">
              <c16:uniqueId val="{00000001-B976-074F-84D5-7DBE60254266}"/>
            </c:ext>
          </c:extLst>
        </c:ser>
        <c:ser>
          <c:idx val="2"/>
          <c:order val="2"/>
          <c:tx>
            <c:strRef>
              <c:f>'[Tables for Results.xlsx]Current Ratio'!$D$2</c:f>
              <c:strCache>
                <c:ptCount val="1"/>
                <c:pt idx="0">
                  <c:v>2021</c:v>
                </c:pt>
              </c:strCache>
            </c:strRef>
          </c:tx>
          <c:spPr>
            <a:solidFill>
              <a:schemeClr val="accent3"/>
            </a:solidFill>
            <a:ln>
              <a:noFill/>
            </a:ln>
            <a:effectLst/>
          </c:spPr>
          <c:invertIfNegative val="0"/>
          <c:cat>
            <c:strRef>
              <c:f>'[Tables for Results.xlsx]Current Ratio'!$A$51:$A$61</c:f>
              <c:strCache>
                <c:ptCount val="11"/>
                <c:pt idx="0">
                  <c:v>Financials</c:v>
                </c:pt>
                <c:pt idx="1">
                  <c:v>Consumer Discretionary</c:v>
                </c:pt>
                <c:pt idx="2">
                  <c:v>Telecommunications</c:v>
                </c:pt>
                <c:pt idx="3">
                  <c:v>Technology</c:v>
                </c:pt>
                <c:pt idx="4">
                  <c:v>Real Estate</c:v>
                </c:pt>
                <c:pt idx="5">
                  <c:v>Industrials</c:v>
                </c:pt>
                <c:pt idx="6">
                  <c:v>Utilities</c:v>
                </c:pt>
                <c:pt idx="7">
                  <c:v>Basic Materials</c:v>
                </c:pt>
                <c:pt idx="8">
                  <c:v>Consumer Staples</c:v>
                </c:pt>
                <c:pt idx="9">
                  <c:v>Energy</c:v>
                </c:pt>
                <c:pt idx="10">
                  <c:v>Health Care</c:v>
                </c:pt>
              </c:strCache>
            </c:strRef>
          </c:cat>
          <c:val>
            <c:numRef>
              <c:f>'[Tables for Results.xlsx]Current Ratio'!$D$51:$D$61</c:f>
              <c:numCache>
                <c:formatCode>0.00</c:formatCode>
                <c:ptCount val="11"/>
                <c:pt idx="0">
                  <c:v>18.208768909760877</c:v>
                </c:pt>
                <c:pt idx="1">
                  <c:v>1.5875037025368828</c:v>
                </c:pt>
                <c:pt idx="2">
                  <c:v>2.3936076628005316</c:v>
                </c:pt>
                <c:pt idx="3">
                  <c:v>4.0455434641009038</c:v>
                </c:pt>
                <c:pt idx="4">
                  <c:v>4.4199226243792564</c:v>
                </c:pt>
                <c:pt idx="5">
                  <c:v>1.6311136649256266</c:v>
                </c:pt>
                <c:pt idx="6">
                  <c:v>1.0702759558913506</c:v>
                </c:pt>
                <c:pt idx="7">
                  <c:v>2.4146438011766529</c:v>
                </c:pt>
                <c:pt idx="8">
                  <c:v>1.1064934026547006</c:v>
                </c:pt>
                <c:pt idx="9">
                  <c:v>3.1301773107002733</c:v>
                </c:pt>
                <c:pt idx="10">
                  <c:v>2.2881332256767446</c:v>
                </c:pt>
              </c:numCache>
            </c:numRef>
          </c:val>
          <c:extLst>
            <c:ext xmlns:c16="http://schemas.microsoft.com/office/drawing/2014/chart" uri="{C3380CC4-5D6E-409C-BE32-E72D297353CC}">
              <c16:uniqueId val="{00000002-B976-074F-84D5-7DBE60254266}"/>
            </c:ext>
          </c:extLst>
        </c:ser>
        <c:dLbls>
          <c:showLegendKey val="0"/>
          <c:showVal val="0"/>
          <c:showCatName val="0"/>
          <c:showSerName val="0"/>
          <c:showPercent val="0"/>
          <c:showBubbleSize val="0"/>
        </c:dLbls>
        <c:gapWidth val="219"/>
        <c:overlap val="-27"/>
        <c:axId val="217881712"/>
        <c:axId val="217756480"/>
      </c:barChart>
      <c:catAx>
        <c:axId val="217881712"/>
        <c:scaling>
          <c:orientation val="minMax"/>
        </c:scaling>
        <c:delete val="0"/>
        <c:axPos val="b"/>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700" b="0" i="0" u="none" strike="noStrike" kern="1200" baseline="0">
                <a:solidFill>
                  <a:schemeClr val="tx1">
                    <a:lumMod val="65000"/>
                    <a:lumOff val="35000"/>
                  </a:schemeClr>
                </a:solidFill>
                <a:latin typeface="+mn-lt"/>
                <a:ea typeface="+mn-ea"/>
                <a:cs typeface="+mn-cs"/>
              </a:defRPr>
            </a:pPr>
            <a:endParaRPr lang="en-US"/>
          </a:p>
        </c:txPr>
        <c:crossAx val="217756480"/>
        <c:crosses val="autoZero"/>
        <c:auto val="1"/>
        <c:lblAlgn val="ctr"/>
        <c:lblOffset val="100"/>
        <c:noMultiLvlLbl val="0"/>
      </c:catAx>
      <c:valAx>
        <c:axId val="217756480"/>
        <c:scaling>
          <c:orientation val="minMax"/>
        </c:scaling>
        <c:delete val="0"/>
        <c:axPos val="l"/>
        <c:majorGridlines>
          <c:spPr>
            <a:ln w="9525" cap="flat" cmpd="sng" algn="ctr">
              <a:solidFill>
                <a:schemeClr val="tx1">
                  <a:lumMod val="15000"/>
                  <a:lumOff val="85000"/>
                </a:schemeClr>
              </a:solidFill>
              <a:round/>
            </a:ln>
            <a:effectLst/>
          </c:spPr>
        </c:majorGridlines>
        <c:numFmt formatCode="0.00" sourceLinked="1"/>
        <c:majorTickMark val="none"/>
        <c:minorTickMark val="none"/>
        <c:tickLblPos val="nextTo"/>
        <c:spPr>
          <a:noFill/>
          <a:ln>
            <a:noFill/>
          </a:ln>
          <a:effectLst/>
        </c:spPr>
        <c:txPr>
          <a:bodyPr rot="-60000000" spcFirstLastPara="1" vertOverflow="ellipsis" vert="horz" wrap="square" anchor="ctr" anchorCtr="1"/>
          <a:lstStyle/>
          <a:p>
            <a:pPr>
              <a:defRPr sz="700" b="0" i="0" u="none" strike="noStrike" kern="1200" baseline="0">
                <a:solidFill>
                  <a:schemeClr val="tx1">
                    <a:lumMod val="65000"/>
                    <a:lumOff val="35000"/>
                  </a:schemeClr>
                </a:solidFill>
                <a:latin typeface="+mn-lt"/>
                <a:ea typeface="+mn-ea"/>
                <a:cs typeface="+mn-cs"/>
              </a:defRPr>
            </a:pPr>
            <a:endParaRPr lang="en-US"/>
          </a:p>
        </c:txPr>
        <c:crossAx val="217881712"/>
        <c:crosses val="autoZero"/>
        <c:crossBetween val="between"/>
      </c:valAx>
      <c:dTable>
        <c:showHorzBorder val="1"/>
        <c:showVertBorder val="1"/>
        <c:showOutline val="1"/>
        <c:showKeys val="1"/>
        <c:spPr>
          <a:noFill/>
          <a:ln w="9525" cap="flat" cmpd="sng" algn="ctr">
            <a:solidFill>
              <a:schemeClr val="tx1">
                <a:lumMod val="15000"/>
                <a:lumOff val="85000"/>
              </a:schemeClr>
            </a:solidFill>
            <a:round/>
          </a:ln>
          <a:effectLst/>
        </c:spPr>
        <c:txPr>
          <a:bodyPr rot="0" spcFirstLastPara="1" vertOverflow="ellipsis" vert="horz" wrap="square" anchor="ctr" anchorCtr="1"/>
          <a:lstStyle/>
          <a:p>
            <a:pPr rtl="0">
              <a:defRPr sz="700" b="0" i="0" u="none" strike="noStrike" kern="1200" baseline="0">
                <a:solidFill>
                  <a:schemeClr val="tx1">
                    <a:lumMod val="65000"/>
                    <a:lumOff val="35000"/>
                  </a:schemeClr>
                </a:solidFill>
                <a:latin typeface="+mn-lt"/>
                <a:ea typeface="+mn-ea"/>
                <a:cs typeface="+mn-cs"/>
              </a:defRPr>
            </a:pPr>
            <a:endParaRPr lang="en-US"/>
          </a:p>
        </c:txPr>
      </c:dTable>
      <c:spPr>
        <a:noFill/>
        <a:ln>
          <a:noFill/>
        </a:ln>
        <a:effectLst/>
      </c:spPr>
    </c:plotArea>
    <c:plotVisOnly val="1"/>
    <c:dispBlanksAs val="gap"/>
    <c:showDLblsOverMax val="0"/>
  </c:chart>
  <c:spPr>
    <a:solidFill>
      <a:schemeClr val="bg1"/>
    </a:solidFill>
    <a:ln w="9525" cap="flat" cmpd="sng" algn="ctr">
      <a:noFill/>
      <a:round/>
    </a:ln>
    <a:effectLst/>
  </c:spPr>
  <c:txPr>
    <a:bodyPr/>
    <a:lstStyle/>
    <a:p>
      <a:pPr>
        <a:defRPr sz="700" baseline="0"/>
      </a:pPr>
      <a:endParaRPr lang="en-US"/>
    </a:p>
  </c:txPr>
  <c:externalData r:id="rId4">
    <c:autoUpdate val="0"/>
  </c:externalData>
</c:chartSpace>
</file>

<file path=word/charts/chart15.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lrMapOvr bg1="lt1" tx1="dk1" bg2="lt2" tx2="dk2" accent1="accent1" accent2="accent2" accent3="accent3" accent4="accent4" accent5="accent5" accent6="accent6" hlink="hlink" folHlink="folHlink"/>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Quick (Acid-test) Ratio</a:t>
            </a: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barChart>
        <c:barDir val="col"/>
        <c:grouping val="clustered"/>
        <c:varyColors val="0"/>
        <c:ser>
          <c:idx val="0"/>
          <c:order val="0"/>
          <c:tx>
            <c:strRef>
              <c:f>'[Tables for Results.xlsx]Quick Ratio (Acid Test)'!$B$2</c:f>
              <c:strCache>
                <c:ptCount val="1"/>
                <c:pt idx="0">
                  <c:v>2019</c:v>
                </c:pt>
              </c:strCache>
            </c:strRef>
          </c:tx>
          <c:spPr>
            <a:solidFill>
              <a:schemeClr val="accent1"/>
            </a:solidFill>
            <a:ln>
              <a:noFill/>
            </a:ln>
            <a:effectLst/>
          </c:spPr>
          <c:invertIfNegative val="0"/>
          <c:cat>
            <c:strRef>
              <c:f>'[Tables for Results.xlsx]Quick Ratio (Acid Test)'!$A$51:$A$61</c:f>
              <c:strCache>
                <c:ptCount val="11"/>
                <c:pt idx="0">
                  <c:v>Financials</c:v>
                </c:pt>
                <c:pt idx="1">
                  <c:v>Consumer Discretionary</c:v>
                </c:pt>
                <c:pt idx="2">
                  <c:v>Telecommunications</c:v>
                </c:pt>
                <c:pt idx="3">
                  <c:v>Technology</c:v>
                </c:pt>
                <c:pt idx="4">
                  <c:v>Real Estate</c:v>
                </c:pt>
                <c:pt idx="5">
                  <c:v>Industrials</c:v>
                </c:pt>
                <c:pt idx="6">
                  <c:v>Utilities</c:v>
                </c:pt>
                <c:pt idx="7">
                  <c:v>Basic Materials</c:v>
                </c:pt>
                <c:pt idx="8">
                  <c:v>Consumer Staples</c:v>
                </c:pt>
                <c:pt idx="9">
                  <c:v>Energy</c:v>
                </c:pt>
                <c:pt idx="10">
                  <c:v>Health Care</c:v>
                </c:pt>
              </c:strCache>
            </c:strRef>
          </c:cat>
          <c:val>
            <c:numRef>
              <c:f>'[Tables for Results.xlsx]Quick Ratio (Acid Test)'!$B$51:$B$61</c:f>
              <c:numCache>
                <c:formatCode>0.00</c:formatCode>
                <c:ptCount val="11"/>
                <c:pt idx="0">
                  <c:v>18.549814460725649</c:v>
                </c:pt>
                <c:pt idx="1">
                  <c:v>0.76381906487950202</c:v>
                </c:pt>
                <c:pt idx="2">
                  <c:v>1.8117906951236322</c:v>
                </c:pt>
                <c:pt idx="3">
                  <c:v>1.1683685947969</c:v>
                </c:pt>
                <c:pt idx="4">
                  <c:v>2.1203077346136654</c:v>
                </c:pt>
                <c:pt idx="5">
                  <c:v>1.1431015566874581</c:v>
                </c:pt>
                <c:pt idx="6">
                  <c:v>1.0056366974767246</c:v>
                </c:pt>
                <c:pt idx="7">
                  <c:v>1.3681287164971963</c:v>
                </c:pt>
                <c:pt idx="8">
                  <c:v>0.71710768178620199</c:v>
                </c:pt>
                <c:pt idx="9">
                  <c:v>1.4134834919290022</c:v>
                </c:pt>
                <c:pt idx="10">
                  <c:v>1.5748100028344933</c:v>
                </c:pt>
              </c:numCache>
            </c:numRef>
          </c:val>
          <c:extLst>
            <c:ext xmlns:c16="http://schemas.microsoft.com/office/drawing/2014/chart" uri="{C3380CC4-5D6E-409C-BE32-E72D297353CC}">
              <c16:uniqueId val="{00000000-CE2E-494F-BCEB-2F395996A94C}"/>
            </c:ext>
          </c:extLst>
        </c:ser>
        <c:ser>
          <c:idx val="1"/>
          <c:order val="1"/>
          <c:tx>
            <c:strRef>
              <c:f>'[Tables for Results.xlsx]Quick Ratio (Acid Test)'!$C$2</c:f>
              <c:strCache>
                <c:ptCount val="1"/>
                <c:pt idx="0">
                  <c:v>2020</c:v>
                </c:pt>
              </c:strCache>
            </c:strRef>
          </c:tx>
          <c:spPr>
            <a:solidFill>
              <a:schemeClr val="accent2"/>
            </a:solidFill>
            <a:ln>
              <a:noFill/>
            </a:ln>
            <a:effectLst/>
          </c:spPr>
          <c:invertIfNegative val="0"/>
          <c:cat>
            <c:strRef>
              <c:f>'[Tables for Results.xlsx]Quick Ratio (Acid Test)'!$A$51:$A$61</c:f>
              <c:strCache>
                <c:ptCount val="11"/>
                <c:pt idx="0">
                  <c:v>Financials</c:v>
                </c:pt>
                <c:pt idx="1">
                  <c:v>Consumer Discretionary</c:v>
                </c:pt>
                <c:pt idx="2">
                  <c:v>Telecommunications</c:v>
                </c:pt>
                <c:pt idx="3">
                  <c:v>Technology</c:v>
                </c:pt>
                <c:pt idx="4">
                  <c:v>Real Estate</c:v>
                </c:pt>
                <c:pt idx="5">
                  <c:v>Industrials</c:v>
                </c:pt>
                <c:pt idx="6">
                  <c:v>Utilities</c:v>
                </c:pt>
                <c:pt idx="7">
                  <c:v>Basic Materials</c:v>
                </c:pt>
                <c:pt idx="8">
                  <c:v>Consumer Staples</c:v>
                </c:pt>
                <c:pt idx="9">
                  <c:v>Energy</c:v>
                </c:pt>
                <c:pt idx="10">
                  <c:v>Health Care</c:v>
                </c:pt>
              </c:strCache>
            </c:strRef>
          </c:cat>
          <c:val>
            <c:numRef>
              <c:f>'[Tables for Results.xlsx]Quick Ratio (Acid Test)'!$C$51:$C$61</c:f>
              <c:numCache>
                <c:formatCode>0.00</c:formatCode>
                <c:ptCount val="11"/>
                <c:pt idx="0">
                  <c:v>14.146378126197272</c:v>
                </c:pt>
                <c:pt idx="1">
                  <c:v>0.85895036000820024</c:v>
                </c:pt>
                <c:pt idx="2">
                  <c:v>2.7151201893457095</c:v>
                </c:pt>
                <c:pt idx="3">
                  <c:v>1.3319842762701672</c:v>
                </c:pt>
                <c:pt idx="4">
                  <c:v>3.4595203606452021</c:v>
                </c:pt>
                <c:pt idx="5">
                  <c:v>1.3352531117772415</c:v>
                </c:pt>
                <c:pt idx="6">
                  <c:v>1.1746987460575509</c:v>
                </c:pt>
                <c:pt idx="7">
                  <c:v>1.7398922531106169</c:v>
                </c:pt>
                <c:pt idx="8">
                  <c:v>0.76583364433691248</c:v>
                </c:pt>
                <c:pt idx="9">
                  <c:v>1.544070150772086</c:v>
                </c:pt>
                <c:pt idx="10">
                  <c:v>1.5477063544459124</c:v>
                </c:pt>
              </c:numCache>
            </c:numRef>
          </c:val>
          <c:extLst>
            <c:ext xmlns:c16="http://schemas.microsoft.com/office/drawing/2014/chart" uri="{C3380CC4-5D6E-409C-BE32-E72D297353CC}">
              <c16:uniqueId val="{00000001-CE2E-494F-BCEB-2F395996A94C}"/>
            </c:ext>
          </c:extLst>
        </c:ser>
        <c:ser>
          <c:idx val="2"/>
          <c:order val="2"/>
          <c:tx>
            <c:strRef>
              <c:f>'[Tables for Results.xlsx]Quick Ratio (Acid Test)'!$D$2</c:f>
              <c:strCache>
                <c:ptCount val="1"/>
                <c:pt idx="0">
                  <c:v>2021</c:v>
                </c:pt>
              </c:strCache>
            </c:strRef>
          </c:tx>
          <c:spPr>
            <a:solidFill>
              <a:schemeClr val="accent3"/>
            </a:solidFill>
            <a:ln>
              <a:noFill/>
            </a:ln>
            <a:effectLst/>
          </c:spPr>
          <c:invertIfNegative val="0"/>
          <c:cat>
            <c:strRef>
              <c:f>'[Tables for Results.xlsx]Quick Ratio (Acid Test)'!$A$51:$A$61</c:f>
              <c:strCache>
                <c:ptCount val="11"/>
                <c:pt idx="0">
                  <c:v>Financials</c:v>
                </c:pt>
                <c:pt idx="1">
                  <c:v>Consumer Discretionary</c:v>
                </c:pt>
                <c:pt idx="2">
                  <c:v>Telecommunications</c:v>
                </c:pt>
                <c:pt idx="3">
                  <c:v>Technology</c:v>
                </c:pt>
                <c:pt idx="4">
                  <c:v>Real Estate</c:v>
                </c:pt>
                <c:pt idx="5">
                  <c:v>Industrials</c:v>
                </c:pt>
                <c:pt idx="6">
                  <c:v>Utilities</c:v>
                </c:pt>
                <c:pt idx="7">
                  <c:v>Basic Materials</c:v>
                </c:pt>
                <c:pt idx="8">
                  <c:v>Consumer Staples</c:v>
                </c:pt>
                <c:pt idx="9">
                  <c:v>Energy</c:v>
                </c:pt>
                <c:pt idx="10">
                  <c:v>Health Care</c:v>
                </c:pt>
              </c:strCache>
            </c:strRef>
          </c:cat>
          <c:val>
            <c:numRef>
              <c:f>'[Tables for Results.xlsx]Quick Ratio (Acid Test)'!$D$51:$D$61</c:f>
              <c:numCache>
                <c:formatCode>0.00</c:formatCode>
                <c:ptCount val="11"/>
                <c:pt idx="0">
                  <c:v>13.219880943471464</c:v>
                </c:pt>
                <c:pt idx="1">
                  <c:v>0.90540610719852455</c:v>
                </c:pt>
                <c:pt idx="2">
                  <c:v>2.3016026497014557</c:v>
                </c:pt>
                <c:pt idx="3">
                  <c:v>3.9858210238778402</c:v>
                </c:pt>
                <c:pt idx="4">
                  <c:v>3.9674661586008271</c:v>
                </c:pt>
                <c:pt idx="5">
                  <c:v>1.1792653245200038</c:v>
                </c:pt>
                <c:pt idx="6">
                  <c:v>0.91047123374938532</c:v>
                </c:pt>
                <c:pt idx="7">
                  <c:v>1.6882096707378722</c:v>
                </c:pt>
                <c:pt idx="8">
                  <c:v>0.8457081140174324</c:v>
                </c:pt>
                <c:pt idx="9">
                  <c:v>3.056025339914191</c:v>
                </c:pt>
                <c:pt idx="10">
                  <c:v>2.0202835286941978</c:v>
                </c:pt>
              </c:numCache>
            </c:numRef>
          </c:val>
          <c:extLst>
            <c:ext xmlns:c16="http://schemas.microsoft.com/office/drawing/2014/chart" uri="{C3380CC4-5D6E-409C-BE32-E72D297353CC}">
              <c16:uniqueId val="{00000002-CE2E-494F-BCEB-2F395996A94C}"/>
            </c:ext>
          </c:extLst>
        </c:ser>
        <c:dLbls>
          <c:showLegendKey val="0"/>
          <c:showVal val="0"/>
          <c:showCatName val="0"/>
          <c:showSerName val="0"/>
          <c:showPercent val="0"/>
          <c:showBubbleSize val="0"/>
        </c:dLbls>
        <c:gapWidth val="219"/>
        <c:overlap val="-27"/>
        <c:axId val="217881712"/>
        <c:axId val="217756480"/>
      </c:barChart>
      <c:catAx>
        <c:axId val="217881712"/>
        <c:scaling>
          <c:orientation val="minMax"/>
        </c:scaling>
        <c:delete val="0"/>
        <c:axPos val="b"/>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217756480"/>
        <c:crosses val="autoZero"/>
        <c:auto val="1"/>
        <c:lblAlgn val="ctr"/>
        <c:lblOffset val="100"/>
        <c:noMultiLvlLbl val="0"/>
      </c:catAx>
      <c:valAx>
        <c:axId val="217756480"/>
        <c:scaling>
          <c:orientation val="minMax"/>
        </c:scaling>
        <c:delete val="0"/>
        <c:axPos val="l"/>
        <c:majorGridlines>
          <c:spPr>
            <a:ln w="9525" cap="flat" cmpd="sng" algn="ctr">
              <a:solidFill>
                <a:schemeClr val="tx1">
                  <a:lumMod val="15000"/>
                  <a:lumOff val="85000"/>
                </a:schemeClr>
              </a:solidFill>
              <a:round/>
            </a:ln>
            <a:effectLst/>
          </c:spPr>
        </c:majorGridlines>
        <c:numFmt formatCode="0.00"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217881712"/>
        <c:crosses val="autoZero"/>
        <c:crossBetween val="between"/>
      </c:valAx>
      <c:dTable>
        <c:showHorzBorder val="1"/>
        <c:showVertBorder val="1"/>
        <c:showOutline val="1"/>
        <c:showKeys val="1"/>
        <c:spPr>
          <a:noFill/>
          <a:ln w="9525" cap="flat" cmpd="sng" algn="ctr">
            <a:solidFill>
              <a:schemeClr val="tx1">
                <a:lumMod val="15000"/>
                <a:lumOff val="85000"/>
              </a:schemeClr>
            </a:solidFill>
            <a:round/>
          </a:ln>
          <a:effectLst/>
        </c:spPr>
        <c:txPr>
          <a:bodyPr rot="0" spcFirstLastPara="1" vertOverflow="ellipsis" vert="horz" wrap="square" anchor="ctr" anchorCtr="1"/>
          <a:lstStyle/>
          <a:p>
            <a:pPr rtl="0">
              <a:defRPr sz="700" b="0" i="0" u="none" strike="noStrike" kern="1200" baseline="0">
                <a:solidFill>
                  <a:schemeClr val="tx1">
                    <a:lumMod val="65000"/>
                    <a:lumOff val="35000"/>
                  </a:schemeClr>
                </a:solidFill>
                <a:latin typeface="+mn-lt"/>
                <a:ea typeface="+mn-ea"/>
                <a:cs typeface="+mn-cs"/>
              </a:defRPr>
            </a:pPr>
            <a:endParaRPr lang="en-US"/>
          </a:p>
        </c:txPr>
      </c:dTable>
      <c:spPr>
        <a:noFill/>
        <a:ln>
          <a:noFill/>
        </a:ln>
        <a:effectLst/>
      </c:spPr>
    </c:plotArea>
    <c:plotVisOnly val="1"/>
    <c:dispBlanksAs val="gap"/>
    <c:showDLblsOverMax val="0"/>
  </c:chart>
  <c:spPr>
    <a:solidFill>
      <a:schemeClr val="bg1"/>
    </a:solidFill>
    <a:ln w="9525" cap="flat" cmpd="sng" algn="ctr">
      <a:noFill/>
      <a:round/>
    </a:ln>
    <a:effectLst/>
  </c:spPr>
  <c:txPr>
    <a:bodyPr/>
    <a:lstStyle/>
    <a:p>
      <a:pPr>
        <a:defRPr/>
      </a:pPr>
      <a:endParaRPr lang="en-US"/>
    </a:p>
  </c:txPr>
  <c:externalData r:id="rId4">
    <c:autoUpdate val="0"/>
  </c:externalData>
</c:chartSpace>
</file>

<file path=word/charts/chart16.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lrMapOvr bg1="lt1" tx1="dk1" bg2="lt2" tx2="dk2" accent1="accent1" accent2="accent2" accent3="accent3" accent4="accent4" accent5="accent5" accent6="accent6" hlink="hlink" folHlink="folHlink"/>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Revenue Per Share</a:t>
            </a: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barChart>
        <c:barDir val="col"/>
        <c:grouping val="clustered"/>
        <c:varyColors val="0"/>
        <c:ser>
          <c:idx val="0"/>
          <c:order val="0"/>
          <c:tx>
            <c:strRef>
              <c:f>'[Tables for Results.xlsx]Revenue Per Share'!$B$2</c:f>
              <c:strCache>
                <c:ptCount val="1"/>
                <c:pt idx="0">
                  <c:v>2019</c:v>
                </c:pt>
              </c:strCache>
            </c:strRef>
          </c:tx>
          <c:spPr>
            <a:solidFill>
              <a:schemeClr val="accent1"/>
            </a:solidFill>
            <a:ln>
              <a:noFill/>
            </a:ln>
            <a:effectLst/>
          </c:spPr>
          <c:invertIfNegative val="0"/>
          <c:cat>
            <c:strRef>
              <c:f>'[Tables for Results.xlsx]Revenue Per Share'!$A$51:$A$61</c:f>
              <c:strCache>
                <c:ptCount val="11"/>
                <c:pt idx="0">
                  <c:v>Financials</c:v>
                </c:pt>
                <c:pt idx="1">
                  <c:v>Consumer Discretionary</c:v>
                </c:pt>
                <c:pt idx="2">
                  <c:v>Telecommunications</c:v>
                </c:pt>
                <c:pt idx="3">
                  <c:v>Technology</c:v>
                </c:pt>
                <c:pt idx="4">
                  <c:v>Real Estate</c:v>
                </c:pt>
                <c:pt idx="5">
                  <c:v>Industrials</c:v>
                </c:pt>
                <c:pt idx="6">
                  <c:v>Utilities</c:v>
                </c:pt>
                <c:pt idx="7">
                  <c:v>Basic Materials</c:v>
                </c:pt>
                <c:pt idx="8">
                  <c:v>Consumer Staples</c:v>
                </c:pt>
                <c:pt idx="9">
                  <c:v>Energy</c:v>
                </c:pt>
                <c:pt idx="10">
                  <c:v>Health Care</c:v>
                </c:pt>
              </c:strCache>
            </c:strRef>
          </c:cat>
          <c:val>
            <c:numRef>
              <c:f>'[Tables for Results.xlsx]Revenue Per Share'!$B$51:$B$61</c:f>
              <c:numCache>
                <c:formatCode>"£"#,##0.00</c:formatCode>
                <c:ptCount val="11"/>
                <c:pt idx="0">
                  <c:v>3.279864704575342</c:v>
                </c:pt>
                <c:pt idx="1">
                  <c:v>8.4710788894921372</c:v>
                </c:pt>
                <c:pt idx="2">
                  <c:v>0.47282506965700871</c:v>
                </c:pt>
                <c:pt idx="3">
                  <c:v>10.624742869905779</c:v>
                </c:pt>
                <c:pt idx="4">
                  <c:v>1.5820120347943905</c:v>
                </c:pt>
                <c:pt idx="5">
                  <c:v>8.5302273940156237</c:v>
                </c:pt>
                <c:pt idx="6">
                  <c:v>5.7714383649582857</c:v>
                </c:pt>
                <c:pt idx="7">
                  <c:v>8.3411039724081633</c:v>
                </c:pt>
                <c:pt idx="8">
                  <c:v>8.1602042169296993</c:v>
                </c:pt>
                <c:pt idx="9">
                  <c:v>3.1269519557807786</c:v>
                </c:pt>
                <c:pt idx="10">
                  <c:v>2.5172324818830076</c:v>
                </c:pt>
              </c:numCache>
            </c:numRef>
          </c:val>
          <c:extLst>
            <c:ext xmlns:c16="http://schemas.microsoft.com/office/drawing/2014/chart" uri="{C3380CC4-5D6E-409C-BE32-E72D297353CC}">
              <c16:uniqueId val="{00000000-B266-224E-AA40-A367936A8E0B}"/>
            </c:ext>
          </c:extLst>
        </c:ser>
        <c:ser>
          <c:idx val="1"/>
          <c:order val="1"/>
          <c:tx>
            <c:strRef>
              <c:f>'[Tables for Results.xlsx]Revenue Per Share'!$C$2</c:f>
              <c:strCache>
                <c:ptCount val="1"/>
                <c:pt idx="0">
                  <c:v>2020</c:v>
                </c:pt>
              </c:strCache>
            </c:strRef>
          </c:tx>
          <c:spPr>
            <a:solidFill>
              <a:schemeClr val="accent2"/>
            </a:solidFill>
            <a:ln>
              <a:noFill/>
            </a:ln>
            <a:effectLst/>
          </c:spPr>
          <c:invertIfNegative val="0"/>
          <c:cat>
            <c:strRef>
              <c:f>'[Tables for Results.xlsx]Revenue Per Share'!$A$51:$A$61</c:f>
              <c:strCache>
                <c:ptCount val="11"/>
                <c:pt idx="0">
                  <c:v>Financials</c:v>
                </c:pt>
                <c:pt idx="1">
                  <c:v>Consumer Discretionary</c:v>
                </c:pt>
                <c:pt idx="2">
                  <c:v>Telecommunications</c:v>
                </c:pt>
                <c:pt idx="3">
                  <c:v>Technology</c:v>
                </c:pt>
                <c:pt idx="4">
                  <c:v>Real Estate</c:v>
                </c:pt>
                <c:pt idx="5">
                  <c:v>Industrials</c:v>
                </c:pt>
                <c:pt idx="6">
                  <c:v>Utilities</c:v>
                </c:pt>
                <c:pt idx="7">
                  <c:v>Basic Materials</c:v>
                </c:pt>
                <c:pt idx="8">
                  <c:v>Consumer Staples</c:v>
                </c:pt>
                <c:pt idx="9">
                  <c:v>Energy</c:v>
                </c:pt>
                <c:pt idx="10">
                  <c:v>Health Care</c:v>
                </c:pt>
              </c:strCache>
            </c:strRef>
          </c:cat>
          <c:val>
            <c:numRef>
              <c:f>'[Tables for Results.xlsx]Revenue Per Share'!$C$51:$C$61</c:f>
              <c:numCache>
                <c:formatCode>"£"#,##0.00</c:formatCode>
                <c:ptCount val="11"/>
                <c:pt idx="0">
                  <c:v>3.2408869153377098</c:v>
                </c:pt>
                <c:pt idx="1">
                  <c:v>5.2947558396442425</c:v>
                </c:pt>
                <c:pt idx="2">
                  <c:v>0.46422355040909036</c:v>
                </c:pt>
                <c:pt idx="3">
                  <c:v>13.180075229327036</c:v>
                </c:pt>
                <c:pt idx="4">
                  <c:v>1.4855912107874083</c:v>
                </c:pt>
                <c:pt idx="5">
                  <c:v>7.8762056940164653</c:v>
                </c:pt>
                <c:pt idx="6">
                  <c:v>4.7764178467787781</c:v>
                </c:pt>
                <c:pt idx="7">
                  <c:v>6.9358245049993865</c:v>
                </c:pt>
                <c:pt idx="8">
                  <c:v>8.9260095662609178</c:v>
                </c:pt>
                <c:pt idx="9">
                  <c:v>2.2458888027375337</c:v>
                </c:pt>
                <c:pt idx="10">
                  <c:v>2.6458099714805501</c:v>
                </c:pt>
              </c:numCache>
            </c:numRef>
          </c:val>
          <c:extLst>
            <c:ext xmlns:c16="http://schemas.microsoft.com/office/drawing/2014/chart" uri="{C3380CC4-5D6E-409C-BE32-E72D297353CC}">
              <c16:uniqueId val="{00000001-B266-224E-AA40-A367936A8E0B}"/>
            </c:ext>
          </c:extLst>
        </c:ser>
        <c:ser>
          <c:idx val="2"/>
          <c:order val="2"/>
          <c:tx>
            <c:strRef>
              <c:f>'[Tables for Results.xlsx]Revenue Per Share'!$D$2</c:f>
              <c:strCache>
                <c:ptCount val="1"/>
                <c:pt idx="0">
                  <c:v>2021</c:v>
                </c:pt>
              </c:strCache>
            </c:strRef>
          </c:tx>
          <c:spPr>
            <a:solidFill>
              <a:schemeClr val="accent3"/>
            </a:solidFill>
            <a:ln>
              <a:noFill/>
            </a:ln>
            <a:effectLst/>
          </c:spPr>
          <c:invertIfNegative val="0"/>
          <c:cat>
            <c:strRef>
              <c:f>'[Tables for Results.xlsx]Revenue Per Share'!$A$51:$A$61</c:f>
              <c:strCache>
                <c:ptCount val="11"/>
                <c:pt idx="0">
                  <c:v>Financials</c:v>
                </c:pt>
                <c:pt idx="1">
                  <c:v>Consumer Discretionary</c:v>
                </c:pt>
                <c:pt idx="2">
                  <c:v>Telecommunications</c:v>
                </c:pt>
                <c:pt idx="3">
                  <c:v>Technology</c:v>
                </c:pt>
                <c:pt idx="4">
                  <c:v>Real Estate</c:v>
                </c:pt>
                <c:pt idx="5">
                  <c:v>Industrials</c:v>
                </c:pt>
                <c:pt idx="6">
                  <c:v>Utilities</c:v>
                </c:pt>
                <c:pt idx="7">
                  <c:v>Basic Materials</c:v>
                </c:pt>
                <c:pt idx="8">
                  <c:v>Consumer Staples</c:v>
                </c:pt>
                <c:pt idx="9">
                  <c:v>Energy</c:v>
                </c:pt>
                <c:pt idx="10">
                  <c:v>Health Care</c:v>
                </c:pt>
              </c:strCache>
            </c:strRef>
          </c:cat>
          <c:val>
            <c:numRef>
              <c:f>'[Tables for Results.xlsx]Revenue Per Share'!$D$51:$D$61</c:f>
              <c:numCache>
                <c:formatCode>"£"#,##0.00</c:formatCode>
                <c:ptCount val="11"/>
                <c:pt idx="0">
                  <c:v>4.17</c:v>
                </c:pt>
                <c:pt idx="1">
                  <c:v>5.4119858582002038</c:v>
                </c:pt>
                <c:pt idx="2">
                  <c:v>0.49878003103333268</c:v>
                </c:pt>
                <c:pt idx="3">
                  <c:v>9.9914033581091477</c:v>
                </c:pt>
                <c:pt idx="4">
                  <c:v>1.7244310171917789</c:v>
                </c:pt>
                <c:pt idx="5">
                  <c:v>8.1264357258103406</c:v>
                </c:pt>
                <c:pt idx="6">
                  <c:v>5.8626618709855691</c:v>
                </c:pt>
                <c:pt idx="7">
                  <c:v>8.0586643946226086</c:v>
                </c:pt>
                <c:pt idx="8">
                  <c:v>10.919117390062233</c:v>
                </c:pt>
                <c:pt idx="9">
                  <c:v>2.462086452390817</c:v>
                </c:pt>
                <c:pt idx="10">
                  <c:v>2.9610054647261284</c:v>
                </c:pt>
              </c:numCache>
            </c:numRef>
          </c:val>
          <c:extLst>
            <c:ext xmlns:c16="http://schemas.microsoft.com/office/drawing/2014/chart" uri="{C3380CC4-5D6E-409C-BE32-E72D297353CC}">
              <c16:uniqueId val="{00000002-B266-224E-AA40-A367936A8E0B}"/>
            </c:ext>
          </c:extLst>
        </c:ser>
        <c:dLbls>
          <c:showLegendKey val="0"/>
          <c:showVal val="0"/>
          <c:showCatName val="0"/>
          <c:showSerName val="0"/>
          <c:showPercent val="0"/>
          <c:showBubbleSize val="0"/>
        </c:dLbls>
        <c:gapWidth val="219"/>
        <c:overlap val="-27"/>
        <c:axId val="217881712"/>
        <c:axId val="217756480"/>
      </c:barChart>
      <c:catAx>
        <c:axId val="217881712"/>
        <c:scaling>
          <c:orientation val="minMax"/>
        </c:scaling>
        <c:delete val="0"/>
        <c:axPos val="b"/>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217756480"/>
        <c:crosses val="autoZero"/>
        <c:auto val="1"/>
        <c:lblAlgn val="ctr"/>
        <c:lblOffset val="100"/>
        <c:noMultiLvlLbl val="0"/>
      </c:catAx>
      <c:valAx>
        <c:axId val="217756480"/>
        <c:scaling>
          <c:orientation val="minMax"/>
        </c:scaling>
        <c:delete val="0"/>
        <c:axPos val="l"/>
        <c:majorGridlines>
          <c:spPr>
            <a:ln w="9525" cap="flat" cmpd="sng" algn="ctr">
              <a:solidFill>
                <a:schemeClr val="tx1">
                  <a:lumMod val="15000"/>
                  <a:lumOff val="85000"/>
                </a:schemeClr>
              </a:solidFill>
              <a:round/>
            </a:ln>
            <a:effectLst/>
          </c:spPr>
        </c:majorGridlines>
        <c:numFmt formatCode="&quot;£&quot;#,##0.00"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217881712"/>
        <c:crosses val="autoZero"/>
        <c:crossBetween val="between"/>
      </c:valAx>
      <c:dTable>
        <c:showHorzBorder val="1"/>
        <c:showVertBorder val="1"/>
        <c:showOutline val="1"/>
        <c:showKeys val="1"/>
        <c:spPr>
          <a:noFill/>
          <a:ln w="9525" cap="flat" cmpd="sng" algn="ctr">
            <a:solidFill>
              <a:schemeClr val="tx1">
                <a:lumMod val="15000"/>
                <a:lumOff val="85000"/>
              </a:schemeClr>
            </a:solidFill>
            <a:round/>
          </a:ln>
          <a:effectLst/>
        </c:spPr>
        <c:txPr>
          <a:bodyPr rot="0" spcFirstLastPara="1" vertOverflow="ellipsis" vert="horz" wrap="square" anchor="ctr" anchorCtr="1"/>
          <a:lstStyle/>
          <a:p>
            <a:pPr rtl="0">
              <a:defRPr sz="700" b="0" i="0" u="none" strike="noStrike" kern="1200" baseline="0">
                <a:solidFill>
                  <a:schemeClr val="tx1">
                    <a:lumMod val="65000"/>
                    <a:lumOff val="35000"/>
                  </a:schemeClr>
                </a:solidFill>
                <a:latin typeface="+mn-lt"/>
                <a:ea typeface="+mn-ea"/>
                <a:cs typeface="+mn-cs"/>
              </a:defRPr>
            </a:pPr>
            <a:endParaRPr lang="en-US"/>
          </a:p>
        </c:txPr>
      </c:dTable>
      <c:spPr>
        <a:noFill/>
        <a:ln>
          <a:noFill/>
        </a:ln>
        <a:effectLst/>
      </c:spPr>
    </c:plotArea>
    <c:plotVisOnly val="1"/>
    <c:dispBlanksAs val="gap"/>
    <c:showDLblsOverMax val="0"/>
  </c:chart>
  <c:spPr>
    <a:solidFill>
      <a:schemeClr val="bg1"/>
    </a:solidFill>
    <a:ln w="9525" cap="flat" cmpd="sng" algn="ctr">
      <a:noFill/>
      <a:round/>
    </a:ln>
    <a:effectLst/>
  </c:spPr>
  <c:txPr>
    <a:bodyPr/>
    <a:lstStyle/>
    <a:p>
      <a:pPr>
        <a:defRPr/>
      </a:pPr>
      <a:endParaRPr lang="en-US"/>
    </a:p>
  </c:txPr>
  <c:externalData r:id="rId4">
    <c:autoUpdate val="0"/>
  </c:externalData>
</c:chartSpace>
</file>

<file path=word/charts/chart17.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lrMapOvr bg1="lt1" tx1="dk1" bg2="lt2" tx2="dk2" accent1="accent1" accent2="accent2" accent3="accent3" accent4="accent4" accent5="accent5" accent6="accent6" hlink="hlink" folHlink="folHlink"/>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Earnings Per Share</a:t>
            </a: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barChart>
        <c:barDir val="col"/>
        <c:grouping val="clustered"/>
        <c:varyColors val="0"/>
        <c:ser>
          <c:idx val="0"/>
          <c:order val="0"/>
          <c:tx>
            <c:strRef>
              <c:f>'[Tables for Results.xlsx]Earnings Per Share'!$B$2</c:f>
              <c:strCache>
                <c:ptCount val="1"/>
                <c:pt idx="0">
                  <c:v>2019</c:v>
                </c:pt>
              </c:strCache>
            </c:strRef>
          </c:tx>
          <c:spPr>
            <a:solidFill>
              <a:schemeClr val="accent1"/>
            </a:solidFill>
            <a:ln>
              <a:noFill/>
            </a:ln>
            <a:effectLst/>
          </c:spPr>
          <c:invertIfNegative val="0"/>
          <c:cat>
            <c:strRef>
              <c:f>'[Tables for Results.xlsx]Earnings Per Share'!$A$51:$A$61</c:f>
              <c:strCache>
                <c:ptCount val="11"/>
                <c:pt idx="0">
                  <c:v>Financials</c:v>
                </c:pt>
                <c:pt idx="1">
                  <c:v>Consumer Discretionary</c:v>
                </c:pt>
                <c:pt idx="2">
                  <c:v>Telecommunications</c:v>
                </c:pt>
                <c:pt idx="3">
                  <c:v>Technology</c:v>
                </c:pt>
                <c:pt idx="4">
                  <c:v>Real Estate</c:v>
                </c:pt>
                <c:pt idx="5">
                  <c:v>Industrials</c:v>
                </c:pt>
                <c:pt idx="6">
                  <c:v>Utilities</c:v>
                </c:pt>
                <c:pt idx="7">
                  <c:v>Basic Materials</c:v>
                </c:pt>
                <c:pt idx="8">
                  <c:v>Consumer Staples</c:v>
                </c:pt>
                <c:pt idx="9">
                  <c:v>Energy</c:v>
                </c:pt>
                <c:pt idx="10">
                  <c:v>Health Care</c:v>
                </c:pt>
              </c:strCache>
            </c:strRef>
          </c:cat>
          <c:val>
            <c:numRef>
              <c:f>'[Tables for Results.xlsx]Earnings Per Share'!$B$51:$B$61</c:f>
              <c:numCache>
                <c:formatCode>"£"#,##0.00</c:formatCode>
                <c:ptCount val="11"/>
                <c:pt idx="0">
                  <c:v>2.0361212699386262</c:v>
                </c:pt>
                <c:pt idx="1">
                  <c:v>0.64267986282722345</c:v>
                </c:pt>
                <c:pt idx="2">
                  <c:v>-7.4281581166569174E-3</c:v>
                </c:pt>
                <c:pt idx="3">
                  <c:v>-1.0237570366360715</c:v>
                </c:pt>
                <c:pt idx="4">
                  <c:v>0.30506114349250152</c:v>
                </c:pt>
                <c:pt idx="5">
                  <c:v>0.37880920889889313</c:v>
                </c:pt>
                <c:pt idx="6">
                  <c:v>-5.3922515636404829E-2</c:v>
                </c:pt>
                <c:pt idx="7">
                  <c:v>0.49088286713418761</c:v>
                </c:pt>
                <c:pt idx="8">
                  <c:v>0.31493209381839932</c:v>
                </c:pt>
                <c:pt idx="9">
                  <c:v>-7.9566910875589827E-3</c:v>
                </c:pt>
                <c:pt idx="10">
                  <c:v>9.2710147105237797E-3</c:v>
                </c:pt>
              </c:numCache>
            </c:numRef>
          </c:val>
          <c:extLst>
            <c:ext xmlns:c16="http://schemas.microsoft.com/office/drawing/2014/chart" uri="{C3380CC4-5D6E-409C-BE32-E72D297353CC}">
              <c16:uniqueId val="{00000000-DC75-1C40-9BF6-F3B43D9E8F7A}"/>
            </c:ext>
          </c:extLst>
        </c:ser>
        <c:ser>
          <c:idx val="1"/>
          <c:order val="1"/>
          <c:tx>
            <c:strRef>
              <c:f>'[Tables for Results.xlsx]Earnings Per Share'!$C$2</c:f>
              <c:strCache>
                <c:ptCount val="1"/>
                <c:pt idx="0">
                  <c:v>2020</c:v>
                </c:pt>
              </c:strCache>
            </c:strRef>
          </c:tx>
          <c:spPr>
            <a:solidFill>
              <a:schemeClr val="accent2"/>
            </a:solidFill>
            <a:ln>
              <a:noFill/>
            </a:ln>
            <a:effectLst/>
          </c:spPr>
          <c:invertIfNegative val="0"/>
          <c:cat>
            <c:strRef>
              <c:f>'[Tables for Results.xlsx]Earnings Per Share'!$A$51:$A$61</c:f>
              <c:strCache>
                <c:ptCount val="11"/>
                <c:pt idx="0">
                  <c:v>Financials</c:v>
                </c:pt>
                <c:pt idx="1">
                  <c:v>Consumer Discretionary</c:v>
                </c:pt>
                <c:pt idx="2">
                  <c:v>Telecommunications</c:v>
                </c:pt>
                <c:pt idx="3">
                  <c:v>Technology</c:v>
                </c:pt>
                <c:pt idx="4">
                  <c:v>Real Estate</c:v>
                </c:pt>
                <c:pt idx="5">
                  <c:v>Industrials</c:v>
                </c:pt>
                <c:pt idx="6">
                  <c:v>Utilities</c:v>
                </c:pt>
                <c:pt idx="7">
                  <c:v>Basic Materials</c:v>
                </c:pt>
                <c:pt idx="8">
                  <c:v>Consumer Staples</c:v>
                </c:pt>
                <c:pt idx="9">
                  <c:v>Energy</c:v>
                </c:pt>
                <c:pt idx="10">
                  <c:v>Health Care</c:v>
                </c:pt>
              </c:strCache>
            </c:strRef>
          </c:cat>
          <c:val>
            <c:numRef>
              <c:f>'[Tables for Results.xlsx]Earnings Per Share'!$C$51:$C$61</c:f>
              <c:numCache>
                <c:formatCode>"£"#,##0.00</c:formatCode>
                <c:ptCount val="11"/>
                <c:pt idx="0">
                  <c:v>1.9205922684691863</c:v>
                </c:pt>
                <c:pt idx="1">
                  <c:v>-0.5739775285177442</c:v>
                </c:pt>
                <c:pt idx="2">
                  <c:v>3.709764475235576E-2</c:v>
                </c:pt>
                <c:pt idx="3">
                  <c:v>-2.9367854241264846</c:v>
                </c:pt>
                <c:pt idx="4">
                  <c:v>-0.17000812122722153</c:v>
                </c:pt>
                <c:pt idx="5">
                  <c:v>0.10746460012354307</c:v>
                </c:pt>
                <c:pt idx="6">
                  <c:v>-0.12890738880532665</c:v>
                </c:pt>
                <c:pt idx="7">
                  <c:v>0.2952372825032728</c:v>
                </c:pt>
                <c:pt idx="8">
                  <c:v>7.6561628533294568E-2</c:v>
                </c:pt>
                <c:pt idx="9">
                  <c:v>-0.20021101352414805</c:v>
                </c:pt>
                <c:pt idx="10">
                  <c:v>-2.7508481151351172E-2</c:v>
                </c:pt>
              </c:numCache>
            </c:numRef>
          </c:val>
          <c:extLst>
            <c:ext xmlns:c16="http://schemas.microsoft.com/office/drawing/2014/chart" uri="{C3380CC4-5D6E-409C-BE32-E72D297353CC}">
              <c16:uniqueId val="{00000001-DC75-1C40-9BF6-F3B43D9E8F7A}"/>
            </c:ext>
          </c:extLst>
        </c:ser>
        <c:ser>
          <c:idx val="2"/>
          <c:order val="2"/>
          <c:tx>
            <c:strRef>
              <c:f>'[Tables for Results.xlsx]Earnings Per Share'!$D$2</c:f>
              <c:strCache>
                <c:ptCount val="1"/>
                <c:pt idx="0">
                  <c:v>2021</c:v>
                </c:pt>
              </c:strCache>
            </c:strRef>
          </c:tx>
          <c:spPr>
            <a:solidFill>
              <a:schemeClr val="accent3"/>
            </a:solidFill>
            <a:ln>
              <a:noFill/>
            </a:ln>
            <a:effectLst/>
          </c:spPr>
          <c:invertIfNegative val="0"/>
          <c:cat>
            <c:strRef>
              <c:f>'[Tables for Results.xlsx]Earnings Per Share'!$A$51:$A$61</c:f>
              <c:strCache>
                <c:ptCount val="11"/>
                <c:pt idx="0">
                  <c:v>Financials</c:v>
                </c:pt>
                <c:pt idx="1">
                  <c:v>Consumer Discretionary</c:v>
                </c:pt>
                <c:pt idx="2">
                  <c:v>Telecommunications</c:v>
                </c:pt>
                <c:pt idx="3">
                  <c:v>Technology</c:v>
                </c:pt>
                <c:pt idx="4">
                  <c:v>Real Estate</c:v>
                </c:pt>
                <c:pt idx="5">
                  <c:v>Industrials</c:v>
                </c:pt>
                <c:pt idx="6">
                  <c:v>Utilities</c:v>
                </c:pt>
                <c:pt idx="7">
                  <c:v>Basic Materials</c:v>
                </c:pt>
                <c:pt idx="8">
                  <c:v>Consumer Staples</c:v>
                </c:pt>
                <c:pt idx="9">
                  <c:v>Energy</c:v>
                </c:pt>
                <c:pt idx="10">
                  <c:v>Health Care</c:v>
                </c:pt>
              </c:strCache>
            </c:strRef>
          </c:cat>
          <c:val>
            <c:numRef>
              <c:f>'[Tables for Results.xlsx]Earnings Per Share'!$D$51:$D$61</c:f>
              <c:numCache>
                <c:formatCode>"£"#,##0.00</c:formatCode>
                <c:ptCount val="11"/>
                <c:pt idx="0">
                  <c:v>3.0071809118452437</c:v>
                </c:pt>
                <c:pt idx="1">
                  <c:v>-9.8317701032488394E-2</c:v>
                </c:pt>
                <c:pt idx="2">
                  <c:v>-2.09923564251039E-3</c:v>
                </c:pt>
                <c:pt idx="3">
                  <c:v>0.20706887073813768</c:v>
                </c:pt>
                <c:pt idx="4">
                  <c:v>0.58055431154112747</c:v>
                </c:pt>
                <c:pt idx="5">
                  <c:v>0.48164941670888084</c:v>
                </c:pt>
                <c:pt idx="6">
                  <c:v>0.16126430363203503</c:v>
                </c:pt>
                <c:pt idx="7">
                  <c:v>0.86193828264451722</c:v>
                </c:pt>
                <c:pt idx="8">
                  <c:v>0.35245917829238099</c:v>
                </c:pt>
                <c:pt idx="9">
                  <c:v>0.10745332615188968</c:v>
                </c:pt>
                <c:pt idx="10">
                  <c:v>0.23384615329908312</c:v>
                </c:pt>
              </c:numCache>
            </c:numRef>
          </c:val>
          <c:extLst>
            <c:ext xmlns:c16="http://schemas.microsoft.com/office/drawing/2014/chart" uri="{C3380CC4-5D6E-409C-BE32-E72D297353CC}">
              <c16:uniqueId val="{00000002-DC75-1C40-9BF6-F3B43D9E8F7A}"/>
            </c:ext>
          </c:extLst>
        </c:ser>
        <c:dLbls>
          <c:showLegendKey val="0"/>
          <c:showVal val="0"/>
          <c:showCatName val="0"/>
          <c:showSerName val="0"/>
          <c:showPercent val="0"/>
          <c:showBubbleSize val="0"/>
        </c:dLbls>
        <c:gapWidth val="219"/>
        <c:overlap val="-27"/>
        <c:axId val="217881712"/>
        <c:axId val="217756480"/>
      </c:barChart>
      <c:catAx>
        <c:axId val="217881712"/>
        <c:scaling>
          <c:orientation val="minMax"/>
        </c:scaling>
        <c:delete val="0"/>
        <c:axPos val="b"/>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217756480"/>
        <c:crosses val="autoZero"/>
        <c:auto val="1"/>
        <c:lblAlgn val="ctr"/>
        <c:lblOffset val="100"/>
        <c:noMultiLvlLbl val="0"/>
      </c:catAx>
      <c:valAx>
        <c:axId val="217756480"/>
        <c:scaling>
          <c:orientation val="minMax"/>
        </c:scaling>
        <c:delete val="0"/>
        <c:axPos val="l"/>
        <c:majorGridlines>
          <c:spPr>
            <a:ln w="9525" cap="flat" cmpd="sng" algn="ctr">
              <a:solidFill>
                <a:schemeClr val="tx1">
                  <a:lumMod val="15000"/>
                  <a:lumOff val="85000"/>
                </a:schemeClr>
              </a:solidFill>
              <a:round/>
            </a:ln>
            <a:effectLst/>
          </c:spPr>
        </c:majorGridlines>
        <c:numFmt formatCode="&quot;£&quot;#,##0.00"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217881712"/>
        <c:crosses val="autoZero"/>
        <c:crossBetween val="between"/>
      </c:valAx>
      <c:dTable>
        <c:showHorzBorder val="1"/>
        <c:showVertBorder val="1"/>
        <c:showOutline val="1"/>
        <c:showKeys val="1"/>
        <c:spPr>
          <a:noFill/>
          <a:ln w="9525" cap="flat" cmpd="sng" algn="ctr">
            <a:solidFill>
              <a:schemeClr val="tx1">
                <a:lumMod val="15000"/>
                <a:lumOff val="85000"/>
              </a:schemeClr>
            </a:solidFill>
            <a:round/>
          </a:ln>
          <a:effectLst/>
        </c:spPr>
        <c:txPr>
          <a:bodyPr rot="0" spcFirstLastPara="1" vertOverflow="ellipsis" vert="horz" wrap="square" anchor="ctr" anchorCtr="1"/>
          <a:lstStyle/>
          <a:p>
            <a:pPr rtl="0">
              <a:defRPr sz="700" b="0" i="0" u="none" strike="noStrike" kern="1200" baseline="0">
                <a:solidFill>
                  <a:schemeClr val="tx1">
                    <a:lumMod val="65000"/>
                    <a:lumOff val="35000"/>
                  </a:schemeClr>
                </a:solidFill>
                <a:latin typeface="+mn-lt"/>
                <a:ea typeface="+mn-ea"/>
                <a:cs typeface="+mn-cs"/>
              </a:defRPr>
            </a:pPr>
            <a:endParaRPr lang="en-US"/>
          </a:p>
        </c:txPr>
      </c:dTable>
      <c:spPr>
        <a:noFill/>
        <a:ln>
          <a:noFill/>
        </a:ln>
        <a:effectLst/>
      </c:spPr>
    </c:plotArea>
    <c:plotVisOnly val="1"/>
    <c:dispBlanksAs val="gap"/>
    <c:showDLblsOverMax val="0"/>
  </c:chart>
  <c:spPr>
    <a:solidFill>
      <a:schemeClr val="bg1"/>
    </a:solidFill>
    <a:ln w="9525" cap="flat" cmpd="sng" algn="ctr">
      <a:noFill/>
      <a:round/>
    </a:ln>
    <a:effectLst/>
  </c:spPr>
  <c:txPr>
    <a:bodyPr/>
    <a:lstStyle/>
    <a:p>
      <a:pPr>
        <a:defRPr/>
      </a:pPr>
      <a:endParaRPr lang="en-US"/>
    </a:p>
  </c:txPr>
  <c:externalData r:id="rId4">
    <c:autoUpdate val="0"/>
  </c:externalData>
</c:chartSpace>
</file>

<file path=word/charts/chart18.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lrMapOvr bg1="lt1" tx1="dk1" bg2="lt2" tx2="dk2" accent1="accent1" accent2="accent2" accent3="accent3" accent4="accent4" accent5="accent5" accent6="accent6" hlink="hlink" folHlink="folHlink"/>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Cash Per Share</a:t>
            </a: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barChart>
        <c:barDir val="col"/>
        <c:grouping val="clustered"/>
        <c:varyColors val="0"/>
        <c:ser>
          <c:idx val="0"/>
          <c:order val="0"/>
          <c:tx>
            <c:strRef>
              <c:f>'[Tables for Results.xlsx]Cash Per Share'!$B$2</c:f>
              <c:strCache>
                <c:ptCount val="1"/>
                <c:pt idx="0">
                  <c:v>2019</c:v>
                </c:pt>
              </c:strCache>
            </c:strRef>
          </c:tx>
          <c:spPr>
            <a:solidFill>
              <a:schemeClr val="accent1"/>
            </a:solidFill>
            <a:ln>
              <a:noFill/>
            </a:ln>
            <a:effectLst/>
          </c:spPr>
          <c:invertIfNegative val="0"/>
          <c:cat>
            <c:strRef>
              <c:f>'[Tables for Results.xlsx]Cash Per Share'!$A$51:$A$61</c:f>
              <c:strCache>
                <c:ptCount val="11"/>
                <c:pt idx="0">
                  <c:v>Financials</c:v>
                </c:pt>
                <c:pt idx="1">
                  <c:v>Consumer Discretionary</c:v>
                </c:pt>
                <c:pt idx="2">
                  <c:v>Telecommunications</c:v>
                </c:pt>
                <c:pt idx="3">
                  <c:v>Technology</c:v>
                </c:pt>
                <c:pt idx="4">
                  <c:v>Real Estate</c:v>
                </c:pt>
                <c:pt idx="5">
                  <c:v>Industrials</c:v>
                </c:pt>
                <c:pt idx="6">
                  <c:v>Utilities</c:v>
                </c:pt>
                <c:pt idx="7">
                  <c:v>Basic Materials</c:v>
                </c:pt>
                <c:pt idx="8">
                  <c:v>Consumer Staples</c:v>
                </c:pt>
                <c:pt idx="9">
                  <c:v>Energy</c:v>
                </c:pt>
                <c:pt idx="10">
                  <c:v>Health Care</c:v>
                </c:pt>
              </c:strCache>
            </c:strRef>
          </c:cat>
          <c:val>
            <c:numRef>
              <c:f>'[Tables for Results.xlsx]Cash Per Share'!$B$51:$B$61</c:f>
              <c:numCache>
                <c:formatCode>0.00</c:formatCode>
                <c:ptCount val="11"/>
                <c:pt idx="0">
                  <c:v>1.9947501835927419</c:v>
                </c:pt>
                <c:pt idx="1">
                  <c:v>0.74177031241215163</c:v>
                </c:pt>
                <c:pt idx="2">
                  <c:v>0.20482714177486419</c:v>
                </c:pt>
                <c:pt idx="3">
                  <c:v>1.4620799381888603</c:v>
                </c:pt>
                <c:pt idx="4">
                  <c:v>0.33642305168826669</c:v>
                </c:pt>
                <c:pt idx="5">
                  <c:v>0.79185434918700714</c:v>
                </c:pt>
                <c:pt idx="6">
                  <c:v>0.62826607214890673</c:v>
                </c:pt>
                <c:pt idx="7">
                  <c:v>1.2074574154271731</c:v>
                </c:pt>
                <c:pt idx="8">
                  <c:v>0.50104419553416812</c:v>
                </c:pt>
                <c:pt idx="9">
                  <c:v>0.97874681697002552</c:v>
                </c:pt>
                <c:pt idx="10">
                  <c:v>0.43698750044143309</c:v>
                </c:pt>
              </c:numCache>
            </c:numRef>
          </c:val>
          <c:extLst>
            <c:ext xmlns:c16="http://schemas.microsoft.com/office/drawing/2014/chart" uri="{C3380CC4-5D6E-409C-BE32-E72D297353CC}">
              <c16:uniqueId val="{00000000-FFB3-1D49-8CD3-AC208B456D70}"/>
            </c:ext>
          </c:extLst>
        </c:ser>
        <c:ser>
          <c:idx val="1"/>
          <c:order val="1"/>
          <c:tx>
            <c:strRef>
              <c:f>'[Tables for Results.xlsx]Cash Per Share'!$C$2</c:f>
              <c:strCache>
                <c:ptCount val="1"/>
                <c:pt idx="0">
                  <c:v>2020</c:v>
                </c:pt>
              </c:strCache>
            </c:strRef>
          </c:tx>
          <c:spPr>
            <a:solidFill>
              <a:schemeClr val="accent2"/>
            </a:solidFill>
            <a:ln>
              <a:noFill/>
            </a:ln>
            <a:effectLst/>
          </c:spPr>
          <c:invertIfNegative val="0"/>
          <c:cat>
            <c:strRef>
              <c:f>'[Tables for Results.xlsx]Cash Per Share'!$A$51:$A$61</c:f>
              <c:strCache>
                <c:ptCount val="11"/>
                <c:pt idx="0">
                  <c:v>Financials</c:v>
                </c:pt>
                <c:pt idx="1">
                  <c:v>Consumer Discretionary</c:v>
                </c:pt>
                <c:pt idx="2">
                  <c:v>Telecommunications</c:v>
                </c:pt>
                <c:pt idx="3">
                  <c:v>Technology</c:v>
                </c:pt>
                <c:pt idx="4">
                  <c:v>Real Estate</c:v>
                </c:pt>
                <c:pt idx="5">
                  <c:v>Industrials</c:v>
                </c:pt>
                <c:pt idx="6">
                  <c:v>Utilities</c:v>
                </c:pt>
                <c:pt idx="7">
                  <c:v>Basic Materials</c:v>
                </c:pt>
                <c:pt idx="8">
                  <c:v>Consumer Staples</c:v>
                </c:pt>
                <c:pt idx="9">
                  <c:v>Energy</c:v>
                </c:pt>
                <c:pt idx="10">
                  <c:v>Health Care</c:v>
                </c:pt>
              </c:strCache>
            </c:strRef>
          </c:cat>
          <c:val>
            <c:numRef>
              <c:f>'[Tables for Results.xlsx]Cash Per Share'!$C$51:$C$61</c:f>
              <c:numCache>
                <c:formatCode>0.00</c:formatCode>
                <c:ptCount val="11"/>
                <c:pt idx="0">
                  <c:v>2.0215424321458948</c:v>
                </c:pt>
                <c:pt idx="1">
                  <c:v>1.1343566877828433</c:v>
                </c:pt>
                <c:pt idx="2">
                  <c:v>0.30126059860758281</c:v>
                </c:pt>
                <c:pt idx="3">
                  <c:v>2.6564599220011176</c:v>
                </c:pt>
                <c:pt idx="4">
                  <c:v>0.49646052055673251</c:v>
                </c:pt>
                <c:pt idx="5">
                  <c:v>1.2019671365526468</c:v>
                </c:pt>
                <c:pt idx="6">
                  <c:v>0.85407666011688355</c:v>
                </c:pt>
                <c:pt idx="7">
                  <c:v>1.6068432629661369</c:v>
                </c:pt>
                <c:pt idx="8">
                  <c:v>0.56333314196956941</c:v>
                </c:pt>
                <c:pt idx="9">
                  <c:v>0.54453541096630276</c:v>
                </c:pt>
                <c:pt idx="10">
                  <c:v>0.50978112320055113</c:v>
                </c:pt>
              </c:numCache>
            </c:numRef>
          </c:val>
          <c:extLst>
            <c:ext xmlns:c16="http://schemas.microsoft.com/office/drawing/2014/chart" uri="{C3380CC4-5D6E-409C-BE32-E72D297353CC}">
              <c16:uniqueId val="{00000001-FFB3-1D49-8CD3-AC208B456D70}"/>
            </c:ext>
          </c:extLst>
        </c:ser>
        <c:ser>
          <c:idx val="2"/>
          <c:order val="2"/>
          <c:tx>
            <c:strRef>
              <c:f>'[Tables for Results.xlsx]Cash Per Share'!$D$2</c:f>
              <c:strCache>
                <c:ptCount val="1"/>
                <c:pt idx="0">
                  <c:v>2021</c:v>
                </c:pt>
              </c:strCache>
            </c:strRef>
          </c:tx>
          <c:spPr>
            <a:solidFill>
              <a:schemeClr val="accent3"/>
            </a:solidFill>
            <a:ln>
              <a:noFill/>
            </a:ln>
            <a:effectLst/>
          </c:spPr>
          <c:invertIfNegative val="0"/>
          <c:cat>
            <c:strRef>
              <c:f>'[Tables for Results.xlsx]Cash Per Share'!$A$51:$A$61</c:f>
              <c:strCache>
                <c:ptCount val="11"/>
                <c:pt idx="0">
                  <c:v>Financials</c:v>
                </c:pt>
                <c:pt idx="1">
                  <c:v>Consumer Discretionary</c:v>
                </c:pt>
                <c:pt idx="2">
                  <c:v>Telecommunications</c:v>
                </c:pt>
                <c:pt idx="3">
                  <c:v>Technology</c:v>
                </c:pt>
                <c:pt idx="4">
                  <c:v>Real Estate</c:v>
                </c:pt>
                <c:pt idx="5">
                  <c:v>Industrials</c:v>
                </c:pt>
                <c:pt idx="6">
                  <c:v>Utilities</c:v>
                </c:pt>
                <c:pt idx="7">
                  <c:v>Basic Materials</c:v>
                </c:pt>
                <c:pt idx="8">
                  <c:v>Consumer Staples</c:v>
                </c:pt>
                <c:pt idx="9">
                  <c:v>Energy</c:v>
                </c:pt>
                <c:pt idx="10">
                  <c:v>Health Care</c:v>
                </c:pt>
              </c:strCache>
            </c:strRef>
          </c:cat>
          <c:val>
            <c:numRef>
              <c:f>'[Tables for Results.xlsx]Cash Per Share'!$D$51:$D$61</c:f>
              <c:numCache>
                <c:formatCode>0.00</c:formatCode>
                <c:ptCount val="11"/>
                <c:pt idx="0">
                  <c:v>2.0116259679085351</c:v>
                </c:pt>
                <c:pt idx="1">
                  <c:v>1.3573888094238513</c:v>
                </c:pt>
                <c:pt idx="2">
                  <c:v>0.28935182238168744</c:v>
                </c:pt>
                <c:pt idx="3">
                  <c:v>1.2343261460266139</c:v>
                </c:pt>
                <c:pt idx="4">
                  <c:v>0.70632342276558058</c:v>
                </c:pt>
                <c:pt idx="5">
                  <c:v>1.3269214058554351</c:v>
                </c:pt>
                <c:pt idx="6">
                  <c:v>0.68441455709120513</c:v>
                </c:pt>
                <c:pt idx="7">
                  <c:v>1.6513745196332565</c:v>
                </c:pt>
                <c:pt idx="8">
                  <c:v>0.75165125153696211</c:v>
                </c:pt>
                <c:pt idx="9">
                  <c:v>0.99313224419408797</c:v>
                </c:pt>
                <c:pt idx="10">
                  <c:v>0.75456346292479726</c:v>
                </c:pt>
              </c:numCache>
            </c:numRef>
          </c:val>
          <c:extLst>
            <c:ext xmlns:c16="http://schemas.microsoft.com/office/drawing/2014/chart" uri="{C3380CC4-5D6E-409C-BE32-E72D297353CC}">
              <c16:uniqueId val="{00000002-FFB3-1D49-8CD3-AC208B456D70}"/>
            </c:ext>
          </c:extLst>
        </c:ser>
        <c:dLbls>
          <c:showLegendKey val="0"/>
          <c:showVal val="0"/>
          <c:showCatName val="0"/>
          <c:showSerName val="0"/>
          <c:showPercent val="0"/>
          <c:showBubbleSize val="0"/>
        </c:dLbls>
        <c:gapWidth val="219"/>
        <c:overlap val="-27"/>
        <c:axId val="217881712"/>
        <c:axId val="217756480"/>
      </c:barChart>
      <c:catAx>
        <c:axId val="217881712"/>
        <c:scaling>
          <c:orientation val="minMax"/>
        </c:scaling>
        <c:delete val="0"/>
        <c:axPos val="b"/>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217756480"/>
        <c:crosses val="autoZero"/>
        <c:auto val="1"/>
        <c:lblAlgn val="ctr"/>
        <c:lblOffset val="100"/>
        <c:noMultiLvlLbl val="0"/>
      </c:catAx>
      <c:valAx>
        <c:axId val="217756480"/>
        <c:scaling>
          <c:orientation val="minMax"/>
        </c:scaling>
        <c:delete val="0"/>
        <c:axPos val="l"/>
        <c:majorGridlines>
          <c:spPr>
            <a:ln w="9525" cap="flat" cmpd="sng" algn="ctr">
              <a:solidFill>
                <a:schemeClr val="tx1">
                  <a:lumMod val="15000"/>
                  <a:lumOff val="85000"/>
                </a:schemeClr>
              </a:solidFill>
              <a:round/>
            </a:ln>
            <a:effectLst/>
          </c:spPr>
        </c:majorGridlines>
        <c:numFmt formatCode="0.00"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217881712"/>
        <c:crosses val="autoZero"/>
        <c:crossBetween val="between"/>
      </c:valAx>
      <c:dTable>
        <c:showHorzBorder val="1"/>
        <c:showVertBorder val="1"/>
        <c:showOutline val="1"/>
        <c:showKeys val="1"/>
        <c:spPr>
          <a:noFill/>
          <a:ln w="9525" cap="flat" cmpd="sng" algn="ctr">
            <a:solidFill>
              <a:schemeClr val="tx1">
                <a:lumMod val="15000"/>
                <a:lumOff val="85000"/>
              </a:schemeClr>
            </a:solidFill>
            <a:round/>
          </a:ln>
          <a:effectLst/>
        </c:spPr>
        <c:txPr>
          <a:bodyPr rot="0" spcFirstLastPara="1" vertOverflow="ellipsis" vert="horz" wrap="square" anchor="ctr" anchorCtr="1"/>
          <a:lstStyle/>
          <a:p>
            <a:pPr rtl="0">
              <a:defRPr sz="700" b="0" i="0" u="none" strike="noStrike" kern="1200" baseline="0">
                <a:solidFill>
                  <a:schemeClr val="tx1">
                    <a:lumMod val="65000"/>
                    <a:lumOff val="35000"/>
                  </a:schemeClr>
                </a:solidFill>
                <a:latin typeface="+mn-lt"/>
                <a:ea typeface="+mn-ea"/>
                <a:cs typeface="+mn-cs"/>
              </a:defRPr>
            </a:pPr>
            <a:endParaRPr lang="en-US"/>
          </a:p>
        </c:txPr>
      </c:dTable>
      <c:spPr>
        <a:noFill/>
        <a:ln>
          <a:noFill/>
        </a:ln>
        <a:effectLst/>
      </c:spPr>
    </c:plotArea>
    <c:plotVisOnly val="1"/>
    <c:dispBlanksAs val="gap"/>
    <c:showDLblsOverMax val="0"/>
  </c:chart>
  <c:spPr>
    <a:solidFill>
      <a:schemeClr val="bg1"/>
    </a:solidFill>
    <a:ln w="9525" cap="flat" cmpd="sng" algn="ctr">
      <a:noFill/>
      <a:round/>
    </a:ln>
    <a:effectLst/>
  </c:spPr>
  <c:txPr>
    <a:bodyPr/>
    <a:lstStyle/>
    <a:p>
      <a:pPr>
        <a:defRPr/>
      </a:pPr>
      <a:endParaRPr lang="en-US"/>
    </a:p>
  </c:txPr>
  <c:externalData r:id="rId4">
    <c:autoUpdate val="0"/>
  </c:externalData>
</c:chartSpace>
</file>

<file path=word/charts/chart19.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lrMapOvr bg1="lt1" tx1="dk1" bg2="lt2" tx2="dk2" accent1="accent1" accent2="accent2" accent3="accent3" accent4="accent4" accent5="accent5" accent6="accent6" hlink="hlink" folHlink="folHlink"/>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Interest Cover</a:t>
            </a: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barChart>
        <c:barDir val="col"/>
        <c:grouping val="clustered"/>
        <c:varyColors val="0"/>
        <c:ser>
          <c:idx val="0"/>
          <c:order val="0"/>
          <c:tx>
            <c:strRef>
              <c:f>'[Tables for Results.xlsx]Interest Cover'!$B$2</c:f>
              <c:strCache>
                <c:ptCount val="1"/>
                <c:pt idx="0">
                  <c:v>2019</c:v>
                </c:pt>
              </c:strCache>
            </c:strRef>
          </c:tx>
          <c:spPr>
            <a:solidFill>
              <a:schemeClr val="accent1"/>
            </a:solidFill>
            <a:ln>
              <a:noFill/>
            </a:ln>
            <a:effectLst/>
          </c:spPr>
          <c:invertIfNegative val="0"/>
          <c:cat>
            <c:strRef>
              <c:f>'[Tables for Results.xlsx]Interest Cover'!$A$51:$A$61</c:f>
              <c:strCache>
                <c:ptCount val="11"/>
                <c:pt idx="0">
                  <c:v>Financials</c:v>
                </c:pt>
                <c:pt idx="1">
                  <c:v>Consumer Discretionary</c:v>
                </c:pt>
                <c:pt idx="2">
                  <c:v>Telecommunications</c:v>
                </c:pt>
                <c:pt idx="3">
                  <c:v>Technology</c:v>
                </c:pt>
                <c:pt idx="4">
                  <c:v>Real Estate</c:v>
                </c:pt>
                <c:pt idx="5">
                  <c:v>Industrials</c:v>
                </c:pt>
                <c:pt idx="6">
                  <c:v>Utilities</c:v>
                </c:pt>
                <c:pt idx="7">
                  <c:v>Basic Materials</c:v>
                </c:pt>
                <c:pt idx="8">
                  <c:v>Consumer Staples</c:v>
                </c:pt>
                <c:pt idx="9">
                  <c:v>Energy</c:v>
                </c:pt>
                <c:pt idx="10">
                  <c:v>Health Care</c:v>
                </c:pt>
              </c:strCache>
            </c:strRef>
          </c:cat>
          <c:val>
            <c:numRef>
              <c:f>'[Tables for Results.xlsx]Interest Cover'!$B$51:$B$61</c:f>
              <c:numCache>
                <c:formatCode>0.00</c:formatCode>
                <c:ptCount val="11"/>
                <c:pt idx="0">
                  <c:v>1298.9551649451707</c:v>
                </c:pt>
                <c:pt idx="1">
                  <c:v>569.33696195378502</c:v>
                </c:pt>
                <c:pt idx="2">
                  <c:v>26.037795492028625</c:v>
                </c:pt>
                <c:pt idx="3">
                  <c:v>18.465486753707989</c:v>
                </c:pt>
                <c:pt idx="4">
                  <c:v>12.305286209002679</c:v>
                </c:pt>
                <c:pt idx="5">
                  <c:v>77.622968432519357</c:v>
                </c:pt>
                <c:pt idx="6">
                  <c:v>-0.31150001305040204</c:v>
                </c:pt>
                <c:pt idx="7">
                  <c:v>9.7311417737762032</c:v>
                </c:pt>
                <c:pt idx="8">
                  <c:v>6.8961151704393595</c:v>
                </c:pt>
                <c:pt idx="9">
                  <c:v>4.0274793789756345</c:v>
                </c:pt>
                <c:pt idx="10">
                  <c:v>1.8625084604389635</c:v>
                </c:pt>
              </c:numCache>
            </c:numRef>
          </c:val>
          <c:extLst>
            <c:ext xmlns:c16="http://schemas.microsoft.com/office/drawing/2014/chart" uri="{C3380CC4-5D6E-409C-BE32-E72D297353CC}">
              <c16:uniqueId val="{00000000-5DB8-AF4A-AC02-851BB8F136AD}"/>
            </c:ext>
          </c:extLst>
        </c:ser>
        <c:ser>
          <c:idx val="1"/>
          <c:order val="1"/>
          <c:tx>
            <c:strRef>
              <c:f>'[Tables for Results.xlsx]Interest Cover'!$C$2</c:f>
              <c:strCache>
                <c:ptCount val="1"/>
                <c:pt idx="0">
                  <c:v>2020</c:v>
                </c:pt>
              </c:strCache>
            </c:strRef>
          </c:tx>
          <c:spPr>
            <a:solidFill>
              <a:schemeClr val="accent2"/>
            </a:solidFill>
            <a:ln>
              <a:noFill/>
            </a:ln>
            <a:effectLst/>
          </c:spPr>
          <c:invertIfNegative val="0"/>
          <c:cat>
            <c:strRef>
              <c:f>'[Tables for Results.xlsx]Interest Cover'!$A$51:$A$61</c:f>
              <c:strCache>
                <c:ptCount val="11"/>
                <c:pt idx="0">
                  <c:v>Financials</c:v>
                </c:pt>
                <c:pt idx="1">
                  <c:v>Consumer Discretionary</c:v>
                </c:pt>
                <c:pt idx="2">
                  <c:v>Telecommunications</c:v>
                </c:pt>
                <c:pt idx="3">
                  <c:v>Technology</c:v>
                </c:pt>
                <c:pt idx="4">
                  <c:v>Real Estate</c:v>
                </c:pt>
                <c:pt idx="5">
                  <c:v>Industrials</c:v>
                </c:pt>
                <c:pt idx="6">
                  <c:v>Utilities</c:v>
                </c:pt>
                <c:pt idx="7">
                  <c:v>Basic Materials</c:v>
                </c:pt>
                <c:pt idx="8">
                  <c:v>Consumer Staples</c:v>
                </c:pt>
                <c:pt idx="9">
                  <c:v>Energy</c:v>
                </c:pt>
                <c:pt idx="10">
                  <c:v>Health Care</c:v>
                </c:pt>
              </c:strCache>
            </c:strRef>
          </c:cat>
          <c:val>
            <c:numRef>
              <c:f>'[Tables for Results.xlsx]Interest Cover'!$C$51:$C$61</c:f>
              <c:numCache>
                <c:formatCode>0.00</c:formatCode>
                <c:ptCount val="11"/>
                <c:pt idx="0">
                  <c:v>260.31930467301959</c:v>
                </c:pt>
                <c:pt idx="1">
                  <c:v>6.888856970872923</c:v>
                </c:pt>
                <c:pt idx="2">
                  <c:v>34.416928752872842</c:v>
                </c:pt>
                <c:pt idx="3">
                  <c:v>51.167191650512677</c:v>
                </c:pt>
                <c:pt idx="4">
                  <c:v>1.9722884336370052</c:v>
                </c:pt>
                <c:pt idx="5">
                  <c:v>12.287184760260702</c:v>
                </c:pt>
                <c:pt idx="6">
                  <c:v>-0.64391551448694595</c:v>
                </c:pt>
                <c:pt idx="7">
                  <c:v>30.356041098921715</c:v>
                </c:pt>
                <c:pt idx="8">
                  <c:v>2.4632857316080066</c:v>
                </c:pt>
                <c:pt idx="9">
                  <c:v>-3.0679604996468166</c:v>
                </c:pt>
                <c:pt idx="10">
                  <c:v>0.17632196099651498</c:v>
                </c:pt>
              </c:numCache>
            </c:numRef>
          </c:val>
          <c:extLst>
            <c:ext xmlns:c16="http://schemas.microsoft.com/office/drawing/2014/chart" uri="{C3380CC4-5D6E-409C-BE32-E72D297353CC}">
              <c16:uniqueId val="{00000001-5DB8-AF4A-AC02-851BB8F136AD}"/>
            </c:ext>
          </c:extLst>
        </c:ser>
        <c:ser>
          <c:idx val="2"/>
          <c:order val="2"/>
          <c:tx>
            <c:strRef>
              <c:f>'[Tables for Results.xlsx]Interest Cover'!$D$2</c:f>
              <c:strCache>
                <c:ptCount val="1"/>
                <c:pt idx="0">
                  <c:v>2021</c:v>
                </c:pt>
              </c:strCache>
            </c:strRef>
          </c:tx>
          <c:spPr>
            <a:solidFill>
              <a:schemeClr val="accent3"/>
            </a:solidFill>
            <a:ln>
              <a:noFill/>
            </a:ln>
            <a:effectLst/>
          </c:spPr>
          <c:invertIfNegative val="0"/>
          <c:cat>
            <c:strRef>
              <c:f>'[Tables for Results.xlsx]Interest Cover'!$A$51:$A$61</c:f>
              <c:strCache>
                <c:ptCount val="11"/>
                <c:pt idx="0">
                  <c:v>Financials</c:v>
                </c:pt>
                <c:pt idx="1">
                  <c:v>Consumer Discretionary</c:v>
                </c:pt>
                <c:pt idx="2">
                  <c:v>Telecommunications</c:v>
                </c:pt>
                <c:pt idx="3">
                  <c:v>Technology</c:v>
                </c:pt>
                <c:pt idx="4">
                  <c:v>Real Estate</c:v>
                </c:pt>
                <c:pt idx="5">
                  <c:v>Industrials</c:v>
                </c:pt>
                <c:pt idx="6">
                  <c:v>Utilities</c:v>
                </c:pt>
                <c:pt idx="7">
                  <c:v>Basic Materials</c:v>
                </c:pt>
                <c:pt idx="8">
                  <c:v>Consumer Staples</c:v>
                </c:pt>
                <c:pt idx="9">
                  <c:v>Energy</c:v>
                </c:pt>
                <c:pt idx="10">
                  <c:v>Health Care</c:v>
                </c:pt>
              </c:strCache>
            </c:strRef>
          </c:cat>
          <c:val>
            <c:numRef>
              <c:f>'[Tables for Results.xlsx]Interest Cover'!$D$51:$D$61</c:f>
              <c:numCache>
                <c:formatCode>0.00</c:formatCode>
                <c:ptCount val="11"/>
                <c:pt idx="0">
                  <c:v>176.2350839931056</c:v>
                </c:pt>
                <c:pt idx="1">
                  <c:v>18.045770135294063</c:v>
                </c:pt>
                <c:pt idx="2">
                  <c:v>47.583950030551968</c:v>
                </c:pt>
                <c:pt idx="3">
                  <c:v>68.511965235526205</c:v>
                </c:pt>
                <c:pt idx="4">
                  <c:v>22.274698902889629</c:v>
                </c:pt>
                <c:pt idx="5">
                  <c:v>38.968290887206059</c:v>
                </c:pt>
                <c:pt idx="6">
                  <c:v>2.9056708724824243</c:v>
                </c:pt>
                <c:pt idx="7">
                  <c:v>66.508042839522432</c:v>
                </c:pt>
                <c:pt idx="8">
                  <c:v>9.4855917046088258</c:v>
                </c:pt>
                <c:pt idx="9">
                  <c:v>-7.7581955347756129</c:v>
                </c:pt>
                <c:pt idx="10">
                  <c:v>9.7241634948462199</c:v>
                </c:pt>
              </c:numCache>
            </c:numRef>
          </c:val>
          <c:extLst>
            <c:ext xmlns:c16="http://schemas.microsoft.com/office/drawing/2014/chart" uri="{C3380CC4-5D6E-409C-BE32-E72D297353CC}">
              <c16:uniqueId val="{00000002-5DB8-AF4A-AC02-851BB8F136AD}"/>
            </c:ext>
          </c:extLst>
        </c:ser>
        <c:dLbls>
          <c:showLegendKey val="0"/>
          <c:showVal val="0"/>
          <c:showCatName val="0"/>
          <c:showSerName val="0"/>
          <c:showPercent val="0"/>
          <c:showBubbleSize val="0"/>
        </c:dLbls>
        <c:gapWidth val="219"/>
        <c:overlap val="-27"/>
        <c:axId val="217881712"/>
        <c:axId val="217756480"/>
      </c:barChart>
      <c:catAx>
        <c:axId val="217881712"/>
        <c:scaling>
          <c:orientation val="minMax"/>
        </c:scaling>
        <c:delete val="0"/>
        <c:axPos val="b"/>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217756480"/>
        <c:crosses val="autoZero"/>
        <c:auto val="1"/>
        <c:lblAlgn val="ctr"/>
        <c:lblOffset val="100"/>
        <c:noMultiLvlLbl val="0"/>
      </c:catAx>
      <c:valAx>
        <c:axId val="217756480"/>
        <c:scaling>
          <c:orientation val="minMax"/>
        </c:scaling>
        <c:delete val="0"/>
        <c:axPos val="l"/>
        <c:majorGridlines>
          <c:spPr>
            <a:ln w="9525" cap="flat" cmpd="sng" algn="ctr">
              <a:solidFill>
                <a:schemeClr val="tx1">
                  <a:lumMod val="15000"/>
                  <a:lumOff val="85000"/>
                </a:schemeClr>
              </a:solidFill>
              <a:round/>
            </a:ln>
            <a:effectLst/>
          </c:spPr>
        </c:majorGridlines>
        <c:numFmt formatCode="0.00"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217881712"/>
        <c:crosses val="autoZero"/>
        <c:crossBetween val="between"/>
      </c:valAx>
      <c:dTable>
        <c:showHorzBorder val="1"/>
        <c:showVertBorder val="1"/>
        <c:showOutline val="1"/>
        <c:showKeys val="1"/>
        <c:spPr>
          <a:noFill/>
          <a:ln w="9525" cap="flat" cmpd="sng" algn="ctr">
            <a:solidFill>
              <a:schemeClr val="tx1">
                <a:lumMod val="15000"/>
                <a:lumOff val="85000"/>
              </a:schemeClr>
            </a:solidFill>
            <a:round/>
          </a:ln>
          <a:effectLst/>
        </c:spPr>
        <c:txPr>
          <a:bodyPr rot="0" spcFirstLastPara="1" vertOverflow="ellipsis" vert="horz" wrap="square" anchor="ctr" anchorCtr="1"/>
          <a:lstStyle/>
          <a:p>
            <a:pPr rtl="0">
              <a:defRPr sz="700" b="0" i="0" u="none" strike="noStrike" kern="1200" baseline="0">
                <a:solidFill>
                  <a:schemeClr val="tx1">
                    <a:lumMod val="65000"/>
                    <a:lumOff val="35000"/>
                  </a:schemeClr>
                </a:solidFill>
                <a:latin typeface="+mn-lt"/>
                <a:ea typeface="+mn-ea"/>
                <a:cs typeface="+mn-cs"/>
              </a:defRPr>
            </a:pPr>
            <a:endParaRPr lang="en-US"/>
          </a:p>
        </c:txPr>
      </c:dTable>
      <c:spPr>
        <a:noFill/>
        <a:ln>
          <a:noFill/>
        </a:ln>
        <a:effectLst/>
      </c:spPr>
    </c:plotArea>
    <c:plotVisOnly val="1"/>
    <c:dispBlanksAs val="gap"/>
    <c:showDLblsOverMax val="0"/>
  </c:chart>
  <c:spPr>
    <a:solidFill>
      <a:schemeClr val="bg1"/>
    </a:solidFill>
    <a:ln w="9525" cap="flat" cmpd="sng" algn="ctr">
      <a:noFill/>
      <a:round/>
    </a:ln>
    <a:effectLst/>
  </c:spPr>
  <c:txPr>
    <a:bodyPr/>
    <a:lstStyle/>
    <a:p>
      <a:pPr>
        <a:defRPr/>
      </a:pPr>
      <a:endParaRPr lang="en-US"/>
    </a:p>
  </c:txPr>
  <c:externalData r:id="rId4">
    <c:autoUpdate val="0"/>
  </c:externalData>
</c:chartSpace>
</file>

<file path=word/charts/chart20.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lrMapOvr bg1="lt1" tx1="dk1" bg2="lt2" tx2="dk2" accent1="accent1" accent2="accent2" accent3="accent3" accent4="accent4" accent5="accent5" accent6="accent6" hlink="hlink" folHlink="folHlink"/>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Dividend Cover</a:t>
            </a: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manualLayout>
          <c:layoutTarget val="inner"/>
          <c:xMode val="edge"/>
          <c:yMode val="edge"/>
          <c:x val="6.9974340745343103E-2"/>
          <c:y val="0.11899109792284868"/>
          <c:w val="0.89967664559760074"/>
          <c:h val="0.67755866570091206"/>
        </c:manualLayout>
      </c:layout>
      <c:barChart>
        <c:barDir val="col"/>
        <c:grouping val="clustered"/>
        <c:varyColors val="0"/>
        <c:ser>
          <c:idx val="0"/>
          <c:order val="0"/>
          <c:tx>
            <c:strRef>
              <c:f>'[Tables for Results.xlsx]Dividend Cover'!$B$2</c:f>
              <c:strCache>
                <c:ptCount val="1"/>
                <c:pt idx="0">
                  <c:v>2019</c:v>
                </c:pt>
              </c:strCache>
            </c:strRef>
          </c:tx>
          <c:spPr>
            <a:solidFill>
              <a:schemeClr val="accent1"/>
            </a:solidFill>
            <a:ln>
              <a:noFill/>
            </a:ln>
            <a:effectLst/>
          </c:spPr>
          <c:invertIfNegative val="0"/>
          <c:cat>
            <c:strRef>
              <c:f>'[Tables for Results.xlsx]Dividend Cover'!$A$51:$A$61</c:f>
              <c:strCache>
                <c:ptCount val="11"/>
                <c:pt idx="0">
                  <c:v>Financials</c:v>
                </c:pt>
                <c:pt idx="1">
                  <c:v>Consumer Discretionary</c:v>
                </c:pt>
                <c:pt idx="2">
                  <c:v>Telecommunications</c:v>
                </c:pt>
                <c:pt idx="3">
                  <c:v>Technology</c:v>
                </c:pt>
                <c:pt idx="4">
                  <c:v>Real Estate</c:v>
                </c:pt>
                <c:pt idx="5">
                  <c:v>Industrials</c:v>
                </c:pt>
                <c:pt idx="6">
                  <c:v>Utilities</c:v>
                </c:pt>
                <c:pt idx="7">
                  <c:v>Basic Materials</c:v>
                </c:pt>
                <c:pt idx="8">
                  <c:v>Consumer Staples</c:v>
                </c:pt>
                <c:pt idx="9">
                  <c:v>Energy</c:v>
                </c:pt>
                <c:pt idx="10">
                  <c:v>Health Care</c:v>
                </c:pt>
              </c:strCache>
            </c:strRef>
          </c:cat>
          <c:val>
            <c:numRef>
              <c:f>'[Tables for Results.xlsx]Dividend Cover'!$B$51:$B$61</c:f>
              <c:numCache>
                <c:formatCode>0.00</c:formatCode>
                <c:ptCount val="11"/>
                <c:pt idx="0">
                  <c:v>23.078111657218052</c:v>
                </c:pt>
                <c:pt idx="1">
                  <c:v>2.2266625726155667</c:v>
                </c:pt>
                <c:pt idx="2">
                  <c:v>1.363636363636366</c:v>
                </c:pt>
                <c:pt idx="3">
                  <c:v>0.91232326763241089</c:v>
                </c:pt>
                <c:pt idx="4">
                  <c:v>-1.0319170741353527</c:v>
                </c:pt>
                <c:pt idx="5">
                  <c:v>1.4655283919679893</c:v>
                </c:pt>
                <c:pt idx="6">
                  <c:v>-0.72181967700412253</c:v>
                </c:pt>
                <c:pt idx="7">
                  <c:v>-0.86522151401574343</c:v>
                </c:pt>
                <c:pt idx="8">
                  <c:v>1.1968036766532406</c:v>
                </c:pt>
                <c:pt idx="9">
                  <c:v>0.379382331783161</c:v>
                </c:pt>
                <c:pt idx="10">
                  <c:v>0.19902941019632919</c:v>
                </c:pt>
              </c:numCache>
            </c:numRef>
          </c:val>
          <c:extLst>
            <c:ext xmlns:c16="http://schemas.microsoft.com/office/drawing/2014/chart" uri="{C3380CC4-5D6E-409C-BE32-E72D297353CC}">
              <c16:uniqueId val="{00000000-F30B-8E4C-9080-3E3CFB0F0AFC}"/>
            </c:ext>
          </c:extLst>
        </c:ser>
        <c:ser>
          <c:idx val="1"/>
          <c:order val="1"/>
          <c:tx>
            <c:strRef>
              <c:f>'[Tables for Results.xlsx]Dividend Cover'!$C$2</c:f>
              <c:strCache>
                <c:ptCount val="1"/>
                <c:pt idx="0">
                  <c:v>2020</c:v>
                </c:pt>
              </c:strCache>
            </c:strRef>
          </c:tx>
          <c:spPr>
            <a:solidFill>
              <a:schemeClr val="accent2"/>
            </a:solidFill>
            <a:ln>
              <a:noFill/>
            </a:ln>
            <a:effectLst/>
          </c:spPr>
          <c:invertIfNegative val="0"/>
          <c:cat>
            <c:strRef>
              <c:f>'[Tables for Results.xlsx]Dividend Cover'!$A$51:$A$61</c:f>
              <c:strCache>
                <c:ptCount val="11"/>
                <c:pt idx="0">
                  <c:v>Financials</c:v>
                </c:pt>
                <c:pt idx="1">
                  <c:v>Consumer Discretionary</c:v>
                </c:pt>
                <c:pt idx="2">
                  <c:v>Telecommunications</c:v>
                </c:pt>
                <c:pt idx="3">
                  <c:v>Technology</c:v>
                </c:pt>
                <c:pt idx="4">
                  <c:v>Real Estate</c:v>
                </c:pt>
                <c:pt idx="5">
                  <c:v>Industrials</c:v>
                </c:pt>
                <c:pt idx="6">
                  <c:v>Utilities</c:v>
                </c:pt>
                <c:pt idx="7">
                  <c:v>Basic Materials</c:v>
                </c:pt>
                <c:pt idx="8">
                  <c:v>Consumer Staples</c:v>
                </c:pt>
                <c:pt idx="9">
                  <c:v>Energy</c:v>
                </c:pt>
                <c:pt idx="10">
                  <c:v>Health Care</c:v>
                </c:pt>
              </c:strCache>
            </c:strRef>
          </c:cat>
          <c:val>
            <c:numRef>
              <c:f>'[Tables for Results.xlsx]Dividend Cover'!$C$51:$C$61</c:f>
              <c:numCache>
                <c:formatCode>0.00</c:formatCode>
                <c:ptCount val="11"/>
                <c:pt idx="0">
                  <c:v>27.840983867448934</c:v>
                </c:pt>
                <c:pt idx="1">
                  <c:v>-22.771961032251852</c:v>
                </c:pt>
                <c:pt idx="2">
                  <c:v>1.25595238095238</c:v>
                </c:pt>
                <c:pt idx="3">
                  <c:v>2.0791026310494023</c:v>
                </c:pt>
                <c:pt idx="4">
                  <c:v>-50.167827237377423</c:v>
                </c:pt>
                <c:pt idx="5">
                  <c:v>1.4075270728921601</c:v>
                </c:pt>
                <c:pt idx="6">
                  <c:v>-0.72299047053645538</c:v>
                </c:pt>
                <c:pt idx="7">
                  <c:v>2.5517852046058134</c:v>
                </c:pt>
                <c:pt idx="8">
                  <c:v>-42.931663819345481</c:v>
                </c:pt>
                <c:pt idx="9">
                  <c:v>-11.697317455507346</c:v>
                </c:pt>
                <c:pt idx="10">
                  <c:v>0.80470518734742402</c:v>
                </c:pt>
              </c:numCache>
            </c:numRef>
          </c:val>
          <c:extLst>
            <c:ext xmlns:c16="http://schemas.microsoft.com/office/drawing/2014/chart" uri="{C3380CC4-5D6E-409C-BE32-E72D297353CC}">
              <c16:uniqueId val="{00000001-F30B-8E4C-9080-3E3CFB0F0AFC}"/>
            </c:ext>
          </c:extLst>
        </c:ser>
        <c:ser>
          <c:idx val="2"/>
          <c:order val="2"/>
          <c:tx>
            <c:strRef>
              <c:f>'[Tables for Results.xlsx]Dividend Cover'!$D$2</c:f>
              <c:strCache>
                <c:ptCount val="1"/>
                <c:pt idx="0">
                  <c:v>2021</c:v>
                </c:pt>
              </c:strCache>
            </c:strRef>
          </c:tx>
          <c:spPr>
            <a:solidFill>
              <a:schemeClr val="accent3"/>
            </a:solidFill>
            <a:ln>
              <a:noFill/>
            </a:ln>
            <a:effectLst/>
          </c:spPr>
          <c:invertIfNegative val="0"/>
          <c:cat>
            <c:strRef>
              <c:f>'[Tables for Results.xlsx]Dividend Cover'!$A$51:$A$61</c:f>
              <c:strCache>
                <c:ptCount val="11"/>
                <c:pt idx="0">
                  <c:v>Financials</c:v>
                </c:pt>
                <c:pt idx="1">
                  <c:v>Consumer Discretionary</c:v>
                </c:pt>
                <c:pt idx="2">
                  <c:v>Telecommunications</c:v>
                </c:pt>
                <c:pt idx="3">
                  <c:v>Technology</c:v>
                </c:pt>
                <c:pt idx="4">
                  <c:v>Real Estate</c:v>
                </c:pt>
                <c:pt idx="5">
                  <c:v>Industrials</c:v>
                </c:pt>
                <c:pt idx="6">
                  <c:v>Utilities</c:v>
                </c:pt>
                <c:pt idx="7">
                  <c:v>Basic Materials</c:v>
                </c:pt>
                <c:pt idx="8">
                  <c:v>Consumer Staples</c:v>
                </c:pt>
                <c:pt idx="9">
                  <c:v>Energy</c:v>
                </c:pt>
                <c:pt idx="10">
                  <c:v>Health Care</c:v>
                </c:pt>
              </c:strCache>
            </c:strRef>
          </c:cat>
          <c:val>
            <c:numRef>
              <c:f>'[Tables for Results.xlsx]Dividend Cover'!$D$51:$D$61</c:f>
              <c:numCache>
                <c:formatCode>0.00</c:formatCode>
                <c:ptCount val="11"/>
                <c:pt idx="0">
                  <c:v>9.8597540097806782</c:v>
                </c:pt>
                <c:pt idx="1">
                  <c:v>-2.9521815490278756</c:v>
                </c:pt>
                <c:pt idx="2">
                  <c:v>0.53349282296650724</c:v>
                </c:pt>
                <c:pt idx="3">
                  <c:v>64.08950601120705</c:v>
                </c:pt>
                <c:pt idx="4">
                  <c:v>3.038030442629815</c:v>
                </c:pt>
                <c:pt idx="5">
                  <c:v>-61.039988122837975</c:v>
                </c:pt>
                <c:pt idx="6">
                  <c:v>0.60437871984856673</c:v>
                </c:pt>
                <c:pt idx="7">
                  <c:v>1.6900165843749644</c:v>
                </c:pt>
                <c:pt idx="8">
                  <c:v>1.6688180068874943</c:v>
                </c:pt>
                <c:pt idx="9">
                  <c:v>-13.170544793290333</c:v>
                </c:pt>
                <c:pt idx="10">
                  <c:v>0.75412587412587351</c:v>
                </c:pt>
              </c:numCache>
            </c:numRef>
          </c:val>
          <c:extLst>
            <c:ext xmlns:c16="http://schemas.microsoft.com/office/drawing/2014/chart" uri="{C3380CC4-5D6E-409C-BE32-E72D297353CC}">
              <c16:uniqueId val="{00000002-F30B-8E4C-9080-3E3CFB0F0AFC}"/>
            </c:ext>
          </c:extLst>
        </c:ser>
        <c:dLbls>
          <c:showLegendKey val="0"/>
          <c:showVal val="0"/>
          <c:showCatName val="0"/>
          <c:showSerName val="0"/>
          <c:showPercent val="0"/>
          <c:showBubbleSize val="0"/>
        </c:dLbls>
        <c:gapWidth val="219"/>
        <c:overlap val="-27"/>
        <c:axId val="217881712"/>
        <c:axId val="217756480"/>
      </c:barChart>
      <c:catAx>
        <c:axId val="217881712"/>
        <c:scaling>
          <c:orientation val="minMax"/>
        </c:scaling>
        <c:delete val="0"/>
        <c:axPos val="b"/>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217756480"/>
        <c:crosses val="autoZero"/>
        <c:auto val="1"/>
        <c:lblAlgn val="ctr"/>
        <c:lblOffset val="100"/>
        <c:noMultiLvlLbl val="0"/>
      </c:catAx>
      <c:valAx>
        <c:axId val="217756480"/>
        <c:scaling>
          <c:orientation val="minMax"/>
        </c:scaling>
        <c:delete val="0"/>
        <c:axPos val="l"/>
        <c:majorGridlines>
          <c:spPr>
            <a:ln w="9525" cap="flat" cmpd="sng" algn="ctr">
              <a:solidFill>
                <a:schemeClr val="tx1">
                  <a:lumMod val="15000"/>
                  <a:lumOff val="85000"/>
                </a:schemeClr>
              </a:solidFill>
              <a:round/>
            </a:ln>
            <a:effectLst/>
          </c:spPr>
        </c:majorGridlines>
        <c:numFmt formatCode="0.00"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217881712"/>
        <c:crosses val="autoZero"/>
        <c:crossBetween val="between"/>
      </c:valAx>
      <c:dTable>
        <c:showHorzBorder val="1"/>
        <c:showVertBorder val="1"/>
        <c:showOutline val="1"/>
        <c:showKeys val="1"/>
        <c:spPr>
          <a:noFill/>
          <a:ln w="9525" cap="flat" cmpd="sng" algn="ctr">
            <a:solidFill>
              <a:schemeClr val="tx1">
                <a:lumMod val="15000"/>
                <a:lumOff val="85000"/>
              </a:schemeClr>
            </a:solidFill>
            <a:round/>
          </a:ln>
          <a:effectLst/>
        </c:spPr>
        <c:txPr>
          <a:bodyPr rot="0" spcFirstLastPara="1" vertOverflow="ellipsis" vert="horz" wrap="square" anchor="ctr" anchorCtr="1"/>
          <a:lstStyle/>
          <a:p>
            <a:pPr rtl="0">
              <a:defRPr sz="700" b="0" i="0" u="none" strike="noStrike" kern="1200" baseline="0">
                <a:solidFill>
                  <a:schemeClr val="tx1">
                    <a:lumMod val="65000"/>
                    <a:lumOff val="35000"/>
                  </a:schemeClr>
                </a:solidFill>
                <a:latin typeface="+mn-lt"/>
                <a:ea typeface="+mn-ea"/>
                <a:cs typeface="+mn-cs"/>
              </a:defRPr>
            </a:pPr>
            <a:endParaRPr lang="en-US"/>
          </a:p>
        </c:txPr>
      </c:dTable>
      <c:spPr>
        <a:noFill/>
        <a:ln>
          <a:noFill/>
        </a:ln>
        <a:effectLst/>
      </c:spPr>
    </c:plotArea>
    <c:plotVisOnly val="1"/>
    <c:dispBlanksAs val="gap"/>
    <c:showDLblsOverMax val="0"/>
  </c:chart>
  <c:spPr>
    <a:solidFill>
      <a:schemeClr val="bg1"/>
    </a:solidFill>
    <a:ln w="9525" cap="flat" cmpd="sng" algn="ctr">
      <a:noFill/>
      <a:round/>
    </a:ln>
    <a:effectLst/>
  </c:spPr>
  <c:txPr>
    <a:bodyPr/>
    <a:lstStyle/>
    <a:p>
      <a:pPr>
        <a:defRPr/>
      </a:pPr>
      <a:endParaRPr lang="en-US"/>
    </a:p>
  </c:txPr>
  <c:externalData r:id="rId4">
    <c:autoUpdate val="0"/>
  </c:externalData>
</c:chartSpace>
</file>

<file path=word/charts/chart2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lrMapOvr bg1="lt1" tx1="dk1" bg2="lt2" tx2="dk2" accent1="accent1" accent2="accent2" accent3="accent3" accent4="accent4" accent5="accent5" accent6="accent6" hlink="hlink" folHlink="folHlink"/>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Dividend Yield</a:t>
            </a: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barChart>
        <c:barDir val="col"/>
        <c:grouping val="clustered"/>
        <c:varyColors val="0"/>
        <c:ser>
          <c:idx val="0"/>
          <c:order val="0"/>
          <c:tx>
            <c:strRef>
              <c:f>'[Tables for Results.xlsx]Dividend Yield'!$B$2</c:f>
              <c:strCache>
                <c:ptCount val="1"/>
                <c:pt idx="0">
                  <c:v>2019</c:v>
                </c:pt>
              </c:strCache>
            </c:strRef>
          </c:tx>
          <c:spPr>
            <a:solidFill>
              <a:schemeClr val="accent1"/>
            </a:solidFill>
            <a:ln>
              <a:noFill/>
            </a:ln>
            <a:effectLst/>
          </c:spPr>
          <c:invertIfNegative val="0"/>
          <c:cat>
            <c:strRef>
              <c:f>'[Tables for Results.xlsx]Dividend Yield'!$A$51:$A$61</c:f>
              <c:strCache>
                <c:ptCount val="11"/>
                <c:pt idx="0">
                  <c:v>Financials</c:v>
                </c:pt>
                <c:pt idx="1">
                  <c:v>Consumer Discretionary</c:v>
                </c:pt>
                <c:pt idx="2">
                  <c:v>Telecommunications</c:v>
                </c:pt>
                <c:pt idx="3">
                  <c:v>Technology</c:v>
                </c:pt>
                <c:pt idx="4">
                  <c:v>Real Estate</c:v>
                </c:pt>
                <c:pt idx="5">
                  <c:v>Industrials</c:v>
                </c:pt>
                <c:pt idx="6">
                  <c:v>Utilities</c:v>
                </c:pt>
                <c:pt idx="7">
                  <c:v>Basic Materials</c:v>
                </c:pt>
                <c:pt idx="8">
                  <c:v>Consumer Staples</c:v>
                </c:pt>
                <c:pt idx="9">
                  <c:v>Energy</c:v>
                </c:pt>
                <c:pt idx="10">
                  <c:v>Health Care</c:v>
                </c:pt>
              </c:strCache>
            </c:strRef>
          </c:cat>
          <c:val>
            <c:numRef>
              <c:f>'[Tables for Results.xlsx]Dividend Yield'!$B$51:$B$61</c:f>
              <c:numCache>
                <c:formatCode>0.0%</c:formatCode>
                <c:ptCount val="11"/>
                <c:pt idx="0">
                  <c:v>3.6476579358569176E-2</c:v>
                </c:pt>
                <c:pt idx="1">
                  <c:v>4.0080843406485066E-2</c:v>
                </c:pt>
                <c:pt idx="2">
                  <c:v>1.2463170910099903E-2</c:v>
                </c:pt>
                <c:pt idx="3">
                  <c:v>2.9490177756226345E-2</c:v>
                </c:pt>
                <c:pt idx="4">
                  <c:v>0.2930803584007533</c:v>
                </c:pt>
                <c:pt idx="5">
                  <c:v>3.4367431381565609E-2</c:v>
                </c:pt>
                <c:pt idx="6">
                  <c:v>6.4046322389554558E-2</c:v>
                </c:pt>
                <c:pt idx="7">
                  <c:v>3.534431389744825E-2</c:v>
                </c:pt>
                <c:pt idx="8">
                  <c:v>2.8667133402230486E-2</c:v>
                </c:pt>
                <c:pt idx="9">
                  <c:v>5.1978971378143154E-2</c:v>
                </c:pt>
                <c:pt idx="10">
                  <c:v>1.3761929858788328E-2</c:v>
                </c:pt>
              </c:numCache>
            </c:numRef>
          </c:val>
          <c:extLst>
            <c:ext xmlns:c16="http://schemas.microsoft.com/office/drawing/2014/chart" uri="{C3380CC4-5D6E-409C-BE32-E72D297353CC}">
              <c16:uniqueId val="{00000000-1C64-6D44-BDBA-EF651C56D11D}"/>
            </c:ext>
          </c:extLst>
        </c:ser>
        <c:ser>
          <c:idx val="1"/>
          <c:order val="1"/>
          <c:tx>
            <c:strRef>
              <c:f>'[Tables for Results.xlsx]Dividend Yield'!$C$2</c:f>
              <c:strCache>
                <c:ptCount val="1"/>
                <c:pt idx="0">
                  <c:v>2020</c:v>
                </c:pt>
              </c:strCache>
            </c:strRef>
          </c:tx>
          <c:spPr>
            <a:solidFill>
              <a:schemeClr val="accent2"/>
            </a:solidFill>
            <a:ln>
              <a:noFill/>
            </a:ln>
            <a:effectLst/>
          </c:spPr>
          <c:invertIfNegative val="0"/>
          <c:cat>
            <c:strRef>
              <c:f>'[Tables for Results.xlsx]Dividend Yield'!$A$51:$A$61</c:f>
              <c:strCache>
                <c:ptCount val="11"/>
                <c:pt idx="0">
                  <c:v>Financials</c:v>
                </c:pt>
                <c:pt idx="1">
                  <c:v>Consumer Discretionary</c:v>
                </c:pt>
                <c:pt idx="2">
                  <c:v>Telecommunications</c:v>
                </c:pt>
                <c:pt idx="3">
                  <c:v>Technology</c:v>
                </c:pt>
                <c:pt idx="4">
                  <c:v>Real Estate</c:v>
                </c:pt>
                <c:pt idx="5">
                  <c:v>Industrials</c:v>
                </c:pt>
                <c:pt idx="6">
                  <c:v>Utilities</c:v>
                </c:pt>
                <c:pt idx="7">
                  <c:v>Basic Materials</c:v>
                </c:pt>
                <c:pt idx="8">
                  <c:v>Consumer Staples</c:v>
                </c:pt>
                <c:pt idx="9">
                  <c:v>Energy</c:v>
                </c:pt>
                <c:pt idx="10">
                  <c:v>Health Care</c:v>
                </c:pt>
              </c:strCache>
            </c:strRef>
          </c:cat>
          <c:val>
            <c:numRef>
              <c:f>'[Tables for Results.xlsx]Dividend Yield'!$C$51:$C$61</c:f>
              <c:numCache>
                <c:formatCode>0.0%</c:formatCode>
                <c:ptCount val="11"/>
                <c:pt idx="0">
                  <c:v>3.2902092300989172E-2</c:v>
                </c:pt>
                <c:pt idx="1">
                  <c:v>1.3538048133497826E-2</c:v>
                </c:pt>
                <c:pt idx="2">
                  <c:v>2.0473533046356161E-2</c:v>
                </c:pt>
                <c:pt idx="3">
                  <c:v>2.0053472136800445E-2</c:v>
                </c:pt>
                <c:pt idx="4">
                  <c:v>0.36025550782844529</c:v>
                </c:pt>
                <c:pt idx="5">
                  <c:v>1.6811727746066152E-2</c:v>
                </c:pt>
                <c:pt idx="6">
                  <c:v>4.6863509870130667E-2</c:v>
                </c:pt>
                <c:pt idx="7">
                  <c:v>6.7450724005396215E-2</c:v>
                </c:pt>
                <c:pt idx="8">
                  <c:v>1.3719916453619682E-2</c:v>
                </c:pt>
                <c:pt idx="9">
                  <c:v>9.0765471762717764E-2</c:v>
                </c:pt>
                <c:pt idx="10">
                  <c:v>6.3193158170932098E-3</c:v>
                </c:pt>
              </c:numCache>
            </c:numRef>
          </c:val>
          <c:extLst>
            <c:ext xmlns:c16="http://schemas.microsoft.com/office/drawing/2014/chart" uri="{C3380CC4-5D6E-409C-BE32-E72D297353CC}">
              <c16:uniqueId val="{00000001-1C64-6D44-BDBA-EF651C56D11D}"/>
            </c:ext>
          </c:extLst>
        </c:ser>
        <c:ser>
          <c:idx val="2"/>
          <c:order val="2"/>
          <c:tx>
            <c:strRef>
              <c:f>'[Tables for Results.xlsx]Dividend Yield'!$D$2</c:f>
              <c:strCache>
                <c:ptCount val="1"/>
                <c:pt idx="0">
                  <c:v>2021</c:v>
                </c:pt>
              </c:strCache>
            </c:strRef>
          </c:tx>
          <c:spPr>
            <a:solidFill>
              <a:schemeClr val="accent3"/>
            </a:solidFill>
            <a:ln>
              <a:noFill/>
            </a:ln>
            <a:effectLst/>
          </c:spPr>
          <c:invertIfNegative val="0"/>
          <c:cat>
            <c:strRef>
              <c:f>'[Tables for Results.xlsx]Dividend Yield'!$A$51:$A$61</c:f>
              <c:strCache>
                <c:ptCount val="11"/>
                <c:pt idx="0">
                  <c:v>Financials</c:v>
                </c:pt>
                <c:pt idx="1">
                  <c:v>Consumer Discretionary</c:v>
                </c:pt>
                <c:pt idx="2">
                  <c:v>Telecommunications</c:v>
                </c:pt>
                <c:pt idx="3">
                  <c:v>Technology</c:v>
                </c:pt>
                <c:pt idx="4">
                  <c:v>Real Estate</c:v>
                </c:pt>
                <c:pt idx="5">
                  <c:v>Industrials</c:v>
                </c:pt>
                <c:pt idx="6">
                  <c:v>Utilities</c:v>
                </c:pt>
                <c:pt idx="7">
                  <c:v>Basic Materials</c:v>
                </c:pt>
                <c:pt idx="8">
                  <c:v>Consumer Staples</c:v>
                </c:pt>
                <c:pt idx="9">
                  <c:v>Energy</c:v>
                </c:pt>
                <c:pt idx="10">
                  <c:v>Health Care</c:v>
                </c:pt>
              </c:strCache>
            </c:strRef>
          </c:cat>
          <c:val>
            <c:numRef>
              <c:f>'[Tables for Results.xlsx]Dividend Yield'!$D$51:$D$61</c:f>
              <c:numCache>
                <c:formatCode>0.0%</c:formatCode>
                <c:ptCount val="11"/>
                <c:pt idx="0">
                  <c:v>2.6988487122699023E-2</c:v>
                </c:pt>
                <c:pt idx="1">
                  <c:v>1.3405911268231518E-2</c:v>
                </c:pt>
                <c:pt idx="2">
                  <c:v>9.5441132869304932E-3</c:v>
                </c:pt>
                <c:pt idx="3">
                  <c:v>2.5466909084154797E-2</c:v>
                </c:pt>
                <c:pt idx="4">
                  <c:v>5.574230213474865E-2</c:v>
                </c:pt>
                <c:pt idx="5">
                  <c:v>2.5151245261021249E-2</c:v>
                </c:pt>
                <c:pt idx="6">
                  <c:v>3.7441692220246126E-2</c:v>
                </c:pt>
                <c:pt idx="7">
                  <c:v>5.1093281035387794E-2</c:v>
                </c:pt>
                <c:pt idx="8">
                  <c:v>1.6532455018888132E-2</c:v>
                </c:pt>
                <c:pt idx="9">
                  <c:v>2.9198027511030365E-2</c:v>
                </c:pt>
                <c:pt idx="10">
                  <c:v>5.5220027312107046E-3</c:v>
                </c:pt>
              </c:numCache>
            </c:numRef>
          </c:val>
          <c:extLst>
            <c:ext xmlns:c16="http://schemas.microsoft.com/office/drawing/2014/chart" uri="{C3380CC4-5D6E-409C-BE32-E72D297353CC}">
              <c16:uniqueId val="{00000002-1C64-6D44-BDBA-EF651C56D11D}"/>
            </c:ext>
          </c:extLst>
        </c:ser>
        <c:dLbls>
          <c:showLegendKey val="0"/>
          <c:showVal val="0"/>
          <c:showCatName val="0"/>
          <c:showSerName val="0"/>
          <c:showPercent val="0"/>
          <c:showBubbleSize val="0"/>
        </c:dLbls>
        <c:gapWidth val="219"/>
        <c:overlap val="-27"/>
        <c:axId val="217881712"/>
        <c:axId val="217756480"/>
      </c:barChart>
      <c:catAx>
        <c:axId val="217881712"/>
        <c:scaling>
          <c:orientation val="minMax"/>
        </c:scaling>
        <c:delete val="0"/>
        <c:axPos val="b"/>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217756480"/>
        <c:crosses val="autoZero"/>
        <c:auto val="1"/>
        <c:lblAlgn val="ctr"/>
        <c:lblOffset val="100"/>
        <c:noMultiLvlLbl val="0"/>
      </c:catAx>
      <c:valAx>
        <c:axId val="217756480"/>
        <c:scaling>
          <c:orientation val="minMax"/>
        </c:scaling>
        <c:delete val="0"/>
        <c:axPos val="l"/>
        <c:majorGridlines>
          <c:spPr>
            <a:ln w="9525" cap="flat" cmpd="sng" algn="ctr">
              <a:solidFill>
                <a:schemeClr val="tx1">
                  <a:lumMod val="15000"/>
                  <a:lumOff val="85000"/>
                </a:schemeClr>
              </a:solidFill>
              <a:round/>
            </a:ln>
            <a:effectLst/>
          </c:spPr>
        </c:majorGridlines>
        <c:numFmt formatCode="0.0%"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217881712"/>
        <c:crosses val="autoZero"/>
        <c:crossBetween val="between"/>
      </c:valAx>
      <c:dTable>
        <c:showHorzBorder val="1"/>
        <c:showVertBorder val="1"/>
        <c:showOutline val="1"/>
        <c:showKeys val="1"/>
        <c:spPr>
          <a:noFill/>
          <a:ln w="9525" cap="flat" cmpd="sng" algn="ctr">
            <a:solidFill>
              <a:schemeClr val="tx1">
                <a:lumMod val="15000"/>
                <a:lumOff val="85000"/>
              </a:schemeClr>
            </a:solidFill>
            <a:round/>
          </a:ln>
          <a:effectLst/>
        </c:spPr>
        <c:txPr>
          <a:bodyPr rot="0" spcFirstLastPara="1" vertOverflow="ellipsis" vert="horz" wrap="square" anchor="ctr" anchorCtr="1"/>
          <a:lstStyle/>
          <a:p>
            <a:pPr rtl="0">
              <a:defRPr sz="700" b="0" i="0" u="none" strike="noStrike" kern="1200" baseline="0">
                <a:solidFill>
                  <a:schemeClr val="tx1">
                    <a:lumMod val="65000"/>
                    <a:lumOff val="35000"/>
                  </a:schemeClr>
                </a:solidFill>
                <a:latin typeface="+mn-lt"/>
                <a:ea typeface="+mn-ea"/>
                <a:cs typeface="+mn-cs"/>
              </a:defRPr>
            </a:pPr>
            <a:endParaRPr lang="en-US"/>
          </a:p>
        </c:txPr>
      </c:dTable>
      <c:spPr>
        <a:noFill/>
        <a:ln>
          <a:noFill/>
        </a:ln>
        <a:effectLst/>
      </c:spPr>
    </c:plotArea>
    <c:plotVisOnly val="1"/>
    <c:dispBlanksAs val="gap"/>
    <c:showDLblsOverMax val="0"/>
  </c:chart>
  <c:spPr>
    <a:solidFill>
      <a:schemeClr val="bg1"/>
    </a:solidFill>
    <a:ln w="9525" cap="flat" cmpd="sng" algn="ctr">
      <a:noFill/>
      <a:round/>
    </a:ln>
    <a:effectLst/>
  </c:spPr>
  <c:txPr>
    <a:bodyPr/>
    <a:lstStyle/>
    <a:p>
      <a:pPr>
        <a:defRPr/>
      </a:pPr>
      <a:endParaRPr lang="en-US"/>
    </a:p>
  </c:txPr>
  <c:externalData r:id="rId4">
    <c:autoUpdate val="0"/>
  </c:externalData>
</c:chartSpace>
</file>

<file path=word/charts/chart2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lrMapOvr bg1="lt1" tx1="dk1" bg2="lt2" tx2="dk2" accent1="accent1" accent2="accent2" accent3="accent3" accent4="accent4" accent5="accent5" accent6="accent6" hlink="hlink" folHlink="folHlink"/>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Return on Equity (ROE)</a:t>
            </a: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barChart>
        <c:barDir val="col"/>
        <c:grouping val="clustered"/>
        <c:varyColors val="0"/>
        <c:ser>
          <c:idx val="0"/>
          <c:order val="0"/>
          <c:tx>
            <c:strRef>
              <c:f>'[Tables for Results.xlsx]Return on Equity'!$B$2</c:f>
              <c:strCache>
                <c:ptCount val="1"/>
                <c:pt idx="0">
                  <c:v>2019</c:v>
                </c:pt>
              </c:strCache>
            </c:strRef>
          </c:tx>
          <c:spPr>
            <a:solidFill>
              <a:schemeClr val="accent1"/>
            </a:solidFill>
            <a:ln>
              <a:noFill/>
            </a:ln>
            <a:effectLst/>
          </c:spPr>
          <c:invertIfNegative val="0"/>
          <c:cat>
            <c:strRef>
              <c:f>'[Tables for Results.xlsx]Return on Equity'!$A$51:$A$61</c:f>
              <c:strCache>
                <c:ptCount val="11"/>
                <c:pt idx="0">
                  <c:v>Financials</c:v>
                </c:pt>
                <c:pt idx="1">
                  <c:v>Consumer Discretionary</c:v>
                </c:pt>
                <c:pt idx="2">
                  <c:v>Telecommunications</c:v>
                </c:pt>
                <c:pt idx="3">
                  <c:v>Technology</c:v>
                </c:pt>
                <c:pt idx="4">
                  <c:v>Real Estate</c:v>
                </c:pt>
                <c:pt idx="5">
                  <c:v>Industrials</c:v>
                </c:pt>
                <c:pt idx="6">
                  <c:v>Utilities</c:v>
                </c:pt>
                <c:pt idx="7">
                  <c:v>Basic Materials</c:v>
                </c:pt>
                <c:pt idx="8">
                  <c:v>Consumer Staples</c:v>
                </c:pt>
                <c:pt idx="9">
                  <c:v>Energy</c:v>
                </c:pt>
                <c:pt idx="10">
                  <c:v>Health Care</c:v>
                </c:pt>
              </c:strCache>
            </c:strRef>
          </c:cat>
          <c:val>
            <c:numRef>
              <c:f>'[Tables for Results.xlsx]Return on Equity'!$B$51:$B$61</c:f>
              <c:numCache>
                <c:formatCode>0.0%</c:formatCode>
                <c:ptCount val="11"/>
                <c:pt idx="0">
                  <c:v>0.10988352204259674</c:v>
                </c:pt>
                <c:pt idx="1">
                  <c:v>9.2351176658171663E-2</c:v>
                </c:pt>
                <c:pt idx="2">
                  <c:v>-0.29267521789641066</c:v>
                </c:pt>
                <c:pt idx="3">
                  <c:v>0.2269948562105967</c:v>
                </c:pt>
                <c:pt idx="4">
                  <c:v>3.8158445240563062E-2</c:v>
                </c:pt>
                <c:pt idx="5">
                  <c:v>0.15894463735527703</c:v>
                </c:pt>
                <c:pt idx="6">
                  <c:v>-0.19073362380477932</c:v>
                </c:pt>
                <c:pt idx="7">
                  <c:v>0.11620384049142403</c:v>
                </c:pt>
                <c:pt idx="8">
                  <c:v>0.17629122352419282</c:v>
                </c:pt>
                <c:pt idx="9">
                  <c:v>3.4446399810956888E-2</c:v>
                </c:pt>
                <c:pt idx="10">
                  <c:v>9.1199290718964654E-2</c:v>
                </c:pt>
              </c:numCache>
            </c:numRef>
          </c:val>
          <c:extLst>
            <c:ext xmlns:c16="http://schemas.microsoft.com/office/drawing/2014/chart" uri="{C3380CC4-5D6E-409C-BE32-E72D297353CC}">
              <c16:uniqueId val="{00000000-2900-F243-BDA1-2CDEA3D8B1E9}"/>
            </c:ext>
          </c:extLst>
        </c:ser>
        <c:ser>
          <c:idx val="1"/>
          <c:order val="1"/>
          <c:tx>
            <c:strRef>
              <c:f>'[Tables for Results.xlsx]Return on Equity'!$C$2</c:f>
              <c:strCache>
                <c:ptCount val="1"/>
                <c:pt idx="0">
                  <c:v>2020</c:v>
                </c:pt>
              </c:strCache>
            </c:strRef>
          </c:tx>
          <c:spPr>
            <a:solidFill>
              <a:schemeClr val="accent2"/>
            </a:solidFill>
            <a:ln>
              <a:noFill/>
            </a:ln>
            <a:effectLst/>
          </c:spPr>
          <c:invertIfNegative val="0"/>
          <c:cat>
            <c:strRef>
              <c:f>'[Tables for Results.xlsx]Return on Equity'!$A$51:$A$61</c:f>
              <c:strCache>
                <c:ptCount val="11"/>
                <c:pt idx="0">
                  <c:v>Financials</c:v>
                </c:pt>
                <c:pt idx="1">
                  <c:v>Consumer Discretionary</c:v>
                </c:pt>
                <c:pt idx="2">
                  <c:v>Telecommunications</c:v>
                </c:pt>
                <c:pt idx="3">
                  <c:v>Technology</c:v>
                </c:pt>
                <c:pt idx="4">
                  <c:v>Real Estate</c:v>
                </c:pt>
                <c:pt idx="5">
                  <c:v>Industrials</c:v>
                </c:pt>
                <c:pt idx="6">
                  <c:v>Utilities</c:v>
                </c:pt>
                <c:pt idx="7">
                  <c:v>Basic Materials</c:v>
                </c:pt>
                <c:pt idx="8">
                  <c:v>Consumer Staples</c:v>
                </c:pt>
                <c:pt idx="9">
                  <c:v>Energy</c:v>
                </c:pt>
                <c:pt idx="10">
                  <c:v>Health Care</c:v>
                </c:pt>
              </c:strCache>
            </c:strRef>
          </c:cat>
          <c:val>
            <c:numRef>
              <c:f>'[Tables for Results.xlsx]Return on Equity'!$C$51:$C$61</c:f>
              <c:numCache>
                <c:formatCode>0.0%</c:formatCode>
                <c:ptCount val="11"/>
                <c:pt idx="0">
                  <c:v>9.005195615774203E-2</c:v>
                </c:pt>
                <c:pt idx="1">
                  <c:v>-1.2731267207156172</c:v>
                </c:pt>
                <c:pt idx="2">
                  <c:v>-4.5526236792171201E-2</c:v>
                </c:pt>
                <c:pt idx="3">
                  <c:v>0.13726832396852734</c:v>
                </c:pt>
                <c:pt idx="4">
                  <c:v>-3.0388162279801345E-3</c:v>
                </c:pt>
                <c:pt idx="5">
                  <c:v>3.0904078771022722E-3</c:v>
                </c:pt>
                <c:pt idx="6">
                  <c:v>-3.9187281814993737E-2</c:v>
                </c:pt>
                <c:pt idx="7">
                  <c:v>9.0508321865436933E-2</c:v>
                </c:pt>
                <c:pt idx="8">
                  <c:v>2.8129235317647047E-2</c:v>
                </c:pt>
                <c:pt idx="9">
                  <c:v>-6.5817998879523082E-2</c:v>
                </c:pt>
                <c:pt idx="10">
                  <c:v>-0.40868185390562567</c:v>
                </c:pt>
              </c:numCache>
            </c:numRef>
          </c:val>
          <c:extLst>
            <c:ext xmlns:c16="http://schemas.microsoft.com/office/drawing/2014/chart" uri="{C3380CC4-5D6E-409C-BE32-E72D297353CC}">
              <c16:uniqueId val="{00000001-2900-F243-BDA1-2CDEA3D8B1E9}"/>
            </c:ext>
          </c:extLst>
        </c:ser>
        <c:ser>
          <c:idx val="2"/>
          <c:order val="2"/>
          <c:tx>
            <c:strRef>
              <c:f>'[Tables for Results.xlsx]Return on Equity'!$D$2</c:f>
              <c:strCache>
                <c:ptCount val="1"/>
                <c:pt idx="0">
                  <c:v>2021</c:v>
                </c:pt>
              </c:strCache>
            </c:strRef>
          </c:tx>
          <c:spPr>
            <a:solidFill>
              <a:schemeClr val="accent3"/>
            </a:solidFill>
            <a:ln>
              <a:noFill/>
            </a:ln>
            <a:effectLst/>
          </c:spPr>
          <c:invertIfNegative val="0"/>
          <c:cat>
            <c:strRef>
              <c:f>'[Tables for Results.xlsx]Return on Equity'!$A$51:$A$61</c:f>
              <c:strCache>
                <c:ptCount val="11"/>
                <c:pt idx="0">
                  <c:v>Financials</c:v>
                </c:pt>
                <c:pt idx="1">
                  <c:v>Consumer Discretionary</c:v>
                </c:pt>
                <c:pt idx="2">
                  <c:v>Telecommunications</c:v>
                </c:pt>
                <c:pt idx="3">
                  <c:v>Technology</c:v>
                </c:pt>
                <c:pt idx="4">
                  <c:v>Real Estate</c:v>
                </c:pt>
                <c:pt idx="5">
                  <c:v>Industrials</c:v>
                </c:pt>
                <c:pt idx="6">
                  <c:v>Utilities</c:v>
                </c:pt>
                <c:pt idx="7">
                  <c:v>Basic Materials</c:v>
                </c:pt>
                <c:pt idx="8">
                  <c:v>Consumer Staples</c:v>
                </c:pt>
                <c:pt idx="9">
                  <c:v>Energy</c:v>
                </c:pt>
                <c:pt idx="10">
                  <c:v>Health Care</c:v>
                </c:pt>
              </c:strCache>
            </c:strRef>
          </c:cat>
          <c:val>
            <c:numRef>
              <c:f>'[Tables for Results.xlsx]Return on Equity'!$D$51:$D$61</c:f>
              <c:numCache>
                <c:formatCode>0.0%</c:formatCode>
                <c:ptCount val="11"/>
                <c:pt idx="0">
                  <c:v>0.16710224216779196</c:v>
                </c:pt>
                <c:pt idx="1">
                  <c:v>0.16102668166051168</c:v>
                </c:pt>
                <c:pt idx="2">
                  <c:v>-0.36521614791167845</c:v>
                </c:pt>
                <c:pt idx="3">
                  <c:v>0.16269413279610151</c:v>
                </c:pt>
                <c:pt idx="4">
                  <c:v>0.11027887139972442</c:v>
                </c:pt>
                <c:pt idx="5">
                  <c:v>-6.5676828312476468E-2</c:v>
                </c:pt>
                <c:pt idx="6">
                  <c:v>0.23408874166768889</c:v>
                </c:pt>
                <c:pt idx="7">
                  <c:v>0.15924617012123951</c:v>
                </c:pt>
                <c:pt idx="8">
                  <c:v>0.11953157970910612</c:v>
                </c:pt>
                <c:pt idx="9">
                  <c:v>-4.3406022915460474E-2</c:v>
                </c:pt>
                <c:pt idx="10">
                  <c:v>0.25246675110398065</c:v>
                </c:pt>
              </c:numCache>
            </c:numRef>
          </c:val>
          <c:extLst>
            <c:ext xmlns:c16="http://schemas.microsoft.com/office/drawing/2014/chart" uri="{C3380CC4-5D6E-409C-BE32-E72D297353CC}">
              <c16:uniqueId val="{00000002-2900-F243-BDA1-2CDEA3D8B1E9}"/>
            </c:ext>
          </c:extLst>
        </c:ser>
        <c:dLbls>
          <c:showLegendKey val="0"/>
          <c:showVal val="0"/>
          <c:showCatName val="0"/>
          <c:showSerName val="0"/>
          <c:showPercent val="0"/>
          <c:showBubbleSize val="0"/>
        </c:dLbls>
        <c:gapWidth val="219"/>
        <c:overlap val="-27"/>
        <c:axId val="217881712"/>
        <c:axId val="217756480"/>
      </c:barChart>
      <c:catAx>
        <c:axId val="217881712"/>
        <c:scaling>
          <c:orientation val="minMax"/>
        </c:scaling>
        <c:delete val="0"/>
        <c:axPos val="b"/>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217756480"/>
        <c:crosses val="autoZero"/>
        <c:auto val="1"/>
        <c:lblAlgn val="ctr"/>
        <c:lblOffset val="100"/>
        <c:noMultiLvlLbl val="0"/>
      </c:catAx>
      <c:valAx>
        <c:axId val="217756480"/>
        <c:scaling>
          <c:orientation val="minMax"/>
        </c:scaling>
        <c:delete val="0"/>
        <c:axPos val="l"/>
        <c:majorGridlines>
          <c:spPr>
            <a:ln w="9525" cap="flat" cmpd="sng" algn="ctr">
              <a:solidFill>
                <a:schemeClr val="tx1">
                  <a:lumMod val="15000"/>
                  <a:lumOff val="85000"/>
                </a:schemeClr>
              </a:solidFill>
              <a:round/>
            </a:ln>
            <a:effectLst/>
          </c:spPr>
        </c:majorGridlines>
        <c:numFmt formatCode="0.0%"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217881712"/>
        <c:crosses val="autoZero"/>
        <c:crossBetween val="between"/>
      </c:valAx>
      <c:dTable>
        <c:showHorzBorder val="1"/>
        <c:showVertBorder val="1"/>
        <c:showOutline val="1"/>
        <c:showKeys val="1"/>
        <c:spPr>
          <a:noFill/>
          <a:ln w="9525" cap="flat" cmpd="sng" algn="ctr">
            <a:solidFill>
              <a:schemeClr val="tx1">
                <a:lumMod val="15000"/>
                <a:lumOff val="85000"/>
              </a:schemeClr>
            </a:solidFill>
            <a:round/>
          </a:ln>
          <a:effectLst/>
        </c:spPr>
        <c:txPr>
          <a:bodyPr rot="0" spcFirstLastPara="1" vertOverflow="ellipsis" vert="horz" wrap="square" anchor="ctr" anchorCtr="1"/>
          <a:lstStyle/>
          <a:p>
            <a:pPr rtl="0">
              <a:defRPr sz="700" b="0" i="0" u="none" strike="noStrike" kern="1200" baseline="0">
                <a:solidFill>
                  <a:schemeClr val="tx1">
                    <a:lumMod val="65000"/>
                    <a:lumOff val="35000"/>
                  </a:schemeClr>
                </a:solidFill>
                <a:latin typeface="+mn-lt"/>
                <a:ea typeface="+mn-ea"/>
                <a:cs typeface="+mn-cs"/>
              </a:defRPr>
            </a:pPr>
            <a:endParaRPr lang="en-US"/>
          </a:p>
        </c:txPr>
      </c:dTable>
      <c:spPr>
        <a:noFill/>
        <a:ln>
          <a:noFill/>
        </a:ln>
        <a:effectLst/>
      </c:spPr>
    </c:plotArea>
    <c:plotVisOnly val="1"/>
    <c:dispBlanksAs val="gap"/>
    <c:showDLblsOverMax val="0"/>
  </c:chart>
  <c:spPr>
    <a:solidFill>
      <a:schemeClr val="bg1"/>
    </a:solidFill>
    <a:ln w="9525" cap="flat" cmpd="sng" algn="ctr">
      <a:noFill/>
      <a:round/>
    </a:ln>
    <a:effectLst/>
  </c:spPr>
  <c:txPr>
    <a:bodyPr/>
    <a:lstStyle/>
    <a:p>
      <a:pPr>
        <a:defRPr/>
      </a:pPr>
      <a:endParaRPr lang="en-US"/>
    </a:p>
  </c:txPr>
  <c:externalData r:id="rId4">
    <c:autoUpdate val="0"/>
  </c:externalData>
</c:chartSpace>
</file>

<file path=word/charts/chart23.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lrMapOvr bg1="lt1" tx1="dk1" bg2="lt2" tx2="dk2" accent1="accent1" accent2="accent2" accent3="accent3" accent4="accent4" accent5="accent5" accent6="accent6" hlink="hlink" folHlink="folHlink"/>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P/E Ratio</a:t>
            </a: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barChart>
        <c:barDir val="col"/>
        <c:grouping val="clustered"/>
        <c:varyColors val="0"/>
        <c:ser>
          <c:idx val="0"/>
          <c:order val="0"/>
          <c:tx>
            <c:strRef>
              <c:f>'[Tables for Results.xlsx]PE Ratio'!$B$2</c:f>
              <c:strCache>
                <c:ptCount val="1"/>
                <c:pt idx="0">
                  <c:v>2019</c:v>
                </c:pt>
              </c:strCache>
            </c:strRef>
          </c:tx>
          <c:spPr>
            <a:solidFill>
              <a:schemeClr val="accent1"/>
            </a:solidFill>
            <a:ln>
              <a:noFill/>
            </a:ln>
            <a:effectLst/>
          </c:spPr>
          <c:invertIfNegative val="0"/>
          <c:cat>
            <c:strRef>
              <c:f>'[Tables for Results.xlsx]PE Ratio'!$A$51:$A$61</c:f>
              <c:strCache>
                <c:ptCount val="11"/>
                <c:pt idx="0">
                  <c:v>Financials</c:v>
                </c:pt>
                <c:pt idx="1">
                  <c:v>Consumer Discretionary</c:v>
                </c:pt>
                <c:pt idx="2">
                  <c:v>Telecommunications</c:v>
                </c:pt>
                <c:pt idx="3">
                  <c:v>Technology</c:v>
                </c:pt>
                <c:pt idx="4">
                  <c:v>Real Estate</c:v>
                </c:pt>
                <c:pt idx="5">
                  <c:v>Industrials</c:v>
                </c:pt>
                <c:pt idx="6">
                  <c:v>Utilities</c:v>
                </c:pt>
                <c:pt idx="7">
                  <c:v>Basic Materials</c:v>
                </c:pt>
                <c:pt idx="8">
                  <c:v>Consumer Staples</c:v>
                </c:pt>
                <c:pt idx="9">
                  <c:v>Energy</c:v>
                </c:pt>
                <c:pt idx="10">
                  <c:v>Health Care</c:v>
                </c:pt>
              </c:strCache>
            </c:strRef>
          </c:cat>
          <c:val>
            <c:numRef>
              <c:f>'[Tables for Results.xlsx]PE Ratio'!$B$51:$B$61</c:f>
              <c:numCache>
                <c:formatCode>0.00</c:formatCode>
                <c:ptCount val="11"/>
                <c:pt idx="0">
                  <c:v>68.969563029427675</c:v>
                </c:pt>
                <c:pt idx="1">
                  <c:v>569.39937025468487</c:v>
                </c:pt>
                <c:pt idx="2">
                  <c:v>2.140038928987142</c:v>
                </c:pt>
                <c:pt idx="3">
                  <c:v>12.897444956251837</c:v>
                </c:pt>
                <c:pt idx="4">
                  <c:v>61.014093421816419</c:v>
                </c:pt>
                <c:pt idx="5">
                  <c:v>14.291532743603868</c:v>
                </c:pt>
                <c:pt idx="6">
                  <c:v>733.84949101329596</c:v>
                </c:pt>
                <c:pt idx="7">
                  <c:v>11.780566489506162</c:v>
                </c:pt>
                <c:pt idx="8">
                  <c:v>40.4171586518111</c:v>
                </c:pt>
                <c:pt idx="9">
                  <c:v>10.261314066485877</c:v>
                </c:pt>
                <c:pt idx="10">
                  <c:v>131.98153901059641</c:v>
                </c:pt>
              </c:numCache>
            </c:numRef>
          </c:val>
          <c:extLst>
            <c:ext xmlns:c16="http://schemas.microsoft.com/office/drawing/2014/chart" uri="{C3380CC4-5D6E-409C-BE32-E72D297353CC}">
              <c16:uniqueId val="{00000000-E8D7-7640-88BF-C367BC9C95BD}"/>
            </c:ext>
          </c:extLst>
        </c:ser>
        <c:ser>
          <c:idx val="1"/>
          <c:order val="1"/>
          <c:tx>
            <c:strRef>
              <c:f>'[Tables for Results.xlsx]PE Ratio'!$C$2</c:f>
              <c:strCache>
                <c:ptCount val="1"/>
                <c:pt idx="0">
                  <c:v>2020</c:v>
                </c:pt>
              </c:strCache>
            </c:strRef>
          </c:tx>
          <c:spPr>
            <a:solidFill>
              <a:schemeClr val="accent2"/>
            </a:solidFill>
            <a:ln>
              <a:noFill/>
            </a:ln>
            <a:effectLst/>
          </c:spPr>
          <c:invertIfNegative val="0"/>
          <c:cat>
            <c:strRef>
              <c:f>'[Tables for Results.xlsx]PE Ratio'!$A$51:$A$61</c:f>
              <c:strCache>
                <c:ptCount val="11"/>
                <c:pt idx="0">
                  <c:v>Financials</c:v>
                </c:pt>
                <c:pt idx="1">
                  <c:v>Consumer Discretionary</c:v>
                </c:pt>
                <c:pt idx="2">
                  <c:v>Telecommunications</c:v>
                </c:pt>
                <c:pt idx="3">
                  <c:v>Technology</c:v>
                </c:pt>
                <c:pt idx="4">
                  <c:v>Real Estate</c:v>
                </c:pt>
                <c:pt idx="5">
                  <c:v>Industrials</c:v>
                </c:pt>
                <c:pt idx="6">
                  <c:v>Utilities</c:v>
                </c:pt>
                <c:pt idx="7">
                  <c:v>Basic Materials</c:v>
                </c:pt>
                <c:pt idx="8">
                  <c:v>Consumer Staples</c:v>
                </c:pt>
                <c:pt idx="9">
                  <c:v>Energy</c:v>
                </c:pt>
                <c:pt idx="10">
                  <c:v>Health Care</c:v>
                </c:pt>
              </c:strCache>
            </c:strRef>
          </c:cat>
          <c:val>
            <c:numRef>
              <c:f>'[Tables for Results.xlsx]PE Ratio'!$C$51:$C$61</c:f>
              <c:numCache>
                <c:formatCode>0.00</c:formatCode>
                <c:ptCount val="11"/>
                <c:pt idx="0">
                  <c:v>63.802833236650208</c:v>
                </c:pt>
                <c:pt idx="1">
                  <c:v>45.520398621326358</c:v>
                </c:pt>
                <c:pt idx="2">
                  <c:v>-15.334316993686253</c:v>
                </c:pt>
                <c:pt idx="3">
                  <c:v>13.435337523567467</c:v>
                </c:pt>
                <c:pt idx="4">
                  <c:v>-6.6705715842983331</c:v>
                </c:pt>
                <c:pt idx="5">
                  <c:v>311.57471981214485</c:v>
                </c:pt>
                <c:pt idx="6">
                  <c:v>8.182256226333724</c:v>
                </c:pt>
                <c:pt idx="7">
                  <c:v>88.069545540992578</c:v>
                </c:pt>
                <c:pt idx="8">
                  <c:v>-18.382287756666464</c:v>
                </c:pt>
                <c:pt idx="9">
                  <c:v>-17.001124200287435</c:v>
                </c:pt>
                <c:pt idx="10">
                  <c:v>-2.2526623793709462</c:v>
                </c:pt>
              </c:numCache>
            </c:numRef>
          </c:val>
          <c:extLst>
            <c:ext xmlns:c16="http://schemas.microsoft.com/office/drawing/2014/chart" uri="{C3380CC4-5D6E-409C-BE32-E72D297353CC}">
              <c16:uniqueId val="{00000001-E8D7-7640-88BF-C367BC9C95BD}"/>
            </c:ext>
          </c:extLst>
        </c:ser>
        <c:ser>
          <c:idx val="2"/>
          <c:order val="2"/>
          <c:tx>
            <c:strRef>
              <c:f>'[Tables for Results.xlsx]PE Ratio'!$D$2</c:f>
              <c:strCache>
                <c:ptCount val="1"/>
                <c:pt idx="0">
                  <c:v>2021</c:v>
                </c:pt>
              </c:strCache>
            </c:strRef>
          </c:tx>
          <c:spPr>
            <a:solidFill>
              <a:schemeClr val="accent3"/>
            </a:solidFill>
            <a:ln>
              <a:noFill/>
            </a:ln>
            <a:effectLst/>
          </c:spPr>
          <c:invertIfNegative val="0"/>
          <c:cat>
            <c:strRef>
              <c:f>'[Tables for Results.xlsx]PE Ratio'!$A$51:$A$61</c:f>
              <c:strCache>
                <c:ptCount val="11"/>
                <c:pt idx="0">
                  <c:v>Financials</c:v>
                </c:pt>
                <c:pt idx="1">
                  <c:v>Consumer Discretionary</c:v>
                </c:pt>
                <c:pt idx="2">
                  <c:v>Telecommunications</c:v>
                </c:pt>
                <c:pt idx="3">
                  <c:v>Technology</c:v>
                </c:pt>
                <c:pt idx="4">
                  <c:v>Real Estate</c:v>
                </c:pt>
                <c:pt idx="5">
                  <c:v>Industrials</c:v>
                </c:pt>
                <c:pt idx="6">
                  <c:v>Utilities</c:v>
                </c:pt>
                <c:pt idx="7">
                  <c:v>Basic Materials</c:v>
                </c:pt>
                <c:pt idx="8">
                  <c:v>Consumer Staples</c:v>
                </c:pt>
                <c:pt idx="9">
                  <c:v>Energy</c:v>
                </c:pt>
                <c:pt idx="10">
                  <c:v>Health Care</c:v>
                </c:pt>
              </c:strCache>
            </c:strRef>
          </c:cat>
          <c:val>
            <c:numRef>
              <c:f>'[Tables for Results.xlsx]PE Ratio'!$D$51:$D$61</c:f>
              <c:numCache>
                <c:formatCode>0.00</c:formatCode>
                <c:ptCount val="11"/>
                <c:pt idx="0">
                  <c:v>8.0208639502165351</c:v>
                </c:pt>
                <c:pt idx="1">
                  <c:v>17.909638659798908</c:v>
                </c:pt>
                <c:pt idx="2">
                  <c:v>4.4775333678598956</c:v>
                </c:pt>
                <c:pt idx="3">
                  <c:v>13.393468497200358</c:v>
                </c:pt>
                <c:pt idx="4">
                  <c:v>10.65066470663969</c:v>
                </c:pt>
                <c:pt idx="5">
                  <c:v>22.674766277739156</c:v>
                </c:pt>
                <c:pt idx="6">
                  <c:v>15.501399192847721</c:v>
                </c:pt>
                <c:pt idx="7">
                  <c:v>60.886289641711699</c:v>
                </c:pt>
                <c:pt idx="8">
                  <c:v>11.05560415306581</c:v>
                </c:pt>
                <c:pt idx="9">
                  <c:v>-9.8967147502717623</c:v>
                </c:pt>
                <c:pt idx="10">
                  <c:v>15.604362540578725</c:v>
                </c:pt>
              </c:numCache>
            </c:numRef>
          </c:val>
          <c:extLst>
            <c:ext xmlns:c16="http://schemas.microsoft.com/office/drawing/2014/chart" uri="{C3380CC4-5D6E-409C-BE32-E72D297353CC}">
              <c16:uniqueId val="{00000002-E8D7-7640-88BF-C367BC9C95BD}"/>
            </c:ext>
          </c:extLst>
        </c:ser>
        <c:dLbls>
          <c:showLegendKey val="0"/>
          <c:showVal val="0"/>
          <c:showCatName val="0"/>
          <c:showSerName val="0"/>
          <c:showPercent val="0"/>
          <c:showBubbleSize val="0"/>
        </c:dLbls>
        <c:gapWidth val="219"/>
        <c:overlap val="-27"/>
        <c:axId val="217881712"/>
        <c:axId val="217756480"/>
      </c:barChart>
      <c:catAx>
        <c:axId val="217881712"/>
        <c:scaling>
          <c:orientation val="minMax"/>
        </c:scaling>
        <c:delete val="0"/>
        <c:axPos val="b"/>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217756480"/>
        <c:crosses val="autoZero"/>
        <c:auto val="1"/>
        <c:lblAlgn val="ctr"/>
        <c:lblOffset val="100"/>
        <c:noMultiLvlLbl val="0"/>
      </c:catAx>
      <c:valAx>
        <c:axId val="217756480"/>
        <c:scaling>
          <c:orientation val="minMax"/>
        </c:scaling>
        <c:delete val="0"/>
        <c:axPos val="l"/>
        <c:majorGridlines>
          <c:spPr>
            <a:ln w="9525" cap="flat" cmpd="sng" algn="ctr">
              <a:solidFill>
                <a:schemeClr val="tx1">
                  <a:lumMod val="15000"/>
                  <a:lumOff val="85000"/>
                </a:schemeClr>
              </a:solidFill>
              <a:round/>
            </a:ln>
            <a:effectLst/>
          </c:spPr>
        </c:majorGridlines>
        <c:numFmt formatCode="0.00"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217881712"/>
        <c:crosses val="autoZero"/>
        <c:crossBetween val="between"/>
      </c:valAx>
      <c:dTable>
        <c:showHorzBorder val="1"/>
        <c:showVertBorder val="1"/>
        <c:showOutline val="1"/>
        <c:showKeys val="1"/>
        <c:spPr>
          <a:noFill/>
          <a:ln w="9525" cap="flat" cmpd="sng" algn="ctr">
            <a:solidFill>
              <a:schemeClr val="tx1">
                <a:lumMod val="15000"/>
                <a:lumOff val="85000"/>
              </a:schemeClr>
            </a:solidFill>
            <a:round/>
          </a:ln>
          <a:effectLst/>
        </c:spPr>
        <c:txPr>
          <a:bodyPr rot="0" spcFirstLastPara="1" vertOverflow="ellipsis" vert="horz" wrap="square" anchor="ctr" anchorCtr="1"/>
          <a:lstStyle/>
          <a:p>
            <a:pPr rtl="0">
              <a:defRPr sz="700" b="0" i="0" u="none" strike="noStrike" kern="1200" baseline="0">
                <a:solidFill>
                  <a:schemeClr val="tx1">
                    <a:lumMod val="65000"/>
                    <a:lumOff val="35000"/>
                  </a:schemeClr>
                </a:solidFill>
                <a:latin typeface="+mn-lt"/>
                <a:ea typeface="+mn-ea"/>
                <a:cs typeface="+mn-cs"/>
              </a:defRPr>
            </a:pPr>
            <a:endParaRPr lang="en-US"/>
          </a:p>
        </c:txPr>
      </c:dTable>
      <c:spPr>
        <a:noFill/>
        <a:ln>
          <a:noFill/>
        </a:ln>
        <a:effectLst/>
      </c:spPr>
    </c:plotArea>
    <c:plotVisOnly val="1"/>
    <c:dispBlanksAs val="gap"/>
    <c:showDLblsOverMax val="0"/>
  </c:chart>
  <c:spPr>
    <a:solidFill>
      <a:schemeClr val="bg1"/>
    </a:solidFill>
    <a:ln w="9525" cap="flat" cmpd="sng" algn="ctr">
      <a:noFill/>
      <a:round/>
    </a:ln>
    <a:effectLst/>
  </c:spPr>
  <c:txPr>
    <a:bodyPr/>
    <a:lstStyle/>
    <a:p>
      <a:pPr>
        <a:defRPr/>
      </a:pPr>
      <a:endParaRPr lang="en-US"/>
    </a:p>
  </c:txPr>
  <c:externalData r:id="rId4">
    <c:autoUpdate val="0"/>
  </c:externalData>
</c:chartSpace>
</file>

<file path=word/charts/chart24.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lrMapOvr bg1="lt1" tx1="dk1" bg2="lt2" tx2="dk2" accent1="accent1" accent2="accent2" accent3="accent3" accent4="accent4" accent5="accent5" accent6="accent6" hlink="hlink" folHlink="folHlink"/>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Market Share Price</a:t>
            </a: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barChart>
        <c:barDir val="col"/>
        <c:grouping val="clustered"/>
        <c:varyColors val="0"/>
        <c:ser>
          <c:idx val="0"/>
          <c:order val="0"/>
          <c:tx>
            <c:strRef>
              <c:f>'[Tables for Results.xlsx]Market Share Price'!$B$2</c:f>
              <c:strCache>
                <c:ptCount val="1"/>
                <c:pt idx="0">
                  <c:v>2019</c:v>
                </c:pt>
              </c:strCache>
            </c:strRef>
          </c:tx>
          <c:spPr>
            <a:solidFill>
              <a:schemeClr val="accent1"/>
            </a:solidFill>
            <a:ln>
              <a:noFill/>
            </a:ln>
            <a:effectLst/>
          </c:spPr>
          <c:invertIfNegative val="0"/>
          <c:cat>
            <c:strRef>
              <c:f>'[Tables for Results.xlsx]Market Share Price'!$A$51:$A$61</c:f>
              <c:strCache>
                <c:ptCount val="11"/>
                <c:pt idx="0">
                  <c:v>Financials</c:v>
                </c:pt>
                <c:pt idx="1">
                  <c:v>Consumer Discretionary</c:v>
                </c:pt>
                <c:pt idx="2">
                  <c:v>Telecommunications</c:v>
                </c:pt>
                <c:pt idx="3">
                  <c:v>Technology</c:v>
                </c:pt>
                <c:pt idx="4">
                  <c:v>Real Estate</c:v>
                </c:pt>
                <c:pt idx="5">
                  <c:v>Industrials</c:v>
                </c:pt>
                <c:pt idx="6">
                  <c:v>Utilities</c:v>
                </c:pt>
                <c:pt idx="7">
                  <c:v>Basic Materials</c:v>
                </c:pt>
                <c:pt idx="8">
                  <c:v>Consumer Staples</c:v>
                </c:pt>
                <c:pt idx="9">
                  <c:v>Energy</c:v>
                </c:pt>
                <c:pt idx="10">
                  <c:v>Health Care</c:v>
                </c:pt>
              </c:strCache>
            </c:strRef>
          </c:cat>
          <c:val>
            <c:numRef>
              <c:f>'[Tables for Results.xlsx]Market Share Price'!$B$51:$B$61</c:f>
              <c:numCache>
                <c:formatCode>[$$-409]#,##0.00</c:formatCode>
                <c:ptCount val="11"/>
                <c:pt idx="0">
                  <c:v>10.386547240135135</c:v>
                </c:pt>
                <c:pt idx="1">
                  <c:v>9.3921915161290332</c:v>
                </c:pt>
                <c:pt idx="2">
                  <c:v>1.529201</c:v>
                </c:pt>
                <c:pt idx="3">
                  <c:v>5.9462152857142865</c:v>
                </c:pt>
                <c:pt idx="4">
                  <c:v>6.0673511666666657</c:v>
                </c:pt>
                <c:pt idx="5">
                  <c:v>8.4833054242424222</c:v>
                </c:pt>
                <c:pt idx="6">
                  <c:v>1.6966223333333337</c:v>
                </c:pt>
                <c:pt idx="7">
                  <c:v>10.624810999999999</c:v>
                </c:pt>
                <c:pt idx="8">
                  <c:v>7.2392271666666659</c:v>
                </c:pt>
                <c:pt idx="9">
                  <c:v>3.69402425</c:v>
                </c:pt>
                <c:pt idx="10">
                  <c:v>6.7017899999999999</c:v>
                </c:pt>
              </c:numCache>
            </c:numRef>
          </c:val>
          <c:extLst>
            <c:ext xmlns:c16="http://schemas.microsoft.com/office/drawing/2014/chart" uri="{C3380CC4-5D6E-409C-BE32-E72D297353CC}">
              <c16:uniqueId val="{00000000-1393-AD46-8FA2-AB3511F66C95}"/>
            </c:ext>
          </c:extLst>
        </c:ser>
        <c:ser>
          <c:idx val="1"/>
          <c:order val="1"/>
          <c:tx>
            <c:strRef>
              <c:f>'[Tables for Results.xlsx]Market Share Price'!$C$2</c:f>
              <c:strCache>
                <c:ptCount val="1"/>
                <c:pt idx="0">
                  <c:v>2020</c:v>
                </c:pt>
              </c:strCache>
            </c:strRef>
          </c:tx>
          <c:spPr>
            <a:solidFill>
              <a:schemeClr val="accent2"/>
            </a:solidFill>
            <a:ln>
              <a:noFill/>
            </a:ln>
            <a:effectLst/>
          </c:spPr>
          <c:invertIfNegative val="0"/>
          <c:cat>
            <c:strRef>
              <c:f>'[Tables for Results.xlsx]Market Share Price'!$A$51:$A$61</c:f>
              <c:strCache>
                <c:ptCount val="11"/>
                <c:pt idx="0">
                  <c:v>Financials</c:v>
                </c:pt>
                <c:pt idx="1">
                  <c:v>Consumer Discretionary</c:v>
                </c:pt>
                <c:pt idx="2">
                  <c:v>Telecommunications</c:v>
                </c:pt>
                <c:pt idx="3">
                  <c:v>Technology</c:v>
                </c:pt>
                <c:pt idx="4">
                  <c:v>Real Estate</c:v>
                </c:pt>
                <c:pt idx="5">
                  <c:v>Industrials</c:v>
                </c:pt>
                <c:pt idx="6">
                  <c:v>Utilities</c:v>
                </c:pt>
                <c:pt idx="7">
                  <c:v>Basic Materials</c:v>
                </c:pt>
                <c:pt idx="8">
                  <c:v>Consumer Staples</c:v>
                </c:pt>
                <c:pt idx="9">
                  <c:v>Energy</c:v>
                </c:pt>
                <c:pt idx="10">
                  <c:v>Health Care</c:v>
                </c:pt>
              </c:strCache>
            </c:strRef>
          </c:cat>
          <c:val>
            <c:numRef>
              <c:f>'[Tables for Results.xlsx]Market Share Price'!$C$51:$C$61</c:f>
              <c:numCache>
                <c:formatCode>[$$-409]#,##0.00</c:formatCode>
                <c:ptCount val="11"/>
                <c:pt idx="0">
                  <c:v>10.86259024094595</c:v>
                </c:pt>
                <c:pt idx="1">
                  <c:v>8.2633219032258065</c:v>
                </c:pt>
                <c:pt idx="2">
                  <c:v>1.9395734999999998</c:v>
                </c:pt>
                <c:pt idx="3">
                  <c:v>5.9750125714285724</c:v>
                </c:pt>
                <c:pt idx="4">
                  <c:v>5.8926761666666678</c:v>
                </c:pt>
                <c:pt idx="5">
                  <c:v>8.5368572424242437</c:v>
                </c:pt>
                <c:pt idx="6">
                  <c:v>1.5274173333333334</c:v>
                </c:pt>
                <c:pt idx="7">
                  <c:v>9.8846767000000018</c:v>
                </c:pt>
                <c:pt idx="8">
                  <c:v>6.6922786666666667</c:v>
                </c:pt>
                <c:pt idx="9">
                  <c:v>2.70428925</c:v>
                </c:pt>
                <c:pt idx="10">
                  <c:v>8.3783342000000012</c:v>
                </c:pt>
              </c:numCache>
            </c:numRef>
          </c:val>
          <c:extLst>
            <c:ext xmlns:c16="http://schemas.microsoft.com/office/drawing/2014/chart" uri="{C3380CC4-5D6E-409C-BE32-E72D297353CC}">
              <c16:uniqueId val="{00000001-1393-AD46-8FA2-AB3511F66C95}"/>
            </c:ext>
          </c:extLst>
        </c:ser>
        <c:ser>
          <c:idx val="2"/>
          <c:order val="2"/>
          <c:tx>
            <c:strRef>
              <c:f>'[Tables for Results.xlsx]Market Share Price'!$D$2</c:f>
              <c:strCache>
                <c:ptCount val="1"/>
                <c:pt idx="0">
                  <c:v>2021</c:v>
                </c:pt>
              </c:strCache>
            </c:strRef>
          </c:tx>
          <c:spPr>
            <a:solidFill>
              <a:schemeClr val="accent3"/>
            </a:solidFill>
            <a:ln>
              <a:noFill/>
            </a:ln>
            <a:effectLst/>
          </c:spPr>
          <c:invertIfNegative val="0"/>
          <c:cat>
            <c:strRef>
              <c:f>'[Tables for Results.xlsx]Market Share Price'!$A$51:$A$61</c:f>
              <c:strCache>
                <c:ptCount val="11"/>
                <c:pt idx="0">
                  <c:v>Financials</c:v>
                </c:pt>
                <c:pt idx="1">
                  <c:v>Consumer Discretionary</c:v>
                </c:pt>
                <c:pt idx="2">
                  <c:v>Telecommunications</c:v>
                </c:pt>
                <c:pt idx="3">
                  <c:v>Technology</c:v>
                </c:pt>
                <c:pt idx="4">
                  <c:v>Real Estate</c:v>
                </c:pt>
                <c:pt idx="5">
                  <c:v>Industrials</c:v>
                </c:pt>
                <c:pt idx="6">
                  <c:v>Utilities</c:v>
                </c:pt>
                <c:pt idx="7">
                  <c:v>Basic Materials</c:v>
                </c:pt>
                <c:pt idx="8">
                  <c:v>Consumer Staples</c:v>
                </c:pt>
                <c:pt idx="9">
                  <c:v>Energy</c:v>
                </c:pt>
                <c:pt idx="10">
                  <c:v>Health Care</c:v>
                </c:pt>
              </c:strCache>
            </c:strRef>
          </c:cat>
          <c:val>
            <c:numRef>
              <c:f>'[Tables for Results.xlsx]Market Share Price'!$D$51:$D$61</c:f>
              <c:numCache>
                <c:formatCode>[$$-409]#,##0.00</c:formatCode>
                <c:ptCount val="11"/>
                <c:pt idx="0">
                  <c:v>12.480014833243249</c:v>
                </c:pt>
                <c:pt idx="1">
                  <c:v>10.839464161290323</c:v>
                </c:pt>
                <c:pt idx="2">
                  <c:v>2.1089220000000002</c:v>
                </c:pt>
                <c:pt idx="3">
                  <c:v>9.3797044285714293</c:v>
                </c:pt>
                <c:pt idx="4">
                  <c:v>6.8008104999999981</c:v>
                </c:pt>
                <c:pt idx="5">
                  <c:v>11.906530878787876</c:v>
                </c:pt>
                <c:pt idx="6">
                  <c:v>2.2651556666666663</c:v>
                </c:pt>
                <c:pt idx="7">
                  <c:v>11.3835187</c:v>
                </c:pt>
                <c:pt idx="8">
                  <c:v>8.5306048333333351</c:v>
                </c:pt>
                <c:pt idx="9">
                  <c:v>3.3107475000000002</c:v>
                </c:pt>
                <c:pt idx="10">
                  <c:v>12.429143399999999</c:v>
                </c:pt>
              </c:numCache>
            </c:numRef>
          </c:val>
          <c:extLst>
            <c:ext xmlns:c16="http://schemas.microsoft.com/office/drawing/2014/chart" uri="{C3380CC4-5D6E-409C-BE32-E72D297353CC}">
              <c16:uniqueId val="{00000002-1393-AD46-8FA2-AB3511F66C95}"/>
            </c:ext>
          </c:extLst>
        </c:ser>
        <c:dLbls>
          <c:showLegendKey val="0"/>
          <c:showVal val="0"/>
          <c:showCatName val="0"/>
          <c:showSerName val="0"/>
          <c:showPercent val="0"/>
          <c:showBubbleSize val="0"/>
        </c:dLbls>
        <c:gapWidth val="219"/>
        <c:overlap val="-27"/>
        <c:axId val="217881712"/>
        <c:axId val="217756480"/>
      </c:barChart>
      <c:catAx>
        <c:axId val="217881712"/>
        <c:scaling>
          <c:orientation val="minMax"/>
        </c:scaling>
        <c:delete val="0"/>
        <c:axPos val="b"/>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217756480"/>
        <c:crosses val="autoZero"/>
        <c:auto val="1"/>
        <c:lblAlgn val="ctr"/>
        <c:lblOffset val="100"/>
        <c:noMultiLvlLbl val="0"/>
      </c:catAx>
      <c:valAx>
        <c:axId val="217756480"/>
        <c:scaling>
          <c:orientation val="minMax"/>
        </c:scaling>
        <c:delete val="0"/>
        <c:axPos val="l"/>
        <c:majorGridlines>
          <c:spPr>
            <a:ln w="9525" cap="flat" cmpd="sng" algn="ctr">
              <a:solidFill>
                <a:schemeClr val="tx1">
                  <a:lumMod val="15000"/>
                  <a:lumOff val="85000"/>
                </a:schemeClr>
              </a:solidFill>
              <a:round/>
            </a:ln>
            <a:effectLst/>
          </c:spPr>
        </c:majorGridlines>
        <c:numFmt formatCode="[$$-409]#,##0.00"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217881712"/>
        <c:crosses val="autoZero"/>
        <c:crossBetween val="between"/>
      </c:valAx>
      <c:dTable>
        <c:showHorzBorder val="1"/>
        <c:showVertBorder val="1"/>
        <c:showOutline val="1"/>
        <c:showKeys val="1"/>
        <c:spPr>
          <a:noFill/>
          <a:ln w="9525" cap="flat" cmpd="sng" algn="ctr">
            <a:solidFill>
              <a:schemeClr val="tx1">
                <a:lumMod val="15000"/>
                <a:lumOff val="85000"/>
              </a:schemeClr>
            </a:solidFill>
            <a:round/>
          </a:ln>
          <a:effectLst/>
        </c:spPr>
        <c:txPr>
          <a:bodyPr rot="0" spcFirstLastPara="1" vertOverflow="ellipsis" vert="horz" wrap="square" anchor="ctr" anchorCtr="1"/>
          <a:lstStyle/>
          <a:p>
            <a:pPr rtl="0">
              <a:defRPr sz="700" b="0" i="0" u="none" strike="noStrike" kern="1200" baseline="0">
                <a:solidFill>
                  <a:schemeClr val="tx1">
                    <a:lumMod val="65000"/>
                    <a:lumOff val="35000"/>
                  </a:schemeClr>
                </a:solidFill>
                <a:latin typeface="+mn-lt"/>
                <a:ea typeface="+mn-ea"/>
                <a:cs typeface="+mn-cs"/>
              </a:defRPr>
            </a:pPr>
            <a:endParaRPr lang="en-US"/>
          </a:p>
        </c:txPr>
      </c:dTable>
      <c:spPr>
        <a:noFill/>
        <a:ln>
          <a:noFill/>
        </a:ln>
        <a:effectLst/>
      </c:spPr>
    </c:plotArea>
    <c:plotVisOnly val="1"/>
    <c:dispBlanksAs val="gap"/>
    <c:showDLblsOverMax val="0"/>
  </c:chart>
  <c:spPr>
    <a:solidFill>
      <a:schemeClr val="bg1"/>
    </a:solidFill>
    <a:ln w="9525" cap="flat" cmpd="sng" algn="ctr">
      <a:noFill/>
      <a:round/>
    </a:ln>
    <a:effectLst/>
  </c:spPr>
  <c:txPr>
    <a:bodyPr/>
    <a:lstStyle/>
    <a:p>
      <a:pPr>
        <a:defRPr/>
      </a:pPr>
      <a:endParaRPr lang="en-US"/>
    </a:p>
  </c:txPr>
  <c:externalData r:id="rId4">
    <c:autoUpdate val="0"/>
  </c:externalData>
</c:chartSpace>
</file>

<file path=word/charts/chart25.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lrMapOvr bg1="lt1" tx1="dk1" bg2="lt2" tx2="dk2" accent1="accent1" accent2="accent2" accent3="accent3" accent4="accent4" accent5="accent5" accent6="accent6" hlink="hlink" folHlink="folHlink"/>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Preferred Ratio</a:t>
            </a: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barChart>
        <c:barDir val="col"/>
        <c:grouping val="clustered"/>
        <c:varyColors val="0"/>
        <c:ser>
          <c:idx val="0"/>
          <c:order val="0"/>
          <c:tx>
            <c:strRef>
              <c:f>'[Tables for Results.xlsx]Preferred Ratio'!$B$2</c:f>
              <c:strCache>
                <c:ptCount val="1"/>
                <c:pt idx="0">
                  <c:v>2019</c:v>
                </c:pt>
              </c:strCache>
            </c:strRef>
          </c:tx>
          <c:spPr>
            <a:solidFill>
              <a:schemeClr val="accent1"/>
            </a:solidFill>
            <a:ln>
              <a:noFill/>
            </a:ln>
            <a:effectLst/>
          </c:spPr>
          <c:invertIfNegative val="0"/>
          <c:cat>
            <c:strRef>
              <c:f>'[Tables for Results.xlsx]Preferred Ratio'!$A$51:$A$61</c:f>
              <c:strCache>
                <c:ptCount val="11"/>
                <c:pt idx="0">
                  <c:v>Financials</c:v>
                </c:pt>
                <c:pt idx="1">
                  <c:v>Consumer Discretionary</c:v>
                </c:pt>
                <c:pt idx="2">
                  <c:v>Telecommunications</c:v>
                </c:pt>
                <c:pt idx="3">
                  <c:v>Technology</c:v>
                </c:pt>
                <c:pt idx="4">
                  <c:v>Real Estate</c:v>
                </c:pt>
                <c:pt idx="5">
                  <c:v>Industrials</c:v>
                </c:pt>
                <c:pt idx="6">
                  <c:v>Utilities</c:v>
                </c:pt>
                <c:pt idx="7">
                  <c:v>Basic Materials</c:v>
                </c:pt>
                <c:pt idx="8">
                  <c:v>Consumer Staples</c:v>
                </c:pt>
                <c:pt idx="9">
                  <c:v>Energy</c:v>
                </c:pt>
                <c:pt idx="10">
                  <c:v>Health Care</c:v>
                </c:pt>
              </c:strCache>
            </c:strRef>
          </c:cat>
          <c:val>
            <c:numRef>
              <c:f>'[Tables for Results.xlsx]Preferred Ratio'!$B$51:$B$61</c:f>
              <c:numCache>
                <c:formatCode>0.00%</c:formatCode>
                <c:ptCount val="11"/>
                <c:pt idx="0">
                  <c:v>6.8882972399700926E-2</c:v>
                </c:pt>
                <c:pt idx="1">
                  <c:v>0.26947059242990917</c:v>
                </c:pt>
                <c:pt idx="2">
                  <c:v>0.39570442646358872</c:v>
                </c:pt>
                <c:pt idx="3">
                  <c:v>0.4203360133411545</c:v>
                </c:pt>
                <c:pt idx="4">
                  <c:v>0.30649240324115007</c:v>
                </c:pt>
                <c:pt idx="5">
                  <c:v>0.20847655391190609</c:v>
                </c:pt>
                <c:pt idx="6">
                  <c:v>0.66932037719997839</c:v>
                </c:pt>
                <c:pt idx="7">
                  <c:v>0.22269927809099874</c:v>
                </c:pt>
                <c:pt idx="8">
                  <c:v>0.3721022386570369</c:v>
                </c:pt>
                <c:pt idx="9">
                  <c:v>0.26536997324565581</c:v>
                </c:pt>
                <c:pt idx="10">
                  <c:v>0.29698953660581628</c:v>
                </c:pt>
              </c:numCache>
            </c:numRef>
          </c:val>
          <c:extLst>
            <c:ext xmlns:c16="http://schemas.microsoft.com/office/drawing/2014/chart" uri="{C3380CC4-5D6E-409C-BE32-E72D297353CC}">
              <c16:uniqueId val="{00000000-CF91-7348-B48A-B67E051D668F}"/>
            </c:ext>
          </c:extLst>
        </c:ser>
        <c:ser>
          <c:idx val="1"/>
          <c:order val="1"/>
          <c:tx>
            <c:strRef>
              <c:f>'[Tables for Results.xlsx]Preferred Ratio'!$C$2</c:f>
              <c:strCache>
                <c:ptCount val="1"/>
                <c:pt idx="0">
                  <c:v>2020</c:v>
                </c:pt>
              </c:strCache>
            </c:strRef>
          </c:tx>
          <c:spPr>
            <a:solidFill>
              <a:schemeClr val="accent2"/>
            </a:solidFill>
            <a:ln>
              <a:noFill/>
            </a:ln>
            <a:effectLst/>
          </c:spPr>
          <c:invertIfNegative val="0"/>
          <c:cat>
            <c:strRef>
              <c:f>'[Tables for Results.xlsx]Preferred Ratio'!$A$51:$A$61</c:f>
              <c:strCache>
                <c:ptCount val="11"/>
                <c:pt idx="0">
                  <c:v>Financials</c:v>
                </c:pt>
                <c:pt idx="1">
                  <c:v>Consumer Discretionary</c:v>
                </c:pt>
                <c:pt idx="2">
                  <c:v>Telecommunications</c:v>
                </c:pt>
                <c:pt idx="3">
                  <c:v>Technology</c:v>
                </c:pt>
                <c:pt idx="4">
                  <c:v>Real Estate</c:v>
                </c:pt>
                <c:pt idx="5">
                  <c:v>Industrials</c:v>
                </c:pt>
                <c:pt idx="6">
                  <c:v>Utilities</c:v>
                </c:pt>
                <c:pt idx="7">
                  <c:v>Basic Materials</c:v>
                </c:pt>
                <c:pt idx="8">
                  <c:v>Consumer Staples</c:v>
                </c:pt>
                <c:pt idx="9">
                  <c:v>Energy</c:v>
                </c:pt>
                <c:pt idx="10">
                  <c:v>Health Care</c:v>
                </c:pt>
              </c:strCache>
            </c:strRef>
          </c:cat>
          <c:val>
            <c:numRef>
              <c:f>'[Tables for Results.xlsx]Preferred Ratio'!$C$51:$C$61</c:f>
              <c:numCache>
                <c:formatCode>0.00%</c:formatCode>
                <c:ptCount val="11"/>
                <c:pt idx="0">
                  <c:v>6.7510118004485961E-2</c:v>
                </c:pt>
                <c:pt idx="1">
                  <c:v>0.33200887016519087</c:v>
                </c:pt>
                <c:pt idx="2">
                  <c:v>0.44167934831259509</c:v>
                </c:pt>
                <c:pt idx="3">
                  <c:v>0.34776949344591068</c:v>
                </c:pt>
                <c:pt idx="4">
                  <c:v>0.32996573545078145</c:v>
                </c:pt>
                <c:pt idx="5">
                  <c:v>0.20105241932391305</c:v>
                </c:pt>
                <c:pt idx="6">
                  <c:v>0.71062463159863443</c:v>
                </c:pt>
                <c:pt idx="7">
                  <c:v>0.23</c:v>
                </c:pt>
                <c:pt idx="8">
                  <c:v>0.39909085490448931</c:v>
                </c:pt>
                <c:pt idx="9">
                  <c:v>0.21935714693557884</c:v>
                </c:pt>
                <c:pt idx="10">
                  <c:v>0.34583348320512269</c:v>
                </c:pt>
              </c:numCache>
            </c:numRef>
          </c:val>
          <c:extLst>
            <c:ext xmlns:c16="http://schemas.microsoft.com/office/drawing/2014/chart" uri="{C3380CC4-5D6E-409C-BE32-E72D297353CC}">
              <c16:uniqueId val="{00000001-CF91-7348-B48A-B67E051D668F}"/>
            </c:ext>
          </c:extLst>
        </c:ser>
        <c:ser>
          <c:idx val="2"/>
          <c:order val="2"/>
          <c:tx>
            <c:strRef>
              <c:f>'[Tables for Results.xlsx]Preferred Ratio'!$D$2</c:f>
              <c:strCache>
                <c:ptCount val="1"/>
                <c:pt idx="0">
                  <c:v>2021</c:v>
                </c:pt>
              </c:strCache>
            </c:strRef>
          </c:tx>
          <c:spPr>
            <a:solidFill>
              <a:schemeClr val="accent3"/>
            </a:solidFill>
            <a:ln>
              <a:noFill/>
            </a:ln>
            <a:effectLst/>
          </c:spPr>
          <c:invertIfNegative val="0"/>
          <c:cat>
            <c:strRef>
              <c:f>'[Tables for Results.xlsx]Preferred Ratio'!$A$51:$A$61</c:f>
              <c:strCache>
                <c:ptCount val="11"/>
                <c:pt idx="0">
                  <c:v>Financials</c:v>
                </c:pt>
                <c:pt idx="1">
                  <c:v>Consumer Discretionary</c:v>
                </c:pt>
                <c:pt idx="2">
                  <c:v>Telecommunications</c:v>
                </c:pt>
                <c:pt idx="3">
                  <c:v>Technology</c:v>
                </c:pt>
                <c:pt idx="4">
                  <c:v>Real Estate</c:v>
                </c:pt>
                <c:pt idx="5">
                  <c:v>Industrials</c:v>
                </c:pt>
                <c:pt idx="6">
                  <c:v>Utilities</c:v>
                </c:pt>
                <c:pt idx="7">
                  <c:v>Basic Materials</c:v>
                </c:pt>
                <c:pt idx="8">
                  <c:v>Consumer Staples</c:v>
                </c:pt>
                <c:pt idx="9">
                  <c:v>Energy</c:v>
                </c:pt>
                <c:pt idx="10">
                  <c:v>Health Care</c:v>
                </c:pt>
              </c:strCache>
            </c:strRef>
          </c:cat>
          <c:val>
            <c:numRef>
              <c:f>'[Tables for Results.xlsx]Preferred Ratio'!$D$51:$D$61</c:f>
              <c:numCache>
                <c:formatCode>0.00%</c:formatCode>
                <c:ptCount val="11"/>
                <c:pt idx="0">
                  <c:v>5.9197993815598364E-2</c:v>
                </c:pt>
                <c:pt idx="1">
                  <c:v>0.32697547151901546</c:v>
                </c:pt>
                <c:pt idx="2">
                  <c:v>0.44249332511809408</c:v>
                </c:pt>
                <c:pt idx="3">
                  <c:v>0.18646230331759384</c:v>
                </c:pt>
                <c:pt idx="4">
                  <c:v>0.29457399059189404</c:v>
                </c:pt>
                <c:pt idx="5">
                  <c:v>0.17890105016842145</c:v>
                </c:pt>
                <c:pt idx="6">
                  <c:v>0.65653557803193818</c:v>
                </c:pt>
                <c:pt idx="7">
                  <c:v>0.20599999999999999</c:v>
                </c:pt>
                <c:pt idx="8">
                  <c:v>0.30170091255568127</c:v>
                </c:pt>
                <c:pt idx="9">
                  <c:v>0.44026206242319665</c:v>
                </c:pt>
                <c:pt idx="10">
                  <c:v>0.30202976896358036</c:v>
                </c:pt>
              </c:numCache>
            </c:numRef>
          </c:val>
          <c:extLst>
            <c:ext xmlns:c16="http://schemas.microsoft.com/office/drawing/2014/chart" uri="{C3380CC4-5D6E-409C-BE32-E72D297353CC}">
              <c16:uniqueId val="{00000002-CF91-7348-B48A-B67E051D668F}"/>
            </c:ext>
          </c:extLst>
        </c:ser>
        <c:dLbls>
          <c:showLegendKey val="0"/>
          <c:showVal val="0"/>
          <c:showCatName val="0"/>
          <c:showSerName val="0"/>
          <c:showPercent val="0"/>
          <c:showBubbleSize val="0"/>
        </c:dLbls>
        <c:gapWidth val="219"/>
        <c:overlap val="-27"/>
        <c:axId val="217881712"/>
        <c:axId val="217756480"/>
      </c:barChart>
      <c:catAx>
        <c:axId val="217881712"/>
        <c:scaling>
          <c:orientation val="minMax"/>
        </c:scaling>
        <c:delete val="0"/>
        <c:axPos val="b"/>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217756480"/>
        <c:crosses val="autoZero"/>
        <c:auto val="1"/>
        <c:lblAlgn val="ctr"/>
        <c:lblOffset val="100"/>
        <c:noMultiLvlLbl val="0"/>
      </c:catAx>
      <c:valAx>
        <c:axId val="217756480"/>
        <c:scaling>
          <c:orientation val="minMax"/>
        </c:scaling>
        <c:delete val="0"/>
        <c:axPos val="l"/>
        <c:majorGridlines>
          <c:spPr>
            <a:ln w="9525" cap="flat" cmpd="sng" algn="ctr">
              <a:solidFill>
                <a:schemeClr val="tx1">
                  <a:lumMod val="15000"/>
                  <a:lumOff val="85000"/>
                </a:schemeClr>
              </a:solidFill>
              <a:round/>
            </a:ln>
            <a:effectLst/>
          </c:spPr>
        </c:majorGridlines>
        <c:numFmt formatCode="0.00%"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217881712"/>
        <c:crosses val="autoZero"/>
        <c:crossBetween val="between"/>
      </c:valAx>
      <c:dTable>
        <c:showHorzBorder val="1"/>
        <c:showVertBorder val="1"/>
        <c:showOutline val="1"/>
        <c:showKeys val="1"/>
        <c:spPr>
          <a:noFill/>
          <a:ln w="9525" cap="flat" cmpd="sng" algn="ctr">
            <a:solidFill>
              <a:schemeClr val="tx1">
                <a:lumMod val="15000"/>
                <a:lumOff val="85000"/>
              </a:schemeClr>
            </a:solidFill>
            <a:round/>
          </a:ln>
          <a:effectLst/>
        </c:spPr>
        <c:txPr>
          <a:bodyPr rot="0" spcFirstLastPara="1" vertOverflow="ellipsis" vert="horz" wrap="square" anchor="ctr" anchorCtr="1"/>
          <a:lstStyle/>
          <a:p>
            <a:pPr rtl="0">
              <a:defRPr sz="700" b="0" i="0" u="none" strike="noStrike" kern="1200" baseline="0">
                <a:solidFill>
                  <a:schemeClr val="tx1">
                    <a:lumMod val="65000"/>
                    <a:lumOff val="35000"/>
                  </a:schemeClr>
                </a:solidFill>
                <a:latin typeface="+mn-lt"/>
                <a:ea typeface="+mn-ea"/>
                <a:cs typeface="+mn-cs"/>
              </a:defRPr>
            </a:pPr>
            <a:endParaRPr lang="en-US"/>
          </a:p>
        </c:txPr>
      </c:dTable>
      <c:spPr>
        <a:noFill/>
        <a:ln>
          <a:noFill/>
        </a:ln>
        <a:effectLst/>
      </c:spPr>
    </c:plotArea>
    <c:plotVisOnly val="1"/>
    <c:dispBlanksAs val="gap"/>
    <c:showDLblsOverMax val="0"/>
  </c:chart>
  <c:spPr>
    <a:solidFill>
      <a:schemeClr val="bg1"/>
    </a:solidFill>
    <a:ln w="9525" cap="flat" cmpd="sng" algn="ctr">
      <a:noFill/>
      <a:round/>
    </a:ln>
    <a:effectLst/>
  </c:spPr>
  <c:txPr>
    <a:bodyPr/>
    <a:lstStyle/>
    <a:p>
      <a:pPr>
        <a:defRPr/>
      </a:pPr>
      <a:endParaRPr lang="en-US"/>
    </a:p>
  </c:txPr>
  <c:externalData r:id="rId4">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3.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4.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5.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6.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7.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8.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9.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10.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1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12.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13.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14.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15.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16.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17.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18.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19.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0.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2.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3.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4.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5.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2.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3.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4.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5.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6.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7.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8.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9.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10.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11.xml><?xml version="1.0" encoding="utf-8"?>
<cs:chartStyle xmlns:cs="http://schemas.microsoft.com/office/drawing/2012/chartStyle" xmlns:a="http://schemas.openxmlformats.org/drawingml/2006/main" id="216">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12.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13.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14.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15.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16.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17.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18.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19.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20.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21.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22.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23.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24.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25.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word/theme/themeOverride1.xml><?xml version="1.0" encoding="utf-8"?>
<a:themeOverride xmlns:a="http://schemas.openxmlformats.org/drawingml/2006/main">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Tahoma"/>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Tahoma"/>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Override>
</file>

<file path=word/theme/themeOverride2.xml><?xml version="1.0" encoding="utf-8"?>
<a:themeOverride xmlns:a="http://schemas.openxmlformats.org/drawingml/2006/main">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Tahoma"/>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Tahoma"/>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Override>
</file>

<file path=word/theme/themeOverride3.xml><?xml version="1.0" encoding="utf-8"?>
<a:themeOverride xmlns:a="http://schemas.openxmlformats.org/drawingml/2006/main">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Tahoma"/>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Tahoma"/>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Override>
</file>

<file path=word/theme/themeOverride4.xml><?xml version="1.0" encoding="utf-8"?>
<a:themeOverride xmlns:a="http://schemas.openxmlformats.org/drawingml/2006/main">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Tahoma"/>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Tahoma"/>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Override>
</file>

<file path=word/theme/themeOverride5.xml><?xml version="1.0" encoding="utf-8"?>
<a:themeOverride xmlns:a="http://schemas.openxmlformats.org/drawingml/2006/main">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Tahoma"/>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Tahoma"/>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Override>
</file>

<file path=word/theme/themeOverride6.xml><?xml version="1.0" encoding="utf-8"?>
<a:themeOverride xmlns:a="http://schemas.openxmlformats.org/drawingml/2006/main">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Tahoma"/>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Tahoma"/>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Override>
</file>

<file path=word/theme/themeOverride7.xml><?xml version="1.0" encoding="utf-8"?>
<a:themeOverride xmlns:a="http://schemas.openxmlformats.org/drawingml/2006/main">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Tahoma"/>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Tahoma"/>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Override>
</file>

<file path=word/theme/themeOverride8.xml><?xml version="1.0" encoding="utf-8"?>
<a:themeOverride xmlns:a="http://schemas.openxmlformats.org/drawingml/2006/main">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Tahoma"/>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Tahoma"/>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Override>
</file>

<file path=word/theme/themeOverride9.xml><?xml version="1.0" encoding="utf-8"?>
<a:themeOverride xmlns:a="http://schemas.openxmlformats.org/drawingml/2006/main">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Tahoma"/>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Tahoma"/>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Override>
</file>

<file path=word/theme/themeOverride10.xml><?xml version="1.0" encoding="utf-8"?>
<a:themeOverride xmlns:a="http://schemas.openxmlformats.org/drawingml/2006/main">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Tahoma"/>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Tahoma"/>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Override>
</file>

<file path=word/theme/themeOverride11.xml><?xml version="1.0" encoding="utf-8"?>
<a:themeOverride xmlns:a="http://schemas.openxmlformats.org/drawingml/2006/main">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Tahoma"/>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Tahoma"/>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Override>
</file>

<file path=word/theme/themeOverride12.xml><?xml version="1.0" encoding="utf-8"?>
<a:themeOverride xmlns:a="http://schemas.openxmlformats.org/drawingml/2006/main">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Tahoma"/>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Tahoma"/>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Override>
</file>

<file path=word/theme/themeOverride13.xml><?xml version="1.0" encoding="utf-8"?>
<a:themeOverride xmlns:a="http://schemas.openxmlformats.org/drawingml/2006/main">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Tahoma"/>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Tahoma"/>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Override>
</file>

<file path=word/theme/themeOverride14.xml><?xml version="1.0" encoding="utf-8"?>
<a:themeOverride xmlns:a="http://schemas.openxmlformats.org/drawingml/2006/main">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Tahoma"/>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Tahoma"/>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Override>
</file>

<file path=word/theme/themeOverride15.xml><?xml version="1.0" encoding="utf-8"?>
<a:themeOverride xmlns:a="http://schemas.openxmlformats.org/drawingml/2006/main">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Tahoma"/>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Tahoma"/>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Override>
</file>

<file path=word/theme/themeOverride16.xml><?xml version="1.0" encoding="utf-8"?>
<a:themeOverride xmlns:a="http://schemas.openxmlformats.org/drawingml/2006/main">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Tahoma"/>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Tahoma"/>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Override>
</file>

<file path=word/theme/themeOverride17.xml><?xml version="1.0" encoding="utf-8"?>
<a:themeOverride xmlns:a="http://schemas.openxmlformats.org/drawingml/2006/main">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Tahoma"/>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Tahoma"/>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Override>
</file>

<file path=word/theme/themeOverride18.xml><?xml version="1.0" encoding="utf-8"?>
<a:themeOverride xmlns:a="http://schemas.openxmlformats.org/drawingml/2006/main">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Tahoma"/>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Tahoma"/>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Override>
</file>

<file path=word/theme/themeOverride19.xml><?xml version="1.0" encoding="utf-8"?>
<a:themeOverride xmlns:a="http://schemas.openxmlformats.org/drawingml/2006/main">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Tahoma"/>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Tahoma"/>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Override>
</file>

<file path=word/theme/themeOverride20.xml><?xml version="1.0" encoding="utf-8"?>
<a:themeOverride xmlns:a="http://schemas.openxmlformats.org/drawingml/2006/main">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Tahoma"/>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Tahoma"/>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Override>
</file>

<file path=word/theme/themeOverride21.xml><?xml version="1.0" encoding="utf-8"?>
<a:themeOverride xmlns:a="http://schemas.openxmlformats.org/drawingml/2006/main">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Tahoma"/>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Tahoma"/>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Override>
</file>

<file path=word/theme/themeOverride22.xml><?xml version="1.0" encoding="utf-8"?>
<a:themeOverride xmlns:a="http://schemas.openxmlformats.org/drawingml/2006/main">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Tahoma"/>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Tahoma"/>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Override>
</file>

<file path=word/theme/themeOverride23.xml><?xml version="1.0" encoding="utf-8"?>
<a:themeOverride xmlns:a="http://schemas.openxmlformats.org/drawingml/2006/main">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Tahoma"/>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Tahoma"/>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Override>
</file>

<file path=word/theme/themeOverride24.xml><?xml version="1.0" encoding="utf-8"?>
<a:themeOverride xmlns:a="http://schemas.openxmlformats.org/drawingml/2006/main">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Tahoma"/>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Tahoma"/>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Override>
</file>

<file path=word/theme/themeOverride25.xml><?xml version="1.0" encoding="utf-8"?>
<a:themeOverride xmlns:a="http://schemas.openxmlformats.org/drawingml/2006/main">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Tahoma"/>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Tahoma"/>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Overrid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BB70E95F-59F2-451C-B645-3F5D94DF81F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2883</TotalTime>
  <Pages>128</Pages>
  <Words>71707</Words>
  <Characters>408731</Characters>
  <Application>Microsoft Office Word</Application>
  <DocSecurity>0</DocSecurity>
  <Lines>3406</Lines>
  <Paragraphs>958</Paragraphs>
  <ScaleCrop>false</ScaleCrop>
  <HeadingPairs>
    <vt:vector size="2" baseType="variant">
      <vt:variant>
        <vt:lpstr>Title</vt:lpstr>
      </vt:variant>
      <vt:variant>
        <vt:i4>1</vt:i4>
      </vt:variant>
    </vt:vector>
  </HeadingPairs>
  <TitlesOfParts>
    <vt:vector size="1" baseType="lpstr">
      <vt:lpstr/>
    </vt:vector>
  </TitlesOfParts>
  <Company>Microsoft</Company>
  <LinksUpToDate>false</LinksUpToDate>
  <CharactersWithSpaces>479480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Adam</dc:creator>
  <cp:lastModifiedBy>Adam Fetherstonhaugh</cp:lastModifiedBy>
  <cp:revision>3103</cp:revision>
  <cp:lastPrinted>2023-07-30T09:02:00Z</cp:lastPrinted>
  <dcterms:created xsi:type="dcterms:W3CDTF">2011-12-12T16:31:00Z</dcterms:created>
  <dcterms:modified xsi:type="dcterms:W3CDTF">2023-07-30T14:58:00Z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ZOTERO_PREF_1">
    <vt:lpwstr>&lt;data data-version="3" zotero-version="6.0.26"&gt;&lt;session id="fcehOGcq"/&gt;&lt;style id="http://www.zotero.org/styles/elsevier-harvard" hasBibliography="1" bibliographyStyleHasBeenSet="1"/&gt;&lt;prefs&gt;&lt;pref name="fieldType" value="Field"/&gt;&lt;/prefs&gt;&lt;/data&gt;</vt:lpwstr>
  </property>
</Properties>
</file>