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71BEAF" w14:textId="33D6FB2B" w:rsidR="0016579A" w:rsidRPr="00E722D0" w:rsidRDefault="00E722D0" w:rsidP="003C2A36">
      <w:pPr>
        <w:shd w:val="clear" w:color="auto" w:fill="FFFFFF"/>
        <w:spacing w:after="100" w:afterAutospacing="1"/>
        <w:jc w:val="center"/>
        <w:rPr>
          <w:rFonts w:ascii="Segoe UI" w:eastAsia="Times New Roman" w:hAnsi="Segoe UI" w:cs="Segoe UI"/>
          <w:b/>
          <w:bCs/>
          <w:color w:val="1D2125"/>
          <w:kern w:val="0"/>
          <w:sz w:val="22"/>
          <w:szCs w:val="22"/>
          <w:lang w:eastAsia="en-GB"/>
          <w14:ligatures w14:val="none"/>
        </w:rPr>
      </w:pPr>
      <w:r w:rsidRPr="00E722D0">
        <w:rPr>
          <w:rFonts w:ascii="Segoe UI" w:eastAsia="Times New Roman" w:hAnsi="Segoe UI" w:cs="Segoe UI"/>
          <w:b/>
          <w:bCs/>
          <w:color w:val="1D2125"/>
          <w:kern w:val="0"/>
          <w:sz w:val="22"/>
          <w:szCs w:val="22"/>
          <w:lang w:eastAsia="en-GB"/>
          <w14:ligatures w14:val="none"/>
        </w:rPr>
        <w:t>Write a review of the documentary Mummifying Alan (will be shown in class)</w:t>
      </w:r>
      <w:r>
        <w:rPr>
          <w:rFonts w:ascii="Segoe UI" w:eastAsia="Times New Roman" w:hAnsi="Segoe UI" w:cs="Segoe UI"/>
          <w:b/>
          <w:bCs/>
          <w:color w:val="1D2125"/>
          <w:kern w:val="0"/>
          <w:sz w:val="22"/>
          <w:szCs w:val="22"/>
          <w:lang w:eastAsia="en-GB"/>
          <w14:ligatures w14:val="none"/>
        </w:rPr>
        <w:t xml:space="preserve"> </w:t>
      </w:r>
      <w:r w:rsidRPr="00E722D0">
        <w:rPr>
          <w:rFonts w:ascii="Segoe UI" w:eastAsia="Times New Roman" w:hAnsi="Segoe UI" w:cs="Segoe UI"/>
          <w:b/>
          <w:bCs/>
          <w:color w:val="1D2125"/>
          <w:kern w:val="0"/>
          <w:sz w:val="22"/>
          <w:szCs w:val="22"/>
          <w:lang w:eastAsia="en-GB"/>
          <w14:ligatures w14:val="none"/>
        </w:rPr>
        <w:t>commenting specifically on the process of mummification and potential ethical issues.</w:t>
      </w:r>
    </w:p>
    <w:p w14:paraId="5AA10358" w14:textId="2258C45C" w:rsidR="00290F9E" w:rsidRPr="00B56DE3" w:rsidRDefault="003A7B31" w:rsidP="00471225">
      <w:pPr>
        <w:shd w:val="clear" w:color="auto" w:fill="FFFFFF"/>
        <w:spacing w:after="100" w:afterAutospacing="1"/>
        <w:ind w:firstLine="720"/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Death to the ancient Egyptians resulted in the fragmentation of the individual person into their constituent parts; among the spiritual elements of the persons </w:t>
      </w:r>
      <w:proofErr w:type="spellStart"/>
      <w:r w:rsidRPr="00B56DE3">
        <w:rPr>
          <w:rFonts w:ascii="Segoe UI" w:eastAsia="Times New Roman" w:hAnsi="Segoe UI" w:cs="Segoe UI"/>
          <w:i/>
          <w:iCs/>
          <w:color w:val="000000" w:themeColor="text1"/>
          <w:kern w:val="0"/>
          <w:sz w:val="22"/>
          <w:szCs w:val="22"/>
          <w:lang w:eastAsia="en-GB"/>
          <w14:ligatures w14:val="none"/>
        </w:rPr>
        <w:t>ba</w:t>
      </w:r>
      <w:proofErr w:type="spellEnd"/>
      <w:r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,</w:t>
      </w:r>
      <w:r w:rsidR="002F18A0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  <w:r w:rsidRPr="00B56DE3">
        <w:rPr>
          <w:rFonts w:ascii="Segoe UI" w:eastAsia="Times New Roman" w:hAnsi="Segoe UI" w:cs="Segoe UI"/>
          <w:i/>
          <w:iCs/>
          <w:color w:val="000000" w:themeColor="text1"/>
          <w:kern w:val="0"/>
          <w:sz w:val="22"/>
          <w:szCs w:val="22"/>
          <w:lang w:eastAsia="en-GB"/>
          <w14:ligatures w14:val="none"/>
        </w:rPr>
        <w:t>ka</w:t>
      </w:r>
      <w:r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, </w:t>
      </w:r>
      <w:proofErr w:type="spellStart"/>
      <w:r w:rsidRPr="00B56DE3">
        <w:rPr>
          <w:rFonts w:ascii="Segoe UI" w:eastAsia="Times New Roman" w:hAnsi="Segoe UI" w:cs="Segoe UI"/>
          <w:i/>
          <w:iCs/>
          <w:color w:val="000000" w:themeColor="text1"/>
          <w:kern w:val="0"/>
          <w:sz w:val="22"/>
          <w:szCs w:val="22"/>
          <w:lang w:eastAsia="en-GB"/>
          <w14:ligatures w14:val="none"/>
        </w:rPr>
        <w:t>ib</w:t>
      </w:r>
      <w:proofErr w:type="spellEnd"/>
      <w:r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, name, shadow</w:t>
      </w:r>
      <w:r w:rsidR="00262595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and </w:t>
      </w:r>
      <w:r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akh</w:t>
      </w:r>
      <w:r w:rsidR="00262595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,</w:t>
      </w:r>
      <w:r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were the more tangible image (</w:t>
      </w:r>
      <w:proofErr w:type="spellStart"/>
      <w:r w:rsidRPr="00B56DE3">
        <w:rPr>
          <w:rFonts w:ascii="Segoe UI" w:eastAsia="Times New Roman" w:hAnsi="Segoe UI" w:cs="Segoe UI"/>
          <w:i/>
          <w:iCs/>
          <w:color w:val="000000" w:themeColor="text1"/>
          <w:kern w:val="0"/>
          <w:sz w:val="22"/>
          <w:szCs w:val="22"/>
          <w:lang w:eastAsia="en-GB"/>
          <w14:ligatures w14:val="none"/>
        </w:rPr>
        <w:t>twt</w:t>
      </w:r>
      <w:proofErr w:type="spellEnd"/>
      <w:r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), corpse (</w:t>
      </w:r>
      <w:proofErr w:type="spellStart"/>
      <w:r w:rsidRPr="00B56DE3">
        <w:rPr>
          <w:rFonts w:ascii="Segoe UI" w:eastAsia="Times New Roman" w:hAnsi="Segoe UI" w:cs="Segoe UI"/>
          <w:i/>
          <w:iCs/>
          <w:color w:val="000000" w:themeColor="text1"/>
          <w:kern w:val="0"/>
          <w:sz w:val="22"/>
          <w:szCs w:val="22"/>
          <w:lang w:eastAsia="en-GB"/>
          <w14:ligatures w14:val="none"/>
        </w:rPr>
        <w:t>ẖꜥt</w:t>
      </w:r>
      <w:proofErr w:type="spellEnd"/>
      <w:r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)</w:t>
      </w:r>
      <w:r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and their mummy </w:t>
      </w:r>
      <w:r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(</w:t>
      </w:r>
      <w:proofErr w:type="spellStart"/>
      <w:r w:rsidRPr="00B56DE3">
        <w:rPr>
          <w:rFonts w:ascii="Segoe UI" w:eastAsia="Times New Roman" w:hAnsi="Segoe UI" w:cs="Segoe UI"/>
          <w:i/>
          <w:iCs/>
          <w:color w:val="000000" w:themeColor="text1"/>
          <w:kern w:val="0"/>
          <w:sz w:val="22"/>
          <w:szCs w:val="22"/>
          <w:lang w:eastAsia="en-GB"/>
          <w14:ligatures w14:val="none"/>
        </w:rPr>
        <w:t>sꜥḥ</w:t>
      </w:r>
      <w:proofErr w:type="spellEnd"/>
      <w:r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)</w:t>
      </w:r>
      <w:r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.</w:t>
      </w:r>
      <w:r w:rsidR="007D2BCD" w:rsidRPr="00B56DE3">
        <w:rPr>
          <w:rStyle w:val="FootnoteReference"/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footnoteReference w:id="1"/>
      </w:r>
      <w:r w:rsidR="00061190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The </w:t>
      </w:r>
      <w:proofErr w:type="spellStart"/>
      <w:r w:rsidR="00061190" w:rsidRPr="00B56DE3">
        <w:rPr>
          <w:rFonts w:ascii="Segoe UI" w:eastAsia="Times New Roman" w:hAnsi="Segoe UI" w:cs="Segoe UI"/>
          <w:i/>
          <w:iCs/>
          <w:color w:val="000000" w:themeColor="text1"/>
          <w:kern w:val="0"/>
          <w:sz w:val="22"/>
          <w:szCs w:val="22"/>
          <w:lang w:eastAsia="en-GB"/>
          <w14:ligatures w14:val="none"/>
        </w:rPr>
        <w:t>sꜥḥ</w:t>
      </w:r>
      <w:proofErr w:type="spellEnd"/>
      <w:r w:rsidR="004A7950" w:rsidRPr="00B56DE3">
        <w:rPr>
          <w:rFonts w:ascii="Segoe UI" w:eastAsia="Times New Roman" w:hAnsi="Segoe UI" w:cs="Segoe UI"/>
          <w:i/>
          <w:iCs/>
          <w:color w:val="000000" w:themeColor="text1"/>
          <w:kern w:val="0"/>
          <w:sz w:val="22"/>
          <w:szCs w:val="22"/>
          <w:lang w:eastAsia="en-GB"/>
          <w14:ligatures w14:val="none"/>
        </w:rPr>
        <w:t>,</w:t>
      </w:r>
      <w:r w:rsidR="00061190" w:rsidRPr="00B56DE3">
        <w:rPr>
          <w:rFonts w:ascii="Segoe UI" w:eastAsia="Times New Roman" w:hAnsi="Segoe UI" w:cs="Segoe UI"/>
          <w:i/>
          <w:iCs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  <w:r w:rsidR="00061190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meaning the </w:t>
      </w:r>
      <w:r w:rsidR="00331DA9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“noble ones” was an incredibly important part of the deceased’s rebirth into the afterlife.</w:t>
      </w:r>
      <w:r w:rsidR="00331DA9" w:rsidRPr="00B56DE3">
        <w:rPr>
          <w:rStyle w:val="FootnoteReference"/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footnoteReference w:id="2"/>
      </w:r>
      <w:r w:rsidR="00C27035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The </w:t>
      </w:r>
      <w:r w:rsidR="008C38A1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art of mummification was to preserve as much as possible </w:t>
      </w:r>
      <w:r w:rsidR="005F28AC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of </w:t>
      </w:r>
      <w:r w:rsidR="008C38A1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the body of the deceased</w:t>
      </w:r>
      <w:r w:rsidR="0041590B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, and it is in the new kingdom that this art reached its peak</w:t>
      </w:r>
      <w:r w:rsidR="001C52D4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with some of the best preserved mummies originating from this period</w:t>
      </w:r>
      <w:r w:rsidR="0041590B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.</w:t>
      </w:r>
      <w:r w:rsidR="0041590B" w:rsidRPr="00B56DE3">
        <w:rPr>
          <w:rStyle w:val="FootnoteReference"/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footnoteReference w:id="3"/>
      </w:r>
      <w:r w:rsidR="009918FF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  <w:r w:rsidR="001C52D4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In 2003</w:t>
      </w:r>
      <w:r w:rsidR="00AE3BC6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, scientist Stephen Buckley</w:t>
      </w:r>
      <w:r w:rsidR="00F42263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,</w:t>
      </w:r>
      <w:r w:rsidR="00AE3BC6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and Egyptologist Jo</w:t>
      </w:r>
      <w:r w:rsidR="009821F0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anne</w:t>
      </w:r>
      <w:r w:rsidR="00AE3BC6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Fletcher were given access to </w:t>
      </w:r>
      <w:r w:rsidR="00110866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re-examine three royal mummies from KV.35 suggested to be </w:t>
      </w:r>
      <w:r w:rsidR="00A2093D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Q</w:t>
      </w:r>
      <w:r w:rsidR="00A76BA5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ueen </w:t>
      </w:r>
      <w:proofErr w:type="spellStart"/>
      <w:r w:rsidR="00A76BA5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Tiy</w:t>
      </w:r>
      <w:proofErr w:type="spellEnd"/>
      <w:r w:rsidR="00A76BA5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, Nefertit</w:t>
      </w:r>
      <w:r w:rsidR="00F42263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i,</w:t>
      </w:r>
      <w:r w:rsidR="00A76BA5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and </w:t>
      </w:r>
      <w:r w:rsidR="00A2093D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P</w:t>
      </w:r>
      <w:r w:rsidR="00A76BA5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rince </w:t>
      </w:r>
      <w:proofErr w:type="spellStart"/>
      <w:r w:rsidR="00A76BA5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Thutmosis</w:t>
      </w:r>
      <w:proofErr w:type="spellEnd"/>
      <w:r w:rsidR="00F42263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.</w:t>
      </w:r>
      <w:r w:rsidR="00F42263" w:rsidRPr="00B56DE3">
        <w:rPr>
          <w:rStyle w:val="FootnoteReference"/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footnoteReference w:id="4"/>
      </w:r>
      <w:r w:rsidR="00F42263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Using portable X-ray equipment</w:t>
      </w:r>
      <w:r w:rsidR="00A2093D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,</w:t>
      </w:r>
      <w:r w:rsidR="00F42263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they discovered what they described as a ‘snowflake effect’ in the tissue.</w:t>
      </w:r>
      <w:r w:rsidR="00F42263" w:rsidRPr="00B56DE3">
        <w:rPr>
          <w:rStyle w:val="FootnoteReference"/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footnoteReference w:id="5"/>
      </w:r>
      <w:r w:rsidR="002B7CCE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Thus beg</w:t>
      </w:r>
      <w:r w:rsidR="00A2093D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in</w:t>
      </w:r>
      <w:r w:rsidR="002B7CCE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n</w:t>
      </w:r>
      <w:r w:rsidR="00A2093D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ing</w:t>
      </w:r>
      <w:r w:rsidR="002B7CCE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a long project of re-examining the X-ray images of Egyptian royal mummies</w:t>
      </w:r>
      <w:r w:rsidR="00A458C5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, and experimental archaeology which culminated in the extraordinary mummification of </w:t>
      </w:r>
      <w:r w:rsidR="001012DE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61 year old</w:t>
      </w:r>
      <w:r w:rsidR="00A458C5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  <w:r w:rsidR="001012DE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Alan </w:t>
      </w:r>
      <w:proofErr w:type="spellStart"/>
      <w:r w:rsidR="001012DE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Billis</w:t>
      </w:r>
      <w:proofErr w:type="spellEnd"/>
      <w:r w:rsidR="00A50CBD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, </w:t>
      </w:r>
      <w:r w:rsidR="001012DE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funded and recorded by Channel 4 in the </w:t>
      </w:r>
      <w:r w:rsidR="00DC28EE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2013 </w:t>
      </w:r>
      <w:r w:rsidR="001C55D2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documentary ‘Mummifying Alan’.</w:t>
      </w:r>
      <w:r w:rsidR="00DC28EE" w:rsidRPr="00B56DE3">
        <w:rPr>
          <w:rStyle w:val="FootnoteReference"/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footnoteReference w:id="6"/>
      </w:r>
      <w:r w:rsidR="000654D1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  <w:r w:rsidR="00B80CD1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This documentary review will tackle both </w:t>
      </w:r>
      <w:r w:rsidR="000654D1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how</w:t>
      </w:r>
      <w:r w:rsidR="00B80CD1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the process of mumification is presented and explored </w:t>
      </w:r>
      <w:r w:rsidR="000654D1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within the documentary, </w:t>
      </w:r>
      <w:r w:rsidR="00B80CD1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and also the </w:t>
      </w:r>
      <w:r w:rsidR="000654D1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potential ethical issues surrounding the documentary, and how it deals with these problems. </w:t>
      </w:r>
      <w:r w:rsidR="001A3F33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For the sake of brevity, this review will not </w:t>
      </w:r>
      <w:r w:rsidR="0092682F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tackle the video chronologically but will instead </w:t>
      </w:r>
      <w:r w:rsidR="00DF0187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examine its themes separately.</w:t>
      </w:r>
    </w:p>
    <w:p w14:paraId="7B683D13" w14:textId="18F1E588" w:rsidR="003C0CB4" w:rsidRPr="00B56DE3" w:rsidRDefault="009E44EC" w:rsidP="00805680">
      <w:pPr>
        <w:shd w:val="clear" w:color="auto" w:fill="FFFFFF"/>
        <w:spacing w:after="100" w:afterAutospacing="1"/>
        <w:ind w:firstLine="720"/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There is little surviving source material for the mummification process</w:t>
      </w:r>
      <w:r w:rsidR="003512F4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, the best written sources come from classical authors like Herodotus </w:t>
      </w:r>
      <w:r w:rsidR="00551318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who mentions </w:t>
      </w:r>
      <w:r w:rsidR="003B72BE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three methods that involve </w:t>
      </w:r>
      <w:r w:rsidR="00A65DD1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eviscerating and </w:t>
      </w:r>
      <w:r w:rsidR="006D73A2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desiccating</w:t>
      </w:r>
      <w:r w:rsidR="00A65DD1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the body in natrum for a </w:t>
      </w:r>
      <w:r w:rsidR="006D73A2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period in natrum</w:t>
      </w:r>
      <w:r w:rsidR="00A65DD1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.</w:t>
      </w:r>
      <w:r w:rsidR="00A65DD1" w:rsidRPr="00B56DE3">
        <w:rPr>
          <w:rStyle w:val="FootnoteReference"/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footnoteReference w:id="7"/>
      </w:r>
      <w:r w:rsidR="00A65DD1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="001B48C3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Diodorus</w:t>
      </w:r>
      <w:proofErr w:type="spellEnd"/>
      <w:r w:rsidR="001B48C3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, </w:t>
      </w:r>
      <w:proofErr w:type="spellStart"/>
      <w:r w:rsidR="001B48C3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Athenaeus</w:t>
      </w:r>
      <w:proofErr w:type="spellEnd"/>
      <w:r w:rsidR="001B48C3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and other writers </w:t>
      </w:r>
      <w:r w:rsidR="0086293E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make clear </w:t>
      </w:r>
      <w:r w:rsidR="006D73A2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an</w:t>
      </w:r>
      <w:r w:rsidR="0086293E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analogous relationship between the Egyptian method for mummification and the method for the preservation of fish, something the </w:t>
      </w:r>
      <w:r w:rsidR="00305898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documentary incorrectly asserts to be from the description of Herodotus.</w:t>
      </w:r>
      <w:r w:rsidR="00305898" w:rsidRPr="00B56DE3">
        <w:rPr>
          <w:rStyle w:val="FootnoteReference"/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footnoteReference w:id="8"/>
      </w:r>
      <w:r w:rsidR="00305898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  <w:r w:rsidR="00E822C7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In this method,</w:t>
      </w:r>
      <w:r w:rsidR="00111807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the fish is again eviscerated and then </w:t>
      </w:r>
      <w:r w:rsidR="00FE7C29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covered inside and out with dry natron salts. </w:t>
      </w:r>
      <w:r w:rsidR="00DF0187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Analysis of surviving mummies broadly confirms this to be the case,</w:t>
      </w:r>
      <w:r w:rsidR="008F2DDE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  <w:r w:rsidR="001C6461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however</w:t>
      </w:r>
      <w:r w:rsidR="009A35CE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it evolved significantly over the period. In the New Kingdom, </w:t>
      </w:r>
      <w:r w:rsidR="008B7679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embalmers seemed consistently able to </w:t>
      </w:r>
      <w:r w:rsidR="008B7679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lastRenderedPageBreak/>
        <w:t>preserve the soft tissues as</w:t>
      </w:r>
      <w:r w:rsidR="00BC2505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  <w:r w:rsidR="008B7679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well was the </w:t>
      </w:r>
      <w:r w:rsidR="00BC2505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bones</w:t>
      </w:r>
      <w:r w:rsidR="00B01A07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.</w:t>
      </w:r>
      <w:r w:rsidR="00214965" w:rsidRPr="00B56DE3">
        <w:rPr>
          <w:rStyle w:val="FootnoteReference"/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footnoteReference w:id="9"/>
      </w:r>
      <w:r w:rsidR="00B01A07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  <w:r w:rsidR="00D579E5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Yet e</w:t>
      </w:r>
      <w:r w:rsidR="005F4F0F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xtraction of the brain as described by Herodotus was not at all ubiquitous</w:t>
      </w:r>
      <w:r w:rsidR="009F01F3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, </w:t>
      </w:r>
      <w:r w:rsidR="00214965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something replicated by Buckley in his experiment.</w:t>
      </w:r>
      <w:r w:rsidR="00214965" w:rsidRPr="00B56DE3">
        <w:rPr>
          <w:rStyle w:val="FootnoteReference"/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footnoteReference w:id="10"/>
      </w:r>
      <w:r w:rsidR="00214965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  <w:r w:rsidR="00290F9E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The documentary follows chemist Stephen Buckley and Egyptologist </w:t>
      </w:r>
      <w:r w:rsidR="009821F0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Joanne Fletcher </w:t>
      </w:r>
      <w:r w:rsidR="00F53F28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as they attempt to prove their theory that </w:t>
      </w:r>
      <w:r w:rsidR="00017372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the</w:t>
      </w:r>
      <w:r w:rsidR="008D6E26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ir </w:t>
      </w:r>
      <w:r w:rsidR="00017372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‘snowflake’</w:t>
      </w:r>
      <w:r w:rsidR="008D6E26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effect</w:t>
      </w:r>
      <w:r w:rsidR="005329D5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,</w:t>
      </w:r>
      <w:r w:rsidR="00017372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perceived </w:t>
      </w:r>
      <w:r w:rsidR="008D6E26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only</w:t>
      </w:r>
      <w:r w:rsidR="00017372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on mummies of the 18</w:t>
      </w:r>
      <w:r w:rsidR="00017372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vertAlign w:val="superscript"/>
          <w:lang w:eastAsia="en-GB"/>
          <w14:ligatures w14:val="none"/>
        </w:rPr>
        <w:t>th</w:t>
      </w:r>
      <w:r w:rsidR="00017372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dynasty</w:t>
      </w:r>
      <w:r w:rsidR="005329D5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,</w:t>
      </w:r>
      <w:r w:rsidR="00017372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were a product of a </w:t>
      </w:r>
      <w:r w:rsidR="00145892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different </w:t>
      </w:r>
      <w:r w:rsidR="00017372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mummification process</w:t>
      </w:r>
      <w:r w:rsidR="00145892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, one</w:t>
      </w:r>
      <w:r w:rsidR="002058F5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that</w:t>
      </w:r>
      <w:r w:rsidR="00E85FD0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involved </w:t>
      </w:r>
      <w:r w:rsidR="002058F5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submerging the body in a </w:t>
      </w:r>
      <w:r w:rsidR="00E85FD0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bath of </w:t>
      </w:r>
      <w:r w:rsidR="002058F5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natron</w:t>
      </w:r>
      <w:r w:rsidR="00E85FD0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solution.</w:t>
      </w:r>
      <w:r w:rsidR="00E85FD0" w:rsidRPr="00B56DE3">
        <w:rPr>
          <w:rStyle w:val="FootnoteReference"/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footnoteReference w:id="11"/>
      </w:r>
    </w:p>
    <w:p w14:paraId="6308EA71" w14:textId="5E92F34F" w:rsidR="00805680" w:rsidRPr="00B56DE3" w:rsidRDefault="003C0CB4" w:rsidP="00805680">
      <w:pPr>
        <w:shd w:val="clear" w:color="auto" w:fill="FFFFFF"/>
        <w:spacing w:after="100" w:afterAutospacing="1"/>
        <w:ind w:firstLine="720"/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This </w:t>
      </w:r>
      <w:r w:rsidR="00CF5EC6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method has som</w:t>
      </w:r>
      <w:r w:rsidR="00DB75B9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e</w:t>
      </w:r>
      <w:r w:rsidR="00CF5EC6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direct evidence and Buckley was not the first to suggest it. The most important piece of archaeological backing besides the X-ray</w:t>
      </w:r>
      <w:r w:rsidR="00DB75B9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– </w:t>
      </w:r>
      <w:r w:rsidR="00CF5EC6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and unfortunately not mentioned in the documentary</w:t>
      </w:r>
      <w:r w:rsidR="00DB75B9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–</w:t>
      </w:r>
      <w:r w:rsidR="00CF5EC6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is the </w:t>
      </w:r>
      <w:r w:rsidR="00B858EE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4</w:t>
      </w:r>
      <w:r w:rsidR="00B858EE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vertAlign w:val="superscript"/>
          <w:lang w:eastAsia="en-GB"/>
          <w14:ligatures w14:val="none"/>
        </w:rPr>
        <w:t>th</w:t>
      </w:r>
      <w:r w:rsidR="00B858EE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century canopic box of Queen </w:t>
      </w:r>
      <w:proofErr w:type="spellStart"/>
      <w:r w:rsidR="00B858EE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Hetepheres</w:t>
      </w:r>
      <w:proofErr w:type="spellEnd"/>
      <w:r w:rsidR="008573B3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which contained </w:t>
      </w:r>
      <w:r w:rsidR="00640D37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viscera immersed in a 3% natron</w:t>
      </w:r>
      <w:r w:rsidR="00CF5EC6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  <w:r w:rsidR="00B51FAF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solution.</w:t>
      </w:r>
      <w:r w:rsidR="00B51FAF" w:rsidRPr="00B56DE3">
        <w:rPr>
          <w:rStyle w:val="FootnoteReference"/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footnoteReference w:id="12"/>
      </w:r>
      <w:r w:rsidR="002D5578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  <w:r w:rsidR="006B3E47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This method was in fact the generally accepted explanation at one point based upon a mistranslation of Herodotus</w:t>
      </w:r>
      <w:r w:rsidR="00AD521C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, and though</w:t>
      </w:r>
      <w:r w:rsidR="00242CCF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specimens</w:t>
      </w:r>
      <w:r w:rsidR="00AD521C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  <w:r w:rsidR="004578A0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of brain and resin impregnated with natron </w:t>
      </w:r>
      <w:r w:rsidR="00AD521C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analys</w:t>
      </w:r>
      <w:r w:rsidR="00242CCF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ed</w:t>
      </w:r>
      <w:r w:rsidR="00AD521C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by Alfred Lucas </w:t>
      </w:r>
      <w:r w:rsidR="004578A0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led him initially to conclude it must have been </w:t>
      </w:r>
      <w:r w:rsidR="00CB4CC1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incorporated through some form of solution, he later backtracked on this theory.</w:t>
      </w:r>
      <w:r w:rsidR="00CB4CC1" w:rsidRPr="00B56DE3">
        <w:rPr>
          <w:rStyle w:val="FootnoteReference"/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footnoteReference w:id="13"/>
      </w:r>
      <w:r w:rsidR="00B9235E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  <w:r w:rsidR="00BD4907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The </w:t>
      </w:r>
      <w:r w:rsidR="00700A2F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reason the documentary omits these details is probably brevity, it was important to retain the </w:t>
      </w:r>
      <w:r w:rsidR="00567754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audience interest while also focusing more on Buckley’s own experiments.</w:t>
      </w:r>
      <w:r w:rsidR="00CC03A0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Another </w:t>
      </w:r>
      <w:r w:rsidR="0033627D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important study that unfortunately was not included in the </w:t>
      </w:r>
      <w:r w:rsidR="00DB75B9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documentary</w:t>
      </w:r>
      <w:r w:rsidR="0033627D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is </w:t>
      </w:r>
      <w:r w:rsidR="00F34AD7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that of </w:t>
      </w:r>
      <w:r w:rsidR="00F34BF5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the MUMAB mummy, a similar experiment c</w:t>
      </w:r>
      <w:r w:rsidR="007302D3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onducted </w:t>
      </w:r>
      <w:r w:rsidR="00F34BF5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in 1994</w:t>
      </w:r>
      <w:r w:rsidR="007302D3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by Bob Brier</w:t>
      </w:r>
      <w:r w:rsidR="000C4FD0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  <w:r w:rsidR="007302D3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on an anonymous </w:t>
      </w:r>
      <w:r w:rsidR="00A43059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human donor</w:t>
      </w:r>
      <w:r w:rsidR="007302D3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using the </w:t>
      </w:r>
      <w:r w:rsidR="00A43059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dry method.</w:t>
      </w:r>
      <w:r w:rsidR="003C6217" w:rsidRPr="00B56DE3">
        <w:rPr>
          <w:rStyle w:val="FootnoteReference"/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footnoteReference w:id="14"/>
      </w:r>
      <w:r w:rsidR="00FE5B3D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As </w:t>
      </w:r>
      <w:r w:rsidR="002D5264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professor Bill Bass eludes </w:t>
      </w:r>
      <w:r w:rsidR="00573018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in the documentary, some form of control variable to compare the method would have been incredibly useful.</w:t>
      </w:r>
      <w:r w:rsidR="001E3B8D" w:rsidRPr="00B56DE3">
        <w:rPr>
          <w:rStyle w:val="FootnoteReference"/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footnoteReference w:id="15"/>
      </w:r>
    </w:p>
    <w:p w14:paraId="24DC97D5" w14:textId="6536AB9A" w:rsidR="00567754" w:rsidRPr="00B56DE3" w:rsidRDefault="006A0D54" w:rsidP="00805680">
      <w:pPr>
        <w:shd w:val="clear" w:color="auto" w:fill="FFFFFF"/>
        <w:spacing w:after="100" w:afterAutospacing="1"/>
        <w:ind w:firstLine="720"/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The process undergone within the documentary is fascinating and well</w:t>
      </w:r>
      <w:r w:rsidR="00234CC8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-</w:t>
      </w:r>
      <w:r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grounded in the evidence. </w:t>
      </w:r>
      <w:r w:rsidR="002A3E39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The body is washed, its organs removed</w:t>
      </w:r>
      <w:r w:rsidR="0008026E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, restuffed with bags of linen to replicate its original appearance</w:t>
      </w:r>
      <w:r w:rsidR="008B7B48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, </w:t>
      </w:r>
      <w:r w:rsidR="00512963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he is coated in a</w:t>
      </w:r>
      <w:r w:rsidR="0035268D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protective layer of </w:t>
      </w:r>
      <w:r w:rsidR="00234CC8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sesame</w:t>
      </w:r>
      <w:r w:rsidR="0035268D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oil, resin, and beeswax</w:t>
      </w:r>
      <w:r w:rsidR="00CA699D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, and submerged in the natron bath for 5 weeks, </w:t>
      </w:r>
      <w:r w:rsidR="00234CC8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after removal he is dried for 1 week during which he is treated with an insecticide of pine sap before he</w:t>
      </w:r>
      <w:r w:rsidR="00862A83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is</w:t>
      </w:r>
      <w:r w:rsidR="00234CC8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finally</w:t>
      </w:r>
      <w:r w:rsidR="00862A83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  <w:r w:rsidR="00234CC8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wrapped.</w:t>
      </w:r>
      <w:r w:rsidR="00234CC8" w:rsidRPr="00B56DE3">
        <w:rPr>
          <w:rStyle w:val="FootnoteReference"/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footnoteReference w:id="16"/>
      </w:r>
      <w:r w:rsidR="00234CC8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Each stage is well accompanied by scientific observations and well explained </w:t>
      </w:r>
      <w:r w:rsidR="00D10A11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by a panel of experts</w:t>
      </w:r>
      <w:r w:rsidR="00473A04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. </w:t>
      </w:r>
      <w:r w:rsidR="00C24A79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Scientific animations accompany the experiment to great effect, making the </w:t>
      </w:r>
      <w:r w:rsidR="00E95409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process understandable</w:t>
      </w:r>
      <w:r w:rsidR="00862A83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to an audience of mixed knowledge</w:t>
      </w:r>
      <w:r w:rsidR="00E95409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. </w:t>
      </w:r>
      <w:r w:rsidR="00473A04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One of the</w:t>
      </w:r>
      <w:r w:rsidR="00D8655B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deviations from Herodotus’s method is the </w:t>
      </w:r>
      <w:r w:rsidR="007F36AE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decision not to extract the brain. This is because the brains of New Kingdom mummies are often left intact </w:t>
      </w:r>
      <w:r w:rsidR="0049345A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yet still show signs of preservation.</w:t>
      </w:r>
      <w:r w:rsidR="0049345A" w:rsidRPr="00B56DE3">
        <w:rPr>
          <w:rStyle w:val="FootnoteReference"/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footnoteReference w:id="17"/>
      </w:r>
      <w:r w:rsidR="00802574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This is something Buckley decided to test in his experiment </w:t>
      </w:r>
      <w:r w:rsidR="00024A48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with great success. </w:t>
      </w:r>
    </w:p>
    <w:p w14:paraId="364B2702" w14:textId="203F1CA4" w:rsidR="00856039" w:rsidRPr="00B56DE3" w:rsidRDefault="00024A48" w:rsidP="00856039">
      <w:pPr>
        <w:shd w:val="clear" w:color="auto" w:fill="FFFFFF"/>
        <w:spacing w:after="100" w:afterAutospacing="1"/>
        <w:ind w:firstLine="720"/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The more spiritual aspects </w:t>
      </w:r>
      <w:r w:rsidR="00C24A79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were </w:t>
      </w:r>
      <w:r w:rsidR="009468F8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discussed by Fletcher, including her interesting theory that the reason natron baths were used was to simulate the womb</w:t>
      </w:r>
      <w:r w:rsidR="00073D75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and rebirth.</w:t>
      </w:r>
      <w:r w:rsidR="00680389" w:rsidRPr="00B56DE3">
        <w:rPr>
          <w:rStyle w:val="FootnoteReference"/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footnoteReference w:id="18"/>
      </w:r>
      <w:r w:rsidR="00073D75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  <w:r w:rsidR="00073D75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lastRenderedPageBreak/>
        <w:t>These segments present important archaeological grounding a</w:t>
      </w:r>
      <w:r w:rsidR="00680389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s well as</w:t>
      </w:r>
      <w:r w:rsidR="00073D75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a welcome reprieve from the </w:t>
      </w:r>
      <w:r w:rsidR="00680389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morbid scenes of the experiment.</w:t>
      </w:r>
      <w:r w:rsidR="00010296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  <w:r w:rsidR="00876709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Most of the more spiritual aspects however are not </w:t>
      </w:r>
      <w:r w:rsidR="00536C3D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conducted upon Alan</w:t>
      </w:r>
      <w:r w:rsidR="00856039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, excluding one charming moment</w:t>
      </w:r>
      <w:r w:rsidR="00536C3D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.</w:t>
      </w:r>
      <w:r w:rsidR="0031136F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</w:p>
    <w:p w14:paraId="20C26DCE" w14:textId="0EAB0F04" w:rsidR="00024A48" w:rsidRPr="00B56DE3" w:rsidRDefault="0031136F" w:rsidP="00856039">
      <w:pPr>
        <w:shd w:val="clear" w:color="auto" w:fill="FFFFFF"/>
        <w:spacing w:after="100" w:afterAutospacing="1"/>
        <w:ind w:firstLine="720"/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As </w:t>
      </w:r>
      <w:r w:rsidR="0006580D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the Egyptians </w:t>
      </w:r>
      <w:r w:rsidR="00184366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enclosed </w:t>
      </w:r>
      <w:r w:rsidR="00856039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complex </w:t>
      </w:r>
      <w:r w:rsidR="00184366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ritual charmed objects inside the wrappings, </w:t>
      </w:r>
      <w:r w:rsidR="00D216D3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Alan’s wife, Jan </w:t>
      </w:r>
      <w:proofErr w:type="spellStart"/>
      <w:r w:rsidR="00D216D3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Billis</w:t>
      </w:r>
      <w:proofErr w:type="spellEnd"/>
      <w:r w:rsidR="00D216D3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and daughter Nicola</w:t>
      </w:r>
      <w:r w:rsidR="00EA4358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pick</w:t>
      </w:r>
      <w:r w:rsidR="008F41AE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ed </w:t>
      </w:r>
      <w:r w:rsidR="00EA4358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out photos to accompany </w:t>
      </w:r>
      <w:r w:rsidR="008F41AE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Alan</w:t>
      </w:r>
      <w:r w:rsidR="006D395F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, pictures that Jan delivers in person when she meets her mummified husband for the first time.</w:t>
      </w:r>
      <w:r w:rsidR="006D395F" w:rsidRPr="00B56DE3">
        <w:rPr>
          <w:rStyle w:val="FootnoteReference"/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footnoteReference w:id="19"/>
      </w:r>
      <w:r w:rsidR="00A7727B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It is a</w:t>
      </w:r>
      <w:r w:rsidR="003575AB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  <w:r w:rsidR="00A7727B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touching moment </w:t>
      </w:r>
      <w:r w:rsidR="000F7D52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that deeply humanises the mumification process and allows the audience to better</w:t>
      </w:r>
      <w:r w:rsidR="009E52DB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empathise with the Egyptian </w:t>
      </w:r>
      <w:r w:rsidR="003575AB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funerary</w:t>
      </w:r>
      <w:r w:rsidR="009E52DB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experience</w:t>
      </w:r>
      <w:r w:rsidR="007D0E1D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. The ethical issues with </w:t>
      </w:r>
      <w:r w:rsidR="00016A26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a public broadcast graphically documenting the </w:t>
      </w:r>
      <w:r w:rsidR="000617CF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mumification of a human subject are clear</w:t>
      </w:r>
      <w:r w:rsidR="003575AB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; </w:t>
      </w:r>
      <w:r w:rsidR="000617CF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however</w:t>
      </w:r>
      <w:r w:rsidR="003575AB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,</w:t>
      </w:r>
      <w:r w:rsidR="000617CF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the documentary </w:t>
      </w:r>
      <w:r w:rsidR="008E00D3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handles them well. Modern audiences </w:t>
      </w:r>
      <w:r w:rsidR="003575AB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have become </w:t>
      </w:r>
      <w:r w:rsidR="008E00D3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accustomed to </w:t>
      </w:r>
      <w:r w:rsidR="005E7D83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seeing the mummies of ancient Egyptians</w:t>
      </w:r>
      <w:r w:rsidR="003575AB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in</w:t>
      </w:r>
      <w:r w:rsidR="00871017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pop culture</w:t>
      </w:r>
      <w:r w:rsidR="003575AB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; </w:t>
      </w:r>
      <w:r w:rsidR="00871017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through the lens of Alan, a relatable and </w:t>
      </w:r>
      <w:r w:rsidR="00900A9C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good-humoured</w:t>
      </w:r>
      <w:r w:rsidR="00871017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  <w:r w:rsidR="00AF158E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taxi driver from Torquey, </w:t>
      </w:r>
      <w:r w:rsidR="00900A9C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the </w:t>
      </w:r>
      <w:r w:rsidR="00AF158E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audience</w:t>
      </w:r>
      <w:r w:rsidR="00900A9C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  <w:r w:rsidR="00AF158E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vie</w:t>
      </w:r>
      <w:r w:rsidR="00900A9C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w </w:t>
      </w:r>
      <w:r w:rsidR="00AF158E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mummified remains as </w:t>
      </w:r>
      <w:r w:rsidR="00900A9C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truly human.</w:t>
      </w:r>
      <w:r w:rsidR="00F07F4D" w:rsidRPr="00B56DE3">
        <w:rPr>
          <w:rStyle w:val="FootnoteReference"/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footnoteReference w:id="20"/>
      </w:r>
      <w:r w:rsidR="00AF158E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  <w:r w:rsidR="00900A9C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The documentary is remarkabl</w:t>
      </w:r>
      <w:r w:rsidR="0062523D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y</w:t>
      </w:r>
      <w:r w:rsidR="00900A9C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sensitiv</w:t>
      </w:r>
      <w:r w:rsidR="00D34940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e for its sometimes intense nature, it makes use of advertis</w:t>
      </w:r>
      <w:r w:rsidR="0062523D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e</w:t>
      </w:r>
      <w:r w:rsidR="00D34940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ment breaks making sure to bookend all but one with segments </w:t>
      </w:r>
      <w:r w:rsidR="00E41F39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including Alan and his family, and his body is treated with visible care by all involved.</w:t>
      </w:r>
      <w:r w:rsidR="004B6A16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</w:p>
    <w:p w14:paraId="70B63D96" w14:textId="0336E205" w:rsidR="004B6A16" w:rsidRPr="00B56DE3" w:rsidRDefault="004B6A16" w:rsidP="004B6A16">
      <w:pPr>
        <w:shd w:val="clear" w:color="auto" w:fill="FFFFFF"/>
        <w:spacing w:after="100" w:afterAutospacing="1"/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ab/>
      </w:r>
      <w:r w:rsidR="00703F3D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‘</w:t>
      </w:r>
      <w:r w:rsidR="007460FE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Mummifying Alan</w:t>
      </w:r>
      <w:r w:rsidR="00703F3D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’</w:t>
      </w:r>
      <w:r w:rsidR="002C24C8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is</w:t>
      </w:r>
      <w:r w:rsidR="003F059C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successful in its probably goal</w:t>
      </w:r>
      <w:r w:rsidR="00B56DE3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s,</w:t>
      </w:r>
      <w:r w:rsidR="002C24C8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  <w:r w:rsidR="00B56DE3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it is both </w:t>
      </w:r>
      <w:r w:rsidR="001F5680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educational and</w:t>
      </w:r>
      <w:r w:rsidR="002C24C8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  <w:r w:rsidR="00B56DE3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a </w:t>
      </w:r>
      <w:r w:rsidR="002C24C8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profound viewing experience</w:t>
      </w:r>
      <w:r w:rsidR="00CA4F76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that should be recommended. It is not without issue: especially </w:t>
      </w:r>
      <w:r w:rsidR="00CC7898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in the beginning it </w:t>
      </w:r>
      <w:r w:rsidR="00CC30B7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could easily misdirect</w:t>
      </w:r>
      <w:r w:rsidR="00CC7898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the viewer </w:t>
      </w:r>
      <w:r w:rsidR="00CC30B7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with claims of </w:t>
      </w:r>
      <w:r w:rsidR="00BF20F8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new discoveries of how mummification was done</w:t>
      </w:r>
      <w:r w:rsidR="008432AE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in ancient Egypt</w:t>
      </w:r>
      <w:r w:rsidR="00BF20F8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, it is not </w:t>
      </w:r>
      <w:r w:rsidR="008432AE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until the 14</w:t>
      </w:r>
      <w:r w:rsidR="008432AE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vertAlign w:val="superscript"/>
          <w:lang w:eastAsia="en-GB"/>
          <w14:ligatures w14:val="none"/>
        </w:rPr>
        <w:t>th</w:t>
      </w:r>
      <w:r w:rsidR="008432AE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minute when it is mentioned it is only the 18</w:t>
      </w:r>
      <w:r w:rsidR="008432AE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vertAlign w:val="superscript"/>
          <w:lang w:eastAsia="en-GB"/>
          <w14:ligatures w14:val="none"/>
        </w:rPr>
        <w:t>th</w:t>
      </w:r>
      <w:r w:rsidR="008432AE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dynasty method they are testing</w:t>
      </w:r>
      <w:r w:rsidR="009F49F8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. The music and atmosphere can also be very intense</w:t>
      </w:r>
      <w:r w:rsidR="00B86B6B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; </w:t>
      </w:r>
      <w:r w:rsidR="009F49F8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it is however </w:t>
      </w:r>
      <w:r w:rsidR="00B86B6B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very well balanced, bringing the viewer out of the intensity for </w:t>
      </w:r>
      <w:r w:rsidR="008E1D65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segments with Alan’s family or in Egypt with Fletcher. The documentary is also not over narrated as many </w:t>
      </w:r>
      <w:r w:rsidR="00F15957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similar documentaries can be, experts are given their proper </w:t>
      </w:r>
      <w:r w:rsidR="00541146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respect,</w:t>
      </w:r>
      <w:r w:rsidR="00F15957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and it is their dialogue that directs the programme</w:t>
      </w:r>
      <w:r w:rsidR="00E753D6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. Whilst in many ways morbid, the </w:t>
      </w:r>
      <w:r w:rsidR="005F6330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experience of seeing a </w:t>
      </w:r>
      <w:r w:rsidR="009B44F4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modern human</w:t>
      </w:r>
      <w:r w:rsidR="005F6330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mummified </w:t>
      </w:r>
      <w:r w:rsidR="009B44F4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is one that connects the audience in a way that </w:t>
      </w:r>
      <w:r w:rsidR="00541146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animations and drawings simply cannot do. </w:t>
      </w:r>
      <w:r w:rsidR="00A36F7C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It is impossible to watch </w:t>
      </w:r>
      <w:r w:rsidR="00703F3D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‘</w:t>
      </w:r>
      <w:r w:rsidR="00A36F7C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Mummifying Alan</w:t>
      </w:r>
      <w:r w:rsidR="00703F3D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’</w:t>
      </w:r>
      <w:r w:rsidR="00A36F7C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and not feel a </w:t>
      </w:r>
      <w:r w:rsidR="00703F3D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connection to Alan himself that effects the</w:t>
      </w:r>
      <w:r w:rsidR="00471225" w:rsidRPr="00B56DE3"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  <w:t>ir perception of the past dead positively.</w:t>
      </w:r>
    </w:p>
    <w:p w14:paraId="69F664E1" w14:textId="77777777" w:rsidR="0062523D" w:rsidRPr="00B56DE3" w:rsidRDefault="0062523D" w:rsidP="004B6A16">
      <w:pPr>
        <w:shd w:val="clear" w:color="auto" w:fill="FFFFFF"/>
        <w:spacing w:after="100" w:afterAutospacing="1"/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</w:pPr>
    </w:p>
    <w:p w14:paraId="1C3A5677" w14:textId="77777777" w:rsidR="006F416F" w:rsidRPr="00B56DE3" w:rsidRDefault="006F416F" w:rsidP="004B6A16">
      <w:pPr>
        <w:shd w:val="clear" w:color="auto" w:fill="FFFFFF"/>
        <w:spacing w:after="100" w:afterAutospacing="1"/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</w:pPr>
    </w:p>
    <w:p w14:paraId="660DB925" w14:textId="77777777" w:rsidR="006F416F" w:rsidRPr="00B56DE3" w:rsidRDefault="006F416F" w:rsidP="004B6A16">
      <w:pPr>
        <w:shd w:val="clear" w:color="auto" w:fill="FFFFFF"/>
        <w:spacing w:after="100" w:afterAutospacing="1"/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</w:pPr>
    </w:p>
    <w:p w14:paraId="76394127" w14:textId="77777777" w:rsidR="006F416F" w:rsidRPr="00B56DE3" w:rsidRDefault="006F416F" w:rsidP="004B6A16">
      <w:pPr>
        <w:shd w:val="clear" w:color="auto" w:fill="FFFFFF"/>
        <w:spacing w:after="100" w:afterAutospacing="1"/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</w:pPr>
    </w:p>
    <w:p w14:paraId="50DB32F4" w14:textId="77777777" w:rsidR="006F416F" w:rsidRPr="00B56DE3" w:rsidRDefault="006F416F" w:rsidP="004B6A16">
      <w:pPr>
        <w:shd w:val="clear" w:color="auto" w:fill="FFFFFF"/>
        <w:spacing w:after="100" w:afterAutospacing="1"/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</w:pPr>
    </w:p>
    <w:p w14:paraId="6EC7B061" w14:textId="77777777" w:rsidR="006F416F" w:rsidRPr="00B56DE3" w:rsidRDefault="006F416F" w:rsidP="004B6A16">
      <w:pPr>
        <w:shd w:val="clear" w:color="auto" w:fill="FFFFFF"/>
        <w:spacing w:after="100" w:afterAutospacing="1"/>
        <w:rPr>
          <w:rFonts w:ascii="Segoe UI" w:eastAsia="Times New Roman" w:hAnsi="Segoe UI" w:cs="Segoe UI"/>
          <w:color w:val="000000" w:themeColor="text1"/>
          <w:kern w:val="0"/>
          <w:sz w:val="22"/>
          <w:szCs w:val="22"/>
          <w:lang w:eastAsia="en-GB"/>
          <w14:ligatures w14:val="none"/>
        </w:rPr>
      </w:pPr>
    </w:p>
    <w:p w14:paraId="420E1725" w14:textId="77777777" w:rsidR="006F416F" w:rsidRDefault="006F416F" w:rsidP="004B6A16">
      <w:pPr>
        <w:shd w:val="clear" w:color="auto" w:fill="FFFFFF"/>
        <w:spacing w:after="100" w:afterAutospacing="1"/>
        <w:rPr>
          <w:rFonts w:ascii="Segoe UI" w:eastAsia="Times New Roman" w:hAnsi="Segoe UI" w:cs="Segoe UI"/>
          <w:color w:val="1D2125"/>
          <w:kern w:val="0"/>
          <w:sz w:val="22"/>
          <w:szCs w:val="22"/>
          <w:lang w:eastAsia="en-GB"/>
          <w14:ligatures w14:val="none"/>
        </w:rPr>
      </w:pPr>
    </w:p>
    <w:p w14:paraId="19CC5073" w14:textId="77777777" w:rsidR="006F416F" w:rsidRDefault="006F416F" w:rsidP="004B6A16">
      <w:pPr>
        <w:shd w:val="clear" w:color="auto" w:fill="FFFFFF"/>
        <w:spacing w:after="100" w:afterAutospacing="1"/>
        <w:rPr>
          <w:rFonts w:ascii="Segoe UI" w:eastAsia="Times New Roman" w:hAnsi="Segoe UI" w:cs="Segoe UI"/>
          <w:color w:val="1D2125"/>
          <w:kern w:val="0"/>
          <w:sz w:val="22"/>
          <w:szCs w:val="22"/>
          <w:lang w:eastAsia="en-GB"/>
          <w14:ligatures w14:val="none"/>
        </w:rPr>
      </w:pPr>
    </w:p>
    <w:p w14:paraId="31FECEDA" w14:textId="77777777" w:rsidR="006F416F" w:rsidRDefault="006F416F" w:rsidP="004B6A16">
      <w:pPr>
        <w:shd w:val="clear" w:color="auto" w:fill="FFFFFF"/>
        <w:spacing w:after="100" w:afterAutospacing="1"/>
        <w:rPr>
          <w:rFonts w:ascii="Segoe UI" w:eastAsia="Times New Roman" w:hAnsi="Segoe UI" w:cs="Segoe UI"/>
          <w:color w:val="1D2125"/>
          <w:kern w:val="0"/>
          <w:sz w:val="22"/>
          <w:szCs w:val="22"/>
          <w:lang w:eastAsia="en-GB"/>
          <w14:ligatures w14:val="none"/>
        </w:rPr>
      </w:pPr>
    </w:p>
    <w:sdt>
      <w:sdtPr>
        <w:id w:val="-797371858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4"/>
          <w:szCs w:val="24"/>
        </w:rPr>
      </w:sdtEndPr>
      <w:sdtContent>
        <w:p w14:paraId="20AC5617" w14:textId="5B9B19E3" w:rsidR="0062523D" w:rsidRDefault="0062523D">
          <w:pPr>
            <w:pStyle w:val="Heading1"/>
          </w:pPr>
          <w:r>
            <w:t>Bibliography</w:t>
          </w:r>
        </w:p>
        <w:p w14:paraId="6409E743" w14:textId="77777777" w:rsidR="006F416F" w:rsidRPr="000D1CB9" w:rsidRDefault="006F416F" w:rsidP="006F416F">
          <w:pPr>
            <w:rPr>
              <w:sz w:val="22"/>
              <w:szCs w:val="22"/>
            </w:rPr>
          </w:pPr>
        </w:p>
        <w:p w14:paraId="3E922EED" w14:textId="707CC3C7" w:rsidR="006F416F" w:rsidRPr="003C2A36" w:rsidRDefault="006F416F" w:rsidP="006F416F">
          <w:pPr>
            <w:rPr>
              <w:b/>
              <w:bCs/>
              <w:sz w:val="28"/>
              <w:szCs w:val="28"/>
            </w:rPr>
          </w:pPr>
          <w:r w:rsidRPr="003C2A36">
            <w:rPr>
              <w:b/>
              <w:bCs/>
              <w:sz w:val="28"/>
              <w:szCs w:val="28"/>
            </w:rPr>
            <w:t>Primary Sources</w:t>
          </w:r>
        </w:p>
        <w:p w14:paraId="091F1E81" w14:textId="77777777" w:rsidR="006F416F" w:rsidRPr="003C2A36" w:rsidRDefault="006F416F" w:rsidP="00A20849">
          <w:pPr>
            <w:ind w:firstLine="720"/>
          </w:pPr>
          <w:r w:rsidRPr="003C2A36">
            <w:t>Herodotus of Halicarnassus</w:t>
          </w:r>
          <w:r w:rsidRPr="003C2A36">
            <w:rPr>
              <w:i/>
              <w:iCs/>
            </w:rPr>
            <w:t xml:space="preserve">, </w:t>
          </w:r>
          <w:proofErr w:type="spellStart"/>
          <w:r w:rsidRPr="003C2A36">
            <w:rPr>
              <w:i/>
              <w:iCs/>
            </w:rPr>
            <w:t>Historíai</w:t>
          </w:r>
          <w:proofErr w:type="spellEnd"/>
          <w:r w:rsidRPr="003C2A36">
            <w:t>, (450 BC) in. Livius.org, Herodotus on mumification (1995) &lt;https://www.livius.org/sources/content/herodotus/mummification/&gt; [accessed 22nd March 2026].</w:t>
          </w:r>
        </w:p>
        <w:p w14:paraId="09E1FDA1" w14:textId="77777777" w:rsidR="006F416F" w:rsidRPr="003C2A36" w:rsidRDefault="006F416F" w:rsidP="006F416F">
          <w:pPr>
            <w:rPr>
              <w:b/>
              <w:bCs/>
            </w:rPr>
          </w:pPr>
        </w:p>
        <w:p w14:paraId="3DCBB6E5" w14:textId="77777777" w:rsidR="006F416F" w:rsidRPr="003C2A36" w:rsidRDefault="006F416F" w:rsidP="006F416F">
          <w:pPr>
            <w:rPr>
              <w:b/>
              <w:bCs/>
              <w:sz w:val="28"/>
              <w:szCs w:val="28"/>
            </w:rPr>
          </w:pPr>
          <w:r w:rsidRPr="003C2A36">
            <w:rPr>
              <w:b/>
              <w:bCs/>
              <w:sz w:val="28"/>
              <w:szCs w:val="28"/>
            </w:rPr>
            <w:t>Secondary Sources</w:t>
          </w:r>
        </w:p>
        <w:p w14:paraId="54B45CDE" w14:textId="0BDCD990" w:rsidR="006F416F" w:rsidRPr="003C2A36" w:rsidRDefault="006F416F" w:rsidP="006F416F">
          <w:r w:rsidRPr="003C2A36">
            <w:tab/>
            <w:t>Abdel-</w:t>
          </w:r>
          <w:proofErr w:type="spellStart"/>
          <w:r w:rsidRPr="003C2A36">
            <w:t>Maksoud</w:t>
          </w:r>
          <w:proofErr w:type="spellEnd"/>
          <w:r w:rsidRPr="003C2A36">
            <w:t xml:space="preserve">, </w:t>
          </w:r>
          <w:r w:rsidR="007043C1" w:rsidRPr="003C2A36">
            <w:t>Gomaa</w:t>
          </w:r>
          <w:r w:rsidR="007043C1" w:rsidRPr="003C2A36">
            <w:t xml:space="preserve">; </w:t>
          </w:r>
          <w:proofErr w:type="spellStart"/>
          <w:r w:rsidRPr="003C2A36">
            <w:t>Eldin</w:t>
          </w:r>
          <w:proofErr w:type="spellEnd"/>
          <w:r w:rsidRPr="003C2A36">
            <w:t xml:space="preserve"> Abed al-Sameh Al-</w:t>
          </w:r>
          <w:proofErr w:type="spellStart"/>
          <w:r w:rsidRPr="003C2A36">
            <w:t>Shazly</w:t>
          </w:r>
          <w:proofErr w:type="spellEnd"/>
          <w:r w:rsidRPr="003C2A36">
            <w:t xml:space="preserve">, </w:t>
          </w:r>
          <w:proofErr w:type="spellStart"/>
          <w:r w:rsidR="007043C1" w:rsidRPr="003C2A36">
            <w:t>Ezz</w:t>
          </w:r>
          <w:proofErr w:type="spellEnd"/>
          <w:r w:rsidR="007043C1" w:rsidRPr="003C2A36">
            <w:t xml:space="preserve">; </w:t>
          </w:r>
          <w:r w:rsidRPr="003C2A36">
            <w:t xml:space="preserve">El-Amin, </w:t>
          </w:r>
          <w:r w:rsidR="007043C1" w:rsidRPr="003C2A36">
            <w:t>Abdel-Rahman</w:t>
          </w:r>
          <w:r w:rsidR="007043C1" w:rsidRPr="003C2A36">
            <w:t xml:space="preserve">, </w:t>
          </w:r>
          <w:r w:rsidRPr="003C2A36">
            <w:t xml:space="preserve">‘Damage caused by insects during the mummification process: an experimental study’, </w:t>
          </w:r>
          <w:proofErr w:type="spellStart"/>
          <w:r w:rsidRPr="003C2A36">
            <w:rPr>
              <w:i/>
              <w:iCs/>
            </w:rPr>
            <w:t>Archaeol</w:t>
          </w:r>
          <w:proofErr w:type="spellEnd"/>
          <w:r w:rsidRPr="003C2A36">
            <w:rPr>
              <w:i/>
              <w:iCs/>
            </w:rPr>
            <w:t xml:space="preserve"> </w:t>
          </w:r>
          <w:proofErr w:type="spellStart"/>
          <w:r w:rsidRPr="003C2A36">
            <w:rPr>
              <w:i/>
              <w:iCs/>
            </w:rPr>
            <w:t>Anthropol</w:t>
          </w:r>
          <w:proofErr w:type="spellEnd"/>
          <w:r w:rsidRPr="003C2A36">
            <w:rPr>
              <w:i/>
              <w:iCs/>
            </w:rPr>
            <w:t xml:space="preserve"> Sci</w:t>
          </w:r>
          <w:r w:rsidRPr="003C2A36">
            <w:t>, 3 (2011), 291–308</w:t>
          </w:r>
          <w:r w:rsidR="007043C1" w:rsidRPr="003C2A36">
            <w:t>.</w:t>
          </w:r>
        </w:p>
        <w:p w14:paraId="4B344BE1" w14:textId="4AEBD76D" w:rsidR="006F416F" w:rsidRPr="003C2A36" w:rsidRDefault="006F416F" w:rsidP="006F416F">
          <w:pPr>
            <w:ind w:firstLine="720"/>
          </w:pPr>
          <w:r w:rsidRPr="003C2A36">
            <w:t xml:space="preserve">Harrington, Nicola, </w:t>
          </w:r>
          <w:r w:rsidRPr="003C2A36">
            <w:rPr>
              <w:i/>
              <w:iCs/>
            </w:rPr>
            <w:t>Living with the dead: ancestor worship and mortuary ritual in ancient Egypt,</w:t>
          </w:r>
          <w:r w:rsidRPr="003C2A36">
            <w:t xml:space="preserve"> (Oxford: Oxbow books, 2012).</w:t>
          </w:r>
        </w:p>
        <w:p w14:paraId="042D7176" w14:textId="1FF118B0" w:rsidR="00A20849" w:rsidRPr="003C2A36" w:rsidRDefault="00A20849" w:rsidP="006F416F">
          <w:pPr>
            <w:ind w:firstLine="720"/>
          </w:pPr>
          <w:r w:rsidRPr="003C2A36">
            <w:t>Lucas</w:t>
          </w:r>
          <w:r w:rsidRPr="003C2A36">
            <w:t xml:space="preserve">, </w:t>
          </w:r>
          <w:r w:rsidRPr="003C2A36">
            <w:t>Alfred</w:t>
          </w:r>
          <w:r w:rsidRPr="003C2A36">
            <w:t xml:space="preserve">, </w:t>
          </w:r>
          <w:r w:rsidRPr="003C2A36">
            <w:t xml:space="preserve">(and J.R. Harris), </w:t>
          </w:r>
          <w:r w:rsidRPr="003C2A36">
            <w:rPr>
              <w:i/>
              <w:iCs/>
            </w:rPr>
            <w:t>Ancient Egyptian Materials and Industries</w:t>
          </w:r>
          <w:r w:rsidRPr="003C2A36">
            <w:t>, (London: Histories and Mysteries of Man, 1989)</w:t>
          </w:r>
        </w:p>
        <w:p w14:paraId="0C9B708F" w14:textId="290DED72" w:rsidR="00A20849" w:rsidRPr="003C2A36" w:rsidRDefault="00A20849" w:rsidP="006F416F">
          <w:pPr>
            <w:ind w:firstLine="720"/>
          </w:pPr>
          <w:r w:rsidRPr="003C2A36">
            <w:t>Taylor, John H.</w:t>
          </w:r>
          <w:r w:rsidRPr="003C2A36">
            <w:t xml:space="preserve">, </w:t>
          </w:r>
          <w:r w:rsidRPr="003C2A36">
            <w:rPr>
              <w:i/>
              <w:iCs/>
            </w:rPr>
            <w:t>Death and the afterlife in ancient Egypt</w:t>
          </w:r>
          <w:r w:rsidRPr="003C2A36">
            <w:t xml:space="preserve"> (London: University of Chicago Press, 2001)</w:t>
          </w:r>
        </w:p>
        <w:p w14:paraId="17912620" w14:textId="66DF8633" w:rsidR="0045350F" w:rsidRPr="003C2A36" w:rsidRDefault="0045350F" w:rsidP="006F416F">
          <w:pPr>
            <w:ind w:firstLine="720"/>
          </w:pPr>
          <w:r w:rsidRPr="003C2A36">
            <w:t>Wade,</w:t>
          </w:r>
          <w:r w:rsidRPr="003C2A36">
            <w:t xml:space="preserve"> </w:t>
          </w:r>
          <w:r w:rsidRPr="003C2A36">
            <w:t>Andrew D.</w:t>
          </w:r>
          <w:r w:rsidRPr="003C2A36">
            <w:t>;</w:t>
          </w:r>
          <w:r w:rsidRPr="003C2A36">
            <w:t xml:space="preserve"> G. Beckett, Ronald</w:t>
          </w:r>
          <w:r w:rsidRPr="003C2A36">
            <w:t xml:space="preserve">; </w:t>
          </w:r>
          <w:r w:rsidRPr="003C2A36">
            <w:t xml:space="preserve">J. </w:t>
          </w:r>
          <w:proofErr w:type="spellStart"/>
          <w:r w:rsidRPr="003C2A36">
            <w:t>Conlogue</w:t>
          </w:r>
          <w:proofErr w:type="spellEnd"/>
          <w:r w:rsidRPr="003C2A36">
            <w:t>, Gerald</w:t>
          </w:r>
          <w:r w:rsidRPr="003C2A36">
            <w:t xml:space="preserve">; </w:t>
          </w:r>
          <w:r w:rsidRPr="003C2A36">
            <w:t xml:space="preserve">Gonzalez, </w:t>
          </w:r>
          <w:r w:rsidR="00550ACA" w:rsidRPr="003C2A36">
            <w:t>Ramon</w:t>
          </w:r>
          <w:r w:rsidR="00550ACA" w:rsidRPr="003C2A36">
            <w:t xml:space="preserve">; </w:t>
          </w:r>
          <w:r w:rsidRPr="003C2A36">
            <w:t xml:space="preserve">Wade, </w:t>
          </w:r>
          <w:proofErr w:type="spellStart"/>
          <w:r w:rsidR="00550ACA" w:rsidRPr="003C2A36">
            <w:t>Ronn</w:t>
          </w:r>
          <w:proofErr w:type="spellEnd"/>
          <w:r w:rsidR="00550ACA" w:rsidRPr="003C2A36">
            <w:t xml:space="preserve">; </w:t>
          </w:r>
          <w:r w:rsidRPr="003C2A36">
            <w:t xml:space="preserve">&amp; Brier, </w:t>
          </w:r>
          <w:r w:rsidR="00550ACA" w:rsidRPr="003C2A36">
            <w:t>Bob</w:t>
          </w:r>
          <w:r w:rsidR="00550ACA" w:rsidRPr="003C2A36">
            <w:t xml:space="preserve">, </w:t>
          </w:r>
          <w:r w:rsidRPr="003C2A36">
            <w:t xml:space="preserve">‘MUMAB: A Conversation </w:t>
          </w:r>
          <w:proofErr w:type="gramStart"/>
          <w:r w:rsidRPr="003C2A36">
            <w:t>With</w:t>
          </w:r>
          <w:proofErr w:type="gramEnd"/>
          <w:r w:rsidRPr="003C2A36">
            <w:t xml:space="preserve"> the Past’, Hoboken, 298.6 (2015) pp. 954-973.</w:t>
          </w:r>
        </w:p>
        <w:p w14:paraId="2690C733" w14:textId="77777777" w:rsidR="006F416F" w:rsidRPr="003C2A36" w:rsidRDefault="006F416F" w:rsidP="006F416F"/>
        <w:p w14:paraId="304FC4AA" w14:textId="77777777" w:rsidR="006F416F" w:rsidRPr="003C2A36" w:rsidRDefault="006F416F" w:rsidP="006F416F">
          <w:pPr>
            <w:rPr>
              <w:b/>
              <w:bCs/>
              <w:sz w:val="28"/>
              <w:szCs w:val="28"/>
            </w:rPr>
          </w:pPr>
          <w:r w:rsidRPr="003C2A36">
            <w:rPr>
              <w:b/>
              <w:bCs/>
              <w:sz w:val="28"/>
              <w:szCs w:val="28"/>
            </w:rPr>
            <w:t>Internet Sources</w:t>
          </w:r>
        </w:p>
        <w:p w14:paraId="7C9D9075" w14:textId="3BE851FB" w:rsidR="007043C1" w:rsidRPr="003C2A36" w:rsidRDefault="007043C1" w:rsidP="007043C1">
          <w:pPr>
            <w:ind w:firstLine="720"/>
          </w:pPr>
          <w:r w:rsidRPr="003C2A36">
            <w:t>Buckley,</w:t>
          </w:r>
          <w:r w:rsidR="001141BB" w:rsidRPr="003C2A36">
            <w:t xml:space="preserve"> </w:t>
          </w:r>
          <w:r w:rsidR="001141BB" w:rsidRPr="003C2A36">
            <w:t>Stephen</w:t>
          </w:r>
          <w:r w:rsidR="001141BB" w:rsidRPr="003C2A36">
            <w:t>,</w:t>
          </w:r>
          <w:r w:rsidRPr="003C2A36">
            <w:t xml:space="preserve"> ‘Revisiting the </w:t>
          </w:r>
          <w:proofErr w:type="spellStart"/>
          <w:r w:rsidRPr="003C2A36">
            <w:t>Armarna</w:t>
          </w:r>
          <w:proofErr w:type="spellEnd"/>
          <w:r w:rsidRPr="003C2A36">
            <w:t xml:space="preserve"> royals’, </w:t>
          </w:r>
          <w:r w:rsidRPr="003C2A36">
            <w:rPr>
              <w:i/>
              <w:iCs/>
            </w:rPr>
            <w:t>ESSA</w:t>
          </w:r>
          <w:r w:rsidRPr="003C2A36">
            <w:t>, 6th April 2012, https://www.egyptiansociety.co.za/revisiting-the-amarna-royals-part-2/ [accessed: 22nd  March 2026].</w:t>
          </w:r>
        </w:p>
        <w:p w14:paraId="3DAE79DE" w14:textId="449860E8" w:rsidR="001141BB" w:rsidRPr="003C2A36" w:rsidRDefault="001141BB" w:rsidP="007043C1">
          <w:pPr>
            <w:ind w:firstLine="720"/>
          </w:pPr>
          <w:r w:rsidRPr="003C2A36">
            <w:t>‘Mummifying Alan: Egypt’s Last Secret’, (television programme), (London: More4, 30th March 2013) &lt;://learningonscreen.ac.uk/ondemand/index.php/prog/0211F9B7?bcast=95124075&gt; [Accessed: 22nd March 2026].</w:t>
          </w:r>
        </w:p>
        <w:p w14:paraId="37AFD6D1" w14:textId="42A9CC32" w:rsidR="006F416F" w:rsidRPr="003C2A36" w:rsidRDefault="006F416F" w:rsidP="001141BB">
          <w:pPr>
            <w:ind w:firstLine="720"/>
          </w:pPr>
          <w:r w:rsidRPr="003C2A36">
            <w:t xml:space="preserve">Whitland, </w:t>
          </w:r>
          <w:r w:rsidR="001141BB" w:rsidRPr="003C2A36">
            <w:t xml:space="preserve">Margaret, </w:t>
          </w:r>
          <w:r w:rsidRPr="003C2A36">
            <w:t xml:space="preserve">‘Give the ancient Egyptians the respect they deserve’, </w:t>
          </w:r>
          <w:r w:rsidRPr="003C2A36">
            <w:rPr>
              <w:i/>
              <w:iCs/>
            </w:rPr>
            <w:t>Museums Journal,</w:t>
          </w:r>
          <w:r w:rsidRPr="003C2A36">
            <w:t xml:space="preserve"> 27th July 2023, https://museumsassociation.org/museums-journal/opinion/2023/07/give-ancient-egyptians-the-respect-they-deserve/ [accessed: 16/03/2026].</w:t>
          </w:r>
        </w:p>
        <w:p w14:paraId="10BE1926" w14:textId="77777777" w:rsidR="006F416F" w:rsidRPr="006F416F" w:rsidRDefault="006F416F" w:rsidP="006F416F"/>
        <w:sdt>
          <w:sdtPr>
            <w:id w:val="111145805"/>
            <w:bibliography/>
          </w:sdtPr>
          <w:sdtEndPr/>
          <w:sdtContent>
            <w:p w14:paraId="5500F3E3" w14:textId="77777777" w:rsidR="0062523D" w:rsidRDefault="0062523D">
              <w:r w:rsidRPr="0062523D">
                <w:fldChar w:fldCharType="begin"/>
              </w:r>
              <w:r w:rsidRPr="0062523D">
                <w:instrText xml:space="preserve"> BIBLIOGRAPHY </w:instrText>
              </w:r>
              <w:r w:rsidRPr="0062523D">
                <w:fldChar w:fldCharType="separate"/>
              </w:r>
              <w:r w:rsidRPr="0062523D"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7152359" w14:textId="77777777" w:rsidR="006F416F" w:rsidRDefault="006F416F" w:rsidP="004B6A16">
      <w:pPr>
        <w:shd w:val="clear" w:color="auto" w:fill="FFFFFF"/>
        <w:spacing w:after="100" w:afterAutospacing="1"/>
        <w:rPr>
          <w:rFonts w:ascii="Segoe UI" w:eastAsia="Times New Roman" w:hAnsi="Segoe UI" w:cs="Segoe UI"/>
          <w:b/>
          <w:bCs/>
          <w:color w:val="1D2125"/>
          <w:kern w:val="0"/>
          <w:sz w:val="22"/>
          <w:szCs w:val="22"/>
          <w:lang w:eastAsia="en-GB"/>
          <w14:ligatures w14:val="none"/>
        </w:rPr>
      </w:pPr>
    </w:p>
    <w:p w14:paraId="7A016637" w14:textId="77777777" w:rsidR="006F416F" w:rsidRPr="006F416F" w:rsidRDefault="006F416F" w:rsidP="004B6A16">
      <w:pPr>
        <w:shd w:val="clear" w:color="auto" w:fill="FFFFFF"/>
        <w:spacing w:after="100" w:afterAutospacing="1"/>
        <w:rPr>
          <w:rFonts w:ascii="Segoe UI" w:eastAsia="Times New Roman" w:hAnsi="Segoe UI" w:cs="Segoe UI"/>
          <w:color w:val="1D2125"/>
          <w:kern w:val="0"/>
          <w:sz w:val="22"/>
          <w:szCs w:val="22"/>
          <w:lang w:eastAsia="en-GB"/>
          <w14:ligatures w14:val="none"/>
        </w:rPr>
      </w:pPr>
    </w:p>
    <w:p w14:paraId="291B7A63" w14:textId="77777777" w:rsidR="006F416F" w:rsidRDefault="006F416F" w:rsidP="004B6A16">
      <w:pPr>
        <w:shd w:val="clear" w:color="auto" w:fill="FFFFFF"/>
        <w:spacing w:after="100" w:afterAutospacing="1"/>
        <w:rPr>
          <w:rFonts w:ascii="Segoe UI" w:eastAsia="Times New Roman" w:hAnsi="Segoe UI" w:cs="Segoe UI"/>
          <w:color w:val="1D2125"/>
          <w:kern w:val="0"/>
          <w:sz w:val="22"/>
          <w:szCs w:val="22"/>
          <w:lang w:eastAsia="en-GB"/>
          <w14:ligatures w14:val="none"/>
        </w:rPr>
      </w:pPr>
    </w:p>
    <w:p w14:paraId="2E0DB135" w14:textId="77777777" w:rsidR="00F07F4D" w:rsidRPr="00061190" w:rsidRDefault="00F07F4D" w:rsidP="000D1CB9">
      <w:pPr>
        <w:shd w:val="clear" w:color="auto" w:fill="FFFFFF"/>
        <w:spacing w:after="100" w:afterAutospacing="1"/>
        <w:rPr>
          <w:rFonts w:ascii="Segoe UI" w:eastAsia="Times New Roman" w:hAnsi="Segoe UI" w:cs="Segoe UI"/>
          <w:color w:val="1D2125"/>
          <w:kern w:val="0"/>
          <w:sz w:val="22"/>
          <w:szCs w:val="22"/>
          <w:lang w:eastAsia="en-GB"/>
          <w14:ligatures w14:val="none"/>
        </w:rPr>
      </w:pPr>
    </w:p>
    <w:sectPr w:rsidR="00F07F4D" w:rsidRPr="00061190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A4C610" w14:textId="77777777" w:rsidR="00D612E3" w:rsidRDefault="00D612E3" w:rsidP="007D2BCD">
      <w:r>
        <w:separator/>
      </w:r>
    </w:p>
  </w:endnote>
  <w:endnote w:type="continuationSeparator" w:id="0">
    <w:p w14:paraId="2DD874E4" w14:textId="77777777" w:rsidR="00D612E3" w:rsidRDefault="00D612E3" w:rsidP="007D2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3FA56F" w14:textId="71468ACB" w:rsidR="00EB2C64" w:rsidRDefault="0016579A">
    <w:pPr>
      <w:pStyle w:val="Footer"/>
    </w:pPr>
    <w:r>
      <w:t>Caradoc Ewing (2305893)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0BFD89" w14:textId="77777777" w:rsidR="00D612E3" w:rsidRDefault="00D612E3" w:rsidP="007D2BCD">
      <w:r>
        <w:separator/>
      </w:r>
    </w:p>
  </w:footnote>
  <w:footnote w:type="continuationSeparator" w:id="0">
    <w:p w14:paraId="4D816F80" w14:textId="77777777" w:rsidR="00D612E3" w:rsidRDefault="00D612E3" w:rsidP="007D2BCD">
      <w:r>
        <w:continuationSeparator/>
      </w:r>
    </w:p>
  </w:footnote>
  <w:footnote w:id="1">
    <w:p w14:paraId="49C61C01" w14:textId="07BC0DAD" w:rsidR="007D2BCD" w:rsidRPr="002F18A0" w:rsidRDefault="007D2BCD">
      <w:pPr>
        <w:pStyle w:val="FootnoteText"/>
        <w:rPr>
          <w:i/>
          <w:iCs/>
        </w:rPr>
      </w:pPr>
      <w:r>
        <w:rPr>
          <w:rStyle w:val="FootnoteReference"/>
        </w:rPr>
        <w:footnoteRef/>
      </w:r>
      <w:r>
        <w:t xml:space="preserve"> </w:t>
      </w:r>
      <w:r w:rsidR="00F9635D">
        <w:t xml:space="preserve">Nicola </w:t>
      </w:r>
      <w:r w:rsidR="00692169">
        <w:t xml:space="preserve">Harrington, </w:t>
      </w:r>
      <w:r w:rsidR="00C24234" w:rsidRPr="002F18A0">
        <w:rPr>
          <w:i/>
          <w:iCs/>
        </w:rPr>
        <w:t xml:space="preserve">Living </w:t>
      </w:r>
      <w:r w:rsidR="00C24234" w:rsidRPr="002F18A0">
        <w:rPr>
          <w:i/>
          <w:iCs/>
        </w:rPr>
        <w:t>w</w:t>
      </w:r>
      <w:r w:rsidR="00C24234" w:rsidRPr="002F18A0">
        <w:rPr>
          <w:i/>
          <w:iCs/>
        </w:rPr>
        <w:t xml:space="preserve">ith the </w:t>
      </w:r>
      <w:r w:rsidR="00C24234" w:rsidRPr="002F18A0">
        <w:rPr>
          <w:i/>
          <w:iCs/>
        </w:rPr>
        <w:t>d</w:t>
      </w:r>
      <w:r w:rsidR="00C24234" w:rsidRPr="002F18A0">
        <w:rPr>
          <w:i/>
          <w:iCs/>
        </w:rPr>
        <w:t>ead</w:t>
      </w:r>
      <w:r w:rsidR="00C24234" w:rsidRPr="002F18A0">
        <w:rPr>
          <w:i/>
          <w:iCs/>
        </w:rPr>
        <w:t>: a</w:t>
      </w:r>
      <w:r w:rsidR="00C24234" w:rsidRPr="002F18A0">
        <w:rPr>
          <w:i/>
          <w:iCs/>
        </w:rPr>
        <w:t xml:space="preserve">ncestor </w:t>
      </w:r>
      <w:r w:rsidR="00C24234" w:rsidRPr="002F18A0">
        <w:rPr>
          <w:i/>
          <w:iCs/>
        </w:rPr>
        <w:t>w</w:t>
      </w:r>
      <w:r w:rsidR="00C24234" w:rsidRPr="002F18A0">
        <w:rPr>
          <w:i/>
          <w:iCs/>
        </w:rPr>
        <w:t xml:space="preserve">orship and </w:t>
      </w:r>
      <w:r w:rsidR="00C24234" w:rsidRPr="002F18A0">
        <w:rPr>
          <w:i/>
          <w:iCs/>
        </w:rPr>
        <w:t>m</w:t>
      </w:r>
      <w:r w:rsidR="00C24234" w:rsidRPr="002F18A0">
        <w:rPr>
          <w:i/>
          <w:iCs/>
        </w:rPr>
        <w:t xml:space="preserve">ortuary ritual in </w:t>
      </w:r>
      <w:r w:rsidR="00C24234" w:rsidRPr="002F18A0">
        <w:rPr>
          <w:i/>
          <w:iCs/>
        </w:rPr>
        <w:t>a</w:t>
      </w:r>
      <w:r w:rsidR="00C24234" w:rsidRPr="002F18A0">
        <w:rPr>
          <w:i/>
          <w:iCs/>
        </w:rPr>
        <w:t xml:space="preserve">ncient </w:t>
      </w:r>
      <w:r w:rsidR="00C24234" w:rsidRPr="002F18A0">
        <w:rPr>
          <w:i/>
          <w:iCs/>
        </w:rPr>
        <w:t>E</w:t>
      </w:r>
      <w:r w:rsidR="00C24234" w:rsidRPr="002F18A0">
        <w:rPr>
          <w:i/>
          <w:iCs/>
        </w:rPr>
        <w:t>gypt</w:t>
      </w:r>
      <w:r w:rsidR="00C24234" w:rsidRPr="002F18A0">
        <w:t xml:space="preserve">, </w:t>
      </w:r>
      <w:r w:rsidR="00413D97">
        <w:t>(Oxford: Oxbow books, 2012)</w:t>
      </w:r>
      <w:r w:rsidR="00061190">
        <w:t xml:space="preserve"> p.1. </w:t>
      </w:r>
    </w:p>
  </w:footnote>
  <w:footnote w:id="2">
    <w:p w14:paraId="15376123" w14:textId="36A94DFF" w:rsidR="00331DA9" w:rsidRPr="006C5CFF" w:rsidRDefault="00331DA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259AB" w:rsidRPr="006259AB">
        <w:t xml:space="preserve">Margaret </w:t>
      </w:r>
      <w:r w:rsidR="006259AB">
        <w:t>W</w:t>
      </w:r>
      <w:r w:rsidR="006259AB" w:rsidRPr="006259AB">
        <w:t xml:space="preserve">hitland, </w:t>
      </w:r>
      <w:r w:rsidR="006259AB">
        <w:t>‘G</w:t>
      </w:r>
      <w:r w:rsidR="006259AB" w:rsidRPr="006259AB">
        <w:t>ive the ancient Egyptians the respect they deserve</w:t>
      </w:r>
      <w:r w:rsidR="008B148F">
        <w:t xml:space="preserve">’, </w:t>
      </w:r>
      <w:r w:rsidR="008B148F">
        <w:rPr>
          <w:i/>
          <w:iCs/>
        </w:rPr>
        <w:t>Museums Journal</w:t>
      </w:r>
      <w:r w:rsidR="005E1FE6">
        <w:t>, 27</w:t>
      </w:r>
      <w:r w:rsidR="005E1FE6" w:rsidRPr="005E1FE6">
        <w:rPr>
          <w:vertAlign w:val="superscript"/>
        </w:rPr>
        <w:t>th</w:t>
      </w:r>
      <w:r w:rsidR="005E1FE6">
        <w:t xml:space="preserve"> July </w:t>
      </w:r>
      <w:r w:rsidR="006C5CFF">
        <w:t>2023</w:t>
      </w:r>
      <w:r w:rsidR="005E1FE6">
        <w:t xml:space="preserve">, </w:t>
      </w:r>
      <w:hyperlink r:id="rId1" w:history="1">
        <w:r w:rsidR="005E1FE6" w:rsidRPr="00082A46">
          <w:rPr>
            <w:rStyle w:val="Hyperlink"/>
          </w:rPr>
          <w:t>https://museumsassociation.org/museums-journal/opinion/2023/07/give-ancient-egyptians-the-respect-they-deserve/</w:t>
        </w:r>
      </w:hyperlink>
      <w:r w:rsidR="005E1FE6">
        <w:t xml:space="preserve"> [accessed: 16</w:t>
      </w:r>
      <w:r w:rsidR="00CF2104">
        <w:t>/03/2026].</w:t>
      </w:r>
    </w:p>
  </w:footnote>
  <w:footnote w:id="3">
    <w:p w14:paraId="2FB68ABE" w14:textId="3A15CFE0" w:rsidR="0041590B" w:rsidRDefault="0041590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D2D1E" w:rsidRPr="008D2D1E">
        <w:t>Gomaa Abdel-</w:t>
      </w:r>
      <w:proofErr w:type="spellStart"/>
      <w:r w:rsidR="008D2D1E" w:rsidRPr="008D2D1E">
        <w:t>Maksoud</w:t>
      </w:r>
      <w:proofErr w:type="spellEnd"/>
      <w:r w:rsidR="008D2D1E">
        <w:t xml:space="preserve">, </w:t>
      </w:r>
      <w:proofErr w:type="spellStart"/>
      <w:r w:rsidR="008D2D1E" w:rsidRPr="008D2D1E">
        <w:t>Ezz</w:t>
      </w:r>
      <w:proofErr w:type="spellEnd"/>
      <w:r w:rsidR="008D2D1E" w:rsidRPr="008D2D1E">
        <w:t xml:space="preserve"> </w:t>
      </w:r>
      <w:proofErr w:type="spellStart"/>
      <w:r w:rsidR="008D2D1E" w:rsidRPr="008D2D1E">
        <w:t>Eldin</w:t>
      </w:r>
      <w:proofErr w:type="spellEnd"/>
      <w:r w:rsidR="008D2D1E" w:rsidRPr="008D2D1E">
        <w:t xml:space="preserve"> Abed al-Sameh Al-</w:t>
      </w:r>
      <w:proofErr w:type="spellStart"/>
      <w:r w:rsidR="008D2D1E" w:rsidRPr="008D2D1E">
        <w:t>Shazly</w:t>
      </w:r>
      <w:proofErr w:type="spellEnd"/>
      <w:r w:rsidR="008D2D1E">
        <w:t xml:space="preserve">, </w:t>
      </w:r>
      <w:r w:rsidR="008D2D1E" w:rsidRPr="008D2D1E">
        <w:t>Abdel-Rahman El-Amin</w:t>
      </w:r>
      <w:r w:rsidR="008D2D1E">
        <w:t>, ‘</w:t>
      </w:r>
      <w:r w:rsidR="00E85382" w:rsidRPr="00E85382">
        <w:t>Damage caused by insects during the mummification process: an experimental study</w:t>
      </w:r>
      <w:r w:rsidR="008D2D1E">
        <w:t>’,</w:t>
      </w:r>
      <w:r w:rsidR="00E85382" w:rsidRPr="008D2D1E">
        <w:rPr>
          <w:i/>
          <w:iCs/>
        </w:rPr>
        <w:t xml:space="preserve"> </w:t>
      </w:r>
      <w:proofErr w:type="spellStart"/>
      <w:r w:rsidR="00E85382" w:rsidRPr="008D2D1E">
        <w:rPr>
          <w:i/>
          <w:iCs/>
        </w:rPr>
        <w:t>Archaeol</w:t>
      </w:r>
      <w:proofErr w:type="spellEnd"/>
      <w:r w:rsidR="00E85382" w:rsidRPr="008D2D1E">
        <w:rPr>
          <w:i/>
          <w:iCs/>
        </w:rPr>
        <w:t xml:space="preserve"> </w:t>
      </w:r>
      <w:proofErr w:type="spellStart"/>
      <w:r w:rsidR="00E85382" w:rsidRPr="008D2D1E">
        <w:rPr>
          <w:i/>
          <w:iCs/>
        </w:rPr>
        <w:t>Anthropol</w:t>
      </w:r>
      <w:proofErr w:type="spellEnd"/>
      <w:r w:rsidR="00E85382" w:rsidRPr="008D2D1E">
        <w:rPr>
          <w:i/>
          <w:iCs/>
        </w:rPr>
        <w:t xml:space="preserve"> Sci</w:t>
      </w:r>
      <w:r w:rsidR="008D2D1E">
        <w:t>,</w:t>
      </w:r>
      <w:r w:rsidR="00E85382" w:rsidRPr="00E85382">
        <w:t xml:space="preserve"> 3</w:t>
      </w:r>
      <w:r w:rsidR="005C0985">
        <w:t xml:space="preserve"> (2011),</w:t>
      </w:r>
      <w:r w:rsidR="00E85382" w:rsidRPr="00E85382">
        <w:t xml:space="preserve"> 291–308</w:t>
      </w:r>
      <w:r w:rsidR="005C0985">
        <w:t xml:space="preserve"> </w:t>
      </w:r>
      <w:r w:rsidR="00E85382" w:rsidRPr="00E85382">
        <w:t>(</w:t>
      </w:r>
      <w:r w:rsidR="005C0985">
        <w:t>p. 292</w:t>
      </w:r>
      <w:r w:rsidR="009918FF">
        <w:t>).</w:t>
      </w:r>
    </w:p>
  </w:footnote>
  <w:footnote w:id="4">
    <w:p w14:paraId="05C225D8" w14:textId="31B0C0F5" w:rsidR="00F42263" w:rsidRPr="00A84001" w:rsidRDefault="00F4226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06959">
        <w:t>Stephen Buckley, ‘Revisiting</w:t>
      </w:r>
      <w:r w:rsidR="00006959" w:rsidRPr="00006959">
        <w:t xml:space="preserve"> the </w:t>
      </w:r>
      <w:proofErr w:type="spellStart"/>
      <w:r w:rsidR="00006959">
        <w:t>A</w:t>
      </w:r>
      <w:r w:rsidR="00006959" w:rsidRPr="00006959">
        <w:t>rmarna</w:t>
      </w:r>
      <w:proofErr w:type="spellEnd"/>
      <w:r w:rsidR="00006959" w:rsidRPr="00006959">
        <w:t xml:space="preserve"> royals</w:t>
      </w:r>
      <w:r w:rsidR="00006959">
        <w:t xml:space="preserve">’, </w:t>
      </w:r>
      <w:r w:rsidR="00A84001">
        <w:rPr>
          <w:i/>
          <w:iCs/>
        </w:rPr>
        <w:t>ESSA</w:t>
      </w:r>
      <w:r w:rsidR="00A84001">
        <w:t xml:space="preserve">, </w:t>
      </w:r>
      <w:r w:rsidR="0019027C">
        <w:t>6</w:t>
      </w:r>
      <w:r w:rsidR="0019027C" w:rsidRPr="0019027C">
        <w:rPr>
          <w:vertAlign w:val="superscript"/>
        </w:rPr>
        <w:t>th</w:t>
      </w:r>
      <w:r w:rsidR="0019027C">
        <w:t xml:space="preserve"> April 2012, </w:t>
      </w:r>
      <w:hyperlink r:id="rId2" w:history="1">
        <w:r w:rsidR="00D56937" w:rsidRPr="00082A46">
          <w:rPr>
            <w:rStyle w:val="Hyperlink"/>
          </w:rPr>
          <w:t>https://www.egyptiansociety.co.za/revisiting-the-amarna-royals-part-2/</w:t>
        </w:r>
      </w:hyperlink>
      <w:r w:rsidR="00D56937">
        <w:t xml:space="preserve"> [accessed: 22</w:t>
      </w:r>
      <w:r w:rsidR="00D56937" w:rsidRPr="00D56937">
        <w:rPr>
          <w:vertAlign w:val="superscript"/>
        </w:rPr>
        <w:t>nd</w:t>
      </w:r>
      <w:r w:rsidR="00D56937">
        <w:t xml:space="preserve">  March 2026].</w:t>
      </w:r>
    </w:p>
  </w:footnote>
  <w:footnote w:id="5">
    <w:p w14:paraId="27044239" w14:textId="06B01394" w:rsidR="00F42263" w:rsidRDefault="00F42263">
      <w:pPr>
        <w:pStyle w:val="FootnoteText"/>
      </w:pPr>
      <w:r>
        <w:rPr>
          <w:rStyle w:val="FootnoteReference"/>
        </w:rPr>
        <w:footnoteRef/>
      </w:r>
      <w:r>
        <w:t xml:space="preserve"> Ibid.</w:t>
      </w:r>
    </w:p>
  </w:footnote>
  <w:footnote w:id="6">
    <w:p w14:paraId="3C6A7C13" w14:textId="7192A5A8" w:rsidR="00DC28EE" w:rsidRPr="00513180" w:rsidRDefault="00DC28EE">
      <w:pPr>
        <w:pStyle w:val="FootnoteText"/>
      </w:pPr>
      <w:r>
        <w:rPr>
          <w:rStyle w:val="FootnoteReference"/>
        </w:rPr>
        <w:footnoteRef/>
      </w:r>
      <w:r w:rsidR="00513180">
        <w:t xml:space="preserve"> ‘</w:t>
      </w:r>
      <w:r w:rsidR="00513180" w:rsidRPr="00513180">
        <w:t>Mummifying Alan: Egypt’s Last Secret</w:t>
      </w:r>
      <w:r w:rsidR="00513180">
        <w:t>’</w:t>
      </w:r>
      <w:r w:rsidR="00513180" w:rsidRPr="00513180">
        <w:t xml:space="preserve">, </w:t>
      </w:r>
      <w:r w:rsidR="00513180">
        <w:t>(television programme</w:t>
      </w:r>
      <w:r w:rsidR="00FB47F8">
        <w:t>), (</w:t>
      </w:r>
      <w:r w:rsidR="00016DAA">
        <w:t xml:space="preserve">London: More4, </w:t>
      </w:r>
      <w:r w:rsidR="00513180" w:rsidRPr="00513180">
        <w:t>30</w:t>
      </w:r>
      <w:r w:rsidR="00016DAA" w:rsidRPr="00016DAA">
        <w:rPr>
          <w:vertAlign w:val="superscript"/>
        </w:rPr>
        <w:t>th</w:t>
      </w:r>
      <w:r w:rsidR="00016DAA">
        <w:t xml:space="preserve"> March </w:t>
      </w:r>
      <w:r w:rsidR="00513180" w:rsidRPr="00513180">
        <w:t>2013</w:t>
      </w:r>
      <w:r w:rsidR="00DB65F5">
        <w:t>) &lt;</w:t>
      </w:r>
      <w:r w:rsidR="00513180" w:rsidRPr="00513180">
        <w:t>://learningonscreen.ac.uk/ondemand/index.php/prog/0211F9B7?bcast=95124075</w:t>
      </w:r>
      <w:r w:rsidR="00DB65F5">
        <w:t>&gt;</w:t>
      </w:r>
      <w:r w:rsidR="00513180" w:rsidRPr="00513180">
        <w:t xml:space="preserve"> </w:t>
      </w:r>
      <w:r w:rsidR="00DB65F5">
        <w:t>[</w:t>
      </w:r>
      <w:r w:rsidR="00513180" w:rsidRPr="00513180">
        <w:t>Accessed</w:t>
      </w:r>
      <w:r w:rsidR="00DB65F5">
        <w:t>:</w:t>
      </w:r>
      <w:r w:rsidR="00513180" w:rsidRPr="00513180">
        <w:t xml:space="preserve"> 22</w:t>
      </w:r>
      <w:r w:rsidR="00DB65F5" w:rsidRPr="00DB65F5">
        <w:rPr>
          <w:vertAlign w:val="superscript"/>
        </w:rPr>
        <w:t>nd</w:t>
      </w:r>
      <w:r w:rsidR="00513180" w:rsidRPr="00513180">
        <w:t xml:space="preserve"> Mar</w:t>
      </w:r>
      <w:r w:rsidR="00DB65F5">
        <w:t>ch</w:t>
      </w:r>
      <w:r w:rsidR="00513180" w:rsidRPr="00513180">
        <w:t xml:space="preserve"> 2026</w:t>
      </w:r>
      <w:r w:rsidR="00DB65F5">
        <w:t>]</w:t>
      </w:r>
      <w:r w:rsidR="00B80CD1">
        <w:t>.</w:t>
      </w:r>
    </w:p>
  </w:footnote>
  <w:footnote w:id="7">
    <w:p w14:paraId="4FA02E1C" w14:textId="64D2E675" w:rsidR="00A65DD1" w:rsidRPr="009B4DFD" w:rsidRDefault="00A65DD1">
      <w:pPr>
        <w:pStyle w:val="FootnoteText"/>
      </w:pPr>
      <w:r>
        <w:rPr>
          <w:rStyle w:val="FootnoteReference"/>
        </w:rPr>
        <w:footnoteRef/>
      </w:r>
      <w:r>
        <w:t xml:space="preserve"> Herodotus of Halicarnassus</w:t>
      </w:r>
      <w:r w:rsidR="00AD30E3">
        <w:t xml:space="preserve">, </w:t>
      </w:r>
      <w:proofErr w:type="spellStart"/>
      <w:r w:rsidR="00AD30E3" w:rsidRPr="00AD30E3">
        <w:rPr>
          <w:i/>
          <w:iCs/>
        </w:rPr>
        <w:t>Historíai</w:t>
      </w:r>
      <w:proofErr w:type="spellEnd"/>
      <w:r w:rsidR="00AD30E3">
        <w:t xml:space="preserve">, </w:t>
      </w:r>
      <w:r w:rsidR="00DE469D">
        <w:t xml:space="preserve">(450 BC) in. </w:t>
      </w:r>
      <w:r w:rsidR="009B4DFD">
        <w:t xml:space="preserve">Livius.org, </w:t>
      </w:r>
      <w:r w:rsidR="009B4DFD" w:rsidRPr="0040016E">
        <w:rPr>
          <w:i/>
          <w:iCs/>
        </w:rPr>
        <w:t>Herodotus on mumificati</w:t>
      </w:r>
      <w:r w:rsidR="0040016E">
        <w:rPr>
          <w:i/>
          <w:iCs/>
        </w:rPr>
        <w:t>on</w:t>
      </w:r>
      <w:r w:rsidR="0040016E">
        <w:t xml:space="preserve"> (1995) </w:t>
      </w:r>
      <w:r w:rsidR="004E5D5D">
        <w:t>&lt;</w:t>
      </w:r>
      <w:hyperlink r:id="rId3" w:history="1">
        <w:r w:rsidR="004E5D5D" w:rsidRPr="00082A46">
          <w:rPr>
            <w:rStyle w:val="Hyperlink"/>
          </w:rPr>
          <w:t>https://www.livius.org/s</w:t>
        </w:r>
        <w:r w:rsidR="004E5D5D" w:rsidRPr="00082A46">
          <w:rPr>
            <w:rStyle w:val="Hyperlink"/>
          </w:rPr>
          <w:t>o</w:t>
        </w:r>
        <w:r w:rsidR="004E5D5D" w:rsidRPr="00082A46">
          <w:rPr>
            <w:rStyle w:val="Hyperlink"/>
          </w:rPr>
          <w:t>urces/content/herodotus/mummification/</w:t>
        </w:r>
      </w:hyperlink>
      <w:r w:rsidR="0040016E">
        <w:t xml:space="preserve">&gt; </w:t>
      </w:r>
      <w:r w:rsidR="004E5D5D">
        <w:t>[accessed 22</w:t>
      </w:r>
      <w:r w:rsidR="004E5D5D" w:rsidRPr="004E5D5D">
        <w:rPr>
          <w:vertAlign w:val="superscript"/>
        </w:rPr>
        <w:t>nd</w:t>
      </w:r>
      <w:r w:rsidR="004E5D5D">
        <w:t xml:space="preserve"> March 2026</w:t>
      </w:r>
      <w:r w:rsidR="001B48C3">
        <w:t>].</w:t>
      </w:r>
    </w:p>
  </w:footnote>
  <w:footnote w:id="8">
    <w:p w14:paraId="66F204F1" w14:textId="612C531C" w:rsidR="00305898" w:rsidRDefault="0030589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06E58">
        <w:t xml:space="preserve">‘Mummifying Alan’, </w:t>
      </w:r>
      <w:r w:rsidR="00F6013E">
        <w:t xml:space="preserve">2013, </w:t>
      </w:r>
      <w:r w:rsidR="00111807">
        <w:t>39:41.</w:t>
      </w:r>
    </w:p>
  </w:footnote>
  <w:footnote w:id="9">
    <w:p w14:paraId="7A0525BB" w14:textId="37BD144D" w:rsidR="00214965" w:rsidRPr="00C93535" w:rsidRDefault="0021496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93535">
        <w:t xml:space="preserve">John H. Taylor, </w:t>
      </w:r>
      <w:r w:rsidR="00C93535">
        <w:rPr>
          <w:i/>
          <w:iCs/>
        </w:rPr>
        <w:t>Death and the afterlife in ancient Egypt</w:t>
      </w:r>
      <w:r w:rsidR="00C93535">
        <w:t xml:space="preserve"> (</w:t>
      </w:r>
      <w:r w:rsidR="00B77B42">
        <w:t>London: University of Chicago Press, 2001) p.</w:t>
      </w:r>
      <w:r w:rsidR="00C45A36">
        <w:t xml:space="preserve"> 83.</w:t>
      </w:r>
    </w:p>
  </w:footnote>
  <w:footnote w:id="10">
    <w:p w14:paraId="341D0BF6" w14:textId="0CA516A9" w:rsidR="00214965" w:rsidRDefault="0021496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45A36">
        <w:t>Ibid., p.</w:t>
      </w:r>
      <w:r w:rsidR="009F5E31">
        <w:t>84-85.</w:t>
      </w:r>
    </w:p>
  </w:footnote>
  <w:footnote w:id="11">
    <w:p w14:paraId="38B9896C" w14:textId="355A70F6" w:rsidR="00E85FD0" w:rsidRDefault="00E85FD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F5E31" w:rsidRPr="009F5E31">
        <w:t xml:space="preserve">‘Mummifying Alan’, 2013, </w:t>
      </w:r>
      <w:r w:rsidR="00033E72">
        <w:t>12:15-1</w:t>
      </w:r>
      <w:r w:rsidR="009E44EC">
        <w:t>4:07.</w:t>
      </w:r>
    </w:p>
  </w:footnote>
  <w:footnote w:id="12">
    <w:p w14:paraId="6A2073A7" w14:textId="155F352C" w:rsidR="00B51FAF" w:rsidRDefault="00B51FA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D5578" w:rsidRPr="002D5578">
        <w:t>A</w:t>
      </w:r>
      <w:r w:rsidR="002D5578">
        <w:t>lfred</w:t>
      </w:r>
      <w:r w:rsidR="002D5578" w:rsidRPr="002D5578">
        <w:t xml:space="preserve"> Lucas (and J.R. Harris), </w:t>
      </w:r>
      <w:r w:rsidR="002D5578" w:rsidRPr="002D5578">
        <w:rPr>
          <w:i/>
          <w:iCs/>
        </w:rPr>
        <w:t>Ancient Egyptian Materials and Industries</w:t>
      </w:r>
      <w:r w:rsidR="002D5578" w:rsidRPr="002D5578">
        <w:t xml:space="preserve">, </w:t>
      </w:r>
      <w:r w:rsidR="002D5578">
        <w:t>(</w:t>
      </w:r>
      <w:r w:rsidR="002D5578" w:rsidRPr="002D5578">
        <w:t>London</w:t>
      </w:r>
      <w:r w:rsidR="002D5578">
        <w:t>:</w:t>
      </w:r>
      <w:r w:rsidR="002D5578" w:rsidRPr="002D5578">
        <w:t xml:space="preserve"> Histories and Mysteries of</w:t>
      </w:r>
      <w:r w:rsidR="009F5E31">
        <w:t xml:space="preserve"> </w:t>
      </w:r>
      <w:r w:rsidR="002D5578" w:rsidRPr="002D5578">
        <w:t>Man</w:t>
      </w:r>
      <w:r w:rsidR="002D5578">
        <w:t>, 1989</w:t>
      </w:r>
      <w:r w:rsidR="002D5578" w:rsidRPr="002D5578">
        <w:t>)</w:t>
      </w:r>
      <w:r w:rsidR="002D5578">
        <w:t xml:space="preserve"> p. 271.</w:t>
      </w:r>
    </w:p>
  </w:footnote>
  <w:footnote w:id="13">
    <w:p w14:paraId="4AD36A6F" w14:textId="33E2B625" w:rsidR="00CB4CC1" w:rsidRDefault="00CB4CC1">
      <w:pPr>
        <w:pStyle w:val="FootnoteText"/>
      </w:pPr>
      <w:r>
        <w:rPr>
          <w:rStyle w:val="FootnoteReference"/>
        </w:rPr>
        <w:footnoteRef/>
      </w:r>
      <w:r>
        <w:t xml:space="preserve"> Ibid., p.</w:t>
      </w:r>
      <w:r w:rsidR="0097622E">
        <w:t xml:space="preserve"> 281-284.</w:t>
      </w:r>
    </w:p>
  </w:footnote>
  <w:footnote w:id="14">
    <w:p w14:paraId="7F7D69BF" w14:textId="29C59251" w:rsidR="003C6217" w:rsidRPr="00F65050" w:rsidRDefault="003C621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37185">
        <w:t>Andrew D. Wade, Ronald G. Becket</w:t>
      </w:r>
      <w:r w:rsidR="00DC26FF">
        <w:t xml:space="preserve">t, Gerald J. </w:t>
      </w:r>
      <w:proofErr w:type="spellStart"/>
      <w:r w:rsidR="00DC26FF">
        <w:t>Conlogue</w:t>
      </w:r>
      <w:proofErr w:type="spellEnd"/>
      <w:r w:rsidR="00DC26FF">
        <w:t xml:space="preserve">, Ramon Gonzalez, </w:t>
      </w:r>
      <w:proofErr w:type="spellStart"/>
      <w:r w:rsidR="00DC26FF">
        <w:t>Ronn</w:t>
      </w:r>
      <w:proofErr w:type="spellEnd"/>
      <w:r w:rsidR="00DC26FF">
        <w:t xml:space="preserve"> Wade, &amp; Bob Brier, </w:t>
      </w:r>
      <w:r w:rsidR="00AB354B">
        <w:t>‘</w:t>
      </w:r>
      <w:r w:rsidR="00AB354B" w:rsidRPr="00AB354B">
        <w:t xml:space="preserve">MUMAB: A Conversation </w:t>
      </w:r>
      <w:proofErr w:type="gramStart"/>
      <w:r w:rsidR="00AB354B" w:rsidRPr="00AB354B">
        <w:t>With</w:t>
      </w:r>
      <w:proofErr w:type="gramEnd"/>
      <w:r w:rsidR="00AB354B" w:rsidRPr="00AB354B">
        <w:t xml:space="preserve"> the Past</w:t>
      </w:r>
      <w:r w:rsidR="00AB354B">
        <w:t xml:space="preserve">’, </w:t>
      </w:r>
      <w:r w:rsidR="00F65050" w:rsidRPr="00F65050">
        <w:rPr>
          <w:i/>
          <w:iCs/>
        </w:rPr>
        <w:t>Hoboken</w:t>
      </w:r>
      <w:r w:rsidR="00F65050">
        <w:t>, 2</w:t>
      </w:r>
      <w:r w:rsidR="00060010">
        <w:t>98.6 (2015) pp. 954-973.</w:t>
      </w:r>
    </w:p>
  </w:footnote>
  <w:footnote w:id="15">
    <w:p w14:paraId="64081BE5" w14:textId="5A9D9E05" w:rsidR="001E3B8D" w:rsidRDefault="001E3B8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1E3B8D">
        <w:t xml:space="preserve">‘Mummifying Alan’, 2013, </w:t>
      </w:r>
      <w:r>
        <w:t>48:40-48:46.</w:t>
      </w:r>
    </w:p>
  </w:footnote>
  <w:footnote w:id="16">
    <w:p w14:paraId="096F08B1" w14:textId="1CF9895D" w:rsidR="00234CC8" w:rsidRDefault="00234CC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34CC8">
        <w:t>‘Mummifying Alan’, 2013</w:t>
      </w:r>
      <w:r>
        <w:t>.</w:t>
      </w:r>
    </w:p>
  </w:footnote>
  <w:footnote w:id="17">
    <w:p w14:paraId="4DABBB3B" w14:textId="5804D6EE" w:rsidR="0049345A" w:rsidRPr="00802574" w:rsidRDefault="0049345A">
      <w:pPr>
        <w:pStyle w:val="FootnoteText"/>
      </w:pPr>
      <w:r>
        <w:rPr>
          <w:rStyle w:val="FootnoteReference"/>
        </w:rPr>
        <w:footnoteRef/>
      </w:r>
      <w:r>
        <w:t xml:space="preserve"> Taylor</w:t>
      </w:r>
      <w:r w:rsidR="00802574">
        <w:t xml:space="preserve">, </w:t>
      </w:r>
      <w:r w:rsidR="00802574">
        <w:rPr>
          <w:i/>
          <w:iCs/>
        </w:rPr>
        <w:t>Death and the afterlife in ancient Egypt</w:t>
      </w:r>
      <w:r w:rsidR="00802574">
        <w:t>, p.84-85.</w:t>
      </w:r>
    </w:p>
  </w:footnote>
  <w:footnote w:id="18">
    <w:p w14:paraId="485F061D" w14:textId="55B363BB" w:rsidR="00680389" w:rsidRDefault="0068038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75B6F" w:rsidRPr="00D75B6F">
        <w:t>‘Mummifying Alan’, 2013,</w:t>
      </w:r>
      <w:r w:rsidR="00D75B6F">
        <w:t xml:space="preserve"> 1:00:</w:t>
      </w:r>
      <w:r w:rsidR="00010296">
        <w:t>12-1:00:43.</w:t>
      </w:r>
    </w:p>
  </w:footnote>
  <w:footnote w:id="19">
    <w:p w14:paraId="5E6CBE0B" w14:textId="1765E607" w:rsidR="006D395F" w:rsidRDefault="006D395F">
      <w:pPr>
        <w:pStyle w:val="FootnoteText"/>
      </w:pPr>
      <w:r>
        <w:rPr>
          <w:rStyle w:val="FootnoteReference"/>
        </w:rPr>
        <w:footnoteRef/>
      </w:r>
      <w:r>
        <w:t xml:space="preserve"> Ibid., </w:t>
      </w:r>
      <w:r w:rsidR="006565AF">
        <w:t>1</w:t>
      </w:r>
      <w:r w:rsidR="00A7727B">
        <w:t>:23:10-1:26:35.</w:t>
      </w:r>
    </w:p>
  </w:footnote>
  <w:footnote w:id="20">
    <w:p w14:paraId="5713F198" w14:textId="757391BD" w:rsidR="00F07F4D" w:rsidRDefault="00F07F4D">
      <w:pPr>
        <w:pStyle w:val="FootnoteText"/>
      </w:pPr>
      <w:r>
        <w:rPr>
          <w:rStyle w:val="FootnoteReference"/>
        </w:rPr>
        <w:footnoteRef/>
      </w:r>
      <w:r>
        <w:t xml:space="preserve"> Whitland, 202</w:t>
      </w:r>
      <w:r w:rsidR="0072353E">
        <w:t>3.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A8FB73" w14:textId="6DB48CB4" w:rsidR="00EB2C64" w:rsidRDefault="0016579A">
    <w:pPr>
      <w:pStyle w:val="Header"/>
    </w:pPr>
    <w:r>
      <w:t>HPAH5080</w:t>
    </w:r>
    <w:r w:rsidR="00EB2C64">
      <w:ptab w:relativeTo="margin" w:alignment="center" w:leader="none"/>
    </w:r>
    <w:r>
      <w:t>Task 2: Documentary Review</w:t>
    </w:r>
    <w:r w:rsidR="003C2A36">
      <w:t xml:space="preserve"> – Mummifying Alan</w:t>
    </w:r>
    <w:r w:rsidR="00EB2C64">
      <w:ptab w:relativeTo="margin" w:alignment="right" w:leader="none"/>
    </w:r>
    <w:r>
      <w:t>22</w:t>
    </w:r>
    <w:r w:rsidRPr="0016579A">
      <w:rPr>
        <w:vertAlign w:val="superscript"/>
      </w:rPr>
      <w:t>nd</w:t>
    </w:r>
    <w:r>
      <w:t xml:space="preserve"> March 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583991"/>
    <w:multiLevelType w:val="hybridMultilevel"/>
    <w:tmpl w:val="2A380A00"/>
    <w:lvl w:ilvl="0" w:tplc="95D242E2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3443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B31"/>
    <w:rsid w:val="00006959"/>
    <w:rsid w:val="00010296"/>
    <w:rsid w:val="00016A26"/>
    <w:rsid w:val="00016DAA"/>
    <w:rsid w:val="00017372"/>
    <w:rsid w:val="00024A48"/>
    <w:rsid w:val="00033E72"/>
    <w:rsid w:val="00037185"/>
    <w:rsid w:val="00060010"/>
    <w:rsid w:val="00061190"/>
    <w:rsid w:val="000617CF"/>
    <w:rsid w:val="000654D1"/>
    <w:rsid w:val="0006580D"/>
    <w:rsid w:val="00073D75"/>
    <w:rsid w:val="0008026E"/>
    <w:rsid w:val="000C4FD0"/>
    <w:rsid w:val="000D1CB9"/>
    <w:rsid w:val="000F7D52"/>
    <w:rsid w:val="001012DE"/>
    <w:rsid w:val="00110866"/>
    <w:rsid w:val="00111807"/>
    <w:rsid w:val="001141BB"/>
    <w:rsid w:val="00145892"/>
    <w:rsid w:val="0016579A"/>
    <w:rsid w:val="00184366"/>
    <w:rsid w:val="0018472A"/>
    <w:rsid w:val="0019027C"/>
    <w:rsid w:val="00194171"/>
    <w:rsid w:val="001A3F33"/>
    <w:rsid w:val="001B3CCC"/>
    <w:rsid w:val="001B48C3"/>
    <w:rsid w:val="001C52D4"/>
    <w:rsid w:val="001C55D2"/>
    <w:rsid w:val="001C6461"/>
    <w:rsid w:val="001D57A4"/>
    <w:rsid w:val="001E3B8D"/>
    <w:rsid w:val="001F5680"/>
    <w:rsid w:val="002058F5"/>
    <w:rsid w:val="00214965"/>
    <w:rsid w:val="00215D04"/>
    <w:rsid w:val="00234CC8"/>
    <w:rsid w:val="00242CCF"/>
    <w:rsid w:val="00262595"/>
    <w:rsid w:val="00290F9E"/>
    <w:rsid w:val="002A3E39"/>
    <w:rsid w:val="002B7CCE"/>
    <w:rsid w:val="002C24C8"/>
    <w:rsid w:val="002C6294"/>
    <w:rsid w:val="002D30BF"/>
    <w:rsid w:val="002D5264"/>
    <w:rsid w:val="002D5578"/>
    <w:rsid w:val="002F18A0"/>
    <w:rsid w:val="00305898"/>
    <w:rsid w:val="0031136F"/>
    <w:rsid w:val="00331DA9"/>
    <w:rsid w:val="0033627D"/>
    <w:rsid w:val="003512F4"/>
    <w:rsid w:val="0035268D"/>
    <w:rsid w:val="003575AB"/>
    <w:rsid w:val="00381F7E"/>
    <w:rsid w:val="003A7B31"/>
    <w:rsid w:val="003B72BE"/>
    <w:rsid w:val="003C0CB4"/>
    <w:rsid w:val="003C2A36"/>
    <w:rsid w:val="003C6217"/>
    <w:rsid w:val="003D3C58"/>
    <w:rsid w:val="003E7FA8"/>
    <w:rsid w:val="003F059C"/>
    <w:rsid w:val="0040016E"/>
    <w:rsid w:val="00413D97"/>
    <w:rsid w:val="0041590B"/>
    <w:rsid w:val="0045350F"/>
    <w:rsid w:val="004578A0"/>
    <w:rsid w:val="00465D31"/>
    <w:rsid w:val="00471225"/>
    <w:rsid w:val="00473A04"/>
    <w:rsid w:val="0049345A"/>
    <w:rsid w:val="004A7950"/>
    <w:rsid w:val="004B6A16"/>
    <w:rsid w:val="004E5D5D"/>
    <w:rsid w:val="00512963"/>
    <w:rsid w:val="00513180"/>
    <w:rsid w:val="005329D5"/>
    <w:rsid w:val="0053537F"/>
    <w:rsid w:val="00536C3D"/>
    <w:rsid w:val="00541146"/>
    <w:rsid w:val="00550ACA"/>
    <w:rsid w:val="00551318"/>
    <w:rsid w:val="00567754"/>
    <w:rsid w:val="00573018"/>
    <w:rsid w:val="005934C6"/>
    <w:rsid w:val="005C0985"/>
    <w:rsid w:val="005E1FE6"/>
    <w:rsid w:val="005E7D83"/>
    <w:rsid w:val="005F28AC"/>
    <w:rsid w:val="005F4F0F"/>
    <w:rsid w:val="005F6330"/>
    <w:rsid w:val="0062523D"/>
    <w:rsid w:val="006259AB"/>
    <w:rsid w:val="00640D37"/>
    <w:rsid w:val="006565AF"/>
    <w:rsid w:val="00680389"/>
    <w:rsid w:val="00692169"/>
    <w:rsid w:val="006A0D54"/>
    <w:rsid w:val="006B3E47"/>
    <w:rsid w:val="006C5CFF"/>
    <w:rsid w:val="006D395F"/>
    <w:rsid w:val="006D73A2"/>
    <w:rsid w:val="006F416F"/>
    <w:rsid w:val="00700A2F"/>
    <w:rsid w:val="00703F3D"/>
    <w:rsid w:val="007043C1"/>
    <w:rsid w:val="00705846"/>
    <w:rsid w:val="0072353E"/>
    <w:rsid w:val="007302D3"/>
    <w:rsid w:val="007460FE"/>
    <w:rsid w:val="007510FB"/>
    <w:rsid w:val="007D0E1D"/>
    <w:rsid w:val="007D2BCD"/>
    <w:rsid w:val="007F36AE"/>
    <w:rsid w:val="00802574"/>
    <w:rsid w:val="00805680"/>
    <w:rsid w:val="008432AE"/>
    <w:rsid w:val="00856039"/>
    <w:rsid w:val="008573B3"/>
    <w:rsid w:val="0086293E"/>
    <w:rsid w:val="00862A83"/>
    <w:rsid w:val="00871017"/>
    <w:rsid w:val="00876709"/>
    <w:rsid w:val="00882CCC"/>
    <w:rsid w:val="008B148F"/>
    <w:rsid w:val="008B59F7"/>
    <w:rsid w:val="008B6108"/>
    <w:rsid w:val="008B7679"/>
    <w:rsid w:val="008B7B48"/>
    <w:rsid w:val="008C38A1"/>
    <w:rsid w:val="008D2D1E"/>
    <w:rsid w:val="008D6E26"/>
    <w:rsid w:val="008E00D3"/>
    <w:rsid w:val="008E1D65"/>
    <w:rsid w:val="008F2DDE"/>
    <w:rsid w:val="008F41AE"/>
    <w:rsid w:val="00900A9C"/>
    <w:rsid w:val="00905755"/>
    <w:rsid w:val="0092682F"/>
    <w:rsid w:val="009468F8"/>
    <w:rsid w:val="00956138"/>
    <w:rsid w:val="00965AD3"/>
    <w:rsid w:val="0097622E"/>
    <w:rsid w:val="009821F0"/>
    <w:rsid w:val="00990269"/>
    <w:rsid w:val="009918FF"/>
    <w:rsid w:val="009A35CE"/>
    <w:rsid w:val="009A7535"/>
    <w:rsid w:val="009B44F4"/>
    <w:rsid w:val="009B4DFD"/>
    <w:rsid w:val="009E44EC"/>
    <w:rsid w:val="009E52DB"/>
    <w:rsid w:val="009F01F3"/>
    <w:rsid w:val="009F2339"/>
    <w:rsid w:val="009F49F8"/>
    <w:rsid w:val="009F5E31"/>
    <w:rsid w:val="009F7CD5"/>
    <w:rsid w:val="00A00253"/>
    <w:rsid w:val="00A0468A"/>
    <w:rsid w:val="00A20849"/>
    <w:rsid w:val="00A2093D"/>
    <w:rsid w:val="00A36F7C"/>
    <w:rsid w:val="00A43059"/>
    <w:rsid w:val="00A458C5"/>
    <w:rsid w:val="00A50CBD"/>
    <w:rsid w:val="00A65DD1"/>
    <w:rsid w:val="00A76BA5"/>
    <w:rsid w:val="00A7727B"/>
    <w:rsid w:val="00A84001"/>
    <w:rsid w:val="00AB354B"/>
    <w:rsid w:val="00AD30E3"/>
    <w:rsid w:val="00AD521C"/>
    <w:rsid w:val="00AE3BC6"/>
    <w:rsid w:val="00AF158E"/>
    <w:rsid w:val="00B01A07"/>
    <w:rsid w:val="00B51FAF"/>
    <w:rsid w:val="00B56DE3"/>
    <w:rsid w:val="00B77B42"/>
    <w:rsid w:val="00B80CD1"/>
    <w:rsid w:val="00B82538"/>
    <w:rsid w:val="00B858EE"/>
    <w:rsid w:val="00B86B6B"/>
    <w:rsid w:val="00B9235E"/>
    <w:rsid w:val="00B94194"/>
    <w:rsid w:val="00BC2505"/>
    <w:rsid w:val="00BC5F0B"/>
    <w:rsid w:val="00BD4907"/>
    <w:rsid w:val="00BE381F"/>
    <w:rsid w:val="00BF20F8"/>
    <w:rsid w:val="00C14817"/>
    <w:rsid w:val="00C24234"/>
    <w:rsid w:val="00C24A79"/>
    <w:rsid w:val="00C27035"/>
    <w:rsid w:val="00C45A36"/>
    <w:rsid w:val="00C93535"/>
    <w:rsid w:val="00CA4F76"/>
    <w:rsid w:val="00CA699D"/>
    <w:rsid w:val="00CB4CC1"/>
    <w:rsid w:val="00CC03A0"/>
    <w:rsid w:val="00CC30B7"/>
    <w:rsid w:val="00CC4C75"/>
    <w:rsid w:val="00CC7898"/>
    <w:rsid w:val="00CF2104"/>
    <w:rsid w:val="00CF376A"/>
    <w:rsid w:val="00CF5EC6"/>
    <w:rsid w:val="00CF783D"/>
    <w:rsid w:val="00D10A11"/>
    <w:rsid w:val="00D216D3"/>
    <w:rsid w:val="00D34940"/>
    <w:rsid w:val="00D56937"/>
    <w:rsid w:val="00D579E5"/>
    <w:rsid w:val="00D612E3"/>
    <w:rsid w:val="00D75B6F"/>
    <w:rsid w:val="00D8655B"/>
    <w:rsid w:val="00DB65F5"/>
    <w:rsid w:val="00DB75B9"/>
    <w:rsid w:val="00DC26FF"/>
    <w:rsid w:val="00DC28EE"/>
    <w:rsid w:val="00DE469D"/>
    <w:rsid w:val="00DF0187"/>
    <w:rsid w:val="00E06E58"/>
    <w:rsid w:val="00E41F39"/>
    <w:rsid w:val="00E44F4A"/>
    <w:rsid w:val="00E46936"/>
    <w:rsid w:val="00E722D0"/>
    <w:rsid w:val="00E753D6"/>
    <w:rsid w:val="00E822C7"/>
    <w:rsid w:val="00E85382"/>
    <w:rsid w:val="00E85FD0"/>
    <w:rsid w:val="00E95409"/>
    <w:rsid w:val="00EA4358"/>
    <w:rsid w:val="00EB2C64"/>
    <w:rsid w:val="00F07F4D"/>
    <w:rsid w:val="00F15957"/>
    <w:rsid w:val="00F34AD7"/>
    <w:rsid w:val="00F34BF5"/>
    <w:rsid w:val="00F42263"/>
    <w:rsid w:val="00F53F28"/>
    <w:rsid w:val="00F6013E"/>
    <w:rsid w:val="00F65050"/>
    <w:rsid w:val="00F9635D"/>
    <w:rsid w:val="00FB47F8"/>
    <w:rsid w:val="00FC4867"/>
    <w:rsid w:val="00FE5B3D"/>
    <w:rsid w:val="00FE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4:docId w14:val="6576852F"/>
  <w15:chartTrackingRefBased/>
  <w15:docId w15:val="{694F30BA-AD8C-7043-B531-910EDF746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7B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7B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7B3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7B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7B3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7B3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7B3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7B3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7B3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7B3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7B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7B3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7B3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7B3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7B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7B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7B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7B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7B3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7B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7B3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7B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7B3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7B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7B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7B3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7B3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7B3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7B31"/>
    <w:rPr>
      <w:b/>
      <w:bCs/>
      <w:smallCaps/>
      <w:color w:val="2F5496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3A7B31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D2BC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D2BC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D2BC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5E1FE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1F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E5D5D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B2C6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2C64"/>
  </w:style>
  <w:style w:type="paragraph" w:styleId="Footer">
    <w:name w:val="footer"/>
    <w:basedOn w:val="Normal"/>
    <w:link w:val="FooterChar"/>
    <w:uiPriority w:val="99"/>
    <w:unhideWhenUsed/>
    <w:rsid w:val="00EB2C6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2C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5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livius.org/sources/content/herodotus/mummification/" TargetMode="External"/><Relationship Id="rId2" Type="http://schemas.openxmlformats.org/officeDocument/2006/relationships/hyperlink" Target="https://www.egyptiansociety.co.za/revisiting-the-amarna-royals-part-2/" TargetMode="External"/><Relationship Id="rId1" Type="http://schemas.openxmlformats.org/officeDocument/2006/relationships/hyperlink" Target="https://museumsassociation.org/museums-journal/opinion/2023/07/give-ancient-egyptians-the-respect-they-deserv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F8477A6-2D1D-2F40-AD13-1B0BE9BB4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1462</Words>
  <Characters>7837</Characters>
  <Application>Microsoft Office Word</Application>
  <DocSecurity>0</DocSecurity>
  <Lines>118</Lines>
  <Paragraphs>14</Paragraphs>
  <ScaleCrop>false</ScaleCrop>
  <Company/>
  <LinksUpToDate>false</LinksUpToDate>
  <CharactersWithSpaces>9285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Caradoc Ewing (2305893)</dc:creator>
  <cp:keywords/>
  <dc:description/>
  <cp:lastModifiedBy>Caradoc Ewing (2305893)</cp:lastModifiedBy>
  <cp:revision>3</cp:revision>
  <dcterms:created xsi:type="dcterms:W3CDTF">2026-03-22T22:19:00Z</dcterms:created>
  <dcterms:modified xsi:type="dcterms:W3CDTF">2026-03-22T22:21:00Z</dcterms:modified>
</cp:coreProperties>
</file>