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7ABBBFE8" w:rsidR="007801F9" w:rsidRDefault="007801F9" w:rsidP="00BF6F6C">
            <w:pPr>
              <w:pStyle w:val="fixed"/>
              <w:ind w:left="0" w:firstLine="0"/>
              <w:rPr>
                <w:rFonts w:ascii="Arial" w:hAnsi="Arial" w:cs="Arial"/>
                <w:sz w:val="22"/>
                <w:szCs w:val="22"/>
              </w:rPr>
            </w:pP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31096C29" w:rsidR="007801F9" w:rsidRDefault="00E5056D" w:rsidP="00BF6F6C">
            <w:pPr>
              <w:pStyle w:val="fixed"/>
              <w:ind w:left="0" w:firstLine="0"/>
              <w:rPr>
                <w:rFonts w:ascii="Arial" w:hAnsi="Arial" w:cs="Arial"/>
                <w:sz w:val="22"/>
                <w:szCs w:val="22"/>
              </w:rPr>
            </w:pPr>
            <w:r w:rsidRPr="002C4DB4">
              <w:rPr>
                <w:rFonts w:ascii="Arial" w:hAnsi="Arial" w:cs="Arial"/>
                <w:sz w:val="22"/>
                <w:szCs w:val="22"/>
              </w:rPr>
              <w:t>The Book, the Body, and the World: Renaissance Humanism, Medicine, and Exploration</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2-07-03T00:00:00Z">
              <w:dateFormat w:val="dd/MM/yyyy"/>
              <w:lid w:val="en-GB"/>
              <w:storeMappedDataAs w:val="dateTime"/>
              <w:calendar w:val="gregorian"/>
            </w:date>
          </w:sdtPr>
          <w:sdtEndPr/>
          <w:sdtContent>
            <w:tc>
              <w:tcPr>
                <w:tcW w:w="6822" w:type="dxa"/>
              </w:tcPr>
              <w:p w14:paraId="1962F544" w14:textId="35A2B2B2" w:rsidR="007801F9" w:rsidRDefault="0012689B" w:rsidP="00BF6F6C">
                <w:pPr>
                  <w:pStyle w:val="fixed"/>
                  <w:ind w:left="0" w:firstLine="0"/>
                  <w:rPr>
                    <w:rFonts w:ascii="Arial" w:hAnsi="Arial" w:cs="Arial"/>
                    <w:sz w:val="22"/>
                    <w:szCs w:val="22"/>
                  </w:rPr>
                </w:pPr>
                <w:r>
                  <w:rPr>
                    <w:rFonts w:ascii="Arial" w:hAnsi="Arial" w:cs="Arial"/>
                    <w:sz w:val="22"/>
                    <w:szCs w:val="22"/>
                  </w:rPr>
                  <w:t>03/07/2022</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33B331F2" w:rsidR="007801F9" w:rsidRDefault="00FB66CE" w:rsidP="00BF6F6C">
                <w:pPr>
                  <w:pStyle w:val="fixed"/>
                  <w:ind w:left="0" w:firstLine="0"/>
                  <w:rPr>
                    <w:rFonts w:ascii="Arial" w:hAnsi="Arial" w:cs="Arial"/>
                    <w:sz w:val="22"/>
                    <w:szCs w:val="22"/>
                  </w:rPr>
                </w:pPr>
                <w:r>
                  <w:rPr>
                    <w:rFonts w:ascii="Arial" w:hAnsi="Arial" w:cs="Arial"/>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4405C8B3" w:rsidR="007801F9" w:rsidRDefault="0012689B"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77777777" w:rsidR="000318EB" w:rsidRDefault="000318EB" w:rsidP="00BF6F6C">
            <w:pPr>
              <w:pStyle w:val="fixed"/>
              <w:ind w:left="0" w:firstLine="0"/>
              <w:rPr>
                <w:rFonts w:ascii="Arial" w:hAnsi="Arial" w:cs="Arial"/>
                <w:sz w:val="22"/>
                <w:szCs w:val="22"/>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5234CB5C" w14:textId="1D0136A1" w:rsidR="00900C5C" w:rsidRPr="009F7E6D" w:rsidRDefault="00E5056D" w:rsidP="00900C5C">
      <w:pPr>
        <w:pStyle w:val="bullet"/>
        <w:numPr>
          <w:ilvl w:val="0"/>
          <w:numId w:val="4"/>
        </w:numPr>
        <w:overflowPunct/>
        <w:autoSpaceDE/>
        <w:autoSpaceDN/>
        <w:adjustRightInd/>
        <w:spacing w:before="0"/>
        <w:ind w:left="851" w:hanging="567"/>
        <w:textAlignment w:val="auto"/>
        <w:rPr>
          <w:rFonts w:ascii="Arial" w:hAnsi="Arial" w:cs="Arial"/>
          <w:b/>
          <w:sz w:val="22"/>
          <w:szCs w:val="22"/>
        </w:rPr>
      </w:pPr>
      <w:r w:rsidRPr="000243D0">
        <w:rPr>
          <w:rFonts w:ascii="Arial" w:hAnsi="Arial" w:cs="Arial"/>
          <w:sz w:val="22"/>
          <w:szCs w:val="22"/>
        </w:rPr>
        <w:t>To provide students with the opportunity to study the world of Renaissance humanism, its relationship with the classical past and its various developments across Europe from the fifteenth to the seventeenth century; and to examine a range of the works written by Renaissance humanists in the fields of education, literature, philosophy, anatomy, medicine, and geographical discovery</w:t>
      </w:r>
      <w:r w:rsidRPr="000243D0">
        <w:rPr>
          <w:rFonts w:ascii="Arial" w:hAnsi="Arial" w:cs="Arial"/>
          <w:spacing w:val="-3"/>
          <w:sz w:val="22"/>
          <w:szCs w:val="22"/>
        </w:rPr>
        <w:t>.</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1C31A11" w14:textId="77777777" w:rsidR="00743604" w:rsidRDefault="00743604" w:rsidP="00743604">
      <w:pPr>
        <w:pStyle w:val="bullet"/>
        <w:overflowPunct/>
        <w:autoSpaceDE/>
        <w:autoSpaceDN/>
        <w:adjustRightInd/>
        <w:spacing w:before="0"/>
        <w:ind w:left="851" w:firstLine="0"/>
        <w:textAlignment w:val="auto"/>
        <w:rPr>
          <w:rFonts w:ascii="Arial" w:hAnsi="Arial" w:cs="Arial"/>
          <w:sz w:val="22"/>
          <w:szCs w:val="22"/>
        </w:rPr>
      </w:pPr>
    </w:p>
    <w:p w14:paraId="05A405C6" w14:textId="20ABA433" w:rsidR="006D4F23" w:rsidRPr="000243D0" w:rsidRDefault="006D4F23" w:rsidP="006D4F23">
      <w:pPr>
        <w:pStyle w:val="bullet"/>
        <w:numPr>
          <w:ilvl w:val="0"/>
          <w:numId w:val="4"/>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a secure</w:t>
      </w:r>
      <w:r>
        <w:rPr>
          <w:rFonts w:ascii="Arial" w:hAnsi="Arial" w:cs="Arial"/>
          <w:sz w:val="22"/>
          <w:szCs w:val="22"/>
        </w:rPr>
        <w:t xml:space="preserve"> knowledge and</w:t>
      </w:r>
      <w:r w:rsidRPr="000243D0">
        <w:rPr>
          <w:rFonts w:ascii="Arial" w:hAnsi="Arial" w:cs="Arial"/>
          <w:sz w:val="22"/>
          <w:szCs w:val="22"/>
        </w:rPr>
        <w:t xml:space="preserve"> historical</w:t>
      </w:r>
      <w:r>
        <w:rPr>
          <w:rFonts w:ascii="Arial" w:hAnsi="Arial" w:cs="Arial"/>
          <w:sz w:val="22"/>
          <w:szCs w:val="22"/>
        </w:rPr>
        <w:t xml:space="preserve"> </w:t>
      </w:r>
      <w:r w:rsidRPr="000243D0">
        <w:rPr>
          <w:rFonts w:ascii="Arial" w:hAnsi="Arial" w:cs="Arial"/>
          <w:sz w:val="22"/>
          <w:szCs w:val="22"/>
        </w:rPr>
        <w:t>understanding of Renaissance humanism: its various branches into fields of knowledge, theory and practice (specifically classical scholarship, education, poetry, philosophy, medicine, and geography); some of its more prominent practitioners and proponents; its various developments across a range of European countries; and its changes and continuities from the fifteenth to the seventeenth century.</w:t>
      </w:r>
    </w:p>
    <w:p w14:paraId="745BA5B5" w14:textId="77777777" w:rsidR="006D4F23" w:rsidRDefault="006D4F23" w:rsidP="006D4F23">
      <w:pPr>
        <w:pStyle w:val="bullet"/>
        <w:overflowPunct/>
        <w:autoSpaceDE/>
        <w:autoSpaceDN/>
        <w:adjustRightInd/>
        <w:spacing w:before="0"/>
        <w:ind w:left="851" w:firstLine="0"/>
        <w:textAlignment w:val="auto"/>
        <w:rPr>
          <w:rFonts w:ascii="Arial" w:hAnsi="Arial" w:cs="Arial"/>
          <w:sz w:val="22"/>
          <w:szCs w:val="22"/>
        </w:rPr>
      </w:pPr>
    </w:p>
    <w:p w14:paraId="007E2BEA" w14:textId="7C3E7E7D" w:rsidR="006D4F23" w:rsidRPr="000243D0" w:rsidRDefault="006D4F23" w:rsidP="006D4F23">
      <w:pPr>
        <w:pStyle w:val="bullet"/>
        <w:numPr>
          <w:ilvl w:val="0"/>
          <w:numId w:val="4"/>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a </w:t>
      </w:r>
      <w:r>
        <w:rPr>
          <w:rFonts w:ascii="Arial" w:hAnsi="Arial" w:cs="Arial"/>
          <w:sz w:val="22"/>
          <w:szCs w:val="22"/>
        </w:rPr>
        <w:t>critical</w:t>
      </w:r>
      <w:r w:rsidRPr="000243D0">
        <w:rPr>
          <w:rFonts w:ascii="Arial" w:hAnsi="Arial" w:cs="Arial"/>
          <w:sz w:val="22"/>
          <w:szCs w:val="22"/>
        </w:rPr>
        <w:t xml:space="preserve"> understanding of a range of Renaissance humanist texts from several disciplines, and of topics intrinsic to their understanding.</w:t>
      </w:r>
    </w:p>
    <w:p w14:paraId="7225C064" w14:textId="77777777" w:rsidR="00AC3AC6" w:rsidRPr="000243D0" w:rsidRDefault="00AC3AC6" w:rsidP="00AC3AC6">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4104582F" w14:textId="77777777" w:rsidR="006D4F23" w:rsidRPr="000243D0" w:rsidRDefault="006D4F23" w:rsidP="006D4F23">
      <w:pPr>
        <w:pStyle w:val="ListParagraph"/>
        <w:numPr>
          <w:ilvl w:val="0"/>
          <w:numId w:val="2"/>
        </w:numPr>
        <w:ind w:left="851" w:hanging="567"/>
        <w:rPr>
          <w:rFonts w:ascii="Arial" w:hAnsi="Arial" w:cs="Arial"/>
          <w:sz w:val="22"/>
          <w:szCs w:val="22"/>
        </w:rPr>
      </w:pPr>
      <w:r w:rsidRPr="000243D0">
        <w:rPr>
          <w:rFonts w:ascii="Arial" w:hAnsi="Arial" w:cs="Arial"/>
          <w:sz w:val="22"/>
          <w:szCs w:val="22"/>
        </w:rPr>
        <w:t xml:space="preserve">Renaissance humanism from the fifteenth to the seventeenth century, in Italy, France, England, Germany, and the Low Countries. Initially the module will focus on humanism as a scholarly and educational field: the rediscovery of Greek classical texts in manuscript, philological scholarship, and the impact of the printing press and book collection and circulation, together with the humanistic transformation of education, </w:t>
      </w:r>
      <w:proofErr w:type="spellStart"/>
      <w:r w:rsidRPr="000243D0">
        <w:rPr>
          <w:rFonts w:ascii="Arial" w:hAnsi="Arial" w:cs="Arial"/>
          <w:i/>
          <w:sz w:val="22"/>
          <w:szCs w:val="22"/>
        </w:rPr>
        <w:t>studia</w:t>
      </w:r>
      <w:proofErr w:type="spellEnd"/>
      <w:r w:rsidRPr="000243D0">
        <w:rPr>
          <w:rFonts w:ascii="Arial" w:hAnsi="Arial" w:cs="Arial"/>
          <w:i/>
          <w:sz w:val="22"/>
          <w:szCs w:val="22"/>
        </w:rPr>
        <w:t xml:space="preserve"> </w:t>
      </w:r>
      <w:proofErr w:type="spellStart"/>
      <w:r w:rsidRPr="000243D0">
        <w:rPr>
          <w:rFonts w:ascii="Arial" w:hAnsi="Arial" w:cs="Arial"/>
          <w:i/>
          <w:sz w:val="22"/>
          <w:szCs w:val="22"/>
        </w:rPr>
        <w:t>humanitatis</w:t>
      </w:r>
      <w:proofErr w:type="spellEnd"/>
      <w:r w:rsidRPr="000243D0">
        <w:rPr>
          <w:rFonts w:ascii="Arial" w:hAnsi="Arial" w:cs="Arial"/>
          <w:sz w:val="22"/>
          <w:szCs w:val="22"/>
        </w:rPr>
        <w:t xml:space="preserve">, the revival of classical learning, Hellenism and the Greek language, and the new emphasis on grammar, rhetoric, and eloquence. Humanism was highly literary and one of the earliest and most influential Italian humanists, Francesco </w:t>
      </w:r>
      <w:proofErr w:type="spellStart"/>
      <w:r w:rsidRPr="000243D0">
        <w:rPr>
          <w:rFonts w:ascii="Arial" w:hAnsi="Arial" w:cs="Arial"/>
          <w:sz w:val="22"/>
          <w:szCs w:val="22"/>
        </w:rPr>
        <w:t>Petrarca</w:t>
      </w:r>
      <w:proofErr w:type="spellEnd"/>
      <w:r w:rsidRPr="000243D0">
        <w:rPr>
          <w:rFonts w:ascii="Arial" w:hAnsi="Arial" w:cs="Arial"/>
          <w:sz w:val="22"/>
          <w:szCs w:val="22"/>
        </w:rPr>
        <w:t xml:space="preserve"> (Petrarch) was a poet and scholar. Students will also typically study the work of English humanist Roger Ascham, on education, and Francis Bacon’s </w:t>
      </w:r>
      <w:r w:rsidRPr="000243D0">
        <w:rPr>
          <w:rFonts w:ascii="Arial" w:hAnsi="Arial" w:cs="Arial"/>
          <w:i/>
          <w:sz w:val="22"/>
          <w:szCs w:val="22"/>
        </w:rPr>
        <w:t>The Advancement of Learning</w:t>
      </w:r>
      <w:r w:rsidRPr="000243D0">
        <w:rPr>
          <w:rFonts w:ascii="Arial" w:hAnsi="Arial" w:cs="Arial"/>
          <w:sz w:val="22"/>
          <w:szCs w:val="22"/>
        </w:rPr>
        <w:t>.</w:t>
      </w:r>
    </w:p>
    <w:p w14:paraId="301FDD3B" w14:textId="77777777" w:rsidR="006D4F23" w:rsidRDefault="006D4F23" w:rsidP="006D4F23">
      <w:pPr>
        <w:pStyle w:val="ListParagraph"/>
        <w:ind w:left="851"/>
        <w:rPr>
          <w:rFonts w:ascii="Arial" w:hAnsi="Arial" w:cs="Arial"/>
          <w:sz w:val="22"/>
          <w:szCs w:val="22"/>
        </w:rPr>
      </w:pPr>
    </w:p>
    <w:p w14:paraId="5EB7CD67" w14:textId="04544676" w:rsidR="006D4F23" w:rsidRPr="000243D0" w:rsidRDefault="006D4F23" w:rsidP="006D4F23">
      <w:pPr>
        <w:pStyle w:val="ListParagraph"/>
        <w:numPr>
          <w:ilvl w:val="0"/>
          <w:numId w:val="2"/>
        </w:numPr>
        <w:ind w:left="851" w:hanging="567"/>
        <w:rPr>
          <w:rFonts w:ascii="Arial" w:hAnsi="Arial" w:cs="Arial"/>
          <w:sz w:val="22"/>
          <w:szCs w:val="22"/>
        </w:rPr>
      </w:pPr>
      <w:r w:rsidRPr="000243D0">
        <w:rPr>
          <w:rFonts w:ascii="Arial" w:hAnsi="Arial" w:cs="Arial"/>
          <w:sz w:val="22"/>
          <w:szCs w:val="22"/>
        </w:rPr>
        <w:t xml:space="preserve">Through humanism the Renaissance witnessed a transformation of medieval philosophy, especially in the areas of politics and civility, religion and theology, ethics and morality, the human being and the natural world. Among the philosophical authors that students will typically study are </w:t>
      </w:r>
      <w:proofErr w:type="spellStart"/>
      <w:r w:rsidRPr="000243D0">
        <w:rPr>
          <w:rFonts w:ascii="Arial" w:hAnsi="Arial" w:cs="Arial"/>
          <w:sz w:val="22"/>
          <w:szCs w:val="22"/>
        </w:rPr>
        <w:t>Marsilio</w:t>
      </w:r>
      <w:proofErr w:type="spellEnd"/>
      <w:r w:rsidRPr="000243D0">
        <w:rPr>
          <w:rFonts w:ascii="Arial" w:hAnsi="Arial" w:cs="Arial"/>
          <w:sz w:val="22"/>
          <w:szCs w:val="22"/>
        </w:rPr>
        <w:t xml:space="preserve"> Ficino, Pico </w:t>
      </w:r>
      <w:proofErr w:type="spellStart"/>
      <w:r w:rsidRPr="000243D0">
        <w:rPr>
          <w:rFonts w:ascii="Arial" w:hAnsi="Arial" w:cs="Arial"/>
          <w:sz w:val="22"/>
          <w:szCs w:val="22"/>
        </w:rPr>
        <w:t>della</w:t>
      </w:r>
      <w:proofErr w:type="spellEnd"/>
      <w:r w:rsidRPr="000243D0">
        <w:rPr>
          <w:rFonts w:ascii="Arial" w:hAnsi="Arial" w:cs="Arial"/>
          <w:sz w:val="22"/>
          <w:szCs w:val="22"/>
        </w:rPr>
        <w:t xml:space="preserve"> </w:t>
      </w:r>
      <w:proofErr w:type="spellStart"/>
      <w:r w:rsidRPr="000243D0">
        <w:rPr>
          <w:rFonts w:ascii="Arial" w:hAnsi="Arial" w:cs="Arial"/>
          <w:sz w:val="22"/>
          <w:szCs w:val="22"/>
        </w:rPr>
        <w:t>Mirandola</w:t>
      </w:r>
      <w:proofErr w:type="spellEnd"/>
      <w:r w:rsidRPr="000243D0">
        <w:rPr>
          <w:rFonts w:ascii="Arial" w:hAnsi="Arial" w:cs="Arial"/>
          <w:sz w:val="22"/>
          <w:szCs w:val="22"/>
        </w:rPr>
        <w:t>, Michel de Montaigne, Desiderius Erasmus of Rotterdam, and Thomas More.</w:t>
      </w:r>
    </w:p>
    <w:p w14:paraId="5C973F29" w14:textId="77777777" w:rsidR="006D4F23" w:rsidRDefault="006D4F23" w:rsidP="006D4F23">
      <w:pPr>
        <w:pStyle w:val="ListParagraph"/>
        <w:ind w:left="851"/>
        <w:rPr>
          <w:rFonts w:ascii="Arial" w:hAnsi="Arial" w:cs="Arial"/>
          <w:sz w:val="22"/>
          <w:szCs w:val="22"/>
        </w:rPr>
      </w:pPr>
    </w:p>
    <w:p w14:paraId="4C4FC973" w14:textId="5176FB65" w:rsidR="006D4F23" w:rsidRPr="000243D0" w:rsidRDefault="006D4F23" w:rsidP="006D4F23">
      <w:pPr>
        <w:pStyle w:val="ListParagraph"/>
        <w:numPr>
          <w:ilvl w:val="0"/>
          <w:numId w:val="2"/>
        </w:numPr>
        <w:ind w:left="851" w:hanging="567"/>
        <w:rPr>
          <w:rFonts w:ascii="Arial" w:hAnsi="Arial" w:cs="Arial"/>
          <w:sz w:val="22"/>
          <w:szCs w:val="22"/>
        </w:rPr>
      </w:pPr>
      <w:r w:rsidRPr="000243D0">
        <w:rPr>
          <w:rFonts w:ascii="Arial" w:hAnsi="Arial" w:cs="Arial"/>
          <w:sz w:val="22"/>
          <w:szCs w:val="22"/>
        </w:rPr>
        <w:t xml:space="preserve">The late-fifteenth century humanist and Hellenist revival of classical Greek anatomical and medical terminology and theory gave rise to a revival of </w:t>
      </w:r>
      <w:r w:rsidRPr="000243D0">
        <w:rPr>
          <w:rFonts w:ascii="Arial" w:hAnsi="Arial" w:cs="Arial"/>
          <w:sz w:val="22"/>
          <w:szCs w:val="22"/>
        </w:rPr>
        <w:lastRenderedPageBreak/>
        <w:t xml:space="preserve">anatomy, private and public dissection, and the publication in the sixteenth century of illustrated anatomy textbooks, most notably Andreas Vesalius’ </w:t>
      </w:r>
      <w:r w:rsidRPr="000243D0">
        <w:rPr>
          <w:rFonts w:ascii="Arial" w:hAnsi="Arial" w:cs="Arial"/>
          <w:i/>
          <w:sz w:val="22"/>
          <w:szCs w:val="22"/>
        </w:rPr>
        <w:t xml:space="preserve">De </w:t>
      </w:r>
      <w:proofErr w:type="spellStart"/>
      <w:r w:rsidRPr="000243D0">
        <w:rPr>
          <w:rFonts w:ascii="Arial" w:hAnsi="Arial" w:cs="Arial"/>
          <w:i/>
          <w:sz w:val="22"/>
          <w:szCs w:val="22"/>
        </w:rPr>
        <w:t>humani</w:t>
      </w:r>
      <w:proofErr w:type="spellEnd"/>
      <w:r w:rsidRPr="000243D0">
        <w:rPr>
          <w:rFonts w:ascii="Arial" w:hAnsi="Arial" w:cs="Arial"/>
          <w:i/>
          <w:sz w:val="22"/>
          <w:szCs w:val="22"/>
        </w:rPr>
        <w:t xml:space="preserve"> corporis </w:t>
      </w:r>
      <w:proofErr w:type="spellStart"/>
      <w:r w:rsidRPr="000243D0">
        <w:rPr>
          <w:rFonts w:ascii="Arial" w:hAnsi="Arial" w:cs="Arial"/>
          <w:i/>
          <w:sz w:val="22"/>
          <w:szCs w:val="22"/>
        </w:rPr>
        <w:t>fabrica</w:t>
      </w:r>
      <w:proofErr w:type="spellEnd"/>
      <w:r w:rsidRPr="000243D0">
        <w:rPr>
          <w:rFonts w:ascii="Arial" w:hAnsi="Arial" w:cs="Arial"/>
          <w:i/>
          <w:sz w:val="22"/>
          <w:szCs w:val="22"/>
        </w:rPr>
        <w:t xml:space="preserve"> libri </w:t>
      </w:r>
      <w:proofErr w:type="spellStart"/>
      <w:r w:rsidRPr="000243D0">
        <w:rPr>
          <w:rFonts w:ascii="Arial" w:hAnsi="Arial" w:cs="Arial"/>
          <w:i/>
          <w:sz w:val="22"/>
          <w:szCs w:val="22"/>
        </w:rPr>
        <w:t>septem</w:t>
      </w:r>
      <w:proofErr w:type="spellEnd"/>
      <w:r w:rsidRPr="000243D0">
        <w:rPr>
          <w:rFonts w:ascii="Arial" w:hAnsi="Arial" w:cs="Arial"/>
          <w:sz w:val="22"/>
          <w:szCs w:val="22"/>
        </w:rPr>
        <w:t xml:space="preserve">. Anatomy gave rise to a new genre and method of handling a variety of subjects, the most encyclopaedic of English examples being Robert Burton’s </w:t>
      </w:r>
      <w:r w:rsidRPr="000243D0">
        <w:rPr>
          <w:rFonts w:ascii="Arial" w:hAnsi="Arial" w:cs="Arial"/>
          <w:i/>
          <w:sz w:val="22"/>
          <w:szCs w:val="22"/>
        </w:rPr>
        <w:t>The Anatomy of Melancholy</w:t>
      </w:r>
      <w:r w:rsidRPr="000243D0">
        <w:rPr>
          <w:rFonts w:ascii="Arial" w:hAnsi="Arial" w:cs="Arial"/>
          <w:sz w:val="22"/>
          <w:szCs w:val="22"/>
        </w:rPr>
        <w:t>. Learned medicine also features prominently, with social and religious satire, in work of the French humanist physician François Rabelais.</w:t>
      </w:r>
    </w:p>
    <w:p w14:paraId="22318203" w14:textId="77777777" w:rsidR="006D4F23" w:rsidRDefault="006D4F23" w:rsidP="006D4F23">
      <w:pPr>
        <w:pStyle w:val="ListParagraph"/>
        <w:ind w:left="851"/>
        <w:rPr>
          <w:rFonts w:ascii="Arial" w:hAnsi="Arial" w:cs="Arial"/>
          <w:sz w:val="22"/>
          <w:szCs w:val="22"/>
        </w:rPr>
      </w:pPr>
    </w:p>
    <w:p w14:paraId="2BF0233C" w14:textId="315EF032" w:rsidR="006D4F23" w:rsidRPr="000243D0" w:rsidRDefault="006D4F23" w:rsidP="006D4F23">
      <w:pPr>
        <w:pStyle w:val="ListParagraph"/>
        <w:numPr>
          <w:ilvl w:val="0"/>
          <w:numId w:val="2"/>
        </w:numPr>
        <w:ind w:left="851" w:hanging="567"/>
        <w:rPr>
          <w:rFonts w:ascii="Arial" w:hAnsi="Arial" w:cs="Arial"/>
          <w:sz w:val="22"/>
          <w:szCs w:val="22"/>
        </w:rPr>
      </w:pPr>
      <w:r w:rsidRPr="000243D0">
        <w:rPr>
          <w:rFonts w:ascii="Arial" w:hAnsi="Arial" w:cs="Arial"/>
          <w:sz w:val="22"/>
          <w:szCs w:val="22"/>
        </w:rPr>
        <w:t xml:space="preserve">Renaissance humanist philosophy and medicine held the view that the human being was a microcosm which reflected all in the cosmos (the macrocosm) and the terrestrial globe (the </w:t>
      </w:r>
      <w:proofErr w:type="spellStart"/>
      <w:r w:rsidRPr="000243D0">
        <w:rPr>
          <w:rFonts w:ascii="Arial" w:hAnsi="Arial" w:cs="Arial"/>
          <w:sz w:val="22"/>
          <w:szCs w:val="22"/>
        </w:rPr>
        <w:t>geocosm</w:t>
      </w:r>
      <w:proofErr w:type="spellEnd"/>
      <w:r w:rsidRPr="000243D0">
        <w:rPr>
          <w:rFonts w:ascii="Arial" w:hAnsi="Arial" w:cs="Arial"/>
          <w:sz w:val="22"/>
          <w:szCs w:val="22"/>
        </w:rPr>
        <w:t>), and the module’s last area of study will typically be geographical exploration and the humanist attempt to make it useful, reputable, and serve the national interest. The focus will likely be on the English exploration and colonisation of ‘Virginia’, and the records of the Virginia Company of London. Prominent among the authors studied are likely to be Richard Hakluyt and Samuel Purchas.</w:t>
      </w:r>
    </w:p>
    <w:p w14:paraId="450D99AE" w14:textId="77777777" w:rsidR="00F624E2" w:rsidRDefault="00F624E2" w:rsidP="00F624E2">
      <w:pPr>
        <w:pStyle w:val="ListParagraph"/>
        <w:ind w:left="851"/>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6EA48F9D" w:rsidR="00B1208A" w:rsidRPr="00B1208A" w:rsidRDefault="00A45F71" w:rsidP="00F64B4A">
            <w:pPr>
              <w:keepNext/>
              <w:jc w:val="center"/>
              <w:rPr>
                <w:rFonts w:ascii="Arial" w:hAnsi="Arial" w:cs="Arial"/>
                <w:sz w:val="22"/>
                <w:szCs w:val="22"/>
              </w:rPr>
            </w:pPr>
            <w:r>
              <w:rPr>
                <w:rFonts w:ascii="Arial" w:hAnsi="Arial" w:cs="Arial"/>
                <w:sz w:val="22"/>
                <w:szCs w:val="22"/>
              </w:rPr>
              <w:t>48</w:t>
            </w:r>
          </w:p>
        </w:tc>
        <w:tc>
          <w:tcPr>
            <w:tcW w:w="1843" w:type="dxa"/>
          </w:tcPr>
          <w:p w14:paraId="7164CCD2" w14:textId="2F74481B" w:rsidR="00B1208A" w:rsidRPr="00B1208A" w:rsidRDefault="00A45F71" w:rsidP="00F64B4A">
            <w:pPr>
              <w:keepNext/>
              <w:jc w:val="center"/>
              <w:rPr>
                <w:rFonts w:ascii="Arial" w:hAnsi="Arial" w:cs="Arial"/>
                <w:sz w:val="22"/>
                <w:szCs w:val="22"/>
              </w:rPr>
            </w:pPr>
            <w:r>
              <w:rPr>
                <w:rFonts w:ascii="Arial" w:hAnsi="Arial" w:cs="Arial"/>
                <w:sz w:val="22"/>
                <w:szCs w:val="22"/>
              </w:rPr>
              <w:t>24%</w:t>
            </w: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504CF783" w:rsidR="00B1208A" w:rsidRPr="00B1208A" w:rsidRDefault="00A45F71" w:rsidP="00F64B4A">
            <w:pPr>
              <w:keepNext/>
              <w:jc w:val="center"/>
              <w:rPr>
                <w:rFonts w:ascii="Arial" w:hAnsi="Arial" w:cs="Arial"/>
                <w:sz w:val="22"/>
                <w:szCs w:val="22"/>
              </w:rPr>
            </w:pPr>
            <w:r>
              <w:rPr>
                <w:rFonts w:ascii="Arial" w:hAnsi="Arial" w:cs="Arial"/>
                <w:sz w:val="22"/>
                <w:szCs w:val="22"/>
              </w:rPr>
              <w:t>152</w:t>
            </w:r>
          </w:p>
        </w:tc>
        <w:tc>
          <w:tcPr>
            <w:tcW w:w="1843" w:type="dxa"/>
          </w:tcPr>
          <w:p w14:paraId="4AB622CF" w14:textId="4B4774C2" w:rsidR="00B1208A" w:rsidRPr="00B1208A" w:rsidRDefault="00A45F71" w:rsidP="00F64B4A">
            <w:pPr>
              <w:keepNext/>
              <w:jc w:val="center"/>
              <w:rPr>
                <w:rFonts w:ascii="Arial" w:hAnsi="Arial" w:cs="Arial"/>
                <w:sz w:val="22"/>
                <w:szCs w:val="22"/>
              </w:rPr>
            </w:pPr>
            <w:r>
              <w:rPr>
                <w:rFonts w:ascii="Arial" w:hAnsi="Arial" w:cs="Arial"/>
                <w:sz w:val="22"/>
                <w:szCs w:val="22"/>
              </w:rPr>
              <w:t>76%</w:t>
            </w: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57DF513A" w:rsidR="00B1208A" w:rsidRPr="00B1208A" w:rsidRDefault="00A45F71" w:rsidP="00F64B4A">
            <w:pPr>
              <w:keepNext/>
              <w:jc w:val="center"/>
              <w:rPr>
                <w:rFonts w:ascii="Arial" w:hAnsi="Arial" w:cs="Arial"/>
                <w:b/>
                <w:sz w:val="22"/>
                <w:szCs w:val="22"/>
              </w:rPr>
            </w:pPr>
            <w:r>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2BA1C735" w:rsidR="00B1208A" w:rsidRPr="00B1208A" w:rsidRDefault="00F624E2"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140F57C4" w:rsidR="00B1208A" w:rsidRPr="00B1208A" w:rsidRDefault="00F624E2"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51F35089" w:rsidR="00B1208A" w:rsidRPr="00B1208A" w:rsidRDefault="003F7F5B" w:rsidP="008D7603">
            <w:pPr>
              <w:jc w:val="center"/>
              <w:rPr>
                <w:rFonts w:ascii="Arial" w:hAnsi="Arial" w:cs="Arial"/>
                <w:sz w:val="22"/>
                <w:szCs w:val="22"/>
              </w:rPr>
            </w:pPr>
            <w:r>
              <w:rPr>
                <w:rFonts w:ascii="Arial" w:hAnsi="Arial" w:cs="Arial"/>
                <w:sz w:val="22"/>
                <w:szCs w:val="22"/>
              </w:rPr>
              <w:t>Written gobbet test</w:t>
            </w:r>
          </w:p>
        </w:tc>
        <w:tc>
          <w:tcPr>
            <w:tcW w:w="3969" w:type="dxa"/>
          </w:tcPr>
          <w:p w14:paraId="0BE1ECE5" w14:textId="4F69C929" w:rsidR="00B1208A" w:rsidRPr="00F0221E" w:rsidRDefault="00F624E2" w:rsidP="00F0221E">
            <w:pPr>
              <w:jc w:val="left"/>
              <w:rPr>
                <w:rFonts w:ascii="Arial" w:hAnsi="Arial" w:cs="Arial"/>
                <w:sz w:val="22"/>
                <w:szCs w:val="22"/>
                <w:highlight w:val="yellow"/>
              </w:rPr>
            </w:pPr>
            <w:r>
              <w:rPr>
                <w:rFonts w:ascii="Arial" w:hAnsi="Arial" w:cs="Arial"/>
                <w:sz w:val="22"/>
                <w:szCs w:val="22"/>
              </w:rPr>
              <w:t>1,250 words</w:t>
            </w:r>
          </w:p>
        </w:tc>
        <w:tc>
          <w:tcPr>
            <w:tcW w:w="1559" w:type="dxa"/>
          </w:tcPr>
          <w:p w14:paraId="7549C0D0" w14:textId="7A0633E5" w:rsidR="00B1208A" w:rsidRPr="00B1208A" w:rsidRDefault="00E064AE" w:rsidP="008D7603">
            <w:pPr>
              <w:rPr>
                <w:rFonts w:ascii="Arial" w:hAnsi="Arial" w:cs="Arial"/>
                <w:sz w:val="22"/>
                <w:szCs w:val="22"/>
              </w:rPr>
            </w:pPr>
            <w:r>
              <w:rPr>
                <w:rFonts w:ascii="Arial" w:hAnsi="Arial" w:cs="Arial"/>
                <w:sz w:val="22"/>
                <w:szCs w:val="22"/>
              </w:rPr>
              <w:t>25</w:t>
            </w:r>
            <w:r w:rsidR="00C45737">
              <w:rPr>
                <w:rFonts w:ascii="Arial" w:hAnsi="Arial" w:cs="Arial"/>
                <w:sz w:val="22"/>
                <w:szCs w:val="22"/>
              </w:rPr>
              <w:t>%</w:t>
            </w:r>
          </w:p>
        </w:tc>
      </w:tr>
    </w:tbl>
    <w:p w14:paraId="531CE5EB" w14:textId="77777777" w:rsidR="00B1208A" w:rsidRPr="00B1208A" w:rsidRDefault="00B1208A" w:rsidP="00B1208A">
      <w:pPr>
        <w:rPr>
          <w:rFonts w:ascii="Arial" w:hAnsi="Arial" w:cs="Arial"/>
          <w:b/>
          <w:sz w:val="22"/>
          <w:szCs w:val="22"/>
        </w:rPr>
      </w:pPr>
    </w:p>
    <w:p w14:paraId="16AD3759" w14:textId="4BE53A2F" w:rsidR="00B1208A" w:rsidRDefault="00B1208A" w:rsidP="00B1208A">
      <w:pPr>
        <w:pStyle w:val="fixed"/>
        <w:ind w:left="0" w:firstLine="0"/>
        <w:rPr>
          <w:rFonts w:ascii="Arial" w:hAnsi="Arial" w:cs="Arial"/>
          <w:b w:val="0"/>
          <w:sz w:val="22"/>
          <w:szCs w:val="22"/>
        </w:rPr>
      </w:pPr>
    </w:p>
    <w:p w14:paraId="3AAA75DB" w14:textId="51B66588" w:rsidR="00F624E2" w:rsidRPr="00B1208A" w:rsidRDefault="00F624E2" w:rsidP="00F624E2">
      <w:pPr>
        <w:rPr>
          <w:rFonts w:ascii="Arial" w:hAnsi="Arial" w:cs="Arial"/>
          <w:b/>
          <w:sz w:val="22"/>
          <w:szCs w:val="22"/>
        </w:rPr>
      </w:pPr>
      <w:r w:rsidRPr="00B1208A">
        <w:rPr>
          <w:rFonts w:ascii="Arial" w:hAnsi="Arial" w:cs="Arial"/>
          <w:b/>
          <w:sz w:val="22"/>
          <w:szCs w:val="22"/>
        </w:rPr>
        <w:t xml:space="preserve">Assessment Component </w:t>
      </w:r>
      <w:r>
        <w:rPr>
          <w:rFonts w:ascii="Arial" w:hAnsi="Arial" w:cs="Arial"/>
          <w:b/>
          <w:sz w:val="22"/>
          <w:szCs w:val="22"/>
        </w:rPr>
        <w:t>2</w:t>
      </w:r>
    </w:p>
    <w:p w14:paraId="387813E6" w14:textId="77777777" w:rsidR="00F624E2" w:rsidRPr="00BA343F" w:rsidRDefault="00F624E2" w:rsidP="00F624E2">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F624E2" w:rsidRPr="00B1208A" w14:paraId="234ACC4F" w14:textId="77777777" w:rsidTr="00F14270">
        <w:sdt>
          <w:sdtPr>
            <w:rPr>
              <w:rFonts w:ascii="Arial" w:hAnsi="Arial" w:cs="Arial"/>
              <w:sz w:val="22"/>
              <w:szCs w:val="22"/>
            </w:rPr>
            <w:id w:val="-207259848"/>
            <w14:checkbox>
              <w14:checked w14:val="0"/>
              <w14:checkedState w14:val="2612" w14:font="MS Gothic"/>
              <w14:uncheckedState w14:val="2610" w14:font="MS Gothic"/>
            </w14:checkbox>
          </w:sdtPr>
          <w:sdtContent>
            <w:tc>
              <w:tcPr>
                <w:tcW w:w="562" w:type="dxa"/>
              </w:tcPr>
              <w:p w14:paraId="71A02103" w14:textId="77777777"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271F74B7" w14:textId="77777777" w:rsidR="00F624E2" w:rsidRPr="00B1208A" w:rsidRDefault="00F624E2" w:rsidP="00F1427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377930196"/>
            <w14:checkbox>
              <w14:checked w14:val="1"/>
              <w14:checkedState w14:val="2612" w14:font="MS Gothic"/>
              <w14:uncheckedState w14:val="2610" w14:font="MS Gothic"/>
            </w14:checkbox>
          </w:sdtPr>
          <w:sdtContent>
            <w:tc>
              <w:tcPr>
                <w:tcW w:w="538" w:type="dxa"/>
              </w:tcPr>
              <w:p w14:paraId="7CCD576F" w14:textId="77777777"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6CA03E0C" w14:textId="77777777" w:rsidR="00F624E2" w:rsidRPr="00B1208A" w:rsidRDefault="00F624E2" w:rsidP="00F1427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2130351780"/>
            <w14:checkbox>
              <w14:checked w14:val="0"/>
              <w14:checkedState w14:val="2612" w14:font="MS Gothic"/>
              <w14:uncheckedState w14:val="2610" w14:font="MS Gothic"/>
            </w14:checkbox>
          </w:sdtPr>
          <w:sdtContent>
            <w:tc>
              <w:tcPr>
                <w:tcW w:w="538" w:type="dxa"/>
              </w:tcPr>
              <w:p w14:paraId="5A7954F5" w14:textId="33030DA9"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7BBD2BEB" w14:textId="77777777" w:rsidR="00F624E2" w:rsidRPr="00B1208A" w:rsidRDefault="00F624E2" w:rsidP="00F14270">
            <w:pPr>
              <w:rPr>
                <w:rFonts w:ascii="Arial" w:hAnsi="Arial" w:cs="Arial"/>
                <w:b/>
                <w:sz w:val="22"/>
                <w:szCs w:val="22"/>
              </w:rPr>
            </w:pPr>
            <w:r w:rsidRPr="00B1208A">
              <w:rPr>
                <w:rFonts w:ascii="Arial" w:hAnsi="Arial" w:cs="Arial"/>
                <w:b/>
                <w:sz w:val="22"/>
                <w:szCs w:val="22"/>
              </w:rPr>
              <w:t>Practical</w:t>
            </w:r>
          </w:p>
        </w:tc>
      </w:tr>
    </w:tbl>
    <w:p w14:paraId="078CC8F2" w14:textId="77777777" w:rsidR="00F624E2" w:rsidRPr="00B1208A" w:rsidRDefault="00F624E2" w:rsidP="00F624E2">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F624E2" w:rsidRPr="00B1208A" w14:paraId="78AA6FA6" w14:textId="77777777" w:rsidTr="00F14270">
        <w:tc>
          <w:tcPr>
            <w:tcW w:w="3256" w:type="dxa"/>
          </w:tcPr>
          <w:p w14:paraId="3F05A203" w14:textId="77777777" w:rsidR="00F624E2" w:rsidRPr="00B1208A" w:rsidRDefault="00F624E2" w:rsidP="00F1427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56252C79" w14:textId="77777777" w:rsidR="00F624E2" w:rsidRPr="00B1208A" w:rsidRDefault="00F624E2" w:rsidP="00F14270">
            <w:pPr>
              <w:rPr>
                <w:rFonts w:ascii="Arial" w:hAnsi="Arial" w:cs="Arial"/>
                <w:sz w:val="22"/>
                <w:szCs w:val="22"/>
              </w:rPr>
            </w:pPr>
            <w:r>
              <w:rPr>
                <w:rFonts w:ascii="Arial" w:hAnsi="Arial" w:cs="Arial"/>
                <w:b/>
                <w:sz w:val="22"/>
                <w:szCs w:val="22"/>
              </w:rPr>
              <w:t>Volume</w:t>
            </w:r>
          </w:p>
        </w:tc>
        <w:tc>
          <w:tcPr>
            <w:tcW w:w="1559" w:type="dxa"/>
          </w:tcPr>
          <w:p w14:paraId="6B28008F" w14:textId="77777777" w:rsidR="00F624E2" w:rsidRPr="00B1208A" w:rsidRDefault="00F624E2" w:rsidP="00F14270">
            <w:pPr>
              <w:rPr>
                <w:rFonts w:ascii="Arial" w:hAnsi="Arial" w:cs="Arial"/>
                <w:sz w:val="22"/>
                <w:szCs w:val="22"/>
              </w:rPr>
            </w:pPr>
            <w:r w:rsidRPr="00B1208A">
              <w:rPr>
                <w:rFonts w:ascii="Arial" w:hAnsi="Arial" w:cs="Arial"/>
                <w:b/>
                <w:sz w:val="22"/>
                <w:szCs w:val="22"/>
              </w:rPr>
              <w:t>Weighting</w:t>
            </w:r>
          </w:p>
        </w:tc>
      </w:tr>
      <w:tr w:rsidR="00F624E2" w:rsidRPr="00B1208A" w14:paraId="2C4D7B2A" w14:textId="77777777" w:rsidTr="00F14270">
        <w:tc>
          <w:tcPr>
            <w:tcW w:w="3256" w:type="dxa"/>
          </w:tcPr>
          <w:p w14:paraId="3D8A1D54" w14:textId="1DE1EC77" w:rsidR="00F624E2" w:rsidRPr="00B1208A" w:rsidRDefault="003F7F5B" w:rsidP="00F14270">
            <w:pPr>
              <w:jc w:val="center"/>
              <w:rPr>
                <w:rFonts w:ascii="Arial" w:hAnsi="Arial" w:cs="Arial"/>
                <w:sz w:val="22"/>
                <w:szCs w:val="22"/>
              </w:rPr>
            </w:pPr>
            <w:r>
              <w:rPr>
                <w:rFonts w:ascii="Arial" w:hAnsi="Arial" w:cs="Arial"/>
                <w:sz w:val="22"/>
                <w:szCs w:val="22"/>
              </w:rPr>
              <w:t>Bibliographical exercise</w:t>
            </w:r>
          </w:p>
        </w:tc>
        <w:tc>
          <w:tcPr>
            <w:tcW w:w="3969" w:type="dxa"/>
          </w:tcPr>
          <w:p w14:paraId="7693FA40" w14:textId="77777777" w:rsidR="00F624E2" w:rsidRPr="00F0221E" w:rsidRDefault="00F624E2" w:rsidP="00F14270">
            <w:pPr>
              <w:jc w:val="left"/>
              <w:rPr>
                <w:rFonts w:ascii="Arial" w:hAnsi="Arial" w:cs="Arial"/>
                <w:sz w:val="22"/>
                <w:szCs w:val="22"/>
                <w:highlight w:val="yellow"/>
              </w:rPr>
            </w:pPr>
            <w:r>
              <w:rPr>
                <w:rFonts w:ascii="Arial" w:hAnsi="Arial" w:cs="Arial"/>
                <w:sz w:val="22"/>
                <w:szCs w:val="22"/>
              </w:rPr>
              <w:t>1,250 words</w:t>
            </w:r>
          </w:p>
        </w:tc>
        <w:tc>
          <w:tcPr>
            <w:tcW w:w="1559" w:type="dxa"/>
          </w:tcPr>
          <w:p w14:paraId="25F4682E" w14:textId="77777777" w:rsidR="00F624E2" w:rsidRPr="00B1208A" w:rsidRDefault="00F624E2" w:rsidP="00F14270">
            <w:pPr>
              <w:rPr>
                <w:rFonts w:ascii="Arial" w:hAnsi="Arial" w:cs="Arial"/>
                <w:sz w:val="22"/>
                <w:szCs w:val="22"/>
              </w:rPr>
            </w:pPr>
            <w:r>
              <w:rPr>
                <w:rFonts w:ascii="Arial" w:hAnsi="Arial" w:cs="Arial"/>
                <w:sz w:val="22"/>
                <w:szCs w:val="22"/>
              </w:rPr>
              <w:t>25%</w:t>
            </w:r>
          </w:p>
        </w:tc>
      </w:tr>
    </w:tbl>
    <w:p w14:paraId="337AB48E" w14:textId="77777777" w:rsidR="00F624E2" w:rsidRPr="00B1208A" w:rsidRDefault="00F624E2" w:rsidP="00F624E2">
      <w:pPr>
        <w:rPr>
          <w:rFonts w:ascii="Arial" w:hAnsi="Arial" w:cs="Arial"/>
          <w:b/>
          <w:sz w:val="22"/>
          <w:szCs w:val="22"/>
        </w:rPr>
      </w:pPr>
    </w:p>
    <w:p w14:paraId="33F5F3EB" w14:textId="77777777" w:rsidR="00F624E2" w:rsidRPr="00B1208A" w:rsidRDefault="00F624E2"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0E31160B" w14:textId="30F27259" w:rsidR="00B1208A" w:rsidRPr="00B1208A" w:rsidRDefault="00B1208A" w:rsidP="00B1208A">
      <w:pPr>
        <w:rPr>
          <w:rFonts w:ascii="Arial" w:hAnsi="Arial" w:cs="Arial"/>
          <w:b/>
          <w:sz w:val="22"/>
          <w:szCs w:val="22"/>
        </w:rPr>
      </w:pPr>
      <w:r w:rsidRPr="00B1208A">
        <w:rPr>
          <w:rFonts w:ascii="Arial" w:hAnsi="Arial" w:cs="Arial"/>
          <w:b/>
          <w:sz w:val="22"/>
          <w:szCs w:val="22"/>
        </w:rPr>
        <w:t xml:space="preserve">Assessment Component </w:t>
      </w:r>
      <w:r w:rsidR="00F624E2">
        <w:rPr>
          <w:rFonts w:ascii="Arial" w:hAnsi="Arial" w:cs="Arial"/>
          <w:b/>
          <w:sz w:val="22"/>
          <w:szCs w:val="22"/>
        </w:rPr>
        <w:t>3</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4D2A0390" w14:textId="7D095C78" w:rsidR="00B1208A" w:rsidRPr="00B1208A" w:rsidRDefault="00E064AE"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AB453FC"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447080">
        <w:tc>
          <w:tcPr>
            <w:tcW w:w="3256" w:type="dxa"/>
          </w:tcPr>
          <w:p w14:paraId="4258B827" w14:textId="77777777"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447080">
        <w:tc>
          <w:tcPr>
            <w:tcW w:w="3256" w:type="dxa"/>
          </w:tcPr>
          <w:p w14:paraId="22D7D5EB" w14:textId="246F7F3B" w:rsidR="00B53530" w:rsidRPr="00B1208A" w:rsidRDefault="00C45737" w:rsidP="00447080">
            <w:pPr>
              <w:jc w:val="center"/>
              <w:rPr>
                <w:rFonts w:ascii="Arial" w:hAnsi="Arial" w:cs="Arial"/>
                <w:sz w:val="22"/>
                <w:szCs w:val="22"/>
              </w:rPr>
            </w:pPr>
            <w:r>
              <w:rPr>
                <w:rFonts w:ascii="Arial" w:hAnsi="Arial" w:cs="Arial"/>
                <w:sz w:val="22"/>
                <w:szCs w:val="22"/>
              </w:rPr>
              <w:t>Essay</w:t>
            </w:r>
          </w:p>
        </w:tc>
        <w:tc>
          <w:tcPr>
            <w:tcW w:w="3969" w:type="dxa"/>
          </w:tcPr>
          <w:p w14:paraId="4D365A28" w14:textId="4D3D09B2" w:rsidR="00B53530" w:rsidRPr="00F0221E" w:rsidRDefault="00F624E2" w:rsidP="00447080">
            <w:pPr>
              <w:jc w:val="left"/>
              <w:rPr>
                <w:rFonts w:ascii="Arial" w:hAnsi="Arial" w:cs="Arial"/>
                <w:sz w:val="22"/>
                <w:szCs w:val="22"/>
                <w:highlight w:val="yellow"/>
              </w:rPr>
            </w:pPr>
            <w:r>
              <w:rPr>
                <w:rFonts w:ascii="Arial" w:hAnsi="Arial" w:cs="Arial"/>
                <w:sz w:val="22"/>
                <w:szCs w:val="22"/>
              </w:rPr>
              <w:t>2</w:t>
            </w:r>
            <w:r w:rsidR="00C45737" w:rsidRPr="00C45737">
              <w:rPr>
                <w:rFonts w:ascii="Arial" w:hAnsi="Arial" w:cs="Arial"/>
                <w:sz w:val="22"/>
                <w:szCs w:val="22"/>
              </w:rPr>
              <w:t>,</w:t>
            </w:r>
            <w:r w:rsidR="00CD2461">
              <w:rPr>
                <w:rFonts w:ascii="Arial" w:hAnsi="Arial" w:cs="Arial"/>
                <w:sz w:val="22"/>
                <w:szCs w:val="22"/>
              </w:rPr>
              <w:t>5</w:t>
            </w:r>
            <w:r w:rsidR="00C45737" w:rsidRPr="00C45737">
              <w:rPr>
                <w:rFonts w:ascii="Arial" w:hAnsi="Arial" w:cs="Arial"/>
                <w:sz w:val="22"/>
                <w:szCs w:val="22"/>
              </w:rPr>
              <w:t>00 words</w:t>
            </w:r>
          </w:p>
        </w:tc>
        <w:tc>
          <w:tcPr>
            <w:tcW w:w="1559" w:type="dxa"/>
          </w:tcPr>
          <w:p w14:paraId="392D9CCE" w14:textId="43441646" w:rsidR="00B53530" w:rsidRPr="00B1208A" w:rsidRDefault="00E064AE" w:rsidP="00447080">
            <w:pPr>
              <w:rPr>
                <w:rFonts w:ascii="Arial" w:hAnsi="Arial" w:cs="Arial"/>
                <w:sz w:val="22"/>
                <w:szCs w:val="22"/>
              </w:rPr>
            </w:pPr>
            <w:r>
              <w:rPr>
                <w:rFonts w:ascii="Arial" w:hAnsi="Arial" w:cs="Arial"/>
                <w:sz w:val="22"/>
                <w:szCs w:val="22"/>
              </w:rPr>
              <w:t>5</w:t>
            </w:r>
            <w:r w:rsidR="00F624E2">
              <w:rPr>
                <w:rFonts w:ascii="Arial" w:hAnsi="Arial" w:cs="Arial"/>
                <w:sz w:val="22"/>
                <w:szCs w:val="22"/>
              </w:rPr>
              <w:t>0</w:t>
            </w:r>
            <w:r w:rsidR="00C45737">
              <w:rPr>
                <w:rFonts w:ascii="Arial" w:hAnsi="Arial" w:cs="Arial"/>
                <w:sz w:val="22"/>
                <w:szCs w:val="22"/>
              </w:rPr>
              <w:t>%</w:t>
            </w:r>
          </w:p>
        </w:tc>
      </w:tr>
    </w:tbl>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04564A13" w:rsidR="00B1208A" w:rsidRPr="00B1208A" w:rsidRDefault="00F624E2" w:rsidP="00F64B4A">
            <w:pPr>
              <w:keepNext/>
              <w:jc w:val="center"/>
              <w:rPr>
                <w:rFonts w:ascii="Arial" w:hAnsi="Arial" w:cs="Arial"/>
                <w:sz w:val="22"/>
                <w:szCs w:val="22"/>
              </w:rPr>
            </w:pPr>
            <w:r>
              <w:rPr>
                <w:rFonts w:ascii="Arial" w:hAnsi="Arial" w:cs="Arial"/>
                <w:sz w:val="22"/>
                <w:szCs w:val="22"/>
              </w:rPr>
              <w:t>100</w:t>
            </w:r>
            <w:r w:rsidR="00C45737">
              <w:rPr>
                <w:rFonts w:ascii="Arial" w:hAnsi="Arial" w:cs="Arial"/>
                <w:sz w:val="22"/>
                <w:szCs w:val="22"/>
              </w:rPr>
              <w:t>%</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46768AD6"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1142575F" w14:textId="77777777" w:rsidR="00A74B3E" w:rsidRPr="00A74B3E" w:rsidRDefault="00A74B3E" w:rsidP="00A74B3E">
      <w:pPr>
        <w:rPr>
          <w:rFonts w:ascii="Arial" w:hAnsi="Arial" w:cs="Arial"/>
          <w:b/>
          <w:sz w:val="22"/>
          <w:szCs w:val="22"/>
        </w:rPr>
      </w:pPr>
    </w:p>
    <w:p w14:paraId="391E82D2" w14:textId="77777777" w:rsidR="00A74B3E" w:rsidRPr="00C45737" w:rsidRDefault="00A74B3E" w:rsidP="00A74B3E">
      <w:pPr>
        <w:pStyle w:val="ListParagraph"/>
        <w:numPr>
          <w:ilvl w:val="0"/>
          <w:numId w:val="7"/>
        </w:numPr>
        <w:ind w:left="360"/>
        <w:rPr>
          <w:rFonts w:ascii="Arial" w:hAnsi="Arial" w:cs="Arial"/>
          <w:color w:val="000000" w:themeColor="text1"/>
          <w:sz w:val="22"/>
          <w:szCs w:val="22"/>
        </w:rPr>
      </w:pPr>
      <w:r w:rsidRPr="00C45737">
        <w:rPr>
          <w:rFonts w:ascii="Arial" w:hAnsi="Arial" w:cs="Arial"/>
          <w:b/>
          <w:color w:val="000000" w:themeColor="text1"/>
          <w:sz w:val="22"/>
          <w:szCs w:val="22"/>
        </w:rPr>
        <w:t xml:space="preserve">Essential Reading: </w:t>
      </w:r>
      <w:r w:rsidRPr="00C45737">
        <w:rPr>
          <w:rFonts w:ascii="Arial" w:hAnsi="Arial" w:cs="Arial"/>
          <w:color w:val="000000" w:themeColor="text1"/>
          <w:sz w:val="22"/>
          <w:szCs w:val="22"/>
        </w:rPr>
        <w:t xml:space="preserve">It is expected that the majority will contain no more than 7 items; </w:t>
      </w:r>
      <w:proofErr w:type="gramStart"/>
      <w:r w:rsidRPr="00C45737">
        <w:rPr>
          <w:rFonts w:ascii="Arial" w:hAnsi="Arial" w:cs="Arial"/>
          <w:color w:val="000000" w:themeColor="text1"/>
          <w:sz w:val="22"/>
          <w:szCs w:val="22"/>
        </w:rPr>
        <w:t>however</w:t>
      </w:r>
      <w:proofErr w:type="gramEnd"/>
      <w:r w:rsidRPr="00C45737">
        <w:rPr>
          <w:rFonts w:ascii="Arial" w:hAnsi="Arial" w:cs="Arial"/>
          <w:color w:val="000000" w:themeColor="text1"/>
          <w:sz w:val="22"/>
          <w:szCs w:val="22"/>
        </w:rPr>
        <w:t xml:space="preserve"> there will be instances where no more than 2 items is appropriate. The absolute maximum number of items to be included as essential on a reading list is up to 15 items.</w:t>
      </w:r>
    </w:p>
    <w:p w14:paraId="628D8BAD" w14:textId="77777777" w:rsidR="00A74B3E" w:rsidRPr="00C45737" w:rsidRDefault="00A74B3E" w:rsidP="00A74B3E">
      <w:pPr>
        <w:pStyle w:val="ListParagraph"/>
        <w:numPr>
          <w:ilvl w:val="0"/>
          <w:numId w:val="7"/>
        </w:numPr>
        <w:spacing w:before="120"/>
        <w:ind w:left="360"/>
        <w:rPr>
          <w:rFonts w:ascii="Arial" w:hAnsi="Arial" w:cs="Arial"/>
          <w:color w:val="000000" w:themeColor="text1"/>
          <w:sz w:val="22"/>
          <w:szCs w:val="22"/>
        </w:rPr>
      </w:pPr>
      <w:r w:rsidRPr="00C45737">
        <w:rPr>
          <w:rFonts w:ascii="Arial" w:hAnsi="Arial" w:cs="Arial"/>
          <w:b/>
          <w:color w:val="000000" w:themeColor="text1"/>
          <w:sz w:val="22"/>
          <w:szCs w:val="22"/>
        </w:rPr>
        <w:t xml:space="preserve">Further Reading: </w:t>
      </w:r>
      <w:r w:rsidRPr="00C45737">
        <w:rPr>
          <w:rFonts w:ascii="Arial" w:hAnsi="Arial" w:cs="Arial"/>
          <w:color w:val="000000" w:themeColor="text1"/>
          <w:sz w:val="22"/>
          <w:szCs w:val="22"/>
        </w:rPr>
        <w:t>The absolute maximum number of items to be included as further reading on a reading list is up to 25 items, plus digitised chapters / articles as appropriate and within Copyright Licensing Agency (CLA) guidelines.</w:t>
      </w: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77777777" w:rsidR="00A74B3E" w:rsidRPr="00A74B3E" w:rsidRDefault="00A74B3E" w:rsidP="00DF0678">
            <w:pPr>
              <w:tabs>
                <w:tab w:val="num" w:pos="720"/>
                <w:tab w:val="left" w:pos="1440"/>
              </w:tabs>
              <w:rPr>
                <w:rFonts w:ascii="Arial" w:hAnsi="Arial" w:cs="Arial"/>
                <w:b/>
                <w:sz w:val="22"/>
                <w:szCs w:val="22"/>
              </w:rPr>
            </w:pP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17D77C2F" w:rsidR="00A74B3E" w:rsidRPr="00A74B3E" w:rsidRDefault="00F624E2" w:rsidP="00DF0678">
            <w:pPr>
              <w:tabs>
                <w:tab w:val="num" w:pos="720"/>
                <w:tab w:val="left" w:pos="1440"/>
              </w:tabs>
              <w:rPr>
                <w:rFonts w:ascii="Arial" w:hAnsi="Arial" w:cs="Arial"/>
                <w:b/>
                <w:sz w:val="22"/>
                <w:szCs w:val="22"/>
              </w:rPr>
            </w:pPr>
            <w:r>
              <w:rPr>
                <w:rFonts w:ascii="Arial" w:hAnsi="Arial" w:cs="Arial"/>
                <w:b/>
                <w:sz w:val="22"/>
                <w:szCs w:val="22"/>
              </w:rPr>
              <w:t>Error and Sweet Violence: Shakespeare and Renaissance Comedy and Tragedy</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3F7F5B" w:rsidRPr="00A74B3E" w14:paraId="7562E93A" w14:textId="77777777" w:rsidTr="00BA343F">
        <w:tc>
          <w:tcPr>
            <w:tcW w:w="1689" w:type="dxa"/>
          </w:tcPr>
          <w:p w14:paraId="54116887" w14:textId="0F787388"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3AE3E739" w14:textId="1AF4D8F6"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Renaissance Humanism: An Anthology of Sources. Ed. &amp; trans. Margaret L. King. Indianapolis, Indiana: Hackett, 2014.</w:t>
            </w:r>
          </w:p>
        </w:tc>
        <w:tc>
          <w:tcPr>
            <w:tcW w:w="1366" w:type="dxa"/>
          </w:tcPr>
          <w:sdt>
            <w:sdtPr>
              <w:rPr>
                <w:rFonts w:ascii="Arial" w:hAnsi="Arial" w:cs="Arial"/>
                <w:sz w:val="22"/>
                <w:szCs w:val="22"/>
              </w:rPr>
              <w:id w:val="-441465686"/>
              <w14:checkbox>
                <w14:checked w14:val="0"/>
                <w14:checkedState w14:val="2612" w14:font="MS Gothic"/>
                <w14:uncheckedState w14:val="2610" w14:font="MS Gothic"/>
              </w14:checkbox>
            </w:sdtPr>
            <w:sdtContent>
              <w:p w14:paraId="3E3423D1"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542A49ED" w14:textId="752A5B84" w:rsidR="003F7F5B" w:rsidRPr="00A74B3E" w:rsidRDefault="003F7F5B" w:rsidP="003F7F5B">
            <w:pPr>
              <w:jc w:val="center"/>
              <w:rPr>
                <w:rFonts w:ascii="Arial" w:hAnsi="Arial" w:cs="Arial"/>
                <w:sz w:val="22"/>
                <w:szCs w:val="22"/>
              </w:rPr>
            </w:pPr>
          </w:p>
        </w:tc>
      </w:tr>
      <w:tr w:rsidR="003F7F5B" w:rsidRPr="00A74B3E" w14:paraId="1EB48349" w14:textId="77777777" w:rsidTr="00BA343F">
        <w:tc>
          <w:tcPr>
            <w:tcW w:w="1689" w:type="dxa"/>
          </w:tcPr>
          <w:p w14:paraId="6E9A57FE" w14:textId="714EE995"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322EAA47" w14:textId="7B63DF1A"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Petrarch, F. Selections from the </w:t>
            </w:r>
            <w:proofErr w:type="spellStart"/>
            <w:r w:rsidRPr="000243D0">
              <w:rPr>
                <w:rFonts w:ascii="Arial" w:hAnsi="Arial" w:cs="Arial"/>
                <w:sz w:val="22"/>
                <w:szCs w:val="22"/>
              </w:rPr>
              <w:t>Canzoniere</w:t>
            </w:r>
            <w:proofErr w:type="spellEnd"/>
            <w:r w:rsidRPr="000243D0">
              <w:rPr>
                <w:rFonts w:ascii="Arial" w:hAnsi="Arial" w:cs="Arial"/>
                <w:sz w:val="22"/>
                <w:szCs w:val="22"/>
              </w:rPr>
              <w:t xml:space="preserve"> and Other Works, ed. Mark Musa. Oxford: Oxford University Press, 2008</w:t>
            </w:r>
          </w:p>
        </w:tc>
        <w:tc>
          <w:tcPr>
            <w:tcW w:w="1366" w:type="dxa"/>
          </w:tcPr>
          <w:sdt>
            <w:sdtPr>
              <w:rPr>
                <w:rFonts w:ascii="Arial" w:hAnsi="Arial" w:cs="Arial"/>
                <w:sz w:val="22"/>
                <w:szCs w:val="22"/>
              </w:rPr>
              <w:id w:val="-865751860"/>
              <w14:checkbox>
                <w14:checked w14:val="0"/>
                <w14:checkedState w14:val="2612" w14:font="MS Gothic"/>
                <w14:uncheckedState w14:val="2610" w14:font="MS Gothic"/>
              </w14:checkbox>
            </w:sdtPr>
            <w:sdtContent>
              <w:p w14:paraId="4172F0E4"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3473B23" w14:textId="29490BC3" w:rsidR="003F7F5B" w:rsidRPr="00A74B3E" w:rsidRDefault="003F7F5B" w:rsidP="003F7F5B">
            <w:pPr>
              <w:jc w:val="center"/>
              <w:rPr>
                <w:rFonts w:ascii="Arial" w:hAnsi="Arial" w:cs="Arial"/>
                <w:sz w:val="22"/>
                <w:szCs w:val="22"/>
              </w:rPr>
            </w:pPr>
          </w:p>
        </w:tc>
      </w:tr>
      <w:tr w:rsidR="003F7F5B" w:rsidRPr="00A74B3E" w14:paraId="63312798" w14:textId="77777777" w:rsidTr="00BA343F">
        <w:tc>
          <w:tcPr>
            <w:tcW w:w="1689" w:type="dxa"/>
          </w:tcPr>
          <w:p w14:paraId="0E1D4BA2" w14:textId="71902BD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42EE250E" w14:textId="77777777" w:rsidR="003F7F5B" w:rsidRDefault="003F7F5B" w:rsidP="003F7F5B">
            <w:pPr>
              <w:tabs>
                <w:tab w:val="num" w:pos="720"/>
                <w:tab w:val="left" w:pos="1440"/>
              </w:tabs>
              <w:rPr>
                <w:rFonts w:ascii="Arial" w:hAnsi="Arial" w:cs="Arial"/>
                <w:sz w:val="22"/>
                <w:szCs w:val="22"/>
              </w:rPr>
            </w:pPr>
            <w:r w:rsidRPr="000243D0">
              <w:rPr>
                <w:rFonts w:ascii="Arial" w:hAnsi="Arial" w:cs="Arial"/>
                <w:sz w:val="22"/>
                <w:szCs w:val="22"/>
              </w:rPr>
              <w:t>Bacon, Francis, The Advancement of Learning, ed. Stephen Jay Gould. New York: Random House, 2001</w:t>
            </w:r>
          </w:p>
          <w:p w14:paraId="14EB3D9A" w14:textId="4510570A" w:rsidR="003F7F5B" w:rsidRPr="00A74B3E" w:rsidRDefault="003F7F5B" w:rsidP="003F7F5B">
            <w:pPr>
              <w:tabs>
                <w:tab w:val="num" w:pos="720"/>
                <w:tab w:val="left" w:pos="1440"/>
              </w:tabs>
              <w:rPr>
                <w:rFonts w:ascii="Arial" w:hAnsi="Arial" w:cs="Arial"/>
                <w:sz w:val="22"/>
                <w:szCs w:val="22"/>
              </w:rPr>
            </w:pPr>
            <w:r w:rsidRPr="006D7C89">
              <w:rPr>
                <w:rFonts w:ascii="Arial" w:hAnsi="Arial" w:cs="Arial"/>
                <w:sz w:val="22"/>
                <w:szCs w:val="22"/>
              </w:rPr>
              <w:t xml:space="preserve">[or another edition available online from ProQuest </w:t>
            </w:r>
            <w:proofErr w:type="spellStart"/>
            <w:r w:rsidRPr="006D7C89">
              <w:rPr>
                <w:rFonts w:ascii="Arial" w:hAnsi="Arial" w:cs="Arial"/>
                <w:sz w:val="22"/>
                <w:szCs w:val="22"/>
              </w:rPr>
              <w:t>Ebook</w:t>
            </w:r>
            <w:proofErr w:type="spellEnd"/>
            <w:r w:rsidRPr="006D7C89">
              <w:rPr>
                <w:rFonts w:ascii="Arial" w:hAnsi="Arial" w:cs="Arial"/>
                <w:sz w:val="22"/>
                <w:szCs w:val="22"/>
              </w:rPr>
              <w:t xml:space="preserve"> Central, via the UWTSD Library Catalogue]</w:t>
            </w:r>
          </w:p>
        </w:tc>
        <w:tc>
          <w:tcPr>
            <w:tcW w:w="1366" w:type="dxa"/>
          </w:tcPr>
          <w:sdt>
            <w:sdtPr>
              <w:rPr>
                <w:rFonts w:ascii="Arial" w:hAnsi="Arial" w:cs="Arial"/>
                <w:sz w:val="22"/>
                <w:szCs w:val="22"/>
              </w:rPr>
              <w:id w:val="-1014383077"/>
              <w14:checkbox>
                <w14:checked w14:val="1"/>
                <w14:checkedState w14:val="2612" w14:font="MS Gothic"/>
                <w14:uncheckedState w14:val="2610" w14:font="MS Gothic"/>
              </w14:checkbox>
            </w:sdtPr>
            <w:sdtContent>
              <w:p w14:paraId="1EE7E304"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1FA6F5D1" w14:textId="2251F953" w:rsidR="003F7F5B" w:rsidRPr="00A74B3E" w:rsidRDefault="003F7F5B" w:rsidP="003F7F5B">
            <w:pPr>
              <w:jc w:val="center"/>
              <w:rPr>
                <w:rFonts w:ascii="Arial" w:hAnsi="Arial" w:cs="Arial"/>
                <w:sz w:val="22"/>
                <w:szCs w:val="22"/>
              </w:rPr>
            </w:pPr>
          </w:p>
        </w:tc>
      </w:tr>
      <w:tr w:rsidR="003F7F5B" w:rsidRPr="00A74B3E" w14:paraId="5B082F82" w14:textId="77777777" w:rsidTr="00BA343F">
        <w:tc>
          <w:tcPr>
            <w:tcW w:w="1689" w:type="dxa"/>
          </w:tcPr>
          <w:p w14:paraId="50ECF628" w14:textId="40FCD5C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3EA1745B" w14:textId="77777777" w:rsidR="003F7F5B" w:rsidRDefault="003F7F5B" w:rsidP="003F7F5B">
            <w:pPr>
              <w:tabs>
                <w:tab w:val="num" w:pos="720"/>
                <w:tab w:val="left" w:pos="1440"/>
              </w:tabs>
              <w:rPr>
                <w:rFonts w:ascii="Arial" w:hAnsi="Arial" w:cs="Arial"/>
                <w:sz w:val="22"/>
                <w:szCs w:val="22"/>
              </w:rPr>
            </w:pPr>
            <w:r w:rsidRPr="000243D0">
              <w:rPr>
                <w:rFonts w:ascii="Arial" w:hAnsi="Arial" w:cs="Arial"/>
                <w:sz w:val="22"/>
                <w:szCs w:val="22"/>
              </w:rPr>
              <w:t>Montaigne, Michel de, The Complete Essays, trans. M.A. Screech. Harmondsworth: Penguin, 2004</w:t>
            </w:r>
          </w:p>
          <w:p w14:paraId="2DAC4FB3" w14:textId="52F98AB8" w:rsidR="003F7F5B" w:rsidRPr="00A74B3E" w:rsidRDefault="003F7F5B" w:rsidP="003F7F5B">
            <w:pPr>
              <w:tabs>
                <w:tab w:val="num" w:pos="720"/>
                <w:tab w:val="left" w:pos="1440"/>
              </w:tabs>
              <w:rPr>
                <w:rFonts w:ascii="Arial" w:hAnsi="Arial" w:cs="Arial"/>
                <w:sz w:val="22"/>
                <w:szCs w:val="22"/>
              </w:rPr>
            </w:pPr>
            <w:r w:rsidRPr="006D7C89">
              <w:rPr>
                <w:rFonts w:ascii="Arial" w:hAnsi="Arial" w:cs="Arial"/>
                <w:sz w:val="22"/>
                <w:szCs w:val="22"/>
              </w:rPr>
              <w:t>[or another edition available online from www.gutenburg.org]</w:t>
            </w:r>
          </w:p>
        </w:tc>
        <w:tc>
          <w:tcPr>
            <w:tcW w:w="1366" w:type="dxa"/>
          </w:tcPr>
          <w:sdt>
            <w:sdtPr>
              <w:rPr>
                <w:rFonts w:ascii="Arial" w:hAnsi="Arial" w:cs="Arial"/>
                <w:sz w:val="22"/>
                <w:szCs w:val="22"/>
              </w:rPr>
              <w:id w:val="-1083138252"/>
              <w14:checkbox>
                <w14:checked w14:val="1"/>
                <w14:checkedState w14:val="2612" w14:font="MS Gothic"/>
                <w14:uncheckedState w14:val="2610" w14:font="MS Gothic"/>
              </w14:checkbox>
            </w:sdtPr>
            <w:sdtContent>
              <w:p w14:paraId="4A4B8F82"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67A4079" w14:textId="24CC89C7" w:rsidR="003F7F5B" w:rsidRDefault="003F7F5B" w:rsidP="003F7F5B">
            <w:pPr>
              <w:jc w:val="center"/>
              <w:rPr>
                <w:rFonts w:ascii="Arial" w:hAnsi="Arial" w:cs="Arial"/>
                <w:sz w:val="22"/>
                <w:szCs w:val="22"/>
              </w:rPr>
            </w:pPr>
          </w:p>
        </w:tc>
      </w:tr>
      <w:tr w:rsidR="003F7F5B" w:rsidRPr="00A74B3E" w14:paraId="580658C1" w14:textId="77777777" w:rsidTr="00BA343F">
        <w:tc>
          <w:tcPr>
            <w:tcW w:w="1689" w:type="dxa"/>
          </w:tcPr>
          <w:p w14:paraId="02923BBC" w14:textId="4FCD3FD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3F0A4435" w14:textId="10165414"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Burton, Robert, The Anatomy of Melancholy, ed. Angus </w:t>
            </w:r>
            <w:proofErr w:type="spellStart"/>
            <w:r w:rsidRPr="000243D0">
              <w:rPr>
                <w:rFonts w:ascii="Arial" w:hAnsi="Arial" w:cs="Arial"/>
                <w:sz w:val="22"/>
                <w:szCs w:val="22"/>
              </w:rPr>
              <w:t>Gowland</w:t>
            </w:r>
            <w:proofErr w:type="spellEnd"/>
            <w:r w:rsidRPr="000243D0">
              <w:rPr>
                <w:rFonts w:ascii="Arial" w:hAnsi="Arial" w:cs="Arial"/>
                <w:sz w:val="22"/>
                <w:szCs w:val="22"/>
              </w:rPr>
              <w:t>. Harmondsworth: Penguin, 2018.</w:t>
            </w:r>
          </w:p>
        </w:tc>
        <w:tc>
          <w:tcPr>
            <w:tcW w:w="1366" w:type="dxa"/>
          </w:tcPr>
          <w:sdt>
            <w:sdtPr>
              <w:rPr>
                <w:rFonts w:ascii="Arial" w:hAnsi="Arial" w:cs="Arial"/>
                <w:sz w:val="22"/>
                <w:szCs w:val="22"/>
              </w:rPr>
              <w:id w:val="426928851"/>
              <w14:checkbox>
                <w14:checked w14:val="0"/>
                <w14:checkedState w14:val="2612" w14:font="MS Gothic"/>
                <w14:uncheckedState w14:val="2610" w14:font="MS Gothic"/>
              </w14:checkbox>
            </w:sdtPr>
            <w:sdtContent>
              <w:p w14:paraId="43A42F40" w14:textId="77777777" w:rsidR="003F7F5B" w:rsidRPr="000243D0" w:rsidRDefault="003F7F5B" w:rsidP="003F7F5B">
                <w:pPr>
                  <w:jc w:val="center"/>
                  <w:rPr>
                    <w:rFonts w:ascii="Arial" w:hAnsi="Arial" w:cs="Arial"/>
                    <w:sz w:val="22"/>
                    <w:szCs w:val="22"/>
                  </w:rPr>
                </w:pPr>
                <w:r>
                  <w:rPr>
                    <w:rFonts w:ascii="MS Gothic" w:eastAsia="MS Gothic" w:hAnsi="MS Gothic" w:cs="Arial" w:hint="eastAsia"/>
                    <w:sz w:val="22"/>
                    <w:szCs w:val="22"/>
                  </w:rPr>
                  <w:t>☐</w:t>
                </w:r>
              </w:p>
            </w:sdtContent>
          </w:sdt>
          <w:p w14:paraId="07E785D8" w14:textId="0DCE9042" w:rsidR="003F7F5B" w:rsidRDefault="003F7F5B" w:rsidP="003F7F5B">
            <w:pPr>
              <w:jc w:val="center"/>
              <w:rPr>
                <w:rFonts w:ascii="Arial" w:hAnsi="Arial" w:cs="Arial"/>
                <w:sz w:val="22"/>
                <w:szCs w:val="22"/>
              </w:rPr>
            </w:pPr>
          </w:p>
        </w:tc>
      </w:tr>
      <w:tr w:rsidR="003F7F5B" w:rsidRPr="00A74B3E" w14:paraId="65AB1BB7" w14:textId="77777777" w:rsidTr="00BA343F">
        <w:tc>
          <w:tcPr>
            <w:tcW w:w="1689" w:type="dxa"/>
          </w:tcPr>
          <w:p w14:paraId="11280A17" w14:textId="0CB575A2"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4817BBC5" w14:textId="286E70FD"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François Rabelais, Gargantua and Pantagruel, trans. M.A. Screech. Harmondsworth: Penguin, 2006.</w:t>
            </w:r>
          </w:p>
        </w:tc>
        <w:tc>
          <w:tcPr>
            <w:tcW w:w="1366" w:type="dxa"/>
          </w:tcPr>
          <w:sdt>
            <w:sdtPr>
              <w:rPr>
                <w:rFonts w:ascii="Arial" w:hAnsi="Arial" w:cs="Arial"/>
                <w:sz w:val="22"/>
                <w:szCs w:val="22"/>
              </w:rPr>
              <w:id w:val="1208380310"/>
              <w14:checkbox>
                <w14:checked w14:val="0"/>
                <w14:checkedState w14:val="2612" w14:font="MS Gothic"/>
                <w14:uncheckedState w14:val="2610" w14:font="MS Gothic"/>
              </w14:checkbox>
            </w:sdtPr>
            <w:sdtContent>
              <w:p w14:paraId="2FF16909" w14:textId="77777777" w:rsidR="003F7F5B" w:rsidRPr="000243D0" w:rsidRDefault="003F7F5B" w:rsidP="003F7F5B">
                <w:pPr>
                  <w:jc w:val="center"/>
                  <w:rPr>
                    <w:rFonts w:ascii="Arial" w:hAnsi="Arial" w:cs="Arial"/>
                    <w:sz w:val="22"/>
                    <w:szCs w:val="22"/>
                  </w:rPr>
                </w:pPr>
                <w:r>
                  <w:rPr>
                    <w:rFonts w:ascii="MS Gothic" w:eastAsia="MS Gothic" w:hAnsi="MS Gothic" w:cs="Arial" w:hint="eastAsia"/>
                    <w:sz w:val="22"/>
                    <w:szCs w:val="22"/>
                  </w:rPr>
                  <w:t>☐</w:t>
                </w:r>
              </w:p>
            </w:sdtContent>
          </w:sdt>
          <w:p w14:paraId="518B3CDF" w14:textId="7C9A9366" w:rsidR="003F7F5B" w:rsidRDefault="003F7F5B" w:rsidP="003F7F5B">
            <w:pPr>
              <w:jc w:val="center"/>
              <w:rPr>
                <w:rFonts w:ascii="Arial" w:hAnsi="Arial" w:cs="Arial"/>
                <w:sz w:val="22"/>
                <w:szCs w:val="22"/>
              </w:rPr>
            </w:pPr>
          </w:p>
        </w:tc>
      </w:tr>
      <w:tr w:rsidR="003F7F5B" w:rsidRPr="00A74B3E" w14:paraId="3FDB49A9" w14:textId="77777777" w:rsidTr="00BA343F">
        <w:tc>
          <w:tcPr>
            <w:tcW w:w="1689" w:type="dxa"/>
          </w:tcPr>
          <w:p w14:paraId="2E2482EC" w14:textId="5B5750EA"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49BF6031" w14:textId="3FC80842"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A selection of texts relating to the English colony in Virginia, made available by Early English Books Online</w:t>
            </w:r>
          </w:p>
        </w:tc>
        <w:tc>
          <w:tcPr>
            <w:tcW w:w="1366" w:type="dxa"/>
          </w:tcPr>
          <w:sdt>
            <w:sdtPr>
              <w:rPr>
                <w:rFonts w:ascii="Arial" w:hAnsi="Arial" w:cs="Arial"/>
                <w:sz w:val="22"/>
                <w:szCs w:val="22"/>
              </w:rPr>
              <w:id w:val="-381102241"/>
              <w14:checkbox>
                <w14:checked w14:val="1"/>
                <w14:checkedState w14:val="2612" w14:font="MS Gothic"/>
                <w14:uncheckedState w14:val="2610" w14:font="MS Gothic"/>
              </w14:checkbox>
            </w:sdtPr>
            <w:sdtContent>
              <w:p w14:paraId="77F1B15A"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DDA0414" w14:textId="6AF942F8" w:rsidR="003F7F5B" w:rsidRDefault="003F7F5B" w:rsidP="003F7F5B">
            <w:pPr>
              <w:jc w:val="center"/>
              <w:rPr>
                <w:rFonts w:ascii="Arial" w:hAnsi="Arial" w:cs="Arial"/>
                <w:sz w:val="22"/>
                <w:szCs w:val="22"/>
              </w:rPr>
            </w:pPr>
          </w:p>
        </w:tc>
      </w:tr>
      <w:tr w:rsidR="003F7F5B" w:rsidRPr="00A74B3E" w14:paraId="2767C329" w14:textId="77777777" w:rsidTr="00BA343F">
        <w:tc>
          <w:tcPr>
            <w:tcW w:w="1689" w:type="dxa"/>
          </w:tcPr>
          <w:p w14:paraId="065D6BC5" w14:textId="0E2DC0AF"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8FC254E" w14:textId="0C45BE2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Nauert, Charles G., Humanism and the Culture of Renaissance Europe. 2nd </w:t>
            </w:r>
            <w:proofErr w:type="spellStart"/>
            <w:r w:rsidRPr="000243D0">
              <w:rPr>
                <w:rFonts w:ascii="Arial" w:hAnsi="Arial" w:cs="Arial"/>
                <w:sz w:val="22"/>
                <w:szCs w:val="22"/>
              </w:rPr>
              <w:t>edn</w:t>
            </w:r>
            <w:proofErr w:type="spellEnd"/>
            <w:r w:rsidRPr="000243D0">
              <w:rPr>
                <w:rFonts w:ascii="Arial" w:hAnsi="Arial" w:cs="Arial"/>
                <w:sz w:val="22"/>
                <w:szCs w:val="22"/>
              </w:rPr>
              <w:t>. Cambridge: Cambridge University Press, 2006.</w:t>
            </w:r>
          </w:p>
        </w:tc>
        <w:tc>
          <w:tcPr>
            <w:tcW w:w="1366" w:type="dxa"/>
          </w:tcPr>
          <w:sdt>
            <w:sdtPr>
              <w:rPr>
                <w:rFonts w:ascii="Arial" w:hAnsi="Arial" w:cs="Arial"/>
                <w:sz w:val="22"/>
                <w:szCs w:val="22"/>
              </w:rPr>
              <w:id w:val="1262259349"/>
              <w14:checkbox>
                <w14:checked w14:val="0"/>
                <w14:checkedState w14:val="2612" w14:font="MS Gothic"/>
                <w14:uncheckedState w14:val="2610" w14:font="MS Gothic"/>
              </w14:checkbox>
            </w:sdtPr>
            <w:sdtContent>
              <w:p w14:paraId="6A9BFFE8" w14:textId="77777777" w:rsidR="003F7F5B" w:rsidRPr="000243D0" w:rsidRDefault="003F7F5B" w:rsidP="003F7F5B">
                <w:pPr>
                  <w:jc w:val="center"/>
                  <w:rPr>
                    <w:rFonts w:ascii="Arial" w:hAnsi="Arial" w:cs="Arial"/>
                    <w:sz w:val="22"/>
                    <w:szCs w:val="22"/>
                  </w:rPr>
                </w:pPr>
                <w:r>
                  <w:rPr>
                    <w:rFonts w:ascii="MS Gothic" w:eastAsia="MS Gothic" w:hAnsi="MS Gothic" w:cs="Arial" w:hint="eastAsia"/>
                    <w:sz w:val="22"/>
                    <w:szCs w:val="22"/>
                  </w:rPr>
                  <w:t>☐</w:t>
                </w:r>
              </w:p>
            </w:sdtContent>
          </w:sdt>
          <w:p w14:paraId="0C2FF8C8" w14:textId="7E3FC14B" w:rsidR="003F7F5B" w:rsidRDefault="003F7F5B" w:rsidP="003F7F5B">
            <w:pPr>
              <w:jc w:val="center"/>
              <w:rPr>
                <w:rFonts w:ascii="Arial" w:hAnsi="Arial" w:cs="Arial"/>
                <w:sz w:val="22"/>
                <w:szCs w:val="22"/>
              </w:rPr>
            </w:pPr>
          </w:p>
        </w:tc>
      </w:tr>
      <w:tr w:rsidR="003F7F5B" w:rsidRPr="00A74B3E" w14:paraId="4E30DA11" w14:textId="77777777" w:rsidTr="00BA343F">
        <w:tc>
          <w:tcPr>
            <w:tcW w:w="1689" w:type="dxa"/>
          </w:tcPr>
          <w:p w14:paraId="7B0A2CA8" w14:textId="7DB55426"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50601AB2" w14:textId="306A3316"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Eisenstein, Elizabeth L., </w:t>
            </w:r>
            <w:r w:rsidRPr="000243D0">
              <w:rPr>
                <w:rFonts w:ascii="Arial" w:hAnsi="Arial" w:cs="Arial"/>
                <w:i/>
                <w:sz w:val="22"/>
                <w:szCs w:val="22"/>
              </w:rPr>
              <w:t>The Printing Press as an Agent of Change: Communications and Cultural Transformations in Early-Modern Europe</w:t>
            </w:r>
            <w:r w:rsidRPr="000243D0">
              <w:rPr>
                <w:rFonts w:ascii="Arial" w:hAnsi="Arial" w:cs="Arial"/>
                <w:sz w:val="22"/>
                <w:szCs w:val="22"/>
              </w:rPr>
              <w:t>, 2 vols. Cambridge: Cambridge University Press, 1979</w:t>
            </w:r>
          </w:p>
        </w:tc>
        <w:tc>
          <w:tcPr>
            <w:tcW w:w="1366" w:type="dxa"/>
          </w:tcPr>
          <w:sdt>
            <w:sdtPr>
              <w:rPr>
                <w:rFonts w:ascii="Arial" w:hAnsi="Arial" w:cs="Arial"/>
                <w:sz w:val="22"/>
                <w:szCs w:val="22"/>
              </w:rPr>
              <w:id w:val="-391350918"/>
              <w14:checkbox>
                <w14:checked w14:val="0"/>
                <w14:checkedState w14:val="2612" w14:font="MS Gothic"/>
                <w14:uncheckedState w14:val="2610" w14:font="MS Gothic"/>
              </w14:checkbox>
            </w:sdtPr>
            <w:sdtContent>
              <w:p w14:paraId="7536A170"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11ED0DA3" w14:textId="16FDA9D1" w:rsidR="003F7F5B" w:rsidRDefault="003F7F5B" w:rsidP="003F7F5B">
            <w:pPr>
              <w:jc w:val="center"/>
              <w:rPr>
                <w:rFonts w:ascii="Arial" w:hAnsi="Arial" w:cs="Arial"/>
                <w:sz w:val="22"/>
                <w:szCs w:val="22"/>
              </w:rPr>
            </w:pPr>
          </w:p>
        </w:tc>
      </w:tr>
      <w:tr w:rsidR="003F7F5B" w:rsidRPr="00A74B3E" w14:paraId="7720A566" w14:textId="77777777" w:rsidTr="00BA343F">
        <w:tc>
          <w:tcPr>
            <w:tcW w:w="1689" w:type="dxa"/>
          </w:tcPr>
          <w:p w14:paraId="7C6A4DE9" w14:textId="4BDC4CB5"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53BDCCE" w14:textId="5D77A1E1"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Cunningham, Andrew, </w:t>
            </w:r>
            <w:r w:rsidRPr="000243D0">
              <w:rPr>
                <w:rFonts w:ascii="Arial" w:hAnsi="Arial" w:cs="Arial"/>
                <w:i/>
                <w:iCs/>
                <w:sz w:val="22"/>
                <w:szCs w:val="22"/>
              </w:rPr>
              <w:t>The Anatomical Renaissance: The Resurrection of the Anatomical Projects of the Ancients</w:t>
            </w:r>
            <w:r w:rsidRPr="000243D0">
              <w:rPr>
                <w:rFonts w:ascii="Arial" w:hAnsi="Arial" w:cs="Arial"/>
                <w:sz w:val="22"/>
                <w:szCs w:val="22"/>
              </w:rPr>
              <w:t xml:space="preserve">. Aldershot: </w:t>
            </w:r>
            <w:proofErr w:type="spellStart"/>
            <w:r w:rsidRPr="000243D0">
              <w:rPr>
                <w:rFonts w:ascii="Arial" w:hAnsi="Arial" w:cs="Arial"/>
                <w:sz w:val="22"/>
                <w:szCs w:val="22"/>
              </w:rPr>
              <w:t>Scolar</w:t>
            </w:r>
            <w:proofErr w:type="spellEnd"/>
            <w:r w:rsidRPr="000243D0">
              <w:rPr>
                <w:rFonts w:ascii="Arial" w:hAnsi="Arial" w:cs="Arial"/>
                <w:sz w:val="22"/>
                <w:szCs w:val="22"/>
              </w:rPr>
              <w:t xml:space="preserve"> Press, 1997</w:t>
            </w:r>
          </w:p>
        </w:tc>
        <w:tc>
          <w:tcPr>
            <w:tcW w:w="1366" w:type="dxa"/>
          </w:tcPr>
          <w:sdt>
            <w:sdtPr>
              <w:rPr>
                <w:rFonts w:ascii="Arial" w:hAnsi="Arial" w:cs="Arial"/>
                <w:sz w:val="22"/>
                <w:szCs w:val="22"/>
              </w:rPr>
              <w:id w:val="1664431841"/>
              <w14:checkbox>
                <w14:checked w14:val="0"/>
                <w14:checkedState w14:val="2612" w14:font="MS Gothic"/>
                <w14:uncheckedState w14:val="2610" w14:font="MS Gothic"/>
              </w14:checkbox>
            </w:sdtPr>
            <w:sdtContent>
              <w:p w14:paraId="518A24AE"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349299BD" w14:textId="3424CC4A" w:rsidR="003F7F5B" w:rsidRPr="00A74B3E" w:rsidRDefault="003F7F5B" w:rsidP="003F7F5B">
            <w:pPr>
              <w:jc w:val="center"/>
              <w:rPr>
                <w:rFonts w:ascii="Arial" w:hAnsi="Arial" w:cs="Arial"/>
                <w:sz w:val="22"/>
                <w:szCs w:val="22"/>
              </w:rPr>
            </w:pPr>
          </w:p>
        </w:tc>
      </w:tr>
      <w:tr w:rsidR="003F7F5B" w:rsidRPr="00A74B3E" w14:paraId="3897B6B7" w14:textId="77777777" w:rsidTr="00BA343F">
        <w:tc>
          <w:tcPr>
            <w:tcW w:w="1689" w:type="dxa"/>
          </w:tcPr>
          <w:p w14:paraId="3A762DAB" w14:textId="3BAE0F49"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2C2DD73" w14:textId="1F8D48D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Andreas Vesalius, De </w:t>
            </w:r>
            <w:proofErr w:type="spellStart"/>
            <w:r w:rsidRPr="000243D0">
              <w:rPr>
                <w:rFonts w:ascii="Arial" w:hAnsi="Arial" w:cs="Arial"/>
                <w:sz w:val="22"/>
                <w:szCs w:val="22"/>
              </w:rPr>
              <w:t>humani</w:t>
            </w:r>
            <w:proofErr w:type="spellEnd"/>
            <w:r w:rsidRPr="000243D0">
              <w:rPr>
                <w:rFonts w:ascii="Arial" w:hAnsi="Arial" w:cs="Arial"/>
                <w:sz w:val="22"/>
                <w:szCs w:val="22"/>
              </w:rPr>
              <w:t xml:space="preserve"> corporis </w:t>
            </w:r>
            <w:proofErr w:type="spellStart"/>
            <w:r w:rsidRPr="000243D0">
              <w:rPr>
                <w:rFonts w:ascii="Arial" w:hAnsi="Arial" w:cs="Arial"/>
                <w:sz w:val="22"/>
                <w:szCs w:val="22"/>
              </w:rPr>
              <w:t>fabrica</w:t>
            </w:r>
            <w:proofErr w:type="spellEnd"/>
            <w:r w:rsidRPr="000243D0">
              <w:rPr>
                <w:rFonts w:ascii="Arial" w:hAnsi="Arial" w:cs="Arial"/>
                <w:sz w:val="22"/>
                <w:szCs w:val="22"/>
              </w:rPr>
              <w:t xml:space="preserve"> libri </w:t>
            </w:r>
            <w:proofErr w:type="spellStart"/>
            <w:r w:rsidRPr="000243D0">
              <w:rPr>
                <w:rFonts w:ascii="Arial" w:hAnsi="Arial" w:cs="Arial"/>
                <w:sz w:val="22"/>
                <w:szCs w:val="22"/>
              </w:rPr>
              <w:t>septem</w:t>
            </w:r>
            <w:proofErr w:type="spellEnd"/>
            <w:r w:rsidRPr="000243D0">
              <w:rPr>
                <w:rFonts w:ascii="Arial" w:hAnsi="Arial" w:cs="Arial"/>
                <w:sz w:val="22"/>
                <w:szCs w:val="22"/>
              </w:rPr>
              <w:t xml:space="preserve">. Basel: </w:t>
            </w:r>
            <w:proofErr w:type="spellStart"/>
            <w:r w:rsidRPr="000243D0">
              <w:rPr>
                <w:rFonts w:ascii="Arial" w:hAnsi="Arial" w:cs="Arial"/>
                <w:sz w:val="22"/>
                <w:szCs w:val="22"/>
              </w:rPr>
              <w:t>Oporinus</w:t>
            </w:r>
            <w:proofErr w:type="spellEnd"/>
            <w:r w:rsidRPr="000243D0">
              <w:rPr>
                <w:rFonts w:ascii="Arial" w:hAnsi="Arial" w:cs="Arial"/>
                <w:sz w:val="22"/>
                <w:szCs w:val="22"/>
              </w:rPr>
              <w:t>, 1543.</w:t>
            </w:r>
          </w:p>
        </w:tc>
        <w:tc>
          <w:tcPr>
            <w:tcW w:w="1366" w:type="dxa"/>
          </w:tcPr>
          <w:sdt>
            <w:sdtPr>
              <w:rPr>
                <w:rFonts w:ascii="Arial" w:hAnsi="Arial" w:cs="Arial"/>
                <w:sz w:val="22"/>
                <w:szCs w:val="22"/>
              </w:rPr>
              <w:id w:val="1766418318"/>
              <w14:checkbox>
                <w14:checked w14:val="1"/>
                <w14:checkedState w14:val="2612" w14:font="MS Gothic"/>
                <w14:uncheckedState w14:val="2610" w14:font="MS Gothic"/>
              </w14:checkbox>
            </w:sdtPr>
            <w:sdtContent>
              <w:p w14:paraId="0A2F904F"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68B666EE" w14:textId="460E9FF6" w:rsidR="003F7F5B" w:rsidRPr="00A74B3E" w:rsidRDefault="003F7F5B" w:rsidP="003F7F5B">
            <w:pPr>
              <w:jc w:val="center"/>
              <w:rPr>
                <w:rFonts w:ascii="Arial" w:hAnsi="Arial" w:cs="Arial"/>
                <w:sz w:val="22"/>
                <w:szCs w:val="22"/>
              </w:rPr>
            </w:pPr>
          </w:p>
        </w:tc>
      </w:tr>
      <w:tr w:rsidR="003F7F5B" w:rsidRPr="00A74B3E" w14:paraId="0D6897E5" w14:textId="77777777" w:rsidTr="00BA343F">
        <w:tc>
          <w:tcPr>
            <w:tcW w:w="1689" w:type="dxa"/>
          </w:tcPr>
          <w:p w14:paraId="2F4966CB" w14:textId="5DBFEF61"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lastRenderedPageBreak/>
              <w:t>Further</w:t>
            </w:r>
          </w:p>
        </w:tc>
        <w:tc>
          <w:tcPr>
            <w:tcW w:w="5605" w:type="dxa"/>
          </w:tcPr>
          <w:p w14:paraId="2DF94B32" w14:textId="274F3D6C"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French, Roger, </w:t>
            </w:r>
            <w:r w:rsidRPr="000243D0">
              <w:rPr>
                <w:rFonts w:ascii="Arial" w:hAnsi="Arial" w:cs="Arial"/>
                <w:i/>
                <w:iCs/>
                <w:sz w:val="22"/>
                <w:szCs w:val="22"/>
              </w:rPr>
              <w:t>Ancients and Moderns in the Medical Sciences: From Hippocrates to Harvey</w:t>
            </w:r>
            <w:r w:rsidRPr="000243D0">
              <w:rPr>
                <w:rFonts w:ascii="Arial" w:hAnsi="Arial" w:cs="Arial"/>
                <w:sz w:val="22"/>
                <w:szCs w:val="22"/>
              </w:rPr>
              <w:t>, Variorum Collected Studies series, CS685. Aldershot and Brookfield, VT: Ashgate, 2000</w:t>
            </w:r>
          </w:p>
        </w:tc>
        <w:tc>
          <w:tcPr>
            <w:tcW w:w="1366" w:type="dxa"/>
          </w:tcPr>
          <w:sdt>
            <w:sdtPr>
              <w:rPr>
                <w:rFonts w:ascii="Arial" w:hAnsi="Arial" w:cs="Arial"/>
                <w:sz w:val="22"/>
                <w:szCs w:val="22"/>
              </w:rPr>
              <w:id w:val="1474182701"/>
              <w14:checkbox>
                <w14:checked w14:val="0"/>
                <w14:checkedState w14:val="2612" w14:font="MS Gothic"/>
                <w14:uncheckedState w14:val="2610" w14:font="MS Gothic"/>
              </w14:checkbox>
            </w:sdtPr>
            <w:sdtContent>
              <w:p w14:paraId="25F42244"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FC681A6" w14:textId="198A5B58" w:rsidR="003F7F5B" w:rsidRPr="00A74B3E" w:rsidRDefault="003F7F5B" w:rsidP="003F7F5B">
            <w:pPr>
              <w:jc w:val="center"/>
              <w:rPr>
                <w:rFonts w:ascii="Arial" w:hAnsi="Arial" w:cs="Arial"/>
                <w:sz w:val="22"/>
                <w:szCs w:val="22"/>
              </w:rPr>
            </w:pPr>
          </w:p>
        </w:tc>
      </w:tr>
      <w:tr w:rsidR="003F7F5B" w:rsidRPr="00A74B3E" w14:paraId="58F00C0F" w14:textId="77777777" w:rsidTr="00BA343F">
        <w:tc>
          <w:tcPr>
            <w:tcW w:w="1689" w:type="dxa"/>
          </w:tcPr>
          <w:p w14:paraId="0097F6D3" w14:textId="21D34FDD"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0E4ACD4" w14:textId="42AB9DDD" w:rsidR="003F7F5B" w:rsidRPr="00A74B3E"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Sawday</w:t>
            </w:r>
            <w:proofErr w:type="spellEnd"/>
            <w:r w:rsidRPr="000243D0">
              <w:rPr>
                <w:rFonts w:ascii="Arial" w:hAnsi="Arial" w:cs="Arial"/>
                <w:sz w:val="22"/>
                <w:szCs w:val="22"/>
              </w:rPr>
              <w:t xml:space="preserve">, Jonathan, ‘The Fate of Marsyas: Dissecting the Renaissance Body’, in </w:t>
            </w:r>
            <w:r w:rsidRPr="000243D0">
              <w:rPr>
                <w:rFonts w:ascii="Arial" w:hAnsi="Arial" w:cs="Arial"/>
                <w:i/>
                <w:iCs/>
                <w:sz w:val="22"/>
                <w:szCs w:val="22"/>
              </w:rPr>
              <w:t>Renaissance Bodies: The Human Figure in English Culture c. 1540-1660</w:t>
            </w:r>
            <w:r w:rsidRPr="000243D0">
              <w:rPr>
                <w:rFonts w:ascii="Arial" w:hAnsi="Arial" w:cs="Arial"/>
                <w:sz w:val="22"/>
                <w:szCs w:val="22"/>
              </w:rPr>
              <w:t xml:space="preserve">, ed. by Lucy Gent and Nigel Llewellyn, Critical Views series. London: </w:t>
            </w:r>
            <w:proofErr w:type="spellStart"/>
            <w:r w:rsidRPr="000243D0">
              <w:rPr>
                <w:rFonts w:ascii="Arial" w:hAnsi="Arial" w:cs="Arial"/>
                <w:sz w:val="22"/>
                <w:szCs w:val="22"/>
              </w:rPr>
              <w:t>Reaktion</w:t>
            </w:r>
            <w:proofErr w:type="spellEnd"/>
            <w:r w:rsidRPr="000243D0">
              <w:rPr>
                <w:rFonts w:ascii="Arial" w:hAnsi="Arial" w:cs="Arial"/>
                <w:sz w:val="22"/>
                <w:szCs w:val="22"/>
              </w:rPr>
              <w:t xml:space="preserve"> Books, 1990; </w:t>
            </w:r>
            <w:proofErr w:type="spellStart"/>
            <w:r w:rsidRPr="000243D0">
              <w:rPr>
                <w:rFonts w:ascii="Arial" w:hAnsi="Arial" w:cs="Arial"/>
                <w:sz w:val="22"/>
                <w:szCs w:val="22"/>
              </w:rPr>
              <w:t>repr</w:t>
            </w:r>
            <w:proofErr w:type="spellEnd"/>
            <w:r w:rsidRPr="000243D0">
              <w:rPr>
                <w:rFonts w:ascii="Arial" w:hAnsi="Arial" w:cs="Arial"/>
                <w:sz w:val="22"/>
                <w:szCs w:val="22"/>
              </w:rPr>
              <w:t>. 1995, pp. 111-35 and 260-64</w:t>
            </w:r>
          </w:p>
        </w:tc>
        <w:tc>
          <w:tcPr>
            <w:tcW w:w="1366" w:type="dxa"/>
          </w:tcPr>
          <w:sdt>
            <w:sdtPr>
              <w:rPr>
                <w:rFonts w:ascii="Arial" w:hAnsi="Arial" w:cs="Arial"/>
                <w:sz w:val="22"/>
                <w:szCs w:val="22"/>
              </w:rPr>
              <w:id w:val="1900240683"/>
              <w14:checkbox>
                <w14:checked w14:val="0"/>
                <w14:checkedState w14:val="2612" w14:font="MS Gothic"/>
                <w14:uncheckedState w14:val="2610" w14:font="MS Gothic"/>
              </w14:checkbox>
            </w:sdtPr>
            <w:sdtContent>
              <w:p w14:paraId="4CD3F330"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3FC7395A" w14:textId="0AA4DF64" w:rsidR="003F7F5B" w:rsidRPr="00A74B3E" w:rsidRDefault="003F7F5B" w:rsidP="003F7F5B">
            <w:pPr>
              <w:jc w:val="center"/>
              <w:rPr>
                <w:rFonts w:ascii="Arial" w:hAnsi="Arial" w:cs="Arial"/>
                <w:sz w:val="22"/>
                <w:szCs w:val="22"/>
              </w:rPr>
            </w:pPr>
          </w:p>
        </w:tc>
      </w:tr>
      <w:tr w:rsidR="003F7F5B" w:rsidRPr="00A74B3E" w14:paraId="0CF7BC22" w14:textId="77777777" w:rsidTr="00BA343F">
        <w:tc>
          <w:tcPr>
            <w:tcW w:w="1689" w:type="dxa"/>
          </w:tcPr>
          <w:p w14:paraId="0C0B778A" w14:textId="7A255259"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EF5A5AD" w14:textId="04D51F57"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Cassirer, </w:t>
            </w:r>
            <w:proofErr w:type="spellStart"/>
            <w:r w:rsidRPr="000243D0">
              <w:rPr>
                <w:rFonts w:ascii="Arial" w:hAnsi="Arial" w:cs="Arial"/>
                <w:sz w:val="22"/>
                <w:szCs w:val="22"/>
              </w:rPr>
              <w:t>Kristeller</w:t>
            </w:r>
            <w:proofErr w:type="spellEnd"/>
            <w:r w:rsidRPr="000243D0">
              <w:rPr>
                <w:rFonts w:ascii="Arial" w:hAnsi="Arial" w:cs="Arial"/>
                <w:sz w:val="22"/>
                <w:szCs w:val="22"/>
              </w:rPr>
              <w:t xml:space="preserve">, Randall, </w:t>
            </w:r>
            <w:proofErr w:type="spellStart"/>
            <w:r w:rsidRPr="000243D0">
              <w:rPr>
                <w:rFonts w:ascii="Arial" w:hAnsi="Arial" w:cs="Arial"/>
                <w:sz w:val="22"/>
                <w:szCs w:val="22"/>
              </w:rPr>
              <w:t>Kristeller</w:t>
            </w:r>
            <w:proofErr w:type="spellEnd"/>
            <w:r w:rsidRPr="000243D0">
              <w:rPr>
                <w:rFonts w:ascii="Arial" w:hAnsi="Arial" w:cs="Arial"/>
                <w:sz w:val="22"/>
                <w:szCs w:val="22"/>
              </w:rPr>
              <w:t xml:space="preserve">, Paul Oskar, and Randall, John Herman. The Renaissance Philosophy of </w:t>
            </w:r>
            <w:proofErr w:type="gramStart"/>
            <w:r w:rsidRPr="000243D0">
              <w:rPr>
                <w:rFonts w:ascii="Arial" w:hAnsi="Arial" w:cs="Arial"/>
                <w:sz w:val="22"/>
                <w:szCs w:val="22"/>
              </w:rPr>
              <w:t>Man :</w:t>
            </w:r>
            <w:proofErr w:type="gramEnd"/>
            <w:r w:rsidRPr="000243D0">
              <w:rPr>
                <w:rFonts w:ascii="Arial" w:hAnsi="Arial" w:cs="Arial"/>
                <w:sz w:val="22"/>
                <w:szCs w:val="22"/>
              </w:rPr>
              <w:t xml:space="preserve"> Selections in Translation. </w:t>
            </w:r>
            <w:proofErr w:type="spellStart"/>
            <w:r w:rsidRPr="000243D0">
              <w:rPr>
                <w:rFonts w:ascii="Arial" w:hAnsi="Arial" w:cs="Arial"/>
                <w:sz w:val="22"/>
                <w:szCs w:val="22"/>
              </w:rPr>
              <w:t>Pbk</w:t>
            </w:r>
            <w:proofErr w:type="spellEnd"/>
            <w:r w:rsidRPr="000243D0">
              <w:rPr>
                <w:rFonts w:ascii="Arial" w:hAnsi="Arial" w:cs="Arial"/>
                <w:sz w:val="22"/>
                <w:szCs w:val="22"/>
              </w:rPr>
              <w:t xml:space="preserve">. ed. </w:t>
            </w:r>
            <w:proofErr w:type="gramStart"/>
            <w:r w:rsidRPr="000243D0">
              <w:rPr>
                <w:rFonts w:ascii="Arial" w:hAnsi="Arial" w:cs="Arial"/>
                <w:sz w:val="22"/>
                <w:szCs w:val="22"/>
              </w:rPr>
              <w:t>Chicago ;</w:t>
            </w:r>
            <w:proofErr w:type="gramEnd"/>
            <w:r w:rsidRPr="000243D0">
              <w:rPr>
                <w:rFonts w:ascii="Arial" w:hAnsi="Arial" w:cs="Arial"/>
                <w:sz w:val="22"/>
                <w:szCs w:val="22"/>
              </w:rPr>
              <w:t xml:space="preserve"> London: U of Chicago, 1956.</w:t>
            </w:r>
          </w:p>
        </w:tc>
        <w:tc>
          <w:tcPr>
            <w:tcW w:w="1366" w:type="dxa"/>
          </w:tcPr>
          <w:sdt>
            <w:sdtPr>
              <w:rPr>
                <w:rFonts w:ascii="Arial" w:hAnsi="Arial" w:cs="Arial"/>
                <w:sz w:val="22"/>
                <w:szCs w:val="22"/>
              </w:rPr>
              <w:id w:val="-1261290744"/>
              <w14:checkbox>
                <w14:checked w14:val="0"/>
                <w14:checkedState w14:val="2612" w14:font="MS Gothic"/>
                <w14:uncheckedState w14:val="2610" w14:font="MS Gothic"/>
              </w14:checkbox>
            </w:sdtPr>
            <w:sdtContent>
              <w:p w14:paraId="20E1AEB3" w14:textId="7F1FFB95" w:rsidR="003F7F5B" w:rsidRPr="00A74B3E" w:rsidRDefault="003F7F5B" w:rsidP="003F7F5B">
                <w:pPr>
                  <w:jc w:val="center"/>
                  <w:rPr>
                    <w:rFonts w:ascii="Arial" w:hAnsi="Arial" w:cs="Arial"/>
                    <w:sz w:val="22"/>
                    <w:szCs w:val="22"/>
                  </w:rPr>
                </w:pPr>
                <w:r>
                  <w:rPr>
                    <w:rFonts w:ascii="MS Gothic" w:eastAsia="MS Gothic" w:hAnsi="MS Gothic" w:cs="Arial" w:hint="eastAsia"/>
                    <w:sz w:val="22"/>
                    <w:szCs w:val="22"/>
                  </w:rPr>
                  <w:t>☐</w:t>
                </w:r>
              </w:p>
            </w:sdtContent>
          </w:sdt>
        </w:tc>
      </w:tr>
      <w:tr w:rsidR="003F7F5B" w:rsidRPr="00A74B3E" w14:paraId="5AACAA90" w14:textId="77777777" w:rsidTr="00BA343F">
        <w:tc>
          <w:tcPr>
            <w:tcW w:w="1689" w:type="dxa"/>
          </w:tcPr>
          <w:p w14:paraId="17943990" w14:textId="09037F10" w:rsidR="003F7F5B" w:rsidRPr="000243D0"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C711358" w14:textId="662E4D12" w:rsidR="003F7F5B" w:rsidRPr="000243D0"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Norford</w:t>
            </w:r>
            <w:proofErr w:type="spellEnd"/>
            <w:r w:rsidRPr="000243D0">
              <w:rPr>
                <w:rFonts w:ascii="Arial" w:hAnsi="Arial" w:cs="Arial"/>
                <w:sz w:val="22"/>
                <w:szCs w:val="22"/>
              </w:rPr>
              <w:t xml:space="preserve">, Don Parry, ‘Microcosm and Macrocosm in Seventeenth-Century Literature’, </w:t>
            </w:r>
            <w:r w:rsidRPr="000243D0">
              <w:rPr>
                <w:rFonts w:ascii="Arial" w:hAnsi="Arial" w:cs="Arial"/>
                <w:i/>
                <w:iCs/>
                <w:sz w:val="22"/>
                <w:szCs w:val="22"/>
              </w:rPr>
              <w:t>Journal of the History of Ideas</w:t>
            </w:r>
            <w:r w:rsidRPr="000243D0">
              <w:rPr>
                <w:rFonts w:ascii="Arial" w:hAnsi="Arial" w:cs="Arial"/>
                <w:sz w:val="22"/>
                <w:szCs w:val="22"/>
              </w:rPr>
              <w:t>, 38 (1977), 409-28</w:t>
            </w:r>
          </w:p>
        </w:tc>
        <w:tc>
          <w:tcPr>
            <w:tcW w:w="1366" w:type="dxa"/>
          </w:tcPr>
          <w:sdt>
            <w:sdtPr>
              <w:rPr>
                <w:rFonts w:ascii="Arial" w:hAnsi="Arial" w:cs="Arial"/>
                <w:sz w:val="22"/>
                <w:szCs w:val="22"/>
              </w:rPr>
              <w:id w:val="-2067025207"/>
              <w14:checkbox>
                <w14:checked w14:val="0"/>
                <w14:checkedState w14:val="2612" w14:font="MS Gothic"/>
                <w14:uncheckedState w14:val="2610" w14:font="MS Gothic"/>
              </w14:checkbox>
            </w:sdtPr>
            <w:sdtContent>
              <w:p w14:paraId="194F9797"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08FFDC22" w14:textId="77777777" w:rsidR="003F7F5B" w:rsidRDefault="003F7F5B" w:rsidP="003F7F5B">
            <w:pPr>
              <w:jc w:val="center"/>
              <w:rPr>
                <w:rFonts w:ascii="Arial" w:hAnsi="Arial" w:cs="Arial"/>
                <w:sz w:val="22"/>
                <w:szCs w:val="22"/>
              </w:rPr>
            </w:pPr>
          </w:p>
        </w:tc>
      </w:tr>
      <w:tr w:rsidR="003F7F5B" w:rsidRPr="00A74B3E" w14:paraId="2AE8E63F" w14:textId="77777777" w:rsidTr="00BA343F">
        <w:tc>
          <w:tcPr>
            <w:tcW w:w="1689" w:type="dxa"/>
          </w:tcPr>
          <w:p w14:paraId="16F9132F" w14:textId="1D772C7D"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C61B9B4" w14:textId="7FF26676" w:rsidR="003F7F5B" w:rsidRPr="00A74B3E"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Gowland</w:t>
            </w:r>
            <w:proofErr w:type="spellEnd"/>
            <w:r w:rsidRPr="000243D0">
              <w:rPr>
                <w:rFonts w:ascii="Arial" w:hAnsi="Arial" w:cs="Arial"/>
                <w:sz w:val="22"/>
                <w:szCs w:val="22"/>
              </w:rPr>
              <w:t xml:space="preserve">, Angus. The Worlds of Renaissance </w:t>
            </w:r>
            <w:proofErr w:type="gramStart"/>
            <w:r w:rsidRPr="000243D0">
              <w:rPr>
                <w:rFonts w:ascii="Arial" w:hAnsi="Arial" w:cs="Arial"/>
                <w:sz w:val="22"/>
                <w:szCs w:val="22"/>
              </w:rPr>
              <w:t>Melancholy :</w:t>
            </w:r>
            <w:proofErr w:type="gramEnd"/>
            <w:r w:rsidRPr="000243D0">
              <w:rPr>
                <w:rFonts w:ascii="Arial" w:hAnsi="Arial" w:cs="Arial"/>
                <w:sz w:val="22"/>
                <w:szCs w:val="22"/>
              </w:rPr>
              <w:t xml:space="preserve"> Robert Burton in Context. </w:t>
            </w:r>
            <w:proofErr w:type="gramStart"/>
            <w:r w:rsidRPr="000243D0">
              <w:rPr>
                <w:rFonts w:ascii="Arial" w:hAnsi="Arial" w:cs="Arial"/>
                <w:sz w:val="22"/>
                <w:szCs w:val="22"/>
              </w:rPr>
              <w:t>Cambridge ;</w:t>
            </w:r>
            <w:proofErr w:type="gramEnd"/>
            <w:r w:rsidRPr="000243D0">
              <w:rPr>
                <w:rFonts w:ascii="Arial" w:hAnsi="Arial" w:cs="Arial"/>
                <w:sz w:val="22"/>
                <w:szCs w:val="22"/>
              </w:rPr>
              <w:t xml:space="preserve"> New York: Cambridge UP, 2006</w:t>
            </w:r>
          </w:p>
        </w:tc>
        <w:tc>
          <w:tcPr>
            <w:tcW w:w="1366" w:type="dxa"/>
          </w:tcPr>
          <w:sdt>
            <w:sdtPr>
              <w:rPr>
                <w:rFonts w:ascii="Arial" w:hAnsi="Arial" w:cs="Arial"/>
                <w:sz w:val="22"/>
                <w:szCs w:val="22"/>
              </w:rPr>
              <w:id w:val="27455712"/>
              <w14:checkbox>
                <w14:checked w14:val="0"/>
                <w14:checkedState w14:val="2612" w14:font="MS Gothic"/>
                <w14:uncheckedState w14:val="2610" w14:font="MS Gothic"/>
              </w14:checkbox>
            </w:sdtPr>
            <w:sdtContent>
              <w:p w14:paraId="7C1E211A" w14:textId="1151BFC5" w:rsidR="003F7F5B" w:rsidRPr="00A74B3E" w:rsidRDefault="003F7F5B" w:rsidP="003F7F5B">
                <w:pPr>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r w:rsidR="003F7F5B" w:rsidRPr="00A74B3E" w14:paraId="4ACFF1E4" w14:textId="77777777" w:rsidTr="00BA343F">
        <w:tc>
          <w:tcPr>
            <w:tcW w:w="1689" w:type="dxa"/>
          </w:tcPr>
          <w:p w14:paraId="4291E650" w14:textId="0836A8A2"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723D5144" w14:textId="33F00DF1"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Hankins, James. Re-Envisioning Christian Humanism. Oxford UP, 2016</w:t>
            </w:r>
          </w:p>
        </w:tc>
        <w:tc>
          <w:tcPr>
            <w:tcW w:w="1366" w:type="dxa"/>
          </w:tcPr>
          <w:sdt>
            <w:sdtPr>
              <w:rPr>
                <w:rFonts w:ascii="Arial" w:hAnsi="Arial" w:cs="Arial"/>
                <w:sz w:val="22"/>
                <w:szCs w:val="22"/>
              </w:rPr>
              <w:id w:val="975653351"/>
              <w14:checkbox>
                <w14:checked w14:val="0"/>
                <w14:checkedState w14:val="2612" w14:font="MS Gothic"/>
                <w14:uncheckedState w14:val="2610" w14:font="MS Gothic"/>
              </w14:checkbox>
            </w:sdtPr>
            <w:sdtContent>
              <w:p w14:paraId="3563A579" w14:textId="1B53AE25" w:rsidR="003F7F5B"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F7F5B" w:rsidRPr="00A74B3E" w14:paraId="293B7CEA" w14:textId="77777777" w:rsidTr="00BA343F">
        <w:tc>
          <w:tcPr>
            <w:tcW w:w="1689" w:type="dxa"/>
          </w:tcPr>
          <w:p w14:paraId="3E93EA56" w14:textId="744C81E0"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B91C380" w14:textId="361F76AC" w:rsidR="003F7F5B" w:rsidRPr="00A74B3E"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Kraye</w:t>
            </w:r>
            <w:proofErr w:type="spellEnd"/>
            <w:r w:rsidRPr="000243D0">
              <w:rPr>
                <w:rFonts w:ascii="Arial" w:hAnsi="Arial" w:cs="Arial"/>
                <w:sz w:val="22"/>
                <w:szCs w:val="22"/>
              </w:rPr>
              <w:t>, Jill. The Cambridge Companion to Renaissance Humanism. Cambridge: Cambridge UP, 1996.</w:t>
            </w:r>
          </w:p>
        </w:tc>
        <w:tc>
          <w:tcPr>
            <w:tcW w:w="1366" w:type="dxa"/>
          </w:tcPr>
          <w:sdt>
            <w:sdtPr>
              <w:rPr>
                <w:rFonts w:ascii="Arial" w:hAnsi="Arial" w:cs="Arial"/>
                <w:sz w:val="22"/>
                <w:szCs w:val="22"/>
              </w:rPr>
              <w:id w:val="1930241379"/>
              <w14:checkbox>
                <w14:checked w14:val="0"/>
                <w14:checkedState w14:val="2612" w14:font="MS Gothic"/>
                <w14:uncheckedState w14:val="2610" w14:font="MS Gothic"/>
              </w14:checkbox>
            </w:sdtPr>
            <w:sdtContent>
              <w:p w14:paraId="3205F2AC" w14:textId="7018678B" w:rsidR="003F7F5B"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F7F5B" w:rsidRPr="00A74B3E" w14:paraId="140C39FB" w14:textId="77777777" w:rsidTr="00BA343F">
        <w:tc>
          <w:tcPr>
            <w:tcW w:w="1689" w:type="dxa"/>
          </w:tcPr>
          <w:p w14:paraId="58010A68" w14:textId="73492F2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3AF92F98" w14:textId="59A2446E"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Seigel, Jerrold E. Rhetoric and Philosophy in Renaissance </w:t>
            </w:r>
            <w:proofErr w:type="gramStart"/>
            <w:r w:rsidRPr="000243D0">
              <w:rPr>
                <w:rFonts w:ascii="Arial" w:hAnsi="Arial" w:cs="Arial"/>
                <w:sz w:val="22"/>
                <w:szCs w:val="22"/>
              </w:rPr>
              <w:t>Humanism :</w:t>
            </w:r>
            <w:proofErr w:type="gramEnd"/>
            <w:r w:rsidRPr="000243D0">
              <w:rPr>
                <w:rFonts w:ascii="Arial" w:hAnsi="Arial" w:cs="Arial"/>
                <w:sz w:val="22"/>
                <w:szCs w:val="22"/>
              </w:rPr>
              <w:t xml:space="preserve"> The Union of Eloquence and Wisdom, Petrarch to Valla. Princeton, N.J.: Princeton UP, 1968.</w:t>
            </w:r>
          </w:p>
        </w:tc>
        <w:tc>
          <w:tcPr>
            <w:tcW w:w="1366" w:type="dxa"/>
          </w:tcPr>
          <w:sdt>
            <w:sdtPr>
              <w:rPr>
                <w:rFonts w:ascii="Arial" w:hAnsi="Arial" w:cs="Arial"/>
                <w:sz w:val="22"/>
                <w:szCs w:val="22"/>
              </w:rPr>
              <w:id w:val="-1531872663"/>
              <w14:checkbox>
                <w14:checked w14:val="0"/>
                <w14:checkedState w14:val="2612" w14:font="MS Gothic"/>
                <w14:uncheckedState w14:val="2610" w14:font="MS Gothic"/>
              </w14:checkbox>
            </w:sdtPr>
            <w:sdtContent>
              <w:p w14:paraId="04A39EB5" w14:textId="41280D66" w:rsidR="003F7F5B"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F7F5B" w:rsidRPr="00A74B3E" w14:paraId="43B6D57A" w14:textId="77777777" w:rsidTr="00BA343F">
        <w:tc>
          <w:tcPr>
            <w:tcW w:w="1689" w:type="dxa"/>
          </w:tcPr>
          <w:p w14:paraId="787E2E8D" w14:textId="3896C8F0"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BCCE1B1" w14:textId="0BA77296" w:rsidR="003F7F5B" w:rsidRPr="00A74B3E"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Celenza</w:t>
            </w:r>
            <w:proofErr w:type="spellEnd"/>
            <w:r w:rsidRPr="000243D0">
              <w:rPr>
                <w:rFonts w:ascii="Arial" w:hAnsi="Arial" w:cs="Arial"/>
                <w:sz w:val="22"/>
                <w:szCs w:val="22"/>
              </w:rPr>
              <w:t xml:space="preserve">, Christopher S. Petrarch: Everywhere a Wanderer. </w:t>
            </w:r>
            <w:proofErr w:type="spellStart"/>
            <w:r w:rsidRPr="000243D0">
              <w:rPr>
                <w:rFonts w:ascii="Arial" w:hAnsi="Arial" w:cs="Arial"/>
                <w:sz w:val="22"/>
                <w:szCs w:val="22"/>
              </w:rPr>
              <w:t>Reaktion</w:t>
            </w:r>
            <w:proofErr w:type="spellEnd"/>
            <w:r w:rsidRPr="000243D0">
              <w:rPr>
                <w:rFonts w:ascii="Arial" w:hAnsi="Arial" w:cs="Arial"/>
                <w:sz w:val="22"/>
                <w:szCs w:val="22"/>
              </w:rPr>
              <w:t>, 2018</w:t>
            </w:r>
          </w:p>
        </w:tc>
        <w:tc>
          <w:tcPr>
            <w:tcW w:w="1366" w:type="dxa"/>
          </w:tcPr>
          <w:sdt>
            <w:sdtPr>
              <w:rPr>
                <w:rFonts w:ascii="Arial" w:hAnsi="Arial" w:cs="Arial"/>
                <w:sz w:val="22"/>
                <w:szCs w:val="22"/>
              </w:rPr>
              <w:id w:val="2076158182"/>
              <w14:checkbox>
                <w14:checked w14:val="0"/>
                <w14:checkedState w14:val="2612" w14:font="MS Gothic"/>
                <w14:uncheckedState w14:val="2610" w14:font="MS Gothic"/>
              </w14:checkbox>
            </w:sdtPr>
            <w:sdtContent>
              <w:p w14:paraId="31E39E57"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1DFB108E" w14:textId="2AB60DA1" w:rsidR="003F7F5B" w:rsidRDefault="003F7F5B" w:rsidP="003F7F5B">
            <w:pPr>
              <w:jc w:val="center"/>
              <w:rPr>
                <w:rFonts w:ascii="Arial" w:hAnsi="Arial" w:cs="Arial"/>
                <w:sz w:val="22"/>
                <w:szCs w:val="22"/>
              </w:rPr>
            </w:pPr>
          </w:p>
        </w:tc>
      </w:tr>
      <w:tr w:rsidR="003F7F5B" w:rsidRPr="00A74B3E" w14:paraId="2A1E89E7" w14:textId="77777777" w:rsidTr="00BA343F">
        <w:tc>
          <w:tcPr>
            <w:tcW w:w="1689" w:type="dxa"/>
          </w:tcPr>
          <w:p w14:paraId="7798770C" w14:textId="043E2BC7"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F1C06D0" w14:textId="60221F4C"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Zak, Gur. Petrarch’s Humanism and the Care of the Self. Cambridge: Cambridge University Press, 2014</w:t>
            </w:r>
          </w:p>
        </w:tc>
        <w:tc>
          <w:tcPr>
            <w:tcW w:w="1366" w:type="dxa"/>
          </w:tcPr>
          <w:sdt>
            <w:sdtPr>
              <w:rPr>
                <w:rFonts w:ascii="Arial" w:hAnsi="Arial" w:cs="Arial"/>
                <w:sz w:val="22"/>
                <w:szCs w:val="22"/>
              </w:rPr>
              <w:id w:val="51980597"/>
              <w14:checkbox>
                <w14:checked w14:val="1"/>
                <w14:checkedState w14:val="2612" w14:font="MS Gothic"/>
                <w14:uncheckedState w14:val="2610" w14:font="MS Gothic"/>
              </w14:checkbox>
            </w:sdtPr>
            <w:sdtContent>
              <w:p w14:paraId="181794AF"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613E325A" w14:textId="7B8FF83B" w:rsidR="003F7F5B" w:rsidRDefault="003F7F5B" w:rsidP="003F7F5B">
            <w:pPr>
              <w:jc w:val="center"/>
              <w:rPr>
                <w:rFonts w:ascii="Arial" w:hAnsi="Arial" w:cs="Arial"/>
                <w:sz w:val="22"/>
                <w:szCs w:val="22"/>
              </w:rPr>
            </w:pPr>
          </w:p>
        </w:tc>
      </w:tr>
      <w:tr w:rsidR="003F7F5B" w:rsidRPr="00A74B3E" w14:paraId="7E10F18C" w14:textId="77777777" w:rsidTr="00BA343F">
        <w:tc>
          <w:tcPr>
            <w:tcW w:w="1689" w:type="dxa"/>
          </w:tcPr>
          <w:p w14:paraId="5BAFAA88" w14:textId="77777777" w:rsidR="003F7F5B" w:rsidRPr="000243D0" w:rsidRDefault="003F7F5B" w:rsidP="003F7F5B">
            <w:pPr>
              <w:tabs>
                <w:tab w:val="num" w:pos="720"/>
                <w:tab w:val="left" w:pos="1440"/>
              </w:tabs>
              <w:rPr>
                <w:rFonts w:ascii="Arial" w:hAnsi="Arial" w:cs="Arial"/>
                <w:sz w:val="22"/>
                <w:szCs w:val="22"/>
              </w:rPr>
            </w:pPr>
          </w:p>
          <w:p w14:paraId="3321466A" w14:textId="7D2DFCA4"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E970F13" w14:textId="68422C97"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 xml:space="preserve">Hunter, </w:t>
            </w:r>
            <w:proofErr w:type="gramStart"/>
            <w:r w:rsidRPr="000243D0">
              <w:rPr>
                <w:rFonts w:ascii="Arial" w:hAnsi="Arial" w:cs="Arial"/>
                <w:sz w:val="22"/>
                <w:szCs w:val="22"/>
              </w:rPr>
              <w:t>J.C. ,</w:t>
            </w:r>
            <w:proofErr w:type="gramEnd"/>
            <w:r w:rsidRPr="000243D0">
              <w:rPr>
                <w:rFonts w:ascii="Arial" w:hAnsi="Arial" w:cs="Arial"/>
                <w:sz w:val="22"/>
                <w:szCs w:val="22"/>
              </w:rPr>
              <w:t xml:space="preserve"> Renaissance Literature: An Anthology of Poetry and Prose Oxford: Blackwell, 2009.</w:t>
            </w:r>
          </w:p>
        </w:tc>
        <w:tc>
          <w:tcPr>
            <w:tcW w:w="1366" w:type="dxa"/>
          </w:tcPr>
          <w:sdt>
            <w:sdtPr>
              <w:rPr>
                <w:rFonts w:ascii="Arial" w:hAnsi="Arial" w:cs="Arial"/>
                <w:sz w:val="22"/>
                <w:szCs w:val="22"/>
              </w:rPr>
              <w:id w:val="-346014886"/>
              <w14:checkbox>
                <w14:checked w14:val="0"/>
                <w14:checkedState w14:val="2612" w14:font="MS Gothic"/>
                <w14:uncheckedState w14:val="2610" w14:font="MS Gothic"/>
              </w14:checkbox>
            </w:sdtPr>
            <w:sdtContent>
              <w:p w14:paraId="242A1915" w14:textId="4DB5975D" w:rsidR="003F7F5B"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F7F5B" w:rsidRPr="00A74B3E" w14:paraId="4EBFF474" w14:textId="77777777" w:rsidTr="00BA343F">
        <w:tc>
          <w:tcPr>
            <w:tcW w:w="1689" w:type="dxa"/>
          </w:tcPr>
          <w:p w14:paraId="65BD2295" w14:textId="4A7CA3F3"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3E4A797" w14:textId="2AAA80F6"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Fitzmaurice, Andrew, Humanism and America: An Intellectual History of English Colonisation, 1500-1625. Cambridge University Press, 2003</w:t>
            </w:r>
          </w:p>
        </w:tc>
        <w:tc>
          <w:tcPr>
            <w:tcW w:w="1366" w:type="dxa"/>
          </w:tcPr>
          <w:sdt>
            <w:sdtPr>
              <w:rPr>
                <w:rFonts w:ascii="Arial" w:hAnsi="Arial" w:cs="Arial"/>
                <w:sz w:val="22"/>
                <w:szCs w:val="22"/>
              </w:rPr>
              <w:id w:val="-748194799"/>
              <w14:checkbox>
                <w14:checked w14:val="1"/>
                <w14:checkedState w14:val="2612" w14:font="MS Gothic"/>
                <w14:uncheckedState w14:val="2610" w14:font="MS Gothic"/>
              </w14:checkbox>
            </w:sdtPr>
            <w:sdtContent>
              <w:p w14:paraId="6A22357B"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15FE1031" w14:textId="77777777" w:rsidR="003F7F5B" w:rsidRDefault="003F7F5B" w:rsidP="003F7F5B">
            <w:pPr>
              <w:jc w:val="center"/>
              <w:rPr>
                <w:rFonts w:ascii="Arial" w:hAnsi="Arial" w:cs="Arial"/>
                <w:sz w:val="22"/>
                <w:szCs w:val="22"/>
              </w:rPr>
            </w:pPr>
          </w:p>
        </w:tc>
      </w:tr>
      <w:tr w:rsidR="003F7F5B" w:rsidRPr="00A74B3E" w14:paraId="0B6B0965" w14:textId="77777777" w:rsidTr="00BA343F">
        <w:tc>
          <w:tcPr>
            <w:tcW w:w="1689" w:type="dxa"/>
          </w:tcPr>
          <w:p w14:paraId="03AA90A6" w14:textId="3D6AA0E7"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17BEA4D" w14:textId="3EAB8301" w:rsidR="003F7F5B" w:rsidRPr="00A74B3E" w:rsidRDefault="003F7F5B" w:rsidP="003F7F5B">
            <w:pPr>
              <w:tabs>
                <w:tab w:val="num" w:pos="720"/>
                <w:tab w:val="left" w:pos="1440"/>
              </w:tabs>
              <w:rPr>
                <w:rFonts w:ascii="Arial" w:hAnsi="Arial" w:cs="Arial"/>
                <w:sz w:val="22"/>
                <w:szCs w:val="22"/>
              </w:rPr>
            </w:pPr>
            <w:proofErr w:type="spellStart"/>
            <w:r w:rsidRPr="000243D0">
              <w:rPr>
                <w:rFonts w:ascii="Arial" w:hAnsi="Arial" w:cs="Arial"/>
                <w:sz w:val="22"/>
                <w:szCs w:val="22"/>
              </w:rPr>
              <w:t>Pagden</w:t>
            </w:r>
            <w:proofErr w:type="spellEnd"/>
            <w:r w:rsidRPr="000243D0">
              <w:rPr>
                <w:rFonts w:ascii="Arial" w:hAnsi="Arial" w:cs="Arial"/>
                <w:sz w:val="22"/>
                <w:szCs w:val="22"/>
              </w:rPr>
              <w:t>, Anthony, European Encounters with the New World: From Renaissance to Romanticism. New Haven: Yale University Press, 1993.</w:t>
            </w:r>
          </w:p>
        </w:tc>
        <w:tc>
          <w:tcPr>
            <w:tcW w:w="1366" w:type="dxa"/>
          </w:tcPr>
          <w:sdt>
            <w:sdtPr>
              <w:rPr>
                <w:rFonts w:ascii="Arial" w:hAnsi="Arial" w:cs="Arial"/>
                <w:sz w:val="22"/>
                <w:szCs w:val="22"/>
              </w:rPr>
              <w:id w:val="1507248301"/>
              <w14:checkbox>
                <w14:checked w14:val="0"/>
                <w14:checkedState w14:val="2612" w14:font="MS Gothic"/>
                <w14:uncheckedState w14:val="2610" w14:font="MS Gothic"/>
              </w14:checkbox>
            </w:sdtPr>
            <w:sdtContent>
              <w:p w14:paraId="54CD82F9" w14:textId="77777777" w:rsidR="003F7F5B" w:rsidRPr="000243D0" w:rsidRDefault="003F7F5B" w:rsidP="003F7F5B">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9D85614" w14:textId="77777777" w:rsidR="003F7F5B" w:rsidRDefault="003F7F5B" w:rsidP="003F7F5B">
            <w:pPr>
              <w:jc w:val="center"/>
              <w:rPr>
                <w:rFonts w:ascii="Arial" w:hAnsi="Arial" w:cs="Arial"/>
                <w:sz w:val="22"/>
                <w:szCs w:val="22"/>
              </w:rPr>
            </w:pPr>
          </w:p>
        </w:tc>
      </w:tr>
      <w:tr w:rsidR="003F7F5B" w:rsidRPr="00A74B3E" w14:paraId="0E25CAB2" w14:textId="77777777" w:rsidTr="00BA343F">
        <w:tc>
          <w:tcPr>
            <w:tcW w:w="1689" w:type="dxa"/>
          </w:tcPr>
          <w:p w14:paraId="44F41437" w14:textId="6B265A7A"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2B8591F" w14:textId="3969FA39" w:rsidR="003F7F5B" w:rsidRPr="00A74B3E" w:rsidRDefault="003F7F5B" w:rsidP="003F7F5B">
            <w:pPr>
              <w:tabs>
                <w:tab w:val="num" w:pos="720"/>
                <w:tab w:val="left" w:pos="1440"/>
              </w:tabs>
              <w:rPr>
                <w:rFonts w:ascii="Arial" w:hAnsi="Arial" w:cs="Arial"/>
                <w:sz w:val="22"/>
                <w:szCs w:val="22"/>
              </w:rPr>
            </w:pPr>
            <w:r w:rsidRPr="000243D0">
              <w:rPr>
                <w:rFonts w:ascii="Arial" w:hAnsi="Arial" w:cs="Arial"/>
                <w:sz w:val="22"/>
                <w:szCs w:val="22"/>
              </w:rPr>
              <w:t>Davies, Surekha, Renaissance Ethnography and the Invention of the Human: New Worlds, Maps and Monsters. Cambridge: Cambridge University Press, 2016.</w:t>
            </w:r>
          </w:p>
        </w:tc>
        <w:tc>
          <w:tcPr>
            <w:tcW w:w="1366" w:type="dxa"/>
          </w:tcPr>
          <w:sdt>
            <w:sdtPr>
              <w:rPr>
                <w:rFonts w:ascii="Arial" w:hAnsi="Arial" w:cs="Arial"/>
                <w:sz w:val="22"/>
                <w:szCs w:val="22"/>
              </w:rPr>
              <w:id w:val="1959756864"/>
              <w14:checkbox>
                <w14:checked w14:val="0"/>
                <w14:checkedState w14:val="2612" w14:font="MS Gothic"/>
                <w14:uncheckedState w14:val="2610" w14:font="MS Gothic"/>
              </w14:checkbox>
            </w:sdtPr>
            <w:sdtContent>
              <w:p w14:paraId="31B138F2" w14:textId="77777777" w:rsidR="003F7F5B" w:rsidRPr="000243D0" w:rsidRDefault="003F7F5B" w:rsidP="003F7F5B">
                <w:pPr>
                  <w:jc w:val="center"/>
                  <w:rPr>
                    <w:rFonts w:ascii="Arial" w:hAnsi="Arial" w:cs="Arial"/>
                    <w:sz w:val="22"/>
                    <w:szCs w:val="22"/>
                  </w:rPr>
                </w:pPr>
                <w:r>
                  <w:rPr>
                    <w:rFonts w:ascii="MS Gothic" w:eastAsia="MS Gothic" w:hAnsi="MS Gothic" w:cs="Arial" w:hint="eastAsia"/>
                    <w:sz w:val="22"/>
                    <w:szCs w:val="22"/>
                  </w:rPr>
                  <w:t>☐</w:t>
                </w:r>
              </w:p>
            </w:sdtContent>
          </w:sdt>
          <w:p w14:paraId="553FDD9E" w14:textId="029B7275" w:rsidR="003F7F5B" w:rsidRDefault="003F7F5B" w:rsidP="003F7F5B">
            <w:pPr>
              <w:jc w:val="center"/>
              <w:rPr>
                <w:rFonts w:ascii="Arial" w:hAnsi="Arial" w:cs="Arial"/>
                <w:sz w:val="22"/>
                <w:szCs w:val="22"/>
              </w:rPr>
            </w:pPr>
          </w:p>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0417224">
    <w:abstractNumId w:val="4"/>
  </w:num>
  <w:num w:numId="2" w16cid:durableId="215629326">
    <w:abstractNumId w:val="2"/>
  </w:num>
  <w:num w:numId="3" w16cid:durableId="757754944">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605187800">
    <w:abstractNumId w:val="6"/>
  </w:num>
  <w:num w:numId="5" w16cid:durableId="1961105515">
    <w:abstractNumId w:val="1"/>
    <w:lvlOverride w:ilvl="0">
      <w:startOverride w:val="1"/>
    </w:lvlOverride>
  </w:num>
  <w:num w:numId="6" w16cid:durableId="673066716">
    <w:abstractNumId w:val="3"/>
  </w:num>
  <w:num w:numId="7" w16cid:durableId="2034452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0241"/>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3463"/>
    <w:rsid w:val="00066DE8"/>
    <w:rsid w:val="00077CD4"/>
    <w:rsid w:val="00087A8F"/>
    <w:rsid w:val="000906B4"/>
    <w:rsid w:val="000C6407"/>
    <w:rsid w:val="000F1AC3"/>
    <w:rsid w:val="00116B44"/>
    <w:rsid w:val="0012689B"/>
    <w:rsid w:val="001515D9"/>
    <w:rsid w:val="00172EDC"/>
    <w:rsid w:val="00180F13"/>
    <w:rsid w:val="001A15E3"/>
    <w:rsid w:val="001A2624"/>
    <w:rsid w:val="001C765C"/>
    <w:rsid w:val="001D5DF6"/>
    <w:rsid w:val="00203392"/>
    <w:rsid w:val="002411A3"/>
    <w:rsid w:val="00262CFB"/>
    <w:rsid w:val="00302297"/>
    <w:rsid w:val="003146EA"/>
    <w:rsid w:val="00316625"/>
    <w:rsid w:val="00356025"/>
    <w:rsid w:val="003F7F5B"/>
    <w:rsid w:val="00404273"/>
    <w:rsid w:val="00470586"/>
    <w:rsid w:val="004A6539"/>
    <w:rsid w:val="004B6F80"/>
    <w:rsid w:val="004F207C"/>
    <w:rsid w:val="005006B0"/>
    <w:rsid w:val="005259D7"/>
    <w:rsid w:val="00527E61"/>
    <w:rsid w:val="00551363"/>
    <w:rsid w:val="00570B2B"/>
    <w:rsid w:val="005946A7"/>
    <w:rsid w:val="005E40A7"/>
    <w:rsid w:val="005E41B4"/>
    <w:rsid w:val="0062376E"/>
    <w:rsid w:val="00646A7D"/>
    <w:rsid w:val="0069757B"/>
    <w:rsid w:val="006A0463"/>
    <w:rsid w:val="006A0CE9"/>
    <w:rsid w:val="006D2B8B"/>
    <w:rsid w:val="006D4F23"/>
    <w:rsid w:val="006E184F"/>
    <w:rsid w:val="006E2228"/>
    <w:rsid w:val="00717684"/>
    <w:rsid w:val="00736A82"/>
    <w:rsid w:val="00743604"/>
    <w:rsid w:val="007801F9"/>
    <w:rsid w:val="007F3042"/>
    <w:rsid w:val="008619BD"/>
    <w:rsid w:val="008761A2"/>
    <w:rsid w:val="0089539D"/>
    <w:rsid w:val="008C188B"/>
    <w:rsid w:val="008E55FA"/>
    <w:rsid w:val="008F44C9"/>
    <w:rsid w:val="00900C5C"/>
    <w:rsid w:val="009139DF"/>
    <w:rsid w:val="00924F30"/>
    <w:rsid w:val="00996935"/>
    <w:rsid w:val="009A077A"/>
    <w:rsid w:val="009B5674"/>
    <w:rsid w:val="009D0293"/>
    <w:rsid w:val="00A13E50"/>
    <w:rsid w:val="00A45F71"/>
    <w:rsid w:val="00A74B3E"/>
    <w:rsid w:val="00A9641E"/>
    <w:rsid w:val="00AA501F"/>
    <w:rsid w:val="00AC3AC6"/>
    <w:rsid w:val="00AD111C"/>
    <w:rsid w:val="00B1208A"/>
    <w:rsid w:val="00B17917"/>
    <w:rsid w:val="00B30B52"/>
    <w:rsid w:val="00B53530"/>
    <w:rsid w:val="00B77489"/>
    <w:rsid w:val="00B80522"/>
    <w:rsid w:val="00B81017"/>
    <w:rsid w:val="00B81502"/>
    <w:rsid w:val="00B8741E"/>
    <w:rsid w:val="00BA0B75"/>
    <w:rsid w:val="00BA343F"/>
    <w:rsid w:val="00BC4B53"/>
    <w:rsid w:val="00BD06FD"/>
    <w:rsid w:val="00BF6F6C"/>
    <w:rsid w:val="00C13D91"/>
    <w:rsid w:val="00C45737"/>
    <w:rsid w:val="00C86B41"/>
    <w:rsid w:val="00CD2461"/>
    <w:rsid w:val="00D41EBF"/>
    <w:rsid w:val="00DA3486"/>
    <w:rsid w:val="00DB46AD"/>
    <w:rsid w:val="00DC7FD0"/>
    <w:rsid w:val="00DE543B"/>
    <w:rsid w:val="00E064AE"/>
    <w:rsid w:val="00E30887"/>
    <w:rsid w:val="00E5056D"/>
    <w:rsid w:val="00E91B3E"/>
    <w:rsid w:val="00EA24E6"/>
    <w:rsid w:val="00ED342A"/>
    <w:rsid w:val="00F0221E"/>
    <w:rsid w:val="00F624E2"/>
    <w:rsid w:val="00F64B4A"/>
    <w:rsid w:val="00F74441"/>
    <w:rsid w:val="00FB66CE"/>
    <w:rsid w:val="00FE0B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qFormat/>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qFormat/>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6</TotalTime>
  <Pages>4</Pages>
  <Words>1266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8867</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Peter Mitchell</cp:lastModifiedBy>
  <cp:revision>3</cp:revision>
  <cp:lastPrinted>1901-01-01T00:00:00Z</cp:lastPrinted>
  <dcterms:created xsi:type="dcterms:W3CDTF">2022-07-03T19:53:00Z</dcterms:created>
  <dcterms:modified xsi:type="dcterms:W3CDTF">2022-07-03T20:04:00Z</dcterms:modified>
</cp:coreProperties>
</file>