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drawings/drawing1.xml" ContentType="application/vnd.openxmlformats-officedocument.drawingml.chartshap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charts/chart2.xml" ContentType="application/vnd.openxmlformats-officedocument.drawingml.chart+xml"/>
  <Override PartName="/word/drawings/drawing2.xml" ContentType="application/vnd.openxmlformats-officedocument.drawingml.chartshapes+xml"/>
  <Override PartName="/word/charts/chart3.xml" ContentType="application/vnd.openxmlformats-officedocument.drawingml.chart+xml"/>
  <Override PartName="/word/drawings/drawing3.xml" ContentType="application/vnd.openxmlformats-officedocument.drawingml.chartshapes+xml"/>
  <Override PartName="/word/charts/chart4.xml" ContentType="application/vnd.openxmlformats-officedocument.drawingml.chart+xml"/>
  <Override PartName="/word/drawings/drawing4.xml" ContentType="application/vnd.openxmlformats-officedocument.drawingml.chartshapes+xml"/>
  <Override PartName="/word/charts/chart5.xml" ContentType="application/vnd.openxmlformats-officedocument.drawingml.chart+xml"/>
  <Override PartName="/word/drawings/drawing5.xml" ContentType="application/vnd.openxmlformats-officedocument.drawingml.chartshapes+xml"/>
  <Override PartName="/word/charts/chart6.xml" ContentType="application/vnd.openxmlformats-officedocument.drawingml.chart+xml"/>
  <Override PartName="/word/drawings/drawing6.xml" ContentType="application/vnd.openxmlformats-officedocument.drawingml.chartshapes+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charts/chart7.xml" ContentType="application/vnd.openxmlformats-officedocument.drawingml.chart+xml"/>
  <Override PartName="/word/drawings/drawing7.xml" ContentType="application/vnd.openxmlformats-officedocument.drawingml.chartshapes+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charts/chart8.xml" ContentType="application/vnd.openxmlformats-officedocument.drawingml.chart+xml"/>
  <Override PartName="/word/drawings/drawing8.xml" ContentType="application/vnd.openxmlformats-officedocument.drawingml.chartshapes+xml"/>
  <Override PartName="/word/charts/chart9.xml" ContentType="application/vnd.openxmlformats-officedocument.drawingml.chart+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1317914066"/>
        <w:docPartObj>
          <w:docPartGallery w:val="Cover Pages"/>
          <w:docPartUnique/>
        </w:docPartObj>
      </w:sdtPr>
      <w:sdtEndPr>
        <w:rPr>
          <w:rFonts w:ascii="Arial" w:hAnsi="Arial" w:cs="Arial"/>
          <w:b/>
          <w:sz w:val="24"/>
          <w:szCs w:val="24"/>
        </w:rPr>
      </w:sdtEndPr>
      <w:sdtContent>
        <w:p w:rsidR="00B231B6" w:rsidRDefault="00B231B6">
          <w:r>
            <w:rPr>
              <w:noProof/>
              <w:lang w:eastAsia="en-GB"/>
            </w:rPr>
            <mc:AlternateContent>
              <mc:Choice Requires="wpg">
                <w:drawing>
                  <wp:anchor distT="0" distB="0" distL="114300" distR="114300" simplePos="0" relativeHeight="251665408"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877B879" id="Group 149" o:spid="_x0000_s1026" style="position:absolute;margin-left:0;margin-top:0;width:8in;height:95.7pt;z-index:251665408;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3360"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A56A6" w:rsidRDefault="00EA56A6">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3360;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" filled="f" stroked="f" strokeweight=".5pt">
                    <v:textbox inset="126pt,0,54pt,0">
                      <w:txbxContent>
                        <w:p w:rsidR="00EA56A6" w:rsidRDefault="00EA56A6">
                          <w:pPr>
                            <w:pStyle w:val="NoSpacing"/>
                            <w:jc w:val="right"/>
                            <w:rPr>
                              <w:color w:val="595959" w:themeColor="text1" w:themeTint="A6"/>
                              <w:sz w:val="18"/>
                              <w:szCs w:val="18"/>
                            </w:rPr>
                          </w:pPr>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4384"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A56A6" w:rsidRDefault="00EA56A6">
                                <w:pPr>
                                  <w:pStyle w:val="NoSpacing"/>
                                  <w:jc w:val="right"/>
                                  <w:rPr>
                                    <w:color w:val="5B9BD5" w:themeColor="accent1"/>
                                    <w:sz w:val="28"/>
                                    <w:szCs w:val="28"/>
                                  </w:rPr>
                                </w:pPr>
                                <w:r>
                                  <w:rPr>
                                    <w:color w:val="5B9BD5" w:themeColor="accent1"/>
                                    <w:sz w:val="28"/>
                                    <w:szCs w:val="28"/>
                                  </w:rPr>
                                  <w:t>SUBMITTED TO:</w:t>
                                </w:r>
                                <w:r w:rsidR="00911973">
                                  <w:rPr>
                                    <w:color w:val="5B9BD5" w:themeColor="accent1"/>
                                    <w:sz w:val="28"/>
                                    <w:szCs w:val="28"/>
                                  </w:rPr>
                                  <w:t xml:space="preserve"> Tristan Hawkins</w:t>
                                </w:r>
                              </w:p>
                              <w:p w:rsidR="00EA56A6" w:rsidRDefault="00EA56A6">
                                <w:pPr>
                                  <w:pStyle w:val="NoSpacing"/>
                                  <w:jc w:val="right"/>
                                  <w:rPr>
                                    <w:color w:val="5B9BD5" w:themeColor="accent1"/>
                                    <w:sz w:val="28"/>
                                    <w:szCs w:val="28"/>
                                  </w:rPr>
                                </w:pPr>
                                <w:r>
                                  <w:rPr>
                                    <w:color w:val="5B9BD5" w:themeColor="accent1"/>
                                    <w:sz w:val="28"/>
                                    <w:szCs w:val="28"/>
                                  </w:rPr>
                                  <w:t>SUBMITTED BY:</w:t>
                                </w:r>
                                <w:r w:rsidR="00911973">
                                  <w:rPr>
                                    <w:color w:val="5B9BD5" w:themeColor="accent1"/>
                                    <w:sz w:val="28"/>
                                    <w:szCs w:val="28"/>
                                  </w:rPr>
                                  <w:t>Kamrul Khan</w:t>
                                </w:r>
                              </w:p>
                              <w:p w:rsidR="00911973" w:rsidRDefault="00911973">
                                <w:pPr>
                                  <w:pStyle w:val="NoSpacing"/>
                                  <w:jc w:val="right"/>
                                  <w:rPr>
                                    <w:color w:val="5B9BD5" w:themeColor="accent1"/>
                                    <w:sz w:val="28"/>
                                    <w:szCs w:val="28"/>
                                  </w:rPr>
                                </w:pPr>
                                <w:r>
                                  <w:rPr>
                                    <w:color w:val="5B9BD5" w:themeColor="accent1"/>
                                    <w:sz w:val="28"/>
                                    <w:szCs w:val="28"/>
                                  </w:rPr>
                                  <w:t>Student ID: 2022307511</w:t>
                                </w:r>
                                <w:bookmarkStart w:id="0" w:name="_GoBack"/>
                                <w:bookmarkEnd w:id="0"/>
                              </w:p>
                              <w:p w:rsidR="00EA56A6" w:rsidRDefault="00EA56A6">
                                <w:pPr>
                                  <w:pStyle w:val="NoSpacing"/>
                                  <w:jc w:val="right"/>
                                  <w:rPr>
                                    <w:color w:val="5B9BD5" w:themeColor="accent1"/>
                                    <w:sz w:val="28"/>
                                    <w:szCs w:val="28"/>
                                  </w:rPr>
                                </w:pPr>
                                <w:r>
                                  <w:rPr>
                                    <w:color w:val="5B9BD5" w:themeColor="accent1"/>
                                    <w:sz w:val="28"/>
                                    <w:szCs w:val="28"/>
                                  </w:rPr>
                                  <w:t>COURSE CODE:</w:t>
                                </w:r>
                                <w:r w:rsidR="00911973">
                                  <w:rPr>
                                    <w:color w:val="5B9BD5" w:themeColor="accent1"/>
                                    <w:sz w:val="28"/>
                                    <w:szCs w:val="28"/>
                                  </w:rPr>
                                  <w:t xml:space="preserve"> BMIH5007</w:t>
                                </w:r>
                              </w:p>
                              <w:p w:rsidR="00EA56A6" w:rsidRDefault="00EA56A6">
                                <w:pPr>
                                  <w:pStyle w:val="NoSpacing"/>
                                  <w:jc w:val="right"/>
                                  <w:rPr>
                                    <w:color w:val="595959" w:themeColor="text1" w:themeTint="A6"/>
                                    <w:sz w:val="20"/>
                                    <w:szCs w:val="20"/>
                                  </w:rPr>
                                </w:pPr>
                                <w:r>
                                  <w:rPr>
                                    <w:color w:val="5B9BD5" w:themeColor="accent1"/>
                                    <w:sz w:val="28"/>
                                    <w:szCs w:val="28"/>
                                  </w:rPr>
                                  <w:t>COURSE TITLE:</w:t>
                                </w:r>
                                <w:r w:rsidR="00911973">
                                  <w:rPr>
                                    <w:color w:val="5B9BD5" w:themeColor="accent1"/>
                                    <w:sz w:val="28"/>
                                    <w:szCs w:val="28"/>
                                  </w:rPr>
                                  <w:t xml:space="preserve"> Financial Management for The Hotel Industry</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id="_x0000_t202" coordsize="21600,21600" o:spt="202" path="m,l,21600r21600,l21600,xe">
                    <v:stroke joinstyle="miter"/>
                    <v:path gradientshapeok="t" o:connecttype="rect"/>
                  </v:shapetype>
                  <v:shape id="Text Box 153" o:spid="_x0000_s1027" type="#_x0000_t202" style="position:absolute;margin-left:0;margin-top:0;width:8in;height:79.5pt;z-index:251664384;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rsidR="00EA56A6" w:rsidRDefault="00EA56A6">
                          <w:pPr>
                            <w:pStyle w:val="NoSpacing"/>
                            <w:jc w:val="right"/>
                            <w:rPr>
                              <w:color w:val="5B9BD5" w:themeColor="accent1"/>
                              <w:sz w:val="28"/>
                              <w:szCs w:val="28"/>
                            </w:rPr>
                          </w:pPr>
                          <w:r>
                            <w:rPr>
                              <w:color w:val="5B9BD5" w:themeColor="accent1"/>
                              <w:sz w:val="28"/>
                              <w:szCs w:val="28"/>
                            </w:rPr>
                            <w:t>SUBMITTED TO:</w:t>
                          </w:r>
                          <w:r w:rsidR="00911973">
                            <w:rPr>
                              <w:color w:val="5B9BD5" w:themeColor="accent1"/>
                              <w:sz w:val="28"/>
                              <w:szCs w:val="28"/>
                            </w:rPr>
                            <w:t xml:space="preserve"> Tristan Hawkins</w:t>
                          </w:r>
                        </w:p>
                        <w:p w:rsidR="00EA56A6" w:rsidRDefault="00EA56A6">
                          <w:pPr>
                            <w:pStyle w:val="NoSpacing"/>
                            <w:jc w:val="right"/>
                            <w:rPr>
                              <w:color w:val="5B9BD5" w:themeColor="accent1"/>
                              <w:sz w:val="28"/>
                              <w:szCs w:val="28"/>
                            </w:rPr>
                          </w:pPr>
                          <w:r>
                            <w:rPr>
                              <w:color w:val="5B9BD5" w:themeColor="accent1"/>
                              <w:sz w:val="28"/>
                              <w:szCs w:val="28"/>
                            </w:rPr>
                            <w:t>SUBMITTED BY:</w:t>
                          </w:r>
                          <w:r w:rsidR="00911973">
                            <w:rPr>
                              <w:color w:val="5B9BD5" w:themeColor="accent1"/>
                              <w:sz w:val="28"/>
                              <w:szCs w:val="28"/>
                            </w:rPr>
                            <w:t>Kamrul Khan</w:t>
                          </w:r>
                        </w:p>
                        <w:p w:rsidR="00911973" w:rsidRDefault="00911973">
                          <w:pPr>
                            <w:pStyle w:val="NoSpacing"/>
                            <w:jc w:val="right"/>
                            <w:rPr>
                              <w:color w:val="5B9BD5" w:themeColor="accent1"/>
                              <w:sz w:val="28"/>
                              <w:szCs w:val="28"/>
                            </w:rPr>
                          </w:pPr>
                          <w:r>
                            <w:rPr>
                              <w:color w:val="5B9BD5" w:themeColor="accent1"/>
                              <w:sz w:val="28"/>
                              <w:szCs w:val="28"/>
                            </w:rPr>
                            <w:t>Student ID: 2022307511</w:t>
                          </w:r>
                          <w:bookmarkStart w:id="1" w:name="_GoBack"/>
                          <w:bookmarkEnd w:id="1"/>
                        </w:p>
                        <w:p w:rsidR="00EA56A6" w:rsidRDefault="00EA56A6">
                          <w:pPr>
                            <w:pStyle w:val="NoSpacing"/>
                            <w:jc w:val="right"/>
                            <w:rPr>
                              <w:color w:val="5B9BD5" w:themeColor="accent1"/>
                              <w:sz w:val="28"/>
                              <w:szCs w:val="28"/>
                            </w:rPr>
                          </w:pPr>
                          <w:r>
                            <w:rPr>
                              <w:color w:val="5B9BD5" w:themeColor="accent1"/>
                              <w:sz w:val="28"/>
                              <w:szCs w:val="28"/>
                            </w:rPr>
                            <w:t>COURSE CODE:</w:t>
                          </w:r>
                          <w:r w:rsidR="00911973">
                            <w:rPr>
                              <w:color w:val="5B9BD5" w:themeColor="accent1"/>
                              <w:sz w:val="28"/>
                              <w:szCs w:val="28"/>
                            </w:rPr>
                            <w:t xml:space="preserve"> BMIH5007</w:t>
                          </w:r>
                        </w:p>
                        <w:p w:rsidR="00EA56A6" w:rsidRDefault="00EA56A6">
                          <w:pPr>
                            <w:pStyle w:val="NoSpacing"/>
                            <w:jc w:val="right"/>
                            <w:rPr>
                              <w:color w:val="595959" w:themeColor="text1" w:themeTint="A6"/>
                              <w:sz w:val="20"/>
                              <w:szCs w:val="20"/>
                            </w:rPr>
                          </w:pPr>
                          <w:r>
                            <w:rPr>
                              <w:color w:val="5B9BD5" w:themeColor="accent1"/>
                              <w:sz w:val="28"/>
                              <w:szCs w:val="28"/>
                            </w:rPr>
                            <w:t>COURSE TITLE:</w:t>
                          </w:r>
                          <w:r w:rsidR="00911973">
                            <w:rPr>
                              <w:color w:val="5B9BD5" w:themeColor="accent1"/>
                              <w:sz w:val="28"/>
                              <w:szCs w:val="28"/>
                            </w:rPr>
                            <w:t xml:space="preserve"> Financial Management for The Hotel Industry</w:t>
                          </w:r>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A56A6" w:rsidRDefault="00415FF0">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A56A6">
                                      <w:rPr>
                                        <w:caps/>
                                        <w:color w:val="5B9BD5" w:themeColor="accent1"/>
                                        <w:sz w:val="64"/>
                                        <w:szCs w:val="64"/>
                                      </w:rPr>
                                      <w:t>URBAN HEIGHTS HOTEL</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EA56A6" w:rsidRDefault="00EA56A6">
                                    <w:pPr>
                                      <w:jc w:val="right"/>
                                      <w:rPr>
                                        <w:smallCaps/>
                                        <w:color w:val="404040" w:themeColor="text1" w:themeTint="BF"/>
                                        <w:sz w:val="36"/>
                                        <w:szCs w:val="36"/>
                                      </w:rPr>
                                    </w:pPr>
                                    <w:r>
                                      <w:rPr>
                                        <w:color w:val="404040" w:themeColor="text1" w:themeTint="BF"/>
                                        <w:sz w:val="36"/>
                                        <w:szCs w:val="36"/>
                                      </w:rPr>
                                      <w:t>REPORT OF CASE STUDY</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Text Box 154" o:spid="_x0000_s1028" type="#_x0000_t202" style="position:absolute;margin-left:0;margin-top:0;width:8in;height:286.5pt;z-index:251662336;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" filled="f" stroked="f" strokeweight=".5pt">
                    <v:textbox inset="126pt,0,54pt,0">
                      <w:txbxContent>
                        <w:p w:rsidR="00EA56A6" w:rsidRDefault="006238DA">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A56A6">
                                <w:rPr>
                                  <w:caps/>
                                  <w:color w:val="5B9BD5" w:themeColor="accent1"/>
                                  <w:sz w:val="64"/>
                                  <w:szCs w:val="64"/>
                                </w:rPr>
                                <w:t>URBAN HEIGHTS HOTEL</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EA56A6" w:rsidRDefault="00EA56A6">
                              <w:pPr>
                                <w:jc w:val="right"/>
                                <w:rPr>
                                  <w:smallCaps/>
                                  <w:color w:val="404040" w:themeColor="text1" w:themeTint="BF"/>
                                  <w:sz w:val="36"/>
                                  <w:szCs w:val="36"/>
                                </w:rPr>
                              </w:pPr>
                              <w:r>
                                <w:rPr>
                                  <w:color w:val="404040" w:themeColor="text1" w:themeTint="BF"/>
                                  <w:sz w:val="36"/>
                                  <w:szCs w:val="36"/>
                                </w:rPr>
                                <w:t>REPORT OF CASE STUDY</w:t>
                              </w:r>
                            </w:p>
                          </w:sdtContent>
                        </w:sdt>
                      </w:txbxContent>
                    </v:textbox>
                    <w10:wrap type="square" anchorx="page" anchory="page"/>
                  </v:shape>
                </w:pict>
              </mc:Fallback>
            </mc:AlternateContent>
          </w:r>
        </w:p>
        <w:p w:rsidR="00EE7AB8" w:rsidRDefault="00B231B6">
          <w:pPr>
            <w:rPr>
              <w:rFonts w:ascii="Arial" w:hAnsi="Arial" w:cs="Arial"/>
              <w:b/>
              <w:sz w:val="24"/>
              <w:szCs w:val="24"/>
            </w:rPr>
          </w:pPr>
          <w:r>
            <w:rPr>
              <w:rFonts w:ascii="Arial" w:hAnsi="Arial" w:cs="Arial"/>
              <w:b/>
              <w:sz w:val="24"/>
              <w:szCs w:val="24"/>
            </w:rPr>
            <w:br w:type="page"/>
          </w:r>
        </w:p>
        <w:p w:rsidR="0038553F" w:rsidRPr="0038553F" w:rsidRDefault="00EE7AB8" w:rsidP="0038553F">
          <w:pPr>
            <w:spacing w:line="360" w:lineRule="auto"/>
            <w:jc w:val="both"/>
            <w:rPr>
              <w:rFonts w:ascii="Arial" w:eastAsia="Times New Roman" w:hAnsi="Arial" w:cs="Arial"/>
              <w:sz w:val="24"/>
              <w:szCs w:val="24"/>
              <w:lang w:eastAsia="en-GB"/>
            </w:rPr>
          </w:pPr>
          <w:bookmarkStart w:id="2" w:name="_Toc168582774"/>
          <w:r w:rsidRPr="00B231B6">
            <w:rPr>
              <w:rStyle w:val="Heading1Char"/>
            </w:rPr>
            <w:lastRenderedPageBreak/>
            <w:t>Executive Summary</w:t>
          </w:r>
          <w:bookmarkEnd w:id="2"/>
          <w:r>
            <w:rPr>
              <w:rFonts w:ascii="Arial" w:eastAsia="Times New Roman" w:hAnsi="Arial" w:cs="Arial"/>
              <w:b/>
              <w:sz w:val="24"/>
              <w:szCs w:val="24"/>
              <w:lang w:eastAsia="en-GB"/>
            </w:rPr>
            <w:t>:</w:t>
          </w:r>
          <w:r>
            <w:rPr>
              <w:rFonts w:ascii="Arial" w:eastAsia="Times New Roman" w:hAnsi="Arial" w:cs="Arial"/>
              <w:sz w:val="24"/>
              <w:szCs w:val="24"/>
              <w:lang w:eastAsia="en-GB"/>
            </w:rPr>
            <w:t xml:space="preserve"> </w:t>
          </w:r>
          <w:r w:rsidRPr="008D0460">
            <w:rPr>
              <w:rFonts w:ascii="Arial" w:eastAsia="Times New Roman" w:hAnsi="Arial" w:cs="Arial"/>
              <w:sz w:val="24"/>
              <w:szCs w:val="24"/>
              <w:lang w:eastAsia="en-GB"/>
            </w:rPr>
            <w:br/>
          </w:r>
          <w:r w:rsidR="0038553F" w:rsidRPr="0038553F">
            <w:rPr>
              <w:rFonts w:ascii="Arial" w:eastAsia="Times New Roman" w:hAnsi="Arial" w:cs="Arial"/>
              <w:sz w:val="24"/>
              <w:szCs w:val="24"/>
              <w:lang w:eastAsia="en-GB"/>
            </w:rPr>
            <w:t>This study assesses the financial decline of Urban Heights Hotel from 2021 to 2023, which is marked by diminishing income, rising operational expenses, and severe net losses. Increased market competition, economic downturns, customer dissatisfaction, and higher operating costs are all important considerations. The balance sheet indicates declining cash reserves, accounts receivable, and asset values. To address these challenges, a comprehensive turnaround strategy is advised, focusing on competitive pricing, greater marketing, higher service quality, cost reduction, and financial restructuring. This plan aims to restore profitability, enhance the hotel's reputation, and ensure its long-term viability.</w:t>
          </w:r>
        </w:p>
        <w:p w:rsidR="00EE7AB8" w:rsidRPr="0038553F" w:rsidRDefault="00EE7AB8" w:rsidP="0038553F">
          <w:pPr>
            <w:spacing w:after="0" w:line="360" w:lineRule="auto"/>
            <w:jc w:val="both"/>
            <w:rPr>
              <w:rFonts w:ascii="Arial" w:hAnsi="Arial" w:cs="Arial"/>
              <w:b/>
              <w:sz w:val="24"/>
              <w:szCs w:val="24"/>
            </w:rPr>
          </w:pPr>
        </w:p>
        <w:p w:rsidR="00EE7AB8" w:rsidRDefault="00EE7AB8">
          <w:pPr>
            <w:rPr>
              <w:rFonts w:ascii="Arial" w:hAnsi="Arial" w:cs="Arial"/>
              <w:b/>
              <w:sz w:val="24"/>
              <w:szCs w:val="24"/>
            </w:rPr>
          </w:pPr>
        </w:p>
        <w:p w:rsidR="00EE7AB8" w:rsidRDefault="00EE7AB8">
          <w:pPr>
            <w:rPr>
              <w:rFonts w:ascii="Arial" w:hAnsi="Arial" w:cs="Arial"/>
              <w:b/>
              <w:sz w:val="24"/>
              <w:szCs w:val="24"/>
            </w:rPr>
          </w:pPr>
        </w:p>
        <w:p w:rsidR="00EE7AB8" w:rsidRDefault="00EE7AB8">
          <w:pPr>
            <w:rPr>
              <w:rFonts w:ascii="Arial" w:hAnsi="Arial" w:cs="Arial"/>
              <w:b/>
              <w:sz w:val="24"/>
              <w:szCs w:val="24"/>
            </w:rPr>
          </w:pPr>
        </w:p>
        <w:p w:rsidR="00EE7AB8" w:rsidRDefault="00EE7AB8">
          <w:pPr>
            <w:rPr>
              <w:rFonts w:ascii="Arial" w:hAnsi="Arial" w:cs="Arial"/>
              <w:b/>
              <w:sz w:val="24"/>
              <w:szCs w:val="24"/>
            </w:rPr>
          </w:pPr>
        </w:p>
        <w:p w:rsidR="00EE7AB8" w:rsidRDefault="00EE7AB8">
          <w:pPr>
            <w:rPr>
              <w:rFonts w:ascii="Arial" w:hAnsi="Arial" w:cs="Arial"/>
              <w:b/>
              <w:sz w:val="24"/>
              <w:szCs w:val="24"/>
            </w:rPr>
          </w:pPr>
        </w:p>
        <w:p w:rsidR="00EE7AB8" w:rsidRDefault="00EE7AB8">
          <w:pPr>
            <w:rPr>
              <w:rFonts w:ascii="Arial" w:hAnsi="Arial" w:cs="Arial"/>
              <w:b/>
              <w:sz w:val="24"/>
              <w:szCs w:val="24"/>
            </w:rPr>
          </w:pPr>
        </w:p>
        <w:p w:rsidR="00EE7AB8" w:rsidRDefault="00EE7AB8">
          <w:pPr>
            <w:rPr>
              <w:rFonts w:ascii="Arial" w:hAnsi="Arial" w:cs="Arial"/>
              <w:b/>
              <w:sz w:val="24"/>
              <w:szCs w:val="24"/>
            </w:rPr>
          </w:pPr>
        </w:p>
        <w:p w:rsidR="00EE7AB8" w:rsidRDefault="00EE7AB8">
          <w:pPr>
            <w:rPr>
              <w:rFonts w:ascii="Arial" w:hAnsi="Arial" w:cs="Arial"/>
              <w:b/>
              <w:sz w:val="24"/>
              <w:szCs w:val="24"/>
            </w:rPr>
          </w:pPr>
        </w:p>
        <w:p w:rsidR="00EE7AB8" w:rsidRDefault="00EE7AB8">
          <w:pPr>
            <w:rPr>
              <w:rFonts w:ascii="Arial" w:hAnsi="Arial" w:cs="Arial"/>
              <w:b/>
              <w:sz w:val="24"/>
              <w:szCs w:val="24"/>
            </w:rPr>
          </w:pPr>
        </w:p>
        <w:p w:rsidR="00EE7AB8" w:rsidRDefault="00EE7AB8">
          <w:pPr>
            <w:rPr>
              <w:rFonts w:ascii="Arial" w:hAnsi="Arial" w:cs="Arial"/>
              <w:b/>
              <w:sz w:val="24"/>
              <w:szCs w:val="24"/>
            </w:rPr>
          </w:pPr>
        </w:p>
        <w:p w:rsidR="00EE7AB8" w:rsidRDefault="00EE7AB8">
          <w:pPr>
            <w:rPr>
              <w:rFonts w:ascii="Arial" w:hAnsi="Arial" w:cs="Arial"/>
              <w:b/>
              <w:sz w:val="24"/>
              <w:szCs w:val="24"/>
            </w:rPr>
          </w:pPr>
        </w:p>
        <w:p w:rsidR="00EE7AB8" w:rsidRDefault="00EE7AB8">
          <w:pPr>
            <w:rPr>
              <w:rFonts w:ascii="Arial" w:hAnsi="Arial" w:cs="Arial"/>
              <w:b/>
              <w:sz w:val="24"/>
              <w:szCs w:val="24"/>
            </w:rPr>
          </w:pPr>
        </w:p>
        <w:p w:rsidR="00EE7AB8" w:rsidRDefault="00EE7AB8">
          <w:pPr>
            <w:rPr>
              <w:rFonts w:ascii="Arial" w:hAnsi="Arial" w:cs="Arial"/>
              <w:b/>
              <w:sz w:val="24"/>
              <w:szCs w:val="24"/>
            </w:rPr>
          </w:pPr>
        </w:p>
        <w:p w:rsidR="00EE7AB8" w:rsidRDefault="00EE7AB8">
          <w:pPr>
            <w:rPr>
              <w:rFonts w:ascii="Arial" w:hAnsi="Arial" w:cs="Arial"/>
              <w:b/>
              <w:sz w:val="24"/>
              <w:szCs w:val="24"/>
            </w:rPr>
          </w:pPr>
        </w:p>
        <w:p w:rsidR="00EE7AB8" w:rsidRDefault="00EE7AB8">
          <w:pPr>
            <w:rPr>
              <w:rFonts w:ascii="Arial" w:hAnsi="Arial" w:cs="Arial"/>
              <w:b/>
              <w:sz w:val="24"/>
              <w:szCs w:val="24"/>
            </w:rPr>
          </w:pPr>
        </w:p>
        <w:p w:rsidR="00EE7AB8" w:rsidRDefault="00EE7AB8">
          <w:pPr>
            <w:rPr>
              <w:rFonts w:ascii="Arial" w:hAnsi="Arial" w:cs="Arial"/>
              <w:b/>
              <w:sz w:val="24"/>
              <w:szCs w:val="24"/>
            </w:rPr>
          </w:pPr>
        </w:p>
        <w:p w:rsidR="00EE7AB8" w:rsidRDefault="00EE7AB8">
          <w:pPr>
            <w:rPr>
              <w:rFonts w:ascii="Arial" w:hAnsi="Arial" w:cs="Arial"/>
              <w:b/>
              <w:sz w:val="24"/>
              <w:szCs w:val="24"/>
            </w:rPr>
          </w:pPr>
        </w:p>
        <w:p w:rsidR="00EE7AB8" w:rsidRDefault="00EE7AB8">
          <w:pPr>
            <w:rPr>
              <w:rFonts w:ascii="Arial" w:hAnsi="Arial" w:cs="Arial"/>
              <w:b/>
              <w:sz w:val="24"/>
              <w:szCs w:val="24"/>
            </w:rPr>
          </w:pPr>
        </w:p>
        <w:p w:rsidR="00EE7AB8" w:rsidRDefault="00EE7AB8">
          <w:pPr>
            <w:rPr>
              <w:rFonts w:ascii="Arial" w:hAnsi="Arial" w:cs="Arial"/>
              <w:b/>
              <w:sz w:val="24"/>
              <w:szCs w:val="24"/>
            </w:rPr>
          </w:pPr>
        </w:p>
        <w:p w:rsidR="00EE7AB8" w:rsidRDefault="00EE7AB8">
          <w:pPr>
            <w:rPr>
              <w:rFonts w:ascii="Arial" w:hAnsi="Arial" w:cs="Arial"/>
              <w:b/>
              <w:sz w:val="24"/>
              <w:szCs w:val="24"/>
            </w:rPr>
          </w:pPr>
        </w:p>
        <w:p w:rsidR="00B231B6" w:rsidRDefault="00415FF0">
          <w:pPr>
            <w:rPr>
              <w:rFonts w:ascii="Arial" w:hAnsi="Arial" w:cs="Arial"/>
              <w:b/>
              <w:sz w:val="24"/>
              <w:szCs w:val="24"/>
            </w:rPr>
          </w:pPr>
        </w:p>
      </w:sdtContent>
    </w:sdt>
    <w:sdt>
      <w:sdtPr>
        <w:rPr>
          <w:rFonts w:asciiTheme="minorHAnsi" w:eastAsiaTheme="minorHAnsi" w:hAnsiTheme="minorHAnsi" w:cstheme="minorBidi"/>
          <w:color w:val="auto"/>
          <w:sz w:val="22"/>
          <w:szCs w:val="22"/>
          <w:lang w:val="en-GB"/>
        </w:rPr>
        <w:id w:val="1632128316"/>
        <w:docPartObj>
          <w:docPartGallery w:val="Table of Contents"/>
          <w:docPartUnique/>
        </w:docPartObj>
      </w:sdtPr>
      <w:sdtEndPr>
        <w:rPr>
          <w:b/>
          <w:bCs/>
          <w:noProof/>
        </w:rPr>
      </w:sdtEndPr>
      <w:sdtContent>
        <w:p w:rsidR="00B231B6" w:rsidRPr="00E145E2" w:rsidRDefault="00B231B6" w:rsidP="00E145E2">
          <w:pPr>
            <w:pStyle w:val="TOCHeading"/>
            <w:spacing w:before="0" w:line="360" w:lineRule="auto"/>
            <w:jc w:val="both"/>
            <w:rPr>
              <w:rFonts w:ascii="Arial" w:hAnsi="Arial" w:cs="Arial"/>
              <w:b/>
              <w:color w:val="000000" w:themeColor="text1"/>
              <w:sz w:val="24"/>
              <w:szCs w:val="24"/>
            </w:rPr>
          </w:pPr>
          <w:r w:rsidRPr="00E145E2">
            <w:rPr>
              <w:rFonts w:ascii="Arial" w:hAnsi="Arial" w:cs="Arial"/>
              <w:b/>
              <w:color w:val="000000" w:themeColor="text1"/>
              <w:sz w:val="24"/>
              <w:szCs w:val="24"/>
            </w:rPr>
            <w:t>Contents</w:t>
          </w:r>
        </w:p>
        <w:p w:rsidR="00E145E2" w:rsidRPr="00E145E2" w:rsidRDefault="00B231B6" w:rsidP="00E145E2">
          <w:pPr>
            <w:pStyle w:val="TOC1"/>
            <w:tabs>
              <w:tab w:val="right" w:leader="dot" w:pos="9016"/>
            </w:tabs>
            <w:spacing w:line="360" w:lineRule="auto"/>
            <w:jc w:val="both"/>
            <w:rPr>
              <w:rFonts w:ascii="Arial" w:eastAsiaTheme="minorEastAsia" w:hAnsi="Arial" w:cs="Arial"/>
              <w:noProof/>
              <w:sz w:val="24"/>
              <w:szCs w:val="24"/>
              <w:lang w:eastAsia="en-GB"/>
            </w:rPr>
          </w:pPr>
          <w:r w:rsidRPr="00E145E2">
            <w:rPr>
              <w:rFonts w:ascii="Arial" w:hAnsi="Arial" w:cs="Arial"/>
              <w:color w:val="000000" w:themeColor="text1"/>
              <w:sz w:val="24"/>
              <w:szCs w:val="24"/>
            </w:rPr>
            <w:fldChar w:fldCharType="begin"/>
          </w:r>
          <w:r w:rsidRPr="00E145E2">
            <w:rPr>
              <w:rFonts w:ascii="Arial" w:hAnsi="Arial" w:cs="Arial"/>
              <w:color w:val="000000" w:themeColor="text1"/>
              <w:sz w:val="24"/>
              <w:szCs w:val="24"/>
            </w:rPr>
            <w:instrText xml:space="preserve"> TOC \o "1-3" \h \z \u </w:instrText>
          </w:r>
          <w:r w:rsidRPr="00E145E2">
            <w:rPr>
              <w:rFonts w:ascii="Arial" w:hAnsi="Arial" w:cs="Arial"/>
              <w:color w:val="000000" w:themeColor="text1"/>
              <w:sz w:val="24"/>
              <w:szCs w:val="24"/>
            </w:rPr>
            <w:fldChar w:fldCharType="separate"/>
          </w:r>
          <w:hyperlink w:anchor="_Toc168582774" w:history="1">
            <w:r w:rsidR="00E145E2" w:rsidRPr="00E145E2">
              <w:rPr>
                <w:rStyle w:val="Hyperlink"/>
                <w:rFonts w:ascii="Arial" w:hAnsi="Arial" w:cs="Arial"/>
                <w:noProof/>
                <w:sz w:val="24"/>
                <w:szCs w:val="24"/>
              </w:rPr>
              <w:t>Executive Summary</w:t>
            </w:r>
            <w:r w:rsidR="00E145E2" w:rsidRPr="00E145E2">
              <w:rPr>
                <w:rFonts w:ascii="Arial" w:hAnsi="Arial" w:cs="Arial"/>
                <w:noProof/>
                <w:webHidden/>
                <w:sz w:val="24"/>
                <w:szCs w:val="24"/>
              </w:rPr>
              <w:tab/>
            </w:r>
            <w:r w:rsidR="00E145E2" w:rsidRPr="00E145E2">
              <w:rPr>
                <w:rFonts w:ascii="Arial" w:hAnsi="Arial" w:cs="Arial"/>
                <w:noProof/>
                <w:webHidden/>
                <w:sz w:val="24"/>
                <w:szCs w:val="24"/>
              </w:rPr>
              <w:fldChar w:fldCharType="begin"/>
            </w:r>
            <w:r w:rsidR="00E145E2" w:rsidRPr="00E145E2">
              <w:rPr>
                <w:rFonts w:ascii="Arial" w:hAnsi="Arial" w:cs="Arial"/>
                <w:noProof/>
                <w:webHidden/>
                <w:sz w:val="24"/>
                <w:szCs w:val="24"/>
              </w:rPr>
              <w:instrText xml:space="preserve"> PAGEREF _Toc168582774 \h </w:instrText>
            </w:r>
            <w:r w:rsidR="00E145E2" w:rsidRPr="00E145E2">
              <w:rPr>
                <w:rFonts w:ascii="Arial" w:hAnsi="Arial" w:cs="Arial"/>
                <w:noProof/>
                <w:webHidden/>
                <w:sz w:val="24"/>
                <w:szCs w:val="24"/>
              </w:rPr>
            </w:r>
            <w:r w:rsidR="00E145E2" w:rsidRPr="00E145E2">
              <w:rPr>
                <w:rFonts w:ascii="Arial" w:hAnsi="Arial" w:cs="Arial"/>
                <w:noProof/>
                <w:webHidden/>
                <w:sz w:val="24"/>
                <w:szCs w:val="24"/>
              </w:rPr>
              <w:fldChar w:fldCharType="separate"/>
            </w:r>
            <w:r w:rsidR="00E145E2" w:rsidRPr="00E145E2">
              <w:rPr>
                <w:rFonts w:ascii="Arial" w:hAnsi="Arial" w:cs="Arial"/>
                <w:noProof/>
                <w:webHidden/>
                <w:sz w:val="24"/>
                <w:szCs w:val="24"/>
              </w:rPr>
              <w:t>1</w:t>
            </w:r>
            <w:r w:rsidR="00E145E2" w:rsidRPr="00E145E2">
              <w:rPr>
                <w:rFonts w:ascii="Arial" w:hAnsi="Arial" w:cs="Arial"/>
                <w:noProof/>
                <w:webHidden/>
                <w:sz w:val="24"/>
                <w:szCs w:val="24"/>
              </w:rPr>
              <w:fldChar w:fldCharType="end"/>
            </w:r>
          </w:hyperlink>
        </w:p>
        <w:p w:rsidR="00E145E2" w:rsidRPr="00E145E2" w:rsidRDefault="00415FF0" w:rsidP="00E145E2">
          <w:pPr>
            <w:pStyle w:val="TOC1"/>
            <w:tabs>
              <w:tab w:val="right" w:leader="dot" w:pos="9016"/>
            </w:tabs>
            <w:spacing w:line="360" w:lineRule="auto"/>
            <w:jc w:val="both"/>
            <w:rPr>
              <w:rFonts w:ascii="Arial" w:eastAsiaTheme="minorEastAsia" w:hAnsi="Arial" w:cs="Arial"/>
              <w:noProof/>
              <w:sz w:val="24"/>
              <w:szCs w:val="24"/>
              <w:lang w:eastAsia="en-GB"/>
            </w:rPr>
          </w:pPr>
          <w:hyperlink w:anchor="_Toc168582775" w:history="1">
            <w:r w:rsidR="00E145E2" w:rsidRPr="00E145E2">
              <w:rPr>
                <w:rStyle w:val="Hyperlink"/>
                <w:rFonts w:ascii="Arial" w:hAnsi="Arial" w:cs="Arial"/>
                <w:noProof/>
                <w:sz w:val="24"/>
                <w:szCs w:val="24"/>
              </w:rPr>
              <w:t>Introduction</w:t>
            </w:r>
            <w:r w:rsidR="00E145E2" w:rsidRPr="00E145E2">
              <w:rPr>
                <w:rFonts w:ascii="Arial" w:hAnsi="Arial" w:cs="Arial"/>
                <w:noProof/>
                <w:webHidden/>
                <w:sz w:val="24"/>
                <w:szCs w:val="24"/>
              </w:rPr>
              <w:tab/>
            </w:r>
            <w:r w:rsidR="00E145E2" w:rsidRPr="00E145E2">
              <w:rPr>
                <w:rFonts w:ascii="Arial" w:hAnsi="Arial" w:cs="Arial"/>
                <w:noProof/>
                <w:webHidden/>
                <w:sz w:val="24"/>
                <w:szCs w:val="24"/>
              </w:rPr>
              <w:fldChar w:fldCharType="begin"/>
            </w:r>
            <w:r w:rsidR="00E145E2" w:rsidRPr="00E145E2">
              <w:rPr>
                <w:rFonts w:ascii="Arial" w:hAnsi="Arial" w:cs="Arial"/>
                <w:noProof/>
                <w:webHidden/>
                <w:sz w:val="24"/>
                <w:szCs w:val="24"/>
              </w:rPr>
              <w:instrText xml:space="preserve"> PAGEREF _Toc168582775 \h </w:instrText>
            </w:r>
            <w:r w:rsidR="00E145E2" w:rsidRPr="00E145E2">
              <w:rPr>
                <w:rFonts w:ascii="Arial" w:hAnsi="Arial" w:cs="Arial"/>
                <w:noProof/>
                <w:webHidden/>
                <w:sz w:val="24"/>
                <w:szCs w:val="24"/>
              </w:rPr>
            </w:r>
            <w:r w:rsidR="00E145E2" w:rsidRPr="00E145E2">
              <w:rPr>
                <w:rFonts w:ascii="Arial" w:hAnsi="Arial" w:cs="Arial"/>
                <w:noProof/>
                <w:webHidden/>
                <w:sz w:val="24"/>
                <w:szCs w:val="24"/>
              </w:rPr>
              <w:fldChar w:fldCharType="separate"/>
            </w:r>
            <w:r w:rsidR="00E145E2" w:rsidRPr="00E145E2">
              <w:rPr>
                <w:rFonts w:ascii="Arial" w:hAnsi="Arial" w:cs="Arial"/>
                <w:noProof/>
                <w:webHidden/>
                <w:sz w:val="24"/>
                <w:szCs w:val="24"/>
              </w:rPr>
              <w:t>3</w:t>
            </w:r>
            <w:r w:rsidR="00E145E2" w:rsidRPr="00E145E2">
              <w:rPr>
                <w:rFonts w:ascii="Arial" w:hAnsi="Arial" w:cs="Arial"/>
                <w:noProof/>
                <w:webHidden/>
                <w:sz w:val="24"/>
                <w:szCs w:val="24"/>
              </w:rPr>
              <w:fldChar w:fldCharType="end"/>
            </w:r>
          </w:hyperlink>
        </w:p>
        <w:p w:rsidR="00E145E2" w:rsidRPr="00E145E2" w:rsidRDefault="00415FF0" w:rsidP="00E145E2">
          <w:pPr>
            <w:pStyle w:val="TOC2"/>
            <w:tabs>
              <w:tab w:val="right" w:leader="dot" w:pos="9016"/>
            </w:tabs>
            <w:spacing w:line="360" w:lineRule="auto"/>
            <w:jc w:val="both"/>
            <w:rPr>
              <w:rFonts w:ascii="Arial" w:eastAsiaTheme="minorEastAsia" w:hAnsi="Arial" w:cs="Arial"/>
              <w:noProof/>
              <w:sz w:val="24"/>
              <w:szCs w:val="24"/>
              <w:lang w:eastAsia="en-GB"/>
            </w:rPr>
          </w:pPr>
          <w:hyperlink w:anchor="_Toc168582776" w:history="1">
            <w:r w:rsidR="00E145E2" w:rsidRPr="00E145E2">
              <w:rPr>
                <w:rStyle w:val="Hyperlink"/>
                <w:rFonts w:ascii="Arial" w:hAnsi="Arial" w:cs="Arial"/>
                <w:noProof/>
                <w:sz w:val="24"/>
                <w:szCs w:val="24"/>
              </w:rPr>
              <w:t>Income Statement Analysis (2021-2023)</w:t>
            </w:r>
            <w:r w:rsidR="00E145E2" w:rsidRPr="00E145E2">
              <w:rPr>
                <w:rFonts w:ascii="Arial" w:hAnsi="Arial" w:cs="Arial"/>
                <w:noProof/>
                <w:webHidden/>
                <w:sz w:val="24"/>
                <w:szCs w:val="24"/>
              </w:rPr>
              <w:tab/>
            </w:r>
            <w:r w:rsidR="00E145E2" w:rsidRPr="00E145E2">
              <w:rPr>
                <w:rFonts w:ascii="Arial" w:hAnsi="Arial" w:cs="Arial"/>
                <w:noProof/>
                <w:webHidden/>
                <w:sz w:val="24"/>
                <w:szCs w:val="24"/>
              </w:rPr>
              <w:fldChar w:fldCharType="begin"/>
            </w:r>
            <w:r w:rsidR="00E145E2" w:rsidRPr="00E145E2">
              <w:rPr>
                <w:rFonts w:ascii="Arial" w:hAnsi="Arial" w:cs="Arial"/>
                <w:noProof/>
                <w:webHidden/>
                <w:sz w:val="24"/>
                <w:szCs w:val="24"/>
              </w:rPr>
              <w:instrText xml:space="preserve"> PAGEREF _Toc168582776 \h </w:instrText>
            </w:r>
            <w:r w:rsidR="00E145E2" w:rsidRPr="00E145E2">
              <w:rPr>
                <w:rFonts w:ascii="Arial" w:hAnsi="Arial" w:cs="Arial"/>
                <w:noProof/>
                <w:webHidden/>
                <w:sz w:val="24"/>
                <w:szCs w:val="24"/>
              </w:rPr>
            </w:r>
            <w:r w:rsidR="00E145E2" w:rsidRPr="00E145E2">
              <w:rPr>
                <w:rFonts w:ascii="Arial" w:hAnsi="Arial" w:cs="Arial"/>
                <w:noProof/>
                <w:webHidden/>
                <w:sz w:val="24"/>
                <w:szCs w:val="24"/>
              </w:rPr>
              <w:fldChar w:fldCharType="separate"/>
            </w:r>
            <w:r w:rsidR="00E145E2" w:rsidRPr="00E145E2">
              <w:rPr>
                <w:rFonts w:ascii="Arial" w:hAnsi="Arial" w:cs="Arial"/>
                <w:noProof/>
                <w:webHidden/>
                <w:sz w:val="24"/>
                <w:szCs w:val="24"/>
              </w:rPr>
              <w:t>3</w:t>
            </w:r>
            <w:r w:rsidR="00E145E2" w:rsidRPr="00E145E2">
              <w:rPr>
                <w:rFonts w:ascii="Arial" w:hAnsi="Arial" w:cs="Arial"/>
                <w:noProof/>
                <w:webHidden/>
                <w:sz w:val="24"/>
                <w:szCs w:val="24"/>
              </w:rPr>
              <w:fldChar w:fldCharType="end"/>
            </w:r>
          </w:hyperlink>
        </w:p>
        <w:p w:rsidR="00E145E2" w:rsidRPr="00E145E2" w:rsidRDefault="00415FF0" w:rsidP="00E145E2">
          <w:pPr>
            <w:pStyle w:val="TOC1"/>
            <w:tabs>
              <w:tab w:val="right" w:leader="dot" w:pos="9016"/>
            </w:tabs>
            <w:spacing w:line="360" w:lineRule="auto"/>
            <w:jc w:val="both"/>
            <w:rPr>
              <w:rFonts w:ascii="Arial" w:eastAsiaTheme="minorEastAsia" w:hAnsi="Arial" w:cs="Arial"/>
              <w:noProof/>
              <w:sz w:val="24"/>
              <w:szCs w:val="24"/>
              <w:lang w:eastAsia="en-GB"/>
            </w:rPr>
          </w:pPr>
          <w:hyperlink w:anchor="_Toc168582777" w:history="1">
            <w:r w:rsidR="00E145E2" w:rsidRPr="00E145E2">
              <w:rPr>
                <w:rStyle w:val="Hyperlink"/>
                <w:rFonts w:ascii="Arial" w:hAnsi="Arial" w:cs="Arial"/>
                <w:noProof/>
                <w:sz w:val="24"/>
                <w:szCs w:val="24"/>
              </w:rPr>
              <w:t>Profit Margin</w:t>
            </w:r>
            <w:r w:rsidR="00E145E2" w:rsidRPr="00E145E2">
              <w:rPr>
                <w:rFonts w:ascii="Arial" w:hAnsi="Arial" w:cs="Arial"/>
                <w:noProof/>
                <w:webHidden/>
                <w:sz w:val="24"/>
                <w:szCs w:val="24"/>
              </w:rPr>
              <w:tab/>
            </w:r>
            <w:r w:rsidR="00E145E2" w:rsidRPr="00E145E2">
              <w:rPr>
                <w:rFonts w:ascii="Arial" w:hAnsi="Arial" w:cs="Arial"/>
                <w:noProof/>
                <w:webHidden/>
                <w:sz w:val="24"/>
                <w:szCs w:val="24"/>
              </w:rPr>
              <w:fldChar w:fldCharType="begin"/>
            </w:r>
            <w:r w:rsidR="00E145E2" w:rsidRPr="00E145E2">
              <w:rPr>
                <w:rFonts w:ascii="Arial" w:hAnsi="Arial" w:cs="Arial"/>
                <w:noProof/>
                <w:webHidden/>
                <w:sz w:val="24"/>
                <w:szCs w:val="24"/>
              </w:rPr>
              <w:instrText xml:space="preserve"> PAGEREF _Toc168582777 \h </w:instrText>
            </w:r>
            <w:r w:rsidR="00E145E2" w:rsidRPr="00E145E2">
              <w:rPr>
                <w:rFonts w:ascii="Arial" w:hAnsi="Arial" w:cs="Arial"/>
                <w:noProof/>
                <w:webHidden/>
                <w:sz w:val="24"/>
                <w:szCs w:val="24"/>
              </w:rPr>
            </w:r>
            <w:r w:rsidR="00E145E2" w:rsidRPr="00E145E2">
              <w:rPr>
                <w:rFonts w:ascii="Arial" w:hAnsi="Arial" w:cs="Arial"/>
                <w:noProof/>
                <w:webHidden/>
                <w:sz w:val="24"/>
                <w:szCs w:val="24"/>
              </w:rPr>
              <w:fldChar w:fldCharType="separate"/>
            </w:r>
            <w:r w:rsidR="00E145E2" w:rsidRPr="00E145E2">
              <w:rPr>
                <w:rFonts w:ascii="Arial" w:hAnsi="Arial" w:cs="Arial"/>
                <w:noProof/>
                <w:webHidden/>
                <w:sz w:val="24"/>
                <w:szCs w:val="24"/>
              </w:rPr>
              <w:t>4</w:t>
            </w:r>
            <w:r w:rsidR="00E145E2" w:rsidRPr="00E145E2">
              <w:rPr>
                <w:rFonts w:ascii="Arial" w:hAnsi="Arial" w:cs="Arial"/>
                <w:noProof/>
                <w:webHidden/>
                <w:sz w:val="24"/>
                <w:szCs w:val="24"/>
              </w:rPr>
              <w:fldChar w:fldCharType="end"/>
            </w:r>
          </w:hyperlink>
        </w:p>
        <w:p w:rsidR="00E145E2" w:rsidRPr="00E145E2" w:rsidRDefault="00415FF0" w:rsidP="00E145E2">
          <w:pPr>
            <w:pStyle w:val="TOC1"/>
            <w:tabs>
              <w:tab w:val="right" w:leader="dot" w:pos="9016"/>
            </w:tabs>
            <w:spacing w:line="360" w:lineRule="auto"/>
            <w:jc w:val="both"/>
            <w:rPr>
              <w:rFonts w:ascii="Arial" w:eastAsiaTheme="minorEastAsia" w:hAnsi="Arial" w:cs="Arial"/>
              <w:noProof/>
              <w:sz w:val="24"/>
              <w:szCs w:val="24"/>
              <w:lang w:eastAsia="en-GB"/>
            </w:rPr>
          </w:pPr>
          <w:hyperlink w:anchor="_Toc168582778" w:history="1">
            <w:r w:rsidR="00E145E2" w:rsidRPr="00E145E2">
              <w:rPr>
                <w:rStyle w:val="Hyperlink"/>
                <w:rFonts w:ascii="Arial" w:hAnsi="Arial" w:cs="Arial"/>
                <w:noProof/>
                <w:sz w:val="24"/>
                <w:szCs w:val="24"/>
              </w:rPr>
              <w:t>Operating Margin</w:t>
            </w:r>
            <w:r w:rsidR="00E145E2" w:rsidRPr="00E145E2">
              <w:rPr>
                <w:rFonts w:ascii="Arial" w:hAnsi="Arial" w:cs="Arial"/>
                <w:noProof/>
                <w:webHidden/>
                <w:sz w:val="24"/>
                <w:szCs w:val="24"/>
              </w:rPr>
              <w:tab/>
            </w:r>
            <w:r w:rsidR="00E145E2" w:rsidRPr="00E145E2">
              <w:rPr>
                <w:rFonts w:ascii="Arial" w:hAnsi="Arial" w:cs="Arial"/>
                <w:noProof/>
                <w:webHidden/>
                <w:sz w:val="24"/>
                <w:szCs w:val="24"/>
              </w:rPr>
              <w:fldChar w:fldCharType="begin"/>
            </w:r>
            <w:r w:rsidR="00E145E2" w:rsidRPr="00E145E2">
              <w:rPr>
                <w:rFonts w:ascii="Arial" w:hAnsi="Arial" w:cs="Arial"/>
                <w:noProof/>
                <w:webHidden/>
                <w:sz w:val="24"/>
                <w:szCs w:val="24"/>
              </w:rPr>
              <w:instrText xml:space="preserve"> PAGEREF _Toc168582778 \h </w:instrText>
            </w:r>
            <w:r w:rsidR="00E145E2" w:rsidRPr="00E145E2">
              <w:rPr>
                <w:rFonts w:ascii="Arial" w:hAnsi="Arial" w:cs="Arial"/>
                <w:noProof/>
                <w:webHidden/>
                <w:sz w:val="24"/>
                <w:szCs w:val="24"/>
              </w:rPr>
            </w:r>
            <w:r w:rsidR="00E145E2" w:rsidRPr="00E145E2">
              <w:rPr>
                <w:rFonts w:ascii="Arial" w:hAnsi="Arial" w:cs="Arial"/>
                <w:noProof/>
                <w:webHidden/>
                <w:sz w:val="24"/>
                <w:szCs w:val="24"/>
              </w:rPr>
              <w:fldChar w:fldCharType="separate"/>
            </w:r>
            <w:r w:rsidR="00E145E2" w:rsidRPr="00E145E2">
              <w:rPr>
                <w:rFonts w:ascii="Arial" w:hAnsi="Arial" w:cs="Arial"/>
                <w:noProof/>
                <w:webHidden/>
                <w:sz w:val="24"/>
                <w:szCs w:val="24"/>
              </w:rPr>
              <w:t>5</w:t>
            </w:r>
            <w:r w:rsidR="00E145E2" w:rsidRPr="00E145E2">
              <w:rPr>
                <w:rFonts w:ascii="Arial" w:hAnsi="Arial" w:cs="Arial"/>
                <w:noProof/>
                <w:webHidden/>
                <w:sz w:val="24"/>
                <w:szCs w:val="24"/>
              </w:rPr>
              <w:fldChar w:fldCharType="end"/>
            </w:r>
          </w:hyperlink>
        </w:p>
        <w:p w:rsidR="00E145E2" w:rsidRPr="00E145E2" w:rsidRDefault="00415FF0" w:rsidP="00E145E2">
          <w:pPr>
            <w:pStyle w:val="TOC2"/>
            <w:tabs>
              <w:tab w:val="right" w:leader="dot" w:pos="9016"/>
            </w:tabs>
            <w:spacing w:line="360" w:lineRule="auto"/>
            <w:jc w:val="both"/>
            <w:rPr>
              <w:rFonts w:ascii="Arial" w:eastAsiaTheme="minorEastAsia" w:hAnsi="Arial" w:cs="Arial"/>
              <w:noProof/>
              <w:sz w:val="24"/>
              <w:szCs w:val="24"/>
              <w:lang w:eastAsia="en-GB"/>
            </w:rPr>
          </w:pPr>
          <w:hyperlink w:anchor="_Toc168582779" w:history="1">
            <w:r w:rsidR="00E145E2" w:rsidRPr="00E145E2">
              <w:rPr>
                <w:rStyle w:val="Hyperlink"/>
                <w:rFonts w:ascii="Arial" w:eastAsia="Times New Roman" w:hAnsi="Arial" w:cs="Arial"/>
                <w:noProof/>
                <w:sz w:val="24"/>
                <w:szCs w:val="24"/>
                <w:lang w:eastAsia="en-GB"/>
              </w:rPr>
              <w:t>Analysis of the Balance Sheet</w:t>
            </w:r>
            <w:r w:rsidR="00E145E2" w:rsidRPr="00E145E2">
              <w:rPr>
                <w:rFonts w:ascii="Arial" w:hAnsi="Arial" w:cs="Arial"/>
                <w:noProof/>
                <w:webHidden/>
                <w:sz w:val="24"/>
                <w:szCs w:val="24"/>
              </w:rPr>
              <w:tab/>
            </w:r>
            <w:r w:rsidR="00E145E2" w:rsidRPr="00E145E2">
              <w:rPr>
                <w:rFonts w:ascii="Arial" w:hAnsi="Arial" w:cs="Arial"/>
                <w:noProof/>
                <w:webHidden/>
                <w:sz w:val="24"/>
                <w:szCs w:val="24"/>
              </w:rPr>
              <w:fldChar w:fldCharType="begin"/>
            </w:r>
            <w:r w:rsidR="00E145E2" w:rsidRPr="00E145E2">
              <w:rPr>
                <w:rFonts w:ascii="Arial" w:hAnsi="Arial" w:cs="Arial"/>
                <w:noProof/>
                <w:webHidden/>
                <w:sz w:val="24"/>
                <w:szCs w:val="24"/>
              </w:rPr>
              <w:instrText xml:space="preserve"> PAGEREF _Toc168582779 \h </w:instrText>
            </w:r>
            <w:r w:rsidR="00E145E2" w:rsidRPr="00E145E2">
              <w:rPr>
                <w:rFonts w:ascii="Arial" w:hAnsi="Arial" w:cs="Arial"/>
                <w:noProof/>
                <w:webHidden/>
                <w:sz w:val="24"/>
                <w:szCs w:val="24"/>
              </w:rPr>
            </w:r>
            <w:r w:rsidR="00E145E2" w:rsidRPr="00E145E2">
              <w:rPr>
                <w:rFonts w:ascii="Arial" w:hAnsi="Arial" w:cs="Arial"/>
                <w:noProof/>
                <w:webHidden/>
                <w:sz w:val="24"/>
                <w:szCs w:val="24"/>
              </w:rPr>
              <w:fldChar w:fldCharType="separate"/>
            </w:r>
            <w:r w:rsidR="00E145E2" w:rsidRPr="00E145E2">
              <w:rPr>
                <w:rFonts w:ascii="Arial" w:hAnsi="Arial" w:cs="Arial"/>
                <w:noProof/>
                <w:webHidden/>
                <w:sz w:val="24"/>
                <w:szCs w:val="24"/>
              </w:rPr>
              <w:t>6</w:t>
            </w:r>
            <w:r w:rsidR="00E145E2" w:rsidRPr="00E145E2">
              <w:rPr>
                <w:rFonts w:ascii="Arial" w:hAnsi="Arial" w:cs="Arial"/>
                <w:noProof/>
                <w:webHidden/>
                <w:sz w:val="24"/>
                <w:szCs w:val="24"/>
              </w:rPr>
              <w:fldChar w:fldCharType="end"/>
            </w:r>
          </w:hyperlink>
        </w:p>
        <w:p w:rsidR="00E145E2" w:rsidRPr="00E145E2" w:rsidRDefault="00415FF0" w:rsidP="00E145E2">
          <w:pPr>
            <w:pStyle w:val="TOC1"/>
            <w:tabs>
              <w:tab w:val="right" w:leader="dot" w:pos="9016"/>
            </w:tabs>
            <w:spacing w:line="360" w:lineRule="auto"/>
            <w:jc w:val="both"/>
            <w:rPr>
              <w:rFonts w:ascii="Arial" w:eastAsiaTheme="minorEastAsia" w:hAnsi="Arial" w:cs="Arial"/>
              <w:noProof/>
              <w:sz w:val="24"/>
              <w:szCs w:val="24"/>
              <w:lang w:eastAsia="en-GB"/>
            </w:rPr>
          </w:pPr>
          <w:hyperlink w:anchor="_Toc168582780" w:history="1">
            <w:r w:rsidR="00E145E2" w:rsidRPr="00E145E2">
              <w:rPr>
                <w:rStyle w:val="Hyperlink"/>
                <w:rFonts w:ascii="Arial" w:hAnsi="Arial" w:cs="Arial"/>
                <w:noProof/>
                <w:sz w:val="24"/>
                <w:szCs w:val="24"/>
              </w:rPr>
              <w:t>Current Ratio</w:t>
            </w:r>
            <w:r w:rsidR="00E145E2" w:rsidRPr="00E145E2">
              <w:rPr>
                <w:rFonts w:ascii="Arial" w:hAnsi="Arial" w:cs="Arial"/>
                <w:noProof/>
                <w:webHidden/>
                <w:sz w:val="24"/>
                <w:szCs w:val="24"/>
              </w:rPr>
              <w:tab/>
            </w:r>
            <w:r w:rsidR="00E145E2" w:rsidRPr="00E145E2">
              <w:rPr>
                <w:rFonts w:ascii="Arial" w:hAnsi="Arial" w:cs="Arial"/>
                <w:noProof/>
                <w:webHidden/>
                <w:sz w:val="24"/>
                <w:szCs w:val="24"/>
              </w:rPr>
              <w:fldChar w:fldCharType="begin"/>
            </w:r>
            <w:r w:rsidR="00E145E2" w:rsidRPr="00E145E2">
              <w:rPr>
                <w:rFonts w:ascii="Arial" w:hAnsi="Arial" w:cs="Arial"/>
                <w:noProof/>
                <w:webHidden/>
                <w:sz w:val="24"/>
                <w:szCs w:val="24"/>
              </w:rPr>
              <w:instrText xml:space="preserve"> PAGEREF _Toc168582780 \h </w:instrText>
            </w:r>
            <w:r w:rsidR="00E145E2" w:rsidRPr="00E145E2">
              <w:rPr>
                <w:rFonts w:ascii="Arial" w:hAnsi="Arial" w:cs="Arial"/>
                <w:noProof/>
                <w:webHidden/>
                <w:sz w:val="24"/>
                <w:szCs w:val="24"/>
              </w:rPr>
            </w:r>
            <w:r w:rsidR="00E145E2" w:rsidRPr="00E145E2">
              <w:rPr>
                <w:rFonts w:ascii="Arial" w:hAnsi="Arial" w:cs="Arial"/>
                <w:noProof/>
                <w:webHidden/>
                <w:sz w:val="24"/>
                <w:szCs w:val="24"/>
              </w:rPr>
              <w:fldChar w:fldCharType="separate"/>
            </w:r>
            <w:r w:rsidR="00E145E2" w:rsidRPr="00E145E2">
              <w:rPr>
                <w:rFonts w:ascii="Arial" w:hAnsi="Arial" w:cs="Arial"/>
                <w:noProof/>
                <w:webHidden/>
                <w:sz w:val="24"/>
                <w:szCs w:val="24"/>
              </w:rPr>
              <w:t>9</w:t>
            </w:r>
            <w:r w:rsidR="00E145E2" w:rsidRPr="00E145E2">
              <w:rPr>
                <w:rFonts w:ascii="Arial" w:hAnsi="Arial" w:cs="Arial"/>
                <w:noProof/>
                <w:webHidden/>
                <w:sz w:val="24"/>
                <w:szCs w:val="24"/>
              </w:rPr>
              <w:fldChar w:fldCharType="end"/>
            </w:r>
          </w:hyperlink>
        </w:p>
        <w:p w:rsidR="00E145E2" w:rsidRPr="00E145E2" w:rsidRDefault="00415FF0" w:rsidP="00E145E2">
          <w:pPr>
            <w:pStyle w:val="TOC1"/>
            <w:tabs>
              <w:tab w:val="right" w:leader="dot" w:pos="9016"/>
            </w:tabs>
            <w:spacing w:line="360" w:lineRule="auto"/>
            <w:jc w:val="both"/>
            <w:rPr>
              <w:rFonts w:ascii="Arial" w:eastAsiaTheme="minorEastAsia" w:hAnsi="Arial" w:cs="Arial"/>
              <w:noProof/>
              <w:sz w:val="24"/>
              <w:szCs w:val="24"/>
              <w:lang w:eastAsia="en-GB"/>
            </w:rPr>
          </w:pPr>
          <w:hyperlink w:anchor="_Toc168582781" w:history="1">
            <w:r w:rsidR="00E145E2" w:rsidRPr="00E145E2">
              <w:rPr>
                <w:rStyle w:val="Hyperlink"/>
                <w:rFonts w:ascii="Arial" w:hAnsi="Arial" w:cs="Arial"/>
                <w:noProof/>
                <w:sz w:val="24"/>
                <w:szCs w:val="24"/>
              </w:rPr>
              <w:t>Debt Equity Ratio</w:t>
            </w:r>
            <w:r w:rsidR="00E145E2" w:rsidRPr="00E145E2">
              <w:rPr>
                <w:rFonts w:ascii="Arial" w:hAnsi="Arial" w:cs="Arial"/>
                <w:noProof/>
                <w:webHidden/>
                <w:sz w:val="24"/>
                <w:szCs w:val="24"/>
              </w:rPr>
              <w:tab/>
            </w:r>
            <w:r w:rsidR="00E145E2" w:rsidRPr="00E145E2">
              <w:rPr>
                <w:rFonts w:ascii="Arial" w:hAnsi="Arial" w:cs="Arial"/>
                <w:noProof/>
                <w:webHidden/>
                <w:sz w:val="24"/>
                <w:szCs w:val="24"/>
              </w:rPr>
              <w:fldChar w:fldCharType="begin"/>
            </w:r>
            <w:r w:rsidR="00E145E2" w:rsidRPr="00E145E2">
              <w:rPr>
                <w:rFonts w:ascii="Arial" w:hAnsi="Arial" w:cs="Arial"/>
                <w:noProof/>
                <w:webHidden/>
                <w:sz w:val="24"/>
                <w:szCs w:val="24"/>
              </w:rPr>
              <w:instrText xml:space="preserve"> PAGEREF _Toc168582781 \h </w:instrText>
            </w:r>
            <w:r w:rsidR="00E145E2" w:rsidRPr="00E145E2">
              <w:rPr>
                <w:rFonts w:ascii="Arial" w:hAnsi="Arial" w:cs="Arial"/>
                <w:noProof/>
                <w:webHidden/>
                <w:sz w:val="24"/>
                <w:szCs w:val="24"/>
              </w:rPr>
            </w:r>
            <w:r w:rsidR="00E145E2" w:rsidRPr="00E145E2">
              <w:rPr>
                <w:rFonts w:ascii="Arial" w:hAnsi="Arial" w:cs="Arial"/>
                <w:noProof/>
                <w:webHidden/>
                <w:sz w:val="24"/>
                <w:szCs w:val="24"/>
              </w:rPr>
              <w:fldChar w:fldCharType="separate"/>
            </w:r>
            <w:r w:rsidR="00E145E2" w:rsidRPr="00E145E2">
              <w:rPr>
                <w:rFonts w:ascii="Arial" w:hAnsi="Arial" w:cs="Arial"/>
                <w:noProof/>
                <w:webHidden/>
                <w:sz w:val="24"/>
                <w:szCs w:val="24"/>
              </w:rPr>
              <w:t>11</w:t>
            </w:r>
            <w:r w:rsidR="00E145E2" w:rsidRPr="00E145E2">
              <w:rPr>
                <w:rFonts w:ascii="Arial" w:hAnsi="Arial" w:cs="Arial"/>
                <w:noProof/>
                <w:webHidden/>
                <w:sz w:val="24"/>
                <w:szCs w:val="24"/>
              </w:rPr>
              <w:fldChar w:fldCharType="end"/>
            </w:r>
          </w:hyperlink>
        </w:p>
        <w:p w:rsidR="00E145E2" w:rsidRPr="00E145E2" w:rsidRDefault="00415FF0" w:rsidP="00E145E2">
          <w:pPr>
            <w:pStyle w:val="TOC1"/>
            <w:tabs>
              <w:tab w:val="right" w:leader="dot" w:pos="9016"/>
            </w:tabs>
            <w:spacing w:line="360" w:lineRule="auto"/>
            <w:jc w:val="both"/>
            <w:rPr>
              <w:rFonts w:ascii="Arial" w:eastAsiaTheme="minorEastAsia" w:hAnsi="Arial" w:cs="Arial"/>
              <w:noProof/>
              <w:sz w:val="24"/>
              <w:szCs w:val="24"/>
              <w:lang w:eastAsia="en-GB"/>
            </w:rPr>
          </w:pPr>
          <w:hyperlink w:anchor="_Toc168582782" w:history="1">
            <w:r w:rsidR="00E145E2" w:rsidRPr="00E145E2">
              <w:rPr>
                <w:rStyle w:val="Hyperlink"/>
                <w:rFonts w:ascii="Arial" w:hAnsi="Arial" w:cs="Arial"/>
                <w:noProof/>
                <w:sz w:val="24"/>
                <w:szCs w:val="24"/>
              </w:rPr>
              <w:t>Return on Assets (ROA)</w:t>
            </w:r>
            <w:r w:rsidR="00E145E2" w:rsidRPr="00E145E2">
              <w:rPr>
                <w:rFonts w:ascii="Arial" w:hAnsi="Arial" w:cs="Arial"/>
                <w:noProof/>
                <w:webHidden/>
                <w:sz w:val="24"/>
                <w:szCs w:val="24"/>
              </w:rPr>
              <w:tab/>
            </w:r>
            <w:r w:rsidR="00E145E2" w:rsidRPr="00E145E2">
              <w:rPr>
                <w:rFonts w:ascii="Arial" w:hAnsi="Arial" w:cs="Arial"/>
                <w:noProof/>
                <w:webHidden/>
                <w:sz w:val="24"/>
                <w:szCs w:val="24"/>
              </w:rPr>
              <w:fldChar w:fldCharType="begin"/>
            </w:r>
            <w:r w:rsidR="00E145E2" w:rsidRPr="00E145E2">
              <w:rPr>
                <w:rFonts w:ascii="Arial" w:hAnsi="Arial" w:cs="Arial"/>
                <w:noProof/>
                <w:webHidden/>
                <w:sz w:val="24"/>
                <w:szCs w:val="24"/>
              </w:rPr>
              <w:instrText xml:space="preserve"> PAGEREF _Toc168582782 \h </w:instrText>
            </w:r>
            <w:r w:rsidR="00E145E2" w:rsidRPr="00E145E2">
              <w:rPr>
                <w:rFonts w:ascii="Arial" w:hAnsi="Arial" w:cs="Arial"/>
                <w:noProof/>
                <w:webHidden/>
                <w:sz w:val="24"/>
                <w:szCs w:val="24"/>
              </w:rPr>
            </w:r>
            <w:r w:rsidR="00E145E2" w:rsidRPr="00E145E2">
              <w:rPr>
                <w:rFonts w:ascii="Arial" w:hAnsi="Arial" w:cs="Arial"/>
                <w:noProof/>
                <w:webHidden/>
                <w:sz w:val="24"/>
                <w:szCs w:val="24"/>
              </w:rPr>
              <w:fldChar w:fldCharType="separate"/>
            </w:r>
            <w:r w:rsidR="00E145E2" w:rsidRPr="00E145E2">
              <w:rPr>
                <w:rFonts w:ascii="Arial" w:hAnsi="Arial" w:cs="Arial"/>
                <w:noProof/>
                <w:webHidden/>
                <w:sz w:val="24"/>
                <w:szCs w:val="24"/>
              </w:rPr>
              <w:t>13</w:t>
            </w:r>
            <w:r w:rsidR="00E145E2" w:rsidRPr="00E145E2">
              <w:rPr>
                <w:rFonts w:ascii="Arial" w:hAnsi="Arial" w:cs="Arial"/>
                <w:noProof/>
                <w:webHidden/>
                <w:sz w:val="24"/>
                <w:szCs w:val="24"/>
              </w:rPr>
              <w:fldChar w:fldCharType="end"/>
            </w:r>
          </w:hyperlink>
        </w:p>
        <w:p w:rsidR="00E145E2" w:rsidRPr="00E145E2" w:rsidRDefault="00415FF0" w:rsidP="00E145E2">
          <w:pPr>
            <w:pStyle w:val="TOC2"/>
            <w:tabs>
              <w:tab w:val="right" w:leader="dot" w:pos="9016"/>
            </w:tabs>
            <w:spacing w:line="360" w:lineRule="auto"/>
            <w:jc w:val="both"/>
            <w:rPr>
              <w:rFonts w:ascii="Arial" w:eastAsiaTheme="minorEastAsia" w:hAnsi="Arial" w:cs="Arial"/>
              <w:noProof/>
              <w:sz w:val="24"/>
              <w:szCs w:val="24"/>
              <w:lang w:eastAsia="en-GB"/>
            </w:rPr>
          </w:pPr>
          <w:hyperlink w:anchor="_Toc168582783" w:history="1">
            <w:r w:rsidR="00E145E2" w:rsidRPr="00E145E2">
              <w:rPr>
                <w:rStyle w:val="Hyperlink"/>
                <w:rFonts w:ascii="Arial" w:hAnsi="Arial" w:cs="Arial"/>
                <w:noProof/>
                <w:sz w:val="24"/>
                <w:szCs w:val="24"/>
              </w:rPr>
              <w:t>Market Risk (Increased market competitiveness)</w:t>
            </w:r>
            <w:r w:rsidR="00E145E2" w:rsidRPr="00E145E2">
              <w:rPr>
                <w:rFonts w:ascii="Arial" w:hAnsi="Arial" w:cs="Arial"/>
                <w:noProof/>
                <w:webHidden/>
                <w:sz w:val="24"/>
                <w:szCs w:val="24"/>
              </w:rPr>
              <w:tab/>
            </w:r>
            <w:r w:rsidR="00E145E2" w:rsidRPr="00E145E2">
              <w:rPr>
                <w:rFonts w:ascii="Arial" w:hAnsi="Arial" w:cs="Arial"/>
                <w:noProof/>
                <w:webHidden/>
                <w:sz w:val="24"/>
                <w:szCs w:val="24"/>
              </w:rPr>
              <w:fldChar w:fldCharType="begin"/>
            </w:r>
            <w:r w:rsidR="00E145E2" w:rsidRPr="00E145E2">
              <w:rPr>
                <w:rFonts w:ascii="Arial" w:hAnsi="Arial" w:cs="Arial"/>
                <w:noProof/>
                <w:webHidden/>
                <w:sz w:val="24"/>
                <w:szCs w:val="24"/>
              </w:rPr>
              <w:instrText xml:space="preserve"> PAGEREF _Toc168582783 \h </w:instrText>
            </w:r>
            <w:r w:rsidR="00E145E2" w:rsidRPr="00E145E2">
              <w:rPr>
                <w:rFonts w:ascii="Arial" w:hAnsi="Arial" w:cs="Arial"/>
                <w:noProof/>
                <w:webHidden/>
                <w:sz w:val="24"/>
                <w:szCs w:val="24"/>
              </w:rPr>
            </w:r>
            <w:r w:rsidR="00E145E2" w:rsidRPr="00E145E2">
              <w:rPr>
                <w:rFonts w:ascii="Arial" w:hAnsi="Arial" w:cs="Arial"/>
                <w:noProof/>
                <w:webHidden/>
                <w:sz w:val="24"/>
                <w:szCs w:val="24"/>
              </w:rPr>
              <w:fldChar w:fldCharType="separate"/>
            </w:r>
            <w:r w:rsidR="00E145E2" w:rsidRPr="00E145E2">
              <w:rPr>
                <w:rFonts w:ascii="Arial" w:hAnsi="Arial" w:cs="Arial"/>
                <w:noProof/>
                <w:webHidden/>
                <w:sz w:val="24"/>
                <w:szCs w:val="24"/>
              </w:rPr>
              <w:t>13</w:t>
            </w:r>
            <w:r w:rsidR="00E145E2" w:rsidRPr="00E145E2">
              <w:rPr>
                <w:rFonts w:ascii="Arial" w:hAnsi="Arial" w:cs="Arial"/>
                <w:noProof/>
                <w:webHidden/>
                <w:sz w:val="24"/>
                <w:szCs w:val="24"/>
              </w:rPr>
              <w:fldChar w:fldCharType="end"/>
            </w:r>
          </w:hyperlink>
        </w:p>
        <w:p w:rsidR="00E145E2" w:rsidRPr="00E145E2" w:rsidRDefault="00415FF0" w:rsidP="00E145E2">
          <w:pPr>
            <w:pStyle w:val="TOC2"/>
            <w:tabs>
              <w:tab w:val="right" w:leader="dot" w:pos="9016"/>
            </w:tabs>
            <w:spacing w:line="360" w:lineRule="auto"/>
            <w:jc w:val="both"/>
            <w:rPr>
              <w:rFonts w:ascii="Arial" w:eastAsiaTheme="minorEastAsia" w:hAnsi="Arial" w:cs="Arial"/>
              <w:noProof/>
              <w:sz w:val="24"/>
              <w:szCs w:val="24"/>
              <w:lang w:eastAsia="en-GB"/>
            </w:rPr>
          </w:pPr>
          <w:hyperlink w:anchor="_Toc168582784" w:history="1">
            <w:r w:rsidR="00E145E2" w:rsidRPr="00E145E2">
              <w:rPr>
                <w:rStyle w:val="Hyperlink"/>
                <w:rFonts w:ascii="Arial" w:hAnsi="Arial" w:cs="Arial"/>
                <w:noProof/>
                <w:sz w:val="24"/>
                <w:szCs w:val="24"/>
              </w:rPr>
              <w:t>Operational Risk (Increasing Operating Cost):</w:t>
            </w:r>
            <w:r w:rsidR="00E145E2" w:rsidRPr="00E145E2">
              <w:rPr>
                <w:rFonts w:ascii="Arial" w:hAnsi="Arial" w:cs="Arial"/>
                <w:noProof/>
                <w:webHidden/>
                <w:sz w:val="24"/>
                <w:szCs w:val="24"/>
              </w:rPr>
              <w:tab/>
            </w:r>
            <w:r w:rsidR="00E145E2" w:rsidRPr="00E145E2">
              <w:rPr>
                <w:rFonts w:ascii="Arial" w:hAnsi="Arial" w:cs="Arial"/>
                <w:noProof/>
                <w:webHidden/>
                <w:sz w:val="24"/>
                <w:szCs w:val="24"/>
              </w:rPr>
              <w:fldChar w:fldCharType="begin"/>
            </w:r>
            <w:r w:rsidR="00E145E2" w:rsidRPr="00E145E2">
              <w:rPr>
                <w:rFonts w:ascii="Arial" w:hAnsi="Arial" w:cs="Arial"/>
                <w:noProof/>
                <w:webHidden/>
                <w:sz w:val="24"/>
                <w:szCs w:val="24"/>
              </w:rPr>
              <w:instrText xml:space="preserve"> PAGEREF _Toc168582784 \h </w:instrText>
            </w:r>
            <w:r w:rsidR="00E145E2" w:rsidRPr="00E145E2">
              <w:rPr>
                <w:rFonts w:ascii="Arial" w:hAnsi="Arial" w:cs="Arial"/>
                <w:noProof/>
                <w:webHidden/>
                <w:sz w:val="24"/>
                <w:szCs w:val="24"/>
              </w:rPr>
            </w:r>
            <w:r w:rsidR="00E145E2" w:rsidRPr="00E145E2">
              <w:rPr>
                <w:rFonts w:ascii="Arial" w:hAnsi="Arial" w:cs="Arial"/>
                <w:noProof/>
                <w:webHidden/>
                <w:sz w:val="24"/>
                <w:szCs w:val="24"/>
              </w:rPr>
              <w:fldChar w:fldCharType="separate"/>
            </w:r>
            <w:r w:rsidR="00E145E2" w:rsidRPr="00E145E2">
              <w:rPr>
                <w:rFonts w:ascii="Arial" w:hAnsi="Arial" w:cs="Arial"/>
                <w:noProof/>
                <w:webHidden/>
                <w:sz w:val="24"/>
                <w:szCs w:val="24"/>
              </w:rPr>
              <w:t>14</w:t>
            </w:r>
            <w:r w:rsidR="00E145E2" w:rsidRPr="00E145E2">
              <w:rPr>
                <w:rFonts w:ascii="Arial" w:hAnsi="Arial" w:cs="Arial"/>
                <w:noProof/>
                <w:webHidden/>
                <w:sz w:val="24"/>
                <w:szCs w:val="24"/>
              </w:rPr>
              <w:fldChar w:fldCharType="end"/>
            </w:r>
          </w:hyperlink>
        </w:p>
        <w:p w:rsidR="00E145E2" w:rsidRPr="00E145E2" w:rsidRDefault="00415FF0" w:rsidP="00E145E2">
          <w:pPr>
            <w:pStyle w:val="TOC1"/>
            <w:tabs>
              <w:tab w:val="right" w:leader="dot" w:pos="9016"/>
            </w:tabs>
            <w:spacing w:line="360" w:lineRule="auto"/>
            <w:jc w:val="both"/>
            <w:rPr>
              <w:rFonts w:ascii="Arial" w:eastAsiaTheme="minorEastAsia" w:hAnsi="Arial" w:cs="Arial"/>
              <w:noProof/>
              <w:sz w:val="24"/>
              <w:szCs w:val="24"/>
              <w:lang w:eastAsia="en-GB"/>
            </w:rPr>
          </w:pPr>
          <w:hyperlink w:anchor="_Toc168582785" w:history="1">
            <w:r w:rsidR="00E145E2" w:rsidRPr="00E145E2">
              <w:rPr>
                <w:rStyle w:val="Hyperlink"/>
                <w:rFonts w:ascii="Arial" w:hAnsi="Arial" w:cs="Arial"/>
                <w:noProof/>
                <w:sz w:val="24"/>
                <w:szCs w:val="24"/>
                <w:lang w:eastAsia="en-GB"/>
              </w:rPr>
              <w:t>Comprehensive Turnaround Strategy for the Urban Heights Hotel</w:t>
            </w:r>
            <w:r w:rsidR="00E145E2" w:rsidRPr="00E145E2">
              <w:rPr>
                <w:rFonts w:ascii="Arial" w:hAnsi="Arial" w:cs="Arial"/>
                <w:noProof/>
                <w:webHidden/>
                <w:sz w:val="24"/>
                <w:szCs w:val="24"/>
              </w:rPr>
              <w:tab/>
            </w:r>
            <w:r w:rsidR="00E145E2" w:rsidRPr="00E145E2">
              <w:rPr>
                <w:rFonts w:ascii="Arial" w:hAnsi="Arial" w:cs="Arial"/>
                <w:noProof/>
                <w:webHidden/>
                <w:sz w:val="24"/>
                <w:szCs w:val="24"/>
              </w:rPr>
              <w:fldChar w:fldCharType="begin"/>
            </w:r>
            <w:r w:rsidR="00E145E2" w:rsidRPr="00E145E2">
              <w:rPr>
                <w:rFonts w:ascii="Arial" w:hAnsi="Arial" w:cs="Arial"/>
                <w:noProof/>
                <w:webHidden/>
                <w:sz w:val="24"/>
                <w:szCs w:val="24"/>
              </w:rPr>
              <w:instrText xml:space="preserve"> PAGEREF _Toc168582785 \h </w:instrText>
            </w:r>
            <w:r w:rsidR="00E145E2" w:rsidRPr="00E145E2">
              <w:rPr>
                <w:rFonts w:ascii="Arial" w:hAnsi="Arial" w:cs="Arial"/>
                <w:noProof/>
                <w:webHidden/>
                <w:sz w:val="24"/>
                <w:szCs w:val="24"/>
              </w:rPr>
            </w:r>
            <w:r w:rsidR="00E145E2" w:rsidRPr="00E145E2">
              <w:rPr>
                <w:rFonts w:ascii="Arial" w:hAnsi="Arial" w:cs="Arial"/>
                <w:noProof/>
                <w:webHidden/>
                <w:sz w:val="24"/>
                <w:szCs w:val="24"/>
              </w:rPr>
              <w:fldChar w:fldCharType="separate"/>
            </w:r>
            <w:r w:rsidR="00E145E2" w:rsidRPr="00E145E2">
              <w:rPr>
                <w:rFonts w:ascii="Arial" w:hAnsi="Arial" w:cs="Arial"/>
                <w:noProof/>
                <w:webHidden/>
                <w:sz w:val="24"/>
                <w:szCs w:val="24"/>
              </w:rPr>
              <w:t>15</w:t>
            </w:r>
            <w:r w:rsidR="00E145E2" w:rsidRPr="00E145E2">
              <w:rPr>
                <w:rFonts w:ascii="Arial" w:hAnsi="Arial" w:cs="Arial"/>
                <w:noProof/>
                <w:webHidden/>
                <w:sz w:val="24"/>
                <w:szCs w:val="24"/>
              </w:rPr>
              <w:fldChar w:fldCharType="end"/>
            </w:r>
          </w:hyperlink>
        </w:p>
        <w:p w:rsidR="00E145E2" w:rsidRPr="00E145E2" w:rsidRDefault="00415FF0" w:rsidP="00E145E2">
          <w:pPr>
            <w:pStyle w:val="TOC2"/>
            <w:tabs>
              <w:tab w:val="right" w:leader="dot" w:pos="9016"/>
            </w:tabs>
            <w:spacing w:line="360" w:lineRule="auto"/>
            <w:jc w:val="both"/>
            <w:rPr>
              <w:rFonts w:ascii="Arial" w:eastAsiaTheme="minorEastAsia" w:hAnsi="Arial" w:cs="Arial"/>
              <w:noProof/>
              <w:sz w:val="24"/>
              <w:szCs w:val="24"/>
              <w:lang w:eastAsia="en-GB"/>
            </w:rPr>
          </w:pPr>
          <w:hyperlink w:anchor="_Toc168582786" w:history="1">
            <w:r w:rsidR="00E145E2" w:rsidRPr="00E145E2">
              <w:rPr>
                <w:rStyle w:val="Hyperlink"/>
                <w:rFonts w:ascii="Arial" w:hAnsi="Arial" w:cs="Arial"/>
                <w:noProof/>
                <w:sz w:val="24"/>
                <w:szCs w:val="24"/>
              </w:rPr>
              <w:t>1. Market Risk Mitigation</w:t>
            </w:r>
            <w:r w:rsidR="00E145E2" w:rsidRPr="00E145E2">
              <w:rPr>
                <w:rFonts w:ascii="Arial" w:hAnsi="Arial" w:cs="Arial"/>
                <w:noProof/>
                <w:webHidden/>
                <w:sz w:val="24"/>
                <w:szCs w:val="24"/>
              </w:rPr>
              <w:tab/>
            </w:r>
            <w:r w:rsidR="00E145E2" w:rsidRPr="00E145E2">
              <w:rPr>
                <w:rFonts w:ascii="Arial" w:hAnsi="Arial" w:cs="Arial"/>
                <w:noProof/>
                <w:webHidden/>
                <w:sz w:val="24"/>
                <w:szCs w:val="24"/>
              </w:rPr>
              <w:fldChar w:fldCharType="begin"/>
            </w:r>
            <w:r w:rsidR="00E145E2" w:rsidRPr="00E145E2">
              <w:rPr>
                <w:rFonts w:ascii="Arial" w:hAnsi="Arial" w:cs="Arial"/>
                <w:noProof/>
                <w:webHidden/>
                <w:sz w:val="24"/>
                <w:szCs w:val="24"/>
              </w:rPr>
              <w:instrText xml:space="preserve"> PAGEREF _Toc168582786 \h </w:instrText>
            </w:r>
            <w:r w:rsidR="00E145E2" w:rsidRPr="00E145E2">
              <w:rPr>
                <w:rFonts w:ascii="Arial" w:hAnsi="Arial" w:cs="Arial"/>
                <w:noProof/>
                <w:webHidden/>
                <w:sz w:val="24"/>
                <w:szCs w:val="24"/>
              </w:rPr>
            </w:r>
            <w:r w:rsidR="00E145E2" w:rsidRPr="00E145E2">
              <w:rPr>
                <w:rFonts w:ascii="Arial" w:hAnsi="Arial" w:cs="Arial"/>
                <w:noProof/>
                <w:webHidden/>
                <w:sz w:val="24"/>
                <w:szCs w:val="24"/>
              </w:rPr>
              <w:fldChar w:fldCharType="separate"/>
            </w:r>
            <w:r w:rsidR="00E145E2" w:rsidRPr="00E145E2">
              <w:rPr>
                <w:rFonts w:ascii="Arial" w:hAnsi="Arial" w:cs="Arial"/>
                <w:noProof/>
                <w:webHidden/>
                <w:sz w:val="24"/>
                <w:szCs w:val="24"/>
              </w:rPr>
              <w:t>15</w:t>
            </w:r>
            <w:r w:rsidR="00E145E2" w:rsidRPr="00E145E2">
              <w:rPr>
                <w:rFonts w:ascii="Arial" w:hAnsi="Arial" w:cs="Arial"/>
                <w:noProof/>
                <w:webHidden/>
                <w:sz w:val="24"/>
                <w:szCs w:val="24"/>
              </w:rPr>
              <w:fldChar w:fldCharType="end"/>
            </w:r>
          </w:hyperlink>
        </w:p>
        <w:p w:rsidR="00E145E2" w:rsidRPr="00E145E2" w:rsidRDefault="00415FF0" w:rsidP="00E145E2">
          <w:pPr>
            <w:pStyle w:val="TOC2"/>
            <w:tabs>
              <w:tab w:val="right" w:leader="dot" w:pos="9016"/>
            </w:tabs>
            <w:spacing w:line="360" w:lineRule="auto"/>
            <w:jc w:val="both"/>
            <w:rPr>
              <w:rFonts w:ascii="Arial" w:eastAsiaTheme="minorEastAsia" w:hAnsi="Arial" w:cs="Arial"/>
              <w:noProof/>
              <w:sz w:val="24"/>
              <w:szCs w:val="24"/>
              <w:lang w:eastAsia="en-GB"/>
            </w:rPr>
          </w:pPr>
          <w:hyperlink w:anchor="_Toc168582787" w:history="1">
            <w:r w:rsidR="00E145E2" w:rsidRPr="00E145E2">
              <w:rPr>
                <w:rStyle w:val="Hyperlink"/>
                <w:rFonts w:ascii="Arial" w:hAnsi="Arial" w:cs="Arial"/>
                <w:noProof/>
                <w:sz w:val="24"/>
                <w:szCs w:val="24"/>
              </w:rPr>
              <w:t>2. Operational Risk Mitigation</w:t>
            </w:r>
            <w:r w:rsidR="00E145E2" w:rsidRPr="00E145E2">
              <w:rPr>
                <w:rFonts w:ascii="Arial" w:hAnsi="Arial" w:cs="Arial"/>
                <w:noProof/>
                <w:webHidden/>
                <w:sz w:val="24"/>
                <w:szCs w:val="24"/>
              </w:rPr>
              <w:tab/>
            </w:r>
            <w:r w:rsidR="00E145E2" w:rsidRPr="00E145E2">
              <w:rPr>
                <w:rFonts w:ascii="Arial" w:hAnsi="Arial" w:cs="Arial"/>
                <w:noProof/>
                <w:webHidden/>
                <w:sz w:val="24"/>
                <w:szCs w:val="24"/>
              </w:rPr>
              <w:fldChar w:fldCharType="begin"/>
            </w:r>
            <w:r w:rsidR="00E145E2" w:rsidRPr="00E145E2">
              <w:rPr>
                <w:rFonts w:ascii="Arial" w:hAnsi="Arial" w:cs="Arial"/>
                <w:noProof/>
                <w:webHidden/>
                <w:sz w:val="24"/>
                <w:szCs w:val="24"/>
              </w:rPr>
              <w:instrText xml:space="preserve"> PAGEREF _Toc168582787 \h </w:instrText>
            </w:r>
            <w:r w:rsidR="00E145E2" w:rsidRPr="00E145E2">
              <w:rPr>
                <w:rFonts w:ascii="Arial" w:hAnsi="Arial" w:cs="Arial"/>
                <w:noProof/>
                <w:webHidden/>
                <w:sz w:val="24"/>
                <w:szCs w:val="24"/>
              </w:rPr>
            </w:r>
            <w:r w:rsidR="00E145E2" w:rsidRPr="00E145E2">
              <w:rPr>
                <w:rFonts w:ascii="Arial" w:hAnsi="Arial" w:cs="Arial"/>
                <w:noProof/>
                <w:webHidden/>
                <w:sz w:val="24"/>
                <w:szCs w:val="24"/>
              </w:rPr>
              <w:fldChar w:fldCharType="separate"/>
            </w:r>
            <w:r w:rsidR="00E145E2" w:rsidRPr="00E145E2">
              <w:rPr>
                <w:rFonts w:ascii="Arial" w:hAnsi="Arial" w:cs="Arial"/>
                <w:noProof/>
                <w:webHidden/>
                <w:sz w:val="24"/>
                <w:szCs w:val="24"/>
              </w:rPr>
              <w:t>16</w:t>
            </w:r>
            <w:r w:rsidR="00E145E2" w:rsidRPr="00E145E2">
              <w:rPr>
                <w:rFonts w:ascii="Arial" w:hAnsi="Arial" w:cs="Arial"/>
                <w:noProof/>
                <w:webHidden/>
                <w:sz w:val="24"/>
                <w:szCs w:val="24"/>
              </w:rPr>
              <w:fldChar w:fldCharType="end"/>
            </w:r>
          </w:hyperlink>
        </w:p>
        <w:p w:rsidR="00E145E2" w:rsidRPr="00E145E2" w:rsidRDefault="00415FF0" w:rsidP="00E145E2">
          <w:pPr>
            <w:pStyle w:val="TOC2"/>
            <w:tabs>
              <w:tab w:val="right" w:leader="dot" w:pos="9016"/>
            </w:tabs>
            <w:spacing w:line="360" w:lineRule="auto"/>
            <w:jc w:val="both"/>
            <w:rPr>
              <w:rFonts w:ascii="Arial" w:eastAsiaTheme="minorEastAsia" w:hAnsi="Arial" w:cs="Arial"/>
              <w:noProof/>
              <w:sz w:val="24"/>
              <w:szCs w:val="24"/>
              <w:lang w:eastAsia="en-GB"/>
            </w:rPr>
          </w:pPr>
          <w:hyperlink w:anchor="_Toc168582788" w:history="1">
            <w:r w:rsidR="00E145E2" w:rsidRPr="00E145E2">
              <w:rPr>
                <w:rStyle w:val="Hyperlink"/>
                <w:rFonts w:ascii="Arial" w:hAnsi="Arial" w:cs="Arial"/>
                <w:noProof/>
                <w:sz w:val="24"/>
                <w:szCs w:val="24"/>
              </w:rPr>
              <w:t>3. Managing financial Risks</w:t>
            </w:r>
            <w:r w:rsidR="00E145E2" w:rsidRPr="00E145E2">
              <w:rPr>
                <w:rFonts w:ascii="Arial" w:hAnsi="Arial" w:cs="Arial"/>
                <w:noProof/>
                <w:webHidden/>
                <w:sz w:val="24"/>
                <w:szCs w:val="24"/>
              </w:rPr>
              <w:tab/>
            </w:r>
            <w:r w:rsidR="00E145E2" w:rsidRPr="00E145E2">
              <w:rPr>
                <w:rFonts w:ascii="Arial" w:hAnsi="Arial" w:cs="Arial"/>
                <w:noProof/>
                <w:webHidden/>
                <w:sz w:val="24"/>
                <w:szCs w:val="24"/>
              </w:rPr>
              <w:fldChar w:fldCharType="begin"/>
            </w:r>
            <w:r w:rsidR="00E145E2" w:rsidRPr="00E145E2">
              <w:rPr>
                <w:rFonts w:ascii="Arial" w:hAnsi="Arial" w:cs="Arial"/>
                <w:noProof/>
                <w:webHidden/>
                <w:sz w:val="24"/>
                <w:szCs w:val="24"/>
              </w:rPr>
              <w:instrText xml:space="preserve"> PAGEREF _Toc168582788 \h </w:instrText>
            </w:r>
            <w:r w:rsidR="00E145E2" w:rsidRPr="00E145E2">
              <w:rPr>
                <w:rFonts w:ascii="Arial" w:hAnsi="Arial" w:cs="Arial"/>
                <w:noProof/>
                <w:webHidden/>
                <w:sz w:val="24"/>
                <w:szCs w:val="24"/>
              </w:rPr>
            </w:r>
            <w:r w:rsidR="00E145E2" w:rsidRPr="00E145E2">
              <w:rPr>
                <w:rFonts w:ascii="Arial" w:hAnsi="Arial" w:cs="Arial"/>
                <w:noProof/>
                <w:webHidden/>
                <w:sz w:val="24"/>
                <w:szCs w:val="24"/>
              </w:rPr>
              <w:fldChar w:fldCharType="separate"/>
            </w:r>
            <w:r w:rsidR="00E145E2" w:rsidRPr="00E145E2">
              <w:rPr>
                <w:rFonts w:ascii="Arial" w:hAnsi="Arial" w:cs="Arial"/>
                <w:noProof/>
                <w:webHidden/>
                <w:sz w:val="24"/>
                <w:szCs w:val="24"/>
              </w:rPr>
              <w:t>16</w:t>
            </w:r>
            <w:r w:rsidR="00E145E2" w:rsidRPr="00E145E2">
              <w:rPr>
                <w:rFonts w:ascii="Arial" w:hAnsi="Arial" w:cs="Arial"/>
                <w:noProof/>
                <w:webHidden/>
                <w:sz w:val="24"/>
                <w:szCs w:val="24"/>
              </w:rPr>
              <w:fldChar w:fldCharType="end"/>
            </w:r>
          </w:hyperlink>
        </w:p>
        <w:p w:rsidR="00E145E2" w:rsidRPr="00E145E2" w:rsidRDefault="00415FF0" w:rsidP="00E145E2">
          <w:pPr>
            <w:pStyle w:val="TOC2"/>
            <w:tabs>
              <w:tab w:val="right" w:leader="dot" w:pos="9016"/>
            </w:tabs>
            <w:spacing w:line="360" w:lineRule="auto"/>
            <w:jc w:val="both"/>
            <w:rPr>
              <w:rFonts w:ascii="Arial" w:eastAsiaTheme="minorEastAsia" w:hAnsi="Arial" w:cs="Arial"/>
              <w:noProof/>
              <w:sz w:val="24"/>
              <w:szCs w:val="24"/>
              <w:lang w:eastAsia="en-GB"/>
            </w:rPr>
          </w:pPr>
          <w:hyperlink w:anchor="_Toc168582789" w:history="1">
            <w:r w:rsidR="00E145E2" w:rsidRPr="00E145E2">
              <w:rPr>
                <w:rStyle w:val="Hyperlink"/>
                <w:rFonts w:ascii="Arial" w:hAnsi="Arial" w:cs="Arial"/>
                <w:noProof/>
                <w:sz w:val="24"/>
                <w:szCs w:val="24"/>
              </w:rPr>
              <w:t>4. Regulatory and Compliance Risk Mitigation</w:t>
            </w:r>
            <w:r w:rsidR="00E145E2" w:rsidRPr="00E145E2">
              <w:rPr>
                <w:rFonts w:ascii="Arial" w:hAnsi="Arial" w:cs="Arial"/>
                <w:noProof/>
                <w:webHidden/>
                <w:sz w:val="24"/>
                <w:szCs w:val="24"/>
              </w:rPr>
              <w:tab/>
            </w:r>
            <w:r w:rsidR="00E145E2" w:rsidRPr="00E145E2">
              <w:rPr>
                <w:rFonts w:ascii="Arial" w:hAnsi="Arial" w:cs="Arial"/>
                <w:noProof/>
                <w:webHidden/>
                <w:sz w:val="24"/>
                <w:szCs w:val="24"/>
              </w:rPr>
              <w:fldChar w:fldCharType="begin"/>
            </w:r>
            <w:r w:rsidR="00E145E2" w:rsidRPr="00E145E2">
              <w:rPr>
                <w:rFonts w:ascii="Arial" w:hAnsi="Arial" w:cs="Arial"/>
                <w:noProof/>
                <w:webHidden/>
                <w:sz w:val="24"/>
                <w:szCs w:val="24"/>
              </w:rPr>
              <w:instrText xml:space="preserve"> PAGEREF _Toc168582789 \h </w:instrText>
            </w:r>
            <w:r w:rsidR="00E145E2" w:rsidRPr="00E145E2">
              <w:rPr>
                <w:rFonts w:ascii="Arial" w:hAnsi="Arial" w:cs="Arial"/>
                <w:noProof/>
                <w:webHidden/>
                <w:sz w:val="24"/>
                <w:szCs w:val="24"/>
              </w:rPr>
            </w:r>
            <w:r w:rsidR="00E145E2" w:rsidRPr="00E145E2">
              <w:rPr>
                <w:rFonts w:ascii="Arial" w:hAnsi="Arial" w:cs="Arial"/>
                <w:noProof/>
                <w:webHidden/>
                <w:sz w:val="24"/>
                <w:szCs w:val="24"/>
              </w:rPr>
              <w:fldChar w:fldCharType="separate"/>
            </w:r>
            <w:r w:rsidR="00E145E2" w:rsidRPr="00E145E2">
              <w:rPr>
                <w:rFonts w:ascii="Arial" w:hAnsi="Arial" w:cs="Arial"/>
                <w:noProof/>
                <w:webHidden/>
                <w:sz w:val="24"/>
                <w:szCs w:val="24"/>
              </w:rPr>
              <w:t>17</w:t>
            </w:r>
            <w:r w:rsidR="00E145E2" w:rsidRPr="00E145E2">
              <w:rPr>
                <w:rFonts w:ascii="Arial" w:hAnsi="Arial" w:cs="Arial"/>
                <w:noProof/>
                <w:webHidden/>
                <w:sz w:val="24"/>
                <w:szCs w:val="24"/>
              </w:rPr>
              <w:fldChar w:fldCharType="end"/>
            </w:r>
          </w:hyperlink>
        </w:p>
        <w:p w:rsidR="00E145E2" w:rsidRPr="00E145E2" w:rsidRDefault="00415FF0" w:rsidP="00E145E2">
          <w:pPr>
            <w:pStyle w:val="TOC2"/>
            <w:tabs>
              <w:tab w:val="right" w:leader="dot" w:pos="9016"/>
            </w:tabs>
            <w:spacing w:line="360" w:lineRule="auto"/>
            <w:jc w:val="both"/>
            <w:rPr>
              <w:rFonts w:ascii="Arial" w:eastAsiaTheme="minorEastAsia" w:hAnsi="Arial" w:cs="Arial"/>
              <w:noProof/>
              <w:sz w:val="24"/>
              <w:szCs w:val="24"/>
              <w:lang w:eastAsia="en-GB"/>
            </w:rPr>
          </w:pPr>
          <w:hyperlink w:anchor="_Toc168582790" w:history="1">
            <w:r w:rsidR="00E145E2" w:rsidRPr="00E145E2">
              <w:rPr>
                <w:rStyle w:val="Hyperlink"/>
                <w:rFonts w:ascii="Arial" w:hAnsi="Arial" w:cs="Arial"/>
                <w:noProof/>
                <w:sz w:val="24"/>
                <w:szCs w:val="24"/>
              </w:rPr>
              <w:t>5. Reputation management</w:t>
            </w:r>
            <w:r w:rsidR="00E145E2" w:rsidRPr="00E145E2">
              <w:rPr>
                <w:rFonts w:ascii="Arial" w:hAnsi="Arial" w:cs="Arial"/>
                <w:noProof/>
                <w:webHidden/>
                <w:sz w:val="24"/>
                <w:szCs w:val="24"/>
              </w:rPr>
              <w:tab/>
            </w:r>
            <w:r w:rsidR="00E145E2" w:rsidRPr="00E145E2">
              <w:rPr>
                <w:rFonts w:ascii="Arial" w:hAnsi="Arial" w:cs="Arial"/>
                <w:noProof/>
                <w:webHidden/>
                <w:sz w:val="24"/>
                <w:szCs w:val="24"/>
              </w:rPr>
              <w:fldChar w:fldCharType="begin"/>
            </w:r>
            <w:r w:rsidR="00E145E2" w:rsidRPr="00E145E2">
              <w:rPr>
                <w:rFonts w:ascii="Arial" w:hAnsi="Arial" w:cs="Arial"/>
                <w:noProof/>
                <w:webHidden/>
                <w:sz w:val="24"/>
                <w:szCs w:val="24"/>
              </w:rPr>
              <w:instrText xml:space="preserve"> PAGEREF _Toc168582790 \h </w:instrText>
            </w:r>
            <w:r w:rsidR="00E145E2" w:rsidRPr="00E145E2">
              <w:rPr>
                <w:rFonts w:ascii="Arial" w:hAnsi="Arial" w:cs="Arial"/>
                <w:noProof/>
                <w:webHidden/>
                <w:sz w:val="24"/>
                <w:szCs w:val="24"/>
              </w:rPr>
            </w:r>
            <w:r w:rsidR="00E145E2" w:rsidRPr="00E145E2">
              <w:rPr>
                <w:rFonts w:ascii="Arial" w:hAnsi="Arial" w:cs="Arial"/>
                <w:noProof/>
                <w:webHidden/>
                <w:sz w:val="24"/>
                <w:szCs w:val="24"/>
              </w:rPr>
              <w:fldChar w:fldCharType="separate"/>
            </w:r>
            <w:r w:rsidR="00E145E2" w:rsidRPr="00E145E2">
              <w:rPr>
                <w:rFonts w:ascii="Arial" w:hAnsi="Arial" w:cs="Arial"/>
                <w:noProof/>
                <w:webHidden/>
                <w:sz w:val="24"/>
                <w:szCs w:val="24"/>
              </w:rPr>
              <w:t>17</w:t>
            </w:r>
            <w:r w:rsidR="00E145E2" w:rsidRPr="00E145E2">
              <w:rPr>
                <w:rFonts w:ascii="Arial" w:hAnsi="Arial" w:cs="Arial"/>
                <w:noProof/>
                <w:webHidden/>
                <w:sz w:val="24"/>
                <w:szCs w:val="24"/>
              </w:rPr>
              <w:fldChar w:fldCharType="end"/>
            </w:r>
          </w:hyperlink>
        </w:p>
        <w:p w:rsidR="00E145E2" w:rsidRPr="00E145E2" w:rsidRDefault="00415FF0" w:rsidP="00E145E2">
          <w:pPr>
            <w:pStyle w:val="TOC2"/>
            <w:tabs>
              <w:tab w:val="right" w:leader="dot" w:pos="9016"/>
            </w:tabs>
            <w:spacing w:line="360" w:lineRule="auto"/>
            <w:jc w:val="both"/>
            <w:rPr>
              <w:rFonts w:ascii="Arial" w:eastAsiaTheme="minorEastAsia" w:hAnsi="Arial" w:cs="Arial"/>
              <w:noProof/>
              <w:sz w:val="24"/>
              <w:szCs w:val="24"/>
              <w:lang w:eastAsia="en-GB"/>
            </w:rPr>
          </w:pPr>
          <w:hyperlink w:anchor="_Toc168582791" w:history="1">
            <w:r w:rsidR="00E145E2" w:rsidRPr="00E145E2">
              <w:rPr>
                <w:rStyle w:val="Hyperlink"/>
                <w:rFonts w:ascii="Arial" w:eastAsia="Times New Roman" w:hAnsi="Arial" w:cs="Arial"/>
                <w:noProof/>
                <w:sz w:val="24"/>
                <w:szCs w:val="24"/>
                <w:lang w:eastAsia="en-GB"/>
              </w:rPr>
              <w:t>6. Financial Restructuring</w:t>
            </w:r>
            <w:r w:rsidR="00E145E2" w:rsidRPr="00E145E2">
              <w:rPr>
                <w:rFonts w:ascii="Arial" w:hAnsi="Arial" w:cs="Arial"/>
                <w:noProof/>
                <w:webHidden/>
                <w:sz w:val="24"/>
                <w:szCs w:val="24"/>
              </w:rPr>
              <w:tab/>
            </w:r>
            <w:r w:rsidR="00E145E2" w:rsidRPr="00E145E2">
              <w:rPr>
                <w:rFonts w:ascii="Arial" w:hAnsi="Arial" w:cs="Arial"/>
                <w:noProof/>
                <w:webHidden/>
                <w:sz w:val="24"/>
                <w:szCs w:val="24"/>
              </w:rPr>
              <w:fldChar w:fldCharType="begin"/>
            </w:r>
            <w:r w:rsidR="00E145E2" w:rsidRPr="00E145E2">
              <w:rPr>
                <w:rFonts w:ascii="Arial" w:hAnsi="Arial" w:cs="Arial"/>
                <w:noProof/>
                <w:webHidden/>
                <w:sz w:val="24"/>
                <w:szCs w:val="24"/>
              </w:rPr>
              <w:instrText xml:space="preserve"> PAGEREF _Toc168582791 \h </w:instrText>
            </w:r>
            <w:r w:rsidR="00E145E2" w:rsidRPr="00E145E2">
              <w:rPr>
                <w:rFonts w:ascii="Arial" w:hAnsi="Arial" w:cs="Arial"/>
                <w:noProof/>
                <w:webHidden/>
                <w:sz w:val="24"/>
                <w:szCs w:val="24"/>
              </w:rPr>
            </w:r>
            <w:r w:rsidR="00E145E2" w:rsidRPr="00E145E2">
              <w:rPr>
                <w:rFonts w:ascii="Arial" w:hAnsi="Arial" w:cs="Arial"/>
                <w:noProof/>
                <w:webHidden/>
                <w:sz w:val="24"/>
                <w:szCs w:val="24"/>
              </w:rPr>
              <w:fldChar w:fldCharType="separate"/>
            </w:r>
            <w:r w:rsidR="00E145E2" w:rsidRPr="00E145E2">
              <w:rPr>
                <w:rFonts w:ascii="Arial" w:hAnsi="Arial" w:cs="Arial"/>
                <w:noProof/>
                <w:webHidden/>
                <w:sz w:val="24"/>
                <w:szCs w:val="24"/>
              </w:rPr>
              <w:t>18</w:t>
            </w:r>
            <w:r w:rsidR="00E145E2" w:rsidRPr="00E145E2">
              <w:rPr>
                <w:rFonts w:ascii="Arial" w:hAnsi="Arial" w:cs="Arial"/>
                <w:noProof/>
                <w:webHidden/>
                <w:sz w:val="24"/>
                <w:szCs w:val="24"/>
              </w:rPr>
              <w:fldChar w:fldCharType="end"/>
            </w:r>
          </w:hyperlink>
        </w:p>
        <w:p w:rsidR="00E145E2" w:rsidRPr="00E145E2" w:rsidRDefault="00415FF0" w:rsidP="00E145E2">
          <w:pPr>
            <w:pStyle w:val="TOC1"/>
            <w:tabs>
              <w:tab w:val="right" w:leader="dot" w:pos="9016"/>
            </w:tabs>
            <w:spacing w:line="360" w:lineRule="auto"/>
            <w:jc w:val="both"/>
            <w:rPr>
              <w:rFonts w:ascii="Arial" w:eastAsiaTheme="minorEastAsia" w:hAnsi="Arial" w:cs="Arial"/>
              <w:noProof/>
              <w:sz w:val="24"/>
              <w:szCs w:val="24"/>
              <w:lang w:eastAsia="en-GB"/>
            </w:rPr>
          </w:pPr>
          <w:hyperlink w:anchor="_Toc168582792" w:history="1">
            <w:r w:rsidR="00E145E2" w:rsidRPr="00E145E2">
              <w:rPr>
                <w:rStyle w:val="Hyperlink"/>
                <w:rFonts w:ascii="Arial" w:hAnsi="Arial" w:cs="Arial"/>
                <w:noProof/>
                <w:sz w:val="24"/>
                <w:szCs w:val="24"/>
              </w:rPr>
              <w:t>Key Steps and Timeline</w:t>
            </w:r>
            <w:r w:rsidR="00E145E2" w:rsidRPr="00E145E2">
              <w:rPr>
                <w:rFonts w:ascii="Arial" w:hAnsi="Arial" w:cs="Arial"/>
                <w:noProof/>
                <w:webHidden/>
                <w:sz w:val="24"/>
                <w:szCs w:val="24"/>
              </w:rPr>
              <w:tab/>
            </w:r>
            <w:r w:rsidR="00E145E2" w:rsidRPr="00E145E2">
              <w:rPr>
                <w:rFonts w:ascii="Arial" w:hAnsi="Arial" w:cs="Arial"/>
                <w:noProof/>
                <w:webHidden/>
                <w:sz w:val="24"/>
                <w:szCs w:val="24"/>
              </w:rPr>
              <w:fldChar w:fldCharType="begin"/>
            </w:r>
            <w:r w:rsidR="00E145E2" w:rsidRPr="00E145E2">
              <w:rPr>
                <w:rFonts w:ascii="Arial" w:hAnsi="Arial" w:cs="Arial"/>
                <w:noProof/>
                <w:webHidden/>
                <w:sz w:val="24"/>
                <w:szCs w:val="24"/>
              </w:rPr>
              <w:instrText xml:space="preserve"> PAGEREF _Toc168582792 \h </w:instrText>
            </w:r>
            <w:r w:rsidR="00E145E2" w:rsidRPr="00E145E2">
              <w:rPr>
                <w:rFonts w:ascii="Arial" w:hAnsi="Arial" w:cs="Arial"/>
                <w:noProof/>
                <w:webHidden/>
                <w:sz w:val="24"/>
                <w:szCs w:val="24"/>
              </w:rPr>
            </w:r>
            <w:r w:rsidR="00E145E2" w:rsidRPr="00E145E2">
              <w:rPr>
                <w:rFonts w:ascii="Arial" w:hAnsi="Arial" w:cs="Arial"/>
                <w:noProof/>
                <w:webHidden/>
                <w:sz w:val="24"/>
                <w:szCs w:val="24"/>
              </w:rPr>
              <w:fldChar w:fldCharType="separate"/>
            </w:r>
            <w:r w:rsidR="00E145E2" w:rsidRPr="00E145E2">
              <w:rPr>
                <w:rFonts w:ascii="Arial" w:hAnsi="Arial" w:cs="Arial"/>
                <w:noProof/>
                <w:webHidden/>
                <w:sz w:val="24"/>
                <w:szCs w:val="24"/>
              </w:rPr>
              <w:t>18</w:t>
            </w:r>
            <w:r w:rsidR="00E145E2" w:rsidRPr="00E145E2">
              <w:rPr>
                <w:rFonts w:ascii="Arial" w:hAnsi="Arial" w:cs="Arial"/>
                <w:noProof/>
                <w:webHidden/>
                <w:sz w:val="24"/>
                <w:szCs w:val="24"/>
              </w:rPr>
              <w:fldChar w:fldCharType="end"/>
            </w:r>
          </w:hyperlink>
        </w:p>
        <w:p w:rsidR="00E145E2" w:rsidRPr="00E145E2" w:rsidRDefault="00415FF0" w:rsidP="00E145E2">
          <w:pPr>
            <w:pStyle w:val="TOC1"/>
            <w:tabs>
              <w:tab w:val="right" w:leader="dot" w:pos="9016"/>
            </w:tabs>
            <w:spacing w:line="360" w:lineRule="auto"/>
            <w:jc w:val="both"/>
            <w:rPr>
              <w:rFonts w:ascii="Arial" w:eastAsiaTheme="minorEastAsia" w:hAnsi="Arial" w:cs="Arial"/>
              <w:noProof/>
              <w:sz w:val="24"/>
              <w:szCs w:val="24"/>
              <w:lang w:eastAsia="en-GB"/>
            </w:rPr>
          </w:pPr>
          <w:hyperlink w:anchor="_Toc168582793" w:history="1">
            <w:r w:rsidR="00E145E2" w:rsidRPr="00E145E2">
              <w:rPr>
                <w:rStyle w:val="Hyperlink"/>
                <w:rFonts w:ascii="Arial" w:hAnsi="Arial" w:cs="Arial"/>
                <w:noProof/>
                <w:sz w:val="24"/>
                <w:szCs w:val="24"/>
              </w:rPr>
              <w:t>Expected Outcomes</w:t>
            </w:r>
            <w:r w:rsidR="00E145E2" w:rsidRPr="00E145E2">
              <w:rPr>
                <w:rFonts w:ascii="Arial" w:hAnsi="Arial" w:cs="Arial"/>
                <w:noProof/>
                <w:webHidden/>
                <w:sz w:val="24"/>
                <w:szCs w:val="24"/>
              </w:rPr>
              <w:tab/>
            </w:r>
            <w:r w:rsidR="00E145E2" w:rsidRPr="00E145E2">
              <w:rPr>
                <w:rFonts w:ascii="Arial" w:hAnsi="Arial" w:cs="Arial"/>
                <w:noProof/>
                <w:webHidden/>
                <w:sz w:val="24"/>
                <w:szCs w:val="24"/>
              </w:rPr>
              <w:fldChar w:fldCharType="begin"/>
            </w:r>
            <w:r w:rsidR="00E145E2" w:rsidRPr="00E145E2">
              <w:rPr>
                <w:rFonts w:ascii="Arial" w:hAnsi="Arial" w:cs="Arial"/>
                <w:noProof/>
                <w:webHidden/>
                <w:sz w:val="24"/>
                <w:szCs w:val="24"/>
              </w:rPr>
              <w:instrText xml:space="preserve"> PAGEREF _Toc168582793 \h </w:instrText>
            </w:r>
            <w:r w:rsidR="00E145E2" w:rsidRPr="00E145E2">
              <w:rPr>
                <w:rFonts w:ascii="Arial" w:hAnsi="Arial" w:cs="Arial"/>
                <w:noProof/>
                <w:webHidden/>
                <w:sz w:val="24"/>
                <w:szCs w:val="24"/>
              </w:rPr>
            </w:r>
            <w:r w:rsidR="00E145E2" w:rsidRPr="00E145E2">
              <w:rPr>
                <w:rFonts w:ascii="Arial" w:hAnsi="Arial" w:cs="Arial"/>
                <w:noProof/>
                <w:webHidden/>
                <w:sz w:val="24"/>
                <w:szCs w:val="24"/>
              </w:rPr>
              <w:fldChar w:fldCharType="separate"/>
            </w:r>
            <w:r w:rsidR="00E145E2" w:rsidRPr="00E145E2">
              <w:rPr>
                <w:rFonts w:ascii="Arial" w:hAnsi="Arial" w:cs="Arial"/>
                <w:noProof/>
                <w:webHidden/>
                <w:sz w:val="24"/>
                <w:szCs w:val="24"/>
              </w:rPr>
              <w:t>19</w:t>
            </w:r>
            <w:r w:rsidR="00E145E2" w:rsidRPr="00E145E2">
              <w:rPr>
                <w:rFonts w:ascii="Arial" w:hAnsi="Arial" w:cs="Arial"/>
                <w:noProof/>
                <w:webHidden/>
                <w:sz w:val="24"/>
                <w:szCs w:val="24"/>
              </w:rPr>
              <w:fldChar w:fldCharType="end"/>
            </w:r>
          </w:hyperlink>
        </w:p>
        <w:p w:rsidR="00E145E2" w:rsidRPr="00E145E2" w:rsidRDefault="00415FF0" w:rsidP="00E145E2">
          <w:pPr>
            <w:pStyle w:val="TOC1"/>
            <w:tabs>
              <w:tab w:val="right" w:leader="dot" w:pos="9016"/>
            </w:tabs>
            <w:spacing w:line="360" w:lineRule="auto"/>
            <w:jc w:val="both"/>
            <w:rPr>
              <w:rFonts w:ascii="Arial" w:eastAsiaTheme="minorEastAsia" w:hAnsi="Arial" w:cs="Arial"/>
              <w:noProof/>
              <w:sz w:val="24"/>
              <w:szCs w:val="24"/>
              <w:lang w:eastAsia="en-GB"/>
            </w:rPr>
          </w:pPr>
          <w:hyperlink w:anchor="_Toc168582794" w:history="1">
            <w:r w:rsidR="00E145E2" w:rsidRPr="00E145E2">
              <w:rPr>
                <w:rStyle w:val="Hyperlink"/>
                <w:rFonts w:ascii="Arial" w:hAnsi="Arial" w:cs="Arial"/>
                <w:noProof/>
                <w:sz w:val="24"/>
                <w:szCs w:val="24"/>
              </w:rPr>
              <w:t>Conclusion</w:t>
            </w:r>
            <w:r w:rsidR="00E145E2" w:rsidRPr="00E145E2">
              <w:rPr>
                <w:rFonts w:ascii="Arial" w:hAnsi="Arial" w:cs="Arial"/>
                <w:noProof/>
                <w:webHidden/>
                <w:sz w:val="24"/>
                <w:szCs w:val="24"/>
              </w:rPr>
              <w:tab/>
            </w:r>
            <w:r w:rsidR="00E145E2" w:rsidRPr="00E145E2">
              <w:rPr>
                <w:rFonts w:ascii="Arial" w:hAnsi="Arial" w:cs="Arial"/>
                <w:noProof/>
                <w:webHidden/>
                <w:sz w:val="24"/>
                <w:szCs w:val="24"/>
              </w:rPr>
              <w:fldChar w:fldCharType="begin"/>
            </w:r>
            <w:r w:rsidR="00E145E2" w:rsidRPr="00E145E2">
              <w:rPr>
                <w:rFonts w:ascii="Arial" w:hAnsi="Arial" w:cs="Arial"/>
                <w:noProof/>
                <w:webHidden/>
                <w:sz w:val="24"/>
                <w:szCs w:val="24"/>
              </w:rPr>
              <w:instrText xml:space="preserve"> PAGEREF _Toc168582794 \h </w:instrText>
            </w:r>
            <w:r w:rsidR="00E145E2" w:rsidRPr="00E145E2">
              <w:rPr>
                <w:rFonts w:ascii="Arial" w:hAnsi="Arial" w:cs="Arial"/>
                <w:noProof/>
                <w:webHidden/>
                <w:sz w:val="24"/>
                <w:szCs w:val="24"/>
              </w:rPr>
            </w:r>
            <w:r w:rsidR="00E145E2" w:rsidRPr="00E145E2">
              <w:rPr>
                <w:rFonts w:ascii="Arial" w:hAnsi="Arial" w:cs="Arial"/>
                <w:noProof/>
                <w:webHidden/>
                <w:sz w:val="24"/>
                <w:szCs w:val="24"/>
              </w:rPr>
              <w:fldChar w:fldCharType="separate"/>
            </w:r>
            <w:r w:rsidR="00E145E2" w:rsidRPr="00E145E2">
              <w:rPr>
                <w:rFonts w:ascii="Arial" w:hAnsi="Arial" w:cs="Arial"/>
                <w:noProof/>
                <w:webHidden/>
                <w:sz w:val="24"/>
                <w:szCs w:val="24"/>
              </w:rPr>
              <w:t>20</w:t>
            </w:r>
            <w:r w:rsidR="00E145E2" w:rsidRPr="00E145E2">
              <w:rPr>
                <w:rFonts w:ascii="Arial" w:hAnsi="Arial" w:cs="Arial"/>
                <w:noProof/>
                <w:webHidden/>
                <w:sz w:val="24"/>
                <w:szCs w:val="24"/>
              </w:rPr>
              <w:fldChar w:fldCharType="end"/>
            </w:r>
          </w:hyperlink>
        </w:p>
        <w:p w:rsidR="00E145E2" w:rsidRPr="00E145E2" w:rsidRDefault="00415FF0" w:rsidP="00E145E2">
          <w:pPr>
            <w:pStyle w:val="TOC1"/>
            <w:tabs>
              <w:tab w:val="right" w:leader="dot" w:pos="9016"/>
            </w:tabs>
            <w:spacing w:line="360" w:lineRule="auto"/>
            <w:jc w:val="both"/>
            <w:rPr>
              <w:rFonts w:ascii="Arial" w:eastAsiaTheme="minorEastAsia" w:hAnsi="Arial" w:cs="Arial"/>
              <w:noProof/>
              <w:sz w:val="24"/>
              <w:szCs w:val="24"/>
              <w:lang w:eastAsia="en-GB"/>
            </w:rPr>
          </w:pPr>
          <w:hyperlink w:anchor="_Toc168582795" w:history="1">
            <w:r w:rsidR="00E145E2" w:rsidRPr="00E145E2">
              <w:rPr>
                <w:rStyle w:val="Hyperlink"/>
                <w:rFonts w:ascii="Arial" w:hAnsi="Arial" w:cs="Arial"/>
                <w:noProof/>
                <w:sz w:val="24"/>
                <w:szCs w:val="24"/>
              </w:rPr>
              <w:t>References</w:t>
            </w:r>
            <w:r w:rsidR="00E145E2" w:rsidRPr="00E145E2">
              <w:rPr>
                <w:rFonts w:ascii="Arial" w:hAnsi="Arial" w:cs="Arial"/>
                <w:noProof/>
                <w:webHidden/>
                <w:sz w:val="24"/>
                <w:szCs w:val="24"/>
              </w:rPr>
              <w:tab/>
            </w:r>
            <w:r w:rsidR="00E145E2" w:rsidRPr="00E145E2">
              <w:rPr>
                <w:rFonts w:ascii="Arial" w:hAnsi="Arial" w:cs="Arial"/>
                <w:noProof/>
                <w:webHidden/>
                <w:sz w:val="24"/>
                <w:szCs w:val="24"/>
              </w:rPr>
              <w:fldChar w:fldCharType="begin"/>
            </w:r>
            <w:r w:rsidR="00E145E2" w:rsidRPr="00E145E2">
              <w:rPr>
                <w:rFonts w:ascii="Arial" w:hAnsi="Arial" w:cs="Arial"/>
                <w:noProof/>
                <w:webHidden/>
                <w:sz w:val="24"/>
                <w:szCs w:val="24"/>
              </w:rPr>
              <w:instrText xml:space="preserve"> PAGEREF _Toc168582795 \h </w:instrText>
            </w:r>
            <w:r w:rsidR="00E145E2" w:rsidRPr="00E145E2">
              <w:rPr>
                <w:rFonts w:ascii="Arial" w:hAnsi="Arial" w:cs="Arial"/>
                <w:noProof/>
                <w:webHidden/>
                <w:sz w:val="24"/>
                <w:szCs w:val="24"/>
              </w:rPr>
            </w:r>
            <w:r w:rsidR="00E145E2" w:rsidRPr="00E145E2">
              <w:rPr>
                <w:rFonts w:ascii="Arial" w:hAnsi="Arial" w:cs="Arial"/>
                <w:noProof/>
                <w:webHidden/>
                <w:sz w:val="24"/>
                <w:szCs w:val="24"/>
              </w:rPr>
              <w:fldChar w:fldCharType="separate"/>
            </w:r>
            <w:r w:rsidR="00E145E2" w:rsidRPr="00E145E2">
              <w:rPr>
                <w:rFonts w:ascii="Arial" w:hAnsi="Arial" w:cs="Arial"/>
                <w:noProof/>
                <w:webHidden/>
                <w:sz w:val="24"/>
                <w:szCs w:val="24"/>
              </w:rPr>
              <w:t>21</w:t>
            </w:r>
            <w:r w:rsidR="00E145E2" w:rsidRPr="00E145E2">
              <w:rPr>
                <w:rFonts w:ascii="Arial" w:hAnsi="Arial" w:cs="Arial"/>
                <w:noProof/>
                <w:webHidden/>
                <w:sz w:val="24"/>
                <w:szCs w:val="24"/>
              </w:rPr>
              <w:fldChar w:fldCharType="end"/>
            </w:r>
          </w:hyperlink>
        </w:p>
        <w:p w:rsidR="00B231B6" w:rsidRDefault="00B231B6" w:rsidP="00E145E2">
          <w:pPr>
            <w:spacing w:line="360" w:lineRule="auto"/>
            <w:jc w:val="both"/>
          </w:pPr>
          <w:r w:rsidRPr="00E145E2">
            <w:rPr>
              <w:rFonts w:ascii="Arial" w:hAnsi="Arial" w:cs="Arial"/>
              <w:b/>
              <w:bCs/>
              <w:noProof/>
              <w:color w:val="000000" w:themeColor="text1"/>
              <w:sz w:val="24"/>
              <w:szCs w:val="24"/>
            </w:rPr>
            <w:fldChar w:fldCharType="end"/>
          </w:r>
        </w:p>
      </w:sdtContent>
    </w:sdt>
    <w:p w:rsidR="008D0460" w:rsidRDefault="008D0460" w:rsidP="002F6728">
      <w:pPr>
        <w:spacing w:after="0" w:line="360" w:lineRule="auto"/>
        <w:jc w:val="both"/>
        <w:rPr>
          <w:rFonts w:ascii="Arial" w:hAnsi="Arial" w:cs="Arial"/>
          <w:b/>
          <w:sz w:val="24"/>
          <w:szCs w:val="24"/>
        </w:rPr>
      </w:pPr>
    </w:p>
    <w:p w:rsidR="0033226C" w:rsidRDefault="0033226C" w:rsidP="002F6728">
      <w:pPr>
        <w:spacing w:after="0" w:line="360" w:lineRule="auto"/>
        <w:jc w:val="both"/>
        <w:rPr>
          <w:rFonts w:ascii="Arial" w:hAnsi="Arial" w:cs="Arial"/>
          <w:b/>
          <w:sz w:val="24"/>
          <w:szCs w:val="24"/>
        </w:rPr>
      </w:pPr>
    </w:p>
    <w:p w:rsidR="008D0460" w:rsidRDefault="008D0460" w:rsidP="002F6728">
      <w:pPr>
        <w:spacing w:after="0" w:line="360" w:lineRule="auto"/>
        <w:jc w:val="both"/>
        <w:rPr>
          <w:rFonts w:ascii="Arial" w:hAnsi="Arial" w:cs="Arial"/>
          <w:b/>
          <w:sz w:val="24"/>
          <w:szCs w:val="24"/>
        </w:rPr>
      </w:pPr>
    </w:p>
    <w:p w:rsidR="000E05F0" w:rsidRPr="00E352BA" w:rsidRDefault="00767AA2" w:rsidP="002F6728">
      <w:pPr>
        <w:spacing w:after="0" w:line="360" w:lineRule="auto"/>
        <w:jc w:val="both"/>
        <w:rPr>
          <w:rFonts w:ascii="Arial" w:hAnsi="Arial" w:cs="Arial"/>
          <w:b/>
          <w:sz w:val="24"/>
          <w:szCs w:val="24"/>
        </w:rPr>
      </w:pPr>
      <w:bookmarkStart w:id="3" w:name="_Toc168582775"/>
      <w:r w:rsidRPr="00E352BA">
        <w:rPr>
          <w:rStyle w:val="Heading1Char"/>
          <w:rFonts w:cs="Arial"/>
          <w:szCs w:val="24"/>
        </w:rPr>
        <w:lastRenderedPageBreak/>
        <w:t>Introduction</w:t>
      </w:r>
      <w:bookmarkEnd w:id="3"/>
      <w:r w:rsidRPr="00E352BA">
        <w:rPr>
          <w:rFonts w:ascii="Arial" w:hAnsi="Arial" w:cs="Arial"/>
          <w:b/>
          <w:sz w:val="24"/>
          <w:szCs w:val="24"/>
        </w:rPr>
        <w:t>:</w:t>
      </w:r>
    </w:p>
    <w:p w:rsidR="005E2FEC" w:rsidRPr="00E352BA" w:rsidRDefault="002F6728" w:rsidP="00477668">
      <w:pPr>
        <w:spacing w:line="360" w:lineRule="auto"/>
        <w:jc w:val="both"/>
        <w:rPr>
          <w:rFonts w:ascii="Arial" w:eastAsia="Times New Roman" w:hAnsi="Arial" w:cs="Arial"/>
          <w:sz w:val="24"/>
          <w:szCs w:val="24"/>
          <w:lang w:eastAsia="en-GB"/>
        </w:rPr>
      </w:pPr>
      <w:r w:rsidRPr="00E352BA">
        <w:rPr>
          <w:rFonts w:ascii="Arial" w:eastAsia="Times New Roman" w:hAnsi="Arial" w:cs="Arial"/>
          <w:sz w:val="24"/>
          <w:szCs w:val="24"/>
          <w:lang w:eastAsia="en-GB"/>
        </w:rPr>
        <w:t xml:space="preserve">The Urban Heights Hotel is a shining example of elegance in the city's bustling centre. The Urban Heights </w:t>
      </w:r>
      <w:r w:rsidR="004C11DF">
        <w:rPr>
          <w:rFonts w:ascii="Arial" w:eastAsia="Times New Roman" w:hAnsi="Arial" w:cs="Arial"/>
          <w:sz w:val="24"/>
          <w:szCs w:val="24"/>
          <w:lang w:eastAsia="en-GB"/>
        </w:rPr>
        <w:t>H</w:t>
      </w:r>
      <w:r w:rsidRPr="00E352BA">
        <w:rPr>
          <w:rFonts w:ascii="Arial" w:eastAsia="Times New Roman" w:hAnsi="Arial" w:cs="Arial"/>
          <w:sz w:val="24"/>
          <w:szCs w:val="24"/>
          <w:lang w:eastAsia="en-GB"/>
        </w:rPr>
        <w:t>otel offers restaurant</w:t>
      </w:r>
      <w:r w:rsidR="004C11DF">
        <w:rPr>
          <w:rFonts w:ascii="Arial" w:eastAsia="Times New Roman" w:hAnsi="Arial" w:cs="Arial"/>
          <w:sz w:val="24"/>
          <w:szCs w:val="24"/>
          <w:lang w:eastAsia="en-GB"/>
        </w:rPr>
        <w:t>s</w:t>
      </w:r>
      <w:r w:rsidRPr="00E352BA">
        <w:rPr>
          <w:rFonts w:ascii="Arial" w:eastAsia="Times New Roman" w:hAnsi="Arial" w:cs="Arial"/>
          <w:sz w:val="24"/>
          <w:szCs w:val="24"/>
          <w:lang w:eastAsia="en-GB"/>
        </w:rPr>
        <w:t>, bar</w:t>
      </w:r>
      <w:r w:rsidR="004C11DF">
        <w:rPr>
          <w:rFonts w:ascii="Arial" w:eastAsia="Times New Roman" w:hAnsi="Arial" w:cs="Arial"/>
          <w:sz w:val="24"/>
          <w:szCs w:val="24"/>
          <w:lang w:eastAsia="en-GB"/>
        </w:rPr>
        <w:t>s</w:t>
      </w:r>
      <w:r w:rsidR="004E44B1" w:rsidRPr="00E352BA">
        <w:rPr>
          <w:rFonts w:ascii="Arial" w:eastAsia="Times New Roman" w:hAnsi="Arial" w:cs="Arial"/>
          <w:sz w:val="24"/>
          <w:szCs w:val="24"/>
          <w:lang w:eastAsia="en-GB"/>
        </w:rPr>
        <w:t>,</w:t>
      </w:r>
      <w:r w:rsidRPr="00E352BA">
        <w:rPr>
          <w:rFonts w:ascii="Arial" w:eastAsia="Times New Roman" w:hAnsi="Arial" w:cs="Arial"/>
          <w:sz w:val="24"/>
          <w:szCs w:val="24"/>
          <w:lang w:eastAsia="en-GB"/>
        </w:rPr>
        <w:t xml:space="preserve"> and event spaces in an urban setting. This hotel's nicely designed rooms with outstanding city views provide the ideal balance of modern comfort and classic charm. In recent years, the resort has seen a decrease in income, occupancy rates, and client satisfaction. The owner is concerned about the business's future viability and has asked for your help in determining if a turnaround strategy can save it.</w:t>
      </w:r>
      <w:r w:rsidR="005E2FEC" w:rsidRPr="00E352BA">
        <w:rPr>
          <w:rFonts w:ascii="Arial" w:eastAsia="Times New Roman" w:hAnsi="Arial" w:cs="Arial"/>
          <w:sz w:val="24"/>
          <w:szCs w:val="24"/>
          <w:lang w:eastAsia="en-GB"/>
        </w:rPr>
        <w:t xml:space="preserve"> This report will evaluate the hotel's financial performance and operational issues over the last three years</w:t>
      </w:r>
      <w:r w:rsidR="00477668" w:rsidRPr="00E352BA">
        <w:rPr>
          <w:rFonts w:ascii="Arial" w:eastAsia="Times New Roman" w:hAnsi="Arial" w:cs="Arial"/>
          <w:sz w:val="24"/>
          <w:szCs w:val="24"/>
          <w:lang w:eastAsia="en-GB"/>
        </w:rPr>
        <w:t xml:space="preserve"> to figure out whether a turnaround strategy can restore profitability and assure long-term survival.</w:t>
      </w:r>
    </w:p>
    <w:p w:rsidR="002F6728" w:rsidRPr="00E352BA" w:rsidRDefault="00EE3DFD" w:rsidP="00903A02">
      <w:pPr>
        <w:spacing w:after="0" w:line="360" w:lineRule="auto"/>
        <w:jc w:val="both"/>
        <w:rPr>
          <w:rFonts w:ascii="Arial" w:eastAsia="Times New Roman" w:hAnsi="Arial" w:cs="Arial"/>
          <w:sz w:val="24"/>
          <w:szCs w:val="24"/>
          <w:lang w:eastAsia="en-GB"/>
        </w:rPr>
      </w:pPr>
      <w:r w:rsidRPr="00E352BA">
        <w:rPr>
          <w:rFonts w:ascii="Arial" w:hAnsi="Arial" w:cs="Arial"/>
          <w:b/>
          <w:sz w:val="24"/>
          <w:szCs w:val="24"/>
          <w:lang w:eastAsia="en-GB"/>
        </w:rPr>
        <w:t>Financial Performance of Urban Heights Hotel</w:t>
      </w:r>
    </w:p>
    <w:p w:rsidR="00A36156" w:rsidRPr="00E352BA" w:rsidRDefault="00A36156" w:rsidP="00A77FBF">
      <w:pPr>
        <w:spacing w:after="0" w:line="360" w:lineRule="auto"/>
        <w:jc w:val="both"/>
        <w:rPr>
          <w:rFonts w:ascii="Arial" w:eastAsia="Times New Roman" w:hAnsi="Arial" w:cs="Arial"/>
          <w:b/>
          <w:sz w:val="24"/>
          <w:szCs w:val="24"/>
          <w:lang w:eastAsia="en-GB"/>
        </w:rPr>
      </w:pPr>
      <w:bookmarkStart w:id="4" w:name="_Toc168582776"/>
      <w:r w:rsidRPr="00E352BA">
        <w:rPr>
          <w:rStyle w:val="Heading2Char"/>
          <w:rFonts w:cs="Arial"/>
          <w:szCs w:val="24"/>
        </w:rPr>
        <w:t>Income Statement Analysis</w:t>
      </w:r>
      <w:r w:rsidR="00A77FBF" w:rsidRPr="00E352BA">
        <w:rPr>
          <w:rStyle w:val="Heading2Char"/>
          <w:rFonts w:cs="Arial"/>
          <w:szCs w:val="24"/>
        </w:rPr>
        <w:t xml:space="preserve"> (2021-2023)</w:t>
      </w:r>
      <w:bookmarkEnd w:id="4"/>
      <w:r w:rsidRPr="00E352BA">
        <w:rPr>
          <w:rFonts w:ascii="Arial" w:eastAsia="Times New Roman" w:hAnsi="Arial" w:cs="Arial"/>
          <w:b/>
          <w:sz w:val="24"/>
          <w:szCs w:val="24"/>
          <w:lang w:eastAsia="en-GB"/>
        </w:rPr>
        <w:t>:</w:t>
      </w:r>
    </w:p>
    <w:p w:rsidR="00A77FBF" w:rsidRPr="00E352BA" w:rsidRDefault="00A77FBF" w:rsidP="00A77FBF">
      <w:pPr>
        <w:spacing w:after="0" w:line="360" w:lineRule="auto"/>
        <w:jc w:val="both"/>
        <w:rPr>
          <w:rFonts w:ascii="Arial" w:eastAsia="Times New Roman" w:hAnsi="Arial" w:cs="Arial"/>
          <w:sz w:val="24"/>
          <w:szCs w:val="24"/>
          <w:lang w:eastAsia="en-GB"/>
        </w:rPr>
      </w:pPr>
      <w:r w:rsidRPr="00E352BA">
        <w:rPr>
          <w:rFonts w:ascii="Arial" w:eastAsia="Times New Roman" w:hAnsi="Arial" w:cs="Arial"/>
          <w:sz w:val="24"/>
          <w:szCs w:val="24"/>
          <w:lang w:eastAsia="en-GB"/>
        </w:rPr>
        <w:t xml:space="preserve">To evaluate </w:t>
      </w:r>
      <w:r w:rsidR="005C0FFF" w:rsidRPr="00E352BA">
        <w:rPr>
          <w:rFonts w:ascii="Arial" w:eastAsia="Times New Roman" w:hAnsi="Arial" w:cs="Arial"/>
          <w:color w:val="FFFFFF" w:themeColor="background1"/>
          <w:sz w:val="24"/>
          <w:szCs w:val="24"/>
          <w:lang w:eastAsia="en-GB"/>
        </w:rPr>
        <w:t>“</w:t>
      </w:r>
      <w:r w:rsidRPr="00E352BA">
        <w:rPr>
          <w:rFonts w:ascii="Arial" w:eastAsia="Times New Roman" w:hAnsi="Arial" w:cs="Arial"/>
          <w:sz w:val="24"/>
          <w:szCs w:val="24"/>
          <w:lang w:eastAsia="en-GB"/>
        </w:rPr>
        <w:t>the financial performance of Urban Heights Hotel during the last three years, the report will consider key financial indicators such as total revenue, operating expenses, and net income.</w:t>
      </w:r>
      <w:r w:rsidR="005C0FFF" w:rsidRPr="00E352BA">
        <w:rPr>
          <w:rFonts w:ascii="Arial" w:eastAsia="Times New Roman" w:hAnsi="Arial" w:cs="Arial"/>
          <w:color w:val="FFFFFF" w:themeColor="background1"/>
          <w:sz w:val="24"/>
          <w:szCs w:val="24"/>
          <w:lang w:eastAsia="en-GB"/>
        </w:rPr>
        <w:t>”</w:t>
      </w:r>
      <w:r w:rsidRPr="00E352BA">
        <w:rPr>
          <w:rFonts w:ascii="Arial" w:eastAsia="Times New Roman" w:hAnsi="Arial" w:cs="Arial"/>
          <w:color w:val="FFFFFF" w:themeColor="background1"/>
          <w:sz w:val="24"/>
          <w:szCs w:val="24"/>
          <w:lang w:eastAsia="en-GB"/>
        </w:rPr>
        <w:t xml:space="preserve"> </w:t>
      </w:r>
      <w:r w:rsidRPr="00E352BA">
        <w:rPr>
          <w:rFonts w:ascii="Arial" w:eastAsia="Times New Roman" w:hAnsi="Arial" w:cs="Arial"/>
          <w:sz w:val="24"/>
          <w:szCs w:val="24"/>
          <w:lang w:eastAsia="en-GB"/>
        </w:rPr>
        <w:t>Let’s analyse these indicators:</w:t>
      </w:r>
    </w:p>
    <w:p w:rsidR="00A36156" w:rsidRPr="00E352BA" w:rsidRDefault="00A36156" w:rsidP="00A77FBF">
      <w:pPr>
        <w:spacing w:after="0" w:line="360" w:lineRule="auto"/>
        <w:jc w:val="both"/>
        <w:rPr>
          <w:rFonts w:ascii="Arial" w:eastAsia="Times New Roman" w:hAnsi="Arial" w:cs="Arial"/>
          <w:b/>
          <w:sz w:val="24"/>
          <w:szCs w:val="24"/>
          <w:lang w:eastAsia="en-GB"/>
        </w:rPr>
      </w:pPr>
    </w:p>
    <w:p w:rsidR="00767AA2" w:rsidRPr="00E352BA" w:rsidRDefault="00CF22FB" w:rsidP="00A36156">
      <w:pPr>
        <w:jc w:val="center"/>
        <w:rPr>
          <w:rFonts w:ascii="Arial" w:hAnsi="Arial" w:cs="Arial"/>
          <w:sz w:val="24"/>
          <w:szCs w:val="24"/>
        </w:rPr>
      </w:pPr>
      <w:r w:rsidRPr="00E352BA">
        <w:rPr>
          <w:rFonts w:ascii="Arial" w:hAnsi="Arial" w:cs="Arial"/>
          <w:noProof/>
          <w:sz w:val="24"/>
          <w:szCs w:val="24"/>
          <w:lang w:eastAsia="en-GB"/>
        </w:rPr>
        <mc:AlternateContent>
          <mc:Choice Requires="wps">
            <w:drawing>
              <wp:anchor distT="0" distB="0" distL="114300" distR="114300" simplePos="0" relativeHeight="251659264" behindDoc="0" locked="0" layoutInCell="1" allowOverlap="1">
                <wp:simplePos x="0" y="0"/>
                <wp:positionH relativeFrom="column">
                  <wp:posOffset>4671060</wp:posOffset>
                </wp:positionH>
                <wp:positionV relativeFrom="paragraph">
                  <wp:posOffset>1211580</wp:posOffset>
                </wp:positionV>
                <wp:extent cx="381000" cy="205740"/>
                <wp:effectExtent l="0" t="0" r="19050" b="22860"/>
                <wp:wrapNone/>
                <wp:docPr id="2" name="Rectangle 2"/>
                <wp:cNvGraphicFramePr/>
                <a:graphic xmlns:a="http://schemas.openxmlformats.org/drawingml/2006/main">
                  <a:graphicData uri="http://schemas.microsoft.com/office/word/2010/wordprocessingShape">
                    <wps:wsp>
                      <wps:cNvSpPr/>
                      <wps:spPr>
                        <a:xfrm>
                          <a:off x="0" y="0"/>
                          <a:ext cx="381000" cy="20574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A56A6" w:rsidRPr="00CF22FB" w:rsidRDefault="00EA56A6" w:rsidP="00CF22FB">
                            <w:pPr>
                              <w:rPr>
                                <w:color w:val="000000" w:themeColor="text1"/>
                                <w:sz w:val="14"/>
                              </w:rPr>
                            </w:pPr>
                            <w:r w:rsidRPr="00CF22FB">
                              <w:rPr>
                                <w:color w:val="000000" w:themeColor="text1"/>
                                <w:sz w:val="14"/>
                              </w:rPr>
                              <w:t>2021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Rectangle 2" o:spid="_x0000_s1029" style="position:absolute;left:0;text-align:left;margin-left:367.8pt;margin-top:95.4pt;width:30pt;height:1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" fillcolor="white [3212]" strokecolor="white [3212]" strokeweight="1pt">
                <v:textbox>
                  <w:txbxContent>
                    <w:p w:rsidR="00EA56A6" w:rsidRPr="00CF22FB" w:rsidRDefault="00EA56A6" w:rsidP="00CF22FB">
                      <w:pPr>
                        <w:rPr>
                          <w:color w:val="000000" w:themeColor="text1"/>
                          <w:sz w:val="14"/>
                        </w:rPr>
                      </w:pPr>
                      <w:r w:rsidRPr="00CF22FB">
                        <w:rPr>
                          <w:color w:val="000000" w:themeColor="text1"/>
                          <w:sz w:val="14"/>
                        </w:rPr>
                        <w:t>2021</w:t>
                      </w:r>
                    </w:p>
                  </w:txbxContent>
                </v:textbox>
              </v:rect>
            </w:pict>
          </mc:Fallback>
        </mc:AlternateContent>
      </w:r>
      <w:r w:rsidRPr="00E352BA">
        <w:rPr>
          <w:rFonts w:ascii="Arial" w:hAnsi="Arial" w:cs="Arial"/>
          <w:noProof/>
          <w:sz w:val="24"/>
          <w:szCs w:val="24"/>
          <w:lang w:eastAsia="en-GB"/>
        </w:rPr>
        <w:drawing>
          <wp:inline distT="0" distB="0" distL="0" distR="0" wp14:anchorId="16BC41A9" wp14:editId="4F2FA957">
            <wp:extent cx="45720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F10B37" w:rsidRPr="00E352BA" w:rsidRDefault="009B079E" w:rsidP="00B32A47">
      <w:pPr>
        <w:spacing w:after="0" w:line="360" w:lineRule="auto"/>
        <w:jc w:val="both"/>
        <w:rPr>
          <w:rFonts w:ascii="Arial" w:hAnsi="Arial" w:cs="Arial"/>
          <w:b/>
          <w:sz w:val="24"/>
          <w:szCs w:val="24"/>
        </w:rPr>
      </w:pPr>
      <w:r w:rsidRPr="00E352BA">
        <w:rPr>
          <w:rFonts w:ascii="Arial" w:hAnsi="Arial" w:cs="Arial"/>
          <w:b/>
          <w:sz w:val="24"/>
          <w:szCs w:val="24"/>
        </w:rPr>
        <w:t xml:space="preserve">a. </w:t>
      </w:r>
      <w:r w:rsidR="00F10B37" w:rsidRPr="00E352BA">
        <w:rPr>
          <w:rFonts w:ascii="Arial" w:hAnsi="Arial" w:cs="Arial"/>
          <w:b/>
          <w:sz w:val="24"/>
          <w:szCs w:val="24"/>
        </w:rPr>
        <w:t>Total Revenue:</w:t>
      </w:r>
    </w:p>
    <w:p w:rsidR="00F10B37" w:rsidRPr="00E352BA" w:rsidRDefault="00F10B37" w:rsidP="00B32A47">
      <w:pPr>
        <w:spacing w:after="0" w:line="360" w:lineRule="auto"/>
        <w:jc w:val="both"/>
        <w:rPr>
          <w:rFonts w:ascii="Arial" w:eastAsia="Times New Roman" w:hAnsi="Arial" w:cs="Arial"/>
          <w:sz w:val="24"/>
          <w:szCs w:val="24"/>
          <w:lang w:eastAsia="en-GB"/>
        </w:rPr>
      </w:pPr>
      <w:r w:rsidRPr="00E352BA">
        <w:rPr>
          <w:rFonts w:ascii="Arial" w:eastAsia="Times New Roman" w:hAnsi="Arial" w:cs="Arial"/>
          <w:sz w:val="24"/>
          <w:szCs w:val="24"/>
          <w:lang w:eastAsia="en-GB"/>
        </w:rPr>
        <w:t>The Urban Heights Hotel's revenue has continuously decreased during the last three years. Revenue fell from £2,500,000 in 2021 to £2,200,000 in 2022, and finally to £1,800,000 in 2023. This pattern indicates a significant reduction in business activity or consumer base. Several factors could explain this decrease:</w:t>
      </w:r>
    </w:p>
    <w:p w:rsidR="00FF3D1A" w:rsidRPr="00E352BA" w:rsidRDefault="00FF3D1A" w:rsidP="00B32A47">
      <w:pPr>
        <w:spacing w:after="0" w:line="360" w:lineRule="auto"/>
        <w:jc w:val="both"/>
        <w:rPr>
          <w:rFonts w:ascii="Arial" w:eastAsia="Times New Roman" w:hAnsi="Arial" w:cs="Arial"/>
          <w:sz w:val="24"/>
          <w:szCs w:val="24"/>
          <w:lang w:eastAsia="en-GB"/>
        </w:rPr>
      </w:pPr>
    </w:p>
    <w:p w:rsidR="00D90690" w:rsidRPr="00E352BA" w:rsidRDefault="00FD1422" w:rsidP="00D90690">
      <w:pPr>
        <w:spacing w:after="0" w:line="360" w:lineRule="auto"/>
        <w:jc w:val="both"/>
        <w:rPr>
          <w:rFonts w:ascii="Arial" w:eastAsia="Times New Roman" w:hAnsi="Arial" w:cs="Arial"/>
          <w:sz w:val="24"/>
          <w:szCs w:val="24"/>
          <w:lang w:eastAsia="en-GB"/>
        </w:rPr>
      </w:pPr>
      <w:r w:rsidRPr="00E352BA">
        <w:rPr>
          <w:rFonts w:ascii="Arial" w:eastAsia="Times New Roman" w:hAnsi="Arial" w:cs="Arial"/>
          <w:b/>
          <w:sz w:val="24"/>
          <w:szCs w:val="24"/>
          <w:lang w:eastAsia="en-GB"/>
        </w:rPr>
        <w:lastRenderedPageBreak/>
        <w:t xml:space="preserve">Market Competition: </w:t>
      </w:r>
      <w:r w:rsidRPr="00E352BA">
        <w:rPr>
          <w:rFonts w:ascii="Arial" w:eastAsia="Times New Roman" w:hAnsi="Arial" w:cs="Arial"/>
          <w:b/>
          <w:sz w:val="24"/>
          <w:szCs w:val="24"/>
          <w:lang w:eastAsia="en-GB"/>
        </w:rPr>
        <w:br/>
      </w:r>
      <w:r w:rsidRPr="00E352BA">
        <w:rPr>
          <w:rFonts w:ascii="Arial" w:eastAsia="Times New Roman" w:hAnsi="Arial" w:cs="Arial"/>
          <w:sz w:val="24"/>
          <w:szCs w:val="24"/>
          <w:lang w:eastAsia="en-GB"/>
        </w:rPr>
        <w:t xml:space="preserve">Increased competition from new hotels or other substitutes such as Airbnb may have attracted </w:t>
      </w:r>
      <w:r w:rsidR="00077B1C" w:rsidRPr="00E352BA">
        <w:rPr>
          <w:rFonts w:ascii="Arial" w:eastAsia="Times New Roman" w:hAnsi="Arial" w:cs="Arial"/>
          <w:sz w:val="24"/>
          <w:szCs w:val="24"/>
          <w:lang w:eastAsia="en-GB"/>
        </w:rPr>
        <w:t>visitors</w:t>
      </w:r>
      <w:r w:rsidRPr="00E352BA">
        <w:rPr>
          <w:rFonts w:ascii="Arial" w:eastAsia="Times New Roman" w:hAnsi="Arial" w:cs="Arial"/>
          <w:sz w:val="24"/>
          <w:szCs w:val="24"/>
          <w:lang w:eastAsia="en-GB"/>
        </w:rPr>
        <w:t xml:space="preserve"> away</w:t>
      </w:r>
      <w:r w:rsidR="0091370F" w:rsidRPr="00E352BA">
        <w:rPr>
          <w:rFonts w:ascii="Arial" w:eastAsia="Times New Roman" w:hAnsi="Arial" w:cs="Arial"/>
          <w:sz w:val="24"/>
          <w:szCs w:val="24"/>
          <w:lang w:eastAsia="en-GB"/>
        </w:rPr>
        <w:t xml:space="preserve"> So Airbnb </w:t>
      </w:r>
      <w:r w:rsidR="004E44B1" w:rsidRPr="00E352BA">
        <w:rPr>
          <w:rFonts w:ascii="Arial" w:eastAsia="Times New Roman" w:hAnsi="Arial" w:cs="Arial"/>
          <w:sz w:val="24"/>
          <w:szCs w:val="24"/>
          <w:lang w:eastAsia="en-GB"/>
        </w:rPr>
        <w:t>a</w:t>
      </w:r>
      <w:r w:rsidR="0091370F" w:rsidRPr="00E352BA">
        <w:rPr>
          <w:rFonts w:ascii="Arial" w:eastAsia="Times New Roman" w:hAnsi="Arial" w:cs="Arial"/>
          <w:sz w:val="24"/>
          <w:szCs w:val="24"/>
          <w:lang w:eastAsia="en-GB"/>
        </w:rPr>
        <w:t xml:space="preserve">ffects the total revenue of the urban height’s hotel. </w:t>
      </w:r>
      <w:r w:rsidRPr="00E352BA">
        <w:rPr>
          <w:rFonts w:ascii="Arial" w:eastAsia="Times New Roman" w:hAnsi="Arial" w:cs="Arial"/>
          <w:sz w:val="24"/>
          <w:szCs w:val="24"/>
          <w:lang w:eastAsia="en-GB"/>
        </w:rPr>
        <w:br/>
      </w:r>
      <w:r w:rsidRPr="00E352BA">
        <w:rPr>
          <w:rFonts w:ascii="Arial" w:eastAsia="Times New Roman" w:hAnsi="Arial" w:cs="Arial"/>
          <w:b/>
          <w:sz w:val="24"/>
          <w:szCs w:val="24"/>
          <w:lang w:eastAsia="en-GB"/>
        </w:rPr>
        <w:t xml:space="preserve">Economic Conditions: </w:t>
      </w:r>
      <w:r w:rsidRPr="00E352BA">
        <w:rPr>
          <w:rFonts w:ascii="Arial" w:eastAsia="Times New Roman" w:hAnsi="Arial" w:cs="Arial"/>
          <w:b/>
          <w:sz w:val="24"/>
          <w:szCs w:val="24"/>
          <w:lang w:eastAsia="en-GB"/>
        </w:rPr>
        <w:br/>
      </w:r>
      <w:r w:rsidRPr="00E352BA">
        <w:rPr>
          <w:rFonts w:ascii="Arial" w:eastAsia="Times New Roman" w:hAnsi="Arial" w:cs="Arial"/>
          <w:sz w:val="24"/>
          <w:szCs w:val="24"/>
          <w:lang w:eastAsia="en-GB"/>
        </w:rPr>
        <w:t xml:space="preserve">Economic downturns or decreased visitor activity may reduce </w:t>
      </w:r>
      <w:r w:rsidR="004E44B1" w:rsidRPr="00E352BA">
        <w:rPr>
          <w:rFonts w:ascii="Arial" w:eastAsia="Times New Roman" w:hAnsi="Arial" w:cs="Arial"/>
          <w:sz w:val="24"/>
          <w:szCs w:val="24"/>
          <w:lang w:eastAsia="en-GB"/>
        </w:rPr>
        <w:t xml:space="preserve">the </w:t>
      </w:r>
      <w:r w:rsidRPr="00E352BA">
        <w:rPr>
          <w:rFonts w:ascii="Arial" w:eastAsia="Times New Roman" w:hAnsi="Arial" w:cs="Arial"/>
          <w:sz w:val="24"/>
          <w:szCs w:val="24"/>
          <w:lang w:eastAsia="en-GB"/>
        </w:rPr>
        <w:t>occupancy rates</w:t>
      </w:r>
      <w:r w:rsidR="0091370F" w:rsidRPr="00E352BA">
        <w:rPr>
          <w:rFonts w:ascii="Arial" w:eastAsia="Times New Roman" w:hAnsi="Arial" w:cs="Arial"/>
          <w:sz w:val="24"/>
          <w:szCs w:val="24"/>
          <w:lang w:eastAsia="en-GB"/>
        </w:rPr>
        <w:t xml:space="preserve"> of the </w:t>
      </w:r>
      <w:r w:rsidR="004E44B1" w:rsidRPr="00E352BA">
        <w:rPr>
          <w:rFonts w:ascii="Arial" w:eastAsia="Times New Roman" w:hAnsi="Arial" w:cs="Arial"/>
          <w:sz w:val="24"/>
          <w:szCs w:val="24"/>
          <w:lang w:eastAsia="en-GB"/>
        </w:rPr>
        <w:t>Urban Heights H</w:t>
      </w:r>
      <w:r w:rsidR="0091370F" w:rsidRPr="00E352BA">
        <w:rPr>
          <w:rFonts w:ascii="Arial" w:eastAsia="Times New Roman" w:hAnsi="Arial" w:cs="Arial"/>
          <w:sz w:val="24"/>
          <w:szCs w:val="24"/>
          <w:lang w:eastAsia="en-GB"/>
        </w:rPr>
        <w:t>otel</w:t>
      </w:r>
      <w:r w:rsidRPr="00E352BA">
        <w:rPr>
          <w:rFonts w:ascii="Arial" w:eastAsia="Times New Roman" w:hAnsi="Arial" w:cs="Arial"/>
          <w:sz w:val="24"/>
          <w:szCs w:val="24"/>
          <w:lang w:eastAsia="en-GB"/>
        </w:rPr>
        <w:t xml:space="preserve">. </w:t>
      </w:r>
      <w:r w:rsidRPr="00E352BA">
        <w:rPr>
          <w:rFonts w:ascii="Arial" w:eastAsia="Times New Roman" w:hAnsi="Arial" w:cs="Arial"/>
          <w:sz w:val="24"/>
          <w:szCs w:val="24"/>
          <w:lang w:eastAsia="en-GB"/>
        </w:rPr>
        <w:br/>
      </w:r>
      <w:r w:rsidRPr="00E352BA">
        <w:rPr>
          <w:rFonts w:ascii="Arial" w:eastAsia="Times New Roman" w:hAnsi="Arial" w:cs="Arial"/>
          <w:b/>
          <w:sz w:val="24"/>
          <w:szCs w:val="24"/>
          <w:lang w:eastAsia="en-GB"/>
        </w:rPr>
        <w:t xml:space="preserve">Customer Satisfaction: </w:t>
      </w:r>
      <w:r w:rsidRPr="00E352BA">
        <w:rPr>
          <w:rFonts w:ascii="Arial" w:eastAsia="Times New Roman" w:hAnsi="Arial" w:cs="Arial"/>
          <w:b/>
          <w:sz w:val="24"/>
          <w:szCs w:val="24"/>
          <w:lang w:eastAsia="en-GB"/>
        </w:rPr>
        <w:br/>
      </w:r>
      <w:r w:rsidRPr="00E352BA">
        <w:rPr>
          <w:rFonts w:ascii="Arial" w:eastAsia="Times New Roman" w:hAnsi="Arial" w:cs="Arial"/>
          <w:sz w:val="24"/>
          <w:szCs w:val="24"/>
          <w:lang w:eastAsia="en-GB"/>
        </w:rPr>
        <w:t xml:space="preserve">As previously said, diminishing client happiness may lead to fewer repeat customers and negative evaluations, discouraging prospective guests. </w:t>
      </w:r>
      <w:r w:rsidRPr="00E352BA">
        <w:rPr>
          <w:rFonts w:ascii="Arial" w:eastAsia="Times New Roman" w:hAnsi="Arial" w:cs="Arial"/>
          <w:sz w:val="24"/>
          <w:szCs w:val="24"/>
          <w:lang w:eastAsia="en-GB"/>
        </w:rPr>
        <w:br/>
      </w:r>
      <w:r w:rsidR="00D90690" w:rsidRPr="00E352BA">
        <w:rPr>
          <w:rFonts w:ascii="Arial" w:eastAsia="Times New Roman" w:hAnsi="Arial" w:cs="Arial"/>
          <w:b/>
          <w:sz w:val="24"/>
          <w:szCs w:val="24"/>
          <w:lang w:eastAsia="en-GB"/>
        </w:rPr>
        <w:t xml:space="preserve">Service Quality: </w:t>
      </w:r>
      <w:r w:rsidR="00D90690" w:rsidRPr="00E352BA">
        <w:rPr>
          <w:rFonts w:ascii="Arial" w:eastAsia="Times New Roman" w:hAnsi="Arial" w:cs="Arial"/>
          <w:b/>
          <w:sz w:val="24"/>
          <w:szCs w:val="24"/>
          <w:lang w:eastAsia="en-GB"/>
        </w:rPr>
        <w:br/>
      </w:r>
      <w:r w:rsidR="00D90690" w:rsidRPr="00E352BA">
        <w:rPr>
          <w:rFonts w:ascii="Arial" w:eastAsia="Times New Roman" w:hAnsi="Arial" w:cs="Arial"/>
          <w:sz w:val="24"/>
          <w:szCs w:val="24"/>
          <w:lang w:eastAsia="en-GB"/>
        </w:rPr>
        <w:t>Reduced service quality and antiquated amenities may prevent guests from returning or recommending the hotel to others.</w:t>
      </w:r>
    </w:p>
    <w:p w:rsidR="000D34AD" w:rsidRPr="00E352BA" w:rsidRDefault="000D34AD" w:rsidP="00D90690">
      <w:pPr>
        <w:spacing w:after="0" w:line="360" w:lineRule="auto"/>
        <w:jc w:val="both"/>
        <w:rPr>
          <w:rFonts w:ascii="Arial" w:eastAsia="Times New Roman" w:hAnsi="Arial" w:cs="Arial"/>
          <w:b/>
          <w:sz w:val="24"/>
          <w:szCs w:val="24"/>
          <w:lang w:eastAsia="en-GB"/>
        </w:rPr>
      </w:pPr>
      <w:bookmarkStart w:id="5" w:name="_Toc168582777"/>
      <w:r w:rsidRPr="00CE77BC">
        <w:rPr>
          <w:rStyle w:val="Heading1Char"/>
        </w:rPr>
        <w:t>Profit Margin</w:t>
      </w:r>
      <w:bookmarkEnd w:id="5"/>
      <w:r w:rsidRPr="00E352BA">
        <w:rPr>
          <w:rFonts w:ascii="Arial" w:eastAsia="Times New Roman" w:hAnsi="Arial" w:cs="Arial"/>
          <w:b/>
          <w:sz w:val="24"/>
          <w:szCs w:val="24"/>
          <w:lang w:eastAsia="en-GB"/>
        </w:rPr>
        <w:t>:</w:t>
      </w:r>
    </w:p>
    <w:p w:rsidR="000D34AD" w:rsidRPr="00E352BA" w:rsidRDefault="000D34AD" w:rsidP="00A22FAB">
      <w:pPr>
        <w:spacing w:after="0" w:line="360" w:lineRule="auto"/>
        <w:jc w:val="both"/>
        <w:rPr>
          <w:rFonts w:ascii="Arial" w:eastAsia="Times New Roman" w:hAnsi="Arial" w:cs="Arial"/>
          <w:sz w:val="24"/>
          <w:szCs w:val="24"/>
          <w:lang w:eastAsia="en-GB"/>
        </w:rPr>
      </w:pPr>
      <w:r w:rsidRPr="00E352BA">
        <w:rPr>
          <w:rFonts w:ascii="Arial" w:eastAsia="Times New Roman" w:hAnsi="Arial" w:cs="Arial"/>
          <w:sz w:val="24"/>
          <w:szCs w:val="24"/>
          <w:lang w:eastAsia="en-GB"/>
        </w:rPr>
        <w:t>The profit margin is a financial statistic that assesses a company's profit as a percentage of its total revenue. To evaluate the hotel’s financial health and efficiency here is calculate the profit margin:</w:t>
      </w:r>
    </w:p>
    <w:p w:rsidR="000D34AD" w:rsidRPr="00E352BA" w:rsidRDefault="000D34AD" w:rsidP="00D90690">
      <w:pPr>
        <w:spacing w:after="0" w:line="360" w:lineRule="auto"/>
        <w:jc w:val="both"/>
        <w:rPr>
          <w:rFonts w:ascii="Arial" w:eastAsia="Times New Roman" w:hAnsi="Arial" w:cs="Arial"/>
          <w:sz w:val="24"/>
          <w:szCs w:val="24"/>
          <w:lang w:eastAsia="en-GB"/>
        </w:rPr>
      </w:pPr>
      <w:r w:rsidRPr="00E352BA">
        <w:rPr>
          <w:rFonts w:ascii="Arial" w:eastAsia="Times New Roman" w:hAnsi="Arial" w:cs="Arial"/>
          <w:sz w:val="24"/>
          <w:szCs w:val="24"/>
          <w:lang w:eastAsia="en-GB"/>
        </w:rPr>
        <w:t xml:space="preserve"> </w:t>
      </w:r>
      <w:r w:rsidR="00FF3D1A" w:rsidRPr="00E352BA">
        <w:rPr>
          <w:rFonts w:ascii="Arial" w:eastAsia="Times New Roman" w:hAnsi="Arial" w:cs="Arial"/>
          <w:noProof/>
          <w:sz w:val="24"/>
          <w:szCs w:val="24"/>
          <w:lang w:eastAsia="en-GB"/>
        </w:rPr>
        <w:drawing>
          <wp:inline distT="0" distB="0" distL="0" distR="0" wp14:anchorId="561FB8C7" wp14:editId="1A008EC6">
            <wp:extent cx="5471160" cy="1295400"/>
            <wp:effectExtent l="57150" t="57150" r="53340" b="57150"/>
            <wp:docPr id="16" name="Diagram 1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0B0C46" w:rsidRPr="00E352BA" w:rsidRDefault="000B0C46" w:rsidP="000B0C46">
      <w:pPr>
        <w:spacing w:after="0" w:line="360" w:lineRule="auto"/>
        <w:jc w:val="both"/>
        <w:rPr>
          <w:rFonts w:ascii="Arial" w:eastAsia="Times New Roman" w:hAnsi="Arial" w:cs="Arial"/>
          <w:sz w:val="24"/>
          <w:szCs w:val="24"/>
          <w:lang w:eastAsia="en-GB"/>
        </w:rPr>
      </w:pPr>
      <w:r w:rsidRPr="00E352BA">
        <w:rPr>
          <w:rFonts w:ascii="Arial" w:eastAsia="Times New Roman" w:hAnsi="Arial" w:cs="Arial"/>
          <w:sz w:val="24"/>
          <w:szCs w:val="24"/>
          <w:lang w:eastAsia="en-GB"/>
        </w:rPr>
        <w:t>The profit margin has dropped dramatically, indicating that the hotel is becoming less efficient at converting revenue into actual profit.</w:t>
      </w:r>
    </w:p>
    <w:p w:rsidR="00F10B37" w:rsidRPr="00E352BA" w:rsidRDefault="009B079E" w:rsidP="00D90690">
      <w:pPr>
        <w:spacing w:after="0" w:line="360" w:lineRule="auto"/>
        <w:jc w:val="both"/>
        <w:rPr>
          <w:rFonts w:ascii="Arial" w:hAnsi="Arial" w:cs="Arial"/>
          <w:b/>
          <w:sz w:val="24"/>
          <w:szCs w:val="24"/>
        </w:rPr>
      </w:pPr>
      <w:r w:rsidRPr="00E352BA">
        <w:rPr>
          <w:rFonts w:ascii="Arial" w:hAnsi="Arial" w:cs="Arial"/>
          <w:b/>
          <w:sz w:val="24"/>
          <w:szCs w:val="24"/>
        </w:rPr>
        <w:t xml:space="preserve">b. </w:t>
      </w:r>
      <w:r w:rsidR="004A066B" w:rsidRPr="00E352BA">
        <w:rPr>
          <w:rFonts w:ascii="Arial" w:hAnsi="Arial" w:cs="Arial"/>
          <w:b/>
          <w:sz w:val="24"/>
          <w:szCs w:val="24"/>
        </w:rPr>
        <w:t>Operating Expenses:</w:t>
      </w:r>
    </w:p>
    <w:p w:rsidR="004A066B" w:rsidRPr="00E352BA" w:rsidRDefault="004A066B" w:rsidP="00D90690">
      <w:pPr>
        <w:spacing w:after="0" w:line="360" w:lineRule="auto"/>
        <w:jc w:val="both"/>
        <w:rPr>
          <w:rFonts w:ascii="Arial" w:eastAsia="Times New Roman" w:hAnsi="Arial" w:cs="Arial"/>
          <w:sz w:val="24"/>
          <w:szCs w:val="24"/>
          <w:lang w:eastAsia="en-GB"/>
        </w:rPr>
      </w:pPr>
      <w:r w:rsidRPr="00E352BA">
        <w:rPr>
          <w:rFonts w:ascii="Arial" w:eastAsia="Times New Roman" w:hAnsi="Arial" w:cs="Arial"/>
          <w:sz w:val="24"/>
          <w:szCs w:val="24"/>
          <w:lang w:eastAsia="en-GB"/>
        </w:rPr>
        <w:t>Urban Heights Hotel's operating expenses have risen year after year, from £1,800,000 in 2021 to £2,000,000 in 2022, and in 2023 reach £2,300,000. This increase in expenses, despite decreased profits, exposes various underlying causes:</w:t>
      </w:r>
    </w:p>
    <w:p w:rsidR="009F2835" w:rsidRPr="00E352BA" w:rsidRDefault="00FE336D" w:rsidP="00D90690">
      <w:pPr>
        <w:spacing w:after="0" w:line="360" w:lineRule="auto"/>
        <w:jc w:val="both"/>
        <w:rPr>
          <w:rFonts w:ascii="Arial" w:eastAsia="Times New Roman" w:hAnsi="Arial" w:cs="Arial"/>
          <w:sz w:val="24"/>
          <w:szCs w:val="24"/>
          <w:lang w:eastAsia="en-GB"/>
        </w:rPr>
      </w:pPr>
      <w:r w:rsidRPr="00E352BA">
        <w:rPr>
          <w:rFonts w:ascii="Arial" w:eastAsia="Times New Roman" w:hAnsi="Arial" w:cs="Arial"/>
          <w:b/>
          <w:sz w:val="24"/>
          <w:szCs w:val="24"/>
          <w:lang w:eastAsia="en-GB"/>
        </w:rPr>
        <w:t>Inflation:</w:t>
      </w:r>
      <w:r w:rsidRPr="00E352BA">
        <w:rPr>
          <w:rFonts w:ascii="Arial" w:eastAsia="Times New Roman" w:hAnsi="Arial" w:cs="Arial"/>
          <w:sz w:val="24"/>
          <w:szCs w:val="24"/>
          <w:lang w:eastAsia="en-GB"/>
        </w:rPr>
        <w:t xml:space="preserve"> </w:t>
      </w:r>
      <w:r w:rsidRPr="00E352BA">
        <w:rPr>
          <w:rFonts w:ascii="Arial" w:eastAsia="Times New Roman" w:hAnsi="Arial" w:cs="Arial"/>
          <w:sz w:val="24"/>
          <w:szCs w:val="24"/>
          <w:lang w:eastAsia="en-GB"/>
        </w:rPr>
        <w:br/>
        <w:t>General inflation has led to rising pric</w:t>
      </w:r>
      <w:r w:rsidR="004E44B1" w:rsidRPr="00E352BA">
        <w:rPr>
          <w:rFonts w:ascii="Arial" w:eastAsia="Times New Roman" w:hAnsi="Arial" w:cs="Arial"/>
          <w:sz w:val="24"/>
          <w:szCs w:val="24"/>
          <w:lang w:eastAsia="en-GB"/>
        </w:rPr>
        <w:t>es</w:t>
      </w:r>
      <w:r w:rsidRPr="00E352BA">
        <w:rPr>
          <w:rFonts w:ascii="Arial" w:eastAsia="Times New Roman" w:hAnsi="Arial" w:cs="Arial"/>
          <w:sz w:val="24"/>
          <w:szCs w:val="24"/>
          <w:lang w:eastAsia="en-GB"/>
        </w:rPr>
        <w:t xml:space="preserve"> for goods and services</w:t>
      </w:r>
      <w:r w:rsidR="009F2835" w:rsidRPr="00E352BA">
        <w:rPr>
          <w:rFonts w:ascii="Arial" w:eastAsia="Times New Roman" w:hAnsi="Arial" w:cs="Arial"/>
          <w:sz w:val="24"/>
          <w:szCs w:val="24"/>
          <w:lang w:eastAsia="en-GB"/>
        </w:rPr>
        <w:t xml:space="preserve"> (</w:t>
      </w:r>
      <w:r w:rsidR="009C2C09">
        <w:rPr>
          <w:rFonts w:ascii="Arial" w:eastAsia="Times New Roman" w:hAnsi="Arial" w:cs="Arial"/>
          <w:sz w:val="24"/>
          <w:szCs w:val="24"/>
          <w:lang w:eastAsia="en-GB"/>
        </w:rPr>
        <w:t>Oner, 2022</w:t>
      </w:r>
      <w:r w:rsidR="009F2835" w:rsidRPr="00E352BA">
        <w:rPr>
          <w:rFonts w:ascii="Arial" w:eastAsia="Times New Roman" w:hAnsi="Arial" w:cs="Arial"/>
          <w:sz w:val="24"/>
          <w:szCs w:val="24"/>
          <w:lang w:eastAsia="en-GB"/>
        </w:rPr>
        <w:t>)</w:t>
      </w:r>
      <w:r w:rsidRPr="00E352BA">
        <w:rPr>
          <w:rFonts w:ascii="Arial" w:eastAsia="Times New Roman" w:hAnsi="Arial" w:cs="Arial"/>
          <w:sz w:val="24"/>
          <w:szCs w:val="24"/>
          <w:lang w:eastAsia="en-GB"/>
        </w:rPr>
        <w:t xml:space="preserve">. Urban Heights Hotel will pay higher prices for utilities, supplies, and maintenance services, all of which are essential for day-to-day operations </w:t>
      </w:r>
    </w:p>
    <w:p w:rsidR="00FE336D" w:rsidRPr="00E352BA" w:rsidRDefault="00FE336D" w:rsidP="00D90690">
      <w:pPr>
        <w:spacing w:after="0" w:line="360" w:lineRule="auto"/>
        <w:jc w:val="both"/>
        <w:rPr>
          <w:rFonts w:ascii="Arial" w:eastAsia="Times New Roman" w:hAnsi="Arial" w:cs="Arial"/>
          <w:sz w:val="24"/>
          <w:szCs w:val="24"/>
          <w:lang w:eastAsia="en-GB"/>
        </w:rPr>
      </w:pPr>
      <w:r w:rsidRPr="00E352BA">
        <w:rPr>
          <w:rFonts w:ascii="Arial" w:eastAsia="Times New Roman" w:hAnsi="Arial" w:cs="Arial"/>
          <w:b/>
          <w:sz w:val="24"/>
          <w:szCs w:val="24"/>
          <w:lang w:eastAsia="en-GB"/>
        </w:rPr>
        <w:t>Labour Costs:</w:t>
      </w:r>
      <w:r w:rsidRPr="00E352BA">
        <w:rPr>
          <w:rFonts w:ascii="Arial" w:eastAsia="Times New Roman" w:hAnsi="Arial" w:cs="Arial"/>
          <w:sz w:val="24"/>
          <w:szCs w:val="24"/>
          <w:lang w:eastAsia="en-GB"/>
        </w:rPr>
        <w:t xml:space="preserve"> </w:t>
      </w:r>
      <w:r w:rsidRPr="00E352BA">
        <w:rPr>
          <w:rFonts w:ascii="Arial" w:eastAsia="Times New Roman" w:hAnsi="Arial" w:cs="Arial"/>
          <w:sz w:val="24"/>
          <w:szCs w:val="24"/>
          <w:lang w:eastAsia="en-GB"/>
        </w:rPr>
        <w:br/>
        <w:t xml:space="preserve">The hotel industry usually faces high labour costs due to the need for a large, </w:t>
      </w:r>
      <w:r w:rsidRPr="00E352BA">
        <w:rPr>
          <w:rFonts w:ascii="Arial" w:eastAsia="Times New Roman" w:hAnsi="Arial" w:cs="Arial"/>
          <w:sz w:val="24"/>
          <w:szCs w:val="24"/>
          <w:lang w:eastAsia="en-GB"/>
        </w:rPr>
        <w:lastRenderedPageBreak/>
        <w:t>professional workforce (</w:t>
      </w:r>
      <w:r w:rsidR="00F56439">
        <w:rPr>
          <w:rFonts w:ascii="Arial" w:eastAsia="Times New Roman" w:hAnsi="Arial" w:cs="Arial"/>
          <w:sz w:val="24"/>
          <w:szCs w:val="24"/>
          <w:lang w:eastAsia="en-GB"/>
        </w:rPr>
        <w:t>Lace, 2023</w:t>
      </w:r>
      <w:r w:rsidRPr="00E352BA">
        <w:rPr>
          <w:rFonts w:ascii="Arial" w:eastAsia="Times New Roman" w:hAnsi="Arial" w:cs="Arial"/>
          <w:sz w:val="24"/>
          <w:szCs w:val="24"/>
          <w:lang w:eastAsia="en-GB"/>
        </w:rPr>
        <w:t>).</w:t>
      </w:r>
      <w:r w:rsidR="004E44B1" w:rsidRPr="00E352BA">
        <w:rPr>
          <w:rFonts w:ascii="Arial" w:eastAsia="Times New Roman" w:hAnsi="Arial" w:cs="Arial"/>
          <w:sz w:val="24"/>
          <w:szCs w:val="24"/>
          <w:lang w:eastAsia="en-GB"/>
        </w:rPr>
        <w:t xml:space="preserve"> </w:t>
      </w:r>
      <w:r w:rsidRPr="00E352BA">
        <w:rPr>
          <w:rFonts w:ascii="Arial" w:eastAsia="Times New Roman" w:hAnsi="Arial" w:cs="Arial"/>
          <w:sz w:val="24"/>
          <w:szCs w:val="24"/>
          <w:lang w:eastAsia="en-GB"/>
        </w:rPr>
        <w:t xml:space="preserve">Wages at Urban Heights Hotel may have grown as a result of increasing minimum wage legislation or the need to give competitive remuneration in a tight labour market. </w:t>
      </w:r>
    </w:p>
    <w:p w:rsidR="00027DC0" w:rsidRPr="00E352BA" w:rsidRDefault="00027DC0" w:rsidP="00D90690">
      <w:pPr>
        <w:spacing w:after="0" w:line="360" w:lineRule="auto"/>
        <w:jc w:val="both"/>
        <w:rPr>
          <w:rFonts w:ascii="Arial" w:eastAsia="Times New Roman" w:hAnsi="Arial" w:cs="Arial"/>
          <w:b/>
          <w:sz w:val="24"/>
          <w:szCs w:val="24"/>
          <w:lang w:eastAsia="en-GB"/>
        </w:rPr>
      </w:pPr>
      <w:bookmarkStart w:id="6" w:name="_Toc168582778"/>
      <w:r w:rsidRPr="00CE77BC">
        <w:rPr>
          <w:rStyle w:val="Heading1Char"/>
        </w:rPr>
        <w:t>Operating Margin</w:t>
      </w:r>
      <w:bookmarkEnd w:id="6"/>
      <w:r w:rsidRPr="00E352BA">
        <w:rPr>
          <w:rFonts w:ascii="Arial" w:eastAsia="Times New Roman" w:hAnsi="Arial" w:cs="Arial"/>
          <w:b/>
          <w:sz w:val="24"/>
          <w:szCs w:val="24"/>
          <w:lang w:eastAsia="en-GB"/>
        </w:rPr>
        <w:t>:</w:t>
      </w:r>
    </w:p>
    <w:p w:rsidR="00027DC0" w:rsidRPr="00E352BA" w:rsidRDefault="00027DC0" w:rsidP="004C3430">
      <w:pPr>
        <w:spacing w:after="0" w:line="360" w:lineRule="auto"/>
        <w:jc w:val="both"/>
        <w:rPr>
          <w:rFonts w:ascii="Arial" w:eastAsia="Times New Roman" w:hAnsi="Arial" w:cs="Arial"/>
          <w:sz w:val="24"/>
          <w:szCs w:val="24"/>
          <w:lang w:eastAsia="en-GB"/>
        </w:rPr>
      </w:pPr>
      <w:r w:rsidRPr="00E352BA">
        <w:rPr>
          <w:rFonts w:ascii="Arial" w:eastAsia="Times New Roman" w:hAnsi="Arial" w:cs="Arial"/>
          <w:sz w:val="24"/>
          <w:szCs w:val="24"/>
          <w:lang w:eastAsia="en-GB"/>
        </w:rPr>
        <w:t>The operating margin is a crucial financial indicator that assesses a company's efficiency and profitability by determining the proportion of revenue left after deducting operating expenses. It's calculated as:</w:t>
      </w:r>
    </w:p>
    <w:p w:rsidR="00027DC0" w:rsidRPr="00E352BA" w:rsidRDefault="00027DC0" w:rsidP="004C3430">
      <w:pPr>
        <w:spacing w:after="0" w:line="360" w:lineRule="auto"/>
        <w:jc w:val="both"/>
        <w:rPr>
          <w:rFonts w:ascii="Arial" w:eastAsia="Times New Roman" w:hAnsi="Arial" w:cs="Arial"/>
          <w:sz w:val="24"/>
          <w:szCs w:val="24"/>
          <w:lang w:eastAsia="en-GB"/>
        </w:rPr>
      </w:pPr>
      <w:r w:rsidRPr="00E352BA">
        <w:rPr>
          <w:rFonts w:ascii="Arial" w:eastAsia="Times New Roman" w:hAnsi="Arial" w:cs="Arial"/>
          <w:noProof/>
          <w:sz w:val="24"/>
          <w:szCs w:val="24"/>
          <w:lang w:eastAsia="en-GB"/>
        </w:rPr>
        <w:drawing>
          <wp:inline distT="0" distB="0" distL="0" distR="0" wp14:anchorId="13CBECD7" wp14:editId="1149B419">
            <wp:extent cx="5471160" cy="1150620"/>
            <wp:effectExtent l="57150" t="57150" r="53340" b="49530"/>
            <wp:docPr id="17" name="Diagram 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rsidR="004C3430" w:rsidRPr="00E352BA" w:rsidRDefault="004C3430" w:rsidP="004C3430">
      <w:pPr>
        <w:spacing w:after="0" w:line="360" w:lineRule="auto"/>
        <w:jc w:val="both"/>
        <w:rPr>
          <w:rFonts w:ascii="Arial" w:eastAsia="Times New Roman" w:hAnsi="Arial" w:cs="Arial"/>
          <w:sz w:val="24"/>
          <w:szCs w:val="24"/>
          <w:lang w:eastAsia="en-GB"/>
        </w:rPr>
      </w:pPr>
      <w:r w:rsidRPr="00E352BA">
        <w:rPr>
          <w:rFonts w:ascii="Arial" w:eastAsia="Times New Roman" w:hAnsi="Arial" w:cs="Arial"/>
          <w:sz w:val="24"/>
          <w:szCs w:val="24"/>
          <w:lang w:eastAsia="en-GB"/>
        </w:rPr>
        <w:t>The operating margin tracks the profit margin, highlighting the increasing inefficiency in operations.</w:t>
      </w:r>
    </w:p>
    <w:p w:rsidR="00D2366B" w:rsidRPr="00E352BA" w:rsidRDefault="00D2366B" w:rsidP="004C3430">
      <w:pPr>
        <w:spacing w:after="0" w:line="360" w:lineRule="auto"/>
        <w:jc w:val="both"/>
        <w:rPr>
          <w:rFonts w:ascii="Arial" w:eastAsia="Times New Roman" w:hAnsi="Arial" w:cs="Arial"/>
          <w:b/>
          <w:sz w:val="24"/>
          <w:szCs w:val="24"/>
          <w:lang w:eastAsia="en-GB"/>
        </w:rPr>
      </w:pPr>
      <w:r w:rsidRPr="00E352BA">
        <w:rPr>
          <w:rFonts w:ascii="Arial" w:eastAsia="Times New Roman" w:hAnsi="Arial" w:cs="Arial"/>
          <w:b/>
          <w:sz w:val="24"/>
          <w:szCs w:val="24"/>
          <w:lang w:eastAsia="en-GB"/>
        </w:rPr>
        <w:t>c. Net Income:</w:t>
      </w:r>
    </w:p>
    <w:p w:rsidR="00D2366B" w:rsidRPr="00E352BA" w:rsidRDefault="00D2366B" w:rsidP="00D90690">
      <w:pPr>
        <w:spacing w:after="0" w:line="360" w:lineRule="auto"/>
        <w:jc w:val="both"/>
        <w:rPr>
          <w:rFonts w:ascii="Arial" w:eastAsia="Times New Roman" w:hAnsi="Arial" w:cs="Arial"/>
          <w:sz w:val="24"/>
          <w:szCs w:val="24"/>
          <w:lang w:eastAsia="en-GB"/>
        </w:rPr>
      </w:pPr>
      <w:r w:rsidRPr="00E352BA">
        <w:rPr>
          <w:rFonts w:ascii="Arial" w:eastAsia="Times New Roman" w:hAnsi="Arial" w:cs="Arial"/>
          <w:b/>
          <w:sz w:val="24"/>
          <w:szCs w:val="24"/>
          <w:lang w:eastAsia="en-GB"/>
        </w:rPr>
        <w:t xml:space="preserve">Declining Profitability: </w:t>
      </w:r>
      <w:r w:rsidRPr="00E352BA">
        <w:rPr>
          <w:rFonts w:ascii="Arial" w:eastAsia="Times New Roman" w:hAnsi="Arial" w:cs="Arial"/>
          <w:b/>
          <w:sz w:val="24"/>
          <w:szCs w:val="24"/>
          <w:lang w:eastAsia="en-GB"/>
        </w:rPr>
        <w:br/>
      </w:r>
      <w:r w:rsidRPr="00E352BA">
        <w:rPr>
          <w:rFonts w:ascii="Arial" w:eastAsia="Times New Roman" w:hAnsi="Arial" w:cs="Arial"/>
          <w:sz w:val="24"/>
          <w:szCs w:val="24"/>
          <w:lang w:eastAsia="en-GB"/>
        </w:rPr>
        <w:t>The Urban Heights Hotel's net income has fallen substantially, from £700,000 in 2021 to £200,000 in 2022, ending in a £500,000 loss in 2023. This decline is due to:</w:t>
      </w:r>
    </w:p>
    <w:p w:rsidR="00B7124D" w:rsidRPr="00E352BA" w:rsidRDefault="0062087F" w:rsidP="00D90690">
      <w:pPr>
        <w:spacing w:after="0" w:line="360" w:lineRule="auto"/>
        <w:jc w:val="both"/>
        <w:rPr>
          <w:rFonts w:ascii="Arial" w:eastAsia="Times New Roman" w:hAnsi="Arial" w:cs="Arial"/>
          <w:sz w:val="24"/>
          <w:szCs w:val="24"/>
          <w:lang w:eastAsia="en-GB"/>
        </w:rPr>
      </w:pPr>
      <w:r w:rsidRPr="00E352BA">
        <w:rPr>
          <w:rFonts w:ascii="Arial" w:eastAsia="Times New Roman" w:hAnsi="Arial" w:cs="Arial"/>
          <w:b/>
          <w:sz w:val="24"/>
          <w:szCs w:val="24"/>
          <w:lang w:eastAsia="en-GB"/>
        </w:rPr>
        <w:t xml:space="preserve">Revenue-Expense Imbalance: </w:t>
      </w:r>
      <w:r w:rsidRPr="00E352BA">
        <w:rPr>
          <w:rFonts w:ascii="Arial" w:eastAsia="Times New Roman" w:hAnsi="Arial" w:cs="Arial"/>
          <w:b/>
          <w:sz w:val="24"/>
          <w:szCs w:val="24"/>
          <w:lang w:eastAsia="en-GB"/>
        </w:rPr>
        <w:br/>
      </w:r>
      <w:r w:rsidR="00B7124D" w:rsidRPr="00E352BA">
        <w:rPr>
          <w:rFonts w:ascii="Arial" w:eastAsia="Times New Roman" w:hAnsi="Arial" w:cs="Arial"/>
          <w:sz w:val="24"/>
          <w:szCs w:val="24"/>
          <w:lang w:eastAsia="en-GB"/>
        </w:rPr>
        <w:t>The considerable drop in revenue, along with rising operational costs, has had a significant impact on profitability (Jones, 2023).</w:t>
      </w:r>
      <w:r w:rsidR="004E44B1" w:rsidRPr="00E352BA">
        <w:rPr>
          <w:rFonts w:ascii="Arial" w:eastAsia="Times New Roman" w:hAnsi="Arial" w:cs="Arial"/>
          <w:sz w:val="24"/>
          <w:szCs w:val="24"/>
          <w:lang w:eastAsia="en-GB"/>
        </w:rPr>
        <w:t xml:space="preserve"> </w:t>
      </w:r>
      <w:r w:rsidRPr="00E352BA">
        <w:rPr>
          <w:rFonts w:ascii="Arial" w:eastAsia="Times New Roman" w:hAnsi="Arial" w:cs="Arial"/>
          <w:sz w:val="24"/>
          <w:szCs w:val="24"/>
          <w:lang w:eastAsia="en-GB"/>
        </w:rPr>
        <w:t>The severe decrease in income, along with rising operational expenses, has had a significant impact on Urban Heights Hotel's profitability, as the hotel has been unable to adjust its cost structure to match dro</w:t>
      </w:r>
      <w:r w:rsidR="00B7124D" w:rsidRPr="00E352BA">
        <w:rPr>
          <w:rFonts w:ascii="Arial" w:eastAsia="Times New Roman" w:hAnsi="Arial" w:cs="Arial"/>
          <w:sz w:val="24"/>
          <w:szCs w:val="24"/>
          <w:lang w:eastAsia="en-GB"/>
        </w:rPr>
        <w:t>pping revenues.</w:t>
      </w:r>
    </w:p>
    <w:p w:rsidR="0062087F" w:rsidRPr="00E352BA" w:rsidRDefault="0062087F" w:rsidP="00D90690">
      <w:pPr>
        <w:spacing w:after="0" w:line="360" w:lineRule="auto"/>
        <w:jc w:val="both"/>
        <w:rPr>
          <w:rFonts w:ascii="Arial" w:eastAsia="Times New Roman" w:hAnsi="Arial" w:cs="Arial"/>
          <w:sz w:val="24"/>
          <w:szCs w:val="24"/>
          <w:lang w:eastAsia="en-GB"/>
        </w:rPr>
      </w:pPr>
      <w:r w:rsidRPr="00E352BA">
        <w:rPr>
          <w:rFonts w:ascii="Arial" w:eastAsia="Times New Roman" w:hAnsi="Arial" w:cs="Arial"/>
          <w:b/>
          <w:sz w:val="24"/>
          <w:szCs w:val="24"/>
          <w:lang w:eastAsia="en-GB"/>
        </w:rPr>
        <w:t xml:space="preserve">High Fixed Costs: </w:t>
      </w:r>
      <w:r w:rsidRPr="00E352BA">
        <w:rPr>
          <w:rFonts w:ascii="Arial" w:eastAsia="Times New Roman" w:hAnsi="Arial" w:cs="Arial"/>
          <w:b/>
          <w:sz w:val="24"/>
          <w:szCs w:val="24"/>
          <w:lang w:eastAsia="en-GB"/>
        </w:rPr>
        <w:br/>
      </w:r>
      <w:r w:rsidRPr="00E352BA">
        <w:rPr>
          <w:rFonts w:ascii="Arial" w:eastAsia="Times New Roman" w:hAnsi="Arial" w:cs="Arial"/>
          <w:sz w:val="24"/>
          <w:szCs w:val="24"/>
          <w:lang w:eastAsia="en-GB"/>
        </w:rPr>
        <w:t>Fixed costs at Urban Heights Hotel, such as salaries, rent, and utilities, do not drop in proportion to occupancy rates, resulting in increased financial losses as re</w:t>
      </w:r>
      <w:r w:rsidR="00D10857">
        <w:rPr>
          <w:rFonts w:ascii="Arial" w:eastAsia="Times New Roman" w:hAnsi="Arial" w:cs="Arial"/>
          <w:sz w:val="24"/>
          <w:szCs w:val="24"/>
          <w:lang w:eastAsia="en-GB"/>
        </w:rPr>
        <w:t>venues fall (</w:t>
      </w:r>
      <w:r w:rsidR="005813A1">
        <w:rPr>
          <w:rFonts w:ascii="Arial" w:eastAsia="Times New Roman" w:hAnsi="Arial" w:cs="Arial"/>
          <w:sz w:val="24"/>
          <w:szCs w:val="24"/>
          <w:lang w:eastAsia="en-GB"/>
        </w:rPr>
        <w:t>Richard et al, 2002</w:t>
      </w:r>
      <w:r w:rsidRPr="00E352BA">
        <w:rPr>
          <w:rFonts w:ascii="Arial" w:eastAsia="Times New Roman" w:hAnsi="Arial" w:cs="Arial"/>
          <w:sz w:val="24"/>
          <w:szCs w:val="24"/>
          <w:lang w:eastAsia="en-GB"/>
        </w:rPr>
        <w:t>).</w:t>
      </w:r>
      <w:r w:rsidR="00B7124D" w:rsidRPr="00E352BA">
        <w:rPr>
          <w:rFonts w:ascii="Arial" w:eastAsia="Times New Roman" w:hAnsi="Arial" w:cs="Arial"/>
          <w:sz w:val="24"/>
          <w:szCs w:val="24"/>
          <w:lang w:eastAsia="en-GB"/>
        </w:rPr>
        <w:t xml:space="preserve"> So the high fixed cost is the cause </w:t>
      </w:r>
      <w:r w:rsidR="004E44B1" w:rsidRPr="00E352BA">
        <w:rPr>
          <w:rFonts w:ascii="Arial" w:eastAsia="Times New Roman" w:hAnsi="Arial" w:cs="Arial"/>
          <w:sz w:val="24"/>
          <w:szCs w:val="24"/>
          <w:lang w:eastAsia="en-GB"/>
        </w:rPr>
        <w:t>of</w:t>
      </w:r>
      <w:r w:rsidR="00AA6DB6" w:rsidRPr="00E352BA">
        <w:rPr>
          <w:rFonts w:ascii="Arial" w:eastAsia="Times New Roman" w:hAnsi="Arial" w:cs="Arial"/>
          <w:sz w:val="24"/>
          <w:szCs w:val="24"/>
          <w:lang w:eastAsia="en-GB"/>
        </w:rPr>
        <w:t xml:space="preserve"> declining the probability </w:t>
      </w:r>
      <w:r w:rsidR="00B7124D" w:rsidRPr="00E352BA">
        <w:rPr>
          <w:rFonts w:ascii="Arial" w:eastAsia="Times New Roman" w:hAnsi="Arial" w:cs="Arial"/>
          <w:sz w:val="24"/>
          <w:szCs w:val="24"/>
          <w:lang w:eastAsia="en-GB"/>
        </w:rPr>
        <w:t xml:space="preserve">of </w:t>
      </w:r>
      <w:r w:rsidR="00BD600D" w:rsidRPr="00E352BA">
        <w:rPr>
          <w:rFonts w:ascii="Arial" w:eastAsia="Times New Roman" w:hAnsi="Arial" w:cs="Arial"/>
          <w:sz w:val="24"/>
          <w:szCs w:val="24"/>
          <w:lang w:eastAsia="en-GB"/>
        </w:rPr>
        <w:t>urban</w:t>
      </w:r>
      <w:r w:rsidR="00B7124D" w:rsidRPr="00E352BA">
        <w:rPr>
          <w:rFonts w:ascii="Arial" w:eastAsia="Times New Roman" w:hAnsi="Arial" w:cs="Arial"/>
          <w:sz w:val="24"/>
          <w:szCs w:val="24"/>
          <w:lang w:eastAsia="en-GB"/>
        </w:rPr>
        <w:t xml:space="preserve"> </w:t>
      </w:r>
      <w:r w:rsidR="004E44B1" w:rsidRPr="00E352BA">
        <w:rPr>
          <w:rFonts w:ascii="Arial" w:eastAsia="Times New Roman" w:hAnsi="Arial" w:cs="Arial"/>
          <w:sz w:val="24"/>
          <w:szCs w:val="24"/>
          <w:lang w:eastAsia="en-GB"/>
        </w:rPr>
        <w:t>H</w:t>
      </w:r>
      <w:r w:rsidR="00B7124D" w:rsidRPr="00E352BA">
        <w:rPr>
          <w:rFonts w:ascii="Arial" w:eastAsia="Times New Roman" w:hAnsi="Arial" w:cs="Arial"/>
          <w:sz w:val="24"/>
          <w:szCs w:val="24"/>
          <w:lang w:eastAsia="en-GB"/>
        </w:rPr>
        <w:t>eights hotels</w:t>
      </w:r>
      <w:r w:rsidR="00AA6DB6" w:rsidRPr="00E352BA">
        <w:rPr>
          <w:rFonts w:ascii="Arial" w:eastAsia="Times New Roman" w:hAnsi="Arial" w:cs="Arial"/>
          <w:sz w:val="24"/>
          <w:szCs w:val="24"/>
          <w:lang w:eastAsia="en-GB"/>
        </w:rPr>
        <w:t>.</w:t>
      </w:r>
      <w:r w:rsidR="00B7124D" w:rsidRPr="00E352BA">
        <w:rPr>
          <w:rFonts w:ascii="Arial" w:eastAsia="Times New Roman" w:hAnsi="Arial" w:cs="Arial"/>
          <w:sz w:val="24"/>
          <w:szCs w:val="24"/>
          <w:lang w:eastAsia="en-GB"/>
        </w:rPr>
        <w:t xml:space="preserve"> </w:t>
      </w:r>
    </w:p>
    <w:p w:rsidR="00E147D4" w:rsidRPr="00E352BA" w:rsidRDefault="00E147D4" w:rsidP="00B231B6">
      <w:pPr>
        <w:pStyle w:val="Heading2"/>
        <w:rPr>
          <w:rFonts w:eastAsia="Times New Roman" w:cs="Arial"/>
          <w:szCs w:val="24"/>
          <w:lang w:eastAsia="en-GB"/>
        </w:rPr>
      </w:pPr>
      <w:bookmarkStart w:id="7" w:name="_Toc168582779"/>
      <w:r w:rsidRPr="00E352BA">
        <w:rPr>
          <w:rFonts w:eastAsia="Times New Roman" w:cs="Arial"/>
          <w:szCs w:val="24"/>
          <w:lang w:eastAsia="en-GB"/>
        </w:rPr>
        <w:t>Analysis of the Balance Sheet</w:t>
      </w:r>
      <w:bookmarkEnd w:id="7"/>
    </w:p>
    <w:p w:rsidR="002E7022" w:rsidRPr="00E352BA" w:rsidRDefault="004E44B1" w:rsidP="002E7022">
      <w:pPr>
        <w:spacing w:after="0" w:line="360" w:lineRule="auto"/>
        <w:jc w:val="both"/>
        <w:rPr>
          <w:rFonts w:ascii="Arial" w:eastAsia="Times New Roman" w:hAnsi="Arial" w:cs="Arial"/>
          <w:sz w:val="24"/>
          <w:szCs w:val="24"/>
          <w:lang w:eastAsia="en-GB"/>
        </w:rPr>
      </w:pPr>
      <w:r w:rsidRPr="00E352BA">
        <w:rPr>
          <w:rFonts w:ascii="Arial" w:eastAsia="Times New Roman" w:hAnsi="Arial" w:cs="Arial"/>
          <w:sz w:val="24"/>
          <w:szCs w:val="24"/>
          <w:lang w:eastAsia="en-GB"/>
        </w:rPr>
        <w:t>T</w:t>
      </w:r>
      <w:r w:rsidR="002E7022" w:rsidRPr="00E352BA">
        <w:rPr>
          <w:rFonts w:ascii="Arial" w:eastAsia="Times New Roman" w:hAnsi="Arial" w:cs="Arial"/>
          <w:sz w:val="24"/>
          <w:szCs w:val="24"/>
          <w:lang w:eastAsia="en-GB"/>
        </w:rPr>
        <w:t>o evaluate the Urban Heights Hotel's financial performance during the last three years, we must first understand its current balance sheet as of the end of 2023. The balance sheet outlines the hotel's financial position, including assets, liabilities, and equity. Let's look at the components presented:</w:t>
      </w:r>
    </w:p>
    <w:p w:rsidR="002E7022" w:rsidRPr="00E352BA" w:rsidRDefault="00577FEC" w:rsidP="002E7022">
      <w:pPr>
        <w:spacing w:after="0" w:line="360" w:lineRule="auto"/>
        <w:jc w:val="both"/>
        <w:rPr>
          <w:rFonts w:ascii="Arial" w:eastAsia="Times New Roman" w:hAnsi="Arial" w:cs="Arial"/>
          <w:b/>
          <w:sz w:val="24"/>
          <w:szCs w:val="24"/>
          <w:lang w:eastAsia="en-GB"/>
        </w:rPr>
      </w:pPr>
      <w:r w:rsidRPr="00E352BA">
        <w:rPr>
          <w:rFonts w:ascii="Arial" w:eastAsia="Times New Roman" w:hAnsi="Arial" w:cs="Arial"/>
          <w:b/>
          <w:sz w:val="24"/>
          <w:szCs w:val="24"/>
          <w:lang w:eastAsia="en-GB"/>
        </w:rPr>
        <w:lastRenderedPageBreak/>
        <w:t xml:space="preserve">A: </w:t>
      </w:r>
      <w:r w:rsidR="002E7022" w:rsidRPr="00E352BA">
        <w:rPr>
          <w:rFonts w:ascii="Arial" w:eastAsia="Times New Roman" w:hAnsi="Arial" w:cs="Arial"/>
          <w:b/>
          <w:sz w:val="24"/>
          <w:szCs w:val="24"/>
          <w:lang w:eastAsia="en-GB"/>
        </w:rPr>
        <w:t>Cash and Equivalents:</w:t>
      </w:r>
    </w:p>
    <w:p w:rsidR="002E7022" w:rsidRPr="00E352BA" w:rsidRDefault="002E7022" w:rsidP="002E7022">
      <w:pPr>
        <w:spacing w:after="0" w:line="360" w:lineRule="auto"/>
        <w:jc w:val="both"/>
        <w:rPr>
          <w:rFonts w:ascii="Arial" w:eastAsia="Times New Roman" w:hAnsi="Arial" w:cs="Arial"/>
          <w:b/>
          <w:sz w:val="24"/>
          <w:szCs w:val="24"/>
          <w:lang w:eastAsia="en-GB"/>
        </w:rPr>
      </w:pPr>
    </w:p>
    <w:p w:rsidR="00D2366B" w:rsidRPr="00E352BA" w:rsidRDefault="0086206E" w:rsidP="00BF332B">
      <w:pPr>
        <w:spacing w:after="0" w:line="360" w:lineRule="auto"/>
        <w:jc w:val="center"/>
        <w:rPr>
          <w:rFonts w:ascii="Arial" w:eastAsia="Times New Roman" w:hAnsi="Arial" w:cs="Arial"/>
          <w:sz w:val="24"/>
          <w:szCs w:val="24"/>
          <w:lang w:eastAsia="en-GB"/>
        </w:rPr>
      </w:pPr>
      <w:r w:rsidRPr="00E352BA">
        <w:rPr>
          <w:rFonts w:ascii="Arial" w:hAnsi="Arial" w:cs="Arial"/>
          <w:noProof/>
          <w:sz w:val="24"/>
          <w:szCs w:val="24"/>
          <w:lang w:eastAsia="en-GB"/>
        </w:rPr>
        <w:drawing>
          <wp:inline distT="0" distB="0" distL="0" distR="0" wp14:anchorId="2EA72CA5" wp14:editId="6A5B549B">
            <wp:extent cx="4572000" cy="27432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4A066B" w:rsidRPr="00E352BA" w:rsidRDefault="000B51D2" w:rsidP="000B51D2">
      <w:pPr>
        <w:spacing w:after="0" w:line="360" w:lineRule="auto"/>
        <w:jc w:val="center"/>
        <w:rPr>
          <w:rFonts w:ascii="Arial" w:hAnsi="Arial" w:cs="Arial"/>
          <w:sz w:val="24"/>
          <w:szCs w:val="24"/>
        </w:rPr>
      </w:pPr>
      <w:r w:rsidRPr="00E352BA">
        <w:rPr>
          <w:rFonts w:ascii="Arial" w:hAnsi="Arial" w:cs="Arial"/>
          <w:sz w:val="24"/>
          <w:szCs w:val="24"/>
        </w:rPr>
        <w:t>Graph 2</w:t>
      </w:r>
    </w:p>
    <w:p w:rsidR="000B51D2" w:rsidRPr="00E352BA" w:rsidRDefault="000B51D2" w:rsidP="000B51D2">
      <w:pPr>
        <w:spacing w:after="0" w:line="360" w:lineRule="auto"/>
        <w:jc w:val="both"/>
        <w:rPr>
          <w:rFonts w:ascii="Arial" w:eastAsia="Times New Roman" w:hAnsi="Arial" w:cs="Arial"/>
          <w:sz w:val="24"/>
          <w:szCs w:val="24"/>
          <w:lang w:eastAsia="en-GB"/>
        </w:rPr>
      </w:pPr>
      <w:r w:rsidRPr="00E352BA">
        <w:rPr>
          <w:rFonts w:ascii="Arial" w:hAnsi="Arial" w:cs="Arial"/>
          <w:sz w:val="24"/>
          <w:szCs w:val="24"/>
        </w:rPr>
        <w:t>Graph 2 indicates the declin</w:t>
      </w:r>
      <w:r w:rsidR="004E44B1" w:rsidRPr="00E352BA">
        <w:rPr>
          <w:rFonts w:ascii="Arial" w:hAnsi="Arial" w:cs="Arial"/>
          <w:sz w:val="24"/>
          <w:szCs w:val="24"/>
        </w:rPr>
        <w:t>e</w:t>
      </w:r>
      <w:r w:rsidRPr="00E352BA">
        <w:rPr>
          <w:rFonts w:ascii="Arial" w:hAnsi="Arial" w:cs="Arial"/>
          <w:sz w:val="24"/>
          <w:szCs w:val="24"/>
        </w:rPr>
        <w:t xml:space="preserve"> in the cash and equivalents. </w:t>
      </w:r>
      <w:r w:rsidRPr="00E352BA">
        <w:rPr>
          <w:rFonts w:ascii="Arial" w:eastAsia="Times New Roman" w:hAnsi="Arial" w:cs="Arial"/>
          <w:sz w:val="24"/>
          <w:szCs w:val="24"/>
          <w:lang w:eastAsia="en-GB"/>
        </w:rPr>
        <w:t>The continual decrease in cash and equivalents suggests that the hotel has been spending more than it generates. This could be attributed to higher operational costs, larger investments, or decreased revenue</w:t>
      </w:r>
      <w:r w:rsidR="00153BF9" w:rsidRPr="00E352BA">
        <w:rPr>
          <w:rFonts w:ascii="Arial" w:eastAsia="Times New Roman" w:hAnsi="Arial" w:cs="Arial"/>
          <w:sz w:val="24"/>
          <w:szCs w:val="24"/>
          <w:lang w:eastAsia="en-GB"/>
        </w:rPr>
        <w:t xml:space="preserve"> (</w:t>
      </w:r>
      <w:r w:rsidR="006B0673">
        <w:rPr>
          <w:rFonts w:ascii="Arial" w:hAnsi="Arial" w:cs="Arial"/>
          <w:color w:val="0D0D0D"/>
          <w:sz w:val="24"/>
          <w:szCs w:val="24"/>
          <w:shd w:val="clear" w:color="auto" w:fill="FFFFFF"/>
        </w:rPr>
        <w:t>Minder, 2023</w:t>
      </w:r>
      <w:r w:rsidR="00153BF9" w:rsidRPr="00E352BA">
        <w:rPr>
          <w:rFonts w:ascii="Arial" w:hAnsi="Arial" w:cs="Arial"/>
          <w:color w:val="0D0D0D"/>
          <w:sz w:val="24"/>
          <w:szCs w:val="24"/>
          <w:shd w:val="clear" w:color="auto" w:fill="FFFFFF"/>
        </w:rPr>
        <w:t>).</w:t>
      </w:r>
    </w:p>
    <w:p w:rsidR="00577FEC" w:rsidRPr="00E352BA" w:rsidRDefault="00577FEC" w:rsidP="000B51D2">
      <w:pPr>
        <w:spacing w:after="0" w:line="360" w:lineRule="auto"/>
        <w:jc w:val="both"/>
        <w:rPr>
          <w:rFonts w:ascii="Arial" w:eastAsia="Times New Roman" w:hAnsi="Arial" w:cs="Arial"/>
          <w:b/>
          <w:sz w:val="24"/>
          <w:szCs w:val="24"/>
          <w:lang w:eastAsia="en-GB"/>
        </w:rPr>
      </w:pPr>
      <w:r w:rsidRPr="00E352BA">
        <w:rPr>
          <w:rFonts w:ascii="Arial" w:eastAsia="Times New Roman" w:hAnsi="Arial" w:cs="Arial"/>
          <w:b/>
          <w:sz w:val="24"/>
          <w:szCs w:val="24"/>
          <w:lang w:eastAsia="en-GB"/>
        </w:rPr>
        <w:t>B: Account Receivable:</w:t>
      </w:r>
    </w:p>
    <w:p w:rsidR="000B51D2" w:rsidRPr="00E352BA" w:rsidRDefault="00577FEC" w:rsidP="00577FEC">
      <w:pPr>
        <w:spacing w:after="0" w:line="360" w:lineRule="auto"/>
        <w:jc w:val="center"/>
        <w:rPr>
          <w:rFonts w:ascii="Arial" w:hAnsi="Arial" w:cs="Arial"/>
          <w:sz w:val="24"/>
          <w:szCs w:val="24"/>
        </w:rPr>
      </w:pPr>
      <w:r w:rsidRPr="00E352BA">
        <w:rPr>
          <w:rFonts w:ascii="Arial" w:hAnsi="Arial" w:cs="Arial"/>
          <w:noProof/>
          <w:sz w:val="24"/>
          <w:szCs w:val="24"/>
          <w:lang w:eastAsia="en-GB"/>
        </w:rPr>
        <w:drawing>
          <wp:inline distT="0" distB="0" distL="0" distR="0" wp14:anchorId="3170D501" wp14:editId="632501E9">
            <wp:extent cx="4671060" cy="3360420"/>
            <wp:effectExtent l="0" t="0" r="15240" b="1143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577FEC" w:rsidRPr="00E352BA" w:rsidRDefault="00577FEC" w:rsidP="00577FEC">
      <w:pPr>
        <w:spacing w:after="0" w:line="360" w:lineRule="auto"/>
        <w:jc w:val="center"/>
        <w:rPr>
          <w:rFonts w:ascii="Arial" w:hAnsi="Arial" w:cs="Arial"/>
          <w:sz w:val="24"/>
          <w:szCs w:val="24"/>
        </w:rPr>
      </w:pPr>
      <w:r w:rsidRPr="00E352BA">
        <w:rPr>
          <w:rFonts w:ascii="Arial" w:hAnsi="Arial" w:cs="Arial"/>
          <w:sz w:val="24"/>
          <w:szCs w:val="24"/>
        </w:rPr>
        <w:t>Graph 3</w:t>
      </w:r>
    </w:p>
    <w:p w:rsidR="00FA4EEA" w:rsidRPr="00E352BA" w:rsidRDefault="00FA4EEA" w:rsidP="00903A02">
      <w:pPr>
        <w:spacing w:after="0" w:line="360" w:lineRule="auto"/>
        <w:jc w:val="both"/>
        <w:rPr>
          <w:rFonts w:ascii="Arial" w:eastAsia="Times New Roman" w:hAnsi="Arial" w:cs="Arial"/>
          <w:sz w:val="24"/>
          <w:szCs w:val="24"/>
          <w:lang w:eastAsia="en-GB"/>
        </w:rPr>
      </w:pPr>
      <w:r w:rsidRPr="00E352BA">
        <w:rPr>
          <w:rFonts w:ascii="Arial" w:hAnsi="Arial" w:cs="Arial"/>
          <w:sz w:val="24"/>
          <w:szCs w:val="24"/>
        </w:rPr>
        <w:lastRenderedPageBreak/>
        <w:t>The graph shows the declin</w:t>
      </w:r>
      <w:r w:rsidR="004E44B1" w:rsidRPr="00E352BA">
        <w:rPr>
          <w:rFonts w:ascii="Arial" w:hAnsi="Arial" w:cs="Arial"/>
          <w:sz w:val="24"/>
          <w:szCs w:val="24"/>
        </w:rPr>
        <w:t>e</w:t>
      </w:r>
      <w:r w:rsidRPr="00E352BA">
        <w:rPr>
          <w:rFonts w:ascii="Arial" w:hAnsi="Arial" w:cs="Arial"/>
          <w:sz w:val="24"/>
          <w:szCs w:val="24"/>
        </w:rPr>
        <w:t xml:space="preserve"> in account</w:t>
      </w:r>
      <w:r w:rsidR="004E44B1" w:rsidRPr="00E352BA">
        <w:rPr>
          <w:rFonts w:ascii="Arial" w:hAnsi="Arial" w:cs="Arial"/>
          <w:sz w:val="24"/>
          <w:szCs w:val="24"/>
        </w:rPr>
        <w:t>s</w:t>
      </w:r>
      <w:r w:rsidRPr="00E352BA">
        <w:rPr>
          <w:rFonts w:ascii="Arial" w:hAnsi="Arial" w:cs="Arial"/>
          <w:sz w:val="24"/>
          <w:szCs w:val="24"/>
        </w:rPr>
        <w:t xml:space="preserve"> receivable. </w:t>
      </w:r>
      <w:r w:rsidRPr="00E352BA">
        <w:rPr>
          <w:rFonts w:ascii="Arial" w:eastAsia="Times New Roman" w:hAnsi="Arial" w:cs="Arial"/>
          <w:sz w:val="24"/>
          <w:szCs w:val="24"/>
          <w:lang w:eastAsia="en-GB"/>
        </w:rPr>
        <w:t>The reduction in accounts receivable indicates either better efficiency in collecting payments from customers or a decrease in sales. If sales have fallen, it could suggest a drop in business activity</w:t>
      </w:r>
      <w:r w:rsidR="00936648" w:rsidRPr="00E352BA">
        <w:rPr>
          <w:rFonts w:ascii="Arial" w:eastAsia="Times New Roman" w:hAnsi="Arial" w:cs="Arial"/>
          <w:sz w:val="24"/>
          <w:szCs w:val="24"/>
          <w:lang w:eastAsia="en-GB"/>
        </w:rPr>
        <w:t xml:space="preserve"> </w:t>
      </w:r>
      <w:r w:rsidR="00936648" w:rsidRPr="00E352BA">
        <w:rPr>
          <w:rFonts w:ascii="Arial" w:hAnsi="Arial" w:cs="Arial"/>
          <w:color w:val="0D0D0D"/>
          <w:sz w:val="24"/>
          <w:szCs w:val="24"/>
          <w:shd w:val="clear" w:color="auto" w:fill="FFFFFF"/>
        </w:rPr>
        <w:t>(Jones and Lockwood, 2018</w:t>
      </w:r>
      <w:r w:rsidR="001E5BD9" w:rsidRPr="00E352BA">
        <w:rPr>
          <w:rFonts w:ascii="Arial" w:hAnsi="Arial" w:cs="Arial"/>
          <w:color w:val="0D0D0D"/>
          <w:sz w:val="24"/>
          <w:szCs w:val="24"/>
          <w:shd w:val="clear" w:color="auto" w:fill="FFFFFF"/>
        </w:rPr>
        <w:t>, P. 56</w:t>
      </w:r>
      <w:r w:rsidR="00936648" w:rsidRPr="00E352BA">
        <w:rPr>
          <w:rFonts w:ascii="Arial" w:hAnsi="Arial" w:cs="Arial"/>
          <w:color w:val="0D0D0D"/>
          <w:sz w:val="24"/>
          <w:szCs w:val="24"/>
          <w:shd w:val="clear" w:color="auto" w:fill="FFFFFF"/>
        </w:rPr>
        <w:t>)</w:t>
      </w:r>
      <w:r w:rsidRPr="00E352BA">
        <w:rPr>
          <w:rFonts w:ascii="Arial" w:eastAsia="Times New Roman" w:hAnsi="Arial" w:cs="Arial"/>
          <w:sz w:val="24"/>
          <w:szCs w:val="24"/>
          <w:lang w:eastAsia="en-GB"/>
        </w:rPr>
        <w:t>.</w:t>
      </w:r>
    </w:p>
    <w:p w:rsidR="00F64732" w:rsidRPr="00E352BA" w:rsidRDefault="00C610FF" w:rsidP="00903A02">
      <w:pPr>
        <w:spacing w:after="0" w:line="360" w:lineRule="auto"/>
        <w:jc w:val="both"/>
        <w:rPr>
          <w:rFonts w:ascii="Arial" w:eastAsia="Times New Roman" w:hAnsi="Arial" w:cs="Arial"/>
          <w:b/>
          <w:sz w:val="24"/>
          <w:szCs w:val="24"/>
          <w:lang w:eastAsia="en-GB"/>
        </w:rPr>
      </w:pPr>
      <w:r w:rsidRPr="00E352BA">
        <w:rPr>
          <w:rFonts w:ascii="Arial" w:eastAsia="Times New Roman" w:hAnsi="Arial" w:cs="Arial"/>
          <w:b/>
          <w:sz w:val="24"/>
          <w:szCs w:val="24"/>
          <w:lang w:eastAsia="en-GB"/>
        </w:rPr>
        <w:t xml:space="preserve">C: </w:t>
      </w:r>
      <w:r w:rsidR="00F64732" w:rsidRPr="00E352BA">
        <w:rPr>
          <w:rFonts w:ascii="Arial" w:eastAsia="Times New Roman" w:hAnsi="Arial" w:cs="Arial"/>
          <w:b/>
          <w:sz w:val="24"/>
          <w:szCs w:val="24"/>
          <w:lang w:eastAsia="en-GB"/>
        </w:rPr>
        <w:t>Property and Equipment:</w:t>
      </w:r>
    </w:p>
    <w:p w:rsidR="00577FEC" w:rsidRPr="00E352BA" w:rsidRDefault="00F64732" w:rsidP="00F64732">
      <w:pPr>
        <w:spacing w:after="0" w:line="360" w:lineRule="auto"/>
        <w:jc w:val="center"/>
        <w:rPr>
          <w:rFonts w:ascii="Arial" w:hAnsi="Arial" w:cs="Arial"/>
          <w:sz w:val="24"/>
          <w:szCs w:val="24"/>
        </w:rPr>
      </w:pPr>
      <w:r w:rsidRPr="00E352BA">
        <w:rPr>
          <w:rFonts w:ascii="Arial" w:hAnsi="Arial" w:cs="Arial"/>
          <w:noProof/>
          <w:sz w:val="24"/>
          <w:szCs w:val="24"/>
          <w:lang w:eastAsia="en-GB"/>
        </w:rPr>
        <w:drawing>
          <wp:inline distT="0" distB="0" distL="0" distR="0" wp14:anchorId="1BA4CFAB" wp14:editId="7F193985">
            <wp:extent cx="4724400" cy="4130040"/>
            <wp:effectExtent l="0" t="0" r="0" b="381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F64732" w:rsidRPr="00E352BA" w:rsidRDefault="00F64732" w:rsidP="00F64732">
      <w:pPr>
        <w:spacing w:after="0" w:line="360" w:lineRule="auto"/>
        <w:jc w:val="center"/>
        <w:rPr>
          <w:rFonts w:ascii="Arial" w:hAnsi="Arial" w:cs="Arial"/>
          <w:sz w:val="24"/>
          <w:szCs w:val="24"/>
        </w:rPr>
      </w:pPr>
      <w:r w:rsidRPr="00E352BA">
        <w:rPr>
          <w:rFonts w:ascii="Arial" w:hAnsi="Arial" w:cs="Arial"/>
          <w:sz w:val="24"/>
          <w:szCs w:val="24"/>
        </w:rPr>
        <w:t>Graph 4</w:t>
      </w:r>
    </w:p>
    <w:p w:rsidR="00F64732" w:rsidRPr="00E352BA" w:rsidRDefault="00F64732" w:rsidP="00F64732">
      <w:pPr>
        <w:spacing w:line="360" w:lineRule="auto"/>
        <w:jc w:val="both"/>
        <w:rPr>
          <w:rFonts w:ascii="Arial" w:eastAsia="Times New Roman" w:hAnsi="Arial" w:cs="Arial"/>
          <w:sz w:val="24"/>
          <w:szCs w:val="24"/>
          <w:lang w:eastAsia="en-GB"/>
        </w:rPr>
      </w:pPr>
      <w:r w:rsidRPr="00E352BA">
        <w:rPr>
          <w:rFonts w:ascii="Arial" w:hAnsi="Arial" w:cs="Arial"/>
          <w:sz w:val="24"/>
          <w:szCs w:val="24"/>
        </w:rPr>
        <w:t xml:space="preserve">The graph indicates that </w:t>
      </w:r>
      <w:r w:rsidR="004E44B1" w:rsidRPr="00E352BA">
        <w:rPr>
          <w:rFonts w:ascii="Arial" w:hAnsi="Arial" w:cs="Arial"/>
          <w:sz w:val="24"/>
          <w:szCs w:val="24"/>
        </w:rPr>
        <w:t xml:space="preserve">the </w:t>
      </w:r>
      <w:r w:rsidRPr="00E352BA">
        <w:rPr>
          <w:rFonts w:ascii="Arial" w:hAnsi="Arial" w:cs="Arial"/>
          <w:sz w:val="24"/>
          <w:szCs w:val="24"/>
        </w:rPr>
        <w:t xml:space="preserve">value of property and equipment also declining. </w:t>
      </w:r>
      <w:r w:rsidRPr="00E352BA">
        <w:rPr>
          <w:rFonts w:ascii="Arial" w:eastAsia="Times New Roman" w:hAnsi="Arial" w:cs="Arial"/>
          <w:sz w:val="24"/>
          <w:szCs w:val="24"/>
          <w:lang w:eastAsia="en-GB"/>
        </w:rPr>
        <w:t xml:space="preserve">Property and equipment values have declined, most likely due to depreciation and asset sales. This decline </w:t>
      </w:r>
      <w:r w:rsidR="00CA28FA" w:rsidRPr="00E352BA">
        <w:rPr>
          <w:rFonts w:ascii="Arial" w:eastAsia="Times New Roman" w:hAnsi="Arial" w:cs="Arial"/>
          <w:sz w:val="24"/>
          <w:szCs w:val="24"/>
          <w:lang w:eastAsia="en-GB"/>
        </w:rPr>
        <w:t xml:space="preserve">in the </w:t>
      </w:r>
      <w:r w:rsidR="00CA28FA" w:rsidRPr="00E352BA">
        <w:rPr>
          <w:rFonts w:ascii="Arial" w:hAnsi="Arial" w:cs="Arial"/>
          <w:sz w:val="24"/>
          <w:szCs w:val="24"/>
        </w:rPr>
        <w:t>value of property and equipment</w:t>
      </w:r>
      <w:r w:rsidR="00CA28FA" w:rsidRPr="00E352BA">
        <w:rPr>
          <w:rFonts w:ascii="Arial" w:eastAsia="Times New Roman" w:hAnsi="Arial" w:cs="Arial"/>
          <w:sz w:val="24"/>
          <w:szCs w:val="24"/>
          <w:lang w:eastAsia="en-GB"/>
        </w:rPr>
        <w:t xml:space="preserve"> </w:t>
      </w:r>
      <w:r w:rsidRPr="00E352BA">
        <w:rPr>
          <w:rFonts w:ascii="Arial" w:eastAsia="Times New Roman" w:hAnsi="Arial" w:cs="Arial"/>
          <w:sz w:val="24"/>
          <w:szCs w:val="24"/>
          <w:lang w:eastAsia="en-GB"/>
        </w:rPr>
        <w:t>suggests that the hotel did not invest significantly in new property or equipment</w:t>
      </w:r>
      <w:r w:rsidR="00191157" w:rsidRPr="00E352BA">
        <w:rPr>
          <w:rFonts w:ascii="Arial" w:eastAsia="Times New Roman" w:hAnsi="Arial" w:cs="Arial"/>
          <w:sz w:val="24"/>
          <w:szCs w:val="24"/>
          <w:lang w:eastAsia="en-GB"/>
        </w:rPr>
        <w:t xml:space="preserve"> </w:t>
      </w:r>
      <w:r w:rsidR="00191157" w:rsidRPr="00E352BA">
        <w:rPr>
          <w:rFonts w:ascii="Arial" w:hAnsi="Arial" w:cs="Arial"/>
          <w:color w:val="0D0D0D"/>
          <w:sz w:val="24"/>
          <w:szCs w:val="24"/>
          <w:shd w:val="clear" w:color="auto" w:fill="FFFFFF"/>
        </w:rPr>
        <w:t>(O'Fallon and Rutherford, 2011</w:t>
      </w:r>
      <w:r w:rsidR="00D4385F" w:rsidRPr="00E352BA">
        <w:rPr>
          <w:rFonts w:ascii="Arial" w:hAnsi="Arial" w:cs="Arial"/>
          <w:color w:val="0D0D0D"/>
          <w:sz w:val="24"/>
          <w:szCs w:val="24"/>
          <w:shd w:val="clear" w:color="auto" w:fill="FFFFFF"/>
        </w:rPr>
        <w:t>, p. 32</w:t>
      </w:r>
      <w:r w:rsidR="00191157" w:rsidRPr="00E352BA">
        <w:rPr>
          <w:rFonts w:ascii="Arial" w:hAnsi="Arial" w:cs="Arial"/>
          <w:color w:val="0D0D0D"/>
          <w:sz w:val="24"/>
          <w:szCs w:val="24"/>
          <w:shd w:val="clear" w:color="auto" w:fill="FFFFFF"/>
        </w:rPr>
        <w:t>)</w:t>
      </w:r>
      <w:r w:rsidRPr="00E352BA">
        <w:rPr>
          <w:rFonts w:ascii="Arial" w:eastAsia="Times New Roman" w:hAnsi="Arial" w:cs="Arial"/>
          <w:sz w:val="24"/>
          <w:szCs w:val="24"/>
          <w:lang w:eastAsia="en-GB"/>
        </w:rPr>
        <w:t>.</w:t>
      </w:r>
    </w:p>
    <w:p w:rsidR="00F64732" w:rsidRPr="00E352BA" w:rsidRDefault="00C610FF" w:rsidP="00F64732">
      <w:pPr>
        <w:spacing w:after="0" w:line="360" w:lineRule="auto"/>
        <w:jc w:val="both"/>
        <w:rPr>
          <w:rFonts w:ascii="Arial" w:hAnsi="Arial" w:cs="Arial"/>
          <w:b/>
          <w:sz w:val="24"/>
          <w:szCs w:val="24"/>
        </w:rPr>
      </w:pPr>
      <w:r w:rsidRPr="00E352BA">
        <w:rPr>
          <w:rFonts w:ascii="Arial" w:hAnsi="Arial" w:cs="Arial"/>
          <w:b/>
          <w:sz w:val="24"/>
          <w:szCs w:val="24"/>
        </w:rPr>
        <w:t xml:space="preserve">D: </w:t>
      </w:r>
      <w:r w:rsidR="0085569B" w:rsidRPr="00E352BA">
        <w:rPr>
          <w:rFonts w:ascii="Arial" w:hAnsi="Arial" w:cs="Arial"/>
          <w:b/>
          <w:sz w:val="24"/>
          <w:szCs w:val="24"/>
        </w:rPr>
        <w:t>Total Assets</w:t>
      </w:r>
    </w:p>
    <w:p w:rsidR="0085569B" w:rsidRPr="00E352BA" w:rsidRDefault="0085569B" w:rsidP="0085569B">
      <w:pPr>
        <w:spacing w:after="0" w:line="360" w:lineRule="auto"/>
        <w:jc w:val="center"/>
        <w:rPr>
          <w:rFonts w:ascii="Arial" w:hAnsi="Arial" w:cs="Arial"/>
          <w:sz w:val="24"/>
          <w:szCs w:val="24"/>
        </w:rPr>
      </w:pPr>
      <w:r w:rsidRPr="00E352BA">
        <w:rPr>
          <w:rFonts w:ascii="Arial" w:hAnsi="Arial" w:cs="Arial"/>
          <w:noProof/>
          <w:sz w:val="24"/>
          <w:szCs w:val="24"/>
          <w:lang w:eastAsia="en-GB"/>
        </w:rPr>
        <w:lastRenderedPageBreak/>
        <w:drawing>
          <wp:inline distT="0" distB="0" distL="0" distR="0" wp14:anchorId="491F4AC8" wp14:editId="10B0BF6C">
            <wp:extent cx="4678680" cy="2225040"/>
            <wp:effectExtent l="0" t="0" r="7620" b="381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85569B" w:rsidRPr="00E352BA" w:rsidRDefault="0085569B" w:rsidP="0085569B">
      <w:pPr>
        <w:spacing w:after="0" w:line="360" w:lineRule="auto"/>
        <w:jc w:val="center"/>
        <w:rPr>
          <w:rFonts w:ascii="Arial" w:hAnsi="Arial" w:cs="Arial"/>
          <w:sz w:val="24"/>
          <w:szCs w:val="24"/>
        </w:rPr>
      </w:pPr>
      <w:r w:rsidRPr="00E352BA">
        <w:rPr>
          <w:rFonts w:ascii="Arial" w:hAnsi="Arial" w:cs="Arial"/>
          <w:sz w:val="24"/>
          <w:szCs w:val="24"/>
        </w:rPr>
        <w:t>Graph 5</w:t>
      </w:r>
    </w:p>
    <w:p w:rsidR="00A4752C" w:rsidRPr="00E352BA" w:rsidRDefault="00B76758" w:rsidP="00A4752C">
      <w:pPr>
        <w:spacing w:after="0" w:line="360" w:lineRule="auto"/>
        <w:jc w:val="both"/>
        <w:rPr>
          <w:rFonts w:ascii="Arial" w:eastAsia="Times New Roman" w:hAnsi="Arial" w:cs="Arial"/>
          <w:sz w:val="24"/>
          <w:szCs w:val="24"/>
          <w:lang w:eastAsia="en-GB"/>
        </w:rPr>
      </w:pPr>
      <w:r w:rsidRPr="00E352BA">
        <w:rPr>
          <w:rFonts w:ascii="Arial" w:hAnsi="Arial" w:cs="Arial"/>
          <w:sz w:val="24"/>
          <w:szCs w:val="24"/>
        </w:rPr>
        <w:t xml:space="preserve">The graphs show that the total assets of the hotel in declining. </w:t>
      </w:r>
      <w:r w:rsidR="00A4752C" w:rsidRPr="00E352BA">
        <w:rPr>
          <w:rFonts w:ascii="Arial" w:eastAsia="Times New Roman" w:hAnsi="Arial" w:cs="Arial"/>
          <w:sz w:val="24"/>
          <w:szCs w:val="24"/>
          <w:lang w:eastAsia="en-GB"/>
        </w:rPr>
        <w:t>Total assets are declining due to reductions in cash, accounts receivable, and property and equipment. This indicates that the hotel's asset base is diminishing</w:t>
      </w:r>
      <w:r w:rsidR="00862748" w:rsidRPr="00E352BA">
        <w:rPr>
          <w:rFonts w:ascii="Arial" w:eastAsia="Times New Roman" w:hAnsi="Arial" w:cs="Arial"/>
          <w:sz w:val="24"/>
          <w:szCs w:val="24"/>
          <w:lang w:eastAsia="en-GB"/>
        </w:rPr>
        <w:t xml:space="preserve"> </w:t>
      </w:r>
      <w:r w:rsidR="001067CE">
        <w:rPr>
          <w:rFonts w:ascii="Arial" w:hAnsi="Arial" w:cs="Arial"/>
          <w:color w:val="0D0D0D"/>
          <w:sz w:val="24"/>
          <w:szCs w:val="24"/>
          <w:shd w:val="clear" w:color="auto" w:fill="FFFFFF"/>
        </w:rPr>
        <w:t>(Beers, 2023</w:t>
      </w:r>
      <w:r w:rsidR="00862748" w:rsidRPr="00E352BA">
        <w:rPr>
          <w:rFonts w:ascii="Arial" w:hAnsi="Arial" w:cs="Arial"/>
          <w:color w:val="0D0D0D"/>
          <w:sz w:val="24"/>
          <w:szCs w:val="24"/>
          <w:shd w:val="clear" w:color="auto" w:fill="FFFFFF"/>
        </w:rPr>
        <w:t>)</w:t>
      </w:r>
      <w:r w:rsidR="00A4752C" w:rsidRPr="00E352BA">
        <w:rPr>
          <w:rFonts w:ascii="Arial" w:eastAsia="Times New Roman" w:hAnsi="Arial" w:cs="Arial"/>
          <w:sz w:val="24"/>
          <w:szCs w:val="24"/>
          <w:lang w:eastAsia="en-GB"/>
        </w:rPr>
        <w:t>.</w:t>
      </w:r>
    </w:p>
    <w:p w:rsidR="0085569B" w:rsidRPr="00E352BA" w:rsidRDefault="00C610FF" w:rsidP="0085569B">
      <w:pPr>
        <w:spacing w:after="0" w:line="360" w:lineRule="auto"/>
        <w:jc w:val="both"/>
        <w:rPr>
          <w:rFonts w:ascii="Arial" w:hAnsi="Arial" w:cs="Arial"/>
          <w:b/>
          <w:sz w:val="24"/>
          <w:szCs w:val="24"/>
        </w:rPr>
      </w:pPr>
      <w:r w:rsidRPr="00E352BA">
        <w:rPr>
          <w:rFonts w:ascii="Arial" w:hAnsi="Arial" w:cs="Arial"/>
          <w:b/>
          <w:sz w:val="24"/>
          <w:szCs w:val="24"/>
        </w:rPr>
        <w:t xml:space="preserve">E: </w:t>
      </w:r>
      <w:r w:rsidR="005E13A8" w:rsidRPr="00E352BA">
        <w:rPr>
          <w:rFonts w:ascii="Arial" w:hAnsi="Arial" w:cs="Arial"/>
          <w:b/>
          <w:sz w:val="24"/>
          <w:szCs w:val="24"/>
        </w:rPr>
        <w:t>Account payable:</w:t>
      </w:r>
    </w:p>
    <w:p w:rsidR="005E13A8" w:rsidRPr="00E352BA" w:rsidRDefault="005E13A8" w:rsidP="0085569B">
      <w:pPr>
        <w:spacing w:after="0" w:line="360" w:lineRule="auto"/>
        <w:jc w:val="both"/>
        <w:rPr>
          <w:rFonts w:ascii="Arial" w:hAnsi="Arial" w:cs="Arial"/>
          <w:sz w:val="24"/>
          <w:szCs w:val="24"/>
        </w:rPr>
      </w:pPr>
    </w:p>
    <w:p w:rsidR="005C2D51" w:rsidRPr="00E352BA" w:rsidRDefault="00B72CB2" w:rsidP="00B72CB2">
      <w:pPr>
        <w:spacing w:after="0" w:line="360" w:lineRule="auto"/>
        <w:jc w:val="center"/>
        <w:rPr>
          <w:rFonts w:ascii="Arial" w:hAnsi="Arial" w:cs="Arial"/>
          <w:sz w:val="24"/>
          <w:szCs w:val="24"/>
        </w:rPr>
      </w:pPr>
      <w:r w:rsidRPr="00E352BA">
        <w:rPr>
          <w:rFonts w:ascii="Arial" w:hAnsi="Arial" w:cs="Arial"/>
          <w:noProof/>
          <w:sz w:val="24"/>
          <w:szCs w:val="24"/>
          <w:lang w:eastAsia="en-GB"/>
        </w:rPr>
        <w:drawing>
          <wp:inline distT="0" distB="0" distL="0" distR="0" wp14:anchorId="3B26F5F5" wp14:editId="58F16706">
            <wp:extent cx="4572000" cy="27432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5C2D51" w:rsidRPr="00E352BA" w:rsidRDefault="00B72CB2" w:rsidP="00B72CB2">
      <w:pPr>
        <w:spacing w:after="0" w:line="360" w:lineRule="auto"/>
        <w:jc w:val="center"/>
        <w:rPr>
          <w:rFonts w:ascii="Arial" w:hAnsi="Arial" w:cs="Arial"/>
          <w:sz w:val="24"/>
          <w:szCs w:val="24"/>
        </w:rPr>
      </w:pPr>
      <w:r w:rsidRPr="00E352BA">
        <w:rPr>
          <w:rFonts w:ascii="Arial" w:hAnsi="Arial" w:cs="Arial"/>
          <w:sz w:val="24"/>
          <w:szCs w:val="24"/>
        </w:rPr>
        <w:t>Graph 6</w:t>
      </w:r>
    </w:p>
    <w:p w:rsidR="005C2D51" w:rsidRPr="00E352BA" w:rsidRDefault="004E44B1" w:rsidP="0085569B">
      <w:pPr>
        <w:spacing w:after="0" w:line="360" w:lineRule="auto"/>
        <w:jc w:val="both"/>
        <w:rPr>
          <w:rFonts w:ascii="Arial" w:eastAsia="Times New Roman" w:hAnsi="Arial" w:cs="Arial"/>
          <w:sz w:val="24"/>
          <w:szCs w:val="24"/>
          <w:lang w:eastAsia="en-GB"/>
        </w:rPr>
      </w:pPr>
      <w:r w:rsidRPr="00E352BA">
        <w:rPr>
          <w:rFonts w:ascii="Arial" w:eastAsia="Times New Roman" w:hAnsi="Arial" w:cs="Arial"/>
          <w:sz w:val="24"/>
          <w:szCs w:val="24"/>
          <w:lang w:eastAsia="en-GB"/>
        </w:rPr>
        <w:t>G</w:t>
      </w:r>
      <w:r w:rsidR="00B72CB2" w:rsidRPr="00E352BA">
        <w:rPr>
          <w:rFonts w:ascii="Arial" w:eastAsia="Times New Roman" w:hAnsi="Arial" w:cs="Arial"/>
          <w:sz w:val="24"/>
          <w:szCs w:val="24"/>
          <w:lang w:eastAsia="en-GB"/>
        </w:rPr>
        <w:t>raph 6</w:t>
      </w:r>
      <w:r w:rsidR="003E71CA" w:rsidRPr="00E352BA">
        <w:rPr>
          <w:rFonts w:ascii="Arial" w:eastAsia="Times New Roman" w:hAnsi="Arial" w:cs="Arial"/>
          <w:sz w:val="24"/>
          <w:szCs w:val="24"/>
          <w:vertAlign w:val="superscript"/>
          <w:lang w:eastAsia="en-GB"/>
        </w:rPr>
        <w:t>th</w:t>
      </w:r>
      <w:r w:rsidR="00B72CB2" w:rsidRPr="00E352BA">
        <w:rPr>
          <w:rFonts w:ascii="Arial" w:eastAsia="Times New Roman" w:hAnsi="Arial" w:cs="Arial"/>
          <w:sz w:val="24"/>
          <w:szCs w:val="24"/>
          <w:lang w:eastAsia="en-GB"/>
        </w:rPr>
        <w:t xml:space="preserve"> indicates that increasing in</w:t>
      </w:r>
      <w:r w:rsidR="005C2D51" w:rsidRPr="00E352BA">
        <w:rPr>
          <w:rFonts w:ascii="Arial" w:eastAsia="Times New Roman" w:hAnsi="Arial" w:cs="Arial"/>
          <w:sz w:val="24"/>
          <w:szCs w:val="24"/>
          <w:lang w:eastAsia="en-GB"/>
        </w:rPr>
        <w:t xml:space="preserve"> accounts payable suggests that the hotel is deferring payments to its suppliers, which could be a cash management strategy or a sign of financial difficulty</w:t>
      </w:r>
      <w:r w:rsidR="00862748" w:rsidRPr="00E352BA">
        <w:rPr>
          <w:rFonts w:ascii="Arial" w:eastAsia="Times New Roman" w:hAnsi="Arial" w:cs="Arial"/>
          <w:sz w:val="24"/>
          <w:szCs w:val="24"/>
          <w:lang w:eastAsia="en-GB"/>
        </w:rPr>
        <w:t xml:space="preserve"> </w:t>
      </w:r>
      <w:r w:rsidR="00EA56A6">
        <w:rPr>
          <w:rFonts w:ascii="Arial" w:hAnsi="Arial" w:cs="Arial"/>
          <w:color w:val="0D0D0D"/>
          <w:sz w:val="24"/>
          <w:szCs w:val="24"/>
          <w:shd w:val="clear" w:color="auto" w:fill="FFFFFF"/>
        </w:rPr>
        <w:t>(Gardner and Olden</w:t>
      </w:r>
      <w:r w:rsidR="00862748" w:rsidRPr="00E352BA">
        <w:rPr>
          <w:rFonts w:ascii="Arial" w:hAnsi="Arial" w:cs="Arial"/>
          <w:color w:val="0D0D0D"/>
          <w:sz w:val="24"/>
          <w:szCs w:val="24"/>
          <w:shd w:val="clear" w:color="auto" w:fill="FFFFFF"/>
        </w:rPr>
        <w:t>, 2017</w:t>
      </w:r>
      <w:r w:rsidR="00D75679">
        <w:rPr>
          <w:rFonts w:ascii="Arial" w:hAnsi="Arial" w:cs="Arial"/>
          <w:color w:val="0D0D0D"/>
          <w:sz w:val="24"/>
          <w:szCs w:val="24"/>
          <w:shd w:val="clear" w:color="auto" w:fill="FFFFFF"/>
        </w:rPr>
        <w:t>, P. 283</w:t>
      </w:r>
      <w:r w:rsidR="00862748" w:rsidRPr="00E352BA">
        <w:rPr>
          <w:rFonts w:ascii="Arial" w:hAnsi="Arial" w:cs="Arial"/>
          <w:color w:val="0D0D0D"/>
          <w:sz w:val="24"/>
          <w:szCs w:val="24"/>
          <w:shd w:val="clear" w:color="auto" w:fill="FFFFFF"/>
        </w:rPr>
        <w:t>)</w:t>
      </w:r>
      <w:r w:rsidR="005C2D51" w:rsidRPr="00E352BA">
        <w:rPr>
          <w:rFonts w:ascii="Arial" w:eastAsia="Times New Roman" w:hAnsi="Arial" w:cs="Arial"/>
          <w:sz w:val="24"/>
          <w:szCs w:val="24"/>
          <w:lang w:eastAsia="en-GB"/>
        </w:rPr>
        <w:t>.</w:t>
      </w:r>
    </w:p>
    <w:p w:rsidR="00863065" w:rsidRPr="00E352BA" w:rsidRDefault="00863065" w:rsidP="0085569B">
      <w:pPr>
        <w:spacing w:after="0" w:line="360" w:lineRule="auto"/>
        <w:jc w:val="both"/>
        <w:rPr>
          <w:rFonts w:ascii="Arial" w:eastAsia="Times New Roman" w:hAnsi="Arial" w:cs="Arial"/>
          <w:b/>
          <w:sz w:val="24"/>
          <w:szCs w:val="24"/>
          <w:lang w:eastAsia="en-GB"/>
        </w:rPr>
      </w:pPr>
      <w:bookmarkStart w:id="8" w:name="_Toc168582780"/>
      <w:r w:rsidRPr="00CE77BC">
        <w:rPr>
          <w:rStyle w:val="Heading1Char"/>
        </w:rPr>
        <w:t>Current Ratio</w:t>
      </w:r>
      <w:bookmarkEnd w:id="8"/>
      <w:r w:rsidRPr="00E352BA">
        <w:rPr>
          <w:rFonts w:ascii="Arial" w:eastAsia="Times New Roman" w:hAnsi="Arial" w:cs="Arial"/>
          <w:b/>
          <w:sz w:val="24"/>
          <w:szCs w:val="24"/>
          <w:lang w:eastAsia="en-GB"/>
        </w:rPr>
        <w:t>:</w:t>
      </w:r>
    </w:p>
    <w:p w:rsidR="00863065" w:rsidRPr="00E352BA" w:rsidRDefault="004C11DF" w:rsidP="0085569B">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The c</w:t>
      </w:r>
      <w:r w:rsidR="008605F1" w:rsidRPr="00E352BA">
        <w:rPr>
          <w:rFonts w:ascii="Arial" w:eastAsia="Times New Roman" w:hAnsi="Arial" w:cs="Arial"/>
          <w:sz w:val="24"/>
          <w:szCs w:val="24"/>
          <w:lang w:eastAsia="en-GB"/>
        </w:rPr>
        <w:t>urrent ratio helps to analyse the financial ratio:</w:t>
      </w:r>
    </w:p>
    <w:p w:rsidR="00C25647" w:rsidRPr="00CE77BC" w:rsidRDefault="008605F1" w:rsidP="0085569B">
      <w:pPr>
        <w:spacing w:after="0" w:line="360" w:lineRule="auto"/>
        <w:jc w:val="both"/>
        <w:rPr>
          <w:rFonts w:ascii="Arial" w:eastAsia="Times New Roman" w:hAnsi="Arial" w:cs="Arial"/>
          <w:sz w:val="24"/>
          <w:szCs w:val="24"/>
          <w:lang w:eastAsia="en-GB"/>
        </w:rPr>
      </w:pPr>
      <w:r w:rsidRPr="00E352BA">
        <w:rPr>
          <w:rFonts w:ascii="Arial" w:eastAsia="Times New Roman" w:hAnsi="Arial" w:cs="Arial"/>
          <w:noProof/>
          <w:sz w:val="24"/>
          <w:szCs w:val="24"/>
          <w:lang w:eastAsia="en-GB"/>
        </w:rPr>
        <w:lastRenderedPageBreak/>
        <w:drawing>
          <wp:inline distT="0" distB="0" distL="0" distR="0">
            <wp:extent cx="5486400" cy="8839200"/>
            <wp:effectExtent l="38100" t="0" r="38100" b="0"/>
            <wp:docPr id="18" name="Diagram 1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7" r:lo="rId28" r:qs="rId29" r:cs="rId30"/>
              </a:graphicData>
            </a:graphic>
          </wp:inline>
        </w:drawing>
      </w:r>
    </w:p>
    <w:p w:rsidR="005C2D51" w:rsidRPr="00E352BA" w:rsidRDefault="00C610FF" w:rsidP="0085569B">
      <w:pPr>
        <w:spacing w:after="0" w:line="360" w:lineRule="auto"/>
        <w:jc w:val="both"/>
        <w:rPr>
          <w:rFonts w:ascii="Arial" w:hAnsi="Arial" w:cs="Arial"/>
          <w:b/>
          <w:sz w:val="24"/>
          <w:szCs w:val="24"/>
        </w:rPr>
      </w:pPr>
      <w:r w:rsidRPr="00E352BA">
        <w:rPr>
          <w:rFonts w:ascii="Arial" w:hAnsi="Arial" w:cs="Arial"/>
          <w:b/>
          <w:sz w:val="24"/>
          <w:szCs w:val="24"/>
        </w:rPr>
        <w:lastRenderedPageBreak/>
        <w:t xml:space="preserve">F: </w:t>
      </w:r>
      <w:r w:rsidR="005C2D51" w:rsidRPr="00E352BA">
        <w:rPr>
          <w:rFonts w:ascii="Arial" w:hAnsi="Arial" w:cs="Arial"/>
          <w:b/>
          <w:sz w:val="24"/>
          <w:szCs w:val="24"/>
        </w:rPr>
        <w:t>Long-term Debt:</w:t>
      </w:r>
    </w:p>
    <w:p w:rsidR="005C2D51" w:rsidRPr="00E352BA" w:rsidRDefault="005C2D51" w:rsidP="0085569B">
      <w:pPr>
        <w:spacing w:after="0" w:line="360" w:lineRule="auto"/>
        <w:jc w:val="both"/>
        <w:rPr>
          <w:rFonts w:ascii="Arial" w:hAnsi="Arial" w:cs="Arial"/>
          <w:sz w:val="24"/>
          <w:szCs w:val="24"/>
        </w:rPr>
      </w:pPr>
    </w:p>
    <w:p w:rsidR="005C2D51" w:rsidRPr="00E352BA" w:rsidRDefault="00F662EF" w:rsidP="00F662EF">
      <w:pPr>
        <w:spacing w:after="0" w:line="360" w:lineRule="auto"/>
        <w:jc w:val="center"/>
        <w:rPr>
          <w:rFonts w:ascii="Arial" w:hAnsi="Arial" w:cs="Arial"/>
          <w:sz w:val="24"/>
          <w:szCs w:val="24"/>
        </w:rPr>
      </w:pPr>
      <w:r w:rsidRPr="00E352BA">
        <w:rPr>
          <w:rFonts w:ascii="Arial" w:hAnsi="Arial" w:cs="Arial"/>
          <w:noProof/>
          <w:sz w:val="24"/>
          <w:szCs w:val="24"/>
          <w:lang w:eastAsia="en-GB"/>
        </w:rPr>
        <w:drawing>
          <wp:inline distT="0" distB="0" distL="0" distR="0" wp14:anchorId="23FE425E" wp14:editId="27A6C50E">
            <wp:extent cx="4572000" cy="27432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F662EF" w:rsidRPr="00E352BA" w:rsidRDefault="00F662EF" w:rsidP="00F662EF">
      <w:pPr>
        <w:spacing w:after="0" w:line="360" w:lineRule="auto"/>
        <w:jc w:val="center"/>
        <w:rPr>
          <w:rFonts w:ascii="Arial" w:hAnsi="Arial" w:cs="Arial"/>
          <w:sz w:val="24"/>
          <w:szCs w:val="24"/>
        </w:rPr>
      </w:pPr>
      <w:r w:rsidRPr="00E352BA">
        <w:rPr>
          <w:rFonts w:ascii="Arial" w:hAnsi="Arial" w:cs="Arial"/>
          <w:sz w:val="24"/>
          <w:szCs w:val="24"/>
        </w:rPr>
        <w:t>Graph 7</w:t>
      </w:r>
    </w:p>
    <w:p w:rsidR="005C2D51" w:rsidRPr="00E352BA" w:rsidRDefault="005C2D51" w:rsidP="0085569B">
      <w:pPr>
        <w:spacing w:after="0" w:line="360" w:lineRule="auto"/>
        <w:jc w:val="both"/>
        <w:rPr>
          <w:rFonts w:ascii="Arial" w:hAnsi="Arial" w:cs="Arial"/>
          <w:sz w:val="24"/>
          <w:szCs w:val="24"/>
        </w:rPr>
      </w:pPr>
    </w:p>
    <w:p w:rsidR="005C2D51" w:rsidRPr="00E352BA" w:rsidRDefault="00F662EF" w:rsidP="00F662EF">
      <w:pPr>
        <w:spacing w:after="0" w:line="360" w:lineRule="auto"/>
        <w:jc w:val="both"/>
        <w:rPr>
          <w:rFonts w:ascii="Arial" w:eastAsia="Times New Roman" w:hAnsi="Arial" w:cs="Arial"/>
          <w:sz w:val="24"/>
          <w:szCs w:val="24"/>
          <w:lang w:eastAsia="en-GB"/>
        </w:rPr>
      </w:pPr>
      <w:r w:rsidRPr="00E352BA">
        <w:rPr>
          <w:rFonts w:ascii="Arial" w:eastAsia="Times New Roman" w:hAnsi="Arial" w:cs="Arial"/>
          <w:sz w:val="24"/>
          <w:szCs w:val="24"/>
          <w:lang w:eastAsia="en-GB"/>
        </w:rPr>
        <w:t xml:space="preserve">The 7th graph specifies that the </w:t>
      </w:r>
      <w:r w:rsidR="005C2D51" w:rsidRPr="00E352BA">
        <w:rPr>
          <w:rFonts w:ascii="Arial" w:eastAsia="Times New Roman" w:hAnsi="Arial" w:cs="Arial"/>
          <w:sz w:val="24"/>
          <w:szCs w:val="24"/>
          <w:lang w:eastAsia="en-GB"/>
        </w:rPr>
        <w:t>long-term debt remains steady, indicating that the hotel has not taken on new or paid off existing debt. This stability could imply a consistent approach to managing long-term liabilities</w:t>
      </w:r>
      <w:r w:rsidR="002E282F" w:rsidRPr="00E352BA">
        <w:rPr>
          <w:rFonts w:ascii="Arial" w:eastAsia="Times New Roman" w:hAnsi="Arial" w:cs="Arial"/>
          <w:sz w:val="24"/>
          <w:szCs w:val="24"/>
          <w:lang w:eastAsia="en-GB"/>
        </w:rPr>
        <w:t xml:space="preserve"> </w:t>
      </w:r>
      <w:r w:rsidR="002E282F" w:rsidRPr="00E352BA">
        <w:rPr>
          <w:rFonts w:ascii="Arial" w:hAnsi="Arial" w:cs="Arial"/>
          <w:color w:val="0D0D0D"/>
          <w:sz w:val="24"/>
          <w:szCs w:val="24"/>
          <w:shd w:val="clear" w:color="auto" w:fill="FFFFFF"/>
        </w:rPr>
        <w:t>(Fraser and Ormiston, 2016)</w:t>
      </w:r>
      <w:r w:rsidR="005C2D51" w:rsidRPr="00E352BA">
        <w:rPr>
          <w:rFonts w:ascii="Arial" w:eastAsia="Times New Roman" w:hAnsi="Arial" w:cs="Arial"/>
          <w:sz w:val="24"/>
          <w:szCs w:val="24"/>
          <w:lang w:eastAsia="en-GB"/>
        </w:rPr>
        <w:t>.</w:t>
      </w:r>
    </w:p>
    <w:p w:rsidR="001349B8" w:rsidRPr="00E352BA" w:rsidRDefault="001349B8" w:rsidP="00F662EF">
      <w:pPr>
        <w:spacing w:after="0" w:line="360" w:lineRule="auto"/>
        <w:jc w:val="both"/>
        <w:rPr>
          <w:rFonts w:ascii="Arial" w:eastAsia="Times New Roman" w:hAnsi="Arial" w:cs="Arial"/>
          <w:b/>
          <w:sz w:val="24"/>
          <w:szCs w:val="24"/>
          <w:lang w:eastAsia="en-GB"/>
        </w:rPr>
      </w:pPr>
      <w:bookmarkStart w:id="9" w:name="_Toc168582781"/>
      <w:r w:rsidRPr="00CE77BC">
        <w:rPr>
          <w:rStyle w:val="Heading1Char"/>
        </w:rPr>
        <w:t>Debt Equity Ratio</w:t>
      </w:r>
      <w:bookmarkEnd w:id="9"/>
      <w:r w:rsidRPr="00E352BA">
        <w:rPr>
          <w:rFonts w:ascii="Arial" w:eastAsia="Times New Roman" w:hAnsi="Arial" w:cs="Arial"/>
          <w:b/>
          <w:sz w:val="24"/>
          <w:szCs w:val="24"/>
          <w:lang w:eastAsia="en-GB"/>
        </w:rPr>
        <w:t>:</w:t>
      </w:r>
    </w:p>
    <w:p w:rsidR="00281F3F" w:rsidRPr="00E352BA" w:rsidRDefault="00281F3F" w:rsidP="00F662EF">
      <w:pPr>
        <w:spacing w:after="0" w:line="360" w:lineRule="auto"/>
        <w:jc w:val="both"/>
        <w:rPr>
          <w:rFonts w:ascii="Arial" w:eastAsia="Times New Roman" w:hAnsi="Arial" w:cs="Arial"/>
          <w:sz w:val="24"/>
          <w:szCs w:val="24"/>
          <w:lang w:eastAsia="en-GB"/>
        </w:rPr>
      </w:pPr>
      <w:r w:rsidRPr="00E352BA">
        <w:rPr>
          <w:rFonts w:ascii="Arial" w:eastAsia="Times New Roman" w:hAnsi="Arial" w:cs="Arial"/>
          <w:sz w:val="24"/>
          <w:szCs w:val="24"/>
          <w:lang w:eastAsia="en-GB"/>
        </w:rPr>
        <w:t>The debt</w:t>
      </w:r>
      <w:r w:rsidR="004C11DF">
        <w:rPr>
          <w:rFonts w:ascii="Arial" w:eastAsia="Times New Roman" w:hAnsi="Arial" w:cs="Arial"/>
          <w:sz w:val="24"/>
          <w:szCs w:val="24"/>
          <w:lang w:eastAsia="en-GB"/>
        </w:rPr>
        <w:t>-to-</w:t>
      </w:r>
      <w:r w:rsidRPr="00E352BA">
        <w:rPr>
          <w:rFonts w:ascii="Arial" w:eastAsia="Times New Roman" w:hAnsi="Arial" w:cs="Arial"/>
          <w:sz w:val="24"/>
          <w:szCs w:val="24"/>
          <w:lang w:eastAsia="en-GB"/>
        </w:rPr>
        <w:t xml:space="preserve">equity ratio compares the amount of debt a company uses to fund its operations to the amount of money shareholders invest. </w:t>
      </w:r>
    </w:p>
    <w:p w:rsidR="001349B8" w:rsidRPr="00E352BA" w:rsidRDefault="007B1E3A" w:rsidP="00F662EF">
      <w:pPr>
        <w:spacing w:after="0" w:line="360" w:lineRule="auto"/>
        <w:jc w:val="both"/>
        <w:rPr>
          <w:rFonts w:ascii="Arial" w:eastAsia="Times New Roman" w:hAnsi="Arial" w:cs="Arial"/>
          <w:b/>
          <w:sz w:val="24"/>
          <w:szCs w:val="24"/>
          <w:lang w:eastAsia="en-GB"/>
        </w:rPr>
      </w:pPr>
      <w:r w:rsidRPr="00E352BA">
        <w:rPr>
          <w:rFonts w:ascii="Arial" w:eastAsia="Times New Roman" w:hAnsi="Arial" w:cs="Arial"/>
          <w:b/>
          <w:noProof/>
          <w:sz w:val="24"/>
          <w:szCs w:val="24"/>
          <w:lang w:eastAsia="en-GB"/>
        </w:rPr>
        <w:drawing>
          <wp:inline distT="0" distB="0" distL="0" distR="0">
            <wp:extent cx="5890260" cy="2202180"/>
            <wp:effectExtent l="38100" t="0" r="53340" b="26670"/>
            <wp:docPr id="19" name="Diagram 1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3" r:lo="rId34" r:qs="rId35" r:cs="rId36"/>
              </a:graphicData>
            </a:graphic>
          </wp:inline>
        </w:drawing>
      </w:r>
    </w:p>
    <w:p w:rsidR="005C2D51" w:rsidRPr="00E352BA" w:rsidRDefault="00C610FF" w:rsidP="0085569B">
      <w:pPr>
        <w:spacing w:after="0" w:line="360" w:lineRule="auto"/>
        <w:jc w:val="both"/>
        <w:rPr>
          <w:rFonts w:ascii="Arial" w:hAnsi="Arial" w:cs="Arial"/>
          <w:b/>
          <w:sz w:val="24"/>
          <w:szCs w:val="24"/>
        </w:rPr>
      </w:pPr>
      <w:r w:rsidRPr="00E352BA">
        <w:rPr>
          <w:rFonts w:ascii="Arial" w:hAnsi="Arial" w:cs="Arial"/>
          <w:b/>
          <w:sz w:val="24"/>
          <w:szCs w:val="24"/>
        </w:rPr>
        <w:t xml:space="preserve">G: </w:t>
      </w:r>
      <w:r w:rsidR="005C2D51" w:rsidRPr="00E352BA">
        <w:rPr>
          <w:rFonts w:ascii="Arial" w:hAnsi="Arial" w:cs="Arial"/>
          <w:b/>
          <w:sz w:val="24"/>
          <w:szCs w:val="24"/>
        </w:rPr>
        <w:t>Total L</w:t>
      </w:r>
      <w:r w:rsidR="004E44B1" w:rsidRPr="00E352BA">
        <w:rPr>
          <w:rFonts w:ascii="Arial" w:hAnsi="Arial" w:cs="Arial"/>
          <w:b/>
          <w:sz w:val="24"/>
          <w:szCs w:val="24"/>
        </w:rPr>
        <w:t>i</w:t>
      </w:r>
      <w:r w:rsidR="005C2D51" w:rsidRPr="00E352BA">
        <w:rPr>
          <w:rFonts w:ascii="Arial" w:hAnsi="Arial" w:cs="Arial"/>
          <w:b/>
          <w:sz w:val="24"/>
          <w:szCs w:val="24"/>
        </w:rPr>
        <w:t>abilities</w:t>
      </w:r>
    </w:p>
    <w:p w:rsidR="003E71CA" w:rsidRPr="00E352BA" w:rsidRDefault="003E71CA" w:rsidP="003E71CA">
      <w:pPr>
        <w:spacing w:after="0" w:line="240" w:lineRule="auto"/>
        <w:jc w:val="center"/>
        <w:rPr>
          <w:rFonts w:ascii="Arial" w:eastAsia="Times New Roman" w:hAnsi="Arial" w:cs="Arial"/>
          <w:sz w:val="24"/>
          <w:szCs w:val="24"/>
          <w:lang w:eastAsia="en-GB"/>
        </w:rPr>
      </w:pPr>
      <w:r w:rsidRPr="00E352BA">
        <w:rPr>
          <w:rFonts w:ascii="Arial" w:hAnsi="Arial" w:cs="Arial"/>
          <w:noProof/>
          <w:sz w:val="24"/>
          <w:szCs w:val="24"/>
          <w:lang w:eastAsia="en-GB"/>
        </w:rPr>
        <w:lastRenderedPageBreak/>
        <w:drawing>
          <wp:inline distT="0" distB="0" distL="0" distR="0" wp14:anchorId="67F6A455" wp14:editId="553E91D3">
            <wp:extent cx="4572000" cy="2743200"/>
            <wp:effectExtent l="0" t="0" r="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rsidR="003E71CA" w:rsidRPr="00E352BA" w:rsidRDefault="003E71CA" w:rsidP="003E71CA">
      <w:pPr>
        <w:spacing w:after="0" w:line="360" w:lineRule="auto"/>
        <w:jc w:val="center"/>
        <w:rPr>
          <w:rFonts w:ascii="Arial" w:hAnsi="Arial" w:cs="Arial"/>
          <w:sz w:val="24"/>
          <w:szCs w:val="24"/>
        </w:rPr>
      </w:pPr>
      <w:r w:rsidRPr="00E352BA">
        <w:rPr>
          <w:rFonts w:ascii="Arial" w:hAnsi="Arial" w:cs="Arial"/>
          <w:sz w:val="24"/>
          <w:szCs w:val="24"/>
        </w:rPr>
        <w:t>Graph 8</w:t>
      </w:r>
    </w:p>
    <w:p w:rsidR="003E71CA" w:rsidRPr="00E352BA" w:rsidRDefault="003E71CA" w:rsidP="005C2D51">
      <w:pPr>
        <w:spacing w:after="0" w:line="240" w:lineRule="auto"/>
        <w:rPr>
          <w:rFonts w:ascii="Arial" w:eastAsia="Times New Roman" w:hAnsi="Arial" w:cs="Arial"/>
          <w:sz w:val="24"/>
          <w:szCs w:val="24"/>
          <w:lang w:eastAsia="en-GB"/>
        </w:rPr>
      </w:pPr>
    </w:p>
    <w:p w:rsidR="005C2D51" w:rsidRPr="00E352BA" w:rsidRDefault="003E71CA" w:rsidP="003E71CA">
      <w:pPr>
        <w:spacing w:after="0" w:line="360" w:lineRule="auto"/>
        <w:jc w:val="both"/>
        <w:rPr>
          <w:rFonts w:ascii="Arial" w:eastAsia="Times New Roman" w:hAnsi="Arial" w:cs="Arial"/>
          <w:sz w:val="24"/>
          <w:szCs w:val="24"/>
          <w:lang w:eastAsia="en-GB"/>
        </w:rPr>
      </w:pPr>
      <w:r w:rsidRPr="00E352BA">
        <w:rPr>
          <w:rFonts w:ascii="Arial" w:eastAsia="Times New Roman" w:hAnsi="Arial" w:cs="Arial"/>
          <w:sz w:val="24"/>
          <w:szCs w:val="24"/>
          <w:lang w:eastAsia="en-GB"/>
        </w:rPr>
        <w:t>The 8</w:t>
      </w:r>
      <w:r w:rsidRPr="00E352BA">
        <w:rPr>
          <w:rFonts w:ascii="Arial" w:eastAsia="Times New Roman" w:hAnsi="Arial" w:cs="Arial"/>
          <w:sz w:val="24"/>
          <w:szCs w:val="24"/>
          <w:vertAlign w:val="superscript"/>
          <w:lang w:eastAsia="en-GB"/>
        </w:rPr>
        <w:t>th</w:t>
      </w:r>
      <w:r w:rsidRPr="00E352BA">
        <w:rPr>
          <w:rFonts w:ascii="Arial" w:eastAsia="Times New Roman" w:hAnsi="Arial" w:cs="Arial"/>
          <w:sz w:val="24"/>
          <w:szCs w:val="24"/>
          <w:lang w:eastAsia="en-GB"/>
        </w:rPr>
        <w:t xml:space="preserve"> graph </w:t>
      </w:r>
      <w:r w:rsidR="004E44B1" w:rsidRPr="00E352BA">
        <w:rPr>
          <w:rFonts w:ascii="Arial" w:eastAsia="Times New Roman" w:hAnsi="Arial" w:cs="Arial"/>
          <w:sz w:val="24"/>
          <w:szCs w:val="24"/>
          <w:lang w:eastAsia="en-GB"/>
        </w:rPr>
        <w:t>show</w:t>
      </w:r>
      <w:r w:rsidRPr="00E352BA">
        <w:rPr>
          <w:rFonts w:ascii="Arial" w:eastAsia="Times New Roman" w:hAnsi="Arial" w:cs="Arial"/>
          <w:sz w:val="24"/>
          <w:szCs w:val="24"/>
          <w:lang w:eastAsia="en-GB"/>
        </w:rPr>
        <w:t>s that t</w:t>
      </w:r>
      <w:r w:rsidR="005C2D51" w:rsidRPr="00E352BA">
        <w:rPr>
          <w:rFonts w:ascii="Arial" w:eastAsia="Times New Roman" w:hAnsi="Arial" w:cs="Arial"/>
          <w:sz w:val="24"/>
          <w:szCs w:val="24"/>
          <w:lang w:eastAsia="en-GB"/>
        </w:rPr>
        <w:t>he gradual increase in total liabilities is primarily due to rising accounts payable. This could imply ongoing cash flow management concerns</w:t>
      </w:r>
      <w:r w:rsidR="005336A4" w:rsidRPr="00E352BA">
        <w:rPr>
          <w:rFonts w:ascii="Arial" w:eastAsia="Times New Roman" w:hAnsi="Arial" w:cs="Arial"/>
          <w:sz w:val="24"/>
          <w:szCs w:val="24"/>
          <w:lang w:eastAsia="en-GB"/>
        </w:rPr>
        <w:t xml:space="preserve"> </w:t>
      </w:r>
      <w:r w:rsidR="005336A4" w:rsidRPr="00E352BA">
        <w:rPr>
          <w:rFonts w:ascii="Arial" w:hAnsi="Arial" w:cs="Arial"/>
          <w:color w:val="0D0D0D"/>
          <w:sz w:val="24"/>
          <w:szCs w:val="24"/>
          <w:shd w:val="clear" w:color="auto" w:fill="FFFFFF"/>
        </w:rPr>
        <w:t>(</w:t>
      </w:r>
      <w:r w:rsidR="00C03A79">
        <w:rPr>
          <w:rFonts w:ascii="Arial" w:hAnsi="Arial" w:cs="Arial"/>
          <w:color w:val="0D0D0D"/>
          <w:sz w:val="24"/>
          <w:szCs w:val="24"/>
          <w:shd w:val="clear" w:color="auto" w:fill="FFFFFF"/>
        </w:rPr>
        <w:t>Johnson, 2023</w:t>
      </w:r>
      <w:r w:rsidR="005336A4" w:rsidRPr="00E352BA">
        <w:rPr>
          <w:rFonts w:ascii="Arial" w:hAnsi="Arial" w:cs="Arial"/>
          <w:color w:val="0D0D0D"/>
          <w:sz w:val="24"/>
          <w:szCs w:val="24"/>
          <w:shd w:val="clear" w:color="auto" w:fill="FFFFFF"/>
        </w:rPr>
        <w:t>)</w:t>
      </w:r>
      <w:r w:rsidR="005C2D51" w:rsidRPr="00E352BA">
        <w:rPr>
          <w:rFonts w:ascii="Arial" w:eastAsia="Times New Roman" w:hAnsi="Arial" w:cs="Arial"/>
          <w:sz w:val="24"/>
          <w:szCs w:val="24"/>
          <w:lang w:eastAsia="en-GB"/>
        </w:rPr>
        <w:t>.</w:t>
      </w:r>
    </w:p>
    <w:p w:rsidR="005C2D51" w:rsidRPr="00E352BA" w:rsidRDefault="00C610FF" w:rsidP="005C2D51">
      <w:pPr>
        <w:spacing w:after="0" w:line="240" w:lineRule="auto"/>
        <w:rPr>
          <w:rFonts w:ascii="Arial" w:eastAsia="Times New Roman" w:hAnsi="Arial" w:cs="Arial"/>
          <w:b/>
          <w:sz w:val="24"/>
          <w:szCs w:val="24"/>
          <w:lang w:eastAsia="en-GB"/>
        </w:rPr>
      </w:pPr>
      <w:r w:rsidRPr="00E352BA">
        <w:rPr>
          <w:rFonts w:ascii="Arial" w:eastAsia="Times New Roman" w:hAnsi="Arial" w:cs="Arial"/>
          <w:b/>
          <w:sz w:val="24"/>
          <w:szCs w:val="24"/>
          <w:lang w:eastAsia="en-GB"/>
        </w:rPr>
        <w:t xml:space="preserve">H: </w:t>
      </w:r>
      <w:r w:rsidR="005C2D51" w:rsidRPr="00E352BA">
        <w:rPr>
          <w:rFonts w:ascii="Arial" w:eastAsia="Times New Roman" w:hAnsi="Arial" w:cs="Arial"/>
          <w:b/>
          <w:sz w:val="24"/>
          <w:szCs w:val="24"/>
          <w:lang w:eastAsia="en-GB"/>
        </w:rPr>
        <w:t>Equity:</w:t>
      </w:r>
    </w:p>
    <w:p w:rsidR="005C2D51" w:rsidRPr="00E352BA" w:rsidRDefault="005C2D51" w:rsidP="005C2D51">
      <w:pPr>
        <w:spacing w:after="0" w:line="240" w:lineRule="auto"/>
        <w:rPr>
          <w:rFonts w:ascii="Arial" w:eastAsia="Times New Roman" w:hAnsi="Arial" w:cs="Arial"/>
          <w:sz w:val="24"/>
          <w:szCs w:val="24"/>
          <w:lang w:eastAsia="en-GB"/>
        </w:rPr>
      </w:pPr>
    </w:p>
    <w:p w:rsidR="00B37B61" w:rsidRPr="00E352BA" w:rsidRDefault="0022281E" w:rsidP="00B37B61">
      <w:pPr>
        <w:spacing w:after="0" w:line="360" w:lineRule="auto"/>
        <w:jc w:val="center"/>
        <w:rPr>
          <w:rFonts w:ascii="Arial" w:eastAsia="Times New Roman" w:hAnsi="Arial" w:cs="Arial"/>
          <w:sz w:val="24"/>
          <w:szCs w:val="24"/>
          <w:lang w:eastAsia="en-GB"/>
        </w:rPr>
      </w:pPr>
      <w:r w:rsidRPr="00E352BA">
        <w:rPr>
          <w:rFonts w:ascii="Arial" w:hAnsi="Arial" w:cs="Arial"/>
          <w:noProof/>
          <w:sz w:val="24"/>
          <w:szCs w:val="24"/>
          <w:lang w:eastAsia="en-GB"/>
        </w:rPr>
        <mc:AlternateContent>
          <mc:Choice Requires="wps">
            <w:drawing>
              <wp:anchor distT="0" distB="0" distL="114300" distR="114300" simplePos="0" relativeHeight="251660288" behindDoc="0" locked="0" layoutInCell="1" allowOverlap="1">
                <wp:simplePos x="0" y="0"/>
                <wp:positionH relativeFrom="column">
                  <wp:posOffset>1684020</wp:posOffset>
                </wp:positionH>
                <wp:positionV relativeFrom="paragraph">
                  <wp:posOffset>2499360</wp:posOffset>
                </wp:positionV>
                <wp:extent cx="2857500" cy="220980"/>
                <wp:effectExtent l="0" t="0" r="19050" b="26670"/>
                <wp:wrapNone/>
                <wp:docPr id="12" name="Rectangle 12"/>
                <wp:cNvGraphicFramePr/>
                <a:graphic xmlns:a="http://schemas.openxmlformats.org/drawingml/2006/main">
                  <a:graphicData uri="http://schemas.microsoft.com/office/word/2010/wordprocessingShape">
                    <wps:wsp>
                      <wps:cNvSpPr/>
                      <wps:spPr>
                        <a:xfrm>
                          <a:off x="0" y="0"/>
                          <a:ext cx="2857500" cy="22098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A56A6" w:rsidRPr="0022281E" w:rsidRDefault="00EA56A6" w:rsidP="0022281E">
                            <w:pPr>
                              <w:jc w:val="center"/>
                              <w:rPr>
                                <w:color w:val="000000" w:themeColor="text1"/>
                                <w:sz w:val="18"/>
                              </w:rPr>
                            </w:pPr>
                            <w:r w:rsidRPr="0022281E">
                              <w:rPr>
                                <w:color w:val="000000" w:themeColor="text1"/>
                                <w:sz w:val="18"/>
                              </w:rPr>
                              <w:t>2021</w:t>
                            </w:r>
                            <w:r>
                              <w:rPr>
                                <w:color w:val="000000" w:themeColor="text1"/>
                                <w:sz w:val="18"/>
                              </w:rPr>
                              <w:t xml:space="preserve">                                        2022                             2023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Rectangle 12" o:spid="_x0000_s1030" style="position:absolute;left:0;text-align:left;margin-left:132.6pt;margin-top:196.8pt;width:225pt;height:17.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" fillcolor="white [3212]" strokecolor="white [3212]" strokeweight="1pt">
                <v:textbox>
                  <w:txbxContent>
                    <w:p w:rsidR="00EA56A6" w:rsidRPr="0022281E" w:rsidRDefault="00EA56A6" w:rsidP="0022281E">
                      <w:pPr>
                        <w:jc w:val="center"/>
                        <w:rPr>
                          <w:color w:val="000000" w:themeColor="text1"/>
                          <w:sz w:val="18"/>
                        </w:rPr>
                      </w:pPr>
                      <w:r w:rsidRPr="0022281E">
                        <w:rPr>
                          <w:color w:val="000000" w:themeColor="text1"/>
                          <w:sz w:val="18"/>
                        </w:rPr>
                        <w:t>2021</w:t>
                      </w:r>
                      <w:r>
                        <w:rPr>
                          <w:color w:val="000000" w:themeColor="text1"/>
                          <w:sz w:val="18"/>
                        </w:rPr>
                        <w:t xml:space="preserve">                                        2022                             2023</w:t>
                      </w:r>
                    </w:p>
                  </w:txbxContent>
                </v:textbox>
              </v:rect>
            </w:pict>
          </mc:Fallback>
        </mc:AlternateContent>
      </w:r>
      <w:r w:rsidR="00B37B61" w:rsidRPr="00E352BA">
        <w:rPr>
          <w:rFonts w:ascii="Arial" w:hAnsi="Arial" w:cs="Arial"/>
          <w:noProof/>
          <w:sz w:val="24"/>
          <w:szCs w:val="24"/>
          <w:lang w:eastAsia="en-GB"/>
        </w:rPr>
        <w:drawing>
          <wp:inline distT="0" distB="0" distL="0" distR="0" wp14:anchorId="07697637" wp14:editId="44015D79">
            <wp:extent cx="4572000" cy="2743200"/>
            <wp:effectExtent l="0" t="0" r="0"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r w:rsidR="00B37B61" w:rsidRPr="00E352BA">
        <w:rPr>
          <w:rFonts w:ascii="Arial" w:eastAsia="Times New Roman" w:hAnsi="Arial" w:cs="Arial"/>
          <w:sz w:val="24"/>
          <w:szCs w:val="24"/>
          <w:lang w:eastAsia="en-GB"/>
        </w:rPr>
        <w:t xml:space="preserve"> </w:t>
      </w:r>
    </w:p>
    <w:p w:rsidR="00B37B61" w:rsidRPr="00E352BA" w:rsidRDefault="00B37B61" w:rsidP="00B37B61">
      <w:pPr>
        <w:spacing w:after="0" w:line="360" w:lineRule="auto"/>
        <w:jc w:val="center"/>
        <w:rPr>
          <w:rFonts w:ascii="Arial" w:hAnsi="Arial" w:cs="Arial"/>
          <w:sz w:val="24"/>
          <w:szCs w:val="24"/>
        </w:rPr>
      </w:pPr>
      <w:r w:rsidRPr="00E352BA">
        <w:rPr>
          <w:rFonts w:ascii="Arial" w:hAnsi="Arial" w:cs="Arial"/>
          <w:sz w:val="24"/>
          <w:szCs w:val="24"/>
        </w:rPr>
        <w:t>Graph 9</w:t>
      </w:r>
    </w:p>
    <w:p w:rsidR="005C2D51" w:rsidRPr="00E352BA" w:rsidRDefault="005C2D51" w:rsidP="0043780B">
      <w:pPr>
        <w:spacing w:after="0" w:line="360" w:lineRule="auto"/>
        <w:jc w:val="both"/>
        <w:rPr>
          <w:rFonts w:ascii="Arial" w:hAnsi="Arial" w:cs="Arial"/>
          <w:sz w:val="24"/>
          <w:szCs w:val="24"/>
          <w:lang w:eastAsia="en-GB"/>
        </w:rPr>
      </w:pPr>
      <w:r w:rsidRPr="00E352BA">
        <w:rPr>
          <w:rFonts w:ascii="Arial" w:eastAsia="Times New Roman" w:hAnsi="Arial" w:cs="Arial"/>
          <w:sz w:val="24"/>
          <w:szCs w:val="24"/>
          <w:lang w:eastAsia="en-GB"/>
        </w:rPr>
        <w:t xml:space="preserve">The </w:t>
      </w:r>
      <w:r w:rsidR="00B37B61" w:rsidRPr="00E352BA">
        <w:rPr>
          <w:rFonts w:ascii="Arial" w:eastAsia="Times New Roman" w:hAnsi="Arial" w:cs="Arial"/>
          <w:sz w:val="24"/>
          <w:szCs w:val="24"/>
          <w:lang w:eastAsia="en-GB"/>
        </w:rPr>
        <w:t>9</w:t>
      </w:r>
      <w:r w:rsidR="00B37B61" w:rsidRPr="00E352BA">
        <w:rPr>
          <w:rFonts w:ascii="Arial" w:eastAsia="Times New Roman" w:hAnsi="Arial" w:cs="Arial"/>
          <w:sz w:val="24"/>
          <w:szCs w:val="24"/>
          <w:vertAlign w:val="superscript"/>
          <w:lang w:eastAsia="en-GB"/>
        </w:rPr>
        <w:t>th</w:t>
      </w:r>
      <w:r w:rsidR="00B37B61" w:rsidRPr="00E352BA">
        <w:rPr>
          <w:rFonts w:ascii="Arial" w:eastAsia="Times New Roman" w:hAnsi="Arial" w:cs="Arial"/>
          <w:sz w:val="24"/>
          <w:szCs w:val="24"/>
          <w:lang w:eastAsia="en-GB"/>
        </w:rPr>
        <w:t xml:space="preserve"> graph specifies that the </w:t>
      </w:r>
      <w:r w:rsidRPr="00E352BA">
        <w:rPr>
          <w:rFonts w:ascii="Arial" w:eastAsia="Times New Roman" w:hAnsi="Arial" w:cs="Arial"/>
          <w:sz w:val="24"/>
          <w:szCs w:val="24"/>
          <w:lang w:eastAsia="en-GB"/>
        </w:rPr>
        <w:t xml:space="preserve">significant drop in equity is typically the result of net losses or </w:t>
      </w:r>
      <w:r w:rsidR="0043780B" w:rsidRPr="00E352BA">
        <w:rPr>
          <w:rFonts w:ascii="Arial" w:eastAsia="Times New Roman" w:hAnsi="Arial" w:cs="Arial"/>
          <w:sz w:val="24"/>
          <w:szCs w:val="24"/>
          <w:lang w:eastAsia="en-GB"/>
        </w:rPr>
        <w:t>pay-outs</w:t>
      </w:r>
      <w:r w:rsidRPr="00E352BA">
        <w:rPr>
          <w:rFonts w:ascii="Arial" w:eastAsia="Times New Roman" w:hAnsi="Arial" w:cs="Arial"/>
          <w:sz w:val="24"/>
          <w:szCs w:val="24"/>
          <w:lang w:eastAsia="en-GB"/>
        </w:rPr>
        <w:t xml:space="preserve"> to shareholders that outweigh profits. This reduction indicates that the hotel is not retaining enough earnings to support operations or development</w:t>
      </w:r>
      <w:r w:rsidR="002F0FC8" w:rsidRPr="00E352BA">
        <w:rPr>
          <w:rFonts w:ascii="Arial" w:eastAsia="Times New Roman" w:hAnsi="Arial" w:cs="Arial"/>
          <w:sz w:val="24"/>
          <w:szCs w:val="24"/>
          <w:lang w:eastAsia="en-GB"/>
        </w:rPr>
        <w:t xml:space="preserve"> </w:t>
      </w:r>
      <w:r w:rsidR="002F0FC8" w:rsidRPr="00E352BA">
        <w:rPr>
          <w:rFonts w:ascii="Arial" w:hAnsi="Arial" w:cs="Arial"/>
          <w:sz w:val="24"/>
          <w:szCs w:val="24"/>
        </w:rPr>
        <w:t>(Higgins, 2015</w:t>
      </w:r>
      <w:r w:rsidR="001E5BD9" w:rsidRPr="00E352BA">
        <w:rPr>
          <w:rFonts w:ascii="Arial" w:hAnsi="Arial" w:cs="Arial"/>
          <w:sz w:val="24"/>
          <w:szCs w:val="24"/>
        </w:rPr>
        <w:t>, P.28</w:t>
      </w:r>
      <w:r w:rsidR="002F0FC8" w:rsidRPr="00E352BA">
        <w:rPr>
          <w:rFonts w:ascii="Arial" w:hAnsi="Arial" w:cs="Arial"/>
          <w:sz w:val="24"/>
          <w:szCs w:val="24"/>
        </w:rPr>
        <w:t>)</w:t>
      </w:r>
      <w:r w:rsidRPr="00E352BA">
        <w:rPr>
          <w:rFonts w:ascii="Arial" w:hAnsi="Arial" w:cs="Arial"/>
          <w:sz w:val="24"/>
          <w:szCs w:val="24"/>
          <w:lang w:eastAsia="en-GB"/>
        </w:rPr>
        <w:t>.</w:t>
      </w:r>
    </w:p>
    <w:p w:rsidR="001E4F77" w:rsidRPr="00E352BA" w:rsidRDefault="001E4F77" w:rsidP="0043780B">
      <w:pPr>
        <w:spacing w:after="0" w:line="360" w:lineRule="auto"/>
        <w:jc w:val="both"/>
        <w:rPr>
          <w:rFonts w:ascii="Arial" w:hAnsi="Arial" w:cs="Arial"/>
          <w:b/>
          <w:sz w:val="24"/>
          <w:szCs w:val="24"/>
          <w:lang w:eastAsia="en-GB"/>
        </w:rPr>
      </w:pPr>
      <w:r w:rsidRPr="00E352BA">
        <w:rPr>
          <w:rFonts w:ascii="Arial" w:hAnsi="Arial" w:cs="Arial"/>
          <w:b/>
          <w:sz w:val="24"/>
          <w:szCs w:val="24"/>
          <w:lang w:eastAsia="en-GB"/>
        </w:rPr>
        <w:t>Solvency:</w:t>
      </w:r>
    </w:p>
    <w:p w:rsidR="001E4F77" w:rsidRPr="00E352BA" w:rsidRDefault="00FD287D" w:rsidP="0043780B">
      <w:pPr>
        <w:spacing w:after="0" w:line="360" w:lineRule="auto"/>
        <w:jc w:val="both"/>
        <w:rPr>
          <w:rFonts w:ascii="Arial" w:hAnsi="Arial" w:cs="Arial"/>
          <w:sz w:val="24"/>
          <w:szCs w:val="24"/>
          <w:lang w:eastAsia="en-GB"/>
        </w:rPr>
      </w:pPr>
      <w:r w:rsidRPr="00E352BA">
        <w:rPr>
          <w:rFonts w:ascii="Arial" w:hAnsi="Arial" w:cs="Arial"/>
          <w:sz w:val="24"/>
          <w:szCs w:val="24"/>
          <w:lang w:eastAsia="en-GB"/>
        </w:rPr>
        <w:lastRenderedPageBreak/>
        <w:t>The following table shows the total assets and total liabilities of the Hotel:</w:t>
      </w:r>
    </w:p>
    <w:tbl>
      <w:tblPr>
        <w:tblStyle w:val="PlainTable1"/>
        <w:tblW w:w="9178" w:type="dxa"/>
        <w:tblLook w:val="04A0" w:firstRow="1" w:lastRow="0" w:firstColumn="1" w:lastColumn="0" w:noHBand="0" w:noVBand="1"/>
      </w:tblPr>
      <w:tblGrid>
        <w:gridCol w:w="2395"/>
        <w:gridCol w:w="2261"/>
        <w:gridCol w:w="2261"/>
        <w:gridCol w:w="2261"/>
      </w:tblGrid>
      <w:tr w:rsidR="00FD287D" w:rsidRPr="00E352BA" w:rsidTr="00FD22C7">
        <w:trPr>
          <w:cnfStyle w:val="100000000000" w:firstRow="1" w:lastRow="0" w:firstColumn="0" w:lastColumn="0" w:oddVBand="0" w:evenVBand="0" w:oddHBand="0" w:evenHBand="0" w:firstRowFirstColumn="0" w:firstRowLastColumn="0" w:lastRowFirstColumn="0" w:lastRowLastColumn="0"/>
          <w:trHeight w:val="811"/>
        </w:trPr>
        <w:tc>
          <w:tcPr>
            <w:cnfStyle w:val="001000000000" w:firstRow="0" w:lastRow="0" w:firstColumn="1" w:lastColumn="0" w:oddVBand="0" w:evenVBand="0" w:oddHBand="0" w:evenHBand="0" w:firstRowFirstColumn="0" w:firstRowLastColumn="0" w:lastRowFirstColumn="0" w:lastRowLastColumn="0"/>
            <w:tcW w:w="2395" w:type="dxa"/>
          </w:tcPr>
          <w:p w:rsidR="00FD287D" w:rsidRPr="00E352BA" w:rsidRDefault="00FD287D" w:rsidP="00FD287D">
            <w:pPr>
              <w:spacing w:line="360" w:lineRule="auto"/>
              <w:jc w:val="center"/>
              <w:rPr>
                <w:rFonts w:ascii="Arial" w:hAnsi="Arial" w:cs="Arial"/>
                <w:sz w:val="24"/>
                <w:szCs w:val="24"/>
              </w:rPr>
            </w:pPr>
            <w:r w:rsidRPr="00E352BA">
              <w:rPr>
                <w:rFonts w:ascii="Arial" w:hAnsi="Arial" w:cs="Arial"/>
                <w:sz w:val="24"/>
                <w:szCs w:val="24"/>
              </w:rPr>
              <w:t>Assets/liabilities</w:t>
            </w:r>
          </w:p>
        </w:tc>
        <w:tc>
          <w:tcPr>
            <w:tcW w:w="2261" w:type="dxa"/>
          </w:tcPr>
          <w:p w:rsidR="00FD287D" w:rsidRPr="00E352BA" w:rsidRDefault="00FD287D" w:rsidP="00FD287D">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E352BA">
              <w:rPr>
                <w:rFonts w:ascii="Arial" w:hAnsi="Arial" w:cs="Arial"/>
                <w:sz w:val="24"/>
                <w:szCs w:val="24"/>
              </w:rPr>
              <w:t>2021</w:t>
            </w:r>
          </w:p>
        </w:tc>
        <w:tc>
          <w:tcPr>
            <w:tcW w:w="2261" w:type="dxa"/>
          </w:tcPr>
          <w:p w:rsidR="00FD287D" w:rsidRPr="00E352BA" w:rsidRDefault="00FD287D" w:rsidP="00FD287D">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E352BA">
              <w:rPr>
                <w:rFonts w:ascii="Arial" w:hAnsi="Arial" w:cs="Arial"/>
                <w:sz w:val="24"/>
                <w:szCs w:val="24"/>
              </w:rPr>
              <w:t>2022</w:t>
            </w:r>
          </w:p>
        </w:tc>
        <w:tc>
          <w:tcPr>
            <w:tcW w:w="2261" w:type="dxa"/>
          </w:tcPr>
          <w:p w:rsidR="00FD287D" w:rsidRPr="00E352BA" w:rsidRDefault="00FD287D" w:rsidP="00FD287D">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E352BA">
              <w:rPr>
                <w:rFonts w:ascii="Arial" w:hAnsi="Arial" w:cs="Arial"/>
                <w:sz w:val="24"/>
                <w:szCs w:val="24"/>
              </w:rPr>
              <w:t>2023</w:t>
            </w:r>
          </w:p>
        </w:tc>
      </w:tr>
      <w:tr w:rsidR="00FD287D" w:rsidRPr="00E352BA" w:rsidTr="00FD22C7">
        <w:trPr>
          <w:cnfStyle w:val="000000100000" w:firstRow="0" w:lastRow="0" w:firstColumn="0" w:lastColumn="0" w:oddVBand="0" w:evenVBand="0" w:oddHBand="1" w:evenHBand="0" w:firstRowFirstColumn="0" w:firstRowLastColumn="0" w:lastRowFirstColumn="0" w:lastRowLastColumn="0"/>
          <w:trHeight w:val="835"/>
        </w:trPr>
        <w:tc>
          <w:tcPr>
            <w:cnfStyle w:val="001000000000" w:firstRow="0" w:lastRow="0" w:firstColumn="1" w:lastColumn="0" w:oddVBand="0" w:evenVBand="0" w:oddHBand="0" w:evenHBand="0" w:firstRowFirstColumn="0" w:firstRowLastColumn="0" w:lastRowFirstColumn="0" w:lastRowLastColumn="0"/>
            <w:tcW w:w="2395" w:type="dxa"/>
          </w:tcPr>
          <w:p w:rsidR="00FD287D" w:rsidRPr="00E352BA" w:rsidRDefault="00FD287D" w:rsidP="00FD287D">
            <w:pPr>
              <w:spacing w:line="360" w:lineRule="auto"/>
              <w:jc w:val="both"/>
              <w:rPr>
                <w:rFonts w:ascii="Arial" w:hAnsi="Arial" w:cs="Arial"/>
                <w:sz w:val="24"/>
                <w:szCs w:val="24"/>
                <w:lang w:eastAsia="en-GB"/>
              </w:rPr>
            </w:pPr>
            <w:r w:rsidRPr="00E352BA">
              <w:rPr>
                <w:rFonts w:ascii="Arial" w:hAnsi="Arial" w:cs="Arial"/>
                <w:sz w:val="24"/>
                <w:szCs w:val="24"/>
              </w:rPr>
              <w:t xml:space="preserve">Total Assets </w:t>
            </w:r>
          </w:p>
        </w:tc>
        <w:tc>
          <w:tcPr>
            <w:tcW w:w="2261" w:type="dxa"/>
          </w:tcPr>
          <w:p w:rsidR="00FD287D" w:rsidRPr="00E352BA" w:rsidRDefault="00FD287D" w:rsidP="00FD287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eastAsia="en-GB"/>
              </w:rPr>
            </w:pPr>
            <w:r w:rsidRPr="00E352BA">
              <w:rPr>
                <w:rFonts w:ascii="Arial" w:hAnsi="Arial" w:cs="Arial"/>
                <w:sz w:val="24"/>
                <w:szCs w:val="24"/>
              </w:rPr>
              <w:t>£5,450,000</w:t>
            </w:r>
          </w:p>
        </w:tc>
        <w:tc>
          <w:tcPr>
            <w:tcW w:w="2261" w:type="dxa"/>
          </w:tcPr>
          <w:p w:rsidR="00FD287D" w:rsidRPr="00E352BA" w:rsidRDefault="00FD287D" w:rsidP="00FD287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eastAsia="en-GB"/>
              </w:rPr>
            </w:pPr>
            <w:r w:rsidRPr="00E352BA">
              <w:rPr>
                <w:rFonts w:ascii="Arial" w:hAnsi="Arial" w:cs="Arial"/>
                <w:sz w:val="24"/>
                <w:szCs w:val="24"/>
              </w:rPr>
              <w:t>£5,100,000</w:t>
            </w:r>
          </w:p>
        </w:tc>
        <w:tc>
          <w:tcPr>
            <w:tcW w:w="2261" w:type="dxa"/>
          </w:tcPr>
          <w:p w:rsidR="00FD287D" w:rsidRPr="00E352BA" w:rsidRDefault="00FD287D" w:rsidP="00FD287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eastAsia="en-GB"/>
              </w:rPr>
            </w:pPr>
            <w:r w:rsidRPr="00E352BA">
              <w:rPr>
                <w:rFonts w:ascii="Arial" w:hAnsi="Arial" w:cs="Arial"/>
                <w:sz w:val="24"/>
                <w:szCs w:val="24"/>
              </w:rPr>
              <w:t>£4,680,000</w:t>
            </w:r>
          </w:p>
        </w:tc>
      </w:tr>
      <w:tr w:rsidR="00FD287D" w:rsidRPr="00E352BA" w:rsidTr="00FD22C7">
        <w:trPr>
          <w:trHeight w:val="811"/>
        </w:trPr>
        <w:tc>
          <w:tcPr>
            <w:cnfStyle w:val="001000000000" w:firstRow="0" w:lastRow="0" w:firstColumn="1" w:lastColumn="0" w:oddVBand="0" w:evenVBand="0" w:oddHBand="0" w:evenHBand="0" w:firstRowFirstColumn="0" w:firstRowLastColumn="0" w:lastRowFirstColumn="0" w:lastRowLastColumn="0"/>
            <w:tcW w:w="2395" w:type="dxa"/>
          </w:tcPr>
          <w:p w:rsidR="00FD287D" w:rsidRPr="00E352BA" w:rsidRDefault="00FD287D" w:rsidP="00FD287D">
            <w:pPr>
              <w:spacing w:line="360" w:lineRule="auto"/>
              <w:jc w:val="both"/>
              <w:rPr>
                <w:rFonts w:ascii="Arial" w:hAnsi="Arial" w:cs="Arial"/>
                <w:sz w:val="24"/>
                <w:szCs w:val="24"/>
                <w:lang w:eastAsia="en-GB"/>
              </w:rPr>
            </w:pPr>
            <w:r w:rsidRPr="00E352BA">
              <w:rPr>
                <w:rFonts w:ascii="Arial" w:hAnsi="Arial" w:cs="Arial"/>
                <w:sz w:val="24"/>
                <w:szCs w:val="24"/>
                <w:lang w:eastAsia="en-GB"/>
              </w:rPr>
              <w:t>Total Liabilities</w:t>
            </w:r>
          </w:p>
        </w:tc>
        <w:tc>
          <w:tcPr>
            <w:tcW w:w="2261" w:type="dxa"/>
          </w:tcPr>
          <w:p w:rsidR="00FD287D" w:rsidRPr="00E352BA" w:rsidRDefault="00FD287D" w:rsidP="00FD287D">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eastAsia="en-GB"/>
              </w:rPr>
            </w:pPr>
            <w:r w:rsidRPr="00E352BA">
              <w:rPr>
                <w:rFonts w:ascii="Arial" w:hAnsi="Arial" w:cs="Arial"/>
                <w:sz w:val="24"/>
                <w:szCs w:val="24"/>
              </w:rPr>
              <w:t>£3,250,000</w:t>
            </w:r>
          </w:p>
        </w:tc>
        <w:tc>
          <w:tcPr>
            <w:tcW w:w="2261" w:type="dxa"/>
          </w:tcPr>
          <w:p w:rsidR="00FD287D" w:rsidRPr="00E352BA" w:rsidRDefault="00FD287D" w:rsidP="00FD287D">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eastAsia="en-GB"/>
              </w:rPr>
            </w:pPr>
            <w:r w:rsidRPr="00E352BA">
              <w:rPr>
                <w:rFonts w:ascii="Arial" w:hAnsi="Arial" w:cs="Arial"/>
                <w:sz w:val="24"/>
                <w:szCs w:val="24"/>
              </w:rPr>
              <w:t>£3,270,000</w:t>
            </w:r>
          </w:p>
        </w:tc>
        <w:tc>
          <w:tcPr>
            <w:tcW w:w="2261" w:type="dxa"/>
          </w:tcPr>
          <w:p w:rsidR="00FD287D" w:rsidRPr="00E352BA" w:rsidRDefault="00FD287D" w:rsidP="00FD287D">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eastAsia="en-GB"/>
              </w:rPr>
            </w:pPr>
            <w:r w:rsidRPr="00E352BA">
              <w:rPr>
                <w:rFonts w:ascii="Arial" w:hAnsi="Arial" w:cs="Arial"/>
                <w:sz w:val="24"/>
                <w:szCs w:val="24"/>
              </w:rPr>
              <w:t>£3,300,000</w:t>
            </w:r>
          </w:p>
        </w:tc>
      </w:tr>
    </w:tbl>
    <w:p w:rsidR="00FD287D" w:rsidRPr="00E352BA" w:rsidRDefault="00FD287D" w:rsidP="0043780B">
      <w:pPr>
        <w:spacing w:after="0" w:line="360" w:lineRule="auto"/>
        <w:jc w:val="both"/>
        <w:rPr>
          <w:rFonts w:ascii="Arial" w:hAnsi="Arial" w:cs="Arial"/>
          <w:sz w:val="24"/>
          <w:szCs w:val="24"/>
          <w:lang w:eastAsia="en-GB"/>
        </w:rPr>
      </w:pPr>
    </w:p>
    <w:p w:rsidR="00903A02" w:rsidRPr="00E352BA" w:rsidRDefault="00517866" w:rsidP="00903A02">
      <w:pPr>
        <w:spacing w:after="0" w:line="360" w:lineRule="auto"/>
        <w:jc w:val="both"/>
        <w:rPr>
          <w:rFonts w:ascii="Arial" w:eastAsia="Times New Roman" w:hAnsi="Arial" w:cs="Arial"/>
          <w:sz w:val="24"/>
          <w:szCs w:val="24"/>
          <w:lang w:eastAsia="en-GB"/>
        </w:rPr>
      </w:pPr>
      <w:r w:rsidRPr="00E352BA">
        <w:rPr>
          <w:rFonts w:ascii="Arial" w:eastAsia="Times New Roman" w:hAnsi="Arial" w:cs="Arial"/>
          <w:sz w:val="24"/>
          <w:szCs w:val="24"/>
          <w:lang w:eastAsia="en-GB"/>
        </w:rPr>
        <w:t xml:space="preserve">The solvency position </w:t>
      </w:r>
      <w:r w:rsidR="004E44B1" w:rsidRPr="00E352BA">
        <w:rPr>
          <w:rFonts w:ascii="Arial" w:eastAsia="Times New Roman" w:hAnsi="Arial" w:cs="Arial"/>
          <w:sz w:val="24"/>
          <w:szCs w:val="24"/>
          <w:lang w:eastAsia="en-GB"/>
        </w:rPr>
        <w:t xml:space="preserve">is </w:t>
      </w:r>
      <w:r w:rsidRPr="00E352BA">
        <w:rPr>
          <w:rFonts w:ascii="Arial" w:eastAsia="Times New Roman" w:hAnsi="Arial" w:cs="Arial"/>
          <w:sz w:val="24"/>
          <w:szCs w:val="24"/>
          <w:lang w:eastAsia="en-GB"/>
        </w:rPr>
        <w:t>measured by the relationship between total asse</w:t>
      </w:r>
      <w:r w:rsidR="004E44B1" w:rsidRPr="00E352BA">
        <w:rPr>
          <w:rFonts w:ascii="Arial" w:eastAsia="Times New Roman" w:hAnsi="Arial" w:cs="Arial"/>
          <w:sz w:val="24"/>
          <w:szCs w:val="24"/>
          <w:lang w:eastAsia="en-GB"/>
        </w:rPr>
        <w:t>ts and total liabilities (Hayes,</w:t>
      </w:r>
      <w:r w:rsidRPr="00E352BA">
        <w:rPr>
          <w:rFonts w:ascii="Arial" w:eastAsia="Times New Roman" w:hAnsi="Arial" w:cs="Arial"/>
          <w:sz w:val="24"/>
          <w:szCs w:val="24"/>
          <w:lang w:eastAsia="en-GB"/>
        </w:rPr>
        <w:t xml:space="preserve"> 2023). The Hotel</w:t>
      </w:r>
      <w:r w:rsidR="004E44B1" w:rsidRPr="00E352BA">
        <w:rPr>
          <w:rFonts w:ascii="Arial" w:eastAsia="Times New Roman" w:hAnsi="Arial" w:cs="Arial"/>
          <w:sz w:val="24"/>
          <w:szCs w:val="24"/>
          <w:lang w:eastAsia="en-GB"/>
        </w:rPr>
        <w:t>'</w:t>
      </w:r>
      <w:r w:rsidRPr="00E352BA">
        <w:rPr>
          <w:rFonts w:ascii="Arial" w:eastAsia="Times New Roman" w:hAnsi="Arial" w:cs="Arial"/>
          <w:sz w:val="24"/>
          <w:szCs w:val="24"/>
          <w:lang w:eastAsia="en-GB"/>
        </w:rPr>
        <w:t>s solvency position is decreasing. Total assets have decreased from £5,450,000 in 2021 to £4,680,000 in 2023, while total liabilities have increased marginally from £3,250,000 to £3,300,000 during the same period. This has resulted in a drop in equity from £2,200,000 in 2021 to £1,380,000 in 2023, indicating a lower buffer for absorbing financial shocks and increasing risk.</w:t>
      </w:r>
    </w:p>
    <w:p w:rsidR="008E0326" w:rsidRPr="00E352BA" w:rsidRDefault="008E0326" w:rsidP="00903A02">
      <w:pPr>
        <w:spacing w:after="0" w:line="360" w:lineRule="auto"/>
        <w:jc w:val="both"/>
        <w:rPr>
          <w:rFonts w:ascii="Arial" w:eastAsia="Times New Roman" w:hAnsi="Arial" w:cs="Arial"/>
          <w:b/>
          <w:sz w:val="24"/>
          <w:szCs w:val="24"/>
          <w:lang w:eastAsia="en-GB"/>
        </w:rPr>
      </w:pPr>
      <w:bookmarkStart w:id="10" w:name="_Toc168582782"/>
      <w:r w:rsidRPr="00CE77BC">
        <w:rPr>
          <w:rStyle w:val="Heading1Char"/>
        </w:rPr>
        <w:t xml:space="preserve">Return </w:t>
      </w:r>
      <w:r w:rsidR="00F608C7" w:rsidRPr="00CE77BC">
        <w:rPr>
          <w:rStyle w:val="Heading1Char"/>
        </w:rPr>
        <w:t>o</w:t>
      </w:r>
      <w:r w:rsidRPr="00CE77BC">
        <w:rPr>
          <w:rStyle w:val="Heading1Char"/>
        </w:rPr>
        <w:t>n Assets</w:t>
      </w:r>
      <w:r w:rsidR="00066D3A" w:rsidRPr="00CE77BC">
        <w:rPr>
          <w:rStyle w:val="Heading1Char"/>
        </w:rPr>
        <w:t xml:space="preserve"> (ROA)</w:t>
      </w:r>
      <w:bookmarkEnd w:id="10"/>
      <w:r w:rsidRPr="00E352BA">
        <w:rPr>
          <w:rFonts w:ascii="Arial" w:eastAsia="Times New Roman" w:hAnsi="Arial" w:cs="Arial"/>
          <w:b/>
          <w:sz w:val="24"/>
          <w:szCs w:val="24"/>
          <w:lang w:eastAsia="en-GB"/>
        </w:rPr>
        <w:t>:</w:t>
      </w:r>
    </w:p>
    <w:p w:rsidR="008E0326" w:rsidRPr="00E352BA" w:rsidRDefault="00F608C7" w:rsidP="00903A02">
      <w:pPr>
        <w:spacing w:after="0" w:line="360" w:lineRule="auto"/>
        <w:jc w:val="both"/>
        <w:rPr>
          <w:rFonts w:ascii="Arial" w:eastAsia="Times New Roman" w:hAnsi="Arial" w:cs="Arial"/>
          <w:sz w:val="24"/>
          <w:szCs w:val="24"/>
          <w:lang w:eastAsia="en-GB"/>
        </w:rPr>
      </w:pPr>
      <w:r w:rsidRPr="00E352BA">
        <w:rPr>
          <w:rFonts w:ascii="Arial" w:eastAsia="Times New Roman" w:hAnsi="Arial" w:cs="Arial"/>
          <w:noProof/>
          <w:sz w:val="24"/>
          <w:szCs w:val="24"/>
          <w:lang w:eastAsia="en-GB"/>
        </w:rPr>
        <w:drawing>
          <wp:inline distT="0" distB="0" distL="0" distR="0">
            <wp:extent cx="5486400" cy="1234440"/>
            <wp:effectExtent l="38100" t="0" r="19050" b="2286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0" r:lo="rId41" r:qs="rId42" r:cs="rId43"/>
              </a:graphicData>
            </a:graphic>
          </wp:inline>
        </w:drawing>
      </w:r>
    </w:p>
    <w:p w:rsidR="00E06D0F" w:rsidRPr="00E352BA" w:rsidRDefault="00E06D0F" w:rsidP="00556228">
      <w:pPr>
        <w:spacing w:after="0" w:line="360" w:lineRule="auto"/>
        <w:jc w:val="both"/>
        <w:rPr>
          <w:rFonts w:ascii="Arial" w:eastAsia="Times New Roman" w:hAnsi="Arial" w:cs="Arial"/>
          <w:sz w:val="24"/>
          <w:szCs w:val="24"/>
          <w:lang w:eastAsia="en-GB"/>
        </w:rPr>
      </w:pPr>
      <w:r w:rsidRPr="00E352BA">
        <w:rPr>
          <w:rFonts w:ascii="Arial" w:eastAsia="Times New Roman" w:hAnsi="Arial" w:cs="Arial"/>
          <w:sz w:val="24"/>
          <w:szCs w:val="24"/>
          <w:lang w:eastAsia="en-GB"/>
        </w:rPr>
        <w:t xml:space="preserve">This has declined from 12.84% in 2021 to -10.68% in 2023, showing that the hotel's assets are not being used properly to generate profit. </w:t>
      </w:r>
    </w:p>
    <w:p w:rsidR="004F1842" w:rsidRPr="00E352BA" w:rsidRDefault="004F1842" w:rsidP="00903A02">
      <w:pPr>
        <w:spacing w:after="0" w:line="360" w:lineRule="auto"/>
        <w:jc w:val="both"/>
        <w:rPr>
          <w:rFonts w:ascii="Arial" w:hAnsi="Arial" w:cs="Arial"/>
          <w:b/>
          <w:sz w:val="24"/>
          <w:szCs w:val="24"/>
          <w:lang w:eastAsia="en-GB"/>
        </w:rPr>
      </w:pPr>
      <w:r w:rsidRPr="00E352BA">
        <w:rPr>
          <w:rFonts w:ascii="Arial" w:hAnsi="Arial" w:cs="Arial"/>
          <w:b/>
          <w:sz w:val="24"/>
          <w:szCs w:val="24"/>
          <w:lang w:eastAsia="en-GB"/>
        </w:rPr>
        <w:t>Key reasons for the decline in profitability</w:t>
      </w:r>
    </w:p>
    <w:p w:rsidR="004977EB" w:rsidRPr="00E352BA" w:rsidRDefault="004977EB" w:rsidP="00903A02">
      <w:pPr>
        <w:spacing w:after="0" w:line="360" w:lineRule="auto"/>
        <w:jc w:val="both"/>
        <w:rPr>
          <w:rFonts w:ascii="Arial" w:hAnsi="Arial" w:cs="Arial"/>
          <w:b/>
          <w:sz w:val="24"/>
          <w:szCs w:val="24"/>
          <w:lang w:eastAsia="en-GB"/>
        </w:rPr>
      </w:pPr>
      <w:r w:rsidRPr="00E352BA">
        <w:rPr>
          <w:rFonts w:ascii="Arial" w:hAnsi="Arial" w:cs="Arial"/>
          <w:b/>
          <w:sz w:val="24"/>
          <w:szCs w:val="24"/>
          <w:lang w:eastAsia="en-GB"/>
        </w:rPr>
        <w:t>Risk Analysis:</w:t>
      </w:r>
    </w:p>
    <w:p w:rsidR="00BC3BDA" w:rsidRPr="00E352BA" w:rsidRDefault="00BC3BDA" w:rsidP="00903A02">
      <w:pPr>
        <w:spacing w:after="0" w:line="360" w:lineRule="auto"/>
        <w:jc w:val="both"/>
        <w:rPr>
          <w:rFonts w:ascii="Arial" w:eastAsia="Times New Roman" w:hAnsi="Arial" w:cs="Arial"/>
          <w:sz w:val="24"/>
          <w:szCs w:val="24"/>
          <w:lang w:eastAsia="en-GB"/>
        </w:rPr>
      </w:pPr>
      <w:r w:rsidRPr="00E352BA">
        <w:rPr>
          <w:rFonts w:ascii="Arial" w:hAnsi="Arial" w:cs="Arial"/>
          <w:sz w:val="24"/>
          <w:szCs w:val="24"/>
          <w:lang w:eastAsia="en-GB"/>
        </w:rPr>
        <w:t xml:space="preserve">There are following </w:t>
      </w:r>
      <w:r w:rsidR="004C11DF">
        <w:rPr>
          <w:rFonts w:ascii="Arial" w:hAnsi="Arial" w:cs="Arial"/>
          <w:sz w:val="24"/>
          <w:szCs w:val="24"/>
          <w:lang w:eastAsia="en-GB"/>
        </w:rPr>
        <w:t>is</w:t>
      </w:r>
      <w:r w:rsidRPr="00E352BA">
        <w:rPr>
          <w:rFonts w:ascii="Arial" w:hAnsi="Arial" w:cs="Arial"/>
          <w:sz w:val="24"/>
          <w:szCs w:val="24"/>
          <w:lang w:eastAsia="en-GB"/>
        </w:rPr>
        <w:t xml:space="preserve"> the risk analysis to find the key reasons for declining in Profitability:</w:t>
      </w:r>
    </w:p>
    <w:p w:rsidR="004F1842" w:rsidRPr="00E352BA" w:rsidRDefault="001575C0" w:rsidP="004977EB">
      <w:pPr>
        <w:spacing w:line="360" w:lineRule="auto"/>
        <w:jc w:val="both"/>
        <w:rPr>
          <w:rFonts w:ascii="Arial" w:eastAsia="Times New Roman" w:hAnsi="Arial" w:cs="Arial"/>
          <w:sz w:val="24"/>
          <w:szCs w:val="24"/>
          <w:lang w:eastAsia="en-GB"/>
        </w:rPr>
      </w:pPr>
      <w:bookmarkStart w:id="11" w:name="_Toc168582783"/>
      <w:r>
        <w:rPr>
          <w:rStyle w:val="Heading2Char"/>
          <w:rFonts w:cs="Arial"/>
          <w:szCs w:val="24"/>
        </w:rPr>
        <w:t xml:space="preserve">a. </w:t>
      </w:r>
      <w:r w:rsidR="004977EB" w:rsidRPr="00E352BA">
        <w:rPr>
          <w:rStyle w:val="Heading2Char"/>
          <w:rFonts w:cs="Arial"/>
          <w:szCs w:val="24"/>
        </w:rPr>
        <w:t>Market Risk (</w:t>
      </w:r>
      <w:r w:rsidR="004F1842" w:rsidRPr="00E352BA">
        <w:rPr>
          <w:rStyle w:val="Heading2Char"/>
          <w:rFonts w:cs="Arial"/>
          <w:szCs w:val="24"/>
        </w:rPr>
        <w:t>Inc</w:t>
      </w:r>
      <w:r w:rsidR="00581D3E" w:rsidRPr="00E352BA">
        <w:rPr>
          <w:rStyle w:val="Heading2Char"/>
          <w:rFonts w:cs="Arial"/>
          <w:szCs w:val="24"/>
        </w:rPr>
        <w:t>reased market competitiveness</w:t>
      </w:r>
      <w:r w:rsidR="004977EB" w:rsidRPr="00E352BA">
        <w:rPr>
          <w:rStyle w:val="Heading2Char"/>
          <w:rFonts w:cs="Arial"/>
          <w:szCs w:val="24"/>
        </w:rPr>
        <w:t>)</w:t>
      </w:r>
      <w:bookmarkEnd w:id="11"/>
      <w:r w:rsidR="00581D3E" w:rsidRPr="00E352BA">
        <w:rPr>
          <w:rFonts w:ascii="Arial" w:eastAsia="Times New Roman" w:hAnsi="Arial" w:cs="Arial"/>
          <w:b/>
          <w:sz w:val="24"/>
          <w:szCs w:val="24"/>
          <w:lang w:eastAsia="en-GB"/>
        </w:rPr>
        <w:t xml:space="preserve">: </w:t>
      </w:r>
      <w:r w:rsidR="004F1842" w:rsidRPr="00E352BA">
        <w:rPr>
          <w:rFonts w:ascii="Arial" w:eastAsia="Times New Roman" w:hAnsi="Arial" w:cs="Arial"/>
          <w:sz w:val="24"/>
          <w:szCs w:val="24"/>
          <w:lang w:eastAsia="en-GB"/>
        </w:rPr>
        <w:br/>
      </w:r>
      <w:r w:rsidR="004977EB" w:rsidRPr="00E352BA">
        <w:rPr>
          <w:rFonts w:ascii="Arial" w:eastAsia="Times New Roman" w:hAnsi="Arial" w:cs="Arial"/>
          <w:sz w:val="24"/>
          <w:szCs w:val="24"/>
          <w:lang w:eastAsia="en-GB"/>
        </w:rPr>
        <w:t xml:space="preserve">Urban Heights Hotel confronts increased competition from new hotels and other lodging options such as Airbnb. Furthermore, economic downturns can reduce the number of travellers, affecting occupancy rates and income. </w:t>
      </w:r>
      <w:r w:rsidR="004F1842" w:rsidRPr="00E352BA">
        <w:rPr>
          <w:rFonts w:ascii="Arial" w:eastAsia="Times New Roman" w:hAnsi="Arial" w:cs="Arial"/>
          <w:sz w:val="24"/>
          <w:szCs w:val="24"/>
          <w:lang w:eastAsia="en-GB"/>
        </w:rPr>
        <w:t xml:space="preserve">This increased competition results in a loss of market share, causing the hotel to lower its pricing to stay competitive. According to Jones (2021), the rise of budget hotels and short-term </w:t>
      </w:r>
      <w:r w:rsidR="004F1842" w:rsidRPr="00E352BA">
        <w:rPr>
          <w:rFonts w:ascii="Arial" w:eastAsia="Times New Roman" w:hAnsi="Arial" w:cs="Arial"/>
          <w:sz w:val="24"/>
          <w:szCs w:val="24"/>
          <w:lang w:eastAsia="en-GB"/>
        </w:rPr>
        <w:lastRenderedPageBreak/>
        <w:t>rental platforms has significantly reduced the market share of traditional hotels, resulting in a 15% drop in average occupancy rates for established properties.</w:t>
      </w:r>
    </w:p>
    <w:p w:rsidR="004977EB" w:rsidRPr="00E352BA" w:rsidRDefault="001575C0" w:rsidP="004977EB">
      <w:pPr>
        <w:spacing w:after="0" w:line="360" w:lineRule="auto"/>
        <w:jc w:val="both"/>
        <w:rPr>
          <w:rStyle w:val="Heading2Char"/>
          <w:rFonts w:cs="Arial"/>
          <w:szCs w:val="24"/>
        </w:rPr>
      </w:pPr>
      <w:bookmarkStart w:id="12" w:name="_Toc168582784"/>
      <w:r>
        <w:rPr>
          <w:rStyle w:val="Heading2Char"/>
          <w:rFonts w:cs="Arial"/>
          <w:szCs w:val="24"/>
        </w:rPr>
        <w:t xml:space="preserve">B. </w:t>
      </w:r>
      <w:r w:rsidR="004977EB" w:rsidRPr="00E352BA">
        <w:rPr>
          <w:rStyle w:val="Heading2Char"/>
          <w:rFonts w:cs="Arial"/>
          <w:szCs w:val="24"/>
        </w:rPr>
        <w:t>Operational Risk (Increasing Operating Cost):</w:t>
      </w:r>
      <w:bookmarkEnd w:id="12"/>
    </w:p>
    <w:p w:rsidR="004977EB" w:rsidRPr="00E352BA" w:rsidRDefault="004977EB" w:rsidP="004977EB">
      <w:pPr>
        <w:spacing w:after="0" w:line="360" w:lineRule="auto"/>
        <w:jc w:val="both"/>
        <w:rPr>
          <w:rFonts w:ascii="Arial" w:eastAsia="Times New Roman" w:hAnsi="Arial" w:cs="Arial"/>
          <w:sz w:val="24"/>
          <w:szCs w:val="24"/>
          <w:lang w:eastAsia="en-GB"/>
        </w:rPr>
      </w:pPr>
      <w:r w:rsidRPr="00E352BA">
        <w:rPr>
          <w:rFonts w:ascii="Arial" w:eastAsia="Times New Roman" w:hAnsi="Arial" w:cs="Arial"/>
          <w:sz w:val="24"/>
          <w:szCs w:val="24"/>
          <w:lang w:eastAsia="en-GB"/>
        </w:rPr>
        <w:t>The hotel experience the rising running costs, such as inflation and increasing wages, as well as maintaining service quality, are examples of operational hazards. Reduced client satisfaction as a result of poor service quality and obsolete amenities poses a considerable operating risk.</w:t>
      </w:r>
    </w:p>
    <w:p w:rsidR="0070031B" w:rsidRPr="00E352BA" w:rsidRDefault="001575C0" w:rsidP="00CE356B">
      <w:pPr>
        <w:spacing w:after="0" w:line="36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 xml:space="preserve">C. </w:t>
      </w:r>
      <w:r w:rsidR="0070031B" w:rsidRPr="00E352BA">
        <w:rPr>
          <w:rFonts w:ascii="Arial" w:eastAsia="Times New Roman" w:hAnsi="Arial" w:cs="Arial"/>
          <w:b/>
          <w:sz w:val="24"/>
          <w:szCs w:val="24"/>
          <w:lang w:eastAsia="en-GB"/>
        </w:rPr>
        <w:t>Financial Risk (Hotel’s High Fixed Cost):</w:t>
      </w:r>
    </w:p>
    <w:p w:rsidR="00CE356B" w:rsidRPr="00E352BA" w:rsidRDefault="00CE356B" w:rsidP="00CE356B">
      <w:pPr>
        <w:spacing w:after="0" w:line="360" w:lineRule="auto"/>
        <w:jc w:val="both"/>
        <w:rPr>
          <w:rFonts w:ascii="Arial" w:eastAsia="Times New Roman" w:hAnsi="Arial" w:cs="Arial"/>
          <w:sz w:val="24"/>
          <w:szCs w:val="24"/>
          <w:lang w:eastAsia="en-GB"/>
        </w:rPr>
      </w:pPr>
      <w:r w:rsidRPr="00E352BA">
        <w:rPr>
          <w:rFonts w:ascii="Arial" w:eastAsia="Times New Roman" w:hAnsi="Arial" w:cs="Arial"/>
          <w:sz w:val="24"/>
          <w:szCs w:val="24"/>
          <w:lang w:eastAsia="en-GB"/>
        </w:rPr>
        <w:t>The Urban Heights hotel faces financial risk</w:t>
      </w:r>
      <w:r w:rsidR="004C11DF">
        <w:rPr>
          <w:rFonts w:ascii="Arial" w:eastAsia="Times New Roman" w:hAnsi="Arial" w:cs="Arial"/>
          <w:sz w:val="24"/>
          <w:szCs w:val="24"/>
          <w:lang w:eastAsia="en-GB"/>
        </w:rPr>
        <w:t>s</w:t>
      </w:r>
      <w:r w:rsidRPr="00E352BA">
        <w:rPr>
          <w:rFonts w:ascii="Arial" w:eastAsia="Times New Roman" w:hAnsi="Arial" w:cs="Arial"/>
          <w:sz w:val="24"/>
          <w:szCs w:val="24"/>
          <w:lang w:eastAsia="en-GB"/>
        </w:rPr>
        <w:t xml:space="preserve"> that include the hotel's high fixed costs, which do not decrease proportionally with occupancy rates, resulting in larger financial losses during periods of low income. The declining cash and equivalents, as well as the increasing obligations, exacerbate these financial issues.</w:t>
      </w:r>
    </w:p>
    <w:p w:rsidR="00BC3BDA" w:rsidRPr="00E352BA" w:rsidRDefault="001575C0" w:rsidP="00BC3BDA">
      <w:pPr>
        <w:spacing w:after="0" w:line="360" w:lineRule="auto"/>
        <w:jc w:val="both"/>
        <w:rPr>
          <w:rFonts w:ascii="Arial" w:eastAsia="Times New Roman" w:hAnsi="Arial" w:cs="Arial"/>
          <w:sz w:val="24"/>
          <w:szCs w:val="24"/>
          <w:lang w:eastAsia="en-GB"/>
        </w:rPr>
      </w:pPr>
      <w:r>
        <w:rPr>
          <w:rFonts w:ascii="Arial" w:eastAsia="Times New Roman" w:hAnsi="Arial" w:cs="Arial"/>
          <w:b/>
          <w:sz w:val="24"/>
          <w:szCs w:val="24"/>
          <w:lang w:eastAsia="en-GB"/>
        </w:rPr>
        <w:t xml:space="preserve">D. </w:t>
      </w:r>
      <w:r w:rsidR="00BC3BDA" w:rsidRPr="00E352BA">
        <w:rPr>
          <w:rFonts w:ascii="Arial" w:eastAsia="Times New Roman" w:hAnsi="Arial" w:cs="Arial"/>
          <w:b/>
          <w:sz w:val="24"/>
          <w:szCs w:val="24"/>
          <w:lang w:eastAsia="en-GB"/>
        </w:rPr>
        <w:t>Regulatory and Compliance Risks (Follow the Number of Requirements):</w:t>
      </w:r>
      <w:r w:rsidR="00BC3BDA" w:rsidRPr="00E352BA">
        <w:rPr>
          <w:rFonts w:ascii="Arial" w:eastAsia="Times New Roman" w:hAnsi="Arial" w:cs="Arial"/>
          <w:sz w:val="24"/>
          <w:szCs w:val="24"/>
          <w:lang w:eastAsia="en-GB"/>
        </w:rPr>
        <w:t xml:space="preserve"> </w:t>
      </w:r>
      <w:r w:rsidR="00BC3BDA" w:rsidRPr="00E352BA">
        <w:rPr>
          <w:rFonts w:ascii="Arial" w:eastAsia="Times New Roman" w:hAnsi="Arial" w:cs="Arial"/>
          <w:sz w:val="24"/>
          <w:szCs w:val="24"/>
          <w:lang w:eastAsia="en-GB"/>
        </w:rPr>
        <w:br/>
        <w:t xml:space="preserve">The hotel must follow </w:t>
      </w:r>
      <w:r w:rsidR="004C11DF">
        <w:rPr>
          <w:rFonts w:ascii="Arial" w:eastAsia="Times New Roman" w:hAnsi="Arial" w:cs="Arial"/>
          <w:sz w:val="24"/>
          <w:szCs w:val="24"/>
          <w:lang w:eastAsia="en-GB"/>
        </w:rPr>
        <w:t>several</w:t>
      </w:r>
      <w:r w:rsidR="00BC3BDA" w:rsidRPr="00E352BA">
        <w:rPr>
          <w:rFonts w:ascii="Arial" w:eastAsia="Times New Roman" w:hAnsi="Arial" w:cs="Arial"/>
          <w:sz w:val="24"/>
          <w:szCs w:val="24"/>
          <w:lang w:eastAsia="en-GB"/>
        </w:rPr>
        <w:t xml:space="preserve"> requirements, including health and safety guidelines, labour laws, and environmental regulations. Noncompliance may result in fines and legal issues, worsening the financial situation.</w:t>
      </w:r>
    </w:p>
    <w:p w:rsidR="001575C0" w:rsidRDefault="00897AFC" w:rsidP="003C733D">
      <w:pPr>
        <w:spacing w:after="0" w:line="360" w:lineRule="auto"/>
        <w:jc w:val="both"/>
        <w:rPr>
          <w:rFonts w:ascii="Arial" w:eastAsia="Times New Roman" w:hAnsi="Arial" w:cs="Arial"/>
          <w:sz w:val="24"/>
          <w:szCs w:val="24"/>
          <w:lang w:eastAsia="en-GB"/>
        </w:rPr>
      </w:pPr>
      <w:r w:rsidRPr="00E352BA">
        <w:rPr>
          <w:rFonts w:ascii="Arial" w:eastAsia="Times New Roman" w:hAnsi="Arial" w:cs="Arial"/>
          <w:b/>
          <w:sz w:val="24"/>
          <w:szCs w:val="24"/>
          <w:lang w:eastAsia="en-GB"/>
        </w:rPr>
        <w:t>A</w:t>
      </w:r>
      <w:r w:rsidR="003C733D" w:rsidRPr="00E352BA">
        <w:rPr>
          <w:rFonts w:ascii="Arial" w:eastAsia="Times New Roman" w:hAnsi="Arial" w:cs="Arial"/>
          <w:b/>
          <w:sz w:val="24"/>
          <w:szCs w:val="24"/>
          <w:lang w:eastAsia="en-GB"/>
        </w:rPr>
        <w:t xml:space="preserve">ssessing and quantifying risk </w:t>
      </w:r>
      <w:r w:rsidR="003C733D" w:rsidRPr="00E352BA">
        <w:rPr>
          <w:rFonts w:ascii="Arial" w:eastAsia="Times New Roman" w:hAnsi="Arial" w:cs="Arial"/>
          <w:b/>
          <w:sz w:val="24"/>
          <w:szCs w:val="24"/>
          <w:lang w:eastAsia="en-GB"/>
        </w:rPr>
        <w:br/>
      </w:r>
      <w:r w:rsidR="001575C0">
        <w:rPr>
          <w:rFonts w:ascii="Arial" w:eastAsia="Times New Roman" w:hAnsi="Arial" w:cs="Arial"/>
          <w:b/>
          <w:sz w:val="24"/>
          <w:szCs w:val="24"/>
          <w:lang w:eastAsia="en-GB"/>
        </w:rPr>
        <w:t xml:space="preserve">a. </w:t>
      </w:r>
      <w:r w:rsidR="003C733D" w:rsidRPr="00E352BA">
        <w:rPr>
          <w:rFonts w:ascii="Arial" w:eastAsia="Times New Roman" w:hAnsi="Arial" w:cs="Arial"/>
          <w:b/>
          <w:sz w:val="24"/>
          <w:szCs w:val="24"/>
          <w:lang w:eastAsia="en-GB"/>
        </w:rPr>
        <w:t>Market Competition:</w:t>
      </w:r>
      <w:r w:rsidR="003C733D" w:rsidRPr="00E352BA">
        <w:rPr>
          <w:rFonts w:ascii="Arial" w:eastAsia="Times New Roman" w:hAnsi="Arial" w:cs="Arial"/>
          <w:sz w:val="24"/>
          <w:szCs w:val="24"/>
          <w:lang w:eastAsia="en-GB"/>
        </w:rPr>
        <w:t xml:space="preserve"> </w:t>
      </w:r>
      <w:r w:rsidR="003C733D" w:rsidRPr="00E352BA">
        <w:rPr>
          <w:rFonts w:ascii="Arial" w:eastAsia="Times New Roman" w:hAnsi="Arial" w:cs="Arial"/>
          <w:sz w:val="24"/>
          <w:szCs w:val="24"/>
          <w:lang w:eastAsia="en-GB"/>
        </w:rPr>
        <w:br/>
      </w:r>
      <w:r w:rsidRPr="00E352BA">
        <w:rPr>
          <w:rFonts w:ascii="Arial" w:eastAsia="Times New Roman" w:hAnsi="Arial" w:cs="Arial"/>
          <w:sz w:val="24"/>
          <w:szCs w:val="24"/>
          <w:lang w:eastAsia="en-GB"/>
        </w:rPr>
        <w:t>The reduction in revenues from £2,500,000 in 2021 to £1,800,000 in 2023 repre</w:t>
      </w:r>
      <w:r w:rsidR="001575C0">
        <w:rPr>
          <w:rFonts w:ascii="Arial" w:eastAsia="Times New Roman" w:hAnsi="Arial" w:cs="Arial"/>
          <w:sz w:val="24"/>
          <w:szCs w:val="24"/>
          <w:lang w:eastAsia="en-GB"/>
        </w:rPr>
        <w:t xml:space="preserve">sents a loss of market share. </w:t>
      </w:r>
    </w:p>
    <w:p w:rsidR="00897AFC" w:rsidRPr="00E352BA" w:rsidRDefault="001575C0" w:rsidP="003C733D">
      <w:pPr>
        <w:spacing w:after="0" w:line="360" w:lineRule="auto"/>
        <w:jc w:val="both"/>
        <w:rPr>
          <w:rFonts w:ascii="Arial" w:eastAsia="Times New Roman" w:hAnsi="Arial" w:cs="Arial"/>
          <w:sz w:val="24"/>
          <w:szCs w:val="24"/>
          <w:lang w:eastAsia="en-GB"/>
        </w:rPr>
      </w:pPr>
      <w:r>
        <w:rPr>
          <w:rFonts w:ascii="Arial" w:eastAsia="Times New Roman" w:hAnsi="Arial" w:cs="Arial"/>
          <w:b/>
          <w:sz w:val="24"/>
          <w:szCs w:val="24"/>
          <w:lang w:eastAsia="en-GB"/>
        </w:rPr>
        <w:t xml:space="preserve">b. </w:t>
      </w:r>
      <w:r w:rsidR="003C733D" w:rsidRPr="00E352BA">
        <w:rPr>
          <w:rFonts w:ascii="Arial" w:eastAsia="Times New Roman" w:hAnsi="Arial" w:cs="Arial"/>
          <w:b/>
          <w:sz w:val="24"/>
          <w:szCs w:val="24"/>
          <w:lang w:eastAsia="en-GB"/>
        </w:rPr>
        <w:t xml:space="preserve">Economic Conditions: </w:t>
      </w:r>
      <w:r w:rsidR="003C733D" w:rsidRPr="00E352BA">
        <w:rPr>
          <w:rFonts w:ascii="Arial" w:eastAsia="Times New Roman" w:hAnsi="Arial" w:cs="Arial"/>
          <w:b/>
          <w:sz w:val="24"/>
          <w:szCs w:val="24"/>
          <w:lang w:eastAsia="en-GB"/>
        </w:rPr>
        <w:br/>
      </w:r>
      <w:r w:rsidR="00897AFC" w:rsidRPr="00E352BA">
        <w:rPr>
          <w:rFonts w:ascii="Arial" w:eastAsia="Times New Roman" w:hAnsi="Arial" w:cs="Arial"/>
          <w:sz w:val="24"/>
          <w:szCs w:val="24"/>
          <w:lang w:eastAsia="en-GB"/>
        </w:rPr>
        <w:t>The drop in revenue and occupancy rates reflects broader economic conditions since declining visitor activi</w:t>
      </w:r>
      <w:r w:rsidR="003C733D" w:rsidRPr="00E352BA">
        <w:rPr>
          <w:rFonts w:ascii="Arial" w:eastAsia="Times New Roman" w:hAnsi="Arial" w:cs="Arial"/>
          <w:sz w:val="24"/>
          <w:szCs w:val="24"/>
          <w:lang w:eastAsia="en-GB"/>
        </w:rPr>
        <w:t xml:space="preserve">ty affects hotel performance. </w:t>
      </w:r>
      <w:r w:rsidR="003C733D" w:rsidRPr="00E352BA">
        <w:rPr>
          <w:rFonts w:ascii="Arial" w:eastAsia="Times New Roman" w:hAnsi="Arial" w:cs="Arial"/>
          <w:sz w:val="24"/>
          <w:szCs w:val="24"/>
          <w:lang w:eastAsia="en-GB"/>
        </w:rPr>
        <w:br/>
      </w:r>
      <w:r>
        <w:rPr>
          <w:rFonts w:ascii="Arial" w:eastAsia="Times New Roman" w:hAnsi="Arial" w:cs="Arial"/>
          <w:b/>
          <w:sz w:val="24"/>
          <w:szCs w:val="24"/>
          <w:lang w:eastAsia="en-GB"/>
        </w:rPr>
        <w:t xml:space="preserve">c. </w:t>
      </w:r>
      <w:r w:rsidR="00897AFC" w:rsidRPr="00E352BA">
        <w:rPr>
          <w:rFonts w:ascii="Arial" w:eastAsia="Times New Roman" w:hAnsi="Arial" w:cs="Arial"/>
          <w:b/>
          <w:sz w:val="24"/>
          <w:szCs w:val="24"/>
          <w:lang w:eastAsia="en-GB"/>
        </w:rPr>
        <w:t>Customer Sati</w:t>
      </w:r>
      <w:r w:rsidR="003C733D" w:rsidRPr="00E352BA">
        <w:rPr>
          <w:rFonts w:ascii="Arial" w:eastAsia="Times New Roman" w:hAnsi="Arial" w:cs="Arial"/>
          <w:b/>
          <w:sz w:val="24"/>
          <w:szCs w:val="24"/>
          <w:lang w:eastAsia="en-GB"/>
        </w:rPr>
        <w:t xml:space="preserve">sfaction and Service Quality: </w:t>
      </w:r>
      <w:r w:rsidR="003C733D" w:rsidRPr="00E352BA">
        <w:rPr>
          <w:rFonts w:ascii="Arial" w:eastAsia="Times New Roman" w:hAnsi="Arial" w:cs="Arial"/>
          <w:b/>
          <w:sz w:val="24"/>
          <w:szCs w:val="24"/>
          <w:lang w:eastAsia="en-GB"/>
        </w:rPr>
        <w:br/>
      </w:r>
      <w:r w:rsidR="00897AFC" w:rsidRPr="00E352BA">
        <w:rPr>
          <w:rFonts w:ascii="Arial" w:eastAsia="Times New Roman" w:hAnsi="Arial" w:cs="Arial"/>
          <w:sz w:val="24"/>
          <w:szCs w:val="24"/>
          <w:lang w:eastAsia="en-GB"/>
        </w:rPr>
        <w:t>Measured by a decline in repeat customers and negative feedback, which influences future bookings.</w:t>
      </w:r>
    </w:p>
    <w:p w:rsidR="003C733D" w:rsidRPr="00E352BA" w:rsidRDefault="001575C0" w:rsidP="003C733D">
      <w:pPr>
        <w:spacing w:after="0" w:line="360" w:lineRule="auto"/>
        <w:jc w:val="both"/>
        <w:rPr>
          <w:rFonts w:ascii="Arial" w:eastAsia="Times New Roman" w:hAnsi="Arial" w:cs="Arial"/>
          <w:sz w:val="24"/>
          <w:szCs w:val="24"/>
          <w:lang w:eastAsia="en-GB"/>
        </w:rPr>
      </w:pPr>
      <w:r>
        <w:rPr>
          <w:rFonts w:ascii="Arial" w:eastAsia="Times New Roman" w:hAnsi="Arial" w:cs="Arial"/>
          <w:b/>
          <w:sz w:val="24"/>
          <w:szCs w:val="24"/>
          <w:lang w:eastAsia="en-GB"/>
        </w:rPr>
        <w:t xml:space="preserve">d. </w:t>
      </w:r>
      <w:r w:rsidR="003C733D" w:rsidRPr="00E352BA">
        <w:rPr>
          <w:rFonts w:ascii="Arial" w:eastAsia="Times New Roman" w:hAnsi="Arial" w:cs="Arial"/>
          <w:b/>
          <w:sz w:val="24"/>
          <w:szCs w:val="24"/>
          <w:lang w:eastAsia="en-GB"/>
        </w:rPr>
        <w:t xml:space="preserve">Operational costs: </w:t>
      </w:r>
      <w:r w:rsidR="003C733D" w:rsidRPr="00E352BA">
        <w:rPr>
          <w:rFonts w:ascii="Arial" w:eastAsia="Times New Roman" w:hAnsi="Arial" w:cs="Arial"/>
          <w:b/>
          <w:sz w:val="24"/>
          <w:szCs w:val="24"/>
          <w:lang w:eastAsia="en-GB"/>
        </w:rPr>
        <w:br/>
      </w:r>
      <w:r w:rsidR="003C733D" w:rsidRPr="00E352BA">
        <w:rPr>
          <w:rFonts w:ascii="Arial" w:eastAsia="Times New Roman" w:hAnsi="Arial" w:cs="Arial"/>
          <w:sz w:val="24"/>
          <w:szCs w:val="24"/>
          <w:lang w:eastAsia="en-GB"/>
        </w:rPr>
        <w:t xml:space="preserve">Operational expenses have increased from £1,800,000 in 2021 to £2,300,000 in 2023, reflecting escalating cost constraints. </w:t>
      </w:r>
      <w:r w:rsidR="003C733D" w:rsidRPr="00E352BA">
        <w:rPr>
          <w:rFonts w:ascii="Arial" w:eastAsia="Times New Roman" w:hAnsi="Arial" w:cs="Arial"/>
          <w:sz w:val="24"/>
          <w:szCs w:val="24"/>
          <w:lang w:eastAsia="en-GB"/>
        </w:rPr>
        <w:br/>
      </w:r>
      <w:r>
        <w:rPr>
          <w:rFonts w:ascii="Arial" w:eastAsia="Times New Roman" w:hAnsi="Arial" w:cs="Arial"/>
          <w:b/>
          <w:sz w:val="24"/>
          <w:szCs w:val="24"/>
          <w:lang w:eastAsia="en-GB"/>
        </w:rPr>
        <w:t xml:space="preserve">e. </w:t>
      </w:r>
      <w:r w:rsidR="003C733D" w:rsidRPr="00E352BA">
        <w:rPr>
          <w:rFonts w:ascii="Arial" w:eastAsia="Times New Roman" w:hAnsi="Arial" w:cs="Arial"/>
          <w:b/>
          <w:sz w:val="24"/>
          <w:szCs w:val="24"/>
          <w:lang w:eastAsia="en-GB"/>
        </w:rPr>
        <w:t xml:space="preserve">Fixed costs: </w:t>
      </w:r>
      <w:r w:rsidR="003C733D" w:rsidRPr="00E352BA">
        <w:rPr>
          <w:rFonts w:ascii="Arial" w:eastAsia="Times New Roman" w:hAnsi="Arial" w:cs="Arial"/>
          <w:b/>
          <w:sz w:val="24"/>
          <w:szCs w:val="24"/>
          <w:lang w:eastAsia="en-GB"/>
        </w:rPr>
        <w:br/>
      </w:r>
      <w:r w:rsidR="003C733D" w:rsidRPr="00E352BA">
        <w:rPr>
          <w:rFonts w:ascii="Arial" w:eastAsia="Times New Roman" w:hAnsi="Arial" w:cs="Arial"/>
          <w:sz w:val="24"/>
          <w:szCs w:val="24"/>
          <w:lang w:eastAsia="en-GB"/>
        </w:rPr>
        <w:t>The inability to reduce fixed expenses in line with dropping sales has a significant impact on net income, ending in losses in 2023.</w:t>
      </w:r>
    </w:p>
    <w:p w:rsidR="00BA6350" w:rsidRPr="00E352BA" w:rsidRDefault="00BA6350" w:rsidP="00CE77BC">
      <w:pPr>
        <w:pStyle w:val="Heading1"/>
        <w:rPr>
          <w:rFonts w:eastAsia="Times New Roman"/>
          <w:lang w:eastAsia="en-GB"/>
        </w:rPr>
      </w:pPr>
      <w:bookmarkStart w:id="13" w:name="_Toc168582785"/>
      <w:r w:rsidRPr="00E352BA">
        <w:rPr>
          <w:lang w:eastAsia="en-GB"/>
        </w:rPr>
        <w:lastRenderedPageBreak/>
        <w:t>Comprehensive Turnaround Strategy for the Urban Heights Hotel</w:t>
      </w:r>
      <w:bookmarkEnd w:id="13"/>
    </w:p>
    <w:p w:rsidR="00295DA4" w:rsidRPr="00E352BA" w:rsidRDefault="005F2EC5" w:rsidP="00CC294C">
      <w:pPr>
        <w:spacing w:after="0" w:line="360" w:lineRule="auto"/>
        <w:jc w:val="both"/>
        <w:rPr>
          <w:rFonts w:ascii="Arial" w:eastAsia="Times New Roman" w:hAnsi="Arial" w:cs="Arial"/>
          <w:sz w:val="24"/>
          <w:szCs w:val="24"/>
          <w:lang w:eastAsia="en-GB"/>
        </w:rPr>
      </w:pPr>
      <w:r w:rsidRPr="00E352BA">
        <w:rPr>
          <w:rFonts w:ascii="Arial" w:eastAsia="Times New Roman" w:hAnsi="Arial" w:cs="Arial"/>
          <w:sz w:val="24"/>
          <w:szCs w:val="24"/>
          <w:lang w:eastAsia="en-GB"/>
        </w:rPr>
        <w:t>A comprehensive turnaround strategy is necessary to address Urban Heights Hotel's major concerns while also recoverin</w:t>
      </w:r>
      <w:r w:rsidR="00CC294C" w:rsidRPr="00E352BA">
        <w:rPr>
          <w:rFonts w:ascii="Arial" w:eastAsia="Times New Roman" w:hAnsi="Arial" w:cs="Arial"/>
          <w:sz w:val="24"/>
          <w:szCs w:val="24"/>
          <w:lang w:eastAsia="en-GB"/>
        </w:rPr>
        <w:t>g its financial health and reputation</w:t>
      </w:r>
      <w:r w:rsidRPr="00E352BA">
        <w:rPr>
          <w:rFonts w:ascii="Arial" w:eastAsia="Times New Roman" w:hAnsi="Arial" w:cs="Arial"/>
          <w:sz w:val="24"/>
          <w:szCs w:val="24"/>
          <w:lang w:eastAsia="en-GB"/>
        </w:rPr>
        <w:t>. The following recommendations align with the key obstacles and hazards identified:</w:t>
      </w:r>
    </w:p>
    <w:p w:rsidR="00295DA4" w:rsidRPr="00E352BA" w:rsidRDefault="00295DA4" w:rsidP="000E1335">
      <w:pPr>
        <w:spacing w:after="0" w:line="360" w:lineRule="auto"/>
        <w:jc w:val="both"/>
        <w:rPr>
          <w:rFonts w:ascii="Arial" w:eastAsia="Times New Roman" w:hAnsi="Arial" w:cs="Arial"/>
          <w:sz w:val="24"/>
          <w:szCs w:val="24"/>
          <w:lang w:eastAsia="en-GB"/>
        </w:rPr>
      </w:pPr>
      <w:r w:rsidRPr="00E352BA">
        <w:rPr>
          <w:rFonts w:ascii="Arial" w:eastAsia="Times New Roman" w:hAnsi="Arial" w:cs="Arial"/>
          <w:noProof/>
          <w:sz w:val="24"/>
          <w:szCs w:val="24"/>
          <w:lang w:eastAsia="en-GB"/>
        </w:rPr>
        <w:drawing>
          <wp:inline distT="0" distB="0" distL="0" distR="0">
            <wp:extent cx="5669280" cy="1684020"/>
            <wp:effectExtent l="0" t="38100" r="7620" b="49530"/>
            <wp:docPr id="13"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5" r:lo="rId46" r:qs="rId47" r:cs="rId48"/>
              </a:graphicData>
            </a:graphic>
          </wp:inline>
        </w:drawing>
      </w:r>
    </w:p>
    <w:p w:rsidR="003A2D2A" w:rsidRPr="00E352BA" w:rsidRDefault="003A2D2A" w:rsidP="00E573FD">
      <w:pPr>
        <w:spacing w:after="0" w:line="360" w:lineRule="auto"/>
        <w:jc w:val="both"/>
        <w:rPr>
          <w:rFonts w:ascii="Arial" w:eastAsia="Times New Roman" w:hAnsi="Arial" w:cs="Arial"/>
          <w:sz w:val="24"/>
          <w:szCs w:val="24"/>
          <w:lang w:eastAsia="en-GB"/>
        </w:rPr>
      </w:pPr>
    </w:p>
    <w:p w:rsidR="007261B4" w:rsidRPr="00E352BA" w:rsidRDefault="00CE77BC" w:rsidP="00E352BA">
      <w:pPr>
        <w:spacing w:line="360" w:lineRule="auto"/>
        <w:jc w:val="both"/>
        <w:rPr>
          <w:rFonts w:ascii="Arial" w:eastAsia="Times New Roman" w:hAnsi="Arial" w:cs="Arial"/>
          <w:sz w:val="24"/>
          <w:szCs w:val="24"/>
          <w:lang w:eastAsia="en-GB"/>
        </w:rPr>
      </w:pPr>
      <w:bookmarkStart w:id="14" w:name="_Toc168582786"/>
      <w:r>
        <w:rPr>
          <w:rStyle w:val="Heading2Char"/>
        </w:rPr>
        <w:t xml:space="preserve">1. </w:t>
      </w:r>
      <w:r w:rsidR="007261B4" w:rsidRPr="00CE77BC">
        <w:rPr>
          <w:rStyle w:val="Heading2Char"/>
        </w:rPr>
        <w:t>Market Risk Mitigation</w:t>
      </w:r>
      <w:bookmarkEnd w:id="14"/>
      <w:r w:rsidR="007261B4" w:rsidRPr="00CE77BC">
        <w:rPr>
          <w:rStyle w:val="Heading2Char"/>
        </w:rPr>
        <w:t xml:space="preserve"> </w:t>
      </w:r>
      <w:r w:rsidR="007261B4" w:rsidRPr="00CE77BC">
        <w:rPr>
          <w:rStyle w:val="Heading2Char"/>
        </w:rPr>
        <w:br/>
      </w:r>
      <w:r w:rsidR="007261B4" w:rsidRPr="00E352BA">
        <w:rPr>
          <w:rFonts w:ascii="Arial" w:eastAsia="Times New Roman" w:hAnsi="Arial" w:cs="Arial"/>
          <w:b/>
          <w:sz w:val="24"/>
          <w:szCs w:val="24"/>
          <w:lang w:eastAsia="en-GB"/>
        </w:rPr>
        <w:t xml:space="preserve">1.1 Competitive Prices and Packages. </w:t>
      </w:r>
      <w:r w:rsidR="007261B4" w:rsidRPr="00E352BA">
        <w:rPr>
          <w:rFonts w:ascii="Arial" w:eastAsia="Times New Roman" w:hAnsi="Arial" w:cs="Arial"/>
          <w:b/>
          <w:sz w:val="24"/>
          <w:szCs w:val="24"/>
          <w:lang w:eastAsia="en-GB"/>
        </w:rPr>
        <w:br/>
        <w:t xml:space="preserve">Issue Addressed: </w:t>
      </w:r>
      <w:r w:rsidR="007261B4" w:rsidRPr="00E352BA">
        <w:rPr>
          <w:rFonts w:ascii="Arial" w:eastAsia="Times New Roman" w:hAnsi="Arial" w:cs="Arial"/>
          <w:sz w:val="24"/>
          <w:szCs w:val="24"/>
          <w:lang w:eastAsia="en-GB"/>
        </w:rPr>
        <w:br/>
        <w:t xml:space="preserve">Revenue is decreasing due to market competition. </w:t>
      </w:r>
      <w:r w:rsidR="007261B4" w:rsidRPr="00E352BA">
        <w:rPr>
          <w:rFonts w:ascii="Arial" w:eastAsia="Times New Roman" w:hAnsi="Arial" w:cs="Arial"/>
          <w:sz w:val="24"/>
          <w:szCs w:val="24"/>
          <w:lang w:eastAsia="en-GB"/>
        </w:rPr>
        <w:br/>
      </w:r>
      <w:r w:rsidR="007261B4" w:rsidRPr="00E352BA">
        <w:rPr>
          <w:rFonts w:ascii="Arial" w:eastAsia="Times New Roman" w:hAnsi="Arial" w:cs="Arial"/>
          <w:b/>
          <w:sz w:val="24"/>
          <w:szCs w:val="24"/>
          <w:lang w:eastAsia="en-GB"/>
        </w:rPr>
        <w:t xml:space="preserve">Recommendation: </w:t>
      </w:r>
      <w:r w:rsidR="007261B4" w:rsidRPr="00E352BA">
        <w:rPr>
          <w:rFonts w:ascii="Arial" w:eastAsia="Times New Roman" w:hAnsi="Arial" w:cs="Arial"/>
          <w:sz w:val="24"/>
          <w:szCs w:val="24"/>
          <w:lang w:eastAsia="en-GB"/>
        </w:rPr>
        <w:br/>
        <w:t xml:space="preserve">To attract customers, use competitive pricing strategies and offer value-added bundles. </w:t>
      </w:r>
      <w:r w:rsidR="00E352BA" w:rsidRPr="00E352BA">
        <w:rPr>
          <w:rFonts w:ascii="Arial" w:eastAsia="Times New Roman" w:hAnsi="Arial" w:cs="Arial"/>
          <w:sz w:val="24"/>
          <w:szCs w:val="24"/>
          <w:lang w:eastAsia="en-GB"/>
        </w:rPr>
        <w:t xml:space="preserve">Using competitive pricing methods and value-added bundles aligns with Michael Porter's Competitive Strategy model, which focuses on differentiation and cost leadership to gain a competitive advantage. </w:t>
      </w:r>
      <w:r w:rsidR="007261B4" w:rsidRPr="00E352BA">
        <w:rPr>
          <w:rFonts w:ascii="Arial" w:eastAsia="Times New Roman" w:hAnsi="Arial" w:cs="Arial"/>
          <w:sz w:val="24"/>
          <w:szCs w:val="24"/>
          <w:lang w:eastAsia="en-GB"/>
        </w:rPr>
        <w:t xml:space="preserve">Offer discounts for early bookings, long-term stays, and business clients. </w:t>
      </w:r>
    </w:p>
    <w:p w:rsidR="005F1AB0" w:rsidRPr="005F1AB0" w:rsidRDefault="00B17F42" w:rsidP="005F1AB0">
      <w:pPr>
        <w:spacing w:line="360" w:lineRule="auto"/>
        <w:jc w:val="both"/>
        <w:rPr>
          <w:rFonts w:ascii="Arial" w:eastAsia="Times New Roman" w:hAnsi="Arial" w:cs="Arial"/>
          <w:sz w:val="24"/>
          <w:szCs w:val="24"/>
          <w:lang w:eastAsia="en-GB"/>
        </w:rPr>
      </w:pPr>
      <w:r w:rsidRPr="00E352BA">
        <w:rPr>
          <w:rFonts w:ascii="Arial" w:eastAsia="Times New Roman" w:hAnsi="Arial" w:cs="Arial"/>
          <w:b/>
          <w:sz w:val="24"/>
          <w:szCs w:val="24"/>
          <w:lang w:eastAsia="en-GB"/>
        </w:rPr>
        <w:t xml:space="preserve">1.2 Enhanced Marketing and Branding </w:t>
      </w:r>
      <w:r w:rsidRPr="00E352BA">
        <w:rPr>
          <w:rFonts w:ascii="Arial" w:eastAsia="Times New Roman" w:hAnsi="Arial" w:cs="Arial"/>
          <w:b/>
          <w:sz w:val="24"/>
          <w:szCs w:val="24"/>
          <w:lang w:eastAsia="en-GB"/>
        </w:rPr>
        <w:br/>
        <w:t>Issue Addressed:</w:t>
      </w:r>
      <w:r w:rsidRPr="00E352BA">
        <w:rPr>
          <w:rFonts w:ascii="Arial" w:eastAsia="Times New Roman" w:hAnsi="Arial" w:cs="Arial"/>
          <w:sz w:val="24"/>
          <w:szCs w:val="24"/>
          <w:lang w:eastAsia="en-GB"/>
        </w:rPr>
        <w:t xml:space="preserve"> </w:t>
      </w:r>
      <w:r w:rsidRPr="00E352BA">
        <w:rPr>
          <w:rFonts w:ascii="Arial" w:eastAsia="Times New Roman" w:hAnsi="Arial" w:cs="Arial"/>
          <w:sz w:val="24"/>
          <w:szCs w:val="24"/>
          <w:lang w:eastAsia="en-GB"/>
        </w:rPr>
        <w:br/>
        <w:t xml:space="preserve">Reduced revenue and market visibility. </w:t>
      </w:r>
      <w:r w:rsidRPr="00E352BA">
        <w:rPr>
          <w:rFonts w:ascii="Arial" w:eastAsia="Times New Roman" w:hAnsi="Arial" w:cs="Arial"/>
          <w:sz w:val="24"/>
          <w:szCs w:val="24"/>
          <w:lang w:eastAsia="en-GB"/>
        </w:rPr>
        <w:br/>
      </w:r>
      <w:r w:rsidRPr="00E352BA">
        <w:rPr>
          <w:rFonts w:ascii="Arial" w:eastAsia="Times New Roman" w:hAnsi="Arial" w:cs="Arial"/>
          <w:b/>
          <w:sz w:val="24"/>
          <w:szCs w:val="24"/>
          <w:lang w:eastAsia="en-GB"/>
        </w:rPr>
        <w:t xml:space="preserve">Recommendation: </w:t>
      </w:r>
      <w:r w:rsidRPr="00E352BA">
        <w:rPr>
          <w:rFonts w:ascii="Arial" w:eastAsia="Times New Roman" w:hAnsi="Arial" w:cs="Arial"/>
          <w:sz w:val="24"/>
          <w:szCs w:val="24"/>
          <w:lang w:eastAsia="en-GB"/>
        </w:rPr>
        <w:br/>
        <w:t xml:space="preserve">Revamp the marketing plan to highlight the hotel's distinguishing characteristics. Concentrate on digital marketing, social media, and collaborations with travel agencies. </w:t>
      </w:r>
      <w:r w:rsidRPr="00E352BA">
        <w:rPr>
          <w:rFonts w:ascii="Arial" w:eastAsia="Times New Roman" w:hAnsi="Arial" w:cs="Arial"/>
          <w:sz w:val="24"/>
          <w:szCs w:val="24"/>
          <w:lang w:eastAsia="en-GB"/>
        </w:rPr>
        <w:br/>
      </w:r>
      <w:r w:rsidRPr="00E352BA">
        <w:rPr>
          <w:rFonts w:ascii="Arial" w:eastAsia="Times New Roman" w:hAnsi="Arial" w:cs="Arial"/>
          <w:b/>
          <w:sz w:val="24"/>
          <w:szCs w:val="24"/>
          <w:lang w:eastAsia="en-GB"/>
        </w:rPr>
        <w:t xml:space="preserve">Implementation: </w:t>
      </w:r>
      <w:r w:rsidRPr="00E352BA">
        <w:rPr>
          <w:rFonts w:ascii="Arial" w:eastAsia="Times New Roman" w:hAnsi="Arial" w:cs="Arial"/>
          <w:b/>
          <w:sz w:val="24"/>
          <w:szCs w:val="24"/>
          <w:lang w:eastAsia="en-GB"/>
        </w:rPr>
        <w:br/>
      </w:r>
      <w:r w:rsidR="005F1AB0" w:rsidRPr="005F1AB0">
        <w:rPr>
          <w:rFonts w:ascii="Arial" w:eastAsia="Times New Roman" w:hAnsi="Arial" w:cs="Arial"/>
          <w:sz w:val="24"/>
          <w:szCs w:val="24"/>
          <w:lang w:eastAsia="en-GB"/>
        </w:rPr>
        <w:t>Improving service quality and applying cost management strategies are congruent with Total Quality Management (TQM) ideas and Lean Six Sigma procedures, both of which aim to improve operational efficiency and customer satisfaction</w:t>
      </w:r>
    </w:p>
    <w:p w:rsidR="00CC4687" w:rsidRPr="00E352BA" w:rsidRDefault="005507D5" w:rsidP="007E5CEB">
      <w:pPr>
        <w:spacing w:after="0" w:line="360" w:lineRule="auto"/>
        <w:jc w:val="both"/>
        <w:rPr>
          <w:rFonts w:ascii="Arial" w:eastAsia="Times New Roman" w:hAnsi="Arial" w:cs="Arial"/>
          <w:sz w:val="24"/>
          <w:szCs w:val="24"/>
          <w:lang w:eastAsia="en-GB"/>
        </w:rPr>
      </w:pPr>
      <w:bookmarkStart w:id="15" w:name="_Toc168582787"/>
      <w:r w:rsidRPr="00CE77BC">
        <w:rPr>
          <w:rStyle w:val="Heading2Char"/>
        </w:rPr>
        <w:lastRenderedPageBreak/>
        <w:t xml:space="preserve">2. </w:t>
      </w:r>
      <w:r w:rsidR="00CC4687" w:rsidRPr="00CE77BC">
        <w:rPr>
          <w:rStyle w:val="Heading2Char"/>
        </w:rPr>
        <w:t>Operational Risk Mitigation</w:t>
      </w:r>
      <w:bookmarkEnd w:id="15"/>
      <w:r w:rsidR="00CC4687" w:rsidRPr="00CE77BC">
        <w:rPr>
          <w:rStyle w:val="Heading1Char"/>
        </w:rPr>
        <w:t xml:space="preserve"> </w:t>
      </w:r>
      <w:r w:rsidR="00CC4687" w:rsidRPr="00CE77BC">
        <w:rPr>
          <w:rStyle w:val="Heading1Char"/>
        </w:rPr>
        <w:br/>
      </w:r>
      <w:r w:rsidR="00CC4687" w:rsidRPr="00E352BA">
        <w:rPr>
          <w:rFonts w:ascii="Arial" w:eastAsia="Times New Roman" w:hAnsi="Arial" w:cs="Arial"/>
          <w:b/>
          <w:sz w:val="24"/>
          <w:szCs w:val="24"/>
          <w:lang w:eastAsia="en-GB"/>
        </w:rPr>
        <w:t xml:space="preserve">2.1 Service Quality </w:t>
      </w:r>
      <w:r w:rsidR="00B24637" w:rsidRPr="00E352BA">
        <w:rPr>
          <w:rFonts w:ascii="Arial" w:eastAsia="Times New Roman" w:hAnsi="Arial" w:cs="Arial"/>
          <w:b/>
          <w:sz w:val="24"/>
          <w:szCs w:val="24"/>
          <w:lang w:eastAsia="en-GB"/>
        </w:rPr>
        <w:t xml:space="preserve">Improvement </w:t>
      </w:r>
      <w:r w:rsidR="00B24637" w:rsidRPr="00E352BA">
        <w:rPr>
          <w:rFonts w:ascii="Arial" w:eastAsia="Times New Roman" w:hAnsi="Arial" w:cs="Arial"/>
          <w:b/>
          <w:sz w:val="24"/>
          <w:szCs w:val="24"/>
          <w:lang w:eastAsia="en-GB"/>
        </w:rPr>
        <w:br/>
        <w:t xml:space="preserve">Issue Addressed: </w:t>
      </w:r>
      <w:r w:rsidR="00CC4687" w:rsidRPr="00E352BA">
        <w:rPr>
          <w:rFonts w:ascii="Arial" w:eastAsia="Times New Roman" w:hAnsi="Arial" w:cs="Arial"/>
          <w:sz w:val="24"/>
          <w:szCs w:val="24"/>
          <w:lang w:eastAsia="en-GB"/>
        </w:rPr>
        <w:br/>
        <w:t xml:space="preserve">Customer satisfaction and repeat sales are dropping. </w:t>
      </w:r>
      <w:r w:rsidR="00CC4687" w:rsidRPr="00E352BA">
        <w:rPr>
          <w:rFonts w:ascii="Arial" w:eastAsia="Times New Roman" w:hAnsi="Arial" w:cs="Arial"/>
          <w:sz w:val="24"/>
          <w:szCs w:val="24"/>
          <w:lang w:eastAsia="en-GB"/>
        </w:rPr>
        <w:br/>
      </w:r>
      <w:r w:rsidR="00B24637" w:rsidRPr="00E352BA">
        <w:rPr>
          <w:rFonts w:ascii="Arial" w:eastAsia="Times New Roman" w:hAnsi="Arial" w:cs="Arial"/>
          <w:b/>
          <w:sz w:val="24"/>
          <w:szCs w:val="24"/>
          <w:lang w:eastAsia="en-GB"/>
        </w:rPr>
        <w:t xml:space="preserve">Recommendation: </w:t>
      </w:r>
      <w:r w:rsidR="00CC4687" w:rsidRPr="00E352BA">
        <w:rPr>
          <w:rFonts w:ascii="Arial" w:eastAsia="Times New Roman" w:hAnsi="Arial" w:cs="Arial"/>
          <w:sz w:val="24"/>
          <w:szCs w:val="24"/>
          <w:lang w:eastAsia="en-GB"/>
        </w:rPr>
        <w:br/>
        <w:t xml:space="preserve">Improve service quality by training staff and upgrading facilities. </w:t>
      </w:r>
      <w:r w:rsidR="00CC4687" w:rsidRPr="00E352BA">
        <w:rPr>
          <w:rFonts w:ascii="Arial" w:eastAsia="Times New Roman" w:hAnsi="Arial" w:cs="Arial"/>
          <w:sz w:val="24"/>
          <w:szCs w:val="24"/>
          <w:lang w:eastAsia="en-GB"/>
        </w:rPr>
        <w:br/>
      </w:r>
      <w:r w:rsidR="00CC4687" w:rsidRPr="00E352BA">
        <w:rPr>
          <w:rFonts w:ascii="Arial" w:eastAsia="Times New Roman" w:hAnsi="Arial" w:cs="Arial"/>
          <w:b/>
          <w:sz w:val="24"/>
          <w:szCs w:val="24"/>
          <w:lang w:eastAsia="en-GB"/>
        </w:rPr>
        <w:t xml:space="preserve">Implementation: </w:t>
      </w:r>
      <w:r w:rsidR="00CC4687" w:rsidRPr="00E352BA">
        <w:rPr>
          <w:rFonts w:ascii="Arial" w:eastAsia="Times New Roman" w:hAnsi="Arial" w:cs="Arial"/>
          <w:b/>
          <w:sz w:val="24"/>
          <w:szCs w:val="24"/>
          <w:lang w:eastAsia="en-GB"/>
        </w:rPr>
        <w:br/>
      </w:r>
      <w:r w:rsidR="00B24637" w:rsidRPr="00E352BA">
        <w:rPr>
          <w:rFonts w:ascii="Arial" w:eastAsia="Times New Roman" w:hAnsi="Arial" w:cs="Arial"/>
          <w:sz w:val="24"/>
          <w:szCs w:val="24"/>
          <w:lang w:eastAsia="en-GB"/>
        </w:rPr>
        <w:t>C</w:t>
      </w:r>
      <w:r w:rsidR="00CC4687" w:rsidRPr="00E352BA">
        <w:rPr>
          <w:rFonts w:ascii="Arial" w:eastAsia="Times New Roman" w:hAnsi="Arial" w:cs="Arial"/>
          <w:sz w:val="24"/>
          <w:szCs w:val="24"/>
          <w:lang w:eastAsia="en-GB"/>
        </w:rPr>
        <w:t>reate comprehensive training courses for staff that focus on customer service excellence. Renovate rooms and common areas to modern standards, with a focus on areas that receive the most customer complaints.</w:t>
      </w:r>
    </w:p>
    <w:p w:rsidR="00B24637" w:rsidRPr="00E352BA" w:rsidRDefault="00B24637" w:rsidP="007E5CEB">
      <w:pPr>
        <w:spacing w:after="0" w:line="360" w:lineRule="auto"/>
        <w:jc w:val="both"/>
        <w:rPr>
          <w:rFonts w:ascii="Arial" w:eastAsia="Times New Roman" w:hAnsi="Arial" w:cs="Arial"/>
          <w:sz w:val="24"/>
          <w:szCs w:val="24"/>
          <w:lang w:eastAsia="en-GB"/>
        </w:rPr>
      </w:pPr>
      <w:r w:rsidRPr="00E352BA">
        <w:rPr>
          <w:rFonts w:ascii="Arial" w:eastAsia="Times New Roman" w:hAnsi="Arial" w:cs="Arial"/>
          <w:b/>
          <w:sz w:val="24"/>
          <w:szCs w:val="24"/>
          <w:lang w:eastAsia="en-GB"/>
        </w:rPr>
        <w:t xml:space="preserve">2.2 Cost Management and Efficiency </w:t>
      </w:r>
      <w:r w:rsidRPr="00E352BA">
        <w:rPr>
          <w:rFonts w:ascii="Arial" w:eastAsia="Times New Roman" w:hAnsi="Arial" w:cs="Arial"/>
          <w:b/>
          <w:sz w:val="24"/>
          <w:szCs w:val="24"/>
          <w:lang w:eastAsia="en-GB"/>
        </w:rPr>
        <w:br/>
        <w:t xml:space="preserve">Issue Addressed: </w:t>
      </w:r>
      <w:r w:rsidRPr="00E352BA">
        <w:rPr>
          <w:rFonts w:ascii="Arial" w:eastAsia="Times New Roman" w:hAnsi="Arial" w:cs="Arial"/>
          <w:b/>
          <w:sz w:val="24"/>
          <w:szCs w:val="24"/>
          <w:lang w:eastAsia="en-GB"/>
        </w:rPr>
        <w:br/>
      </w:r>
      <w:r w:rsidRPr="00E352BA">
        <w:rPr>
          <w:rFonts w:ascii="Arial" w:eastAsia="Times New Roman" w:hAnsi="Arial" w:cs="Arial"/>
          <w:sz w:val="24"/>
          <w:szCs w:val="24"/>
          <w:lang w:eastAsia="en-GB"/>
        </w:rPr>
        <w:t xml:space="preserve">Increasing operating expenses and inefficiencies. </w:t>
      </w:r>
      <w:r w:rsidRPr="00E352BA">
        <w:rPr>
          <w:rFonts w:ascii="Arial" w:eastAsia="Times New Roman" w:hAnsi="Arial" w:cs="Arial"/>
          <w:sz w:val="24"/>
          <w:szCs w:val="24"/>
          <w:lang w:eastAsia="en-GB"/>
        </w:rPr>
        <w:br/>
      </w:r>
      <w:r w:rsidRPr="00E352BA">
        <w:rPr>
          <w:rFonts w:ascii="Arial" w:eastAsia="Times New Roman" w:hAnsi="Arial" w:cs="Arial"/>
          <w:b/>
          <w:sz w:val="24"/>
          <w:szCs w:val="24"/>
          <w:lang w:eastAsia="en-GB"/>
        </w:rPr>
        <w:t xml:space="preserve">Recommendation: </w:t>
      </w:r>
      <w:r w:rsidRPr="00E352BA">
        <w:rPr>
          <w:rFonts w:ascii="Arial" w:eastAsia="Times New Roman" w:hAnsi="Arial" w:cs="Arial"/>
          <w:b/>
          <w:sz w:val="24"/>
          <w:szCs w:val="24"/>
          <w:lang w:eastAsia="en-GB"/>
        </w:rPr>
        <w:br/>
      </w:r>
      <w:r w:rsidRPr="00E352BA">
        <w:rPr>
          <w:rFonts w:ascii="Arial" w:eastAsia="Times New Roman" w:hAnsi="Arial" w:cs="Arial"/>
          <w:sz w:val="24"/>
          <w:szCs w:val="24"/>
          <w:lang w:eastAsia="en-GB"/>
        </w:rPr>
        <w:t xml:space="preserve">Implement cost-cutting techniques while maintaining service quality. </w:t>
      </w:r>
      <w:r w:rsidRPr="00E352BA">
        <w:rPr>
          <w:rFonts w:ascii="Arial" w:eastAsia="Times New Roman" w:hAnsi="Arial" w:cs="Arial"/>
          <w:sz w:val="24"/>
          <w:szCs w:val="24"/>
          <w:lang w:eastAsia="en-GB"/>
        </w:rPr>
        <w:br/>
      </w:r>
      <w:r w:rsidRPr="00E352BA">
        <w:rPr>
          <w:rFonts w:ascii="Arial" w:eastAsia="Times New Roman" w:hAnsi="Arial" w:cs="Arial"/>
          <w:b/>
          <w:sz w:val="24"/>
          <w:szCs w:val="24"/>
          <w:lang w:eastAsia="en-GB"/>
        </w:rPr>
        <w:t xml:space="preserve">Implementation: </w:t>
      </w:r>
      <w:r w:rsidRPr="00E352BA">
        <w:rPr>
          <w:rFonts w:ascii="Arial" w:eastAsia="Times New Roman" w:hAnsi="Arial" w:cs="Arial"/>
          <w:b/>
          <w:sz w:val="24"/>
          <w:szCs w:val="24"/>
          <w:lang w:eastAsia="en-GB"/>
        </w:rPr>
        <w:br/>
      </w:r>
      <w:r w:rsidRPr="00E352BA">
        <w:rPr>
          <w:rFonts w:ascii="Arial" w:eastAsia="Times New Roman" w:hAnsi="Arial" w:cs="Arial"/>
          <w:sz w:val="24"/>
          <w:szCs w:val="24"/>
          <w:lang w:eastAsia="en-GB"/>
        </w:rPr>
        <w:t>Conduct a thorough study of operational costs. Negotiate better rates with suppliers, employ energy-saving technologies to reduce utility expenses, and customise personnel schedules to match occupancy.</w:t>
      </w:r>
    </w:p>
    <w:p w:rsidR="005F1AB0" w:rsidRPr="005F1AB0" w:rsidRDefault="005507D5" w:rsidP="004C75E4">
      <w:pPr>
        <w:spacing w:after="0" w:line="360" w:lineRule="auto"/>
        <w:jc w:val="both"/>
        <w:rPr>
          <w:rFonts w:ascii="Arial" w:eastAsia="Times New Roman" w:hAnsi="Arial" w:cs="Arial"/>
          <w:sz w:val="24"/>
          <w:szCs w:val="24"/>
          <w:lang w:eastAsia="en-GB"/>
        </w:rPr>
      </w:pPr>
      <w:bookmarkStart w:id="16" w:name="_Toc168582788"/>
      <w:r w:rsidRPr="00CE77BC">
        <w:rPr>
          <w:rStyle w:val="Heading2Char"/>
        </w:rPr>
        <w:t xml:space="preserve">3. </w:t>
      </w:r>
      <w:r w:rsidR="00CE77BC" w:rsidRPr="00CE77BC">
        <w:rPr>
          <w:rStyle w:val="Heading2Char"/>
        </w:rPr>
        <w:t xml:space="preserve">Managing </w:t>
      </w:r>
      <w:r w:rsidR="004C11DF">
        <w:rPr>
          <w:rStyle w:val="Heading2Char"/>
        </w:rPr>
        <w:t>F</w:t>
      </w:r>
      <w:r w:rsidR="00CE77BC" w:rsidRPr="00CE77BC">
        <w:rPr>
          <w:rStyle w:val="Heading2Char"/>
        </w:rPr>
        <w:t>inancial R</w:t>
      </w:r>
      <w:r w:rsidRPr="00CE77BC">
        <w:rPr>
          <w:rStyle w:val="Heading2Char"/>
        </w:rPr>
        <w:t>isks</w:t>
      </w:r>
      <w:bookmarkEnd w:id="16"/>
      <w:r w:rsidRPr="00E352BA">
        <w:rPr>
          <w:rFonts w:ascii="Arial" w:eastAsia="Times New Roman" w:hAnsi="Arial" w:cs="Arial"/>
          <w:b/>
          <w:sz w:val="24"/>
          <w:szCs w:val="24"/>
          <w:lang w:eastAsia="en-GB"/>
        </w:rPr>
        <w:t>:</w:t>
      </w:r>
      <w:r w:rsidR="00B27157" w:rsidRPr="00E352BA">
        <w:rPr>
          <w:rFonts w:ascii="Arial" w:eastAsia="Times New Roman" w:hAnsi="Arial" w:cs="Arial"/>
          <w:b/>
          <w:sz w:val="24"/>
          <w:szCs w:val="24"/>
          <w:lang w:eastAsia="en-GB"/>
        </w:rPr>
        <w:br/>
        <w:t xml:space="preserve">3.1 Revenue </w:t>
      </w:r>
      <w:r w:rsidR="009145A0" w:rsidRPr="00E352BA">
        <w:rPr>
          <w:rFonts w:ascii="Arial" w:eastAsia="Times New Roman" w:hAnsi="Arial" w:cs="Arial"/>
          <w:b/>
          <w:sz w:val="24"/>
          <w:szCs w:val="24"/>
          <w:lang w:eastAsia="en-GB"/>
        </w:rPr>
        <w:t>Management.</w:t>
      </w:r>
      <w:r w:rsidR="009145A0" w:rsidRPr="00E352BA">
        <w:rPr>
          <w:rFonts w:ascii="Arial" w:eastAsia="Times New Roman" w:hAnsi="Arial" w:cs="Arial"/>
          <w:sz w:val="24"/>
          <w:szCs w:val="24"/>
          <w:lang w:eastAsia="en-GB"/>
        </w:rPr>
        <w:t xml:space="preserve"> </w:t>
      </w:r>
      <w:r w:rsidR="009145A0" w:rsidRPr="00E352BA">
        <w:rPr>
          <w:rFonts w:ascii="Arial" w:eastAsia="Times New Roman" w:hAnsi="Arial" w:cs="Arial"/>
          <w:sz w:val="24"/>
          <w:szCs w:val="24"/>
          <w:lang w:eastAsia="en-GB"/>
        </w:rPr>
        <w:br/>
      </w:r>
      <w:r w:rsidR="009145A0" w:rsidRPr="00E352BA">
        <w:rPr>
          <w:rFonts w:ascii="Arial" w:eastAsia="Times New Roman" w:hAnsi="Arial" w:cs="Arial"/>
          <w:b/>
          <w:sz w:val="24"/>
          <w:szCs w:val="24"/>
          <w:lang w:eastAsia="en-GB"/>
        </w:rPr>
        <w:t>Issue Addressed:</w:t>
      </w:r>
      <w:r w:rsidR="009145A0" w:rsidRPr="00E352BA">
        <w:rPr>
          <w:rFonts w:ascii="Arial" w:eastAsia="Times New Roman" w:hAnsi="Arial" w:cs="Arial"/>
          <w:sz w:val="24"/>
          <w:szCs w:val="24"/>
          <w:lang w:eastAsia="en-GB"/>
        </w:rPr>
        <w:t xml:space="preserve"> </w:t>
      </w:r>
      <w:r w:rsidR="00B27157" w:rsidRPr="00E352BA">
        <w:rPr>
          <w:rFonts w:ascii="Arial" w:eastAsia="Times New Roman" w:hAnsi="Arial" w:cs="Arial"/>
          <w:sz w:val="24"/>
          <w:szCs w:val="24"/>
          <w:lang w:eastAsia="en-GB"/>
        </w:rPr>
        <w:br/>
        <w:t>Net income fell due to a revenue-expens</w:t>
      </w:r>
      <w:r w:rsidR="009145A0" w:rsidRPr="00E352BA">
        <w:rPr>
          <w:rFonts w:ascii="Arial" w:eastAsia="Times New Roman" w:hAnsi="Arial" w:cs="Arial"/>
          <w:sz w:val="24"/>
          <w:szCs w:val="24"/>
          <w:lang w:eastAsia="en-GB"/>
        </w:rPr>
        <w:t xml:space="preserve">e imbalance. </w:t>
      </w:r>
      <w:r w:rsidR="009145A0" w:rsidRPr="00E352BA">
        <w:rPr>
          <w:rFonts w:ascii="Arial" w:eastAsia="Times New Roman" w:hAnsi="Arial" w:cs="Arial"/>
          <w:sz w:val="24"/>
          <w:szCs w:val="24"/>
          <w:lang w:eastAsia="en-GB"/>
        </w:rPr>
        <w:br/>
      </w:r>
      <w:r w:rsidR="009145A0" w:rsidRPr="00E352BA">
        <w:rPr>
          <w:rFonts w:ascii="Arial" w:eastAsia="Times New Roman" w:hAnsi="Arial" w:cs="Arial"/>
          <w:b/>
          <w:sz w:val="24"/>
          <w:szCs w:val="24"/>
          <w:lang w:eastAsia="en-GB"/>
        </w:rPr>
        <w:t>Recommendation:</w:t>
      </w:r>
      <w:r w:rsidR="009145A0" w:rsidRPr="00E352BA">
        <w:rPr>
          <w:rFonts w:ascii="Arial" w:eastAsia="Times New Roman" w:hAnsi="Arial" w:cs="Arial"/>
          <w:sz w:val="24"/>
          <w:szCs w:val="24"/>
          <w:lang w:eastAsia="en-GB"/>
        </w:rPr>
        <w:t xml:space="preserve"> </w:t>
      </w:r>
      <w:r w:rsidR="00B27157" w:rsidRPr="00E352BA">
        <w:rPr>
          <w:rFonts w:ascii="Arial" w:eastAsia="Times New Roman" w:hAnsi="Arial" w:cs="Arial"/>
          <w:sz w:val="24"/>
          <w:szCs w:val="24"/>
          <w:lang w:eastAsia="en-GB"/>
        </w:rPr>
        <w:br/>
        <w:t>Optimise revenue by combining dynamic pricing and multiple inco</w:t>
      </w:r>
      <w:r w:rsidR="009145A0" w:rsidRPr="00E352BA">
        <w:rPr>
          <w:rFonts w:ascii="Arial" w:eastAsia="Times New Roman" w:hAnsi="Arial" w:cs="Arial"/>
          <w:sz w:val="24"/>
          <w:szCs w:val="24"/>
          <w:lang w:eastAsia="en-GB"/>
        </w:rPr>
        <w:t xml:space="preserve">me streams. </w:t>
      </w:r>
      <w:r w:rsidR="009145A0" w:rsidRPr="00E352BA">
        <w:rPr>
          <w:rFonts w:ascii="Arial" w:eastAsia="Times New Roman" w:hAnsi="Arial" w:cs="Arial"/>
          <w:sz w:val="24"/>
          <w:szCs w:val="24"/>
          <w:lang w:eastAsia="en-GB"/>
        </w:rPr>
        <w:br/>
      </w:r>
      <w:r w:rsidR="009145A0" w:rsidRPr="00E352BA">
        <w:rPr>
          <w:rFonts w:ascii="Arial" w:eastAsia="Times New Roman" w:hAnsi="Arial" w:cs="Arial"/>
          <w:b/>
          <w:sz w:val="24"/>
          <w:szCs w:val="24"/>
          <w:lang w:eastAsia="en-GB"/>
        </w:rPr>
        <w:t>Implementation:</w:t>
      </w:r>
      <w:r w:rsidR="009145A0" w:rsidRPr="00E352BA">
        <w:rPr>
          <w:rFonts w:ascii="Arial" w:eastAsia="Times New Roman" w:hAnsi="Arial" w:cs="Arial"/>
          <w:sz w:val="24"/>
          <w:szCs w:val="24"/>
          <w:lang w:eastAsia="en-GB"/>
        </w:rPr>
        <w:t xml:space="preserve"> </w:t>
      </w:r>
      <w:r w:rsidR="009145A0" w:rsidRPr="00E352BA">
        <w:rPr>
          <w:rFonts w:ascii="Arial" w:eastAsia="Times New Roman" w:hAnsi="Arial" w:cs="Arial"/>
          <w:sz w:val="24"/>
          <w:szCs w:val="24"/>
          <w:lang w:eastAsia="en-GB"/>
        </w:rPr>
        <w:br/>
      </w:r>
      <w:r w:rsidR="005F1AB0" w:rsidRPr="005F1AB0">
        <w:rPr>
          <w:rFonts w:ascii="Arial" w:eastAsia="Times New Roman" w:hAnsi="Arial" w:cs="Arial"/>
          <w:sz w:val="24"/>
          <w:szCs w:val="24"/>
          <w:lang w:eastAsia="en-GB"/>
        </w:rPr>
        <w:t xml:space="preserve">Using revenue management tactics and improving cash flow management is consistent with Financial Risk Management theory, which promotes responsible financial decision-making to decrease risks and maximise financial performance. </w:t>
      </w:r>
    </w:p>
    <w:p w:rsidR="009145A0" w:rsidRPr="00E352BA" w:rsidRDefault="009145A0" w:rsidP="004C75E4">
      <w:pPr>
        <w:spacing w:after="0" w:line="360" w:lineRule="auto"/>
        <w:jc w:val="both"/>
        <w:rPr>
          <w:rFonts w:ascii="Arial" w:eastAsia="Times New Roman" w:hAnsi="Arial" w:cs="Arial"/>
          <w:sz w:val="24"/>
          <w:szCs w:val="24"/>
          <w:lang w:eastAsia="en-GB"/>
        </w:rPr>
      </w:pPr>
      <w:r w:rsidRPr="00E352BA">
        <w:rPr>
          <w:rFonts w:ascii="Arial" w:eastAsia="Times New Roman" w:hAnsi="Arial" w:cs="Arial"/>
          <w:b/>
          <w:sz w:val="24"/>
          <w:szCs w:val="24"/>
          <w:lang w:eastAsia="en-GB"/>
        </w:rPr>
        <w:t>3.2 Cash Flow Management:</w:t>
      </w:r>
      <w:r w:rsidR="00770630" w:rsidRPr="00E352BA">
        <w:rPr>
          <w:rFonts w:ascii="Arial" w:eastAsia="Times New Roman" w:hAnsi="Arial" w:cs="Arial"/>
          <w:sz w:val="24"/>
          <w:szCs w:val="24"/>
          <w:lang w:eastAsia="en-GB"/>
        </w:rPr>
        <w:br/>
      </w:r>
      <w:r w:rsidR="00770630" w:rsidRPr="00E352BA">
        <w:rPr>
          <w:rFonts w:ascii="Arial" w:eastAsia="Times New Roman" w:hAnsi="Arial" w:cs="Arial"/>
          <w:b/>
          <w:sz w:val="24"/>
          <w:szCs w:val="24"/>
          <w:lang w:eastAsia="en-GB"/>
        </w:rPr>
        <w:t>Issue addressed:</w:t>
      </w:r>
      <w:r w:rsidR="00770630" w:rsidRPr="00E352BA">
        <w:rPr>
          <w:rFonts w:ascii="Arial" w:eastAsia="Times New Roman" w:hAnsi="Arial" w:cs="Arial"/>
          <w:sz w:val="24"/>
          <w:szCs w:val="24"/>
          <w:lang w:eastAsia="en-GB"/>
        </w:rPr>
        <w:t xml:space="preserve"> </w:t>
      </w:r>
    </w:p>
    <w:p w:rsidR="009145A0" w:rsidRPr="00E352BA" w:rsidRDefault="009145A0" w:rsidP="007E5CEB">
      <w:pPr>
        <w:spacing w:after="0" w:line="360" w:lineRule="auto"/>
        <w:jc w:val="both"/>
        <w:rPr>
          <w:rFonts w:ascii="Arial" w:eastAsia="Times New Roman" w:hAnsi="Arial" w:cs="Arial"/>
          <w:sz w:val="24"/>
          <w:szCs w:val="24"/>
          <w:lang w:eastAsia="en-GB"/>
        </w:rPr>
      </w:pPr>
      <w:r w:rsidRPr="00E352BA">
        <w:rPr>
          <w:rFonts w:ascii="Arial" w:eastAsia="Times New Roman" w:hAnsi="Arial" w:cs="Arial"/>
          <w:sz w:val="24"/>
          <w:szCs w:val="24"/>
          <w:lang w:eastAsia="en-GB"/>
        </w:rPr>
        <w:t>Cash</w:t>
      </w:r>
      <w:r w:rsidR="00770630" w:rsidRPr="00E352BA">
        <w:rPr>
          <w:rFonts w:ascii="Arial" w:eastAsia="Times New Roman" w:hAnsi="Arial" w:cs="Arial"/>
          <w:sz w:val="24"/>
          <w:szCs w:val="24"/>
          <w:lang w:eastAsia="en-GB"/>
        </w:rPr>
        <w:t xml:space="preserve"> and equivalents are falling while liabilities are growing. </w:t>
      </w:r>
      <w:r w:rsidR="00770630" w:rsidRPr="00E352BA">
        <w:rPr>
          <w:rFonts w:ascii="Arial" w:eastAsia="Times New Roman" w:hAnsi="Arial" w:cs="Arial"/>
          <w:sz w:val="24"/>
          <w:szCs w:val="24"/>
          <w:lang w:eastAsia="en-GB"/>
        </w:rPr>
        <w:br/>
      </w:r>
      <w:r w:rsidR="00770630" w:rsidRPr="00E352BA">
        <w:rPr>
          <w:rFonts w:ascii="Arial" w:eastAsia="Times New Roman" w:hAnsi="Arial" w:cs="Arial"/>
          <w:b/>
          <w:sz w:val="24"/>
          <w:szCs w:val="24"/>
          <w:lang w:eastAsia="en-GB"/>
        </w:rPr>
        <w:t>Recommendation:</w:t>
      </w:r>
    </w:p>
    <w:p w:rsidR="009145A0" w:rsidRPr="00E352BA" w:rsidRDefault="00770630" w:rsidP="007E5CEB">
      <w:pPr>
        <w:spacing w:after="0" w:line="360" w:lineRule="auto"/>
        <w:jc w:val="both"/>
        <w:rPr>
          <w:rFonts w:ascii="Arial" w:eastAsia="Times New Roman" w:hAnsi="Arial" w:cs="Arial"/>
          <w:sz w:val="24"/>
          <w:szCs w:val="24"/>
          <w:lang w:eastAsia="en-GB"/>
        </w:rPr>
      </w:pPr>
      <w:r w:rsidRPr="00E352BA">
        <w:rPr>
          <w:rFonts w:ascii="Arial" w:eastAsia="Times New Roman" w:hAnsi="Arial" w:cs="Arial"/>
          <w:sz w:val="24"/>
          <w:szCs w:val="24"/>
          <w:lang w:eastAsia="en-GB"/>
        </w:rPr>
        <w:lastRenderedPageBreak/>
        <w:t xml:space="preserve">Improve cash flow by properly managing receivables and payables. </w:t>
      </w:r>
      <w:r w:rsidRPr="00E352BA">
        <w:rPr>
          <w:rFonts w:ascii="Arial" w:eastAsia="Times New Roman" w:hAnsi="Arial" w:cs="Arial"/>
          <w:sz w:val="24"/>
          <w:szCs w:val="24"/>
          <w:lang w:eastAsia="en-GB"/>
        </w:rPr>
        <w:br/>
      </w:r>
      <w:r w:rsidRPr="00E352BA">
        <w:rPr>
          <w:rFonts w:ascii="Arial" w:eastAsia="Times New Roman" w:hAnsi="Arial" w:cs="Arial"/>
          <w:b/>
          <w:sz w:val="24"/>
          <w:szCs w:val="24"/>
          <w:lang w:eastAsia="en-GB"/>
        </w:rPr>
        <w:t>Implementation:</w:t>
      </w:r>
      <w:r w:rsidRPr="00E352BA">
        <w:rPr>
          <w:rFonts w:ascii="Arial" w:eastAsia="Times New Roman" w:hAnsi="Arial" w:cs="Arial"/>
          <w:sz w:val="24"/>
          <w:szCs w:val="24"/>
          <w:lang w:eastAsia="en-GB"/>
        </w:rPr>
        <w:t xml:space="preserve"> </w:t>
      </w:r>
    </w:p>
    <w:p w:rsidR="00770630" w:rsidRPr="00E352BA" w:rsidRDefault="00770630" w:rsidP="007E5CEB">
      <w:pPr>
        <w:spacing w:after="0" w:line="360" w:lineRule="auto"/>
        <w:jc w:val="both"/>
        <w:rPr>
          <w:rFonts w:ascii="Arial" w:eastAsia="Times New Roman" w:hAnsi="Arial" w:cs="Arial"/>
          <w:sz w:val="24"/>
          <w:szCs w:val="24"/>
          <w:lang w:eastAsia="en-GB"/>
        </w:rPr>
      </w:pPr>
      <w:r w:rsidRPr="00E352BA">
        <w:rPr>
          <w:rFonts w:ascii="Arial" w:eastAsia="Times New Roman" w:hAnsi="Arial" w:cs="Arial"/>
          <w:sz w:val="24"/>
          <w:szCs w:val="24"/>
          <w:lang w:eastAsia="en-GB"/>
        </w:rPr>
        <w:t>Tighten credit policies and follow</w:t>
      </w:r>
      <w:r w:rsidR="004C11DF">
        <w:rPr>
          <w:rFonts w:ascii="Arial" w:eastAsia="Times New Roman" w:hAnsi="Arial" w:cs="Arial"/>
          <w:sz w:val="24"/>
          <w:szCs w:val="24"/>
          <w:lang w:eastAsia="en-GB"/>
        </w:rPr>
        <w:t xml:space="preserve"> </w:t>
      </w:r>
      <w:r w:rsidRPr="00E352BA">
        <w:rPr>
          <w:rFonts w:ascii="Arial" w:eastAsia="Times New Roman" w:hAnsi="Arial" w:cs="Arial"/>
          <w:sz w:val="24"/>
          <w:szCs w:val="24"/>
          <w:lang w:eastAsia="en-GB"/>
        </w:rPr>
        <w:t>up on receivables. Extend payment terms with suppliers wherever possible to improve cash flow.</w:t>
      </w:r>
    </w:p>
    <w:p w:rsidR="007E5CEB" w:rsidRPr="00E352BA" w:rsidRDefault="007E5CEB" w:rsidP="007E5CEB">
      <w:pPr>
        <w:spacing w:after="0" w:line="360" w:lineRule="auto"/>
        <w:jc w:val="both"/>
        <w:rPr>
          <w:rFonts w:ascii="Arial" w:eastAsia="Times New Roman" w:hAnsi="Arial" w:cs="Arial"/>
          <w:sz w:val="24"/>
          <w:szCs w:val="24"/>
          <w:lang w:eastAsia="en-GB"/>
        </w:rPr>
      </w:pPr>
      <w:bookmarkStart w:id="17" w:name="_Toc168582789"/>
      <w:r w:rsidRPr="00CE77BC">
        <w:rPr>
          <w:rStyle w:val="Heading2Char"/>
        </w:rPr>
        <w:t xml:space="preserve">4. </w:t>
      </w:r>
      <w:r w:rsidR="00770630" w:rsidRPr="00CE77BC">
        <w:rPr>
          <w:rStyle w:val="Heading2Char"/>
        </w:rPr>
        <w:t>Regulatory and Compliance Risk Mitigat</w:t>
      </w:r>
      <w:r w:rsidRPr="00CE77BC">
        <w:rPr>
          <w:rStyle w:val="Heading2Char"/>
        </w:rPr>
        <w:t>ion</w:t>
      </w:r>
      <w:bookmarkEnd w:id="17"/>
      <w:r w:rsidRPr="00CE77BC">
        <w:rPr>
          <w:rStyle w:val="Heading2Char"/>
        </w:rPr>
        <w:t xml:space="preserve"> </w:t>
      </w:r>
      <w:r w:rsidRPr="00CE77BC">
        <w:rPr>
          <w:rStyle w:val="Heading2Char"/>
        </w:rPr>
        <w:br/>
      </w:r>
      <w:r w:rsidRPr="00E352BA">
        <w:rPr>
          <w:rFonts w:ascii="Arial" w:eastAsia="Times New Roman" w:hAnsi="Arial" w:cs="Arial"/>
          <w:b/>
          <w:sz w:val="24"/>
          <w:szCs w:val="24"/>
          <w:lang w:eastAsia="en-GB"/>
        </w:rPr>
        <w:t>4.1 Compliance Training</w:t>
      </w:r>
      <w:r w:rsidR="001575C0" w:rsidRPr="00E352BA">
        <w:rPr>
          <w:rFonts w:ascii="Arial" w:eastAsia="Times New Roman" w:hAnsi="Arial" w:cs="Arial"/>
          <w:b/>
          <w:sz w:val="24"/>
          <w:szCs w:val="24"/>
          <w:lang w:eastAsia="en-GB"/>
        </w:rPr>
        <w:t xml:space="preserve">: </w:t>
      </w:r>
      <w:r w:rsidRPr="00E352BA">
        <w:rPr>
          <w:rFonts w:ascii="Arial" w:eastAsia="Times New Roman" w:hAnsi="Arial" w:cs="Arial"/>
          <w:sz w:val="24"/>
          <w:szCs w:val="24"/>
          <w:lang w:eastAsia="en-GB"/>
        </w:rPr>
        <w:br/>
      </w:r>
      <w:r w:rsidR="00770630" w:rsidRPr="00E352BA">
        <w:rPr>
          <w:rFonts w:ascii="Arial" w:eastAsia="Times New Roman" w:hAnsi="Arial" w:cs="Arial"/>
          <w:b/>
          <w:sz w:val="24"/>
          <w:szCs w:val="24"/>
          <w:lang w:eastAsia="en-GB"/>
        </w:rPr>
        <w:t>Issue addressed:</w:t>
      </w:r>
      <w:r w:rsidR="00770630" w:rsidRPr="00E352BA">
        <w:rPr>
          <w:rFonts w:ascii="Arial" w:eastAsia="Times New Roman" w:hAnsi="Arial" w:cs="Arial"/>
          <w:sz w:val="24"/>
          <w:szCs w:val="24"/>
          <w:lang w:eastAsia="en-GB"/>
        </w:rPr>
        <w:t xml:space="preserve"> </w:t>
      </w:r>
    </w:p>
    <w:p w:rsidR="007E5CEB" w:rsidRPr="00E352BA" w:rsidRDefault="00770630" w:rsidP="007E5CEB">
      <w:pPr>
        <w:spacing w:after="0" w:line="360" w:lineRule="auto"/>
        <w:jc w:val="both"/>
        <w:rPr>
          <w:rFonts w:ascii="Arial" w:eastAsia="Times New Roman" w:hAnsi="Arial" w:cs="Arial"/>
          <w:sz w:val="24"/>
          <w:szCs w:val="24"/>
          <w:lang w:eastAsia="en-GB"/>
        </w:rPr>
      </w:pPr>
      <w:r w:rsidRPr="00E352BA">
        <w:rPr>
          <w:rFonts w:ascii="Arial" w:eastAsia="Times New Roman" w:hAnsi="Arial" w:cs="Arial"/>
          <w:sz w:val="24"/>
          <w:szCs w:val="24"/>
          <w:lang w:eastAsia="en-GB"/>
        </w:rPr>
        <w:t xml:space="preserve">Potential regulatory and compliance issues. </w:t>
      </w:r>
      <w:r w:rsidRPr="00E352BA">
        <w:rPr>
          <w:rFonts w:ascii="Arial" w:eastAsia="Times New Roman" w:hAnsi="Arial" w:cs="Arial"/>
          <w:sz w:val="24"/>
          <w:szCs w:val="24"/>
          <w:lang w:eastAsia="en-GB"/>
        </w:rPr>
        <w:br/>
      </w:r>
      <w:r w:rsidRPr="00E352BA">
        <w:rPr>
          <w:rFonts w:ascii="Arial" w:eastAsia="Times New Roman" w:hAnsi="Arial" w:cs="Arial"/>
          <w:b/>
          <w:sz w:val="24"/>
          <w:szCs w:val="24"/>
          <w:lang w:eastAsia="en-GB"/>
        </w:rPr>
        <w:t>Recommendation:</w:t>
      </w:r>
      <w:r w:rsidRPr="00E352BA">
        <w:rPr>
          <w:rFonts w:ascii="Arial" w:eastAsia="Times New Roman" w:hAnsi="Arial" w:cs="Arial"/>
          <w:sz w:val="24"/>
          <w:szCs w:val="24"/>
          <w:lang w:eastAsia="en-GB"/>
        </w:rPr>
        <w:t xml:space="preserve"> </w:t>
      </w:r>
    </w:p>
    <w:p w:rsidR="007E5CEB" w:rsidRPr="00E352BA" w:rsidRDefault="00770630" w:rsidP="007E5CEB">
      <w:pPr>
        <w:spacing w:after="0" w:line="360" w:lineRule="auto"/>
        <w:jc w:val="both"/>
        <w:rPr>
          <w:rFonts w:ascii="Arial" w:eastAsia="Times New Roman" w:hAnsi="Arial" w:cs="Arial"/>
          <w:sz w:val="24"/>
          <w:szCs w:val="24"/>
          <w:lang w:eastAsia="en-GB"/>
        </w:rPr>
      </w:pPr>
      <w:r w:rsidRPr="00E352BA">
        <w:rPr>
          <w:rFonts w:ascii="Arial" w:eastAsia="Times New Roman" w:hAnsi="Arial" w:cs="Arial"/>
          <w:sz w:val="24"/>
          <w:szCs w:val="24"/>
          <w:lang w:eastAsia="en-GB"/>
        </w:rPr>
        <w:t xml:space="preserve">Ensure that all staff are appropriately trained and educated about regulatory norms. </w:t>
      </w:r>
      <w:r w:rsidRPr="00E352BA">
        <w:rPr>
          <w:rFonts w:ascii="Arial" w:eastAsia="Times New Roman" w:hAnsi="Arial" w:cs="Arial"/>
          <w:sz w:val="24"/>
          <w:szCs w:val="24"/>
          <w:lang w:eastAsia="en-GB"/>
        </w:rPr>
        <w:br/>
      </w:r>
      <w:r w:rsidRPr="00E352BA">
        <w:rPr>
          <w:rFonts w:ascii="Arial" w:eastAsia="Times New Roman" w:hAnsi="Arial" w:cs="Arial"/>
          <w:b/>
          <w:sz w:val="24"/>
          <w:szCs w:val="24"/>
          <w:lang w:eastAsia="en-GB"/>
        </w:rPr>
        <w:t>Implementation:</w:t>
      </w:r>
      <w:r w:rsidRPr="00E352BA">
        <w:rPr>
          <w:rFonts w:ascii="Arial" w:eastAsia="Times New Roman" w:hAnsi="Arial" w:cs="Arial"/>
          <w:sz w:val="24"/>
          <w:szCs w:val="24"/>
          <w:lang w:eastAsia="en-GB"/>
        </w:rPr>
        <w:t xml:space="preserve"> </w:t>
      </w:r>
    </w:p>
    <w:p w:rsidR="00526371" w:rsidRPr="00526371" w:rsidRDefault="00526371" w:rsidP="00526371">
      <w:pPr>
        <w:spacing w:after="0" w:line="360" w:lineRule="auto"/>
        <w:jc w:val="both"/>
        <w:rPr>
          <w:rFonts w:ascii="Arial" w:eastAsia="Times New Roman" w:hAnsi="Arial" w:cs="Arial"/>
          <w:sz w:val="24"/>
          <w:szCs w:val="24"/>
          <w:lang w:eastAsia="en-GB"/>
        </w:rPr>
      </w:pPr>
      <w:r w:rsidRPr="00526371">
        <w:rPr>
          <w:rFonts w:ascii="Arial" w:eastAsia="Times New Roman" w:hAnsi="Arial" w:cs="Arial"/>
          <w:sz w:val="24"/>
          <w:szCs w:val="24"/>
          <w:lang w:eastAsia="en-GB"/>
        </w:rPr>
        <w:t>Implementing compliance training and maintaining health and safety standards aligns with Corporate Governance frameworks and Legal Compliance models, assuring regulatory and ethical adherence.</w:t>
      </w:r>
    </w:p>
    <w:p w:rsidR="007E5CEB" w:rsidRPr="00E352BA" w:rsidRDefault="00770630" w:rsidP="00526371">
      <w:pPr>
        <w:spacing w:after="0" w:line="360" w:lineRule="auto"/>
        <w:jc w:val="both"/>
        <w:rPr>
          <w:rFonts w:ascii="Arial" w:eastAsia="Times New Roman" w:hAnsi="Arial" w:cs="Arial"/>
          <w:sz w:val="24"/>
          <w:szCs w:val="24"/>
          <w:lang w:eastAsia="en-GB"/>
        </w:rPr>
      </w:pPr>
      <w:r w:rsidRPr="00526371">
        <w:rPr>
          <w:rFonts w:ascii="Arial" w:eastAsia="Times New Roman" w:hAnsi="Arial" w:cs="Arial"/>
          <w:b/>
          <w:sz w:val="24"/>
          <w:szCs w:val="24"/>
          <w:lang w:eastAsia="en-GB"/>
        </w:rPr>
        <w:t>4.2 Health and Safety Stand</w:t>
      </w:r>
      <w:r w:rsidR="007E5CEB" w:rsidRPr="00526371">
        <w:rPr>
          <w:rFonts w:ascii="Arial" w:eastAsia="Times New Roman" w:hAnsi="Arial" w:cs="Arial"/>
          <w:b/>
          <w:sz w:val="24"/>
          <w:szCs w:val="24"/>
          <w:lang w:eastAsia="en-GB"/>
        </w:rPr>
        <w:t>ards</w:t>
      </w:r>
      <w:r w:rsidR="007E5CEB" w:rsidRPr="00E352BA">
        <w:rPr>
          <w:rFonts w:ascii="Arial" w:eastAsia="Times New Roman" w:hAnsi="Arial" w:cs="Arial"/>
          <w:b/>
          <w:sz w:val="24"/>
          <w:szCs w:val="24"/>
          <w:lang w:eastAsia="en-GB"/>
        </w:rPr>
        <w:t xml:space="preserve">. </w:t>
      </w:r>
      <w:r w:rsidR="007E5CEB" w:rsidRPr="00E352BA">
        <w:rPr>
          <w:rFonts w:ascii="Arial" w:eastAsia="Times New Roman" w:hAnsi="Arial" w:cs="Arial"/>
          <w:sz w:val="24"/>
          <w:szCs w:val="24"/>
          <w:lang w:eastAsia="en-GB"/>
        </w:rPr>
        <w:br/>
      </w:r>
      <w:r w:rsidRPr="00E352BA">
        <w:rPr>
          <w:rFonts w:ascii="Arial" w:eastAsia="Times New Roman" w:hAnsi="Arial" w:cs="Arial"/>
          <w:b/>
          <w:sz w:val="24"/>
          <w:szCs w:val="24"/>
          <w:lang w:eastAsia="en-GB"/>
        </w:rPr>
        <w:t>Issue solved:</w:t>
      </w:r>
      <w:r w:rsidRPr="00E352BA">
        <w:rPr>
          <w:rFonts w:ascii="Arial" w:eastAsia="Times New Roman" w:hAnsi="Arial" w:cs="Arial"/>
          <w:sz w:val="24"/>
          <w:szCs w:val="24"/>
          <w:lang w:eastAsia="en-GB"/>
        </w:rPr>
        <w:t xml:space="preserve"> </w:t>
      </w:r>
    </w:p>
    <w:p w:rsidR="007E5CEB" w:rsidRPr="00E352BA" w:rsidRDefault="00770630" w:rsidP="007E5CEB">
      <w:pPr>
        <w:spacing w:after="0" w:line="360" w:lineRule="auto"/>
        <w:jc w:val="both"/>
        <w:rPr>
          <w:rFonts w:ascii="Arial" w:eastAsia="Times New Roman" w:hAnsi="Arial" w:cs="Arial"/>
          <w:sz w:val="24"/>
          <w:szCs w:val="24"/>
          <w:lang w:eastAsia="en-GB"/>
        </w:rPr>
      </w:pPr>
      <w:r w:rsidRPr="00E352BA">
        <w:rPr>
          <w:rFonts w:ascii="Arial" w:eastAsia="Times New Roman" w:hAnsi="Arial" w:cs="Arial"/>
          <w:sz w:val="24"/>
          <w:szCs w:val="24"/>
          <w:lang w:eastAsia="en-GB"/>
        </w:rPr>
        <w:t xml:space="preserve">Health and safety concerns affecting visitor trust and compliance. </w:t>
      </w:r>
      <w:r w:rsidRPr="00E352BA">
        <w:rPr>
          <w:rFonts w:ascii="Arial" w:eastAsia="Times New Roman" w:hAnsi="Arial" w:cs="Arial"/>
          <w:sz w:val="24"/>
          <w:szCs w:val="24"/>
          <w:lang w:eastAsia="en-GB"/>
        </w:rPr>
        <w:br/>
      </w:r>
      <w:r w:rsidRPr="00E352BA">
        <w:rPr>
          <w:rFonts w:ascii="Arial" w:eastAsia="Times New Roman" w:hAnsi="Arial" w:cs="Arial"/>
          <w:b/>
          <w:sz w:val="24"/>
          <w:szCs w:val="24"/>
          <w:lang w:eastAsia="en-GB"/>
        </w:rPr>
        <w:t>Recommendation:</w:t>
      </w:r>
      <w:r w:rsidRPr="00E352BA">
        <w:rPr>
          <w:rFonts w:ascii="Arial" w:eastAsia="Times New Roman" w:hAnsi="Arial" w:cs="Arial"/>
          <w:sz w:val="24"/>
          <w:szCs w:val="24"/>
          <w:lang w:eastAsia="en-GB"/>
        </w:rPr>
        <w:t xml:space="preserve"> </w:t>
      </w:r>
    </w:p>
    <w:p w:rsidR="007E5CEB" w:rsidRPr="00E352BA" w:rsidRDefault="00770630" w:rsidP="007E5CEB">
      <w:pPr>
        <w:spacing w:after="0" w:line="360" w:lineRule="auto"/>
        <w:jc w:val="both"/>
        <w:rPr>
          <w:rFonts w:ascii="Arial" w:eastAsia="Times New Roman" w:hAnsi="Arial" w:cs="Arial"/>
          <w:sz w:val="24"/>
          <w:szCs w:val="24"/>
          <w:lang w:eastAsia="en-GB"/>
        </w:rPr>
      </w:pPr>
      <w:r w:rsidRPr="00E352BA">
        <w:rPr>
          <w:rFonts w:ascii="Arial" w:eastAsia="Times New Roman" w:hAnsi="Arial" w:cs="Arial"/>
          <w:sz w:val="24"/>
          <w:szCs w:val="24"/>
          <w:lang w:eastAsia="en-GB"/>
        </w:rPr>
        <w:t xml:space="preserve">Maintain rigorous health and safety standards to ensure regulatory compliance and guest trust. </w:t>
      </w:r>
      <w:r w:rsidRPr="00E352BA">
        <w:rPr>
          <w:rFonts w:ascii="Arial" w:eastAsia="Times New Roman" w:hAnsi="Arial" w:cs="Arial"/>
          <w:sz w:val="24"/>
          <w:szCs w:val="24"/>
          <w:lang w:eastAsia="en-GB"/>
        </w:rPr>
        <w:br/>
      </w:r>
      <w:r w:rsidRPr="00E352BA">
        <w:rPr>
          <w:rFonts w:ascii="Arial" w:eastAsia="Times New Roman" w:hAnsi="Arial" w:cs="Arial"/>
          <w:b/>
          <w:sz w:val="24"/>
          <w:szCs w:val="24"/>
          <w:lang w:eastAsia="en-GB"/>
        </w:rPr>
        <w:t>Implementation:</w:t>
      </w:r>
      <w:r w:rsidRPr="00E352BA">
        <w:rPr>
          <w:rFonts w:ascii="Arial" w:eastAsia="Times New Roman" w:hAnsi="Arial" w:cs="Arial"/>
          <w:sz w:val="24"/>
          <w:szCs w:val="24"/>
          <w:lang w:eastAsia="en-GB"/>
        </w:rPr>
        <w:t xml:space="preserve"> </w:t>
      </w:r>
    </w:p>
    <w:p w:rsidR="00770630" w:rsidRPr="00E352BA" w:rsidRDefault="00770630" w:rsidP="007E5CEB">
      <w:pPr>
        <w:spacing w:after="0" w:line="360" w:lineRule="auto"/>
        <w:jc w:val="both"/>
        <w:rPr>
          <w:rFonts w:ascii="Arial" w:eastAsia="Times New Roman" w:hAnsi="Arial" w:cs="Arial"/>
          <w:sz w:val="24"/>
          <w:szCs w:val="24"/>
          <w:lang w:eastAsia="en-GB"/>
        </w:rPr>
      </w:pPr>
      <w:r w:rsidRPr="00E352BA">
        <w:rPr>
          <w:rFonts w:ascii="Arial" w:eastAsia="Times New Roman" w:hAnsi="Arial" w:cs="Arial"/>
          <w:sz w:val="24"/>
          <w:szCs w:val="24"/>
          <w:lang w:eastAsia="en-GB"/>
        </w:rPr>
        <w:t>Conduct frequent health and safety audits. Implement stringent cleaning procedures and provide health and safety training to personnel. Display compliance certifications prominently to provide guest assurance.</w:t>
      </w:r>
    </w:p>
    <w:p w:rsidR="007E5CEB" w:rsidRPr="00E352BA" w:rsidRDefault="007E5CEB" w:rsidP="007E5CEB">
      <w:pPr>
        <w:spacing w:after="0" w:line="360" w:lineRule="auto"/>
        <w:jc w:val="both"/>
        <w:rPr>
          <w:rFonts w:ascii="Arial" w:eastAsia="Times New Roman" w:hAnsi="Arial" w:cs="Arial"/>
          <w:b/>
          <w:sz w:val="24"/>
          <w:szCs w:val="24"/>
          <w:lang w:eastAsia="en-GB"/>
        </w:rPr>
      </w:pPr>
      <w:bookmarkStart w:id="18" w:name="_Toc168582790"/>
      <w:r w:rsidRPr="00CE77BC">
        <w:rPr>
          <w:rStyle w:val="Heading2Char"/>
        </w:rPr>
        <w:t>5. Reputation management</w:t>
      </w:r>
      <w:bookmarkEnd w:id="18"/>
      <w:r w:rsidRPr="00E352BA">
        <w:rPr>
          <w:rFonts w:ascii="Arial" w:eastAsia="Times New Roman" w:hAnsi="Arial" w:cs="Arial"/>
          <w:b/>
          <w:sz w:val="24"/>
          <w:szCs w:val="24"/>
          <w:lang w:eastAsia="en-GB"/>
        </w:rPr>
        <w:t>:</w:t>
      </w:r>
      <w:r w:rsidRPr="00E352BA">
        <w:rPr>
          <w:rFonts w:ascii="Arial" w:eastAsia="Times New Roman" w:hAnsi="Arial" w:cs="Arial"/>
          <w:b/>
          <w:sz w:val="24"/>
          <w:szCs w:val="24"/>
          <w:lang w:eastAsia="en-GB"/>
        </w:rPr>
        <w:br/>
        <w:t xml:space="preserve">5.1 Customer Feedback System </w:t>
      </w:r>
      <w:r w:rsidRPr="00E352BA">
        <w:rPr>
          <w:rFonts w:ascii="Arial" w:eastAsia="Times New Roman" w:hAnsi="Arial" w:cs="Arial"/>
          <w:sz w:val="24"/>
          <w:szCs w:val="24"/>
          <w:lang w:eastAsia="en-GB"/>
        </w:rPr>
        <w:br/>
      </w:r>
      <w:r w:rsidRPr="00E352BA">
        <w:rPr>
          <w:rFonts w:ascii="Arial" w:eastAsia="Times New Roman" w:hAnsi="Arial" w:cs="Arial"/>
          <w:b/>
          <w:sz w:val="24"/>
          <w:szCs w:val="24"/>
          <w:lang w:eastAsia="en-GB"/>
        </w:rPr>
        <w:t xml:space="preserve">Issue Addressed: </w:t>
      </w:r>
    </w:p>
    <w:p w:rsidR="007E5CEB" w:rsidRPr="00E352BA" w:rsidRDefault="007E5CEB" w:rsidP="007E5CEB">
      <w:pPr>
        <w:spacing w:after="0" w:line="360" w:lineRule="auto"/>
        <w:jc w:val="both"/>
        <w:rPr>
          <w:rFonts w:ascii="Arial" w:eastAsia="Times New Roman" w:hAnsi="Arial" w:cs="Arial"/>
          <w:sz w:val="24"/>
          <w:szCs w:val="24"/>
          <w:lang w:eastAsia="en-GB"/>
        </w:rPr>
      </w:pPr>
      <w:r w:rsidRPr="00E352BA">
        <w:rPr>
          <w:rFonts w:ascii="Arial" w:eastAsia="Times New Roman" w:hAnsi="Arial" w:cs="Arial"/>
          <w:sz w:val="24"/>
          <w:szCs w:val="24"/>
          <w:lang w:eastAsia="en-GB"/>
        </w:rPr>
        <w:t>Low</w:t>
      </w:r>
      <w:r w:rsidR="00770630" w:rsidRPr="00E352BA">
        <w:rPr>
          <w:rFonts w:ascii="Arial" w:eastAsia="Times New Roman" w:hAnsi="Arial" w:cs="Arial"/>
          <w:sz w:val="24"/>
          <w:szCs w:val="24"/>
          <w:lang w:eastAsia="en-GB"/>
        </w:rPr>
        <w:t xml:space="preserve"> consumer satisfaction and negative feedback. </w:t>
      </w:r>
      <w:r w:rsidR="00770630" w:rsidRPr="00E352BA">
        <w:rPr>
          <w:rFonts w:ascii="Arial" w:eastAsia="Times New Roman" w:hAnsi="Arial" w:cs="Arial"/>
          <w:sz w:val="24"/>
          <w:szCs w:val="24"/>
          <w:lang w:eastAsia="en-GB"/>
        </w:rPr>
        <w:br/>
      </w:r>
      <w:r w:rsidR="00770630" w:rsidRPr="00E352BA">
        <w:rPr>
          <w:rFonts w:ascii="Arial" w:eastAsia="Times New Roman" w:hAnsi="Arial" w:cs="Arial"/>
          <w:b/>
          <w:sz w:val="24"/>
          <w:szCs w:val="24"/>
          <w:lang w:eastAsia="en-GB"/>
        </w:rPr>
        <w:t>Recommendation:</w:t>
      </w:r>
      <w:r w:rsidR="00770630" w:rsidRPr="00E352BA">
        <w:rPr>
          <w:rFonts w:ascii="Arial" w:eastAsia="Times New Roman" w:hAnsi="Arial" w:cs="Arial"/>
          <w:sz w:val="24"/>
          <w:szCs w:val="24"/>
          <w:lang w:eastAsia="en-GB"/>
        </w:rPr>
        <w:t xml:space="preserve"> </w:t>
      </w:r>
    </w:p>
    <w:p w:rsidR="007E5CEB" w:rsidRPr="00E352BA" w:rsidRDefault="00770630" w:rsidP="007E5CEB">
      <w:pPr>
        <w:spacing w:after="0" w:line="360" w:lineRule="auto"/>
        <w:jc w:val="both"/>
        <w:rPr>
          <w:rFonts w:ascii="Arial" w:eastAsia="Times New Roman" w:hAnsi="Arial" w:cs="Arial"/>
          <w:sz w:val="24"/>
          <w:szCs w:val="24"/>
          <w:lang w:eastAsia="en-GB"/>
        </w:rPr>
      </w:pPr>
      <w:r w:rsidRPr="00E352BA">
        <w:rPr>
          <w:rFonts w:ascii="Arial" w:eastAsia="Times New Roman" w:hAnsi="Arial" w:cs="Arial"/>
          <w:sz w:val="24"/>
          <w:szCs w:val="24"/>
          <w:lang w:eastAsia="en-GB"/>
        </w:rPr>
        <w:t xml:space="preserve">Establish a comprehensive method for collecting and responding to client feedback. </w:t>
      </w:r>
      <w:r w:rsidRPr="00E352BA">
        <w:rPr>
          <w:rFonts w:ascii="Arial" w:eastAsia="Times New Roman" w:hAnsi="Arial" w:cs="Arial"/>
          <w:sz w:val="24"/>
          <w:szCs w:val="24"/>
          <w:lang w:eastAsia="en-GB"/>
        </w:rPr>
        <w:br/>
      </w:r>
      <w:r w:rsidRPr="00E352BA">
        <w:rPr>
          <w:rFonts w:ascii="Arial" w:eastAsia="Times New Roman" w:hAnsi="Arial" w:cs="Arial"/>
          <w:b/>
          <w:sz w:val="24"/>
          <w:szCs w:val="24"/>
          <w:lang w:eastAsia="en-GB"/>
        </w:rPr>
        <w:t>Implementation:</w:t>
      </w:r>
      <w:r w:rsidRPr="00E352BA">
        <w:rPr>
          <w:rFonts w:ascii="Arial" w:eastAsia="Times New Roman" w:hAnsi="Arial" w:cs="Arial"/>
          <w:sz w:val="24"/>
          <w:szCs w:val="24"/>
          <w:lang w:eastAsia="en-GB"/>
        </w:rPr>
        <w:t xml:space="preserve"> </w:t>
      </w:r>
    </w:p>
    <w:p w:rsidR="007E5CEB" w:rsidRPr="00E352BA" w:rsidRDefault="00770630" w:rsidP="007E5CEB">
      <w:pPr>
        <w:spacing w:after="0" w:line="360" w:lineRule="auto"/>
        <w:jc w:val="both"/>
        <w:rPr>
          <w:rFonts w:ascii="Arial" w:eastAsia="Times New Roman" w:hAnsi="Arial" w:cs="Arial"/>
          <w:b/>
          <w:sz w:val="24"/>
          <w:szCs w:val="24"/>
          <w:lang w:eastAsia="en-GB"/>
        </w:rPr>
      </w:pPr>
      <w:r w:rsidRPr="00E352BA">
        <w:rPr>
          <w:rFonts w:ascii="Arial" w:eastAsia="Times New Roman" w:hAnsi="Arial" w:cs="Arial"/>
          <w:sz w:val="24"/>
          <w:szCs w:val="24"/>
          <w:lang w:eastAsia="en-GB"/>
        </w:rPr>
        <w:t xml:space="preserve">Establish online and offline feedback systems. Review feedback </w:t>
      </w:r>
      <w:r w:rsidR="004C11DF">
        <w:rPr>
          <w:rFonts w:ascii="Arial" w:eastAsia="Times New Roman" w:hAnsi="Arial" w:cs="Arial"/>
          <w:sz w:val="24"/>
          <w:szCs w:val="24"/>
          <w:lang w:eastAsia="en-GB"/>
        </w:rPr>
        <w:t>frequently</w:t>
      </w:r>
      <w:r w:rsidRPr="00E352BA">
        <w:rPr>
          <w:rFonts w:ascii="Arial" w:eastAsia="Times New Roman" w:hAnsi="Arial" w:cs="Arial"/>
          <w:sz w:val="24"/>
          <w:szCs w:val="24"/>
          <w:lang w:eastAsia="en-GB"/>
        </w:rPr>
        <w:t xml:space="preserve"> and respond promptly to any issues that occur. Use comments to help improve services and train employees. </w:t>
      </w:r>
      <w:r w:rsidRPr="00E352BA">
        <w:rPr>
          <w:rFonts w:ascii="Arial" w:eastAsia="Times New Roman" w:hAnsi="Arial" w:cs="Arial"/>
          <w:sz w:val="24"/>
          <w:szCs w:val="24"/>
          <w:lang w:eastAsia="en-GB"/>
        </w:rPr>
        <w:br/>
      </w:r>
      <w:r w:rsidR="007E5CEB" w:rsidRPr="00E352BA">
        <w:rPr>
          <w:rFonts w:ascii="Arial" w:eastAsia="Times New Roman" w:hAnsi="Arial" w:cs="Arial"/>
          <w:b/>
          <w:sz w:val="24"/>
          <w:szCs w:val="24"/>
          <w:lang w:eastAsia="en-GB"/>
        </w:rPr>
        <w:lastRenderedPageBreak/>
        <w:t>5.2 Public relations campaign:</w:t>
      </w:r>
      <w:r w:rsidRPr="00E352BA">
        <w:rPr>
          <w:rFonts w:ascii="Arial" w:eastAsia="Times New Roman" w:hAnsi="Arial" w:cs="Arial"/>
          <w:sz w:val="24"/>
          <w:szCs w:val="24"/>
          <w:lang w:eastAsia="en-GB"/>
        </w:rPr>
        <w:br/>
      </w:r>
      <w:r w:rsidR="007E5CEB" w:rsidRPr="00E352BA">
        <w:rPr>
          <w:rFonts w:ascii="Arial" w:eastAsia="Times New Roman" w:hAnsi="Arial" w:cs="Arial"/>
          <w:b/>
          <w:sz w:val="24"/>
          <w:szCs w:val="24"/>
          <w:lang w:eastAsia="en-GB"/>
        </w:rPr>
        <w:t xml:space="preserve">Issue Addressed: </w:t>
      </w:r>
    </w:p>
    <w:p w:rsidR="007E5CEB" w:rsidRPr="00E352BA" w:rsidRDefault="00770630" w:rsidP="007E5CEB">
      <w:pPr>
        <w:spacing w:after="0" w:line="360" w:lineRule="auto"/>
        <w:jc w:val="both"/>
        <w:rPr>
          <w:rFonts w:ascii="Arial" w:eastAsia="Times New Roman" w:hAnsi="Arial" w:cs="Arial"/>
          <w:sz w:val="24"/>
          <w:szCs w:val="24"/>
          <w:lang w:eastAsia="en-GB"/>
        </w:rPr>
      </w:pPr>
      <w:r w:rsidRPr="00E352BA">
        <w:rPr>
          <w:rFonts w:ascii="Arial" w:eastAsia="Times New Roman" w:hAnsi="Arial" w:cs="Arial"/>
          <w:sz w:val="24"/>
          <w:szCs w:val="24"/>
          <w:lang w:eastAsia="en-GB"/>
        </w:rPr>
        <w:t xml:space="preserve">Negative reputation as a result of decreased service quality and consumer satisfaction. </w:t>
      </w:r>
      <w:r w:rsidRPr="00E352BA">
        <w:rPr>
          <w:rFonts w:ascii="Arial" w:eastAsia="Times New Roman" w:hAnsi="Arial" w:cs="Arial"/>
          <w:sz w:val="24"/>
          <w:szCs w:val="24"/>
          <w:lang w:eastAsia="en-GB"/>
        </w:rPr>
        <w:br/>
      </w:r>
      <w:r w:rsidRPr="00E352BA">
        <w:rPr>
          <w:rFonts w:ascii="Arial" w:eastAsia="Times New Roman" w:hAnsi="Arial" w:cs="Arial"/>
          <w:b/>
          <w:sz w:val="24"/>
          <w:szCs w:val="24"/>
          <w:lang w:eastAsia="en-GB"/>
        </w:rPr>
        <w:t>Recommendation:</w:t>
      </w:r>
      <w:r w:rsidRPr="00E352BA">
        <w:rPr>
          <w:rFonts w:ascii="Arial" w:eastAsia="Times New Roman" w:hAnsi="Arial" w:cs="Arial"/>
          <w:sz w:val="24"/>
          <w:szCs w:val="24"/>
          <w:lang w:eastAsia="en-GB"/>
        </w:rPr>
        <w:t xml:space="preserve"> </w:t>
      </w:r>
    </w:p>
    <w:p w:rsidR="007E5CEB" w:rsidRPr="00E352BA" w:rsidRDefault="00770630" w:rsidP="007E5CEB">
      <w:pPr>
        <w:spacing w:after="0" w:line="360" w:lineRule="auto"/>
        <w:jc w:val="both"/>
        <w:rPr>
          <w:rFonts w:ascii="Arial" w:eastAsia="Times New Roman" w:hAnsi="Arial" w:cs="Arial"/>
          <w:sz w:val="24"/>
          <w:szCs w:val="24"/>
          <w:lang w:eastAsia="en-GB"/>
        </w:rPr>
      </w:pPr>
      <w:r w:rsidRPr="00E352BA">
        <w:rPr>
          <w:rFonts w:ascii="Arial" w:eastAsia="Times New Roman" w:hAnsi="Arial" w:cs="Arial"/>
          <w:sz w:val="24"/>
          <w:szCs w:val="24"/>
          <w:lang w:eastAsia="en-GB"/>
        </w:rPr>
        <w:t xml:space="preserve">Launch a public relations campaign to improve the hotel's reputation. </w:t>
      </w:r>
      <w:r w:rsidRPr="00E352BA">
        <w:rPr>
          <w:rFonts w:ascii="Arial" w:eastAsia="Times New Roman" w:hAnsi="Arial" w:cs="Arial"/>
          <w:sz w:val="24"/>
          <w:szCs w:val="24"/>
          <w:lang w:eastAsia="en-GB"/>
        </w:rPr>
        <w:br/>
      </w:r>
      <w:r w:rsidRPr="00E352BA">
        <w:rPr>
          <w:rFonts w:ascii="Arial" w:eastAsia="Times New Roman" w:hAnsi="Arial" w:cs="Arial"/>
          <w:b/>
          <w:sz w:val="24"/>
          <w:szCs w:val="24"/>
          <w:lang w:eastAsia="en-GB"/>
        </w:rPr>
        <w:t>Implementation:</w:t>
      </w:r>
      <w:r w:rsidRPr="00E352BA">
        <w:rPr>
          <w:rFonts w:ascii="Arial" w:eastAsia="Times New Roman" w:hAnsi="Arial" w:cs="Arial"/>
          <w:sz w:val="24"/>
          <w:szCs w:val="24"/>
          <w:lang w:eastAsia="en-GB"/>
        </w:rPr>
        <w:t xml:space="preserve"> </w:t>
      </w:r>
    </w:p>
    <w:p w:rsidR="00770630" w:rsidRPr="00E352BA" w:rsidRDefault="00770630" w:rsidP="007E5CEB">
      <w:pPr>
        <w:spacing w:after="0" w:line="360" w:lineRule="auto"/>
        <w:jc w:val="both"/>
        <w:rPr>
          <w:rFonts w:ascii="Arial" w:eastAsia="Times New Roman" w:hAnsi="Arial" w:cs="Arial"/>
          <w:sz w:val="24"/>
          <w:szCs w:val="24"/>
          <w:lang w:eastAsia="en-GB"/>
        </w:rPr>
      </w:pPr>
      <w:r w:rsidRPr="00E352BA">
        <w:rPr>
          <w:rFonts w:ascii="Arial" w:eastAsia="Times New Roman" w:hAnsi="Arial" w:cs="Arial"/>
          <w:sz w:val="24"/>
          <w:szCs w:val="24"/>
          <w:lang w:eastAsia="en-GB"/>
        </w:rPr>
        <w:t>Hire a public relations firm to run the campaign. Positive developments and guest experiences should be emphasised in news releases, media interviews, and social media posts.</w:t>
      </w:r>
    </w:p>
    <w:p w:rsidR="00770630" w:rsidRPr="00E352BA" w:rsidRDefault="00770630" w:rsidP="00CE77BC">
      <w:pPr>
        <w:pStyle w:val="Heading2"/>
        <w:rPr>
          <w:rFonts w:eastAsia="Times New Roman"/>
          <w:lang w:eastAsia="en-GB"/>
        </w:rPr>
      </w:pPr>
      <w:bookmarkStart w:id="19" w:name="_Toc168582791"/>
      <w:r w:rsidRPr="00E352BA">
        <w:rPr>
          <w:rFonts w:eastAsia="Times New Roman"/>
          <w:lang w:eastAsia="en-GB"/>
        </w:rPr>
        <w:t>6. Fi</w:t>
      </w:r>
      <w:r w:rsidR="00CE77BC">
        <w:rPr>
          <w:rFonts w:eastAsia="Times New Roman"/>
          <w:lang w:eastAsia="en-GB"/>
        </w:rPr>
        <w:t>nancial R</w:t>
      </w:r>
      <w:r w:rsidR="005507D5" w:rsidRPr="00E352BA">
        <w:rPr>
          <w:rFonts w:eastAsia="Times New Roman"/>
          <w:lang w:eastAsia="en-GB"/>
        </w:rPr>
        <w:t>estructuring</w:t>
      </w:r>
      <w:bookmarkEnd w:id="19"/>
    </w:p>
    <w:p w:rsidR="00770630" w:rsidRPr="00E352BA" w:rsidRDefault="007E5CEB" w:rsidP="007E5CEB">
      <w:pPr>
        <w:spacing w:after="0" w:line="360" w:lineRule="auto"/>
        <w:jc w:val="both"/>
        <w:rPr>
          <w:rFonts w:ascii="Arial" w:eastAsia="Times New Roman" w:hAnsi="Arial" w:cs="Arial"/>
          <w:b/>
          <w:sz w:val="24"/>
          <w:szCs w:val="24"/>
          <w:lang w:eastAsia="en-GB"/>
        </w:rPr>
      </w:pPr>
      <w:r w:rsidRPr="00E352BA">
        <w:rPr>
          <w:rFonts w:ascii="Arial" w:eastAsia="Times New Roman" w:hAnsi="Arial" w:cs="Arial"/>
          <w:b/>
          <w:sz w:val="24"/>
          <w:szCs w:val="24"/>
          <w:lang w:eastAsia="en-GB"/>
        </w:rPr>
        <w:t>6.1 Debt Restructuring:</w:t>
      </w:r>
    </w:p>
    <w:p w:rsidR="007E5CEB" w:rsidRPr="00E352BA" w:rsidRDefault="00770630" w:rsidP="007E5CEB">
      <w:pPr>
        <w:spacing w:after="0" w:line="360" w:lineRule="auto"/>
        <w:jc w:val="both"/>
        <w:rPr>
          <w:rFonts w:ascii="Arial" w:eastAsia="Times New Roman" w:hAnsi="Arial" w:cs="Arial"/>
          <w:b/>
          <w:sz w:val="24"/>
          <w:szCs w:val="24"/>
          <w:lang w:eastAsia="en-GB"/>
        </w:rPr>
      </w:pPr>
      <w:r w:rsidRPr="00E352BA">
        <w:rPr>
          <w:rFonts w:ascii="Arial" w:eastAsia="Times New Roman" w:hAnsi="Arial" w:cs="Arial"/>
          <w:b/>
          <w:sz w:val="24"/>
          <w:szCs w:val="24"/>
          <w:lang w:eastAsia="en-GB"/>
        </w:rPr>
        <w:t xml:space="preserve">Issue Addressed: </w:t>
      </w:r>
    </w:p>
    <w:p w:rsidR="00CC4687" w:rsidRPr="00E352BA" w:rsidRDefault="00770630" w:rsidP="007E5CEB">
      <w:pPr>
        <w:spacing w:after="0" w:line="360" w:lineRule="auto"/>
        <w:jc w:val="both"/>
        <w:rPr>
          <w:rFonts w:ascii="Arial" w:eastAsia="Times New Roman" w:hAnsi="Arial" w:cs="Arial"/>
          <w:sz w:val="24"/>
          <w:szCs w:val="24"/>
          <w:lang w:eastAsia="en-GB"/>
        </w:rPr>
      </w:pPr>
      <w:r w:rsidRPr="00E352BA">
        <w:rPr>
          <w:rFonts w:ascii="Arial" w:eastAsia="Times New Roman" w:hAnsi="Arial" w:cs="Arial"/>
          <w:sz w:val="24"/>
          <w:szCs w:val="24"/>
          <w:lang w:eastAsia="en-GB"/>
        </w:rPr>
        <w:t>Rising financial liabilities and diminishing solvency.</w:t>
      </w:r>
    </w:p>
    <w:p w:rsidR="007E5CEB" w:rsidRPr="00E352BA" w:rsidRDefault="00770630" w:rsidP="007E5CEB">
      <w:pPr>
        <w:spacing w:after="0" w:line="360" w:lineRule="auto"/>
        <w:jc w:val="both"/>
        <w:rPr>
          <w:rFonts w:ascii="Arial" w:eastAsia="Times New Roman" w:hAnsi="Arial" w:cs="Arial"/>
          <w:sz w:val="24"/>
          <w:szCs w:val="24"/>
          <w:lang w:eastAsia="en-GB"/>
        </w:rPr>
      </w:pPr>
      <w:r w:rsidRPr="00E352BA">
        <w:rPr>
          <w:rFonts w:ascii="Arial" w:eastAsia="Times New Roman" w:hAnsi="Arial" w:cs="Arial"/>
          <w:b/>
          <w:sz w:val="24"/>
          <w:szCs w:val="24"/>
          <w:lang w:eastAsia="en-GB"/>
        </w:rPr>
        <w:t>Recommendation:</w:t>
      </w:r>
      <w:r w:rsidRPr="00E352BA">
        <w:rPr>
          <w:rFonts w:ascii="Arial" w:eastAsia="Times New Roman" w:hAnsi="Arial" w:cs="Arial"/>
          <w:sz w:val="24"/>
          <w:szCs w:val="24"/>
          <w:lang w:eastAsia="en-GB"/>
        </w:rPr>
        <w:t xml:space="preserve"> </w:t>
      </w:r>
    </w:p>
    <w:p w:rsidR="007E5CEB" w:rsidRPr="00E352BA" w:rsidRDefault="00770630" w:rsidP="007E5CEB">
      <w:pPr>
        <w:spacing w:after="0" w:line="360" w:lineRule="auto"/>
        <w:jc w:val="both"/>
        <w:rPr>
          <w:rFonts w:ascii="Arial" w:eastAsia="Times New Roman" w:hAnsi="Arial" w:cs="Arial"/>
          <w:b/>
          <w:sz w:val="24"/>
          <w:szCs w:val="24"/>
          <w:lang w:eastAsia="en-GB"/>
        </w:rPr>
      </w:pPr>
      <w:r w:rsidRPr="00E352BA">
        <w:rPr>
          <w:rFonts w:ascii="Arial" w:eastAsia="Times New Roman" w:hAnsi="Arial" w:cs="Arial"/>
          <w:sz w:val="24"/>
          <w:szCs w:val="24"/>
          <w:lang w:eastAsia="en-GB"/>
        </w:rPr>
        <w:t xml:space="preserve">Restructure current debts to improve financial stability. </w:t>
      </w:r>
      <w:r w:rsidRPr="00E352BA">
        <w:rPr>
          <w:rFonts w:ascii="Arial" w:eastAsia="Times New Roman" w:hAnsi="Arial" w:cs="Arial"/>
          <w:sz w:val="24"/>
          <w:szCs w:val="24"/>
          <w:lang w:eastAsia="en-GB"/>
        </w:rPr>
        <w:br/>
      </w:r>
      <w:r w:rsidRPr="00E352BA">
        <w:rPr>
          <w:rFonts w:ascii="Arial" w:eastAsia="Times New Roman" w:hAnsi="Arial" w:cs="Arial"/>
          <w:b/>
          <w:sz w:val="24"/>
          <w:szCs w:val="24"/>
          <w:lang w:eastAsia="en-GB"/>
        </w:rPr>
        <w:t>Implementation:</w:t>
      </w:r>
    </w:p>
    <w:p w:rsidR="00770630" w:rsidRPr="00E352BA" w:rsidRDefault="00770630" w:rsidP="007E5CEB">
      <w:pPr>
        <w:spacing w:after="0" w:line="360" w:lineRule="auto"/>
        <w:jc w:val="both"/>
        <w:rPr>
          <w:rFonts w:ascii="Arial" w:eastAsia="Times New Roman" w:hAnsi="Arial" w:cs="Arial"/>
          <w:b/>
          <w:sz w:val="24"/>
          <w:szCs w:val="24"/>
          <w:lang w:eastAsia="en-GB"/>
        </w:rPr>
      </w:pPr>
      <w:r w:rsidRPr="00E352BA">
        <w:rPr>
          <w:rFonts w:ascii="Arial" w:eastAsia="Times New Roman" w:hAnsi="Arial" w:cs="Arial"/>
          <w:sz w:val="24"/>
          <w:szCs w:val="24"/>
          <w:lang w:eastAsia="en-GB"/>
        </w:rPr>
        <w:t xml:space="preserve">Negotiate with lenders to get better terms, such as longer loan terms or lower rates. Investigate debt consolidation options if they are beneficial. </w:t>
      </w:r>
      <w:r w:rsidRPr="00E352BA">
        <w:rPr>
          <w:rFonts w:ascii="Arial" w:eastAsia="Times New Roman" w:hAnsi="Arial" w:cs="Arial"/>
          <w:sz w:val="24"/>
          <w:szCs w:val="24"/>
          <w:lang w:eastAsia="en-GB"/>
        </w:rPr>
        <w:br/>
      </w:r>
      <w:r w:rsidR="007E5CEB" w:rsidRPr="00E352BA">
        <w:rPr>
          <w:rFonts w:ascii="Arial" w:eastAsia="Times New Roman" w:hAnsi="Arial" w:cs="Arial"/>
          <w:b/>
          <w:sz w:val="24"/>
          <w:szCs w:val="24"/>
          <w:lang w:eastAsia="en-GB"/>
        </w:rPr>
        <w:t>6.2 Equity Infusion:</w:t>
      </w:r>
    </w:p>
    <w:p w:rsidR="007E5CEB" w:rsidRPr="00E352BA" w:rsidRDefault="00770630" w:rsidP="007E5CEB">
      <w:pPr>
        <w:spacing w:after="0" w:line="360" w:lineRule="auto"/>
        <w:jc w:val="both"/>
        <w:rPr>
          <w:rFonts w:ascii="Arial" w:eastAsia="Times New Roman" w:hAnsi="Arial" w:cs="Arial"/>
          <w:b/>
          <w:sz w:val="24"/>
          <w:szCs w:val="24"/>
          <w:lang w:eastAsia="en-GB"/>
        </w:rPr>
      </w:pPr>
      <w:r w:rsidRPr="00E352BA">
        <w:rPr>
          <w:rFonts w:ascii="Arial" w:eastAsia="Times New Roman" w:hAnsi="Arial" w:cs="Arial"/>
          <w:b/>
          <w:sz w:val="24"/>
          <w:szCs w:val="24"/>
          <w:lang w:eastAsia="en-GB"/>
        </w:rPr>
        <w:t>Issues addressed:</w:t>
      </w:r>
    </w:p>
    <w:p w:rsidR="00770630" w:rsidRPr="00E352BA" w:rsidRDefault="007E5CEB" w:rsidP="007E5CEB">
      <w:pPr>
        <w:spacing w:after="0" w:line="360" w:lineRule="auto"/>
        <w:jc w:val="both"/>
        <w:rPr>
          <w:rFonts w:ascii="Arial" w:eastAsia="Times New Roman" w:hAnsi="Arial" w:cs="Arial"/>
          <w:sz w:val="24"/>
          <w:szCs w:val="24"/>
          <w:lang w:eastAsia="en-GB"/>
        </w:rPr>
      </w:pPr>
      <w:r w:rsidRPr="00E352BA">
        <w:rPr>
          <w:rFonts w:ascii="Arial" w:eastAsia="Times New Roman" w:hAnsi="Arial" w:cs="Arial"/>
          <w:sz w:val="24"/>
          <w:szCs w:val="24"/>
          <w:lang w:eastAsia="en-GB"/>
        </w:rPr>
        <w:t>I</w:t>
      </w:r>
      <w:r w:rsidR="00770630" w:rsidRPr="00E352BA">
        <w:rPr>
          <w:rFonts w:ascii="Arial" w:eastAsia="Times New Roman" w:hAnsi="Arial" w:cs="Arial"/>
          <w:sz w:val="24"/>
          <w:szCs w:val="24"/>
          <w:lang w:eastAsia="en-GB"/>
        </w:rPr>
        <w:t>nclude declining equity and financial stability.</w:t>
      </w:r>
    </w:p>
    <w:p w:rsidR="007E5CEB" w:rsidRPr="00E352BA" w:rsidRDefault="00770630" w:rsidP="007E5CEB">
      <w:pPr>
        <w:spacing w:after="0" w:line="360" w:lineRule="auto"/>
        <w:jc w:val="both"/>
        <w:rPr>
          <w:rFonts w:ascii="Arial" w:eastAsia="Times New Roman" w:hAnsi="Arial" w:cs="Arial"/>
          <w:sz w:val="24"/>
          <w:szCs w:val="24"/>
          <w:lang w:eastAsia="en-GB"/>
        </w:rPr>
      </w:pPr>
      <w:r w:rsidRPr="00E352BA">
        <w:rPr>
          <w:rFonts w:ascii="Arial" w:eastAsia="Times New Roman" w:hAnsi="Arial" w:cs="Arial"/>
          <w:b/>
          <w:sz w:val="24"/>
          <w:szCs w:val="24"/>
          <w:lang w:eastAsia="en-GB"/>
        </w:rPr>
        <w:t>Recommendation:</w:t>
      </w:r>
      <w:r w:rsidRPr="00E352BA">
        <w:rPr>
          <w:rFonts w:ascii="Arial" w:eastAsia="Times New Roman" w:hAnsi="Arial" w:cs="Arial"/>
          <w:sz w:val="24"/>
          <w:szCs w:val="24"/>
          <w:lang w:eastAsia="en-GB"/>
        </w:rPr>
        <w:t xml:space="preserve"> </w:t>
      </w:r>
    </w:p>
    <w:p w:rsidR="007E5CEB" w:rsidRPr="00E352BA" w:rsidRDefault="00770630" w:rsidP="007E5CEB">
      <w:pPr>
        <w:spacing w:after="0" w:line="360" w:lineRule="auto"/>
        <w:jc w:val="both"/>
        <w:rPr>
          <w:rFonts w:ascii="Arial" w:eastAsia="Times New Roman" w:hAnsi="Arial" w:cs="Arial"/>
          <w:sz w:val="24"/>
          <w:szCs w:val="24"/>
          <w:lang w:eastAsia="en-GB"/>
        </w:rPr>
      </w:pPr>
      <w:r w:rsidRPr="00E352BA">
        <w:rPr>
          <w:rFonts w:ascii="Arial" w:eastAsia="Times New Roman" w:hAnsi="Arial" w:cs="Arial"/>
          <w:sz w:val="24"/>
          <w:szCs w:val="24"/>
          <w:lang w:eastAsia="en-GB"/>
        </w:rPr>
        <w:t xml:space="preserve">Increase equity investments to improve the balance sheet. </w:t>
      </w:r>
      <w:r w:rsidRPr="00E352BA">
        <w:rPr>
          <w:rFonts w:ascii="Arial" w:eastAsia="Times New Roman" w:hAnsi="Arial" w:cs="Arial"/>
          <w:sz w:val="24"/>
          <w:szCs w:val="24"/>
          <w:lang w:eastAsia="en-GB"/>
        </w:rPr>
        <w:br/>
      </w:r>
      <w:r w:rsidRPr="00E352BA">
        <w:rPr>
          <w:rFonts w:ascii="Arial" w:eastAsia="Times New Roman" w:hAnsi="Arial" w:cs="Arial"/>
          <w:b/>
          <w:sz w:val="24"/>
          <w:szCs w:val="24"/>
          <w:lang w:eastAsia="en-GB"/>
        </w:rPr>
        <w:t>Implementation:</w:t>
      </w:r>
    </w:p>
    <w:p w:rsidR="00770630" w:rsidRPr="00E352BA" w:rsidRDefault="00770630" w:rsidP="007E5CEB">
      <w:pPr>
        <w:spacing w:after="0" w:line="360" w:lineRule="auto"/>
        <w:jc w:val="both"/>
        <w:rPr>
          <w:rFonts w:ascii="Arial" w:eastAsia="Times New Roman" w:hAnsi="Arial" w:cs="Arial"/>
          <w:sz w:val="24"/>
          <w:szCs w:val="24"/>
          <w:lang w:eastAsia="en-GB"/>
        </w:rPr>
      </w:pPr>
      <w:r w:rsidRPr="00E352BA">
        <w:rPr>
          <w:rFonts w:ascii="Arial" w:eastAsia="Times New Roman" w:hAnsi="Arial" w:cs="Arial"/>
          <w:sz w:val="24"/>
          <w:szCs w:val="24"/>
          <w:lang w:eastAsia="en-GB"/>
        </w:rPr>
        <w:t>Provide potential investors with a detailed turnaround plan. Use the funds to complete critical repairs, marketing campaigns, and operational upgrades.</w:t>
      </w:r>
    </w:p>
    <w:p w:rsidR="00946763" w:rsidRPr="00E352BA" w:rsidRDefault="00946763" w:rsidP="007E5CEB">
      <w:pPr>
        <w:spacing w:after="0" w:line="360" w:lineRule="auto"/>
        <w:jc w:val="both"/>
        <w:rPr>
          <w:rFonts w:ascii="Arial" w:eastAsia="Times New Roman" w:hAnsi="Arial" w:cs="Arial"/>
          <w:b/>
          <w:sz w:val="24"/>
          <w:szCs w:val="24"/>
          <w:lang w:eastAsia="en-GB"/>
        </w:rPr>
      </w:pPr>
      <w:bookmarkStart w:id="20" w:name="_Toc168582792"/>
      <w:r w:rsidRPr="00CE77BC">
        <w:rPr>
          <w:rStyle w:val="Heading1Char"/>
        </w:rPr>
        <w:t>Key Steps and Timeline</w:t>
      </w:r>
      <w:bookmarkEnd w:id="20"/>
      <w:r w:rsidRPr="00E352BA">
        <w:rPr>
          <w:rFonts w:ascii="Arial" w:eastAsia="Times New Roman" w:hAnsi="Arial" w:cs="Arial"/>
          <w:b/>
          <w:sz w:val="24"/>
          <w:szCs w:val="24"/>
          <w:lang w:eastAsia="en-GB"/>
        </w:rPr>
        <w:t>:</w:t>
      </w:r>
    </w:p>
    <w:p w:rsidR="00770630" w:rsidRPr="00E352BA" w:rsidRDefault="00946763" w:rsidP="007E5CEB">
      <w:pPr>
        <w:spacing w:after="0" w:line="360" w:lineRule="auto"/>
        <w:jc w:val="both"/>
        <w:rPr>
          <w:rFonts w:ascii="Arial" w:eastAsia="Times New Roman" w:hAnsi="Arial" w:cs="Arial"/>
          <w:sz w:val="24"/>
          <w:szCs w:val="24"/>
          <w:lang w:eastAsia="en-GB"/>
        </w:rPr>
      </w:pPr>
      <w:r w:rsidRPr="00E352BA">
        <w:rPr>
          <w:rFonts w:ascii="Arial" w:eastAsia="Times New Roman" w:hAnsi="Arial" w:cs="Arial"/>
          <w:noProof/>
          <w:sz w:val="24"/>
          <w:szCs w:val="24"/>
          <w:lang w:eastAsia="en-GB"/>
        </w:rPr>
        <w:lastRenderedPageBreak/>
        <w:drawing>
          <wp:inline distT="0" distB="0" distL="0" distR="0">
            <wp:extent cx="5577840" cy="4328160"/>
            <wp:effectExtent l="19050" t="0" r="22860" b="0"/>
            <wp:docPr id="15"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0" r:lo="rId51" r:qs="rId52" r:cs="rId53"/>
              </a:graphicData>
            </a:graphic>
          </wp:inline>
        </w:drawing>
      </w:r>
    </w:p>
    <w:p w:rsidR="00B91FF2" w:rsidRPr="00E352BA" w:rsidRDefault="00E5597B" w:rsidP="00B17F42">
      <w:pPr>
        <w:spacing w:after="0" w:line="360" w:lineRule="auto"/>
        <w:jc w:val="both"/>
        <w:rPr>
          <w:rFonts w:ascii="Arial" w:eastAsia="Times New Roman" w:hAnsi="Arial" w:cs="Arial"/>
          <w:noProof/>
          <w:sz w:val="24"/>
          <w:szCs w:val="24"/>
          <w:lang w:eastAsia="en-GB"/>
        </w:rPr>
      </w:pPr>
      <w:bookmarkStart w:id="21" w:name="_Toc168582793"/>
      <w:r w:rsidRPr="00CE77BC">
        <w:rPr>
          <w:rStyle w:val="Heading1Char"/>
        </w:rPr>
        <w:t>Expected Outcomes</w:t>
      </w:r>
      <w:bookmarkEnd w:id="21"/>
      <w:r w:rsidRPr="00E352BA">
        <w:rPr>
          <w:rFonts w:ascii="Arial" w:eastAsia="Times New Roman" w:hAnsi="Arial" w:cs="Arial"/>
          <w:b/>
          <w:sz w:val="24"/>
          <w:szCs w:val="24"/>
          <w:lang w:eastAsia="en-GB"/>
        </w:rPr>
        <w:t>:</w:t>
      </w:r>
      <w:r w:rsidRPr="00E352BA">
        <w:rPr>
          <w:rFonts w:ascii="Arial" w:eastAsia="Times New Roman" w:hAnsi="Arial" w:cs="Arial"/>
          <w:noProof/>
          <w:sz w:val="24"/>
          <w:szCs w:val="24"/>
          <w:lang w:eastAsia="en-GB"/>
        </w:rPr>
        <w:t xml:space="preserve"> </w:t>
      </w:r>
    </w:p>
    <w:p w:rsidR="00B91FF2" w:rsidRPr="00E352BA" w:rsidRDefault="00B91FF2" w:rsidP="00B91FF2">
      <w:pPr>
        <w:spacing w:after="0" w:line="240" w:lineRule="auto"/>
        <w:rPr>
          <w:rFonts w:ascii="Arial" w:eastAsia="Times New Roman" w:hAnsi="Arial" w:cs="Arial"/>
          <w:noProof/>
          <w:sz w:val="24"/>
          <w:szCs w:val="24"/>
          <w:lang w:eastAsia="en-GB"/>
        </w:rPr>
      </w:pPr>
      <w:r w:rsidRPr="00E352BA">
        <w:rPr>
          <w:rFonts w:ascii="Arial" w:eastAsia="Times New Roman" w:hAnsi="Arial" w:cs="Arial"/>
          <w:sz w:val="24"/>
          <w:szCs w:val="24"/>
          <w:lang w:eastAsia="en-GB"/>
        </w:rPr>
        <w:t xml:space="preserve">Urban Heights Hotel should expect the following outcomes after completing this comprehensive turnaround strategy: </w:t>
      </w:r>
      <w:r w:rsidRPr="00E352BA">
        <w:rPr>
          <w:rFonts w:ascii="Arial" w:eastAsia="Times New Roman" w:hAnsi="Arial" w:cs="Arial"/>
          <w:sz w:val="24"/>
          <w:szCs w:val="24"/>
          <w:lang w:eastAsia="en-GB"/>
        </w:rPr>
        <w:br/>
      </w:r>
      <w:r w:rsidRPr="00E352BA">
        <w:rPr>
          <w:rFonts w:ascii="Arial" w:eastAsia="Times New Roman" w:hAnsi="Arial" w:cs="Arial"/>
          <w:sz w:val="24"/>
          <w:szCs w:val="24"/>
          <w:lang w:eastAsia="en-GB"/>
        </w:rPr>
        <w:br/>
      </w:r>
    </w:p>
    <w:p w:rsidR="00B24637" w:rsidRPr="00E352BA" w:rsidRDefault="00E5597B" w:rsidP="00B17F42">
      <w:pPr>
        <w:spacing w:after="0" w:line="360" w:lineRule="auto"/>
        <w:jc w:val="both"/>
        <w:rPr>
          <w:rFonts w:ascii="Arial" w:eastAsia="Times New Roman" w:hAnsi="Arial" w:cs="Arial"/>
          <w:b/>
          <w:sz w:val="24"/>
          <w:szCs w:val="24"/>
          <w:lang w:eastAsia="en-GB"/>
        </w:rPr>
      </w:pPr>
      <w:r w:rsidRPr="00E352BA">
        <w:rPr>
          <w:rFonts w:ascii="Arial" w:eastAsia="Times New Roman" w:hAnsi="Arial" w:cs="Arial"/>
          <w:noProof/>
          <w:sz w:val="24"/>
          <w:szCs w:val="24"/>
          <w:lang w:eastAsia="en-GB"/>
        </w:rPr>
        <w:drawing>
          <wp:inline distT="0" distB="0" distL="0" distR="0" wp14:anchorId="22966802" wp14:editId="7F20E280">
            <wp:extent cx="5654040" cy="2324100"/>
            <wp:effectExtent l="19050" t="0" r="60960" b="19050"/>
            <wp:docPr id="20" name="Diagram 2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5" r:lo="rId56" r:qs="rId57" r:cs="rId58"/>
              </a:graphicData>
            </a:graphic>
          </wp:inline>
        </w:drawing>
      </w:r>
    </w:p>
    <w:p w:rsidR="00EC4055" w:rsidRPr="00E352BA" w:rsidRDefault="00B91FF2" w:rsidP="00C845D7">
      <w:pPr>
        <w:spacing w:after="0" w:line="360" w:lineRule="auto"/>
        <w:jc w:val="both"/>
        <w:rPr>
          <w:rFonts w:ascii="Arial" w:eastAsia="Times New Roman" w:hAnsi="Arial" w:cs="Arial"/>
          <w:sz w:val="24"/>
          <w:szCs w:val="24"/>
          <w:lang w:eastAsia="en-GB"/>
        </w:rPr>
      </w:pPr>
      <w:r w:rsidRPr="00E352BA">
        <w:rPr>
          <w:rFonts w:ascii="Arial" w:eastAsia="Times New Roman" w:hAnsi="Arial" w:cs="Arial"/>
          <w:sz w:val="24"/>
          <w:szCs w:val="24"/>
          <w:lang w:eastAsia="en-GB"/>
        </w:rPr>
        <w:t>Overall, this plan aims to revive the hotel's financial health, restore its reputation, and ensure its long-term survival, resulting in the highest potential financial return for the owner.</w:t>
      </w:r>
    </w:p>
    <w:p w:rsidR="00EC4055" w:rsidRPr="00E352BA" w:rsidRDefault="00EC4055" w:rsidP="00E573FD">
      <w:pPr>
        <w:spacing w:after="0" w:line="360" w:lineRule="auto"/>
        <w:jc w:val="both"/>
        <w:rPr>
          <w:rFonts w:ascii="Arial" w:hAnsi="Arial" w:cs="Arial"/>
          <w:sz w:val="24"/>
          <w:szCs w:val="24"/>
        </w:rPr>
      </w:pPr>
    </w:p>
    <w:p w:rsidR="00EC4055" w:rsidRPr="00E352BA" w:rsidRDefault="00EC4055" w:rsidP="00E573FD">
      <w:pPr>
        <w:spacing w:after="0" w:line="360" w:lineRule="auto"/>
        <w:jc w:val="both"/>
        <w:rPr>
          <w:rFonts w:ascii="Arial" w:hAnsi="Arial" w:cs="Arial"/>
          <w:b/>
          <w:sz w:val="24"/>
          <w:szCs w:val="24"/>
        </w:rPr>
      </w:pPr>
      <w:bookmarkStart w:id="22" w:name="_Toc168582794"/>
      <w:r w:rsidRPr="00E352BA">
        <w:rPr>
          <w:rStyle w:val="Heading1Char"/>
          <w:rFonts w:cs="Arial"/>
          <w:szCs w:val="24"/>
        </w:rPr>
        <w:lastRenderedPageBreak/>
        <w:t>Conclusion</w:t>
      </w:r>
      <w:bookmarkEnd w:id="22"/>
      <w:r w:rsidRPr="00E352BA">
        <w:rPr>
          <w:rFonts w:ascii="Arial" w:hAnsi="Arial" w:cs="Arial"/>
          <w:b/>
          <w:sz w:val="24"/>
          <w:szCs w:val="24"/>
        </w:rPr>
        <w:t>:</w:t>
      </w:r>
    </w:p>
    <w:p w:rsidR="00C845D7" w:rsidRPr="00C845D7" w:rsidRDefault="00C845D7" w:rsidP="00C845D7">
      <w:pPr>
        <w:spacing w:after="0" w:line="360" w:lineRule="auto"/>
        <w:jc w:val="both"/>
        <w:rPr>
          <w:rFonts w:ascii="Arial" w:eastAsia="Times New Roman" w:hAnsi="Arial" w:cs="Arial"/>
          <w:sz w:val="24"/>
          <w:szCs w:val="24"/>
          <w:lang w:eastAsia="en-GB"/>
        </w:rPr>
      </w:pPr>
      <w:r w:rsidRPr="00C845D7">
        <w:rPr>
          <w:rFonts w:ascii="Arial" w:eastAsia="Times New Roman" w:hAnsi="Arial" w:cs="Arial"/>
          <w:sz w:val="24"/>
          <w:szCs w:val="24"/>
          <w:lang w:eastAsia="en-GB"/>
        </w:rPr>
        <w:t xml:space="preserve">The Urban Heights Hotel, which is experiencing declining profitability, occupancy rates, and customer satisfaction, needs a thorough turnaround strategy. The financial performance evaluation found decreased revenue, rising operational costs, and net income losses. Key financial ratios revealed a decline in liquidity and profitability. A thorough balance sheet examination indicated diminishing assets and increasing liabilities. The proposed turnaround strategy aims to reduce market risk, improve service quality, minimise costs, manage financial risk, ensure regulatory compliance, and manage reputation. These efforts, which include competitive pricing, increased marketing, cost reduction, and debt restructuring, are intended to restore the hotel's financial health, operational efficiency, and market reputation, ensuring long-term success. </w:t>
      </w:r>
    </w:p>
    <w:p w:rsidR="00EC4055" w:rsidRPr="00E352BA" w:rsidRDefault="00EC4055" w:rsidP="00EC4055">
      <w:pPr>
        <w:spacing w:after="0" w:line="240" w:lineRule="auto"/>
        <w:rPr>
          <w:rFonts w:ascii="Arial" w:eastAsia="Times New Roman" w:hAnsi="Arial" w:cs="Arial"/>
          <w:sz w:val="24"/>
          <w:szCs w:val="24"/>
          <w:lang w:eastAsia="en-GB"/>
        </w:rPr>
      </w:pPr>
    </w:p>
    <w:p w:rsidR="00EC4055" w:rsidRPr="00E352BA" w:rsidRDefault="00EC4055" w:rsidP="00E573FD">
      <w:pPr>
        <w:spacing w:after="0" w:line="360" w:lineRule="auto"/>
        <w:jc w:val="both"/>
        <w:rPr>
          <w:rFonts w:ascii="Arial" w:hAnsi="Arial" w:cs="Arial"/>
          <w:sz w:val="24"/>
          <w:szCs w:val="24"/>
        </w:rPr>
      </w:pPr>
    </w:p>
    <w:p w:rsidR="00EC4055" w:rsidRPr="00E352BA" w:rsidRDefault="00EC4055" w:rsidP="00E573FD">
      <w:pPr>
        <w:spacing w:after="0" w:line="360" w:lineRule="auto"/>
        <w:jc w:val="both"/>
        <w:rPr>
          <w:rFonts w:ascii="Arial" w:hAnsi="Arial" w:cs="Arial"/>
          <w:sz w:val="24"/>
          <w:szCs w:val="24"/>
        </w:rPr>
      </w:pPr>
    </w:p>
    <w:p w:rsidR="00B04181" w:rsidRPr="00E352BA" w:rsidRDefault="00B04181" w:rsidP="00E573FD">
      <w:pPr>
        <w:spacing w:after="0" w:line="360" w:lineRule="auto"/>
        <w:jc w:val="both"/>
        <w:rPr>
          <w:rFonts w:ascii="Arial" w:hAnsi="Arial" w:cs="Arial"/>
          <w:sz w:val="24"/>
          <w:szCs w:val="24"/>
        </w:rPr>
      </w:pPr>
    </w:p>
    <w:p w:rsidR="00B04181" w:rsidRPr="00E352BA" w:rsidRDefault="00B04181" w:rsidP="00E573FD">
      <w:pPr>
        <w:spacing w:after="0" w:line="360" w:lineRule="auto"/>
        <w:jc w:val="both"/>
        <w:rPr>
          <w:rFonts w:ascii="Arial" w:hAnsi="Arial" w:cs="Arial"/>
          <w:sz w:val="24"/>
          <w:szCs w:val="24"/>
        </w:rPr>
      </w:pPr>
    </w:p>
    <w:p w:rsidR="00B04181" w:rsidRPr="00E352BA" w:rsidRDefault="00B04181" w:rsidP="00E573FD">
      <w:pPr>
        <w:spacing w:after="0" w:line="360" w:lineRule="auto"/>
        <w:jc w:val="both"/>
        <w:rPr>
          <w:rFonts w:ascii="Arial" w:hAnsi="Arial" w:cs="Arial"/>
          <w:sz w:val="24"/>
          <w:szCs w:val="24"/>
        </w:rPr>
      </w:pPr>
    </w:p>
    <w:p w:rsidR="00B04181" w:rsidRPr="00E352BA" w:rsidRDefault="00B04181" w:rsidP="00E573FD">
      <w:pPr>
        <w:spacing w:after="0" w:line="360" w:lineRule="auto"/>
        <w:jc w:val="both"/>
        <w:rPr>
          <w:rFonts w:ascii="Arial" w:hAnsi="Arial" w:cs="Arial"/>
          <w:sz w:val="24"/>
          <w:szCs w:val="24"/>
        </w:rPr>
      </w:pPr>
    </w:p>
    <w:p w:rsidR="00B04181" w:rsidRPr="00E352BA" w:rsidRDefault="00B04181" w:rsidP="00E573FD">
      <w:pPr>
        <w:spacing w:after="0" w:line="360" w:lineRule="auto"/>
        <w:jc w:val="both"/>
        <w:rPr>
          <w:rFonts w:ascii="Arial" w:hAnsi="Arial" w:cs="Arial"/>
          <w:sz w:val="24"/>
          <w:szCs w:val="24"/>
        </w:rPr>
      </w:pPr>
    </w:p>
    <w:p w:rsidR="00B04181" w:rsidRPr="00E352BA" w:rsidRDefault="00B04181" w:rsidP="00E573FD">
      <w:pPr>
        <w:spacing w:after="0" w:line="360" w:lineRule="auto"/>
        <w:jc w:val="both"/>
        <w:rPr>
          <w:rFonts w:ascii="Arial" w:hAnsi="Arial" w:cs="Arial"/>
          <w:sz w:val="24"/>
          <w:szCs w:val="24"/>
        </w:rPr>
      </w:pPr>
    </w:p>
    <w:p w:rsidR="00B04181" w:rsidRPr="00E352BA" w:rsidRDefault="00B04181" w:rsidP="00E573FD">
      <w:pPr>
        <w:spacing w:after="0" w:line="360" w:lineRule="auto"/>
        <w:jc w:val="both"/>
        <w:rPr>
          <w:rFonts w:ascii="Arial" w:hAnsi="Arial" w:cs="Arial"/>
          <w:sz w:val="24"/>
          <w:szCs w:val="24"/>
        </w:rPr>
      </w:pPr>
    </w:p>
    <w:p w:rsidR="00B04181" w:rsidRPr="00E352BA" w:rsidRDefault="00B04181" w:rsidP="00E573FD">
      <w:pPr>
        <w:spacing w:after="0" w:line="360" w:lineRule="auto"/>
        <w:jc w:val="both"/>
        <w:rPr>
          <w:rFonts w:ascii="Arial" w:hAnsi="Arial" w:cs="Arial"/>
          <w:sz w:val="24"/>
          <w:szCs w:val="24"/>
        </w:rPr>
      </w:pPr>
    </w:p>
    <w:p w:rsidR="00B04181" w:rsidRPr="00E352BA" w:rsidRDefault="00B04181" w:rsidP="00E573FD">
      <w:pPr>
        <w:spacing w:after="0" w:line="360" w:lineRule="auto"/>
        <w:jc w:val="both"/>
        <w:rPr>
          <w:rFonts w:ascii="Arial" w:hAnsi="Arial" w:cs="Arial"/>
          <w:sz w:val="24"/>
          <w:szCs w:val="24"/>
        </w:rPr>
      </w:pPr>
    </w:p>
    <w:p w:rsidR="00B04181" w:rsidRPr="00E352BA" w:rsidRDefault="00B04181" w:rsidP="00E573FD">
      <w:pPr>
        <w:spacing w:after="0" w:line="360" w:lineRule="auto"/>
        <w:jc w:val="both"/>
        <w:rPr>
          <w:rFonts w:ascii="Arial" w:hAnsi="Arial" w:cs="Arial"/>
          <w:sz w:val="24"/>
          <w:szCs w:val="24"/>
        </w:rPr>
      </w:pPr>
    </w:p>
    <w:p w:rsidR="00B04181" w:rsidRPr="00E352BA" w:rsidRDefault="00B04181" w:rsidP="00E573FD">
      <w:pPr>
        <w:spacing w:after="0" w:line="360" w:lineRule="auto"/>
        <w:jc w:val="both"/>
        <w:rPr>
          <w:rFonts w:ascii="Arial" w:hAnsi="Arial" w:cs="Arial"/>
          <w:sz w:val="24"/>
          <w:szCs w:val="24"/>
        </w:rPr>
      </w:pPr>
    </w:p>
    <w:p w:rsidR="00B04181" w:rsidRDefault="00B04181" w:rsidP="00E573FD">
      <w:pPr>
        <w:spacing w:after="0" w:line="360" w:lineRule="auto"/>
        <w:jc w:val="both"/>
        <w:rPr>
          <w:rFonts w:ascii="Arial" w:hAnsi="Arial" w:cs="Arial"/>
          <w:sz w:val="24"/>
          <w:szCs w:val="24"/>
        </w:rPr>
      </w:pPr>
    </w:p>
    <w:p w:rsidR="00B04181" w:rsidRDefault="00B04181" w:rsidP="00E573FD">
      <w:pPr>
        <w:spacing w:after="0" w:line="360" w:lineRule="auto"/>
        <w:jc w:val="both"/>
        <w:rPr>
          <w:rFonts w:ascii="Arial" w:hAnsi="Arial" w:cs="Arial"/>
          <w:sz w:val="24"/>
          <w:szCs w:val="24"/>
        </w:rPr>
      </w:pPr>
    </w:p>
    <w:p w:rsidR="00B04181" w:rsidRDefault="00B04181" w:rsidP="00E573FD">
      <w:pPr>
        <w:spacing w:after="0" w:line="360" w:lineRule="auto"/>
        <w:jc w:val="both"/>
        <w:rPr>
          <w:rFonts w:ascii="Arial" w:hAnsi="Arial" w:cs="Arial"/>
          <w:sz w:val="24"/>
          <w:szCs w:val="24"/>
        </w:rPr>
      </w:pPr>
    </w:p>
    <w:p w:rsidR="00B04181" w:rsidRDefault="00B04181" w:rsidP="00E573FD">
      <w:pPr>
        <w:spacing w:after="0" w:line="360" w:lineRule="auto"/>
        <w:jc w:val="both"/>
        <w:rPr>
          <w:rFonts w:ascii="Arial" w:hAnsi="Arial" w:cs="Arial"/>
          <w:sz w:val="24"/>
          <w:szCs w:val="24"/>
        </w:rPr>
      </w:pPr>
    </w:p>
    <w:p w:rsidR="00B04181" w:rsidRDefault="00B04181" w:rsidP="00E573FD">
      <w:pPr>
        <w:spacing w:after="0" w:line="360" w:lineRule="auto"/>
        <w:jc w:val="both"/>
        <w:rPr>
          <w:rFonts w:ascii="Arial" w:hAnsi="Arial" w:cs="Arial"/>
          <w:sz w:val="24"/>
          <w:szCs w:val="24"/>
        </w:rPr>
      </w:pPr>
    </w:p>
    <w:p w:rsidR="00B04181" w:rsidRDefault="00B04181" w:rsidP="00E573FD">
      <w:pPr>
        <w:spacing w:after="0" w:line="360" w:lineRule="auto"/>
        <w:jc w:val="both"/>
        <w:rPr>
          <w:rFonts w:ascii="Arial" w:hAnsi="Arial" w:cs="Arial"/>
          <w:sz w:val="24"/>
          <w:szCs w:val="24"/>
        </w:rPr>
      </w:pPr>
    </w:p>
    <w:p w:rsidR="00B04181" w:rsidRDefault="00B04181" w:rsidP="00E573FD">
      <w:pPr>
        <w:spacing w:after="0" w:line="360" w:lineRule="auto"/>
        <w:jc w:val="both"/>
        <w:rPr>
          <w:rFonts w:ascii="Arial" w:hAnsi="Arial" w:cs="Arial"/>
          <w:sz w:val="24"/>
          <w:szCs w:val="24"/>
        </w:rPr>
      </w:pPr>
    </w:p>
    <w:p w:rsidR="00F56439" w:rsidRDefault="00F56439" w:rsidP="00E573FD">
      <w:pPr>
        <w:spacing w:after="0" w:line="360" w:lineRule="auto"/>
        <w:jc w:val="both"/>
        <w:rPr>
          <w:rStyle w:val="Heading1Char"/>
        </w:rPr>
      </w:pPr>
    </w:p>
    <w:p w:rsidR="00B04181" w:rsidRPr="00B04181" w:rsidRDefault="00B04181" w:rsidP="00E573FD">
      <w:pPr>
        <w:spacing w:after="0" w:line="360" w:lineRule="auto"/>
        <w:jc w:val="both"/>
        <w:rPr>
          <w:rFonts w:ascii="Arial" w:hAnsi="Arial" w:cs="Arial"/>
          <w:b/>
          <w:sz w:val="24"/>
          <w:szCs w:val="24"/>
        </w:rPr>
      </w:pPr>
      <w:bookmarkStart w:id="23" w:name="_Toc168582795"/>
      <w:r w:rsidRPr="00B231B6">
        <w:rPr>
          <w:rStyle w:val="Heading1Char"/>
        </w:rPr>
        <w:lastRenderedPageBreak/>
        <w:t>References</w:t>
      </w:r>
      <w:bookmarkEnd w:id="23"/>
      <w:r w:rsidRPr="00B04181">
        <w:rPr>
          <w:rFonts w:ascii="Arial" w:hAnsi="Arial" w:cs="Arial"/>
          <w:b/>
          <w:sz w:val="24"/>
          <w:szCs w:val="24"/>
        </w:rPr>
        <w:t>:</w:t>
      </w:r>
    </w:p>
    <w:p w:rsidR="00B04181" w:rsidRDefault="00B04181" w:rsidP="001067CE">
      <w:pPr>
        <w:pStyle w:val="ListParagraph"/>
        <w:numPr>
          <w:ilvl w:val="0"/>
          <w:numId w:val="1"/>
        </w:numPr>
        <w:spacing w:line="360" w:lineRule="auto"/>
        <w:jc w:val="both"/>
        <w:rPr>
          <w:rFonts w:ascii="Arial" w:hAnsi="Arial" w:cs="Arial"/>
          <w:sz w:val="24"/>
          <w:szCs w:val="24"/>
        </w:rPr>
      </w:pPr>
      <w:r w:rsidRPr="003D7DFE">
        <w:rPr>
          <w:rFonts w:ascii="Arial" w:hAnsi="Arial" w:cs="Arial"/>
          <w:sz w:val="24"/>
          <w:szCs w:val="24"/>
        </w:rPr>
        <w:t xml:space="preserve">Hayes, A. (2023). </w:t>
      </w:r>
      <w:r w:rsidRPr="00D56FBB">
        <w:rPr>
          <w:rFonts w:ascii="Arial" w:hAnsi="Arial" w:cs="Arial"/>
          <w:i/>
          <w:sz w:val="24"/>
          <w:szCs w:val="24"/>
        </w:rPr>
        <w:t>What Is a Solvency Ratio, and How Is It Calculated?</w:t>
      </w:r>
      <w:r w:rsidRPr="003D7DFE">
        <w:rPr>
          <w:rFonts w:ascii="Arial" w:hAnsi="Arial" w:cs="Arial"/>
          <w:sz w:val="24"/>
          <w:szCs w:val="24"/>
        </w:rPr>
        <w:t xml:space="preserve"> Available at:</w:t>
      </w:r>
      <w:r>
        <w:rPr>
          <w:rFonts w:ascii="Arial" w:hAnsi="Arial" w:cs="Arial"/>
          <w:sz w:val="24"/>
          <w:szCs w:val="24"/>
        </w:rPr>
        <w:t xml:space="preserve"> </w:t>
      </w:r>
      <w:hyperlink r:id="rId60" w:history="1">
        <w:r w:rsidRPr="00D56FBB">
          <w:rPr>
            <w:rStyle w:val="Hyperlink"/>
            <w:rFonts w:ascii="Arial" w:hAnsi="Arial" w:cs="Arial"/>
            <w:sz w:val="24"/>
            <w:szCs w:val="24"/>
          </w:rPr>
          <w:t>https://www.investopedia.com/terms/s/solvencyratio.asp</w:t>
        </w:r>
      </w:hyperlink>
      <w:r w:rsidRPr="00D56FBB">
        <w:rPr>
          <w:rFonts w:ascii="Arial" w:hAnsi="Arial" w:cs="Arial"/>
          <w:sz w:val="24"/>
          <w:szCs w:val="24"/>
        </w:rPr>
        <w:t>. Accessed: (24 May 2024)</w:t>
      </w:r>
      <w:r w:rsidRPr="00C62278">
        <w:rPr>
          <w:rFonts w:ascii="Arial" w:hAnsi="Arial" w:cs="Arial"/>
          <w:sz w:val="24"/>
          <w:szCs w:val="24"/>
        </w:rPr>
        <w:t>.</w:t>
      </w:r>
    </w:p>
    <w:p w:rsidR="00EA56A6" w:rsidRPr="003D7DFE" w:rsidRDefault="00D75679" w:rsidP="00B04181">
      <w:pPr>
        <w:pStyle w:val="ListParagraph"/>
        <w:numPr>
          <w:ilvl w:val="0"/>
          <w:numId w:val="1"/>
        </w:numPr>
        <w:spacing w:line="360" w:lineRule="auto"/>
        <w:jc w:val="both"/>
        <w:rPr>
          <w:rFonts w:ascii="Arial" w:hAnsi="Arial" w:cs="Arial"/>
          <w:sz w:val="24"/>
          <w:szCs w:val="24"/>
        </w:rPr>
      </w:pPr>
      <w:r>
        <w:rPr>
          <w:rFonts w:ascii="Arial" w:hAnsi="Arial" w:cs="Arial"/>
          <w:color w:val="0D0D0D"/>
          <w:sz w:val="24"/>
          <w:szCs w:val="24"/>
          <w:shd w:val="clear" w:color="auto" w:fill="FFFFFF"/>
        </w:rPr>
        <w:t>Gardner</w:t>
      </w:r>
      <w:r w:rsidR="00EA56A6">
        <w:rPr>
          <w:rFonts w:ascii="Arial" w:hAnsi="Arial" w:cs="Arial"/>
          <w:color w:val="0D0D0D"/>
          <w:sz w:val="24"/>
          <w:szCs w:val="24"/>
          <w:shd w:val="clear" w:color="auto" w:fill="FFFFFF"/>
        </w:rPr>
        <w:t>,</w:t>
      </w:r>
      <w:r w:rsidR="00081B52">
        <w:rPr>
          <w:rFonts w:ascii="Arial" w:hAnsi="Arial" w:cs="Arial"/>
          <w:color w:val="0D0D0D"/>
          <w:sz w:val="24"/>
          <w:szCs w:val="24"/>
          <w:shd w:val="clear" w:color="auto" w:fill="FFFFFF"/>
        </w:rPr>
        <w:t xml:space="preserve"> J. and Olden, B.</w:t>
      </w:r>
      <w:r w:rsidR="00EA56A6" w:rsidRPr="00E352BA">
        <w:rPr>
          <w:rFonts w:ascii="Arial" w:hAnsi="Arial" w:cs="Arial"/>
          <w:color w:val="0D0D0D"/>
          <w:sz w:val="24"/>
          <w:szCs w:val="24"/>
          <w:shd w:val="clear" w:color="auto" w:fill="FFFFFF"/>
        </w:rPr>
        <w:t xml:space="preserve"> </w:t>
      </w:r>
      <w:r w:rsidR="00EA56A6">
        <w:rPr>
          <w:rFonts w:ascii="Arial" w:hAnsi="Arial" w:cs="Arial"/>
          <w:color w:val="0D0D0D"/>
          <w:sz w:val="24"/>
          <w:szCs w:val="24"/>
          <w:shd w:val="clear" w:color="auto" w:fill="FFFFFF"/>
        </w:rPr>
        <w:t>(</w:t>
      </w:r>
      <w:r w:rsidR="00EA56A6" w:rsidRPr="00E352BA">
        <w:rPr>
          <w:rFonts w:ascii="Arial" w:hAnsi="Arial" w:cs="Arial"/>
          <w:color w:val="0D0D0D"/>
          <w:sz w:val="24"/>
          <w:szCs w:val="24"/>
          <w:shd w:val="clear" w:color="auto" w:fill="FFFFFF"/>
        </w:rPr>
        <w:t>2017</w:t>
      </w:r>
      <w:r w:rsidR="00EA56A6">
        <w:rPr>
          <w:rFonts w:ascii="Arial" w:hAnsi="Arial" w:cs="Arial"/>
          <w:color w:val="0D0D0D"/>
          <w:sz w:val="24"/>
          <w:szCs w:val="24"/>
          <w:shd w:val="clear" w:color="auto" w:fill="FFFFFF"/>
        </w:rPr>
        <w:t>)</w:t>
      </w:r>
      <w:r w:rsidR="00081B52">
        <w:rPr>
          <w:rFonts w:ascii="Arial" w:hAnsi="Arial" w:cs="Arial"/>
          <w:color w:val="0D0D0D"/>
          <w:sz w:val="24"/>
          <w:szCs w:val="24"/>
          <w:shd w:val="clear" w:color="auto" w:fill="FFFFFF"/>
        </w:rPr>
        <w:t xml:space="preserve">. </w:t>
      </w:r>
      <w:r w:rsidR="00081B52" w:rsidRPr="00081B52">
        <w:rPr>
          <w:rFonts w:ascii="Arial" w:hAnsi="Arial" w:cs="Arial"/>
          <w:i/>
          <w:color w:val="0D0D0D"/>
          <w:sz w:val="24"/>
          <w:szCs w:val="24"/>
          <w:shd w:val="clear" w:color="auto" w:fill="FFFFFF"/>
        </w:rPr>
        <w:t>Cash management and debt management: two sides of the same coin</w:t>
      </w:r>
      <w:r w:rsidR="00081B52">
        <w:rPr>
          <w:rFonts w:ascii="Arial" w:hAnsi="Arial" w:cs="Arial"/>
          <w:color w:val="0D0D0D"/>
          <w:sz w:val="24"/>
          <w:szCs w:val="24"/>
          <w:shd w:val="clear" w:color="auto" w:fill="FFFFFF"/>
        </w:rPr>
        <w:t xml:space="preserve">.  </w:t>
      </w:r>
      <w:r>
        <w:rPr>
          <w:rFonts w:ascii="Arial" w:hAnsi="Arial" w:cs="Arial"/>
          <w:color w:val="0D0D0D"/>
          <w:sz w:val="24"/>
          <w:szCs w:val="24"/>
          <w:shd w:val="clear" w:color="auto" w:fill="FFFFFF"/>
        </w:rPr>
        <w:t>Public Finance management.</w:t>
      </w:r>
    </w:p>
    <w:p w:rsidR="00B04181" w:rsidRPr="00230BED" w:rsidRDefault="00B04181" w:rsidP="00B04181">
      <w:pPr>
        <w:pStyle w:val="ListParagraph"/>
        <w:numPr>
          <w:ilvl w:val="0"/>
          <w:numId w:val="1"/>
        </w:numPr>
        <w:spacing w:line="360" w:lineRule="auto"/>
        <w:jc w:val="both"/>
        <w:rPr>
          <w:rFonts w:ascii="Arial" w:hAnsi="Arial" w:cs="Arial"/>
          <w:sz w:val="24"/>
          <w:szCs w:val="24"/>
        </w:rPr>
      </w:pPr>
      <w:r w:rsidRPr="003D7DFE">
        <w:rPr>
          <w:rFonts w:ascii="Arial" w:hAnsi="Arial" w:cs="Arial"/>
          <w:sz w:val="24"/>
          <w:szCs w:val="24"/>
        </w:rPr>
        <w:t xml:space="preserve">Global Sustainable Tourism Council (2020) </w:t>
      </w:r>
      <w:r w:rsidRPr="00230BED">
        <w:rPr>
          <w:rFonts w:ascii="Arial" w:hAnsi="Arial" w:cs="Arial"/>
          <w:i/>
          <w:sz w:val="24"/>
          <w:szCs w:val="24"/>
        </w:rPr>
        <w:t>Sustainable Tourism Trends Report</w:t>
      </w:r>
      <w:r w:rsidRPr="003D7DFE">
        <w:rPr>
          <w:rFonts w:ascii="Arial" w:hAnsi="Arial" w:cs="Arial"/>
          <w:sz w:val="24"/>
          <w:szCs w:val="24"/>
        </w:rPr>
        <w:t xml:space="preserve">. Available at: </w:t>
      </w:r>
      <w:hyperlink r:id="rId61" w:history="1">
        <w:r w:rsidRPr="00192204">
          <w:rPr>
            <w:rStyle w:val="Hyperlink"/>
            <w:rFonts w:ascii="Arial" w:hAnsi="Arial" w:cs="Arial"/>
            <w:sz w:val="24"/>
            <w:szCs w:val="24"/>
          </w:rPr>
          <w:t>https://www.gstcouncil.org/sustainable-tourism-trends</w:t>
        </w:r>
      </w:hyperlink>
      <w:r>
        <w:rPr>
          <w:rFonts w:ascii="Arial" w:hAnsi="Arial" w:cs="Arial"/>
          <w:sz w:val="24"/>
          <w:szCs w:val="24"/>
        </w:rPr>
        <w:t xml:space="preserve">. </w:t>
      </w:r>
      <w:r w:rsidRPr="003D7DFE">
        <w:rPr>
          <w:rFonts w:ascii="Arial" w:hAnsi="Arial" w:cs="Arial"/>
          <w:sz w:val="24"/>
          <w:szCs w:val="24"/>
        </w:rPr>
        <w:t>Accessed: (24 May 2024)</w:t>
      </w:r>
      <w:r>
        <w:rPr>
          <w:rFonts w:ascii="Arial" w:hAnsi="Arial" w:cs="Arial"/>
          <w:sz w:val="24"/>
          <w:szCs w:val="24"/>
        </w:rPr>
        <w:t>.</w:t>
      </w:r>
    </w:p>
    <w:p w:rsidR="00B04181" w:rsidRPr="003D7DFE" w:rsidRDefault="00B04181" w:rsidP="00B04181">
      <w:pPr>
        <w:pStyle w:val="ListParagraph"/>
        <w:numPr>
          <w:ilvl w:val="0"/>
          <w:numId w:val="1"/>
        </w:numPr>
        <w:spacing w:line="360" w:lineRule="auto"/>
        <w:jc w:val="both"/>
        <w:rPr>
          <w:rFonts w:ascii="Arial" w:hAnsi="Arial" w:cs="Arial"/>
          <w:sz w:val="24"/>
          <w:szCs w:val="24"/>
        </w:rPr>
      </w:pPr>
      <w:r w:rsidRPr="003D7DFE">
        <w:rPr>
          <w:rFonts w:ascii="Arial" w:hAnsi="Arial" w:cs="Arial"/>
          <w:sz w:val="24"/>
          <w:szCs w:val="24"/>
        </w:rPr>
        <w:t>Hospitality Technology (2020)</w:t>
      </w:r>
      <w:r>
        <w:rPr>
          <w:rFonts w:ascii="Arial" w:hAnsi="Arial" w:cs="Arial"/>
          <w:sz w:val="24"/>
          <w:szCs w:val="24"/>
        </w:rPr>
        <w:t>.</w:t>
      </w:r>
      <w:r w:rsidRPr="003D7DFE">
        <w:rPr>
          <w:rFonts w:ascii="Arial" w:hAnsi="Arial" w:cs="Arial"/>
          <w:sz w:val="24"/>
          <w:szCs w:val="24"/>
        </w:rPr>
        <w:t xml:space="preserve"> </w:t>
      </w:r>
      <w:r w:rsidRPr="00230BED">
        <w:rPr>
          <w:rFonts w:ascii="Arial" w:hAnsi="Arial" w:cs="Arial"/>
          <w:i/>
          <w:sz w:val="24"/>
          <w:szCs w:val="24"/>
        </w:rPr>
        <w:t>The Mobile Revolution in Hospitality</w:t>
      </w:r>
      <w:r w:rsidRPr="003D7DFE">
        <w:rPr>
          <w:rFonts w:ascii="Arial" w:hAnsi="Arial" w:cs="Arial"/>
          <w:sz w:val="24"/>
          <w:szCs w:val="24"/>
        </w:rPr>
        <w:t>. Hospitality Technology Magazine, 12(1), pp. 23-29.</w:t>
      </w:r>
    </w:p>
    <w:p w:rsidR="00B04181" w:rsidRPr="003D7DFE" w:rsidRDefault="00B04181" w:rsidP="00B04181">
      <w:pPr>
        <w:pStyle w:val="ListParagraph"/>
        <w:numPr>
          <w:ilvl w:val="0"/>
          <w:numId w:val="1"/>
        </w:numPr>
        <w:spacing w:line="360" w:lineRule="auto"/>
        <w:jc w:val="both"/>
        <w:rPr>
          <w:rFonts w:ascii="Arial" w:hAnsi="Arial" w:cs="Arial"/>
          <w:sz w:val="24"/>
          <w:szCs w:val="24"/>
        </w:rPr>
      </w:pPr>
      <w:r>
        <w:rPr>
          <w:rFonts w:ascii="Arial" w:hAnsi="Arial" w:cs="Arial"/>
          <w:sz w:val="24"/>
          <w:szCs w:val="24"/>
        </w:rPr>
        <w:t>Higgins, R, C.</w:t>
      </w:r>
      <w:r w:rsidRPr="003D7DFE">
        <w:rPr>
          <w:rFonts w:ascii="Arial" w:hAnsi="Arial" w:cs="Arial"/>
          <w:sz w:val="24"/>
          <w:szCs w:val="24"/>
        </w:rPr>
        <w:t xml:space="preserve"> </w:t>
      </w:r>
      <w:r>
        <w:rPr>
          <w:rFonts w:ascii="Arial" w:hAnsi="Arial" w:cs="Arial"/>
          <w:sz w:val="24"/>
          <w:szCs w:val="24"/>
        </w:rPr>
        <w:t>(</w:t>
      </w:r>
      <w:r w:rsidRPr="003D7DFE">
        <w:rPr>
          <w:rFonts w:ascii="Arial" w:hAnsi="Arial" w:cs="Arial"/>
          <w:sz w:val="24"/>
          <w:szCs w:val="24"/>
        </w:rPr>
        <w:t>2015</w:t>
      </w:r>
      <w:r>
        <w:rPr>
          <w:rFonts w:ascii="Arial" w:hAnsi="Arial" w:cs="Arial"/>
          <w:sz w:val="24"/>
          <w:szCs w:val="24"/>
        </w:rPr>
        <w:t>).</w:t>
      </w:r>
      <w:r w:rsidRPr="00230BED">
        <w:rPr>
          <w:rFonts w:ascii="Arial" w:hAnsi="Arial" w:cs="Arial"/>
          <w:i/>
          <w:sz w:val="24"/>
          <w:szCs w:val="24"/>
        </w:rPr>
        <w:t xml:space="preserve"> Analysis for Financial Management. 11th ed. New York</w:t>
      </w:r>
      <w:r w:rsidRPr="003D7DFE">
        <w:rPr>
          <w:rFonts w:ascii="Arial" w:hAnsi="Arial" w:cs="Arial"/>
          <w:sz w:val="24"/>
          <w:szCs w:val="24"/>
        </w:rPr>
        <w:t>: McGraw-Hill Education.</w:t>
      </w:r>
    </w:p>
    <w:p w:rsidR="00B04181" w:rsidRPr="003D7DFE" w:rsidRDefault="00B04181" w:rsidP="00B04181">
      <w:pPr>
        <w:pStyle w:val="ListParagraph"/>
        <w:numPr>
          <w:ilvl w:val="0"/>
          <w:numId w:val="1"/>
        </w:numPr>
        <w:spacing w:line="360" w:lineRule="auto"/>
        <w:jc w:val="both"/>
        <w:rPr>
          <w:rFonts w:ascii="Arial" w:hAnsi="Arial" w:cs="Arial"/>
          <w:sz w:val="24"/>
          <w:szCs w:val="24"/>
        </w:rPr>
      </w:pPr>
      <w:r>
        <w:rPr>
          <w:rFonts w:ascii="Arial" w:hAnsi="Arial" w:cs="Arial"/>
          <w:sz w:val="24"/>
          <w:szCs w:val="24"/>
        </w:rPr>
        <w:t>Jones, P. and Lockwood, A.</w:t>
      </w:r>
      <w:r w:rsidRPr="003D7DFE">
        <w:rPr>
          <w:rFonts w:ascii="Arial" w:hAnsi="Arial" w:cs="Arial"/>
          <w:sz w:val="24"/>
          <w:szCs w:val="24"/>
        </w:rPr>
        <w:t xml:space="preserve"> </w:t>
      </w:r>
      <w:r>
        <w:rPr>
          <w:rFonts w:ascii="Arial" w:hAnsi="Arial" w:cs="Arial"/>
          <w:sz w:val="24"/>
          <w:szCs w:val="24"/>
        </w:rPr>
        <w:t>(</w:t>
      </w:r>
      <w:r w:rsidRPr="003D7DFE">
        <w:rPr>
          <w:rFonts w:ascii="Arial" w:hAnsi="Arial" w:cs="Arial"/>
          <w:sz w:val="24"/>
          <w:szCs w:val="24"/>
        </w:rPr>
        <w:t>2018</w:t>
      </w:r>
      <w:r>
        <w:rPr>
          <w:rFonts w:ascii="Arial" w:hAnsi="Arial" w:cs="Arial"/>
          <w:sz w:val="24"/>
          <w:szCs w:val="24"/>
        </w:rPr>
        <w:t>)</w:t>
      </w:r>
      <w:r w:rsidRPr="003D7DFE">
        <w:rPr>
          <w:rFonts w:ascii="Arial" w:hAnsi="Arial" w:cs="Arial"/>
          <w:sz w:val="24"/>
          <w:szCs w:val="24"/>
        </w:rPr>
        <w:t xml:space="preserve">. </w:t>
      </w:r>
      <w:r w:rsidRPr="00230BED">
        <w:rPr>
          <w:rFonts w:ascii="Arial" w:hAnsi="Arial" w:cs="Arial"/>
          <w:i/>
          <w:sz w:val="24"/>
          <w:szCs w:val="24"/>
        </w:rPr>
        <w:t>The Management of Hotel Operations. 3rd ed. London</w:t>
      </w:r>
      <w:r w:rsidRPr="003D7DFE">
        <w:rPr>
          <w:rFonts w:ascii="Arial" w:hAnsi="Arial" w:cs="Arial"/>
          <w:sz w:val="24"/>
          <w:szCs w:val="24"/>
        </w:rPr>
        <w:t>: Routledge.</w:t>
      </w:r>
    </w:p>
    <w:p w:rsidR="00B04181" w:rsidRPr="003D7DFE" w:rsidRDefault="00B04181" w:rsidP="00B04181">
      <w:pPr>
        <w:pStyle w:val="ListParagraph"/>
        <w:numPr>
          <w:ilvl w:val="0"/>
          <w:numId w:val="1"/>
        </w:numPr>
        <w:spacing w:line="360" w:lineRule="auto"/>
        <w:jc w:val="both"/>
        <w:rPr>
          <w:rFonts w:ascii="Arial" w:hAnsi="Arial" w:cs="Arial"/>
          <w:sz w:val="24"/>
          <w:szCs w:val="24"/>
        </w:rPr>
      </w:pPr>
      <w:r w:rsidRPr="003D7DFE">
        <w:rPr>
          <w:rFonts w:ascii="Arial" w:hAnsi="Arial" w:cs="Arial"/>
          <w:sz w:val="24"/>
          <w:szCs w:val="24"/>
        </w:rPr>
        <w:t xml:space="preserve">Jones, A. (2023). </w:t>
      </w:r>
      <w:r w:rsidRPr="00230BED">
        <w:rPr>
          <w:rFonts w:ascii="Arial" w:hAnsi="Arial" w:cs="Arial"/>
          <w:i/>
          <w:sz w:val="24"/>
          <w:szCs w:val="24"/>
        </w:rPr>
        <w:t>Post-Pandemic Trends in the Hospitality Sector.</w:t>
      </w:r>
      <w:r w:rsidRPr="003D7DFE">
        <w:rPr>
          <w:rFonts w:ascii="Arial" w:hAnsi="Arial" w:cs="Arial"/>
          <w:sz w:val="24"/>
          <w:szCs w:val="24"/>
        </w:rPr>
        <w:t xml:space="preserve"> Tourism and Hospitality Research, 39(1), pp. 45-58.</w:t>
      </w:r>
    </w:p>
    <w:p w:rsidR="00B04181" w:rsidRDefault="00B04181" w:rsidP="00B04181">
      <w:pPr>
        <w:pStyle w:val="ListParagraph"/>
        <w:numPr>
          <w:ilvl w:val="0"/>
          <w:numId w:val="1"/>
        </w:numPr>
        <w:spacing w:line="360" w:lineRule="auto"/>
        <w:jc w:val="both"/>
        <w:rPr>
          <w:rFonts w:ascii="Arial" w:hAnsi="Arial" w:cs="Arial"/>
          <w:sz w:val="24"/>
          <w:szCs w:val="24"/>
        </w:rPr>
      </w:pPr>
      <w:r w:rsidRPr="003D7DFE">
        <w:rPr>
          <w:rFonts w:ascii="Arial" w:hAnsi="Arial" w:cs="Arial"/>
          <w:sz w:val="24"/>
          <w:szCs w:val="24"/>
        </w:rPr>
        <w:t xml:space="preserve">Jones, P. (2021) </w:t>
      </w:r>
      <w:r w:rsidRPr="00230BED">
        <w:rPr>
          <w:rFonts w:ascii="Arial" w:hAnsi="Arial" w:cs="Arial"/>
          <w:i/>
          <w:sz w:val="24"/>
          <w:szCs w:val="24"/>
        </w:rPr>
        <w:t>Competitive Strategies in the Hospitality Industry.</w:t>
      </w:r>
      <w:r w:rsidRPr="003D7DFE">
        <w:rPr>
          <w:rFonts w:ascii="Arial" w:hAnsi="Arial" w:cs="Arial"/>
          <w:sz w:val="24"/>
          <w:szCs w:val="24"/>
        </w:rPr>
        <w:t xml:space="preserve"> Tourism Review, 76(4), pp. 654-668.</w:t>
      </w:r>
    </w:p>
    <w:p w:rsidR="007C21F3" w:rsidRDefault="007C21F3" w:rsidP="00F56439">
      <w:pPr>
        <w:pStyle w:val="ListParagraph"/>
        <w:numPr>
          <w:ilvl w:val="0"/>
          <w:numId w:val="1"/>
        </w:numPr>
        <w:spacing w:line="360" w:lineRule="auto"/>
        <w:jc w:val="both"/>
        <w:rPr>
          <w:rFonts w:ascii="Arial" w:hAnsi="Arial" w:cs="Arial"/>
          <w:sz w:val="24"/>
          <w:szCs w:val="24"/>
        </w:rPr>
      </w:pPr>
      <w:r>
        <w:rPr>
          <w:rFonts w:ascii="Arial" w:hAnsi="Arial" w:cs="Arial"/>
          <w:color w:val="0D0D0D"/>
          <w:sz w:val="24"/>
          <w:szCs w:val="24"/>
          <w:shd w:val="clear" w:color="auto" w:fill="FFFFFF"/>
        </w:rPr>
        <w:t xml:space="preserve">Johnson, B. (2023). </w:t>
      </w:r>
      <w:r w:rsidRPr="007C21F3">
        <w:rPr>
          <w:rFonts w:ascii="Arial" w:hAnsi="Arial" w:cs="Arial"/>
          <w:i/>
          <w:color w:val="0D0D0D"/>
          <w:sz w:val="24"/>
          <w:szCs w:val="24"/>
          <w:shd w:val="clear" w:color="auto" w:fill="FFFFFF"/>
        </w:rPr>
        <w:t>5 common Cash flow management challenges and their solution for 2023.</w:t>
      </w:r>
      <w:r>
        <w:rPr>
          <w:rFonts w:ascii="Arial" w:hAnsi="Arial" w:cs="Arial"/>
          <w:color w:val="0D0D0D"/>
          <w:sz w:val="24"/>
          <w:szCs w:val="24"/>
          <w:shd w:val="clear" w:color="auto" w:fill="FFFFFF"/>
        </w:rPr>
        <w:t xml:space="preserve"> </w:t>
      </w:r>
      <w:r w:rsidRPr="003D7DFE">
        <w:rPr>
          <w:rFonts w:ascii="Arial" w:hAnsi="Arial" w:cs="Arial"/>
          <w:sz w:val="24"/>
          <w:szCs w:val="24"/>
        </w:rPr>
        <w:t>Available at:</w:t>
      </w:r>
      <w:r>
        <w:rPr>
          <w:rFonts w:ascii="Arial" w:hAnsi="Arial" w:cs="Arial"/>
          <w:sz w:val="24"/>
          <w:szCs w:val="24"/>
        </w:rPr>
        <w:t xml:space="preserve"> </w:t>
      </w:r>
      <w:hyperlink r:id="rId62" w:history="1">
        <w:r w:rsidRPr="00425E00">
          <w:rPr>
            <w:rStyle w:val="Hyperlink"/>
            <w:rFonts w:ascii="Arial" w:hAnsi="Arial" w:cs="Arial"/>
            <w:sz w:val="24"/>
            <w:szCs w:val="24"/>
          </w:rPr>
          <w:t>https://www.highradius.com/resources/Blog/tips-to-solve-problems-of-cash-management/</w:t>
        </w:r>
      </w:hyperlink>
      <w:r>
        <w:rPr>
          <w:rFonts w:ascii="Arial" w:hAnsi="Arial" w:cs="Arial"/>
          <w:sz w:val="24"/>
          <w:szCs w:val="24"/>
        </w:rPr>
        <w:t xml:space="preserve">. </w:t>
      </w:r>
      <w:r w:rsidRPr="003D7DFE">
        <w:rPr>
          <w:rFonts w:ascii="Arial" w:hAnsi="Arial" w:cs="Arial"/>
          <w:sz w:val="24"/>
          <w:szCs w:val="24"/>
        </w:rPr>
        <w:t>Accessed: (24 May 2024)</w:t>
      </w:r>
      <w:r>
        <w:rPr>
          <w:rFonts w:ascii="Arial" w:hAnsi="Arial" w:cs="Arial"/>
          <w:sz w:val="24"/>
          <w:szCs w:val="24"/>
        </w:rPr>
        <w:t>.</w:t>
      </w:r>
      <w:r w:rsidR="00F56439">
        <w:rPr>
          <w:rFonts w:ascii="Arial" w:hAnsi="Arial" w:cs="Arial"/>
          <w:sz w:val="24"/>
          <w:szCs w:val="24"/>
        </w:rPr>
        <w:t xml:space="preserve"> </w:t>
      </w:r>
    </w:p>
    <w:p w:rsidR="00F56439" w:rsidRPr="00F56439" w:rsidRDefault="00F56439" w:rsidP="00F56439">
      <w:pPr>
        <w:pStyle w:val="ListParagraph"/>
        <w:numPr>
          <w:ilvl w:val="0"/>
          <w:numId w:val="1"/>
        </w:numPr>
        <w:spacing w:line="360" w:lineRule="auto"/>
        <w:jc w:val="both"/>
        <w:rPr>
          <w:rFonts w:ascii="Arial" w:hAnsi="Arial" w:cs="Arial"/>
          <w:sz w:val="24"/>
          <w:szCs w:val="24"/>
        </w:rPr>
      </w:pPr>
      <w:r>
        <w:rPr>
          <w:rFonts w:ascii="Arial" w:hAnsi="Arial" w:cs="Arial"/>
          <w:color w:val="0D0D0D"/>
          <w:sz w:val="24"/>
          <w:szCs w:val="24"/>
          <w:shd w:val="clear" w:color="auto" w:fill="FFFFFF"/>
        </w:rPr>
        <w:t>Lace, E.</w:t>
      </w:r>
      <w:r>
        <w:rPr>
          <w:rFonts w:ascii="Arial" w:hAnsi="Arial" w:cs="Arial"/>
          <w:sz w:val="24"/>
          <w:szCs w:val="24"/>
        </w:rPr>
        <w:t xml:space="preserve"> (2023). </w:t>
      </w:r>
      <w:r w:rsidRPr="00F56439">
        <w:rPr>
          <w:rFonts w:ascii="Arial" w:hAnsi="Arial" w:cs="Arial"/>
          <w:i/>
          <w:sz w:val="24"/>
          <w:szCs w:val="24"/>
        </w:rPr>
        <w:t>Top ways to minimize labour cost</w:t>
      </w:r>
      <w:r>
        <w:rPr>
          <w:rFonts w:ascii="Arial" w:hAnsi="Arial" w:cs="Arial"/>
          <w:sz w:val="24"/>
          <w:szCs w:val="24"/>
        </w:rPr>
        <w:t xml:space="preserve">. </w:t>
      </w:r>
      <w:r w:rsidRPr="003D7DFE">
        <w:rPr>
          <w:rFonts w:ascii="Arial" w:hAnsi="Arial" w:cs="Arial"/>
          <w:sz w:val="24"/>
          <w:szCs w:val="24"/>
        </w:rPr>
        <w:t>Available at:</w:t>
      </w:r>
      <w:r>
        <w:rPr>
          <w:rFonts w:ascii="Arial" w:hAnsi="Arial" w:cs="Arial"/>
          <w:sz w:val="24"/>
          <w:szCs w:val="24"/>
        </w:rPr>
        <w:t xml:space="preserve"> </w:t>
      </w:r>
      <w:hyperlink r:id="rId63" w:anchor=":~:text" w:history="1">
        <w:r w:rsidRPr="00425E00">
          <w:rPr>
            <w:rStyle w:val="Hyperlink"/>
            <w:rFonts w:ascii="Arial" w:hAnsi="Arial" w:cs="Arial"/>
            <w:sz w:val="24"/>
            <w:szCs w:val="24"/>
          </w:rPr>
          <w:t>https://www.mews.com/en/blog/hotel-labor-costs#:~:text</w:t>
        </w:r>
      </w:hyperlink>
      <w:r w:rsidRPr="00F56439">
        <w:rPr>
          <w:rFonts w:ascii="Arial" w:hAnsi="Arial" w:cs="Arial"/>
          <w:sz w:val="24"/>
          <w:szCs w:val="24"/>
        </w:rPr>
        <w:t>=</w:t>
      </w:r>
      <w:r>
        <w:rPr>
          <w:rFonts w:ascii="Arial" w:hAnsi="Arial" w:cs="Arial"/>
          <w:sz w:val="24"/>
          <w:szCs w:val="24"/>
        </w:rPr>
        <w:t>. Accessed: (</w:t>
      </w:r>
      <w:r w:rsidRPr="003D7DFE">
        <w:rPr>
          <w:rFonts w:ascii="Arial" w:hAnsi="Arial" w:cs="Arial"/>
          <w:sz w:val="24"/>
          <w:szCs w:val="24"/>
        </w:rPr>
        <w:t>24 May 2024)</w:t>
      </w:r>
      <w:r>
        <w:rPr>
          <w:rFonts w:ascii="Arial" w:hAnsi="Arial" w:cs="Arial"/>
          <w:sz w:val="24"/>
          <w:szCs w:val="24"/>
        </w:rPr>
        <w:t>.</w:t>
      </w:r>
    </w:p>
    <w:p w:rsidR="00B04181" w:rsidRDefault="00B04181" w:rsidP="00B04181">
      <w:pPr>
        <w:pStyle w:val="ListParagraph"/>
        <w:numPr>
          <w:ilvl w:val="0"/>
          <w:numId w:val="1"/>
        </w:numPr>
        <w:spacing w:line="360" w:lineRule="auto"/>
        <w:jc w:val="both"/>
        <w:rPr>
          <w:rFonts w:ascii="Arial" w:hAnsi="Arial" w:cs="Arial"/>
          <w:sz w:val="24"/>
          <w:szCs w:val="24"/>
        </w:rPr>
      </w:pPr>
      <w:r>
        <w:rPr>
          <w:rFonts w:ascii="Arial" w:hAnsi="Arial" w:cs="Arial"/>
          <w:sz w:val="24"/>
          <w:szCs w:val="24"/>
        </w:rPr>
        <w:t>Mahoney, E. (</w:t>
      </w:r>
      <w:r w:rsidRPr="003D7DFE">
        <w:rPr>
          <w:rFonts w:ascii="Arial" w:hAnsi="Arial" w:cs="Arial"/>
          <w:sz w:val="24"/>
          <w:szCs w:val="24"/>
        </w:rPr>
        <w:t>2020</w:t>
      </w:r>
      <w:r>
        <w:rPr>
          <w:rFonts w:ascii="Arial" w:hAnsi="Arial" w:cs="Arial"/>
          <w:sz w:val="24"/>
          <w:szCs w:val="24"/>
        </w:rPr>
        <w:t>)</w:t>
      </w:r>
      <w:r w:rsidRPr="003D7DFE">
        <w:rPr>
          <w:rFonts w:ascii="Arial" w:hAnsi="Arial" w:cs="Arial"/>
          <w:sz w:val="24"/>
          <w:szCs w:val="24"/>
        </w:rPr>
        <w:t xml:space="preserve">. </w:t>
      </w:r>
      <w:r w:rsidRPr="00D56FBB">
        <w:rPr>
          <w:rFonts w:ascii="Arial" w:hAnsi="Arial" w:cs="Arial"/>
          <w:i/>
          <w:sz w:val="24"/>
          <w:szCs w:val="24"/>
        </w:rPr>
        <w:t>Financial Management for the Hospitality Industry. 2nd ed.</w:t>
      </w:r>
      <w:r w:rsidRPr="003D7DFE">
        <w:rPr>
          <w:rFonts w:ascii="Arial" w:hAnsi="Arial" w:cs="Arial"/>
          <w:sz w:val="24"/>
          <w:szCs w:val="24"/>
        </w:rPr>
        <w:t xml:space="preserve"> Hoboken: Wiley.</w:t>
      </w:r>
    </w:p>
    <w:p w:rsidR="00C62278" w:rsidRPr="00C62278" w:rsidRDefault="00C62278" w:rsidP="00C62278">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Minder, (2023). </w:t>
      </w:r>
      <w:r w:rsidRPr="00C62278">
        <w:rPr>
          <w:rFonts w:ascii="Arial" w:hAnsi="Arial" w:cs="Arial"/>
          <w:i/>
          <w:sz w:val="24"/>
          <w:szCs w:val="24"/>
        </w:rPr>
        <w:t>Hotel Revenue management strategies and solution</w:t>
      </w:r>
      <w:r>
        <w:rPr>
          <w:rFonts w:ascii="Arial" w:hAnsi="Arial" w:cs="Arial"/>
          <w:sz w:val="24"/>
          <w:szCs w:val="24"/>
        </w:rPr>
        <w:t xml:space="preserve">. Available at: </w:t>
      </w:r>
      <w:hyperlink r:id="rId64" w:history="1">
        <w:r w:rsidRPr="00425E00">
          <w:rPr>
            <w:rStyle w:val="Hyperlink"/>
            <w:rFonts w:ascii="Arial" w:hAnsi="Arial" w:cs="Arial"/>
            <w:sz w:val="24"/>
            <w:szCs w:val="24"/>
          </w:rPr>
          <w:t>https://www.siteminder.com/r/hotel-revenue-management-strategies/</w:t>
        </w:r>
      </w:hyperlink>
      <w:r>
        <w:rPr>
          <w:rFonts w:ascii="Arial" w:hAnsi="Arial" w:cs="Arial"/>
          <w:sz w:val="24"/>
          <w:szCs w:val="24"/>
        </w:rPr>
        <w:t>. Accessed: (</w:t>
      </w:r>
      <w:r w:rsidRPr="003D7DFE">
        <w:rPr>
          <w:rFonts w:ascii="Arial" w:hAnsi="Arial" w:cs="Arial"/>
          <w:sz w:val="24"/>
          <w:szCs w:val="24"/>
        </w:rPr>
        <w:t>24 May 2024)</w:t>
      </w:r>
      <w:r>
        <w:rPr>
          <w:rFonts w:ascii="Arial" w:hAnsi="Arial" w:cs="Arial"/>
          <w:sz w:val="24"/>
          <w:szCs w:val="24"/>
        </w:rPr>
        <w:t>.</w:t>
      </w:r>
    </w:p>
    <w:p w:rsidR="00B04181" w:rsidRDefault="00B04181" w:rsidP="00B04181">
      <w:pPr>
        <w:pStyle w:val="ListParagraph"/>
        <w:numPr>
          <w:ilvl w:val="0"/>
          <w:numId w:val="1"/>
        </w:numPr>
        <w:spacing w:line="360" w:lineRule="auto"/>
        <w:jc w:val="both"/>
        <w:rPr>
          <w:rFonts w:ascii="Arial" w:hAnsi="Arial" w:cs="Arial"/>
          <w:sz w:val="24"/>
          <w:szCs w:val="24"/>
        </w:rPr>
      </w:pPr>
      <w:r w:rsidRPr="003D7DFE">
        <w:rPr>
          <w:rFonts w:ascii="Arial" w:hAnsi="Arial" w:cs="Arial"/>
          <w:sz w:val="24"/>
          <w:szCs w:val="24"/>
        </w:rPr>
        <w:t>O'Fallon, M.J. and Rut</w:t>
      </w:r>
      <w:r>
        <w:rPr>
          <w:rFonts w:ascii="Arial" w:hAnsi="Arial" w:cs="Arial"/>
          <w:sz w:val="24"/>
          <w:szCs w:val="24"/>
        </w:rPr>
        <w:t>herford, D.G.</w:t>
      </w:r>
      <w:r w:rsidRPr="003D7DFE">
        <w:rPr>
          <w:rFonts w:ascii="Arial" w:hAnsi="Arial" w:cs="Arial"/>
          <w:sz w:val="24"/>
          <w:szCs w:val="24"/>
        </w:rPr>
        <w:t xml:space="preserve"> </w:t>
      </w:r>
      <w:r>
        <w:rPr>
          <w:rFonts w:ascii="Arial" w:hAnsi="Arial" w:cs="Arial"/>
          <w:sz w:val="24"/>
          <w:szCs w:val="24"/>
        </w:rPr>
        <w:t>(</w:t>
      </w:r>
      <w:r w:rsidRPr="003D7DFE">
        <w:rPr>
          <w:rFonts w:ascii="Arial" w:hAnsi="Arial" w:cs="Arial"/>
          <w:sz w:val="24"/>
          <w:szCs w:val="24"/>
        </w:rPr>
        <w:t>2011</w:t>
      </w:r>
      <w:r>
        <w:rPr>
          <w:rFonts w:ascii="Arial" w:hAnsi="Arial" w:cs="Arial"/>
          <w:sz w:val="24"/>
          <w:szCs w:val="24"/>
        </w:rPr>
        <w:t>)</w:t>
      </w:r>
      <w:r w:rsidRPr="003D7DFE">
        <w:rPr>
          <w:rFonts w:ascii="Arial" w:hAnsi="Arial" w:cs="Arial"/>
          <w:sz w:val="24"/>
          <w:szCs w:val="24"/>
        </w:rPr>
        <w:t xml:space="preserve">. </w:t>
      </w:r>
      <w:r w:rsidRPr="00230BED">
        <w:rPr>
          <w:rFonts w:ascii="Arial" w:hAnsi="Arial" w:cs="Arial"/>
          <w:i/>
          <w:sz w:val="24"/>
          <w:szCs w:val="24"/>
        </w:rPr>
        <w:t>Hotel Management and Operations. 5th ed</w:t>
      </w:r>
      <w:r w:rsidRPr="003D7DFE">
        <w:rPr>
          <w:rFonts w:ascii="Arial" w:hAnsi="Arial" w:cs="Arial"/>
          <w:sz w:val="24"/>
          <w:szCs w:val="24"/>
        </w:rPr>
        <w:t>. Hoboken: Wiley.</w:t>
      </w:r>
    </w:p>
    <w:p w:rsidR="009C2C09" w:rsidRDefault="009C2C09" w:rsidP="009C2C09">
      <w:pPr>
        <w:pStyle w:val="ListParagraph"/>
        <w:numPr>
          <w:ilvl w:val="0"/>
          <w:numId w:val="1"/>
        </w:numPr>
        <w:spacing w:line="360" w:lineRule="auto"/>
        <w:jc w:val="both"/>
        <w:rPr>
          <w:rFonts w:ascii="Arial" w:hAnsi="Arial" w:cs="Arial"/>
          <w:sz w:val="24"/>
          <w:szCs w:val="24"/>
        </w:rPr>
      </w:pPr>
      <w:r>
        <w:rPr>
          <w:rFonts w:ascii="Arial" w:hAnsi="Arial" w:cs="Arial"/>
          <w:sz w:val="24"/>
          <w:szCs w:val="24"/>
        </w:rPr>
        <w:lastRenderedPageBreak/>
        <w:t xml:space="preserve">Oner, C. (2022). </w:t>
      </w:r>
      <w:r w:rsidRPr="009C2C09">
        <w:rPr>
          <w:rFonts w:ascii="Arial" w:hAnsi="Arial" w:cs="Arial"/>
          <w:i/>
          <w:sz w:val="24"/>
          <w:szCs w:val="24"/>
        </w:rPr>
        <w:t>Inflation Prices on the Rise</w:t>
      </w:r>
      <w:r>
        <w:rPr>
          <w:rFonts w:ascii="Arial" w:hAnsi="Arial" w:cs="Arial"/>
          <w:sz w:val="24"/>
          <w:szCs w:val="24"/>
        </w:rPr>
        <w:t xml:space="preserve">. Available at: </w:t>
      </w:r>
      <w:hyperlink r:id="rId65" w:anchor=":~:text=I" w:history="1">
        <w:r w:rsidRPr="00425E00">
          <w:rPr>
            <w:rStyle w:val="Hyperlink"/>
            <w:rFonts w:ascii="Arial" w:hAnsi="Arial" w:cs="Arial"/>
            <w:sz w:val="24"/>
            <w:szCs w:val="24"/>
          </w:rPr>
          <w:t>https://www.imf.org/en/Publications/fandd/issues/Series/Back-to-Basics/Inflation#:~:text=I</w:t>
        </w:r>
      </w:hyperlink>
      <w:r>
        <w:rPr>
          <w:rFonts w:ascii="Arial" w:hAnsi="Arial" w:cs="Arial"/>
          <w:sz w:val="24"/>
          <w:szCs w:val="24"/>
        </w:rPr>
        <w:t xml:space="preserve">. </w:t>
      </w:r>
      <w:r w:rsidRPr="003D7DFE">
        <w:rPr>
          <w:rFonts w:ascii="Arial" w:hAnsi="Arial" w:cs="Arial"/>
          <w:sz w:val="24"/>
          <w:szCs w:val="24"/>
        </w:rPr>
        <w:t>Accessed: (24 May 2024)</w:t>
      </w:r>
      <w:r>
        <w:rPr>
          <w:rFonts w:ascii="Arial" w:hAnsi="Arial" w:cs="Arial"/>
          <w:sz w:val="24"/>
          <w:szCs w:val="24"/>
        </w:rPr>
        <w:t>.</w:t>
      </w:r>
    </w:p>
    <w:p w:rsidR="005813A1" w:rsidRPr="009C2C09" w:rsidRDefault="005813A1" w:rsidP="009C2C09">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Risherd., D. Hanks., A. Paul., N. (2002). </w:t>
      </w:r>
      <w:r w:rsidRPr="005813A1">
        <w:rPr>
          <w:rFonts w:ascii="Arial" w:hAnsi="Arial" w:cs="Arial"/>
          <w:i/>
          <w:sz w:val="24"/>
          <w:szCs w:val="24"/>
        </w:rPr>
        <w:t>Discounting in the hotel industry. A new approach.</w:t>
      </w:r>
      <w:r>
        <w:rPr>
          <w:rFonts w:ascii="Arial" w:hAnsi="Arial" w:cs="Arial"/>
          <w:sz w:val="24"/>
          <w:szCs w:val="24"/>
        </w:rPr>
        <w:t xml:space="preserve"> Sagepub, 43(4), pp: 18-25.</w:t>
      </w:r>
    </w:p>
    <w:p w:rsidR="00B04181" w:rsidRPr="003D7DFE" w:rsidRDefault="00B04181" w:rsidP="00B04181">
      <w:pPr>
        <w:pStyle w:val="ListParagraph"/>
        <w:spacing w:line="360" w:lineRule="auto"/>
        <w:jc w:val="both"/>
        <w:rPr>
          <w:rFonts w:ascii="Arial" w:hAnsi="Arial" w:cs="Arial"/>
          <w:sz w:val="24"/>
          <w:szCs w:val="24"/>
        </w:rPr>
      </w:pPr>
    </w:p>
    <w:p w:rsidR="00B04181" w:rsidRPr="003D7DFE" w:rsidRDefault="00B04181" w:rsidP="00B04181">
      <w:pPr>
        <w:spacing w:line="360" w:lineRule="auto"/>
        <w:jc w:val="both"/>
        <w:rPr>
          <w:rFonts w:ascii="Arial" w:hAnsi="Arial" w:cs="Arial"/>
          <w:sz w:val="24"/>
          <w:szCs w:val="24"/>
        </w:rPr>
      </w:pPr>
    </w:p>
    <w:p w:rsidR="00B04181" w:rsidRPr="00E573FD" w:rsidRDefault="00B04181" w:rsidP="00B56295">
      <w:pPr>
        <w:spacing w:after="0" w:line="360" w:lineRule="auto"/>
        <w:jc w:val="center"/>
        <w:rPr>
          <w:rFonts w:ascii="Arial" w:hAnsi="Arial" w:cs="Arial"/>
          <w:sz w:val="24"/>
          <w:szCs w:val="24"/>
        </w:rPr>
      </w:pPr>
    </w:p>
    <w:sectPr w:rsidR="00B04181" w:rsidRPr="00E573FD" w:rsidSect="00B231B6">
      <w:footerReference w:type="default" r:id="rId6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5FF0" w:rsidRDefault="00415FF0" w:rsidP="00B231B6">
      <w:pPr>
        <w:spacing w:after="0" w:line="240" w:lineRule="auto"/>
      </w:pPr>
      <w:r>
        <w:separator/>
      </w:r>
    </w:p>
  </w:endnote>
  <w:endnote w:type="continuationSeparator" w:id="0">
    <w:p w:rsidR="00415FF0" w:rsidRDefault="00415FF0" w:rsidP="00B231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08665618"/>
      <w:docPartObj>
        <w:docPartGallery w:val="Page Numbers (Bottom of Page)"/>
        <w:docPartUnique/>
      </w:docPartObj>
    </w:sdtPr>
    <w:sdtEndPr>
      <w:rPr>
        <w:noProof/>
      </w:rPr>
    </w:sdtEndPr>
    <w:sdtContent>
      <w:p w:rsidR="00EA56A6" w:rsidRDefault="00EA56A6">
        <w:pPr>
          <w:pStyle w:val="Footer"/>
          <w:jc w:val="right"/>
        </w:pPr>
        <w:r>
          <w:fldChar w:fldCharType="begin"/>
        </w:r>
        <w:r>
          <w:instrText xml:space="preserve"> PAGE   \* MERGEFORMAT </w:instrText>
        </w:r>
        <w:r>
          <w:fldChar w:fldCharType="separate"/>
        </w:r>
        <w:r w:rsidR="00911973">
          <w:rPr>
            <w:noProof/>
          </w:rPr>
          <w:t>21</w:t>
        </w:r>
        <w:r>
          <w:rPr>
            <w:noProof/>
          </w:rPr>
          <w:fldChar w:fldCharType="end"/>
        </w:r>
      </w:p>
    </w:sdtContent>
  </w:sdt>
  <w:p w:rsidR="00EA56A6" w:rsidRDefault="00EA56A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5FF0" w:rsidRDefault="00415FF0" w:rsidP="00B231B6">
      <w:pPr>
        <w:spacing w:after="0" w:line="240" w:lineRule="auto"/>
      </w:pPr>
      <w:r>
        <w:separator/>
      </w:r>
    </w:p>
  </w:footnote>
  <w:footnote w:type="continuationSeparator" w:id="0">
    <w:p w:rsidR="00415FF0" w:rsidRDefault="00415FF0" w:rsidP="00B231B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F95B1B"/>
    <w:multiLevelType w:val="hybridMultilevel"/>
    <w:tmpl w:val="CE9E0DB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MzQyNzIwNDQ1NrQwNTNW0lEKTi0uzszPAykwqQUAXwJUpSwAAAA="/>
  </w:docVars>
  <w:rsids>
    <w:rsidRoot w:val="009711F6"/>
    <w:rsid w:val="000015A3"/>
    <w:rsid w:val="00015A94"/>
    <w:rsid w:val="00027DC0"/>
    <w:rsid w:val="0004300F"/>
    <w:rsid w:val="00056B1E"/>
    <w:rsid w:val="00066D3A"/>
    <w:rsid w:val="00077B1C"/>
    <w:rsid w:val="00081B52"/>
    <w:rsid w:val="000B0C46"/>
    <w:rsid w:val="000B51D2"/>
    <w:rsid w:val="000D34AD"/>
    <w:rsid w:val="000E05F0"/>
    <w:rsid w:val="000E1335"/>
    <w:rsid w:val="000E4DA4"/>
    <w:rsid w:val="001067CE"/>
    <w:rsid w:val="001349B8"/>
    <w:rsid w:val="00141BCC"/>
    <w:rsid w:val="00153BF9"/>
    <w:rsid w:val="001575C0"/>
    <w:rsid w:val="00160133"/>
    <w:rsid w:val="001601CD"/>
    <w:rsid w:val="00186690"/>
    <w:rsid w:val="00191157"/>
    <w:rsid w:val="001C61F3"/>
    <w:rsid w:val="001C7D8F"/>
    <w:rsid w:val="001C7EB4"/>
    <w:rsid w:val="001E4F77"/>
    <w:rsid w:val="001E5BD9"/>
    <w:rsid w:val="001F11A8"/>
    <w:rsid w:val="002054B4"/>
    <w:rsid w:val="002072D4"/>
    <w:rsid w:val="002112AF"/>
    <w:rsid w:val="0022281E"/>
    <w:rsid w:val="00281F3F"/>
    <w:rsid w:val="00290B7C"/>
    <w:rsid w:val="00295DA4"/>
    <w:rsid w:val="002B657C"/>
    <w:rsid w:val="002E282F"/>
    <w:rsid w:val="002E7022"/>
    <w:rsid w:val="002F0FC8"/>
    <w:rsid w:val="002F6728"/>
    <w:rsid w:val="0033226C"/>
    <w:rsid w:val="00342E22"/>
    <w:rsid w:val="0035048D"/>
    <w:rsid w:val="0038553F"/>
    <w:rsid w:val="003A2D2A"/>
    <w:rsid w:val="003C733D"/>
    <w:rsid w:val="003E71CA"/>
    <w:rsid w:val="003F5584"/>
    <w:rsid w:val="00415FF0"/>
    <w:rsid w:val="00427F2A"/>
    <w:rsid w:val="00432DE5"/>
    <w:rsid w:val="0043780B"/>
    <w:rsid w:val="00475BAF"/>
    <w:rsid w:val="00477668"/>
    <w:rsid w:val="004977EB"/>
    <w:rsid w:val="004A066B"/>
    <w:rsid w:val="004B5C64"/>
    <w:rsid w:val="004C11DF"/>
    <w:rsid w:val="004C3430"/>
    <w:rsid w:val="004C75E4"/>
    <w:rsid w:val="004E44B1"/>
    <w:rsid w:val="004F1842"/>
    <w:rsid w:val="0050291F"/>
    <w:rsid w:val="00517866"/>
    <w:rsid w:val="00526371"/>
    <w:rsid w:val="005336A4"/>
    <w:rsid w:val="005473F7"/>
    <w:rsid w:val="005507D5"/>
    <w:rsid w:val="00556228"/>
    <w:rsid w:val="00556DCB"/>
    <w:rsid w:val="00577FEC"/>
    <w:rsid w:val="005813A1"/>
    <w:rsid w:val="00581D3E"/>
    <w:rsid w:val="00586F21"/>
    <w:rsid w:val="005B0B7D"/>
    <w:rsid w:val="005C0FFF"/>
    <w:rsid w:val="005C2D51"/>
    <w:rsid w:val="005E13A8"/>
    <w:rsid w:val="005E2FEC"/>
    <w:rsid w:val="005F1AB0"/>
    <w:rsid w:val="005F2EC5"/>
    <w:rsid w:val="005F5C8E"/>
    <w:rsid w:val="0062087F"/>
    <w:rsid w:val="006238DA"/>
    <w:rsid w:val="00633DFF"/>
    <w:rsid w:val="00665EFE"/>
    <w:rsid w:val="00670CD2"/>
    <w:rsid w:val="006A1D3C"/>
    <w:rsid w:val="006A6A24"/>
    <w:rsid w:val="006B0673"/>
    <w:rsid w:val="0070031B"/>
    <w:rsid w:val="007261B4"/>
    <w:rsid w:val="00732367"/>
    <w:rsid w:val="007367D3"/>
    <w:rsid w:val="00741FCE"/>
    <w:rsid w:val="00767AA2"/>
    <w:rsid w:val="00770630"/>
    <w:rsid w:val="00772F1A"/>
    <w:rsid w:val="007B1E3A"/>
    <w:rsid w:val="007B727B"/>
    <w:rsid w:val="007C21F3"/>
    <w:rsid w:val="007D54F1"/>
    <w:rsid w:val="007E5CEB"/>
    <w:rsid w:val="0085569B"/>
    <w:rsid w:val="008605F1"/>
    <w:rsid w:val="0086206E"/>
    <w:rsid w:val="00862748"/>
    <w:rsid w:val="00863065"/>
    <w:rsid w:val="00872FD0"/>
    <w:rsid w:val="00897AFC"/>
    <w:rsid w:val="008D0460"/>
    <w:rsid w:val="008E0326"/>
    <w:rsid w:val="008F7E5C"/>
    <w:rsid w:val="00903A02"/>
    <w:rsid w:val="00911973"/>
    <w:rsid w:val="0091370F"/>
    <w:rsid w:val="009145A0"/>
    <w:rsid w:val="0093363F"/>
    <w:rsid w:val="00936648"/>
    <w:rsid w:val="00941217"/>
    <w:rsid w:val="00946763"/>
    <w:rsid w:val="009711F6"/>
    <w:rsid w:val="009B079E"/>
    <w:rsid w:val="009C2C09"/>
    <w:rsid w:val="009F2835"/>
    <w:rsid w:val="00A22FAB"/>
    <w:rsid w:val="00A36156"/>
    <w:rsid w:val="00A4752C"/>
    <w:rsid w:val="00A47F0B"/>
    <w:rsid w:val="00A77FBF"/>
    <w:rsid w:val="00A86DC0"/>
    <w:rsid w:val="00AA1158"/>
    <w:rsid w:val="00AA6DB6"/>
    <w:rsid w:val="00AF2CDC"/>
    <w:rsid w:val="00B04181"/>
    <w:rsid w:val="00B17F42"/>
    <w:rsid w:val="00B2106A"/>
    <w:rsid w:val="00B231B6"/>
    <w:rsid w:val="00B24637"/>
    <w:rsid w:val="00B27157"/>
    <w:rsid w:val="00B32A47"/>
    <w:rsid w:val="00B37B61"/>
    <w:rsid w:val="00B56295"/>
    <w:rsid w:val="00B7124D"/>
    <w:rsid w:val="00B72CB2"/>
    <w:rsid w:val="00B76758"/>
    <w:rsid w:val="00B91FF2"/>
    <w:rsid w:val="00BA6350"/>
    <w:rsid w:val="00BC3BDA"/>
    <w:rsid w:val="00BD600D"/>
    <w:rsid w:val="00BE0062"/>
    <w:rsid w:val="00BF332B"/>
    <w:rsid w:val="00C03A79"/>
    <w:rsid w:val="00C1033C"/>
    <w:rsid w:val="00C2149D"/>
    <w:rsid w:val="00C25647"/>
    <w:rsid w:val="00C27F07"/>
    <w:rsid w:val="00C610FF"/>
    <w:rsid w:val="00C62278"/>
    <w:rsid w:val="00C74A1B"/>
    <w:rsid w:val="00C845D7"/>
    <w:rsid w:val="00CA28FA"/>
    <w:rsid w:val="00CC294C"/>
    <w:rsid w:val="00CC4687"/>
    <w:rsid w:val="00CE2255"/>
    <w:rsid w:val="00CE356B"/>
    <w:rsid w:val="00CE77BC"/>
    <w:rsid w:val="00CF22FB"/>
    <w:rsid w:val="00D10857"/>
    <w:rsid w:val="00D2366B"/>
    <w:rsid w:val="00D30DE4"/>
    <w:rsid w:val="00D4385F"/>
    <w:rsid w:val="00D75679"/>
    <w:rsid w:val="00D90690"/>
    <w:rsid w:val="00D96ADC"/>
    <w:rsid w:val="00E06D0F"/>
    <w:rsid w:val="00E145E2"/>
    <w:rsid w:val="00E147D4"/>
    <w:rsid w:val="00E14805"/>
    <w:rsid w:val="00E352BA"/>
    <w:rsid w:val="00E5597B"/>
    <w:rsid w:val="00E573FD"/>
    <w:rsid w:val="00E5773E"/>
    <w:rsid w:val="00E86839"/>
    <w:rsid w:val="00EA56A6"/>
    <w:rsid w:val="00EA6370"/>
    <w:rsid w:val="00EC4055"/>
    <w:rsid w:val="00EE12E6"/>
    <w:rsid w:val="00EE3DFD"/>
    <w:rsid w:val="00EE7AB8"/>
    <w:rsid w:val="00EF5A07"/>
    <w:rsid w:val="00F0327E"/>
    <w:rsid w:val="00F10B37"/>
    <w:rsid w:val="00F259E0"/>
    <w:rsid w:val="00F56439"/>
    <w:rsid w:val="00F608C7"/>
    <w:rsid w:val="00F64732"/>
    <w:rsid w:val="00F662EF"/>
    <w:rsid w:val="00F81ECE"/>
    <w:rsid w:val="00FA4EEA"/>
    <w:rsid w:val="00FD1422"/>
    <w:rsid w:val="00FD22C7"/>
    <w:rsid w:val="00FD287D"/>
    <w:rsid w:val="00FE336D"/>
    <w:rsid w:val="00FE417F"/>
    <w:rsid w:val="00FF3D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autoRedefine/>
    <w:uiPriority w:val="9"/>
    <w:qFormat/>
    <w:rsid w:val="00B231B6"/>
    <w:pPr>
      <w:keepNext/>
      <w:keepLines/>
      <w:spacing w:before="240" w:after="0" w:line="360" w:lineRule="auto"/>
      <w:jc w:val="both"/>
      <w:outlineLvl w:val="0"/>
    </w:pPr>
    <w:rPr>
      <w:rFonts w:ascii="Arial" w:eastAsiaTheme="majorEastAsia" w:hAnsi="Arial" w:cstheme="majorBidi"/>
      <w:b/>
      <w:color w:val="000000" w:themeColor="text1"/>
      <w:sz w:val="24"/>
      <w:szCs w:val="32"/>
    </w:rPr>
  </w:style>
  <w:style w:type="paragraph" w:styleId="Heading2">
    <w:name w:val="heading 2"/>
    <w:basedOn w:val="Normal"/>
    <w:next w:val="Normal"/>
    <w:link w:val="Heading2Char"/>
    <w:autoRedefine/>
    <w:uiPriority w:val="9"/>
    <w:unhideWhenUsed/>
    <w:qFormat/>
    <w:rsid w:val="00670CD2"/>
    <w:pPr>
      <w:keepNext/>
      <w:keepLines/>
      <w:spacing w:before="40" w:after="0"/>
      <w:outlineLvl w:val="1"/>
    </w:pPr>
    <w:rPr>
      <w:rFonts w:ascii="Arial" w:eastAsiaTheme="majorEastAsia" w:hAnsi="Arial" w:cstheme="majorBidi"/>
      <w:b/>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31B6"/>
    <w:rPr>
      <w:rFonts w:ascii="Arial" w:eastAsiaTheme="majorEastAsia" w:hAnsi="Arial" w:cstheme="majorBidi"/>
      <w:b/>
      <w:color w:val="000000" w:themeColor="text1"/>
      <w:sz w:val="24"/>
      <w:szCs w:val="32"/>
    </w:rPr>
  </w:style>
  <w:style w:type="character" w:customStyle="1" w:styleId="Heading2Char">
    <w:name w:val="Heading 2 Char"/>
    <w:basedOn w:val="DefaultParagraphFont"/>
    <w:link w:val="Heading2"/>
    <w:uiPriority w:val="9"/>
    <w:rsid w:val="00670CD2"/>
    <w:rPr>
      <w:rFonts w:ascii="Arial" w:eastAsiaTheme="majorEastAsia" w:hAnsi="Arial" w:cstheme="majorBidi"/>
      <w:b/>
      <w:color w:val="000000" w:themeColor="text1"/>
      <w:sz w:val="24"/>
      <w:szCs w:val="26"/>
    </w:rPr>
  </w:style>
  <w:style w:type="table" w:styleId="TableGrid">
    <w:name w:val="Table Grid"/>
    <w:basedOn w:val="TableNormal"/>
    <w:uiPriority w:val="39"/>
    <w:rsid w:val="00FD287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Light">
    <w:name w:val="Grid Table Light"/>
    <w:basedOn w:val="TableNormal"/>
    <w:uiPriority w:val="40"/>
    <w:rsid w:val="00FD22C7"/>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PlainTable1">
    <w:name w:val="Plain Table 1"/>
    <w:basedOn w:val="TableNormal"/>
    <w:uiPriority w:val="41"/>
    <w:rsid w:val="00FD22C7"/>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Paragraph">
    <w:name w:val="List Paragraph"/>
    <w:basedOn w:val="Normal"/>
    <w:uiPriority w:val="34"/>
    <w:qFormat/>
    <w:rsid w:val="00EE12E6"/>
    <w:pPr>
      <w:ind w:left="720"/>
      <w:contextualSpacing/>
    </w:pPr>
  </w:style>
  <w:style w:type="character" w:styleId="Hyperlink">
    <w:name w:val="Hyperlink"/>
    <w:basedOn w:val="DefaultParagraphFont"/>
    <w:uiPriority w:val="99"/>
    <w:unhideWhenUsed/>
    <w:rsid w:val="00B04181"/>
    <w:rPr>
      <w:color w:val="0563C1" w:themeColor="hyperlink"/>
      <w:u w:val="single"/>
    </w:rPr>
  </w:style>
  <w:style w:type="paragraph" w:styleId="Header">
    <w:name w:val="header"/>
    <w:basedOn w:val="Normal"/>
    <w:link w:val="HeaderChar"/>
    <w:uiPriority w:val="99"/>
    <w:unhideWhenUsed/>
    <w:rsid w:val="00B231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31B6"/>
  </w:style>
  <w:style w:type="paragraph" w:styleId="Footer">
    <w:name w:val="footer"/>
    <w:basedOn w:val="Normal"/>
    <w:link w:val="FooterChar"/>
    <w:uiPriority w:val="99"/>
    <w:unhideWhenUsed/>
    <w:rsid w:val="00B231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31B6"/>
  </w:style>
  <w:style w:type="paragraph" w:styleId="NoSpacing">
    <w:name w:val="No Spacing"/>
    <w:link w:val="NoSpacingChar"/>
    <w:uiPriority w:val="1"/>
    <w:qFormat/>
    <w:rsid w:val="00B231B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231B6"/>
    <w:rPr>
      <w:rFonts w:eastAsiaTheme="minorEastAsia"/>
      <w:lang w:val="en-US"/>
    </w:rPr>
  </w:style>
  <w:style w:type="paragraph" w:styleId="TOCHeading">
    <w:name w:val="TOC Heading"/>
    <w:basedOn w:val="Heading1"/>
    <w:next w:val="Normal"/>
    <w:uiPriority w:val="39"/>
    <w:unhideWhenUsed/>
    <w:qFormat/>
    <w:rsid w:val="00B231B6"/>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B231B6"/>
    <w:pPr>
      <w:spacing w:after="100"/>
    </w:pPr>
  </w:style>
  <w:style w:type="paragraph" w:styleId="TOC2">
    <w:name w:val="toc 2"/>
    <w:basedOn w:val="Normal"/>
    <w:next w:val="Normal"/>
    <w:autoRedefine/>
    <w:uiPriority w:val="39"/>
    <w:unhideWhenUsed/>
    <w:rsid w:val="00B231B6"/>
    <w:pPr>
      <w:spacing w:after="100"/>
      <w:ind w:left="220"/>
    </w:pPr>
  </w:style>
  <w:style w:type="character" w:customStyle="1" w:styleId="mord">
    <w:name w:val="mord"/>
    <w:basedOn w:val="DefaultParagraphFont"/>
    <w:rsid w:val="00EA6370"/>
  </w:style>
  <w:style w:type="character" w:customStyle="1" w:styleId="mpunct">
    <w:name w:val="mpunct"/>
    <w:basedOn w:val="DefaultParagraphFont"/>
    <w:rsid w:val="00EA6370"/>
  </w:style>
  <w:style w:type="character" w:customStyle="1" w:styleId="mbin">
    <w:name w:val="mbin"/>
    <w:basedOn w:val="DefaultParagraphFont"/>
    <w:rsid w:val="00EA6370"/>
  </w:style>
  <w:style w:type="character" w:customStyle="1" w:styleId="vlist-s">
    <w:name w:val="vlist-s"/>
    <w:basedOn w:val="DefaultParagraphFont"/>
    <w:rsid w:val="00EA6370"/>
  </w:style>
  <w:style w:type="character" w:styleId="PlaceholderText">
    <w:name w:val="Placeholder Text"/>
    <w:basedOn w:val="DefaultParagraphFont"/>
    <w:uiPriority w:val="99"/>
    <w:semiHidden/>
    <w:rsid w:val="00EA6370"/>
    <w:rPr>
      <w:color w:val="808080"/>
    </w:rPr>
  </w:style>
  <w:style w:type="character" w:customStyle="1" w:styleId="mrel">
    <w:name w:val="mrel"/>
    <w:basedOn w:val="DefaultParagraphFont"/>
    <w:rsid w:val="00EA6370"/>
  </w:style>
  <w:style w:type="paragraph" w:styleId="BalloonText">
    <w:name w:val="Balloon Text"/>
    <w:basedOn w:val="Normal"/>
    <w:link w:val="BalloonTextChar"/>
    <w:uiPriority w:val="99"/>
    <w:semiHidden/>
    <w:unhideWhenUsed/>
    <w:rsid w:val="009119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197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autoRedefine/>
    <w:uiPriority w:val="9"/>
    <w:qFormat/>
    <w:rsid w:val="00B231B6"/>
    <w:pPr>
      <w:keepNext/>
      <w:keepLines/>
      <w:spacing w:before="240" w:after="0" w:line="360" w:lineRule="auto"/>
      <w:jc w:val="both"/>
      <w:outlineLvl w:val="0"/>
    </w:pPr>
    <w:rPr>
      <w:rFonts w:ascii="Arial" w:eastAsiaTheme="majorEastAsia" w:hAnsi="Arial" w:cstheme="majorBidi"/>
      <w:b/>
      <w:color w:val="000000" w:themeColor="text1"/>
      <w:sz w:val="24"/>
      <w:szCs w:val="32"/>
    </w:rPr>
  </w:style>
  <w:style w:type="paragraph" w:styleId="Heading2">
    <w:name w:val="heading 2"/>
    <w:basedOn w:val="Normal"/>
    <w:next w:val="Normal"/>
    <w:link w:val="Heading2Char"/>
    <w:autoRedefine/>
    <w:uiPriority w:val="9"/>
    <w:unhideWhenUsed/>
    <w:qFormat/>
    <w:rsid w:val="00670CD2"/>
    <w:pPr>
      <w:keepNext/>
      <w:keepLines/>
      <w:spacing w:before="40" w:after="0"/>
      <w:outlineLvl w:val="1"/>
    </w:pPr>
    <w:rPr>
      <w:rFonts w:ascii="Arial" w:eastAsiaTheme="majorEastAsia" w:hAnsi="Arial" w:cstheme="majorBidi"/>
      <w:b/>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31B6"/>
    <w:rPr>
      <w:rFonts w:ascii="Arial" w:eastAsiaTheme="majorEastAsia" w:hAnsi="Arial" w:cstheme="majorBidi"/>
      <w:b/>
      <w:color w:val="000000" w:themeColor="text1"/>
      <w:sz w:val="24"/>
      <w:szCs w:val="32"/>
    </w:rPr>
  </w:style>
  <w:style w:type="character" w:customStyle="1" w:styleId="Heading2Char">
    <w:name w:val="Heading 2 Char"/>
    <w:basedOn w:val="DefaultParagraphFont"/>
    <w:link w:val="Heading2"/>
    <w:uiPriority w:val="9"/>
    <w:rsid w:val="00670CD2"/>
    <w:rPr>
      <w:rFonts w:ascii="Arial" w:eastAsiaTheme="majorEastAsia" w:hAnsi="Arial" w:cstheme="majorBidi"/>
      <w:b/>
      <w:color w:val="000000" w:themeColor="text1"/>
      <w:sz w:val="24"/>
      <w:szCs w:val="26"/>
    </w:rPr>
  </w:style>
  <w:style w:type="table" w:styleId="TableGrid">
    <w:name w:val="Table Grid"/>
    <w:basedOn w:val="TableNormal"/>
    <w:uiPriority w:val="39"/>
    <w:rsid w:val="00FD287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Light">
    <w:name w:val="Grid Table Light"/>
    <w:basedOn w:val="TableNormal"/>
    <w:uiPriority w:val="40"/>
    <w:rsid w:val="00FD22C7"/>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PlainTable1">
    <w:name w:val="Plain Table 1"/>
    <w:basedOn w:val="TableNormal"/>
    <w:uiPriority w:val="41"/>
    <w:rsid w:val="00FD22C7"/>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Paragraph">
    <w:name w:val="List Paragraph"/>
    <w:basedOn w:val="Normal"/>
    <w:uiPriority w:val="34"/>
    <w:qFormat/>
    <w:rsid w:val="00EE12E6"/>
    <w:pPr>
      <w:ind w:left="720"/>
      <w:contextualSpacing/>
    </w:pPr>
  </w:style>
  <w:style w:type="character" w:styleId="Hyperlink">
    <w:name w:val="Hyperlink"/>
    <w:basedOn w:val="DefaultParagraphFont"/>
    <w:uiPriority w:val="99"/>
    <w:unhideWhenUsed/>
    <w:rsid w:val="00B04181"/>
    <w:rPr>
      <w:color w:val="0563C1" w:themeColor="hyperlink"/>
      <w:u w:val="single"/>
    </w:rPr>
  </w:style>
  <w:style w:type="paragraph" w:styleId="Header">
    <w:name w:val="header"/>
    <w:basedOn w:val="Normal"/>
    <w:link w:val="HeaderChar"/>
    <w:uiPriority w:val="99"/>
    <w:unhideWhenUsed/>
    <w:rsid w:val="00B231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31B6"/>
  </w:style>
  <w:style w:type="paragraph" w:styleId="Footer">
    <w:name w:val="footer"/>
    <w:basedOn w:val="Normal"/>
    <w:link w:val="FooterChar"/>
    <w:uiPriority w:val="99"/>
    <w:unhideWhenUsed/>
    <w:rsid w:val="00B231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31B6"/>
  </w:style>
  <w:style w:type="paragraph" w:styleId="NoSpacing">
    <w:name w:val="No Spacing"/>
    <w:link w:val="NoSpacingChar"/>
    <w:uiPriority w:val="1"/>
    <w:qFormat/>
    <w:rsid w:val="00B231B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231B6"/>
    <w:rPr>
      <w:rFonts w:eastAsiaTheme="minorEastAsia"/>
      <w:lang w:val="en-US"/>
    </w:rPr>
  </w:style>
  <w:style w:type="paragraph" w:styleId="TOCHeading">
    <w:name w:val="TOC Heading"/>
    <w:basedOn w:val="Heading1"/>
    <w:next w:val="Normal"/>
    <w:uiPriority w:val="39"/>
    <w:unhideWhenUsed/>
    <w:qFormat/>
    <w:rsid w:val="00B231B6"/>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B231B6"/>
    <w:pPr>
      <w:spacing w:after="100"/>
    </w:pPr>
  </w:style>
  <w:style w:type="paragraph" w:styleId="TOC2">
    <w:name w:val="toc 2"/>
    <w:basedOn w:val="Normal"/>
    <w:next w:val="Normal"/>
    <w:autoRedefine/>
    <w:uiPriority w:val="39"/>
    <w:unhideWhenUsed/>
    <w:rsid w:val="00B231B6"/>
    <w:pPr>
      <w:spacing w:after="100"/>
      <w:ind w:left="220"/>
    </w:pPr>
  </w:style>
  <w:style w:type="character" w:customStyle="1" w:styleId="mord">
    <w:name w:val="mord"/>
    <w:basedOn w:val="DefaultParagraphFont"/>
    <w:rsid w:val="00EA6370"/>
  </w:style>
  <w:style w:type="character" w:customStyle="1" w:styleId="mpunct">
    <w:name w:val="mpunct"/>
    <w:basedOn w:val="DefaultParagraphFont"/>
    <w:rsid w:val="00EA6370"/>
  </w:style>
  <w:style w:type="character" w:customStyle="1" w:styleId="mbin">
    <w:name w:val="mbin"/>
    <w:basedOn w:val="DefaultParagraphFont"/>
    <w:rsid w:val="00EA6370"/>
  </w:style>
  <w:style w:type="character" w:customStyle="1" w:styleId="vlist-s">
    <w:name w:val="vlist-s"/>
    <w:basedOn w:val="DefaultParagraphFont"/>
    <w:rsid w:val="00EA6370"/>
  </w:style>
  <w:style w:type="character" w:styleId="PlaceholderText">
    <w:name w:val="Placeholder Text"/>
    <w:basedOn w:val="DefaultParagraphFont"/>
    <w:uiPriority w:val="99"/>
    <w:semiHidden/>
    <w:rsid w:val="00EA6370"/>
    <w:rPr>
      <w:color w:val="808080"/>
    </w:rPr>
  </w:style>
  <w:style w:type="character" w:customStyle="1" w:styleId="mrel">
    <w:name w:val="mrel"/>
    <w:basedOn w:val="DefaultParagraphFont"/>
    <w:rsid w:val="00EA6370"/>
  </w:style>
  <w:style w:type="paragraph" w:styleId="BalloonText">
    <w:name w:val="Balloon Text"/>
    <w:basedOn w:val="Normal"/>
    <w:link w:val="BalloonTextChar"/>
    <w:uiPriority w:val="99"/>
    <w:semiHidden/>
    <w:unhideWhenUsed/>
    <w:rsid w:val="009119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197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56783">
      <w:bodyDiv w:val="1"/>
      <w:marLeft w:val="0"/>
      <w:marRight w:val="0"/>
      <w:marTop w:val="0"/>
      <w:marBottom w:val="0"/>
      <w:divBdr>
        <w:top w:val="none" w:sz="0" w:space="0" w:color="auto"/>
        <w:left w:val="none" w:sz="0" w:space="0" w:color="auto"/>
        <w:bottom w:val="none" w:sz="0" w:space="0" w:color="auto"/>
        <w:right w:val="none" w:sz="0" w:space="0" w:color="auto"/>
      </w:divBdr>
    </w:div>
    <w:div w:id="37552562">
      <w:bodyDiv w:val="1"/>
      <w:marLeft w:val="0"/>
      <w:marRight w:val="0"/>
      <w:marTop w:val="0"/>
      <w:marBottom w:val="0"/>
      <w:divBdr>
        <w:top w:val="none" w:sz="0" w:space="0" w:color="auto"/>
        <w:left w:val="none" w:sz="0" w:space="0" w:color="auto"/>
        <w:bottom w:val="none" w:sz="0" w:space="0" w:color="auto"/>
        <w:right w:val="none" w:sz="0" w:space="0" w:color="auto"/>
      </w:divBdr>
    </w:div>
    <w:div w:id="38868111">
      <w:bodyDiv w:val="1"/>
      <w:marLeft w:val="0"/>
      <w:marRight w:val="0"/>
      <w:marTop w:val="0"/>
      <w:marBottom w:val="0"/>
      <w:divBdr>
        <w:top w:val="none" w:sz="0" w:space="0" w:color="auto"/>
        <w:left w:val="none" w:sz="0" w:space="0" w:color="auto"/>
        <w:bottom w:val="none" w:sz="0" w:space="0" w:color="auto"/>
        <w:right w:val="none" w:sz="0" w:space="0" w:color="auto"/>
      </w:divBdr>
    </w:div>
    <w:div w:id="63795184">
      <w:bodyDiv w:val="1"/>
      <w:marLeft w:val="0"/>
      <w:marRight w:val="0"/>
      <w:marTop w:val="0"/>
      <w:marBottom w:val="0"/>
      <w:divBdr>
        <w:top w:val="none" w:sz="0" w:space="0" w:color="auto"/>
        <w:left w:val="none" w:sz="0" w:space="0" w:color="auto"/>
        <w:bottom w:val="none" w:sz="0" w:space="0" w:color="auto"/>
        <w:right w:val="none" w:sz="0" w:space="0" w:color="auto"/>
      </w:divBdr>
    </w:div>
    <w:div w:id="105665308">
      <w:bodyDiv w:val="1"/>
      <w:marLeft w:val="0"/>
      <w:marRight w:val="0"/>
      <w:marTop w:val="0"/>
      <w:marBottom w:val="0"/>
      <w:divBdr>
        <w:top w:val="none" w:sz="0" w:space="0" w:color="auto"/>
        <w:left w:val="none" w:sz="0" w:space="0" w:color="auto"/>
        <w:bottom w:val="none" w:sz="0" w:space="0" w:color="auto"/>
        <w:right w:val="none" w:sz="0" w:space="0" w:color="auto"/>
      </w:divBdr>
    </w:div>
    <w:div w:id="108166031">
      <w:bodyDiv w:val="1"/>
      <w:marLeft w:val="0"/>
      <w:marRight w:val="0"/>
      <w:marTop w:val="0"/>
      <w:marBottom w:val="0"/>
      <w:divBdr>
        <w:top w:val="none" w:sz="0" w:space="0" w:color="auto"/>
        <w:left w:val="none" w:sz="0" w:space="0" w:color="auto"/>
        <w:bottom w:val="none" w:sz="0" w:space="0" w:color="auto"/>
        <w:right w:val="none" w:sz="0" w:space="0" w:color="auto"/>
      </w:divBdr>
    </w:div>
    <w:div w:id="132720897">
      <w:bodyDiv w:val="1"/>
      <w:marLeft w:val="0"/>
      <w:marRight w:val="0"/>
      <w:marTop w:val="0"/>
      <w:marBottom w:val="0"/>
      <w:divBdr>
        <w:top w:val="none" w:sz="0" w:space="0" w:color="auto"/>
        <w:left w:val="none" w:sz="0" w:space="0" w:color="auto"/>
        <w:bottom w:val="none" w:sz="0" w:space="0" w:color="auto"/>
        <w:right w:val="none" w:sz="0" w:space="0" w:color="auto"/>
      </w:divBdr>
    </w:div>
    <w:div w:id="147283910">
      <w:bodyDiv w:val="1"/>
      <w:marLeft w:val="0"/>
      <w:marRight w:val="0"/>
      <w:marTop w:val="0"/>
      <w:marBottom w:val="0"/>
      <w:divBdr>
        <w:top w:val="none" w:sz="0" w:space="0" w:color="auto"/>
        <w:left w:val="none" w:sz="0" w:space="0" w:color="auto"/>
        <w:bottom w:val="none" w:sz="0" w:space="0" w:color="auto"/>
        <w:right w:val="none" w:sz="0" w:space="0" w:color="auto"/>
      </w:divBdr>
    </w:div>
    <w:div w:id="179121674">
      <w:bodyDiv w:val="1"/>
      <w:marLeft w:val="0"/>
      <w:marRight w:val="0"/>
      <w:marTop w:val="0"/>
      <w:marBottom w:val="0"/>
      <w:divBdr>
        <w:top w:val="none" w:sz="0" w:space="0" w:color="auto"/>
        <w:left w:val="none" w:sz="0" w:space="0" w:color="auto"/>
        <w:bottom w:val="none" w:sz="0" w:space="0" w:color="auto"/>
        <w:right w:val="none" w:sz="0" w:space="0" w:color="auto"/>
      </w:divBdr>
    </w:div>
    <w:div w:id="179197470">
      <w:bodyDiv w:val="1"/>
      <w:marLeft w:val="0"/>
      <w:marRight w:val="0"/>
      <w:marTop w:val="0"/>
      <w:marBottom w:val="0"/>
      <w:divBdr>
        <w:top w:val="none" w:sz="0" w:space="0" w:color="auto"/>
        <w:left w:val="none" w:sz="0" w:space="0" w:color="auto"/>
        <w:bottom w:val="none" w:sz="0" w:space="0" w:color="auto"/>
        <w:right w:val="none" w:sz="0" w:space="0" w:color="auto"/>
      </w:divBdr>
    </w:div>
    <w:div w:id="200441688">
      <w:bodyDiv w:val="1"/>
      <w:marLeft w:val="0"/>
      <w:marRight w:val="0"/>
      <w:marTop w:val="0"/>
      <w:marBottom w:val="0"/>
      <w:divBdr>
        <w:top w:val="none" w:sz="0" w:space="0" w:color="auto"/>
        <w:left w:val="none" w:sz="0" w:space="0" w:color="auto"/>
        <w:bottom w:val="none" w:sz="0" w:space="0" w:color="auto"/>
        <w:right w:val="none" w:sz="0" w:space="0" w:color="auto"/>
      </w:divBdr>
    </w:div>
    <w:div w:id="203442479">
      <w:bodyDiv w:val="1"/>
      <w:marLeft w:val="0"/>
      <w:marRight w:val="0"/>
      <w:marTop w:val="0"/>
      <w:marBottom w:val="0"/>
      <w:divBdr>
        <w:top w:val="none" w:sz="0" w:space="0" w:color="auto"/>
        <w:left w:val="none" w:sz="0" w:space="0" w:color="auto"/>
        <w:bottom w:val="none" w:sz="0" w:space="0" w:color="auto"/>
        <w:right w:val="none" w:sz="0" w:space="0" w:color="auto"/>
      </w:divBdr>
      <w:divsChild>
        <w:div w:id="805464630">
          <w:marLeft w:val="547"/>
          <w:marRight w:val="0"/>
          <w:marTop w:val="0"/>
          <w:marBottom w:val="0"/>
          <w:divBdr>
            <w:top w:val="none" w:sz="0" w:space="0" w:color="auto"/>
            <w:left w:val="none" w:sz="0" w:space="0" w:color="auto"/>
            <w:bottom w:val="none" w:sz="0" w:space="0" w:color="auto"/>
            <w:right w:val="none" w:sz="0" w:space="0" w:color="auto"/>
          </w:divBdr>
        </w:div>
        <w:div w:id="705715677">
          <w:marLeft w:val="547"/>
          <w:marRight w:val="0"/>
          <w:marTop w:val="0"/>
          <w:marBottom w:val="0"/>
          <w:divBdr>
            <w:top w:val="none" w:sz="0" w:space="0" w:color="auto"/>
            <w:left w:val="none" w:sz="0" w:space="0" w:color="auto"/>
            <w:bottom w:val="none" w:sz="0" w:space="0" w:color="auto"/>
            <w:right w:val="none" w:sz="0" w:space="0" w:color="auto"/>
          </w:divBdr>
        </w:div>
        <w:div w:id="2031833580">
          <w:marLeft w:val="547"/>
          <w:marRight w:val="0"/>
          <w:marTop w:val="0"/>
          <w:marBottom w:val="0"/>
          <w:divBdr>
            <w:top w:val="none" w:sz="0" w:space="0" w:color="auto"/>
            <w:left w:val="none" w:sz="0" w:space="0" w:color="auto"/>
            <w:bottom w:val="none" w:sz="0" w:space="0" w:color="auto"/>
            <w:right w:val="none" w:sz="0" w:space="0" w:color="auto"/>
          </w:divBdr>
        </w:div>
        <w:div w:id="1172258791">
          <w:marLeft w:val="547"/>
          <w:marRight w:val="0"/>
          <w:marTop w:val="0"/>
          <w:marBottom w:val="0"/>
          <w:divBdr>
            <w:top w:val="none" w:sz="0" w:space="0" w:color="auto"/>
            <w:left w:val="none" w:sz="0" w:space="0" w:color="auto"/>
            <w:bottom w:val="none" w:sz="0" w:space="0" w:color="auto"/>
            <w:right w:val="none" w:sz="0" w:space="0" w:color="auto"/>
          </w:divBdr>
        </w:div>
      </w:divsChild>
    </w:div>
    <w:div w:id="204952323">
      <w:bodyDiv w:val="1"/>
      <w:marLeft w:val="0"/>
      <w:marRight w:val="0"/>
      <w:marTop w:val="0"/>
      <w:marBottom w:val="0"/>
      <w:divBdr>
        <w:top w:val="none" w:sz="0" w:space="0" w:color="auto"/>
        <w:left w:val="none" w:sz="0" w:space="0" w:color="auto"/>
        <w:bottom w:val="none" w:sz="0" w:space="0" w:color="auto"/>
        <w:right w:val="none" w:sz="0" w:space="0" w:color="auto"/>
      </w:divBdr>
    </w:div>
    <w:div w:id="252976573">
      <w:bodyDiv w:val="1"/>
      <w:marLeft w:val="0"/>
      <w:marRight w:val="0"/>
      <w:marTop w:val="0"/>
      <w:marBottom w:val="0"/>
      <w:divBdr>
        <w:top w:val="none" w:sz="0" w:space="0" w:color="auto"/>
        <w:left w:val="none" w:sz="0" w:space="0" w:color="auto"/>
        <w:bottom w:val="none" w:sz="0" w:space="0" w:color="auto"/>
        <w:right w:val="none" w:sz="0" w:space="0" w:color="auto"/>
      </w:divBdr>
    </w:div>
    <w:div w:id="282925083">
      <w:bodyDiv w:val="1"/>
      <w:marLeft w:val="0"/>
      <w:marRight w:val="0"/>
      <w:marTop w:val="0"/>
      <w:marBottom w:val="0"/>
      <w:divBdr>
        <w:top w:val="none" w:sz="0" w:space="0" w:color="auto"/>
        <w:left w:val="none" w:sz="0" w:space="0" w:color="auto"/>
        <w:bottom w:val="none" w:sz="0" w:space="0" w:color="auto"/>
        <w:right w:val="none" w:sz="0" w:space="0" w:color="auto"/>
      </w:divBdr>
    </w:div>
    <w:div w:id="302779375">
      <w:bodyDiv w:val="1"/>
      <w:marLeft w:val="0"/>
      <w:marRight w:val="0"/>
      <w:marTop w:val="0"/>
      <w:marBottom w:val="0"/>
      <w:divBdr>
        <w:top w:val="none" w:sz="0" w:space="0" w:color="auto"/>
        <w:left w:val="none" w:sz="0" w:space="0" w:color="auto"/>
        <w:bottom w:val="none" w:sz="0" w:space="0" w:color="auto"/>
        <w:right w:val="none" w:sz="0" w:space="0" w:color="auto"/>
      </w:divBdr>
    </w:div>
    <w:div w:id="311177883">
      <w:bodyDiv w:val="1"/>
      <w:marLeft w:val="0"/>
      <w:marRight w:val="0"/>
      <w:marTop w:val="0"/>
      <w:marBottom w:val="0"/>
      <w:divBdr>
        <w:top w:val="none" w:sz="0" w:space="0" w:color="auto"/>
        <w:left w:val="none" w:sz="0" w:space="0" w:color="auto"/>
        <w:bottom w:val="none" w:sz="0" w:space="0" w:color="auto"/>
        <w:right w:val="none" w:sz="0" w:space="0" w:color="auto"/>
      </w:divBdr>
    </w:div>
    <w:div w:id="338699379">
      <w:bodyDiv w:val="1"/>
      <w:marLeft w:val="0"/>
      <w:marRight w:val="0"/>
      <w:marTop w:val="0"/>
      <w:marBottom w:val="0"/>
      <w:divBdr>
        <w:top w:val="none" w:sz="0" w:space="0" w:color="auto"/>
        <w:left w:val="none" w:sz="0" w:space="0" w:color="auto"/>
        <w:bottom w:val="none" w:sz="0" w:space="0" w:color="auto"/>
        <w:right w:val="none" w:sz="0" w:space="0" w:color="auto"/>
      </w:divBdr>
    </w:div>
    <w:div w:id="343440497">
      <w:bodyDiv w:val="1"/>
      <w:marLeft w:val="0"/>
      <w:marRight w:val="0"/>
      <w:marTop w:val="0"/>
      <w:marBottom w:val="0"/>
      <w:divBdr>
        <w:top w:val="none" w:sz="0" w:space="0" w:color="auto"/>
        <w:left w:val="none" w:sz="0" w:space="0" w:color="auto"/>
        <w:bottom w:val="none" w:sz="0" w:space="0" w:color="auto"/>
        <w:right w:val="none" w:sz="0" w:space="0" w:color="auto"/>
      </w:divBdr>
    </w:div>
    <w:div w:id="363141900">
      <w:bodyDiv w:val="1"/>
      <w:marLeft w:val="0"/>
      <w:marRight w:val="0"/>
      <w:marTop w:val="0"/>
      <w:marBottom w:val="0"/>
      <w:divBdr>
        <w:top w:val="none" w:sz="0" w:space="0" w:color="auto"/>
        <w:left w:val="none" w:sz="0" w:space="0" w:color="auto"/>
        <w:bottom w:val="none" w:sz="0" w:space="0" w:color="auto"/>
        <w:right w:val="none" w:sz="0" w:space="0" w:color="auto"/>
      </w:divBdr>
    </w:div>
    <w:div w:id="400828451">
      <w:bodyDiv w:val="1"/>
      <w:marLeft w:val="0"/>
      <w:marRight w:val="0"/>
      <w:marTop w:val="0"/>
      <w:marBottom w:val="0"/>
      <w:divBdr>
        <w:top w:val="none" w:sz="0" w:space="0" w:color="auto"/>
        <w:left w:val="none" w:sz="0" w:space="0" w:color="auto"/>
        <w:bottom w:val="none" w:sz="0" w:space="0" w:color="auto"/>
        <w:right w:val="none" w:sz="0" w:space="0" w:color="auto"/>
      </w:divBdr>
    </w:div>
    <w:div w:id="415636043">
      <w:bodyDiv w:val="1"/>
      <w:marLeft w:val="0"/>
      <w:marRight w:val="0"/>
      <w:marTop w:val="0"/>
      <w:marBottom w:val="0"/>
      <w:divBdr>
        <w:top w:val="none" w:sz="0" w:space="0" w:color="auto"/>
        <w:left w:val="none" w:sz="0" w:space="0" w:color="auto"/>
        <w:bottom w:val="none" w:sz="0" w:space="0" w:color="auto"/>
        <w:right w:val="none" w:sz="0" w:space="0" w:color="auto"/>
      </w:divBdr>
    </w:div>
    <w:div w:id="447092413">
      <w:bodyDiv w:val="1"/>
      <w:marLeft w:val="0"/>
      <w:marRight w:val="0"/>
      <w:marTop w:val="0"/>
      <w:marBottom w:val="0"/>
      <w:divBdr>
        <w:top w:val="none" w:sz="0" w:space="0" w:color="auto"/>
        <w:left w:val="none" w:sz="0" w:space="0" w:color="auto"/>
        <w:bottom w:val="none" w:sz="0" w:space="0" w:color="auto"/>
        <w:right w:val="none" w:sz="0" w:space="0" w:color="auto"/>
      </w:divBdr>
    </w:div>
    <w:div w:id="468864607">
      <w:bodyDiv w:val="1"/>
      <w:marLeft w:val="0"/>
      <w:marRight w:val="0"/>
      <w:marTop w:val="0"/>
      <w:marBottom w:val="0"/>
      <w:divBdr>
        <w:top w:val="none" w:sz="0" w:space="0" w:color="auto"/>
        <w:left w:val="none" w:sz="0" w:space="0" w:color="auto"/>
        <w:bottom w:val="none" w:sz="0" w:space="0" w:color="auto"/>
        <w:right w:val="none" w:sz="0" w:space="0" w:color="auto"/>
      </w:divBdr>
    </w:div>
    <w:div w:id="477770470">
      <w:bodyDiv w:val="1"/>
      <w:marLeft w:val="0"/>
      <w:marRight w:val="0"/>
      <w:marTop w:val="0"/>
      <w:marBottom w:val="0"/>
      <w:divBdr>
        <w:top w:val="none" w:sz="0" w:space="0" w:color="auto"/>
        <w:left w:val="none" w:sz="0" w:space="0" w:color="auto"/>
        <w:bottom w:val="none" w:sz="0" w:space="0" w:color="auto"/>
        <w:right w:val="none" w:sz="0" w:space="0" w:color="auto"/>
      </w:divBdr>
    </w:div>
    <w:div w:id="504134295">
      <w:bodyDiv w:val="1"/>
      <w:marLeft w:val="0"/>
      <w:marRight w:val="0"/>
      <w:marTop w:val="0"/>
      <w:marBottom w:val="0"/>
      <w:divBdr>
        <w:top w:val="none" w:sz="0" w:space="0" w:color="auto"/>
        <w:left w:val="none" w:sz="0" w:space="0" w:color="auto"/>
        <w:bottom w:val="none" w:sz="0" w:space="0" w:color="auto"/>
        <w:right w:val="none" w:sz="0" w:space="0" w:color="auto"/>
      </w:divBdr>
    </w:div>
    <w:div w:id="555970588">
      <w:bodyDiv w:val="1"/>
      <w:marLeft w:val="0"/>
      <w:marRight w:val="0"/>
      <w:marTop w:val="0"/>
      <w:marBottom w:val="0"/>
      <w:divBdr>
        <w:top w:val="none" w:sz="0" w:space="0" w:color="auto"/>
        <w:left w:val="none" w:sz="0" w:space="0" w:color="auto"/>
        <w:bottom w:val="none" w:sz="0" w:space="0" w:color="auto"/>
        <w:right w:val="none" w:sz="0" w:space="0" w:color="auto"/>
      </w:divBdr>
    </w:div>
    <w:div w:id="583880067">
      <w:bodyDiv w:val="1"/>
      <w:marLeft w:val="0"/>
      <w:marRight w:val="0"/>
      <w:marTop w:val="0"/>
      <w:marBottom w:val="0"/>
      <w:divBdr>
        <w:top w:val="none" w:sz="0" w:space="0" w:color="auto"/>
        <w:left w:val="none" w:sz="0" w:space="0" w:color="auto"/>
        <w:bottom w:val="none" w:sz="0" w:space="0" w:color="auto"/>
        <w:right w:val="none" w:sz="0" w:space="0" w:color="auto"/>
      </w:divBdr>
    </w:div>
    <w:div w:id="615598784">
      <w:bodyDiv w:val="1"/>
      <w:marLeft w:val="0"/>
      <w:marRight w:val="0"/>
      <w:marTop w:val="0"/>
      <w:marBottom w:val="0"/>
      <w:divBdr>
        <w:top w:val="none" w:sz="0" w:space="0" w:color="auto"/>
        <w:left w:val="none" w:sz="0" w:space="0" w:color="auto"/>
        <w:bottom w:val="none" w:sz="0" w:space="0" w:color="auto"/>
        <w:right w:val="none" w:sz="0" w:space="0" w:color="auto"/>
      </w:divBdr>
    </w:div>
    <w:div w:id="638194584">
      <w:bodyDiv w:val="1"/>
      <w:marLeft w:val="0"/>
      <w:marRight w:val="0"/>
      <w:marTop w:val="0"/>
      <w:marBottom w:val="0"/>
      <w:divBdr>
        <w:top w:val="none" w:sz="0" w:space="0" w:color="auto"/>
        <w:left w:val="none" w:sz="0" w:space="0" w:color="auto"/>
        <w:bottom w:val="none" w:sz="0" w:space="0" w:color="auto"/>
        <w:right w:val="none" w:sz="0" w:space="0" w:color="auto"/>
      </w:divBdr>
    </w:div>
    <w:div w:id="666784486">
      <w:bodyDiv w:val="1"/>
      <w:marLeft w:val="0"/>
      <w:marRight w:val="0"/>
      <w:marTop w:val="0"/>
      <w:marBottom w:val="0"/>
      <w:divBdr>
        <w:top w:val="none" w:sz="0" w:space="0" w:color="auto"/>
        <w:left w:val="none" w:sz="0" w:space="0" w:color="auto"/>
        <w:bottom w:val="none" w:sz="0" w:space="0" w:color="auto"/>
        <w:right w:val="none" w:sz="0" w:space="0" w:color="auto"/>
      </w:divBdr>
      <w:divsChild>
        <w:div w:id="1615867762">
          <w:marLeft w:val="547"/>
          <w:marRight w:val="0"/>
          <w:marTop w:val="0"/>
          <w:marBottom w:val="0"/>
          <w:divBdr>
            <w:top w:val="none" w:sz="0" w:space="0" w:color="auto"/>
            <w:left w:val="none" w:sz="0" w:space="0" w:color="auto"/>
            <w:bottom w:val="none" w:sz="0" w:space="0" w:color="auto"/>
            <w:right w:val="none" w:sz="0" w:space="0" w:color="auto"/>
          </w:divBdr>
        </w:div>
        <w:div w:id="408887053">
          <w:marLeft w:val="547"/>
          <w:marRight w:val="0"/>
          <w:marTop w:val="0"/>
          <w:marBottom w:val="0"/>
          <w:divBdr>
            <w:top w:val="none" w:sz="0" w:space="0" w:color="auto"/>
            <w:left w:val="none" w:sz="0" w:space="0" w:color="auto"/>
            <w:bottom w:val="none" w:sz="0" w:space="0" w:color="auto"/>
            <w:right w:val="none" w:sz="0" w:space="0" w:color="auto"/>
          </w:divBdr>
        </w:div>
        <w:div w:id="1824933026">
          <w:marLeft w:val="547"/>
          <w:marRight w:val="0"/>
          <w:marTop w:val="0"/>
          <w:marBottom w:val="0"/>
          <w:divBdr>
            <w:top w:val="none" w:sz="0" w:space="0" w:color="auto"/>
            <w:left w:val="none" w:sz="0" w:space="0" w:color="auto"/>
            <w:bottom w:val="none" w:sz="0" w:space="0" w:color="auto"/>
            <w:right w:val="none" w:sz="0" w:space="0" w:color="auto"/>
          </w:divBdr>
        </w:div>
        <w:div w:id="729157457">
          <w:marLeft w:val="547"/>
          <w:marRight w:val="0"/>
          <w:marTop w:val="0"/>
          <w:marBottom w:val="0"/>
          <w:divBdr>
            <w:top w:val="none" w:sz="0" w:space="0" w:color="auto"/>
            <w:left w:val="none" w:sz="0" w:space="0" w:color="auto"/>
            <w:bottom w:val="none" w:sz="0" w:space="0" w:color="auto"/>
            <w:right w:val="none" w:sz="0" w:space="0" w:color="auto"/>
          </w:divBdr>
        </w:div>
      </w:divsChild>
    </w:div>
    <w:div w:id="667902618">
      <w:bodyDiv w:val="1"/>
      <w:marLeft w:val="0"/>
      <w:marRight w:val="0"/>
      <w:marTop w:val="0"/>
      <w:marBottom w:val="0"/>
      <w:divBdr>
        <w:top w:val="none" w:sz="0" w:space="0" w:color="auto"/>
        <w:left w:val="none" w:sz="0" w:space="0" w:color="auto"/>
        <w:bottom w:val="none" w:sz="0" w:space="0" w:color="auto"/>
        <w:right w:val="none" w:sz="0" w:space="0" w:color="auto"/>
      </w:divBdr>
    </w:div>
    <w:div w:id="680159827">
      <w:bodyDiv w:val="1"/>
      <w:marLeft w:val="0"/>
      <w:marRight w:val="0"/>
      <w:marTop w:val="0"/>
      <w:marBottom w:val="0"/>
      <w:divBdr>
        <w:top w:val="none" w:sz="0" w:space="0" w:color="auto"/>
        <w:left w:val="none" w:sz="0" w:space="0" w:color="auto"/>
        <w:bottom w:val="none" w:sz="0" w:space="0" w:color="auto"/>
        <w:right w:val="none" w:sz="0" w:space="0" w:color="auto"/>
      </w:divBdr>
    </w:div>
    <w:div w:id="712579918">
      <w:bodyDiv w:val="1"/>
      <w:marLeft w:val="0"/>
      <w:marRight w:val="0"/>
      <w:marTop w:val="0"/>
      <w:marBottom w:val="0"/>
      <w:divBdr>
        <w:top w:val="none" w:sz="0" w:space="0" w:color="auto"/>
        <w:left w:val="none" w:sz="0" w:space="0" w:color="auto"/>
        <w:bottom w:val="none" w:sz="0" w:space="0" w:color="auto"/>
        <w:right w:val="none" w:sz="0" w:space="0" w:color="auto"/>
      </w:divBdr>
      <w:divsChild>
        <w:div w:id="393815176">
          <w:marLeft w:val="547"/>
          <w:marRight w:val="0"/>
          <w:marTop w:val="0"/>
          <w:marBottom w:val="0"/>
          <w:divBdr>
            <w:top w:val="none" w:sz="0" w:space="0" w:color="auto"/>
            <w:left w:val="none" w:sz="0" w:space="0" w:color="auto"/>
            <w:bottom w:val="none" w:sz="0" w:space="0" w:color="auto"/>
            <w:right w:val="none" w:sz="0" w:space="0" w:color="auto"/>
          </w:divBdr>
        </w:div>
        <w:div w:id="171384284">
          <w:marLeft w:val="547"/>
          <w:marRight w:val="0"/>
          <w:marTop w:val="0"/>
          <w:marBottom w:val="0"/>
          <w:divBdr>
            <w:top w:val="none" w:sz="0" w:space="0" w:color="auto"/>
            <w:left w:val="none" w:sz="0" w:space="0" w:color="auto"/>
            <w:bottom w:val="none" w:sz="0" w:space="0" w:color="auto"/>
            <w:right w:val="none" w:sz="0" w:space="0" w:color="auto"/>
          </w:divBdr>
        </w:div>
        <w:div w:id="1623264944">
          <w:marLeft w:val="547"/>
          <w:marRight w:val="0"/>
          <w:marTop w:val="0"/>
          <w:marBottom w:val="0"/>
          <w:divBdr>
            <w:top w:val="none" w:sz="0" w:space="0" w:color="auto"/>
            <w:left w:val="none" w:sz="0" w:space="0" w:color="auto"/>
            <w:bottom w:val="none" w:sz="0" w:space="0" w:color="auto"/>
            <w:right w:val="none" w:sz="0" w:space="0" w:color="auto"/>
          </w:divBdr>
        </w:div>
        <w:div w:id="2011567133">
          <w:marLeft w:val="547"/>
          <w:marRight w:val="0"/>
          <w:marTop w:val="0"/>
          <w:marBottom w:val="0"/>
          <w:divBdr>
            <w:top w:val="none" w:sz="0" w:space="0" w:color="auto"/>
            <w:left w:val="none" w:sz="0" w:space="0" w:color="auto"/>
            <w:bottom w:val="none" w:sz="0" w:space="0" w:color="auto"/>
            <w:right w:val="none" w:sz="0" w:space="0" w:color="auto"/>
          </w:divBdr>
        </w:div>
      </w:divsChild>
    </w:div>
    <w:div w:id="715668520">
      <w:bodyDiv w:val="1"/>
      <w:marLeft w:val="0"/>
      <w:marRight w:val="0"/>
      <w:marTop w:val="0"/>
      <w:marBottom w:val="0"/>
      <w:divBdr>
        <w:top w:val="none" w:sz="0" w:space="0" w:color="auto"/>
        <w:left w:val="none" w:sz="0" w:space="0" w:color="auto"/>
        <w:bottom w:val="none" w:sz="0" w:space="0" w:color="auto"/>
        <w:right w:val="none" w:sz="0" w:space="0" w:color="auto"/>
      </w:divBdr>
    </w:div>
    <w:div w:id="777994557">
      <w:bodyDiv w:val="1"/>
      <w:marLeft w:val="0"/>
      <w:marRight w:val="0"/>
      <w:marTop w:val="0"/>
      <w:marBottom w:val="0"/>
      <w:divBdr>
        <w:top w:val="none" w:sz="0" w:space="0" w:color="auto"/>
        <w:left w:val="none" w:sz="0" w:space="0" w:color="auto"/>
        <w:bottom w:val="none" w:sz="0" w:space="0" w:color="auto"/>
        <w:right w:val="none" w:sz="0" w:space="0" w:color="auto"/>
      </w:divBdr>
    </w:div>
    <w:div w:id="799226470">
      <w:bodyDiv w:val="1"/>
      <w:marLeft w:val="0"/>
      <w:marRight w:val="0"/>
      <w:marTop w:val="0"/>
      <w:marBottom w:val="0"/>
      <w:divBdr>
        <w:top w:val="none" w:sz="0" w:space="0" w:color="auto"/>
        <w:left w:val="none" w:sz="0" w:space="0" w:color="auto"/>
        <w:bottom w:val="none" w:sz="0" w:space="0" w:color="auto"/>
        <w:right w:val="none" w:sz="0" w:space="0" w:color="auto"/>
      </w:divBdr>
    </w:div>
    <w:div w:id="836072784">
      <w:bodyDiv w:val="1"/>
      <w:marLeft w:val="0"/>
      <w:marRight w:val="0"/>
      <w:marTop w:val="0"/>
      <w:marBottom w:val="0"/>
      <w:divBdr>
        <w:top w:val="none" w:sz="0" w:space="0" w:color="auto"/>
        <w:left w:val="none" w:sz="0" w:space="0" w:color="auto"/>
        <w:bottom w:val="none" w:sz="0" w:space="0" w:color="auto"/>
        <w:right w:val="none" w:sz="0" w:space="0" w:color="auto"/>
      </w:divBdr>
    </w:div>
    <w:div w:id="878709437">
      <w:bodyDiv w:val="1"/>
      <w:marLeft w:val="0"/>
      <w:marRight w:val="0"/>
      <w:marTop w:val="0"/>
      <w:marBottom w:val="0"/>
      <w:divBdr>
        <w:top w:val="none" w:sz="0" w:space="0" w:color="auto"/>
        <w:left w:val="none" w:sz="0" w:space="0" w:color="auto"/>
        <w:bottom w:val="none" w:sz="0" w:space="0" w:color="auto"/>
        <w:right w:val="none" w:sz="0" w:space="0" w:color="auto"/>
      </w:divBdr>
    </w:div>
    <w:div w:id="909730641">
      <w:bodyDiv w:val="1"/>
      <w:marLeft w:val="0"/>
      <w:marRight w:val="0"/>
      <w:marTop w:val="0"/>
      <w:marBottom w:val="0"/>
      <w:divBdr>
        <w:top w:val="none" w:sz="0" w:space="0" w:color="auto"/>
        <w:left w:val="none" w:sz="0" w:space="0" w:color="auto"/>
        <w:bottom w:val="none" w:sz="0" w:space="0" w:color="auto"/>
        <w:right w:val="none" w:sz="0" w:space="0" w:color="auto"/>
      </w:divBdr>
    </w:div>
    <w:div w:id="912618764">
      <w:bodyDiv w:val="1"/>
      <w:marLeft w:val="0"/>
      <w:marRight w:val="0"/>
      <w:marTop w:val="0"/>
      <w:marBottom w:val="0"/>
      <w:divBdr>
        <w:top w:val="none" w:sz="0" w:space="0" w:color="auto"/>
        <w:left w:val="none" w:sz="0" w:space="0" w:color="auto"/>
        <w:bottom w:val="none" w:sz="0" w:space="0" w:color="auto"/>
        <w:right w:val="none" w:sz="0" w:space="0" w:color="auto"/>
      </w:divBdr>
    </w:div>
    <w:div w:id="950552580">
      <w:bodyDiv w:val="1"/>
      <w:marLeft w:val="0"/>
      <w:marRight w:val="0"/>
      <w:marTop w:val="0"/>
      <w:marBottom w:val="0"/>
      <w:divBdr>
        <w:top w:val="none" w:sz="0" w:space="0" w:color="auto"/>
        <w:left w:val="none" w:sz="0" w:space="0" w:color="auto"/>
        <w:bottom w:val="none" w:sz="0" w:space="0" w:color="auto"/>
        <w:right w:val="none" w:sz="0" w:space="0" w:color="auto"/>
      </w:divBdr>
    </w:div>
    <w:div w:id="962924710">
      <w:bodyDiv w:val="1"/>
      <w:marLeft w:val="0"/>
      <w:marRight w:val="0"/>
      <w:marTop w:val="0"/>
      <w:marBottom w:val="0"/>
      <w:divBdr>
        <w:top w:val="none" w:sz="0" w:space="0" w:color="auto"/>
        <w:left w:val="none" w:sz="0" w:space="0" w:color="auto"/>
        <w:bottom w:val="none" w:sz="0" w:space="0" w:color="auto"/>
        <w:right w:val="none" w:sz="0" w:space="0" w:color="auto"/>
      </w:divBdr>
    </w:div>
    <w:div w:id="1053776582">
      <w:bodyDiv w:val="1"/>
      <w:marLeft w:val="0"/>
      <w:marRight w:val="0"/>
      <w:marTop w:val="0"/>
      <w:marBottom w:val="0"/>
      <w:divBdr>
        <w:top w:val="none" w:sz="0" w:space="0" w:color="auto"/>
        <w:left w:val="none" w:sz="0" w:space="0" w:color="auto"/>
        <w:bottom w:val="none" w:sz="0" w:space="0" w:color="auto"/>
        <w:right w:val="none" w:sz="0" w:space="0" w:color="auto"/>
      </w:divBdr>
    </w:div>
    <w:div w:id="1155686464">
      <w:bodyDiv w:val="1"/>
      <w:marLeft w:val="0"/>
      <w:marRight w:val="0"/>
      <w:marTop w:val="0"/>
      <w:marBottom w:val="0"/>
      <w:divBdr>
        <w:top w:val="none" w:sz="0" w:space="0" w:color="auto"/>
        <w:left w:val="none" w:sz="0" w:space="0" w:color="auto"/>
        <w:bottom w:val="none" w:sz="0" w:space="0" w:color="auto"/>
        <w:right w:val="none" w:sz="0" w:space="0" w:color="auto"/>
      </w:divBdr>
    </w:div>
    <w:div w:id="1156217585">
      <w:bodyDiv w:val="1"/>
      <w:marLeft w:val="0"/>
      <w:marRight w:val="0"/>
      <w:marTop w:val="0"/>
      <w:marBottom w:val="0"/>
      <w:divBdr>
        <w:top w:val="none" w:sz="0" w:space="0" w:color="auto"/>
        <w:left w:val="none" w:sz="0" w:space="0" w:color="auto"/>
        <w:bottom w:val="none" w:sz="0" w:space="0" w:color="auto"/>
        <w:right w:val="none" w:sz="0" w:space="0" w:color="auto"/>
      </w:divBdr>
    </w:div>
    <w:div w:id="1159228625">
      <w:bodyDiv w:val="1"/>
      <w:marLeft w:val="0"/>
      <w:marRight w:val="0"/>
      <w:marTop w:val="0"/>
      <w:marBottom w:val="0"/>
      <w:divBdr>
        <w:top w:val="none" w:sz="0" w:space="0" w:color="auto"/>
        <w:left w:val="none" w:sz="0" w:space="0" w:color="auto"/>
        <w:bottom w:val="none" w:sz="0" w:space="0" w:color="auto"/>
        <w:right w:val="none" w:sz="0" w:space="0" w:color="auto"/>
      </w:divBdr>
    </w:div>
    <w:div w:id="1213151968">
      <w:bodyDiv w:val="1"/>
      <w:marLeft w:val="0"/>
      <w:marRight w:val="0"/>
      <w:marTop w:val="0"/>
      <w:marBottom w:val="0"/>
      <w:divBdr>
        <w:top w:val="none" w:sz="0" w:space="0" w:color="auto"/>
        <w:left w:val="none" w:sz="0" w:space="0" w:color="auto"/>
        <w:bottom w:val="none" w:sz="0" w:space="0" w:color="auto"/>
        <w:right w:val="none" w:sz="0" w:space="0" w:color="auto"/>
      </w:divBdr>
    </w:div>
    <w:div w:id="1222329563">
      <w:bodyDiv w:val="1"/>
      <w:marLeft w:val="0"/>
      <w:marRight w:val="0"/>
      <w:marTop w:val="0"/>
      <w:marBottom w:val="0"/>
      <w:divBdr>
        <w:top w:val="none" w:sz="0" w:space="0" w:color="auto"/>
        <w:left w:val="none" w:sz="0" w:space="0" w:color="auto"/>
        <w:bottom w:val="none" w:sz="0" w:space="0" w:color="auto"/>
        <w:right w:val="none" w:sz="0" w:space="0" w:color="auto"/>
      </w:divBdr>
    </w:div>
    <w:div w:id="1242445277">
      <w:bodyDiv w:val="1"/>
      <w:marLeft w:val="0"/>
      <w:marRight w:val="0"/>
      <w:marTop w:val="0"/>
      <w:marBottom w:val="0"/>
      <w:divBdr>
        <w:top w:val="none" w:sz="0" w:space="0" w:color="auto"/>
        <w:left w:val="none" w:sz="0" w:space="0" w:color="auto"/>
        <w:bottom w:val="none" w:sz="0" w:space="0" w:color="auto"/>
        <w:right w:val="none" w:sz="0" w:space="0" w:color="auto"/>
      </w:divBdr>
    </w:div>
    <w:div w:id="1291746813">
      <w:bodyDiv w:val="1"/>
      <w:marLeft w:val="0"/>
      <w:marRight w:val="0"/>
      <w:marTop w:val="0"/>
      <w:marBottom w:val="0"/>
      <w:divBdr>
        <w:top w:val="none" w:sz="0" w:space="0" w:color="auto"/>
        <w:left w:val="none" w:sz="0" w:space="0" w:color="auto"/>
        <w:bottom w:val="none" w:sz="0" w:space="0" w:color="auto"/>
        <w:right w:val="none" w:sz="0" w:space="0" w:color="auto"/>
      </w:divBdr>
    </w:div>
    <w:div w:id="1308779184">
      <w:bodyDiv w:val="1"/>
      <w:marLeft w:val="0"/>
      <w:marRight w:val="0"/>
      <w:marTop w:val="0"/>
      <w:marBottom w:val="0"/>
      <w:divBdr>
        <w:top w:val="none" w:sz="0" w:space="0" w:color="auto"/>
        <w:left w:val="none" w:sz="0" w:space="0" w:color="auto"/>
        <w:bottom w:val="none" w:sz="0" w:space="0" w:color="auto"/>
        <w:right w:val="none" w:sz="0" w:space="0" w:color="auto"/>
      </w:divBdr>
    </w:div>
    <w:div w:id="1315716675">
      <w:bodyDiv w:val="1"/>
      <w:marLeft w:val="0"/>
      <w:marRight w:val="0"/>
      <w:marTop w:val="0"/>
      <w:marBottom w:val="0"/>
      <w:divBdr>
        <w:top w:val="none" w:sz="0" w:space="0" w:color="auto"/>
        <w:left w:val="none" w:sz="0" w:space="0" w:color="auto"/>
        <w:bottom w:val="none" w:sz="0" w:space="0" w:color="auto"/>
        <w:right w:val="none" w:sz="0" w:space="0" w:color="auto"/>
      </w:divBdr>
    </w:div>
    <w:div w:id="1369523977">
      <w:bodyDiv w:val="1"/>
      <w:marLeft w:val="0"/>
      <w:marRight w:val="0"/>
      <w:marTop w:val="0"/>
      <w:marBottom w:val="0"/>
      <w:divBdr>
        <w:top w:val="none" w:sz="0" w:space="0" w:color="auto"/>
        <w:left w:val="none" w:sz="0" w:space="0" w:color="auto"/>
        <w:bottom w:val="none" w:sz="0" w:space="0" w:color="auto"/>
        <w:right w:val="none" w:sz="0" w:space="0" w:color="auto"/>
      </w:divBdr>
    </w:div>
    <w:div w:id="1391881742">
      <w:bodyDiv w:val="1"/>
      <w:marLeft w:val="0"/>
      <w:marRight w:val="0"/>
      <w:marTop w:val="0"/>
      <w:marBottom w:val="0"/>
      <w:divBdr>
        <w:top w:val="none" w:sz="0" w:space="0" w:color="auto"/>
        <w:left w:val="none" w:sz="0" w:space="0" w:color="auto"/>
        <w:bottom w:val="none" w:sz="0" w:space="0" w:color="auto"/>
        <w:right w:val="none" w:sz="0" w:space="0" w:color="auto"/>
      </w:divBdr>
    </w:div>
    <w:div w:id="1431658049">
      <w:bodyDiv w:val="1"/>
      <w:marLeft w:val="0"/>
      <w:marRight w:val="0"/>
      <w:marTop w:val="0"/>
      <w:marBottom w:val="0"/>
      <w:divBdr>
        <w:top w:val="none" w:sz="0" w:space="0" w:color="auto"/>
        <w:left w:val="none" w:sz="0" w:space="0" w:color="auto"/>
        <w:bottom w:val="none" w:sz="0" w:space="0" w:color="auto"/>
        <w:right w:val="none" w:sz="0" w:space="0" w:color="auto"/>
      </w:divBdr>
    </w:div>
    <w:div w:id="1434200787">
      <w:bodyDiv w:val="1"/>
      <w:marLeft w:val="0"/>
      <w:marRight w:val="0"/>
      <w:marTop w:val="0"/>
      <w:marBottom w:val="0"/>
      <w:divBdr>
        <w:top w:val="none" w:sz="0" w:space="0" w:color="auto"/>
        <w:left w:val="none" w:sz="0" w:space="0" w:color="auto"/>
        <w:bottom w:val="none" w:sz="0" w:space="0" w:color="auto"/>
        <w:right w:val="none" w:sz="0" w:space="0" w:color="auto"/>
      </w:divBdr>
    </w:div>
    <w:div w:id="1484158234">
      <w:bodyDiv w:val="1"/>
      <w:marLeft w:val="0"/>
      <w:marRight w:val="0"/>
      <w:marTop w:val="0"/>
      <w:marBottom w:val="0"/>
      <w:divBdr>
        <w:top w:val="none" w:sz="0" w:space="0" w:color="auto"/>
        <w:left w:val="none" w:sz="0" w:space="0" w:color="auto"/>
        <w:bottom w:val="none" w:sz="0" w:space="0" w:color="auto"/>
        <w:right w:val="none" w:sz="0" w:space="0" w:color="auto"/>
      </w:divBdr>
    </w:div>
    <w:div w:id="1508137413">
      <w:bodyDiv w:val="1"/>
      <w:marLeft w:val="0"/>
      <w:marRight w:val="0"/>
      <w:marTop w:val="0"/>
      <w:marBottom w:val="0"/>
      <w:divBdr>
        <w:top w:val="none" w:sz="0" w:space="0" w:color="auto"/>
        <w:left w:val="none" w:sz="0" w:space="0" w:color="auto"/>
        <w:bottom w:val="none" w:sz="0" w:space="0" w:color="auto"/>
        <w:right w:val="none" w:sz="0" w:space="0" w:color="auto"/>
      </w:divBdr>
    </w:div>
    <w:div w:id="1539976573">
      <w:bodyDiv w:val="1"/>
      <w:marLeft w:val="0"/>
      <w:marRight w:val="0"/>
      <w:marTop w:val="0"/>
      <w:marBottom w:val="0"/>
      <w:divBdr>
        <w:top w:val="none" w:sz="0" w:space="0" w:color="auto"/>
        <w:left w:val="none" w:sz="0" w:space="0" w:color="auto"/>
        <w:bottom w:val="none" w:sz="0" w:space="0" w:color="auto"/>
        <w:right w:val="none" w:sz="0" w:space="0" w:color="auto"/>
      </w:divBdr>
    </w:div>
    <w:div w:id="1555506940">
      <w:bodyDiv w:val="1"/>
      <w:marLeft w:val="0"/>
      <w:marRight w:val="0"/>
      <w:marTop w:val="0"/>
      <w:marBottom w:val="0"/>
      <w:divBdr>
        <w:top w:val="none" w:sz="0" w:space="0" w:color="auto"/>
        <w:left w:val="none" w:sz="0" w:space="0" w:color="auto"/>
        <w:bottom w:val="none" w:sz="0" w:space="0" w:color="auto"/>
        <w:right w:val="none" w:sz="0" w:space="0" w:color="auto"/>
      </w:divBdr>
    </w:div>
    <w:div w:id="1610241270">
      <w:bodyDiv w:val="1"/>
      <w:marLeft w:val="0"/>
      <w:marRight w:val="0"/>
      <w:marTop w:val="0"/>
      <w:marBottom w:val="0"/>
      <w:divBdr>
        <w:top w:val="none" w:sz="0" w:space="0" w:color="auto"/>
        <w:left w:val="none" w:sz="0" w:space="0" w:color="auto"/>
        <w:bottom w:val="none" w:sz="0" w:space="0" w:color="auto"/>
        <w:right w:val="none" w:sz="0" w:space="0" w:color="auto"/>
      </w:divBdr>
    </w:div>
    <w:div w:id="1674918825">
      <w:bodyDiv w:val="1"/>
      <w:marLeft w:val="0"/>
      <w:marRight w:val="0"/>
      <w:marTop w:val="0"/>
      <w:marBottom w:val="0"/>
      <w:divBdr>
        <w:top w:val="none" w:sz="0" w:space="0" w:color="auto"/>
        <w:left w:val="none" w:sz="0" w:space="0" w:color="auto"/>
        <w:bottom w:val="none" w:sz="0" w:space="0" w:color="auto"/>
        <w:right w:val="none" w:sz="0" w:space="0" w:color="auto"/>
      </w:divBdr>
    </w:div>
    <w:div w:id="1708724345">
      <w:bodyDiv w:val="1"/>
      <w:marLeft w:val="0"/>
      <w:marRight w:val="0"/>
      <w:marTop w:val="0"/>
      <w:marBottom w:val="0"/>
      <w:divBdr>
        <w:top w:val="none" w:sz="0" w:space="0" w:color="auto"/>
        <w:left w:val="none" w:sz="0" w:space="0" w:color="auto"/>
        <w:bottom w:val="none" w:sz="0" w:space="0" w:color="auto"/>
        <w:right w:val="none" w:sz="0" w:space="0" w:color="auto"/>
      </w:divBdr>
    </w:div>
    <w:div w:id="1716344288">
      <w:bodyDiv w:val="1"/>
      <w:marLeft w:val="0"/>
      <w:marRight w:val="0"/>
      <w:marTop w:val="0"/>
      <w:marBottom w:val="0"/>
      <w:divBdr>
        <w:top w:val="none" w:sz="0" w:space="0" w:color="auto"/>
        <w:left w:val="none" w:sz="0" w:space="0" w:color="auto"/>
        <w:bottom w:val="none" w:sz="0" w:space="0" w:color="auto"/>
        <w:right w:val="none" w:sz="0" w:space="0" w:color="auto"/>
      </w:divBdr>
    </w:div>
    <w:div w:id="1718237357">
      <w:bodyDiv w:val="1"/>
      <w:marLeft w:val="0"/>
      <w:marRight w:val="0"/>
      <w:marTop w:val="0"/>
      <w:marBottom w:val="0"/>
      <w:divBdr>
        <w:top w:val="none" w:sz="0" w:space="0" w:color="auto"/>
        <w:left w:val="none" w:sz="0" w:space="0" w:color="auto"/>
        <w:bottom w:val="none" w:sz="0" w:space="0" w:color="auto"/>
        <w:right w:val="none" w:sz="0" w:space="0" w:color="auto"/>
      </w:divBdr>
    </w:div>
    <w:div w:id="1720476812">
      <w:bodyDiv w:val="1"/>
      <w:marLeft w:val="0"/>
      <w:marRight w:val="0"/>
      <w:marTop w:val="0"/>
      <w:marBottom w:val="0"/>
      <w:divBdr>
        <w:top w:val="none" w:sz="0" w:space="0" w:color="auto"/>
        <w:left w:val="none" w:sz="0" w:space="0" w:color="auto"/>
        <w:bottom w:val="none" w:sz="0" w:space="0" w:color="auto"/>
        <w:right w:val="none" w:sz="0" w:space="0" w:color="auto"/>
      </w:divBdr>
    </w:div>
    <w:div w:id="1779786805">
      <w:bodyDiv w:val="1"/>
      <w:marLeft w:val="0"/>
      <w:marRight w:val="0"/>
      <w:marTop w:val="0"/>
      <w:marBottom w:val="0"/>
      <w:divBdr>
        <w:top w:val="none" w:sz="0" w:space="0" w:color="auto"/>
        <w:left w:val="none" w:sz="0" w:space="0" w:color="auto"/>
        <w:bottom w:val="none" w:sz="0" w:space="0" w:color="auto"/>
        <w:right w:val="none" w:sz="0" w:space="0" w:color="auto"/>
      </w:divBdr>
    </w:div>
    <w:div w:id="1823042305">
      <w:bodyDiv w:val="1"/>
      <w:marLeft w:val="0"/>
      <w:marRight w:val="0"/>
      <w:marTop w:val="0"/>
      <w:marBottom w:val="0"/>
      <w:divBdr>
        <w:top w:val="none" w:sz="0" w:space="0" w:color="auto"/>
        <w:left w:val="none" w:sz="0" w:space="0" w:color="auto"/>
        <w:bottom w:val="none" w:sz="0" w:space="0" w:color="auto"/>
        <w:right w:val="none" w:sz="0" w:space="0" w:color="auto"/>
      </w:divBdr>
    </w:div>
    <w:div w:id="1839805403">
      <w:bodyDiv w:val="1"/>
      <w:marLeft w:val="0"/>
      <w:marRight w:val="0"/>
      <w:marTop w:val="0"/>
      <w:marBottom w:val="0"/>
      <w:divBdr>
        <w:top w:val="none" w:sz="0" w:space="0" w:color="auto"/>
        <w:left w:val="none" w:sz="0" w:space="0" w:color="auto"/>
        <w:bottom w:val="none" w:sz="0" w:space="0" w:color="auto"/>
        <w:right w:val="none" w:sz="0" w:space="0" w:color="auto"/>
      </w:divBdr>
    </w:div>
    <w:div w:id="1984196888">
      <w:bodyDiv w:val="1"/>
      <w:marLeft w:val="0"/>
      <w:marRight w:val="0"/>
      <w:marTop w:val="0"/>
      <w:marBottom w:val="0"/>
      <w:divBdr>
        <w:top w:val="none" w:sz="0" w:space="0" w:color="auto"/>
        <w:left w:val="none" w:sz="0" w:space="0" w:color="auto"/>
        <w:bottom w:val="none" w:sz="0" w:space="0" w:color="auto"/>
        <w:right w:val="none" w:sz="0" w:space="0" w:color="auto"/>
      </w:divBdr>
    </w:div>
    <w:div w:id="2003661349">
      <w:bodyDiv w:val="1"/>
      <w:marLeft w:val="0"/>
      <w:marRight w:val="0"/>
      <w:marTop w:val="0"/>
      <w:marBottom w:val="0"/>
      <w:divBdr>
        <w:top w:val="none" w:sz="0" w:space="0" w:color="auto"/>
        <w:left w:val="none" w:sz="0" w:space="0" w:color="auto"/>
        <w:bottom w:val="none" w:sz="0" w:space="0" w:color="auto"/>
        <w:right w:val="none" w:sz="0" w:space="0" w:color="auto"/>
      </w:divBdr>
    </w:div>
    <w:div w:id="2028825068">
      <w:bodyDiv w:val="1"/>
      <w:marLeft w:val="0"/>
      <w:marRight w:val="0"/>
      <w:marTop w:val="0"/>
      <w:marBottom w:val="0"/>
      <w:divBdr>
        <w:top w:val="none" w:sz="0" w:space="0" w:color="auto"/>
        <w:left w:val="none" w:sz="0" w:space="0" w:color="auto"/>
        <w:bottom w:val="none" w:sz="0" w:space="0" w:color="auto"/>
        <w:right w:val="none" w:sz="0" w:space="0" w:color="auto"/>
      </w:divBdr>
    </w:div>
    <w:div w:id="2084981640">
      <w:bodyDiv w:val="1"/>
      <w:marLeft w:val="0"/>
      <w:marRight w:val="0"/>
      <w:marTop w:val="0"/>
      <w:marBottom w:val="0"/>
      <w:divBdr>
        <w:top w:val="none" w:sz="0" w:space="0" w:color="auto"/>
        <w:left w:val="none" w:sz="0" w:space="0" w:color="auto"/>
        <w:bottom w:val="none" w:sz="0" w:space="0" w:color="auto"/>
        <w:right w:val="none" w:sz="0" w:space="0" w:color="auto"/>
      </w:divBdr>
    </w:div>
    <w:div w:id="2090418956">
      <w:bodyDiv w:val="1"/>
      <w:marLeft w:val="0"/>
      <w:marRight w:val="0"/>
      <w:marTop w:val="0"/>
      <w:marBottom w:val="0"/>
      <w:divBdr>
        <w:top w:val="none" w:sz="0" w:space="0" w:color="auto"/>
        <w:left w:val="none" w:sz="0" w:space="0" w:color="auto"/>
        <w:bottom w:val="none" w:sz="0" w:space="0" w:color="auto"/>
        <w:right w:val="none" w:sz="0" w:space="0" w:color="auto"/>
      </w:divBdr>
    </w:div>
    <w:div w:id="2116631612">
      <w:bodyDiv w:val="1"/>
      <w:marLeft w:val="0"/>
      <w:marRight w:val="0"/>
      <w:marTop w:val="0"/>
      <w:marBottom w:val="0"/>
      <w:divBdr>
        <w:top w:val="none" w:sz="0" w:space="0" w:color="auto"/>
        <w:left w:val="none" w:sz="0" w:space="0" w:color="auto"/>
        <w:bottom w:val="none" w:sz="0" w:space="0" w:color="auto"/>
        <w:right w:val="none" w:sz="0" w:space="0" w:color="auto"/>
      </w:divBdr>
    </w:div>
    <w:div w:id="2119988073">
      <w:bodyDiv w:val="1"/>
      <w:marLeft w:val="0"/>
      <w:marRight w:val="0"/>
      <w:marTop w:val="0"/>
      <w:marBottom w:val="0"/>
      <w:divBdr>
        <w:top w:val="none" w:sz="0" w:space="0" w:color="auto"/>
        <w:left w:val="none" w:sz="0" w:space="0" w:color="auto"/>
        <w:bottom w:val="none" w:sz="0" w:space="0" w:color="auto"/>
        <w:right w:val="none" w:sz="0" w:space="0" w:color="auto"/>
      </w:divBdr>
    </w:div>
    <w:div w:id="2128156454">
      <w:bodyDiv w:val="1"/>
      <w:marLeft w:val="0"/>
      <w:marRight w:val="0"/>
      <w:marTop w:val="0"/>
      <w:marBottom w:val="0"/>
      <w:divBdr>
        <w:top w:val="none" w:sz="0" w:space="0" w:color="auto"/>
        <w:left w:val="none" w:sz="0" w:space="0" w:color="auto"/>
        <w:bottom w:val="none" w:sz="0" w:space="0" w:color="auto"/>
        <w:right w:val="none" w:sz="0" w:space="0" w:color="auto"/>
      </w:divBdr>
    </w:div>
    <w:div w:id="2136679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1.xml"/><Relationship Id="rId18" Type="http://schemas.openxmlformats.org/officeDocument/2006/relationships/diagramLayout" Target="diagrams/layout2.xml"/><Relationship Id="rId26" Type="http://schemas.openxmlformats.org/officeDocument/2006/relationships/chart" Target="charts/chart6.xml"/><Relationship Id="rId39" Type="http://schemas.openxmlformats.org/officeDocument/2006/relationships/chart" Target="charts/chart9.xml"/><Relationship Id="rId21" Type="http://schemas.microsoft.com/office/2007/relationships/diagramDrawing" Target="diagrams/drawing2.xml"/><Relationship Id="rId34" Type="http://schemas.openxmlformats.org/officeDocument/2006/relationships/diagramLayout" Target="diagrams/layout4.xml"/><Relationship Id="rId42" Type="http://schemas.openxmlformats.org/officeDocument/2006/relationships/diagramQuickStyle" Target="diagrams/quickStyle5.xml"/><Relationship Id="rId47" Type="http://schemas.openxmlformats.org/officeDocument/2006/relationships/diagramQuickStyle" Target="diagrams/quickStyle6.xml"/><Relationship Id="rId50" Type="http://schemas.openxmlformats.org/officeDocument/2006/relationships/diagramData" Target="diagrams/data7.xml"/><Relationship Id="rId55" Type="http://schemas.openxmlformats.org/officeDocument/2006/relationships/diagramData" Target="diagrams/data8.xml"/><Relationship Id="rId63" Type="http://schemas.openxmlformats.org/officeDocument/2006/relationships/hyperlink" Target="https://www.mews.com/en/blog/hotel-labor-costs" TargetMode="External"/><Relationship Id="rId68"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numbering" Target="numbering.xml"/><Relationship Id="rId16" Type="http://schemas.microsoft.com/office/2007/relationships/diagramDrawing" Target="diagrams/drawing1.xml"/><Relationship Id="rId29" Type="http://schemas.openxmlformats.org/officeDocument/2006/relationships/diagramQuickStyle" Target="diagrams/quickStyle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24" Type="http://schemas.openxmlformats.org/officeDocument/2006/relationships/chart" Target="charts/chart4.xml"/><Relationship Id="rId32" Type="http://schemas.openxmlformats.org/officeDocument/2006/relationships/chart" Target="charts/chart7.xml"/><Relationship Id="rId37" Type="http://schemas.microsoft.com/office/2007/relationships/diagramDrawing" Target="diagrams/drawing4.xml"/><Relationship Id="rId40" Type="http://schemas.openxmlformats.org/officeDocument/2006/relationships/diagramData" Target="diagrams/data5.xml"/><Relationship Id="rId45" Type="http://schemas.openxmlformats.org/officeDocument/2006/relationships/diagramData" Target="diagrams/data6.xml"/><Relationship Id="rId53" Type="http://schemas.openxmlformats.org/officeDocument/2006/relationships/diagramColors" Target="diagrams/colors7.xml"/><Relationship Id="rId58" Type="http://schemas.openxmlformats.org/officeDocument/2006/relationships/diagramColors" Target="diagrams/colors8.xml"/><Relationship Id="rId66"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diagramColors" Target="diagrams/colors1.xml"/><Relationship Id="rId23" Type="http://schemas.openxmlformats.org/officeDocument/2006/relationships/chart" Target="charts/chart3.xml"/><Relationship Id="rId28" Type="http://schemas.openxmlformats.org/officeDocument/2006/relationships/diagramLayout" Target="diagrams/layout3.xml"/><Relationship Id="rId36" Type="http://schemas.openxmlformats.org/officeDocument/2006/relationships/diagramColors" Target="diagrams/colors4.xml"/><Relationship Id="rId49" Type="http://schemas.microsoft.com/office/2007/relationships/diagramDrawing" Target="diagrams/drawing6.xml"/><Relationship Id="rId57" Type="http://schemas.openxmlformats.org/officeDocument/2006/relationships/diagramQuickStyle" Target="diagrams/quickStyle8.xml"/><Relationship Id="rId61" Type="http://schemas.openxmlformats.org/officeDocument/2006/relationships/hyperlink" Target="https://www.gstcouncil.org/sustainable-tourism-trends" TargetMode="External"/><Relationship Id="rId10" Type="http://schemas.openxmlformats.org/officeDocument/2006/relationships/image" Target="media/image2.png"/><Relationship Id="rId19" Type="http://schemas.openxmlformats.org/officeDocument/2006/relationships/diagramQuickStyle" Target="diagrams/quickStyle2.xml"/><Relationship Id="rId31" Type="http://schemas.microsoft.com/office/2007/relationships/diagramDrawing" Target="diagrams/drawing3.xml"/><Relationship Id="rId44" Type="http://schemas.microsoft.com/office/2007/relationships/diagramDrawing" Target="diagrams/drawing5.xml"/><Relationship Id="rId52" Type="http://schemas.openxmlformats.org/officeDocument/2006/relationships/diagramQuickStyle" Target="diagrams/quickStyle7.xml"/><Relationship Id="rId60" Type="http://schemas.openxmlformats.org/officeDocument/2006/relationships/hyperlink" Target="https://www.investopedia.com/terms/s/solvencyratio.asp" TargetMode="External"/><Relationship Id="rId65" Type="http://schemas.openxmlformats.org/officeDocument/2006/relationships/hyperlink" Target="https://www.imf.org/en/Publications/fandd/issues/Series/Back-to-Basics/Inflation"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diagramQuickStyle" Target="diagrams/quickStyle1.xml"/><Relationship Id="rId22" Type="http://schemas.openxmlformats.org/officeDocument/2006/relationships/chart" Target="charts/chart2.xml"/><Relationship Id="rId27" Type="http://schemas.openxmlformats.org/officeDocument/2006/relationships/diagramData" Target="diagrams/data3.xml"/><Relationship Id="rId30" Type="http://schemas.openxmlformats.org/officeDocument/2006/relationships/diagramColors" Target="diagrams/colors3.xml"/><Relationship Id="rId35" Type="http://schemas.openxmlformats.org/officeDocument/2006/relationships/diagramQuickStyle" Target="diagrams/quickStyle4.xml"/><Relationship Id="rId43" Type="http://schemas.openxmlformats.org/officeDocument/2006/relationships/diagramColors" Target="diagrams/colors5.xml"/><Relationship Id="rId48" Type="http://schemas.openxmlformats.org/officeDocument/2006/relationships/diagramColors" Target="diagrams/colors6.xml"/><Relationship Id="rId56" Type="http://schemas.openxmlformats.org/officeDocument/2006/relationships/diagramLayout" Target="diagrams/layout8.xml"/><Relationship Id="rId64" Type="http://schemas.openxmlformats.org/officeDocument/2006/relationships/hyperlink" Target="https://www.siteminder.com/r/hotel-revenue-management-strategies/" TargetMode="External"/><Relationship Id="rId8" Type="http://schemas.openxmlformats.org/officeDocument/2006/relationships/endnotes" Target="endnotes.xml"/><Relationship Id="rId51" Type="http://schemas.openxmlformats.org/officeDocument/2006/relationships/diagramLayout" Target="diagrams/layout7.xml"/><Relationship Id="rId3" Type="http://schemas.openxmlformats.org/officeDocument/2006/relationships/styles" Target="styles.xml"/><Relationship Id="rId12" Type="http://schemas.openxmlformats.org/officeDocument/2006/relationships/diagramData" Target="diagrams/data1.xml"/><Relationship Id="rId17" Type="http://schemas.openxmlformats.org/officeDocument/2006/relationships/diagramData" Target="diagrams/data2.xml"/><Relationship Id="rId25" Type="http://schemas.openxmlformats.org/officeDocument/2006/relationships/chart" Target="charts/chart5.xml"/><Relationship Id="rId33" Type="http://schemas.openxmlformats.org/officeDocument/2006/relationships/diagramData" Target="diagrams/data4.xml"/><Relationship Id="rId38" Type="http://schemas.openxmlformats.org/officeDocument/2006/relationships/chart" Target="charts/chart8.xml"/><Relationship Id="rId46" Type="http://schemas.openxmlformats.org/officeDocument/2006/relationships/diagramLayout" Target="diagrams/layout6.xml"/><Relationship Id="rId59" Type="http://schemas.microsoft.com/office/2007/relationships/diagramDrawing" Target="diagrams/drawing8.xml"/><Relationship Id="rId67" Type="http://schemas.openxmlformats.org/officeDocument/2006/relationships/fontTable" Target="fontTable.xml"/><Relationship Id="rId20" Type="http://schemas.openxmlformats.org/officeDocument/2006/relationships/diagramColors" Target="diagrams/colors2.xml"/><Relationship Id="rId41" Type="http://schemas.openxmlformats.org/officeDocument/2006/relationships/diagramLayout" Target="diagrams/layout5.xml"/><Relationship Id="rId54" Type="http://schemas.microsoft.com/office/2007/relationships/diagramDrawing" Target="diagrams/drawing7.xml"/><Relationship Id="rId62" Type="http://schemas.openxmlformats.org/officeDocument/2006/relationships/hyperlink" Target="https://www.highradius.com/resources/Blog/tips-to-solve-problems-of-cash-management/" TargetMode="External"/></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C:\Users\Ali%20Hassan\OneDrive\Desktop\Book1.xlsx" TargetMode="External"/></Relationships>
</file>

<file path=word/charts/_rels/chart2.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oleObject" Target="file:///C:\Users\Ali%20Hassan\OneDrive\Desktop\Book1.xlsx" TargetMode="External"/></Relationships>
</file>

<file path=word/charts/_rels/chart3.xml.rels><?xml version="1.0" encoding="UTF-8" standalone="yes"?>
<Relationships xmlns="http://schemas.openxmlformats.org/package/2006/relationships"><Relationship Id="rId2" Type="http://schemas.openxmlformats.org/officeDocument/2006/relationships/chartUserShapes" Target="../drawings/drawing3.xml"/><Relationship Id="rId1" Type="http://schemas.openxmlformats.org/officeDocument/2006/relationships/oleObject" Target="file:///C:\Users\Ali%20Hassan\OneDrive\Desktop\Book1.xlsx" TargetMode="External"/></Relationships>
</file>

<file path=word/charts/_rels/chart4.xml.rels><?xml version="1.0" encoding="UTF-8" standalone="yes"?>
<Relationships xmlns="http://schemas.openxmlformats.org/package/2006/relationships"><Relationship Id="rId2" Type="http://schemas.openxmlformats.org/officeDocument/2006/relationships/chartUserShapes" Target="../drawings/drawing4.xml"/><Relationship Id="rId1" Type="http://schemas.openxmlformats.org/officeDocument/2006/relationships/oleObject" Target="file:///C:\Users\Ali%20Hassan\OneDrive\Desktop\Book1.xlsx" TargetMode="External"/></Relationships>
</file>

<file path=word/charts/_rels/chart5.xml.rels><?xml version="1.0" encoding="UTF-8" standalone="yes"?>
<Relationships xmlns="http://schemas.openxmlformats.org/package/2006/relationships"><Relationship Id="rId2" Type="http://schemas.openxmlformats.org/officeDocument/2006/relationships/chartUserShapes" Target="../drawings/drawing5.xml"/><Relationship Id="rId1" Type="http://schemas.openxmlformats.org/officeDocument/2006/relationships/oleObject" Target="file:///C:\Users\Ali%20Hassan\OneDrive\Desktop\Book1.xlsx" TargetMode="External"/></Relationships>
</file>

<file path=word/charts/_rels/chart6.xml.rels><?xml version="1.0" encoding="UTF-8" standalone="yes"?>
<Relationships xmlns="http://schemas.openxmlformats.org/package/2006/relationships"><Relationship Id="rId2" Type="http://schemas.openxmlformats.org/officeDocument/2006/relationships/chartUserShapes" Target="../drawings/drawing6.xml"/><Relationship Id="rId1" Type="http://schemas.openxmlformats.org/officeDocument/2006/relationships/oleObject" Target="file:///C:\Users\Ali%20Hassan\OneDrive\Desktop\Book1.xlsx" TargetMode="External"/></Relationships>
</file>

<file path=word/charts/_rels/chart7.xml.rels><?xml version="1.0" encoding="UTF-8" standalone="yes"?>
<Relationships xmlns="http://schemas.openxmlformats.org/package/2006/relationships"><Relationship Id="rId2" Type="http://schemas.openxmlformats.org/officeDocument/2006/relationships/chartUserShapes" Target="../drawings/drawing7.xml"/><Relationship Id="rId1" Type="http://schemas.openxmlformats.org/officeDocument/2006/relationships/oleObject" Target="file:///C:\Users\Ali%20Hassan\OneDrive\Desktop\Book1.xlsx" TargetMode="External"/></Relationships>
</file>

<file path=word/charts/_rels/chart8.xml.rels><?xml version="1.0" encoding="UTF-8" standalone="yes"?>
<Relationships xmlns="http://schemas.openxmlformats.org/package/2006/relationships"><Relationship Id="rId2" Type="http://schemas.openxmlformats.org/officeDocument/2006/relationships/chartUserShapes" Target="../drawings/drawing8.xml"/><Relationship Id="rId1" Type="http://schemas.openxmlformats.org/officeDocument/2006/relationships/oleObject" Target="file:///C:\Users\Ali%20Hassan\OneDrive\Desktop\Book1.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Ali%20Hassan\OneDrive\Desktop\Book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Income Statement (in GBP)</a:t>
            </a:r>
          </a:p>
        </c:rich>
      </c:tx>
      <c:overlay val="0"/>
      <c:spPr>
        <a:noFill/>
        <a:ln>
          <a:noFill/>
        </a:ln>
        <a:effectLst/>
      </c:spPr>
    </c:title>
    <c:autoTitleDeleted val="0"/>
    <c:plotArea>
      <c:layout/>
      <c:barChart>
        <c:barDir val="col"/>
        <c:grouping val="clustered"/>
        <c:varyColors val="0"/>
        <c:ser>
          <c:idx val="0"/>
          <c:order val="0"/>
          <c:spPr>
            <a:solidFill>
              <a:schemeClr val="accent1"/>
            </a:solidFill>
            <a:ln>
              <a:noFill/>
            </a:ln>
            <a:effectLst/>
          </c:spPr>
          <c:invertIfNegative val="0"/>
          <c:cat>
            <c:strRef>
              <c:f>Sheet1!$A$1:$A$4</c:f>
              <c:strCache>
                <c:ptCount val="4"/>
                <c:pt idx="0">
                  <c:v>Items</c:v>
                </c:pt>
                <c:pt idx="1">
                  <c:v>Revenues</c:v>
                </c:pt>
                <c:pt idx="2">
                  <c:v>Operating Expenses</c:v>
                </c:pt>
                <c:pt idx="3">
                  <c:v>Net Income</c:v>
                </c:pt>
              </c:strCache>
            </c:strRef>
          </c:cat>
          <c:val>
            <c:numRef>
              <c:f>Sheet1!$B$1:$B$4</c:f>
              <c:numCache>
                <c:formatCode>"£"#,##0_);[Red]\("£"#,##0\)</c:formatCode>
                <c:ptCount val="4"/>
                <c:pt idx="0" formatCode="General">
                  <c:v>2021</c:v>
                </c:pt>
                <c:pt idx="1">
                  <c:v>2500000</c:v>
                </c:pt>
                <c:pt idx="2">
                  <c:v>1800000</c:v>
                </c:pt>
                <c:pt idx="3">
                  <c:v>700000</c:v>
                </c:pt>
              </c:numCache>
            </c:numRef>
          </c:val>
          <c:extLst xmlns:c16r2="http://schemas.microsoft.com/office/drawing/2015/06/chart">
            <c:ext xmlns:c16="http://schemas.microsoft.com/office/drawing/2014/chart" uri="{C3380CC4-5D6E-409C-BE32-E72D297353CC}">
              <c16:uniqueId val="{00000000-5DE5-4726-B2FE-6BC4BCED5369}"/>
            </c:ext>
          </c:extLst>
        </c:ser>
        <c:ser>
          <c:idx val="1"/>
          <c:order val="1"/>
          <c:spPr>
            <a:solidFill>
              <a:schemeClr val="accent2"/>
            </a:solidFill>
            <a:ln>
              <a:noFill/>
            </a:ln>
            <a:effectLst/>
          </c:spPr>
          <c:invertIfNegative val="0"/>
          <c:cat>
            <c:strRef>
              <c:f>Sheet1!$A$1:$A$4</c:f>
              <c:strCache>
                <c:ptCount val="4"/>
                <c:pt idx="0">
                  <c:v>Items</c:v>
                </c:pt>
                <c:pt idx="1">
                  <c:v>Revenues</c:v>
                </c:pt>
                <c:pt idx="2">
                  <c:v>Operating Expenses</c:v>
                </c:pt>
                <c:pt idx="3">
                  <c:v>Net Income</c:v>
                </c:pt>
              </c:strCache>
            </c:strRef>
          </c:cat>
          <c:val>
            <c:numRef>
              <c:f>Sheet1!$C$1:$C$4</c:f>
              <c:numCache>
                <c:formatCode>"£"#,##0_);[Red]\("£"#,##0\)</c:formatCode>
                <c:ptCount val="4"/>
                <c:pt idx="0" formatCode="General">
                  <c:v>2022</c:v>
                </c:pt>
                <c:pt idx="1">
                  <c:v>2200000</c:v>
                </c:pt>
                <c:pt idx="2">
                  <c:v>2000000</c:v>
                </c:pt>
                <c:pt idx="3">
                  <c:v>200000</c:v>
                </c:pt>
              </c:numCache>
            </c:numRef>
          </c:val>
          <c:extLst xmlns:c16r2="http://schemas.microsoft.com/office/drawing/2015/06/chart">
            <c:ext xmlns:c16="http://schemas.microsoft.com/office/drawing/2014/chart" uri="{C3380CC4-5D6E-409C-BE32-E72D297353CC}">
              <c16:uniqueId val="{00000001-5DE5-4726-B2FE-6BC4BCED5369}"/>
            </c:ext>
          </c:extLst>
        </c:ser>
        <c:ser>
          <c:idx val="2"/>
          <c:order val="2"/>
          <c:spPr>
            <a:solidFill>
              <a:schemeClr val="accent3"/>
            </a:solidFill>
            <a:ln>
              <a:noFill/>
            </a:ln>
            <a:effectLst/>
          </c:spPr>
          <c:invertIfNegative val="0"/>
          <c:cat>
            <c:strRef>
              <c:f>Sheet1!$A$1:$A$4</c:f>
              <c:strCache>
                <c:ptCount val="4"/>
                <c:pt idx="0">
                  <c:v>Items</c:v>
                </c:pt>
                <c:pt idx="1">
                  <c:v>Revenues</c:v>
                </c:pt>
                <c:pt idx="2">
                  <c:v>Operating Expenses</c:v>
                </c:pt>
                <c:pt idx="3">
                  <c:v>Net Income</c:v>
                </c:pt>
              </c:strCache>
            </c:strRef>
          </c:cat>
          <c:val>
            <c:numRef>
              <c:f>Sheet1!$D$1:$D$4</c:f>
              <c:numCache>
                <c:formatCode>"£"#,##0_);[Red]\("£"#,##0\)</c:formatCode>
                <c:ptCount val="4"/>
                <c:pt idx="0" formatCode="General">
                  <c:v>2023</c:v>
                </c:pt>
                <c:pt idx="1">
                  <c:v>1800000</c:v>
                </c:pt>
                <c:pt idx="2">
                  <c:v>2300000</c:v>
                </c:pt>
                <c:pt idx="3">
                  <c:v>500000</c:v>
                </c:pt>
              </c:numCache>
            </c:numRef>
          </c:val>
          <c:extLst xmlns:c16r2="http://schemas.microsoft.com/office/drawing/2015/06/chart">
            <c:ext xmlns:c16="http://schemas.microsoft.com/office/drawing/2014/chart" uri="{C3380CC4-5D6E-409C-BE32-E72D297353CC}">
              <c16:uniqueId val="{00000002-5DE5-4726-B2FE-6BC4BCED5369}"/>
            </c:ext>
          </c:extLst>
        </c:ser>
        <c:dLbls>
          <c:showLegendKey val="0"/>
          <c:showVal val="0"/>
          <c:showCatName val="0"/>
          <c:showSerName val="0"/>
          <c:showPercent val="0"/>
          <c:showBubbleSize val="0"/>
        </c:dLbls>
        <c:gapWidth val="219"/>
        <c:overlap val="-27"/>
        <c:axId val="35058048"/>
        <c:axId val="35059584"/>
      </c:barChart>
      <c:catAx>
        <c:axId val="350580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059584"/>
        <c:crosses val="autoZero"/>
        <c:auto val="1"/>
        <c:lblAlgn val="ctr"/>
        <c:lblOffset val="100"/>
        <c:noMultiLvlLbl val="0"/>
      </c:catAx>
      <c:valAx>
        <c:axId val="350595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058048"/>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userShapes r:id="rId2"/>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Cash and Equivalents</a:t>
            </a:r>
          </a:p>
        </c:rich>
      </c:tx>
      <c:overlay val="0"/>
      <c:spPr>
        <a:noFill/>
        <a:ln>
          <a:noFill/>
        </a:ln>
        <a:effectLst/>
      </c:spPr>
    </c:title>
    <c:autoTitleDeleted val="0"/>
    <c:plotArea>
      <c:layout/>
      <c:barChart>
        <c:barDir val="col"/>
        <c:grouping val="clustered"/>
        <c:varyColors val="0"/>
        <c:ser>
          <c:idx val="0"/>
          <c:order val="0"/>
          <c:spPr>
            <a:solidFill>
              <a:schemeClr val="accent1"/>
            </a:solidFill>
            <a:ln>
              <a:noFill/>
            </a:ln>
            <a:effectLst/>
          </c:spPr>
          <c:invertIfNegative val="0"/>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0"/>
            <c:dispEq val="0"/>
          </c:trendline>
          <c:val>
            <c:numRef>
              <c:f>Sheet2!$G$4:$I$4</c:f>
              <c:numCache>
                <c:formatCode>"£"#,##0_);[Red]\("£"#,##0\)</c:formatCode>
                <c:ptCount val="3"/>
                <c:pt idx="0">
                  <c:v>300000</c:v>
                </c:pt>
                <c:pt idx="1">
                  <c:v>200000</c:v>
                </c:pt>
                <c:pt idx="2">
                  <c:v>100000</c:v>
                </c:pt>
              </c:numCache>
            </c:numRef>
          </c:val>
          <c:extLst xmlns:c16r2="http://schemas.microsoft.com/office/drawing/2015/06/chart">
            <c:ext xmlns:c16="http://schemas.microsoft.com/office/drawing/2014/chart" uri="{C3380CC4-5D6E-409C-BE32-E72D297353CC}">
              <c16:uniqueId val="{00000000-C121-4AF6-B0E3-A0FECD654318}"/>
            </c:ext>
          </c:extLst>
        </c:ser>
        <c:dLbls>
          <c:showLegendKey val="0"/>
          <c:showVal val="0"/>
          <c:showCatName val="0"/>
          <c:showSerName val="0"/>
          <c:showPercent val="0"/>
          <c:showBubbleSize val="0"/>
        </c:dLbls>
        <c:gapWidth val="219"/>
        <c:overlap val="-27"/>
        <c:axId val="128951808"/>
        <c:axId val="128953344"/>
      </c:barChart>
      <c:catAx>
        <c:axId val="128951808"/>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8953344"/>
        <c:crosses val="autoZero"/>
        <c:auto val="0"/>
        <c:lblAlgn val="ctr"/>
        <c:lblOffset val="100"/>
        <c:noMultiLvlLbl val="0"/>
      </c:catAx>
      <c:valAx>
        <c:axId val="128953344"/>
        <c:scaling>
          <c:orientation val="minMax"/>
        </c:scaling>
        <c:delete val="0"/>
        <c:axPos val="l"/>
        <c:majorGridlines>
          <c:spPr>
            <a:ln w="9525" cap="flat" cmpd="sng" algn="ctr">
              <a:solidFill>
                <a:schemeClr val="tx1">
                  <a:lumMod val="15000"/>
                  <a:lumOff val="85000"/>
                </a:schemeClr>
              </a:solidFill>
              <a:round/>
            </a:ln>
            <a:effectLst/>
          </c:spPr>
        </c:majorGridlines>
        <c:numFmt formatCode="&quot;£&quot;#,##0_);[Red]\(&quot;£&quot;#,##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895180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userShapes r:id="rId2"/>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r>
              <a:rPr lang="en-GB"/>
              <a:t>Account Receivable</a:t>
            </a:r>
          </a:p>
        </c:rich>
      </c:tx>
      <c:overlay val="0"/>
      <c:spPr>
        <a:noFill/>
        <a:ln>
          <a:noFill/>
        </a:ln>
        <a:effectLst/>
      </c:spPr>
    </c:title>
    <c:autoTitleDeleted val="0"/>
    <c:plotArea>
      <c:layout/>
      <c:barChart>
        <c:barDir val="col"/>
        <c:grouping val="clustered"/>
        <c:varyColors val="0"/>
        <c:ser>
          <c:idx val="0"/>
          <c:order val="0"/>
          <c:spPr>
            <a:pattFill prst="narHorz">
              <a:fgClr>
                <a:schemeClr val="accent1"/>
              </a:fgClr>
              <a:bgClr>
                <a:schemeClr val="accent1">
                  <a:lumMod val="20000"/>
                  <a:lumOff val="80000"/>
                </a:schemeClr>
              </a:bgClr>
            </a:pattFill>
            <a:ln>
              <a:noFill/>
            </a:ln>
            <a:effectLst>
              <a:innerShdw blurRad="114300">
                <a:schemeClr val="accent1"/>
              </a:innerShdw>
            </a:effectLst>
          </c:spPr>
          <c:invertIfNegative val="0"/>
          <c:trendline>
            <c:spPr>
              <a:ln w="19050" cap="rnd">
                <a:solidFill>
                  <a:schemeClr val="accent1"/>
                </a:solidFill>
              </a:ln>
              <a:effectLst/>
            </c:spPr>
            <c:trendlineType val="linear"/>
            <c:dispRSqr val="0"/>
            <c:dispEq val="0"/>
          </c:trendline>
          <c:val>
            <c:numRef>
              <c:f>Sheet3!$B$2:$D$2</c:f>
              <c:numCache>
                <c:formatCode>"£"#,##0_);[Red]\("£"#,##0\)</c:formatCode>
                <c:ptCount val="3"/>
                <c:pt idx="0">
                  <c:v>150000</c:v>
                </c:pt>
                <c:pt idx="1">
                  <c:v>100000</c:v>
                </c:pt>
                <c:pt idx="2">
                  <c:v>80000</c:v>
                </c:pt>
              </c:numCache>
            </c:numRef>
          </c:val>
          <c:extLst xmlns:c16r2="http://schemas.microsoft.com/office/drawing/2015/06/chart">
            <c:ext xmlns:c16="http://schemas.microsoft.com/office/drawing/2014/chart" uri="{C3380CC4-5D6E-409C-BE32-E72D297353CC}">
              <c16:uniqueId val="{00000000-290F-4738-A18A-22A3A24D124B}"/>
            </c:ext>
          </c:extLst>
        </c:ser>
        <c:dLbls>
          <c:showLegendKey val="0"/>
          <c:showVal val="0"/>
          <c:showCatName val="0"/>
          <c:showSerName val="0"/>
          <c:showPercent val="0"/>
          <c:showBubbleSize val="0"/>
        </c:dLbls>
        <c:gapWidth val="164"/>
        <c:overlap val="-22"/>
        <c:axId val="242515968"/>
        <c:axId val="242517504"/>
      </c:barChart>
      <c:catAx>
        <c:axId val="242515968"/>
        <c:scaling>
          <c:orientation val="minMax"/>
        </c:scaling>
        <c:delete val="0"/>
        <c:axPos val="b"/>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2517504"/>
        <c:crosses val="autoZero"/>
        <c:auto val="1"/>
        <c:lblAlgn val="ctr"/>
        <c:lblOffset val="100"/>
        <c:noMultiLvlLbl val="0"/>
      </c:catAx>
      <c:valAx>
        <c:axId val="242517504"/>
        <c:scaling>
          <c:orientation val="minMax"/>
        </c:scaling>
        <c:delete val="0"/>
        <c:axPos val="l"/>
        <c:numFmt formatCode="&quot;£&quot;#,##0_);[Red]\(&quot;£&quot;#,##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25159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userShapes r:id="rId2"/>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a:t>Property and Equipment</a:t>
            </a:r>
          </a:p>
        </c:rich>
      </c:tx>
      <c:overlay val="0"/>
      <c:spPr>
        <a:noFill/>
        <a:ln>
          <a:noFill/>
        </a:ln>
        <a:effectLst/>
      </c:spPr>
    </c:title>
    <c:autoTitleDeleted val="0"/>
    <c:plotArea>
      <c:layout/>
      <c:barChart>
        <c:barDir val="col"/>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trendline>
            <c:spPr>
              <a:ln w="19050" cap="rnd">
                <a:solidFill>
                  <a:schemeClr val="accent1"/>
                </a:solidFill>
                <a:prstDash val="sysDash"/>
              </a:ln>
              <a:effectLst/>
            </c:spPr>
            <c:trendlineType val="linear"/>
            <c:dispRSqr val="0"/>
            <c:dispEq val="0"/>
          </c:trendline>
          <c:val>
            <c:numRef>
              <c:f>Sheet4!$C$3:$E$3</c:f>
              <c:numCache>
                <c:formatCode>"£"#,##0_);[Red]\("£"#,##0\)</c:formatCode>
                <c:ptCount val="3"/>
                <c:pt idx="0">
                  <c:v>5000000</c:v>
                </c:pt>
                <c:pt idx="1">
                  <c:v>4800000</c:v>
                </c:pt>
                <c:pt idx="2">
                  <c:v>4500000</c:v>
                </c:pt>
              </c:numCache>
            </c:numRef>
          </c:val>
          <c:extLst xmlns:c16r2="http://schemas.microsoft.com/office/drawing/2015/06/chart">
            <c:ext xmlns:c16="http://schemas.microsoft.com/office/drawing/2014/chart" uri="{C3380CC4-5D6E-409C-BE32-E72D297353CC}">
              <c16:uniqueId val="{00000000-BA9A-428C-A253-02E647F901CC}"/>
            </c:ext>
          </c:extLst>
        </c:ser>
        <c:dLbls>
          <c:showLegendKey val="0"/>
          <c:showVal val="0"/>
          <c:showCatName val="0"/>
          <c:showSerName val="0"/>
          <c:showPercent val="0"/>
          <c:showBubbleSize val="0"/>
        </c:dLbls>
        <c:gapWidth val="100"/>
        <c:overlap val="-24"/>
        <c:axId val="242546944"/>
        <c:axId val="128712704"/>
      </c:barChart>
      <c:catAx>
        <c:axId val="242546944"/>
        <c:scaling>
          <c:orientation val="minMax"/>
        </c:scaling>
        <c:delete val="0"/>
        <c:axPos val="b"/>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28712704"/>
        <c:crosses val="autoZero"/>
        <c:auto val="1"/>
        <c:lblAlgn val="ctr"/>
        <c:lblOffset val="100"/>
        <c:noMultiLvlLbl val="0"/>
      </c:catAx>
      <c:valAx>
        <c:axId val="128712704"/>
        <c:scaling>
          <c:orientation val="minMax"/>
        </c:scaling>
        <c:delete val="0"/>
        <c:axPos val="l"/>
        <c:majorGridlines>
          <c:spPr>
            <a:ln w="9525" cap="flat" cmpd="sng" algn="ctr">
              <a:solidFill>
                <a:schemeClr val="tx2">
                  <a:lumMod val="15000"/>
                  <a:lumOff val="85000"/>
                </a:schemeClr>
              </a:solidFill>
              <a:round/>
            </a:ln>
            <a:effectLst/>
          </c:spPr>
        </c:majorGridlines>
        <c:numFmt formatCode="&quot;£&quot;#,##0_);[Red]\(&quot;£&quot;#,##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24254694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1">
    <c:autoUpdate val="0"/>
  </c:externalData>
  <c:userShapes r:id="rId2"/>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Arial" panose="020B0604020202020204" pitchFamily="34" charset="0"/>
                <a:ea typeface="+mn-ea"/>
                <a:cs typeface="Arial" panose="020B0604020202020204" pitchFamily="34" charset="0"/>
              </a:defRPr>
            </a:pPr>
            <a:r>
              <a:rPr lang="en-GB"/>
              <a:t>Total Assets</a:t>
            </a:r>
          </a:p>
        </c:rich>
      </c:tx>
      <c:layout>
        <c:manualLayout>
          <c:xMode val="edge"/>
          <c:yMode val="edge"/>
          <c:x val="0.14833735156069661"/>
          <c:y val="0.89041095890410948"/>
        </c:manualLayout>
      </c:layout>
      <c:overlay val="0"/>
      <c:spPr>
        <a:noFill/>
        <a:ln>
          <a:noFill/>
        </a:ln>
        <a:effectLst/>
      </c:spPr>
    </c:title>
    <c:autoTitleDeleted val="0"/>
    <c:plotArea>
      <c:layout/>
      <c:barChart>
        <c:barDir val="col"/>
        <c:grouping val="clustered"/>
        <c:varyColors val="0"/>
        <c:ser>
          <c:idx val="0"/>
          <c:order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trendline>
            <c:spPr>
              <a:ln w="9525" cap="rnd">
                <a:solidFill>
                  <a:schemeClr val="accent1"/>
                </a:solidFill>
              </a:ln>
              <a:effectLst/>
            </c:spPr>
            <c:trendlineType val="linear"/>
            <c:dispRSqr val="0"/>
            <c:dispEq val="0"/>
          </c:trendline>
          <c:val>
            <c:numRef>
              <c:f>Sheet6!$D$2:$F$2</c:f>
              <c:numCache>
                <c:formatCode>"£"#,##0_);[Red]\("£"#,##0\)</c:formatCode>
                <c:ptCount val="3"/>
                <c:pt idx="0">
                  <c:v>5450000</c:v>
                </c:pt>
                <c:pt idx="1">
                  <c:v>5100000</c:v>
                </c:pt>
                <c:pt idx="2">
                  <c:v>4680000</c:v>
                </c:pt>
              </c:numCache>
            </c:numRef>
          </c:val>
          <c:extLst xmlns:c16r2="http://schemas.microsoft.com/office/drawing/2015/06/chart">
            <c:ext xmlns:c16="http://schemas.microsoft.com/office/drawing/2014/chart" uri="{C3380CC4-5D6E-409C-BE32-E72D297353CC}">
              <c16:uniqueId val="{00000000-A88F-4566-A5B8-29C48E2C9D22}"/>
            </c:ext>
          </c:extLst>
        </c:ser>
        <c:dLbls>
          <c:showLegendKey val="0"/>
          <c:showVal val="0"/>
          <c:showCatName val="0"/>
          <c:showSerName val="0"/>
          <c:showPercent val="0"/>
          <c:showBubbleSize val="0"/>
        </c:dLbls>
        <c:gapWidth val="100"/>
        <c:overlap val="-24"/>
        <c:axId val="128738048"/>
        <c:axId val="128739584"/>
      </c:barChart>
      <c:catAx>
        <c:axId val="128738048"/>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Arial" panose="020B0604020202020204" pitchFamily="34" charset="0"/>
                <a:ea typeface="+mn-ea"/>
                <a:cs typeface="Arial" panose="020B0604020202020204" pitchFamily="34" charset="0"/>
              </a:defRPr>
            </a:pPr>
            <a:endParaRPr lang="en-US"/>
          </a:p>
        </c:txPr>
        <c:crossAx val="128739584"/>
        <c:crosses val="autoZero"/>
        <c:auto val="1"/>
        <c:lblAlgn val="ctr"/>
        <c:lblOffset val="100"/>
        <c:noMultiLvlLbl val="0"/>
      </c:catAx>
      <c:valAx>
        <c:axId val="128739584"/>
        <c:scaling>
          <c:orientation val="minMax"/>
        </c:scaling>
        <c:delete val="0"/>
        <c:axPos val="l"/>
        <c:majorGridlines>
          <c:spPr>
            <a:ln w="9525" cap="flat" cmpd="sng" algn="ctr">
              <a:solidFill>
                <a:schemeClr val="tx1">
                  <a:lumMod val="15000"/>
                  <a:lumOff val="85000"/>
                </a:schemeClr>
              </a:solidFill>
              <a:round/>
            </a:ln>
            <a:effectLst/>
          </c:spPr>
        </c:majorGridlines>
        <c:numFmt formatCode="&quot;£&quot;#,##0_);[Red]\(&quot;£&quot;#,##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Arial" panose="020B0604020202020204" pitchFamily="34" charset="0"/>
                <a:ea typeface="+mn-ea"/>
                <a:cs typeface="Arial" panose="020B0604020202020204" pitchFamily="34" charset="0"/>
              </a:defRPr>
            </a:pPr>
            <a:endParaRPr lang="en-US"/>
          </a:p>
        </c:txPr>
        <c:crossAx val="1287380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Arial" panose="020B0604020202020204" pitchFamily="34" charset="0"/>
          <a:cs typeface="Arial" panose="020B0604020202020204" pitchFamily="34" charset="0"/>
        </a:defRPr>
      </a:pPr>
      <a:endParaRPr lang="en-US"/>
    </a:p>
  </c:txPr>
  <c:externalData r:id="rId1">
    <c:autoUpdate val="0"/>
  </c:externalData>
  <c:userShapes r:id="rId2"/>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r>
              <a:rPr lang="en-GB"/>
              <a:t>Account</a:t>
            </a:r>
            <a:r>
              <a:rPr lang="en-GB" baseline="0"/>
              <a:t> Payable</a:t>
            </a:r>
            <a:endParaRPr lang="en-GB"/>
          </a:p>
        </c:rich>
      </c:tx>
      <c:overlay val="0"/>
      <c:spPr>
        <a:noFill/>
        <a:ln>
          <a:noFill/>
        </a:ln>
        <a:effectLst/>
      </c:spPr>
    </c:title>
    <c:autoTitleDeleted val="0"/>
    <c:plotArea>
      <c:layout/>
      <c:barChart>
        <c:barDir val="col"/>
        <c:grouping val="clustered"/>
        <c:varyColors val="0"/>
        <c:ser>
          <c:idx val="0"/>
          <c:order val="0"/>
          <c:spPr>
            <a:pattFill prst="narHorz">
              <a:fgClr>
                <a:schemeClr val="accent1"/>
              </a:fgClr>
              <a:bgClr>
                <a:schemeClr val="accent1">
                  <a:lumMod val="20000"/>
                  <a:lumOff val="80000"/>
                </a:schemeClr>
              </a:bgClr>
            </a:pattFill>
            <a:ln>
              <a:noFill/>
            </a:ln>
            <a:effectLst>
              <a:innerShdw blurRad="114300">
                <a:schemeClr val="accent1"/>
              </a:innerShdw>
            </a:effectLst>
          </c:spPr>
          <c:invertIfNegative val="0"/>
          <c:trendline>
            <c:spPr>
              <a:ln w="19050" cap="rnd">
                <a:solidFill>
                  <a:schemeClr val="accent1"/>
                </a:solidFill>
              </a:ln>
              <a:effectLst/>
            </c:spPr>
            <c:trendlineType val="linear"/>
            <c:dispRSqr val="0"/>
            <c:dispEq val="0"/>
          </c:trendline>
          <c:val>
            <c:numRef>
              <c:f>Sheet7!$C$2:$E$2</c:f>
              <c:numCache>
                <c:formatCode>"£"#,##0_);[Red]\("£"#,##0\)</c:formatCode>
                <c:ptCount val="3"/>
                <c:pt idx="0">
                  <c:v>250000</c:v>
                </c:pt>
                <c:pt idx="1">
                  <c:v>270000</c:v>
                </c:pt>
                <c:pt idx="2">
                  <c:v>300000</c:v>
                </c:pt>
              </c:numCache>
            </c:numRef>
          </c:val>
          <c:extLst xmlns:c16r2="http://schemas.microsoft.com/office/drawing/2015/06/chart">
            <c:ext xmlns:c16="http://schemas.microsoft.com/office/drawing/2014/chart" uri="{C3380CC4-5D6E-409C-BE32-E72D297353CC}">
              <c16:uniqueId val="{00000000-0105-4880-8414-110E91DC0F29}"/>
            </c:ext>
          </c:extLst>
        </c:ser>
        <c:dLbls>
          <c:showLegendKey val="0"/>
          <c:showVal val="0"/>
          <c:showCatName val="0"/>
          <c:showSerName val="0"/>
          <c:showPercent val="0"/>
          <c:showBubbleSize val="0"/>
        </c:dLbls>
        <c:gapWidth val="164"/>
        <c:overlap val="-22"/>
        <c:axId val="128777216"/>
        <c:axId val="129045248"/>
      </c:barChart>
      <c:catAx>
        <c:axId val="128777216"/>
        <c:scaling>
          <c:orientation val="minMax"/>
        </c:scaling>
        <c:delete val="0"/>
        <c:axPos val="b"/>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9045248"/>
        <c:crosses val="autoZero"/>
        <c:auto val="1"/>
        <c:lblAlgn val="ctr"/>
        <c:lblOffset val="100"/>
        <c:noMultiLvlLbl val="0"/>
      </c:catAx>
      <c:valAx>
        <c:axId val="129045248"/>
        <c:scaling>
          <c:orientation val="minMax"/>
        </c:scaling>
        <c:delete val="0"/>
        <c:axPos val="l"/>
        <c:numFmt formatCode="&quot;£&quot;#,##0_);[Red]\(&quot;£&quot;#,##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87772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userShapes r:id="rId2"/>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a:t>Long Term Debt</a:t>
            </a:r>
          </a:p>
        </c:rich>
      </c:tx>
      <c:overlay val="0"/>
      <c:spPr>
        <a:noFill/>
        <a:ln>
          <a:noFill/>
        </a:ln>
        <a:effectLst/>
      </c:spPr>
    </c:title>
    <c:autoTitleDeleted val="0"/>
    <c:plotArea>
      <c:layout/>
      <c:barChart>
        <c:barDir val="col"/>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trendline>
            <c:spPr>
              <a:ln w="19050" cap="rnd">
                <a:solidFill>
                  <a:schemeClr val="accent1"/>
                </a:solidFill>
                <a:prstDash val="sysDash"/>
              </a:ln>
              <a:effectLst/>
            </c:spPr>
            <c:trendlineType val="linear"/>
            <c:dispRSqr val="0"/>
            <c:dispEq val="0"/>
          </c:trendline>
          <c:val>
            <c:numRef>
              <c:f>Sheet7!$P$3:$R$3</c:f>
              <c:numCache>
                <c:formatCode>"£"#,##0_);[Red]\("£"#,##0\)</c:formatCode>
                <c:ptCount val="3"/>
                <c:pt idx="0">
                  <c:v>3000000</c:v>
                </c:pt>
                <c:pt idx="1">
                  <c:v>3000000</c:v>
                </c:pt>
                <c:pt idx="2">
                  <c:v>3000000</c:v>
                </c:pt>
              </c:numCache>
            </c:numRef>
          </c:val>
          <c:extLst xmlns:c16r2="http://schemas.microsoft.com/office/drawing/2015/06/chart">
            <c:ext xmlns:c16="http://schemas.microsoft.com/office/drawing/2014/chart" uri="{C3380CC4-5D6E-409C-BE32-E72D297353CC}">
              <c16:uniqueId val="{00000000-4BA2-449E-A0C5-84F9F16BBFD6}"/>
            </c:ext>
          </c:extLst>
        </c:ser>
        <c:dLbls>
          <c:showLegendKey val="0"/>
          <c:showVal val="0"/>
          <c:showCatName val="0"/>
          <c:showSerName val="0"/>
          <c:showPercent val="0"/>
          <c:showBubbleSize val="0"/>
        </c:dLbls>
        <c:gapWidth val="100"/>
        <c:overlap val="-24"/>
        <c:axId val="131160704"/>
        <c:axId val="131162496"/>
      </c:barChart>
      <c:catAx>
        <c:axId val="131160704"/>
        <c:scaling>
          <c:orientation val="minMax"/>
        </c:scaling>
        <c:delete val="0"/>
        <c:axPos val="b"/>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31162496"/>
        <c:crosses val="autoZero"/>
        <c:auto val="1"/>
        <c:lblAlgn val="ctr"/>
        <c:lblOffset val="100"/>
        <c:noMultiLvlLbl val="0"/>
      </c:catAx>
      <c:valAx>
        <c:axId val="131162496"/>
        <c:scaling>
          <c:orientation val="minMax"/>
        </c:scaling>
        <c:delete val="0"/>
        <c:axPos val="l"/>
        <c:majorGridlines>
          <c:spPr>
            <a:ln w="9525" cap="flat" cmpd="sng" algn="ctr">
              <a:solidFill>
                <a:schemeClr val="tx2">
                  <a:lumMod val="15000"/>
                  <a:lumOff val="85000"/>
                </a:schemeClr>
              </a:solidFill>
              <a:round/>
            </a:ln>
            <a:effectLst/>
          </c:spPr>
        </c:majorGridlines>
        <c:numFmt formatCode="&quot;£&quot;#,##0_);[Red]\(&quot;£&quot;#,##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3116070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1">
    <c:autoUpdate val="0"/>
  </c:externalData>
  <c:userShapes r:id="rId2"/>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a:latin typeface="Arial" panose="020B0604020202020204" pitchFamily="34" charset="0"/>
                <a:cs typeface="Arial" panose="020B0604020202020204" pitchFamily="34" charset="0"/>
              </a:rPr>
              <a:t>Total </a:t>
            </a:r>
            <a:r>
              <a:rPr lang="en-GB" sz="1400" b="0">
                <a:effectLst/>
                <a:latin typeface="Arial" panose="020B0604020202020204" pitchFamily="34" charset="0"/>
                <a:cs typeface="Arial" panose="020B0604020202020204" pitchFamily="34" charset="0"/>
              </a:rPr>
              <a:t>Liabilities</a:t>
            </a:r>
          </a:p>
        </c:rich>
      </c:tx>
      <c:overlay val="0"/>
      <c:spPr>
        <a:noFill/>
        <a:ln>
          <a:noFill/>
        </a:ln>
        <a:effectLst/>
      </c:spPr>
    </c:title>
    <c:autoTitleDeleted val="0"/>
    <c:plotArea>
      <c:layout/>
      <c:barChart>
        <c:barDir val="col"/>
        <c:grouping val="clustered"/>
        <c:varyColors val="0"/>
        <c:ser>
          <c:idx val="0"/>
          <c:order val="0"/>
          <c:spPr>
            <a:solidFill>
              <a:schemeClr val="accent1"/>
            </a:solidFill>
            <a:ln>
              <a:noFill/>
            </a:ln>
            <a:effectLst/>
          </c:spPr>
          <c:invertIfNegative val="0"/>
          <c:trendline>
            <c:spPr>
              <a:ln w="19050" cap="rnd">
                <a:solidFill>
                  <a:schemeClr val="accent1"/>
                </a:solidFill>
                <a:prstDash val="sysDot"/>
              </a:ln>
              <a:effectLst/>
            </c:spPr>
            <c:trendlineType val="linear"/>
            <c:dispRSqr val="0"/>
            <c:dispEq val="0"/>
          </c:trendline>
          <c:val>
            <c:numRef>
              <c:f>Sheet8!$D$2:$F$2</c:f>
              <c:numCache>
                <c:formatCode>"£"#,##0_);[Red]\("£"#,##0\)</c:formatCode>
                <c:ptCount val="3"/>
                <c:pt idx="0">
                  <c:v>3250000</c:v>
                </c:pt>
                <c:pt idx="1">
                  <c:v>3270000</c:v>
                </c:pt>
                <c:pt idx="2">
                  <c:v>3300000</c:v>
                </c:pt>
              </c:numCache>
            </c:numRef>
          </c:val>
          <c:extLst xmlns:c16r2="http://schemas.microsoft.com/office/drawing/2015/06/chart">
            <c:ext xmlns:c16="http://schemas.microsoft.com/office/drawing/2014/chart" uri="{C3380CC4-5D6E-409C-BE32-E72D297353CC}">
              <c16:uniqueId val="{00000000-1C9F-442E-837E-3EA82EC40591}"/>
            </c:ext>
          </c:extLst>
        </c:ser>
        <c:dLbls>
          <c:showLegendKey val="0"/>
          <c:showVal val="0"/>
          <c:showCatName val="0"/>
          <c:showSerName val="0"/>
          <c:showPercent val="0"/>
          <c:showBubbleSize val="0"/>
        </c:dLbls>
        <c:gapWidth val="219"/>
        <c:overlap val="-27"/>
        <c:axId val="131246336"/>
        <c:axId val="131256320"/>
      </c:barChart>
      <c:catAx>
        <c:axId val="131246336"/>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1256320"/>
        <c:crosses val="autoZero"/>
        <c:auto val="1"/>
        <c:lblAlgn val="ctr"/>
        <c:lblOffset val="100"/>
        <c:noMultiLvlLbl val="0"/>
      </c:catAx>
      <c:valAx>
        <c:axId val="131256320"/>
        <c:scaling>
          <c:orientation val="minMax"/>
        </c:scaling>
        <c:delete val="0"/>
        <c:axPos val="l"/>
        <c:majorGridlines>
          <c:spPr>
            <a:ln w="9525" cap="flat" cmpd="sng" algn="ctr">
              <a:solidFill>
                <a:schemeClr val="tx1">
                  <a:lumMod val="15000"/>
                  <a:lumOff val="85000"/>
                </a:schemeClr>
              </a:solidFill>
              <a:round/>
            </a:ln>
            <a:effectLst/>
          </c:spPr>
        </c:majorGridlines>
        <c:numFmt formatCode="&quot;£&quot;#,##0_);[Red]\(&quot;£&quot;#,##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124633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userShapes r:id="rId2"/>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Arial" panose="020B0604020202020204" pitchFamily="34" charset="0"/>
                <a:ea typeface="+mn-ea"/>
                <a:cs typeface="Arial" panose="020B0604020202020204" pitchFamily="34" charset="0"/>
              </a:defRPr>
            </a:pPr>
            <a:r>
              <a:rPr lang="en-GB"/>
              <a:t>Equity</a:t>
            </a:r>
          </a:p>
        </c:rich>
      </c:tx>
      <c:overlay val="0"/>
      <c:spPr>
        <a:noFill/>
        <a:ln>
          <a:noFill/>
        </a:ln>
        <a:effectLst/>
      </c:spPr>
    </c:title>
    <c:autoTitleDeleted val="0"/>
    <c:plotArea>
      <c:layout/>
      <c:barChart>
        <c:barDir val="col"/>
        <c:grouping val="clustered"/>
        <c:varyColors val="0"/>
        <c:ser>
          <c:idx val="0"/>
          <c:order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trendline>
            <c:spPr>
              <a:ln w="9525" cap="rnd">
                <a:solidFill>
                  <a:schemeClr val="accent1"/>
                </a:solidFill>
              </a:ln>
              <a:effectLst/>
            </c:spPr>
            <c:trendlineType val="linear"/>
            <c:dispRSqr val="0"/>
            <c:dispEq val="0"/>
          </c:trendline>
          <c:val>
            <c:numRef>
              <c:f>Sheet9!$E$2:$G$2</c:f>
              <c:numCache>
                <c:formatCode>"£"#,##0_);[Red]\("£"#,##0\)</c:formatCode>
                <c:ptCount val="3"/>
                <c:pt idx="0">
                  <c:v>2200000</c:v>
                </c:pt>
                <c:pt idx="1">
                  <c:v>1830000</c:v>
                </c:pt>
                <c:pt idx="2">
                  <c:v>1380000</c:v>
                </c:pt>
              </c:numCache>
            </c:numRef>
          </c:val>
          <c:extLst xmlns:c16r2="http://schemas.microsoft.com/office/drawing/2015/06/chart">
            <c:ext xmlns:c16="http://schemas.microsoft.com/office/drawing/2014/chart" uri="{C3380CC4-5D6E-409C-BE32-E72D297353CC}">
              <c16:uniqueId val="{00000000-6DEF-45E7-97E6-BA83F6C5C321}"/>
            </c:ext>
          </c:extLst>
        </c:ser>
        <c:dLbls>
          <c:showLegendKey val="0"/>
          <c:showVal val="0"/>
          <c:showCatName val="0"/>
          <c:showSerName val="0"/>
          <c:showPercent val="0"/>
          <c:showBubbleSize val="0"/>
        </c:dLbls>
        <c:gapWidth val="100"/>
        <c:overlap val="-24"/>
        <c:axId val="131273856"/>
        <c:axId val="131275392"/>
      </c:barChart>
      <c:catAx>
        <c:axId val="131273856"/>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Arial" panose="020B0604020202020204" pitchFamily="34" charset="0"/>
                <a:ea typeface="+mn-ea"/>
                <a:cs typeface="Arial" panose="020B0604020202020204" pitchFamily="34" charset="0"/>
              </a:defRPr>
            </a:pPr>
            <a:endParaRPr lang="en-US"/>
          </a:p>
        </c:txPr>
        <c:crossAx val="131275392"/>
        <c:crosses val="autoZero"/>
        <c:auto val="1"/>
        <c:lblAlgn val="ctr"/>
        <c:lblOffset val="100"/>
        <c:noMultiLvlLbl val="0"/>
      </c:catAx>
      <c:valAx>
        <c:axId val="131275392"/>
        <c:scaling>
          <c:orientation val="minMax"/>
        </c:scaling>
        <c:delete val="0"/>
        <c:axPos val="l"/>
        <c:majorGridlines>
          <c:spPr>
            <a:ln w="9525" cap="flat" cmpd="sng" algn="ctr">
              <a:solidFill>
                <a:schemeClr val="tx1">
                  <a:lumMod val="15000"/>
                  <a:lumOff val="85000"/>
                </a:schemeClr>
              </a:solidFill>
              <a:round/>
            </a:ln>
            <a:effectLst/>
          </c:spPr>
        </c:majorGridlines>
        <c:numFmt formatCode="&quot;£&quot;#,##0_);[Red]\(&quot;£&quot;#,##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Arial" panose="020B0604020202020204" pitchFamily="34" charset="0"/>
                <a:ea typeface="+mn-ea"/>
                <a:cs typeface="Arial" panose="020B0604020202020204" pitchFamily="34" charset="0"/>
              </a:defRPr>
            </a:pPr>
            <a:endParaRPr lang="en-US"/>
          </a:p>
        </c:txPr>
        <c:crossAx val="13127385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Arial" panose="020B0604020202020204" pitchFamily="34" charset="0"/>
          <a:cs typeface="Arial" panose="020B0604020202020204" pitchFamily="34" charset="0"/>
        </a:defRPr>
      </a:pPr>
      <a:endParaRPr lang="en-US"/>
    </a:p>
  </c:txPr>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98F03D0-D796-4D32-9509-FBBE914C6F2F}" type="doc">
      <dgm:prSet loTypeId="urn:microsoft.com/office/officeart/2005/8/layout/default" loCatId="list" qsTypeId="urn:microsoft.com/office/officeart/2005/8/quickstyle/3d3" qsCatId="3D" csTypeId="urn:microsoft.com/office/officeart/2005/8/colors/accent0_1" csCatId="mainScheme" phldr="1"/>
      <dgm:spPr/>
      <dgm:t>
        <a:bodyPr/>
        <a:lstStyle/>
        <a:p>
          <a:endParaRPr lang="en-US"/>
        </a:p>
      </dgm:t>
    </dgm:pt>
    <dgm:pt modelId="{01F9B5C2-7B8B-4C76-8622-BE7FE46CD7F6}">
      <dgm:prSet phldrT="[Text]" custT="1"/>
      <dgm:spPr/>
      <dgm:t>
        <a:bodyPr/>
        <a:lstStyle/>
        <a:p>
          <a:pPr algn="just"/>
          <a:r>
            <a:rPr lang="en-GB" sz="1200" b="1">
              <a:latin typeface="Arial" panose="020B0604020202020204" pitchFamily="34" charset="0"/>
              <a:cs typeface="Arial" panose="020B0604020202020204" pitchFamily="34" charset="0"/>
            </a:rPr>
            <a:t>Formula:</a:t>
          </a:r>
          <a:r>
            <a:rPr lang="en-GB" sz="1200">
              <a:latin typeface="Arial" panose="020B0604020202020204" pitchFamily="34" charset="0"/>
              <a:cs typeface="Arial" panose="020B0604020202020204" pitchFamily="34" charset="0"/>
            </a:rPr>
            <a:t> Profit Margin = (Net Income / Total Revenue) * 100</a:t>
          </a:r>
        </a:p>
        <a:p>
          <a:pPr algn="just"/>
          <a:r>
            <a:rPr lang="en-GB" sz="1200" b="1">
              <a:latin typeface="Arial" panose="020B0604020202020204" pitchFamily="34" charset="0"/>
              <a:cs typeface="Arial" panose="020B0604020202020204" pitchFamily="34" charset="0"/>
            </a:rPr>
            <a:t>2021:</a:t>
          </a:r>
          <a:r>
            <a:rPr lang="en-GB" sz="1200">
              <a:latin typeface="Arial" panose="020B0604020202020204" pitchFamily="34" charset="0"/>
              <a:cs typeface="Arial" panose="020B0604020202020204" pitchFamily="34" charset="0"/>
            </a:rPr>
            <a:t> (700,000 / 2,500,000) * 100 = 28%</a:t>
          </a:r>
        </a:p>
        <a:p>
          <a:pPr algn="just"/>
          <a:r>
            <a:rPr lang="en-GB" sz="1200" b="1">
              <a:latin typeface="Arial" panose="020B0604020202020204" pitchFamily="34" charset="0"/>
              <a:cs typeface="Arial" panose="020B0604020202020204" pitchFamily="34" charset="0"/>
            </a:rPr>
            <a:t>2022:</a:t>
          </a:r>
          <a:r>
            <a:rPr lang="en-GB" sz="1200">
              <a:latin typeface="Arial" panose="020B0604020202020204" pitchFamily="34" charset="0"/>
              <a:cs typeface="Arial" panose="020B0604020202020204" pitchFamily="34" charset="0"/>
            </a:rPr>
            <a:t> (200,000 / 2,200,000) * 100 = 9%</a:t>
          </a:r>
        </a:p>
        <a:p>
          <a:pPr algn="just"/>
          <a:r>
            <a:rPr lang="en-GB" sz="1200" b="1">
              <a:latin typeface="Arial" panose="020B0604020202020204" pitchFamily="34" charset="0"/>
              <a:cs typeface="Arial" panose="020B0604020202020204" pitchFamily="34" charset="0"/>
            </a:rPr>
            <a:t>2023:</a:t>
          </a:r>
          <a:r>
            <a:rPr lang="en-GB" sz="1200">
              <a:latin typeface="Arial" panose="020B0604020202020204" pitchFamily="34" charset="0"/>
              <a:cs typeface="Arial" panose="020B0604020202020204" pitchFamily="34" charset="0"/>
            </a:rPr>
            <a:t> (-500,000 / 1,800,000) * 100 = -27.8%</a:t>
          </a:r>
        </a:p>
        <a:p>
          <a:pPr algn="just"/>
          <a:endParaRPr lang="en-US" sz="1200">
            <a:latin typeface="Arial" panose="020B0604020202020204" pitchFamily="34" charset="0"/>
            <a:cs typeface="Arial" panose="020B0604020202020204" pitchFamily="34" charset="0"/>
          </a:endParaRPr>
        </a:p>
      </dgm:t>
    </dgm:pt>
    <dgm:pt modelId="{594E0ED9-CC83-4D10-8DF2-2FEE6B0F3957}" type="sibTrans" cxnId="{047AD5F5-57EF-498F-A317-7E7008469B76}">
      <dgm:prSet/>
      <dgm:spPr/>
      <dgm:t>
        <a:bodyPr/>
        <a:lstStyle/>
        <a:p>
          <a:endParaRPr lang="en-US"/>
        </a:p>
      </dgm:t>
    </dgm:pt>
    <dgm:pt modelId="{42662DDF-2369-42F0-82CD-5CA593E63264}" type="parTrans" cxnId="{047AD5F5-57EF-498F-A317-7E7008469B76}">
      <dgm:prSet/>
      <dgm:spPr/>
      <dgm:t>
        <a:bodyPr/>
        <a:lstStyle/>
        <a:p>
          <a:endParaRPr lang="en-US"/>
        </a:p>
      </dgm:t>
    </dgm:pt>
    <dgm:pt modelId="{17590C33-F157-4AE4-AB66-F8832727F332}" type="pres">
      <dgm:prSet presAssocID="{D98F03D0-D796-4D32-9509-FBBE914C6F2F}" presName="diagram" presStyleCnt="0">
        <dgm:presLayoutVars>
          <dgm:dir/>
          <dgm:resizeHandles val="exact"/>
        </dgm:presLayoutVars>
      </dgm:prSet>
      <dgm:spPr/>
      <dgm:t>
        <a:bodyPr/>
        <a:lstStyle/>
        <a:p>
          <a:endParaRPr lang="en-GB"/>
        </a:p>
      </dgm:t>
    </dgm:pt>
    <dgm:pt modelId="{E9D07C9D-9431-41E9-94E7-48043A1DA59D}" type="pres">
      <dgm:prSet presAssocID="{01F9B5C2-7B8B-4C76-8622-BE7FE46CD7F6}" presName="node" presStyleLbl="node1" presStyleIdx="0" presStyleCnt="1" custScaleX="253465" custLinFactNeighborX="-3344" custLinFactNeighborY="-9450">
        <dgm:presLayoutVars>
          <dgm:bulletEnabled val="1"/>
        </dgm:presLayoutVars>
      </dgm:prSet>
      <dgm:spPr/>
      <dgm:t>
        <a:bodyPr/>
        <a:lstStyle/>
        <a:p>
          <a:endParaRPr lang="en-GB"/>
        </a:p>
      </dgm:t>
    </dgm:pt>
  </dgm:ptLst>
  <dgm:cxnLst>
    <dgm:cxn modelId="{047AD5F5-57EF-498F-A317-7E7008469B76}" srcId="{D98F03D0-D796-4D32-9509-FBBE914C6F2F}" destId="{01F9B5C2-7B8B-4C76-8622-BE7FE46CD7F6}" srcOrd="0" destOrd="0" parTransId="{42662DDF-2369-42F0-82CD-5CA593E63264}" sibTransId="{594E0ED9-CC83-4D10-8DF2-2FEE6B0F3957}"/>
    <dgm:cxn modelId="{CBAA9FA2-0FDD-49C5-8224-3F56B22E0D39}" type="presOf" srcId="{D98F03D0-D796-4D32-9509-FBBE914C6F2F}" destId="{17590C33-F157-4AE4-AB66-F8832727F332}" srcOrd="0" destOrd="0" presId="urn:microsoft.com/office/officeart/2005/8/layout/default"/>
    <dgm:cxn modelId="{C896C886-2F2D-4BB0-8FEE-E9CEA757DC85}" type="presOf" srcId="{01F9B5C2-7B8B-4C76-8622-BE7FE46CD7F6}" destId="{E9D07C9D-9431-41E9-94E7-48043A1DA59D}" srcOrd="0" destOrd="0" presId="urn:microsoft.com/office/officeart/2005/8/layout/default"/>
    <dgm:cxn modelId="{1FFE4402-EAFA-41D1-B89C-406F98DE71D4}" type="presParOf" srcId="{17590C33-F157-4AE4-AB66-F8832727F332}" destId="{E9D07C9D-9431-41E9-94E7-48043A1DA59D}" srcOrd="0" destOrd="0" presId="urn:microsoft.com/office/officeart/2005/8/layout/default"/>
  </dgm:cxnLst>
  <dgm:bg/>
  <dgm:whole/>
  <dgm:extLst>
    <a:ext uri="http://schemas.microsoft.com/office/drawing/2008/diagram">
      <dsp:dataModelExt xmlns:dsp="http://schemas.microsoft.com/office/drawing/2008/diagram" relId="rId16" minVer="http://schemas.openxmlformats.org/drawingml/2006/diagram"/>
    </a:ext>
    <a:ext uri="{C62137D5-CB1D-491B-B009-E17868A290BF}">
      <dgm14:recolorImg xmlns:dgm14="http://schemas.microsoft.com/office/drawing/2010/diagram" val="1"/>
    </a:ext>
  </dgm:extLst>
</dgm:dataModel>
</file>

<file path=word/diagrams/data2.xml><?xml version="1.0" encoding="utf-8"?>
<dgm:dataModel xmlns:dgm="http://schemas.openxmlformats.org/drawingml/2006/diagram" xmlns:a="http://schemas.openxmlformats.org/drawingml/2006/main">
  <dgm:ptLst>
    <dgm:pt modelId="{D98F03D0-D796-4D32-9509-FBBE914C6F2F}" type="doc">
      <dgm:prSet loTypeId="urn:microsoft.com/office/officeart/2005/8/layout/default" loCatId="list" qsTypeId="urn:microsoft.com/office/officeart/2005/8/quickstyle/3d3" qsCatId="3D" csTypeId="urn:microsoft.com/office/officeart/2005/8/colors/accent0_1" csCatId="mainScheme" phldr="1"/>
      <dgm:spPr/>
      <dgm:t>
        <a:bodyPr/>
        <a:lstStyle/>
        <a:p>
          <a:endParaRPr lang="en-US"/>
        </a:p>
      </dgm:t>
    </dgm:pt>
    <dgm:pt modelId="{01F9B5C2-7B8B-4C76-8622-BE7FE46CD7F6}">
      <dgm:prSet phldrT="[Text]" custT="1"/>
      <dgm:spPr/>
      <dgm:t>
        <a:bodyPr/>
        <a:lstStyle/>
        <a:p>
          <a:pPr algn="just"/>
          <a:r>
            <a:rPr lang="en-GB" sz="1200" b="1">
              <a:latin typeface="Arial" panose="020B0604020202020204" pitchFamily="34" charset="0"/>
              <a:cs typeface="Arial" panose="020B0604020202020204" pitchFamily="34" charset="0"/>
            </a:rPr>
            <a:t>Formula:</a:t>
          </a:r>
          <a:r>
            <a:rPr lang="en-GB" sz="1200">
              <a:latin typeface="Arial" panose="020B0604020202020204" pitchFamily="34" charset="0"/>
              <a:cs typeface="Arial" panose="020B0604020202020204" pitchFamily="34" charset="0"/>
            </a:rPr>
            <a:t> Operating Margin = (Operating Income / Total Revenue) * 100</a:t>
          </a:r>
        </a:p>
        <a:p>
          <a:pPr algn="just"/>
          <a:r>
            <a:rPr lang="en-GB" sz="1200" b="1">
              <a:latin typeface="Arial" panose="020B0604020202020204" pitchFamily="34" charset="0"/>
              <a:cs typeface="Arial" panose="020B0604020202020204" pitchFamily="34" charset="0"/>
            </a:rPr>
            <a:t>2021:</a:t>
          </a:r>
          <a:r>
            <a:rPr lang="en-GB" sz="1200">
              <a:latin typeface="Arial" panose="020B0604020202020204" pitchFamily="34" charset="0"/>
              <a:cs typeface="Arial" panose="020B0604020202020204" pitchFamily="34" charset="0"/>
            </a:rPr>
            <a:t> (700,000 / 2,500,000) * 100 = 28%</a:t>
          </a:r>
        </a:p>
        <a:p>
          <a:pPr algn="just"/>
          <a:r>
            <a:rPr lang="en-GB" sz="1200" b="1">
              <a:latin typeface="Arial" panose="020B0604020202020204" pitchFamily="34" charset="0"/>
              <a:cs typeface="Arial" panose="020B0604020202020204" pitchFamily="34" charset="0"/>
            </a:rPr>
            <a:t>2022:</a:t>
          </a:r>
          <a:r>
            <a:rPr lang="en-GB" sz="1200">
              <a:latin typeface="Arial" panose="020B0604020202020204" pitchFamily="34" charset="0"/>
              <a:cs typeface="Arial" panose="020B0604020202020204" pitchFamily="34" charset="0"/>
            </a:rPr>
            <a:t> (200,000 / 2,200,000) * 100 = 9%</a:t>
          </a:r>
        </a:p>
        <a:p>
          <a:pPr algn="just"/>
          <a:r>
            <a:rPr lang="en-GB" sz="1200" b="1">
              <a:latin typeface="Arial" panose="020B0604020202020204" pitchFamily="34" charset="0"/>
              <a:cs typeface="Arial" panose="020B0604020202020204" pitchFamily="34" charset="0"/>
            </a:rPr>
            <a:t>2023:</a:t>
          </a:r>
          <a:r>
            <a:rPr lang="en-GB" sz="1200">
              <a:latin typeface="Arial" panose="020B0604020202020204" pitchFamily="34" charset="0"/>
              <a:cs typeface="Arial" panose="020B0604020202020204" pitchFamily="34" charset="0"/>
            </a:rPr>
            <a:t> (-500,000 / 1,800,000) * 100 = -27.8%</a:t>
          </a:r>
          <a:endParaRPr lang="en-US" sz="1200">
            <a:latin typeface="Arial" panose="020B0604020202020204" pitchFamily="34" charset="0"/>
            <a:cs typeface="Arial" panose="020B0604020202020204" pitchFamily="34" charset="0"/>
          </a:endParaRPr>
        </a:p>
      </dgm:t>
    </dgm:pt>
    <dgm:pt modelId="{594E0ED9-CC83-4D10-8DF2-2FEE6B0F3957}" type="sibTrans" cxnId="{047AD5F5-57EF-498F-A317-7E7008469B76}">
      <dgm:prSet/>
      <dgm:spPr/>
      <dgm:t>
        <a:bodyPr/>
        <a:lstStyle/>
        <a:p>
          <a:endParaRPr lang="en-US"/>
        </a:p>
      </dgm:t>
    </dgm:pt>
    <dgm:pt modelId="{42662DDF-2369-42F0-82CD-5CA593E63264}" type="parTrans" cxnId="{047AD5F5-57EF-498F-A317-7E7008469B76}">
      <dgm:prSet/>
      <dgm:spPr/>
      <dgm:t>
        <a:bodyPr/>
        <a:lstStyle/>
        <a:p>
          <a:endParaRPr lang="en-US"/>
        </a:p>
      </dgm:t>
    </dgm:pt>
    <dgm:pt modelId="{17590C33-F157-4AE4-AB66-F8832727F332}" type="pres">
      <dgm:prSet presAssocID="{D98F03D0-D796-4D32-9509-FBBE914C6F2F}" presName="diagram" presStyleCnt="0">
        <dgm:presLayoutVars>
          <dgm:dir/>
          <dgm:resizeHandles val="exact"/>
        </dgm:presLayoutVars>
      </dgm:prSet>
      <dgm:spPr/>
      <dgm:t>
        <a:bodyPr/>
        <a:lstStyle/>
        <a:p>
          <a:endParaRPr lang="en-GB"/>
        </a:p>
      </dgm:t>
    </dgm:pt>
    <dgm:pt modelId="{E9D07C9D-9431-41E9-94E7-48043A1DA59D}" type="pres">
      <dgm:prSet presAssocID="{01F9B5C2-7B8B-4C76-8622-BE7FE46CD7F6}" presName="node" presStyleLbl="node1" presStyleIdx="0" presStyleCnt="1" custScaleX="285635" custLinFactNeighborX="-3344" custLinFactNeighborY="-9450">
        <dgm:presLayoutVars>
          <dgm:bulletEnabled val="1"/>
        </dgm:presLayoutVars>
      </dgm:prSet>
      <dgm:spPr/>
      <dgm:t>
        <a:bodyPr/>
        <a:lstStyle/>
        <a:p>
          <a:endParaRPr lang="en-GB"/>
        </a:p>
      </dgm:t>
    </dgm:pt>
  </dgm:ptLst>
  <dgm:cxnLst>
    <dgm:cxn modelId="{047AD5F5-57EF-498F-A317-7E7008469B76}" srcId="{D98F03D0-D796-4D32-9509-FBBE914C6F2F}" destId="{01F9B5C2-7B8B-4C76-8622-BE7FE46CD7F6}" srcOrd="0" destOrd="0" parTransId="{42662DDF-2369-42F0-82CD-5CA593E63264}" sibTransId="{594E0ED9-CC83-4D10-8DF2-2FEE6B0F3957}"/>
    <dgm:cxn modelId="{00B9FC57-BD8E-42E8-8135-B0412C470BD3}" type="presOf" srcId="{01F9B5C2-7B8B-4C76-8622-BE7FE46CD7F6}" destId="{E9D07C9D-9431-41E9-94E7-48043A1DA59D}" srcOrd="0" destOrd="0" presId="urn:microsoft.com/office/officeart/2005/8/layout/default"/>
    <dgm:cxn modelId="{174CB529-9FFF-4B38-8507-96C36C19E2D5}" type="presOf" srcId="{D98F03D0-D796-4D32-9509-FBBE914C6F2F}" destId="{17590C33-F157-4AE4-AB66-F8832727F332}" srcOrd="0" destOrd="0" presId="urn:microsoft.com/office/officeart/2005/8/layout/default"/>
    <dgm:cxn modelId="{E51BB399-BF49-4DFE-AD0F-25867EEB5407}" type="presParOf" srcId="{17590C33-F157-4AE4-AB66-F8832727F332}" destId="{E9D07C9D-9431-41E9-94E7-48043A1DA59D}" srcOrd="0" destOrd="0" presId="urn:microsoft.com/office/officeart/2005/8/layout/default"/>
  </dgm:cxnLst>
  <dgm:bg/>
  <dgm:whole/>
  <dgm:extLst>
    <a:ext uri="http://schemas.microsoft.com/office/drawing/2008/diagram">
      <dsp:dataModelExt xmlns:dsp="http://schemas.microsoft.com/office/drawing/2008/diagram" relId="rId21" minVer="http://schemas.openxmlformats.org/drawingml/2006/diagram"/>
    </a:ext>
    <a:ext uri="{C62137D5-CB1D-491B-B009-E17868A290BF}">
      <dgm14:recolorImg xmlns:dgm14="http://schemas.microsoft.com/office/drawing/2010/diagram" val="1"/>
    </a:ext>
  </dgm:extLst>
</dgm:dataModel>
</file>

<file path=word/diagrams/data3.xml><?xml version="1.0" encoding="utf-8"?>
<dgm:dataModel xmlns:dgm="http://schemas.openxmlformats.org/drawingml/2006/diagram" xmlns:a="http://schemas.openxmlformats.org/drawingml/2006/main">
  <dgm:ptLst>
    <dgm:pt modelId="{C8DF6D06-E82E-4A7B-BC47-EA94F38F2556}" type="doc">
      <dgm:prSet loTypeId="urn:microsoft.com/office/officeart/2005/8/layout/default" loCatId="list" qsTypeId="urn:microsoft.com/office/officeart/2005/8/quickstyle/simple1" qsCatId="simple" csTypeId="urn:microsoft.com/office/officeart/2005/8/colors/accent0_1" csCatId="mainScheme" phldr="1"/>
      <dgm:spPr/>
      <dgm:t>
        <a:bodyPr/>
        <a:lstStyle/>
        <a:p>
          <a:endParaRPr lang="en-US"/>
        </a:p>
      </dgm:t>
    </dgm:pt>
    <mc:AlternateContent xmlns:mc="http://schemas.openxmlformats.org/markup-compatibility/2006" xmlns:a14="http://schemas.microsoft.com/office/drawing/2010/main">
      <mc:Choice Requires="a14">
        <dgm:pt modelId="{7A31AEF4-B4CF-441E-882E-DB98E3645859}">
          <dgm:prSet phldrT="[Text]" custT="1"/>
          <dgm:spPr/>
          <dgm:t>
            <a:bodyPr/>
            <a:lstStyle/>
            <a:p>
              <a:pPr algn="just"/>
              <a:r>
                <a:rPr lang="en-US" sz="1200">
                  <a:latin typeface="Arial" panose="020B0604020202020204" pitchFamily="34" charset="0"/>
                  <a:cs typeface="Arial" panose="020B0604020202020204" pitchFamily="34" charset="0"/>
                </a:rPr>
                <a:t>Formula: </a:t>
              </a:r>
            </a:p>
            <a:p>
              <a:pPr algn="just"/>
              <a:r>
                <a:rPr lang="en-US" sz="1200">
                  <a:latin typeface="Arial" panose="020B0604020202020204" pitchFamily="34" charset="0"/>
                  <a:cs typeface="Arial" panose="020B0604020202020204" pitchFamily="34" charset="0"/>
                </a:rPr>
                <a:t>Current Ratio</a:t>
              </a:r>
              <a14:m>
                <m:oMath xmlns:m="http://schemas.openxmlformats.org/officeDocument/2006/math">
                  <m:f>
                    <m:fPr>
                      <m:ctrlPr>
                        <a:rPr lang="en-US" sz="1200" i="1">
                          <a:latin typeface="Cambria Math"/>
                        </a:rPr>
                      </m:ctrlPr>
                    </m:fPr>
                    <m:num>
                      <m:r>
                        <a:rPr lang="en-GB" sz="1200" b="0" i="1">
                          <a:latin typeface="Cambria Math" panose="02040503050406030204" pitchFamily="18" charset="0"/>
                        </a:rPr>
                        <m:t>𝐶𝑢𝑟𝑟𝑒𝑛𝑡</m:t>
                      </m:r>
                      <m:r>
                        <a:rPr lang="en-GB" sz="1200" b="0" i="1">
                          <a:latin typeface="Cambria Math" panose="02040503050406030204" pitchFamily="18" charset="0"/>
                        </a:rPr>
                        <m:t> </m:t>
                      </m:r>
                      <m:r>
                        <a:rPr lang="en-GB" sz="1200" b="0" i="1">
                          <a:latin typeface="Cambria Math" panose="02040503050406030204" pitchFamily="18" charset="0"/>
                        </a:rPr>
                        <m:t>𝐴𝑠𝑠𝑒𝑡𝑠</m:t>
                      </m:r>
                    </m:num>
                    <m:den>
                      <m:r>
                        <m:rPr>
                          <m:sty m:val="p"/>
                        </m:rPr>
                        <a:rPr lang="en-US" sz="1200">
                          <a:latin typeface="Cambria Math"/>
                        </a:rPr>
                        <m:t>Current</m:t>
                      </m:r>
                      <m:r>
                        <a:rPr lang="en-US" sz="1200">
                          <a:latin typeface="Cambria Math"/>
                        </a:rPr>
                        <m:t> </m:t>
                      </m:r>
                      <m:r>
                        <m:rPr>
                          <m:sty m:val="p"/>
                        </m:rPr>
                        <a:rPr lang="en-US" sz="1200">
                          <a:latin typeface="Cambria Math"/>
                        </a:rPr>
                        <m:t>Liabilities</m:t>
                      </m:r>
                    </m:den>
                  </m:f>
                </m:oMath>
              </a14:m>
              <a:endParaRPr lang="en-US" sz="1200">
                <a:latin typeface="Arial" panose="020B0604020202020204" pitchFamily="34" charset="0"/>
                <a:cs typeface="Arial" panose="020B0604020202020204" pitchFamily="34" charset="0"/>
              </a:endParaRPr>
            </a:p>
            <a:p>
              <a:pPr algn="just"/>
              <a:r>
                <a:rPr lang="en-GB" sz="1200" b="1">
                  <a:latin typeface="Arial" panose="020B0604020202020204" pitchFamily="34" charset="0"/>
                  <a:cs typeface="Arial" panose="020B0604020202020204" pitchFamily="34" charset="0"/>
                </a:rPr>
                <a:t>2021:</a:t>
              </a:r>
            </a:p>
            <a:p>
              <a:pPr algn="just"/>
              <a:r>
                <a:rPr lang="en-GB" sz="1200" b="1">
                  <a:latin typeface="Arial" panose="020B0604020202020204" pitchFamily="34" charset="0"/>
                  <a:cs typeface="Arial" panose="020B0604020202020204" pitchFamily="34" charset="0"/>
                </a:rPr>
                <a:t>Current Assets:</a:t>
              </a:r>
              <a:endParaRPr lang="en-GB" sz="1200">
                <a:latin typeface="Arial" panose="020B0604020202020204" pitchFamily="34" charset="0"/>
                <a:cs typeface="Arial" panose="020B0604020202020204" pitchFamily="34" charset="0"/>
              </a:endParaRPr>
            </a:p>
            <a:p>
              <a:pPr algn="just"/>
              <a:r>
                <a:rPr lang="en-GB" sz="1200">
                  <a:latin typeface="Arial" panose="020B0604020202020204" pitchFamily="34" charset="0"/>
                  <a:cs typeface="Arial" panose="020B0604020202020204" pitchFamily="34" charset="0"/>
                </a:rPr>
                <a:t>Cash and Equivalents: £300,000</a:t>
              </a:r>
            </a:p>
            <a:p>
              <a:pPr algn="just"/>
              <a:r>
                <a:rPr lang="en-GB" sz="1200">
                  <a:latin typeface="Arial" panose="020B0604020202020204" pitchFamily="34" charset="0"/>
                  <a:cs typeface="Arial" panose="020B0604020202020204" pitchFamily="34" charset="0"/>
                </a:rPr>
                <a:t>Accounts Receivable: £150,000</a:t>
              </a:r>
            </a:p>
            <a:p>
              <a:pPr algn="just"/>
              <a:r>
                <a:rPr lang="en-GB" sz="1200">
                  <a:latin typeface="Arial" panose="020B0604020202020204" pitchFamily="34" charset="0"/>
                  <a:cs typeface="Arial" panose="020B0604020202020204" pitchFamily="34" charset="0"/>
                </a:rPr>
                <a:t>Total Current Assets: £300,000 + £150,000 = £450,000</a:t>
              </a:r>
            </a:p>
            <a:p>
              <a:pPr algn="just"/>
              <a:r>
                <a:rPr lang="en-GB" sz="1200" b="1">
                  <a:latin typeface="Arial" panose="020B0604020202020204" pitchFamily="34" charset="0"/>
                  <a:cs typeface="Arial" panose="020B0604020202020204" pitchFamily="34" charset="0"/>
                </a:rPr>
                <a:t>Current Liabilities:</a:t>
              </a:r>
              <a:endParaRPr lang="en-GB" sz="1200">
                <a:latin typeface="Arial" panose="020B0604020202020204" pitchFamily="34" charset="0"/>
                <a:cs typeface="Arial" panose="020B0604020202020204" pitchFamily="34" charset="0"/>
              </a:endParaRPr>
            </a:p>
            <a:p>
              <a:pPr algn="just"/>
              <a:r>
                <a:rPr lang="en-GB" sz="1200">
                  <a:latin typeface="Arial" panose="020B0604020202020204" pitchFamily="34" charset="0"/>
                  <a:cs typeface="Arial" panose="020B0604020202020204" pitchFamily="34" charset="0"/>
                </a:rPr>
                <a:t>Accounts Payable: £250,000</a:t>
              </a:r>
            </a:p>
            <a:p>
              <a:pPr algn="just"/>
              <a:r>
                <a:rPr lang="en-US" sz="1200">
                  <a:latin typeface="Arial" panose="020B0604020202020204" pitchFamily="34" charset="0"/>
                  <a:cs typeface="Arial" panose="020B0604020202020204" pitchFamily="34" charset="0"/>
                </a:rPr>
                <a:t>Current Ratio 2021= </a:t>
              </a:r>
              <a14:m>
                <m:oMath xmlns:m="http://schemas.openxmlformats.org/officeDocument/2006/math">
                  <m:f>
                    <m:fPr>
                      <m:ctrlPr>
                        <a:rPr lang="en-US" sz="1200" i="1">
                          <a:latin typeface="Cambria Math"/>
                        </a:rPr>
                      </m:ctrlPr>
                    </m:fPr>
                    <m:num>
                      <m:r>
                        <a:rPr lang="en-GB" sz="1200">
                          <a:latin typeface="Cambria Math"/>
                          <a:cs typeface="Arial" panose="020B0604020202020204" pitchFamily="34" charset="0"/>
                        </a:rPr>
                        <m:t>£450,000</m:t>
                      </m:r>
                    </m:num>
                    <m:den>
                      <m:r>
                        <a:rPr lang="en-GB" sz="1200">
                          <a:latin typeface="Cambria Math"/>
                        </a:rPr>
                        <m:t>£250,000</m:t>
                      </m:r>
                    </m:den>
                  </m:f>
                </m:oMath>
              </a14:m>
              <a:r>
                <a:rPr lang="en-GB" sz="1200">
                  <a:latin typeface="Arial" panose="020B0604020202020204" pitchFamily="34" charset="0"/>
                  <a:cs typeface="Arial" panose="020B0604020202020204" pitchFamily="34" charset="0"/>
                </a:rPr>
                <a:t> = 1.8</a:t>
              </a:r>
            </a:p>
            <a:p>
              <a:pPr algn="just"/>
              <a:r>
                <a:rPr lang="en-GB" sz="1200" b="1">
                  <a:latin typeface="Arial" panose="020B0604020202020204" pitchFamily="34" charset="0"/>
                  <a:cs typeface="Arial" panose="020B0604020202020204" pitchFamily="34" charset="0"/>
                </a:rPr>
                <a:t>2022:</a:t>
              </a:r>
            </a:p>
            <a:p>
              <a:pPr algn="just"/>
              <a:r>
                <a:rPr lang="en-GB" sz="1200" b="1">
                  <a:latin typeface="Arial" panose="020B0604020202020204" pitchFamily="34" charset="0"/>
                  <a:cs typeface="Arial" panose="020B0604020202020204" pitchFamily="34" charset="0"/>
                </a:rPr>
                <a:t>Current Assets:</a:t>
              </a:r>
              <a:endParaRPr lang="en-GB" sz="1200">
                <a:latin typeface="Arial" panose="020B0604020202020204" pitchFamily="34" charset="0"/>
                <a:cs typeface="Arial" panose="020B0604020202020204" pitchFamily="34" charset="0"/>
              </a:endParaRPr>
            </a:p>
            <a:p>
              <a:pPr algn="just"/>
              <a:r>
                <a:rPr lang="en-GB" sz="1200">
                  <a:latin typeface="Arial" panose="020B0604020202020204" pitchFamily="34" charset="0"/>
                  <a:cs typeface="Arial" panose="020B0604020202020204" pitchFamily="34" charset="0"/>
                </a:rPr>
                <a:t>Cash and Equivalents: £200,000</a:t>
              </a:r>
            </a:p>
            <a:p>
              <a:pPr algn="just"/>
              <a:r>
                <a:rPr lang="en-GB" sz="1200">
                  <a:latin typeface="Arial" panose="020B0604020202020204" pitchFamily="34" charset="0"/>
                  <a:cs typeface="Arial" panose="020B0604020202020204" pitchFamily="34" charset="0"/>
                </a:rPr>
                <a:t>Accounts Receivable: £100,000</a:t>
              </a:r>
            </a:p>
            <a:p>
              <a:pPr algn="just"/>
              <a:r>
                <a:rPr lang="en-GB" sz="1200">
                  <a:latin typeface="Arial" panose="020B0604020202020204" pitchFamily="34" charset="0"/>
                  <a:cs typeface="Arial" panose="020B0604020202020204" pitchFamily="34" charset="0"/>
                </a:rPr>
                <a:t>Total Current Assets: £200,000 + £100,000 = £300,000</a:t>
              </a:r>
            </a:p>
            <a:p>
              <a:pPr algn="just"/>
              <a:r>
                <a:rPr lang="en-GB" sz="1200" b="1">
                  <a:latin typeface="Arial" panose="020B0604020202020204" pitchFamily="34" charset="0"/>
                  <a:cs typeface="Arial" panose="020B0604020202020204" pitchFamily="34" charset="0"/>
                </a:rPr>
                <a:t>Current Liabilities:</a:t>
              </a:r>
              <a:endParaRPr lang="en-GB" sz="1200">
                <a:latin typeface="Arial" panose="020B0604020202020204" pitchFamily="34" charset="0"/>
                <a:cs typeface="Arial" panose="020B0604020202020204" pitchFamily="34" charset="0"/>
              </a:endParaRPr>
            </a:p>
            <a:p>
              <a:pPr algn="just"/>
              <a:r>
                <a:rPr lang="en-GB" sz="1200">
                  <a:latin typeface="Arial" panose="020B0604020202020204" pitchFamily="34" charset="0"/>
                  <a:cs typeface="Arial" panose="020B0604020202020204" pitchFamily="34" charset="0"/>
                </a:rPr>
                <a:t>Accounts Payable: £270,000</a:t>
              </a:r>
            </a:p>
            <a:p>
              <a:pPr algn="just"/>
              <a:r>
                <a:rPr lang="en-US" sz="1200">
                  <a:latin typeface="Arial" panose="020B0604020202020204" pitchFamily="34" charset="0"/>
                  <a:cs typeface="Arial" panose="020B0604020202020204" pitchFamily="34" charset="0"/>
                </a:rPr>
                <a:t>Current Ratio 2022= </a:t>
              </a:r>
              <a14:m>
                <m:oMath xmlns:m="http://schemas.openxmlformats.org/officeDocument/2006/math">
                  <m:f>
                    <m:fPr>
                      <m:ctrlPr>
                        <a:rPr lang="en-US" sz="1200" i="1">
                          <a:latin typeface="Cambria Math"/>
                        </a:rPr>
                      </m:ctrlPr>
                    </m:fPr>
                    <m:num>
                      <m:r>
                        <a:rPr lang="en-GB" sz="1200">
                          <a:latin typeface="Cambria Math" panose="02040503050406030204" pitchFamily="18" charset="0"/>
                          <a:cs typeface="Arial" panose="020B0604020202020204" pitchFamily="34" charset="0"/>
                        </a:rPr>
                        <m:t>£</m:t>
                      </m:r>
                      <m:r>
                        <a:rPr lang="en-GB" sz="1200" b="0" i="0">
                          <a:latin typeface="Cambria Math" panose="02040503050406030204" pitchFamily="18" charset="0"/>
                          <a:cs typeface="Arial" panose="020B0604020202020204" pitchFamily="34" charset="0"/>
                        </a:rPr>
                        <m:t>30</m:t>
                      </m:r>
                      <m:r>
                        <a:rPr lang="en-GB" sz="1200">
                          <a:latin typeface="Cambria Math" panose="02040503050406030204" pitchFamily="18" charset="0"/>
                          <a:cs typeface="Arial" panose="020B0604020202020204" pitchFamily="34" charset="0"/>
                        </a:rPr>
                        <m:t>0,000</m:t>
                      </m:r>
                    </m:num>
                    <m:den>
                      <m:r>
                        <a:rPr lang="en-GB" sz="1200">
                          <a:latin typeface="Cambria Math" panose="02040503050406030204" pitchFamily="18" charset="0"/>
                        </a:rPr>
                        <m:t>£2</m:t>
                      </m:r>
                      <m:r>
                        <a:rPr lang="en-GB" sz="1200" b="0" i="0">
                          <a:latin typeface="Cambria Math" panose="02040503050406030204" pitchFamily="18" charset="0"/>
                        </a:rPr>
                        <m:t>7</m:t>
                      </m:r>
                      <m:r>
                        <a:rPr lang="en-GB" sz="1200">
                          <a:latin typeface="Cambria Math" panose="02040503050406030204" pitchFamily="18" charset="0"/>
                        </a:rPr>
                        <m:t>0,000</m:t>
                      </m:r>
                    </m:den>
                  </m:f>
                </m:oMath>
              </a14:m>
              <a:r>
                <a:rPr lang="en-GB" sz="1200">
                  <a:latin typeface="Arial" panose="020B0604020202020204" pitchFamily="34" charset="0"/>
                  <a:cs typeface="Arial" panose="020B0604020202020204" pitchFamily="34" charset="0"/>
                </a:rPr>
                <a:t> = 1.11</a:t>
              </a:r>
            </a:p>
            <a:p>
              <a:pPr algn="just"/>
              <a:r>
                <a:rPr lang="en-GB" sz="1200" b="1">
                  <a:latin typeface="Arial" panose="020B0604020202020204" pitchFamily="34" charset="0"/>
                  <a:cs typeface="Arial" panose="020B0604020202020204" pitchFamily="34" charset="0"/>
                </a:rPr>
                <a:t>2023:</a:t>
              </a:r>
            </a:p>
            <a:p>
              <a:pPr algn="just"/>
              <a:r>
                <a:rPr lang="en-GB" sz="1200" b="1">
                  <a:latin typeface="Arial" panose="020B0604020202020204" pitchFamily="34" charset="0"/>
                  <a:cs typeface="Arial" panose="020B0604020202020204" pitchFamily="34" charset="0"/>
                </a:rPr>
                <a:t>Current Assets:</a:t>
              </a:r>
              <a:endParaRPr lang="en-GB" sz="1200">
                <a:latin typeface="Arial" panose="020B0604020202020204" pitchFamily="34" charset="0"/>
                <a:cs typeface="Arial" panose="020B0604020202020204" pitchFamily="34" charset="0"/>
              </a:endParaRPr>
            </a:p>
            <a:p>
              <a:pPr algn="just"/>
              <a:r>
                <a:rPr lang="en-GB" sz="1200">
                  <a:latin typeface="Arial" panose="020B0604020202020204" pitchFamily="34" charset="0"/>
                  <a:cs typeface="Arial" panose="020B0604020202020204" pitchFamily="34" charset="0"/>
                </a:rPr>
                <a:t>Cash and Equivalents: £100,000</a:t>
              </a:r>
            </a:p>
            <a:p>
              <a:pPr algn="just"/>
              <a:r>
                <a:rPr lang="en-GB" sz="1200">
                  <a:latin typeface="Arial" panose="020B0604020202020204" pitchFamily="34" charset="0"/>
                  <a:cs typeface="Arial" panose="020B0604020202020204" pitchFamily="34" charset="0"/>
                </a:rPr>
                <a:t>Accounts Receivable: £80,000</a:t>
              </a:r>
            </a:p>
            <a:p>
              <a:pPr algn="just"/>
              <a:r>
                <a:rPr lang="en-GB" sz="1200">
                  <a:latin typeface="Arial" panose="020B0604020202020204" pitchFamily="34" charset="0"/>
                  <a:cs typeface="Arial" panose="020B0604020202020204" pitchFamily="34" charset="0"/>
                </a:rPr>
                <a:t>Total Current Assets: £100,000 + £80,000 = £180,000</a:t>
              </a:r>
            </a:p>
            <a:p>
              <a:pPr algn="just"/>
              <a:r>
                <a:rPr lang="en-GB" sz="1200" b="1">
                  <a:latin typeface="Arial" panose="020B0604020202020204" pitchFamily="34" charset="0"/>
                  <a:cs typeface="Arial" panose="020B0604020202020204" pitchFamily="34" charset="0"/>
                </a:rPr>
                <a:t>Current Liabilities:</a:t>
              </a:r>
              <a:endParaRPr lang="en-GB" sz="1200">
                <a:latin typeface="Arial" panose="020B0604020202020204" pitchFamily="34" charset="0"/>
                <a:cs typeface="Arial" panose="020B0604020202020204" pitchFamily="34" charset="0"/>
              </a:endParaRPr>
            </a:p>
            <a:p>
              <a:pPr algn="just"/>
              <a:r>
                <a:rPr lang="en-GB" sz="1200">
                  <a:latin typeface="Arial" panose="020B0604020202020204" pitchFamily="34" charset="0"/>
                  <a:cs typeface="Arial" panose="020B0604020202020204" pitchFamily="34" charset="0"/>
                </a:rPr>
                <a:t>Accounts Payable: £300,000</a:t>
              </a:r>
            </a:p>
            <a:p>
              <a:pPr algn="just"/>
              <a:r>
                <a:rPr lang="en-US" sz="1200">
                  <a:latin typeface="Arial" panose="020B0604020202020204" pitchFamily="34" charset="0"/>
                  <a:cs typeface="Arial" panose="020B0604020202020204" pitchFamily="34" charset="0"/>
                </a:rPr>
                <a:t>Current Ratio 2023= </a:t>
              </a:r>
              <a14:m>
                <m:oMath xmlns:m="http://schemas.openxmlformats.org/officeDocument/2006/math">
                  <m:f>
                    <m:fPr>
                      <m:ctrlPr>
                        <a:rPr lang="en-US" sz="1200" i="1">
                          <a:latin typeface="Cambria Math"/>
                        </a:rPr>
                      </m:ctrlPr>
                    </m:fPr>
                    <m:num>
                      <m:r>
                        <a:rPr lang="en-GB" sz="1200">
                          <a:latin typeface="Cambria Math" panose="02040503050406030204" pitchFamily="18" charset="0"/>
                          <a:cs typeface="Arial" panose="020B0604020202020204" pitchFamily="34" charset="0"/>
                        </a:rPr>
                        <m:t>£</m:t>
                      </m:r>
                      <m:r>
                        <a:rPr lang="en-GB" sz="1200" b="0" i="0">
                          <a:latin typeface="Cambria Math" panose="02040503050406030204" pitchFamily="18" charset="0"/>
                          <a:cs typeface="Arial" panose="020B0604020202020204" pitchFamily="34" charset="0"/>
                        </a:rPr>
                        <m:t>18</m:t>
                      </m:r>
                      <m:r>
                        <a:rPr lang="en-GB" sz="1200">
                          <a:latin typeface="Cambria Math" panose="02040503050406030204" pitchFamily="18" charset="0"/>
                          <a:cs typeface="Arial" panose="020B0604020202020204" pitchFamily="34" charset="0"/>
                        </a:rPr>
                        <m:t>0,000</m:t>
                      </m:r>
                    </m:num>
                    <m:den>
                      <m:r>
                        <a:rPr lang="en-GB" sz="1200">
                          <a:latin typeface="Cambria Math" panose="02040503050406030204" pitchFamily="18" charset="0"/>
                        </a:rPr>
                        <m:t>£</m:t>
                      </m:r>
                      <m:r>
                        <a:rPr lang="en-GB" sz="1200" b="0" i="0">
                          <a:latin typeface="Cambria Math" panose="02040503050406030204" pitchFamily="18" charset="0"/>
                        </a:rPr>
                        <m:t>30</m:t>
                      </m:r>
                      <m:r>
                        <a:rPr lang="en-GB" sz="1200">
                          <a:latin typeface="Cambria Math" panose="02040503050406030204" pitchFamily="18" charset="0"/>
                        </a:rPr>
                        <m:t>0,000</m:t>
                      </m:r>
                    </m:den>
                  </m:f>
                </m:oMath>
              </a14:m>
              <a:r>
                <a:rPr lang="en-GB" sz="1200">
                  <a:latin typeface="Arial" panose="020B0604020202020204" pitchFamily="34" charset="0"/>
                  <a:cs typeface="Arial" panose="020B0604020202020204" pitchFamily="34" charset="0"/>
                </a:rPr>
                <a:t> = 0.6</a:t>
              </a:r>
            </a:p>
            <a:p>
              <a:pPr algn="l"/>
              <a:r>
                <a:rPr lang="en-GB" sz="1200">
                  <a:latin typeface="Arial" panose="020B0604020202020204" pitchFamily="34" charset="0"/>
                  <a:cs typeface="Arial" panose="020B0604020202020204" pitchFamily="34" charset="0"/>
                </a:rPr>
                <a:t/>
              </a:r>
              <a:br>
                <a:rPr lang="en-GB" sz="1200">
                  <a:latin typeface="Arial" panose="020B0604020202020204" pitchFamily="34" charset="0"/>
                  <a:cs typeface="Arial" panose="020B0604020202020204" pitchFamily="34" charset="0"/>
                </a:rPr>
              </a:br>
              <a:r>
                <a:rPr lang="en-GB" sz="1200">
                  <a:latin typeface="Arial" panose="020B0604020202020204" pitchFamily="34" charset="0"/>
                  <a:cs typeface="Arial" panose="020B0604020202020204" pitchFamily="34" charset="0"/>
                </a:rPr>
                <a:t>The current ratio assesses the hotel's ability to meet short-term obligations with its short-term assets. Over three years, the current ratio decreased from 1.8 in 2021 to 0.6 in 2023. This falling trend suggests that the hotel's liquidity is deteriorating, meaning that it may struggle to meet its short-term liabilities as they become due. </a:t>
              </a:r>
              <a:br>
                <a:rPr lang="en-GB" sz="1200">
                  <a:latin typeface="Arial" panose="020B0604020202020204" pitchFamily="34" charset="0"/>
                  <a:cs typeface="Arial" panose="020B0604020202020204" pitchFamily="34" charset="0"/>
                </a:rPr>
              </a:br>
              <a:r>
                <a:rPr lang="en-GB" sz="1200">
                  <a:latin typeface="Arial" panose="020B0604020202020204" pitchFamily="34" charset="0"/>
                  <a:cs typeface="Arial" panose="020B0604020202020204" pitchFamily="34" charset="0"/>
                </a:rPr>
                <a:t/>
              </a:r>
              <a:br>
                <a:rPr lang="en-GB" sz="1200">
                  <a:latin typeface="Arial" panose="020B0604020202020204" pitchFamily="34" charset="0"/>
                  <a:cs typeface="Arial" panose="020B0604020202020204" pitchFamily="34" charset="0"/>
                </a:rPr>
              </a:br>
              <a:endParaRPr lang="en-GB" sz="1200">
                <a:latin typeface="Arial" panose="020B0604020202020204" pitchFamily="34" charset="0"/>
                <a:cs typeface="Arial" panose="020B0604020202020204" pitchFamily="34" charset="0"/>
              </a:endParaRPr>
            </a:p>
            <a:p>
              <a:pPr algn="just"/>
              <a:endParaRPr lang="en-GB" sz="1200">
                <a:latin typeface="Arial" panose="020B0604020202020204" pitchFamily="34" charset="0"/>
                <a:cs typeface="Arial" panose="020B0604020202020204" pitchFamily="34" charset="0"/>
              </a:endParaRPr>
            </a:p>
          </dgm:t>
        </dgm:pt>
      </mc:Choice>
      <mc:Fallback xmlns="">
        <dgm:pt modelId="{7A31AEF4-B4CF-441E-882E-DB98E3645859}">
          <dgm:prSet phldrT="[Text]" custT="1"/>
          <dgm:spPr/>
          <dgm:t>
            <a:bodyPr/>
            <a:lstStyle/>
            <a:p>
              <a:pPr algn="just"/>
              <a:r>
                <a:rPr lang="en-US" sz="1200">
                  <a:latin typeface="Arial" panose="020B0604020202020204" pitchFamily="34" charset="0"/>
                  <a:cs typeface="Arial" panose="020B0604020202020204" pitchFamily="34" charset="0"/>
                </a:rPr>
                <a:t>Formula: </a:t>
              </a:r>
            </a:p>
            <a:p>
              <a:pPr algn="just"/>
              <a:r>
                <a:rPr lang="en-US" sz="1200">
                  <a:latin typeface="Arial" panose="020B0604020202020204" pitchFamily="34" charset="0"/>
                  <a:cs typeface="Arial" panose="020B0604020202020204" pitchFamily="34" charset="0"/>
                </a:rPr>
                <a:t>Current Ratio</a:t>
              </a:r>
              <a:r>
                <a:rPr lang="en-US" sz="1200" i="0">
                  <a:latin typeface="Cambria Math" panose="02040503050406030204" pitchFamily="18" charset="0"/>
                </a:rPr>
                <a:t>(</a:t>
              </a:r>
              <a:r>
                <a:rPr lang="en-GB" sz="1200" b="0" i="0">
                  <a:latin typeface="Cambria Math" panose="02040503050406030204" pitchFamily="18" charset="0"/>
                </a:rPr>
                <a:t>𝐶𝑢𝑟𝑟𝑒𝑛𝑡 𝐴𝑠𝑠𝑒𝑡𝑠</a:t>
              </a:r>
              <a:r>
                <a:rPr lang="en-US" sz="1200" b="0" i="0">
                  <a:latin typeface="Cambria Math" panose="02040503050406030204" pitchFamily="18" charset="0"/>
                </a:rPr>
                <a:t>)/(</a:t>
              </a:r>
              <a:r>
                <a:rPr lang="en-US" sz="1200" i="0"/>
                <a:t>Current Liabilities</a:t>
              </a:r>
              <a:r>
                <a:rPr lang="en-US" sz="1200" i="0">
                  <a:latin typeface="Cambria Math" panose="02040503050406030204" pitchFamily="18" charset="0"/>
                </a:rPr>
                <a:t>)</a:t>
              </a:r>
              <a:endParaRPr lang="en-US" sz="1200">
                <a:latin typeface="Arial" panose="020B0604020202020204" pitchFamily="34" charset="0"/>
                <a:cs typeface="Arial" panose="020B0604020202020204" pitchFamily="34" charset="0"/>
              </a:endParaRPr>
            </a:p>
            <a:p>
              <a:pPr algn="just"/>
              <a:r>
                <a:rPr lang="en-GB" sz="1200" b="1">
                  <a:latin typeface="Arial" panose="020B0604020202020204" pitchFamily="34" charset="0"/>
                  <a:cs typeface="Arial" panose="020B0604020202020204" pitchFamily="34" charset="0"/>
                </a:rPr>
                <a:t>2021:</a:t>
              </a:r>
            </a:p>
            <a:p>
              <a:pPr algn="just"/>
              <a:r>
                <a:rPr lang="en-GB" sz="1200" b="1">
                  <a:latin typeface="Arial" panose="020B0604020202020204" pitchFamily="34" charset="0"/>
                  <a:cs typeface="Arial" panose="020B0604020202020204" pitchFamily="34" charset="0"/>
                </a:rPr>
                <a:t>Current Assets:</a:t>
              </a:r>
              <a:endParaRPr lang="en-GB" sz="1200">
                <a:latin typeface="Arial" panose="020B0604020202020204" pitchFamily="34" charset="0"/>
                <a:cs typeface="Arial" panose="020B0604020202020204" pitchFamily="34" charset="0"/>
              </a:endParaRPr>
            </a:p>
            <a:p>
              <a:pPr algn="just"/>
              <a:r>
                <a:rPr lang="en-GB" sz="1200">
                  <a:latin typeface="Arial" panose="020B0604020202020204" pitchFamily="34" charset="0"/>
                  <a:cs typeface="Arial" panose="020B0604020202020204" pitchFamily="34" charset="0"/>
                </a:rPr>
                <a:t>Cash and Equivalents: £300,000</a:t>
              </a:r>
            </a:p>
            <a:p>
              <a:pPr algn="just"/>
              <a:r>
                <a:rPr lang="en-GB" sz="1200">
                  <a:latin typeface="Arial" panose="020B0604020202020204" pitchFamily="34" charset="0"/>
                  <a:cs typeface="Arial" panose="020B0604020202020204" pitchFamily="34" charset="0"/>
                </a:rPr>
                <a:t>Accounts Receivable: £150,000</a:t>
              </a:r>
            </a:p>
            <a:p>
              <a:pPr algn="just"/>
              <a:r>
                <a:rPr lang="en-GB" sz="1200">
                  <a:latin typeface="Arial" panose="020B0604020202020204" pitchFamily="34" charset="0"/>
                  <a:cs typeface="Arial" panose="020B0604020202020204" pitchFamily="34" charset="0"/>
                </a:rPr>
                <a:t>Total Current Assets: £300,000 + £150,000 = £450,000</a:t>
              </a:r>
            </a:p>
            <a:p>
              <a:pPr algn="just"/>
              <a:r>
                <a:rPr lang="en-GB" sz="1200" b="1">
                  <a:latin typeface="Arial" panose="020B0604020202020204" pitchFamily="34" charset="0"/>
                  <a:cs typeface="Arial" panose="020B0604020202020204" pitchFamily="34" charset="0"/>
                </a:rPr>
                <a:t>Current Liabilities:</a:t>
              </a:r>
              <a:endParaRPr lang="en-GB" sz="1200">
                <a:latin typeface="Arial" panose="020B0604020202020204" pitchFamily="34" charset="0"/>
                <a:cs typeface="Arial" panose="020B0604020202020204" pitchFamily="34" charset="0"/>
              </a:endParaRPr>
            </a:p>
            <a:p>
              <a:pPr algn="just"/>
              <a:r>
                <a:rPr lang="en-GB" sz="1200">
                  <a:latin typeface="Arial" panose="020B0604020202020204" pitchFamily="34" charset="0"/>
                  <a:cs typeface="Arial" panose="020B0604020202020204" pitchFamily="34" charset="0"/>
                </a:rPr>
                <a:t>Accounts Payable: £250,000</a:t>
              </a:r>
            </a:p>
            <a:p>
              <a:pPr algn="just"/>
              <a:r>
                <a:rPr lang="en-US" sz="1200">
                  <a:latin typeface="Arial" panose="020B0604020202020204" pitchFamily="34" charset="0"/>
                  <a:cs typeface="Arial" panose="020B0604020202020204" pitchFamily="34" charset="0"/>
                </a:rPr>
                <a:t>Current Ratio 2021= </a:t>
              </a:r>
              <a:r>
                <a:rPr lang="en-GB" sz="1200" i="0">
                  <a:latin typeface="Arial" panose="020B0604020202020204" pitchFamily="34" charset="0"/>
                  <a:cs typeface="Arial" panose="020B0604020202020204" pitchFamily="34" charset="0"/>
                </a:rPr>
                <a:t>£450,000</a:t>
              </a:r>
              <a:r>
                <a:rPr lang="en-US" sz="1200" i="0">
                  <a:latin typeface="Cambria Math" panose="02040503050406030204" pitchFamily="18" charset="0"/>
                  <a:cs typeface="Arial" panose="020B0604020202020204" pitchFamily="34" charset="0"/>
                </a:rPr>
                <a:t>/</a:t>
              </a:r>
              <a:r>
                <a:rPr lang="en-GB" sz="1200" i="0"/>
                <a:t>£250,000</a:t>
              </a:r>
              <a:r>
                <a:rPr lang="en-GB" sz="1200">
                  <a:latin typeface="Arial" panose="020B0604020202020204" pitchFamily="34" charset="0"/>
                  <a:cs typeface="Arial" panose="020B0604020202020204" pitchFamily="34" charset="0"/>
                </a:rPr>
                <a:t> = 1.8</a:t>
              </a:r>
            </a:p>
            <a:p>
              <a:pPr algn="just"/>
              <a:r>
                <a:rPr lang="en-GB" sz="1200" b="1">
                  <a:latin typeface="Arial" panose="020B0604020202020204" pitchFamily="34" charset="0"/>
                  <a:cs typeface="Arial" panose="020B0604020202020204" pitchFamily="34" charset="0"/>
                </a:rPr>
                <a:t>2022:</a:t>
              </a:r>
            </a:p>
            <a:p>
              <a:pPr algn="just"/>
              <a:r>
                <a:rPr lang="en-GB" sz="1200" b="1">
                  <a:latin typeface="Arial" panose="020B0604020202020204" pitchFamily="34" charset="0"/>
                  <a:cs typeface="Arial" panose="020B0604020202020204" pitchFamily="34" charset="0"/>
                </a:rPr>
                <a:t>Current Assets:</a:t>
              </a:r>
              <a:endParaRPr lang="en-GB" sz="1200">
                <a:latin typeface="Arial" panose="020B0604020202020204" pitchFamily="34" charset="0"/>
                <a:cs typeface="Arial" panose="020B0604020202020204" pitchFamily="34" charset="0"/>
              </a:endParaRPr>
            </a:p>
            <a:p>
              <a:pPr algn="just"/>
              <a:r>
                <a:rPr lang="en-GB" sz="1200">
                  <a:latin typeface="Arial" panose="020B0604020202020204" pitchFamily="34" charset="0"/>
                  <a:cs typeface="Arial" panose="020B0604020202020204" pitchFamily="34" charset="0"/>
                </a:rPr>
                <a:t>Cash and Equivalents: £200,000</a:t>
              </a:r>
            </a:p>
            <a:p>
              <a:pPr algn="just"/>
              <a:r>
                <a:rPr lang="en-GB" sz="1200">
                  <a:latin typeface="Arial" panose="020B0604020202020204" pitchFamily="34" charset="0"/>
                  <a:cs typeface="Arial" panose="020B0604020202020204" pitchFamily="34" charset="0"/>
                </a:rPr>
                <a:t>Accounts Receivable: £100,000</a:t>
              </a:r>
            </a:p>
            <a:p>
              <a:pPr algn="just"/>
              <a:r>
                <a:rPr lang="en-GB" sz="1200">
                  <a:latin typeface="Arial" panose="020B0604020202020204" pitchFamily="34" charset="0"/>
                  <a:cs typeface="Arial" panose="020B0604020202020204" pitchFamily="34" charset="0"/>
                </a:rPr>
                <a:t>Total Current Assets: £200,000 + £100,000 = £300,000</a:t>
              </a:r>
            </a:p>
            <a:p>
              <a:pPr algn="just"/>
              <a:r>
                <a:rPr lang="en-GB" sz="1200" b="1">
                  <a:latin typeface="Arial" panose="020B0604020202020204" pitchFamily="34" charset="0"/>
                  <a:cs typeface="Arial" panose="020B0604020202020204" pitchFamily="34" charset="0"/>
                </a:rPr>
                <a:t>Current Liabilities:</a:t>
              </a:r>
              <a:endParaRPr lang="en-GB" sz="1200">
                <a:latin typeface="Arial" panose="020B0604020202020204" pitchFamily="34" charset="0"/>
                <a:cs typeface="Arial" panose="020B0604020202020204" pitchFamily="34" charset="0"/>
              </a:endParaRPr>
            </a:p>
            <a:p>
              <a:pPr algn="just"/>
              <a:r>
                <a:rPr lang="en-GB" sz="1200">
                  <a:latin typeface="Arial" panose="020B0604020202020204" pitchFamily="34" charset="0"/>
                  <a:cs typeface="Arial" panose="020B0604020202020204" pitchFamily="34" charset="0"/>
                </a:rPr>
                <a:t>Accounts Payable: £270,000</a:t>
              </a:r>
            </a:p>
            <a:p>
              <a:pPr algn="just"/>
              <a:r>
                <a:rPr lang="en-US" sz="1200">
                  <a:latin typeface="Arial" panose="020B0604020202020204" pitchFamily="34" charset="0"/>
                  <a:cs typeface="Arial" panose="020B0604020202020204" pitchFamily="34" charset="0"/>
                </a:rPr>
                <a:t>Current Ratio 2022= </a:t>
              </a:r>
              <a:r>
                <a:rPr lang="en-GB" sz="1200" i="0">
                  <a:latin typeface="Cambria Math" panose="02040503050406030204" pitchFamily="18" charset="0"/>
                  <a:cs typeface="Arial" panose="020B0604020202020204" pitchFamily="34" charset="0"/>
                </a:rPr>
                <a:t>£</a:t>
              </a:r>
              <a:r>
                <a:rPr lang="en-GB" sz="1200" b="0" i="0">
                  <a:latin typeface="Cambria Math" panose="02040503050406030204" pitchFamily="18" charset="0"/>
                  <a:cs typeface="Arial" panose="020B0604020202020204" pitchFamily="34" charset="0"/>
                </a:rPr>
                <a:t>30</a:t>
              </a:r>
              <a:r>
                <a:rPr lang="en-GB" sz="1200" i="0">
                  <a:latin typeface="Cambria Math" panose="02040503050406030204" pitchFamily="18" charset="0"/>
                  <a:cs typeface="Arial" panose="020B0604020202020204" pitchFamily="34" charset="0"/>
                </a:rPr>
                <a:t>0,000</a:t>
              </a:r>
              <a:r>
                <a:rPr lang="en-US" sz="1200" i="0">
                  <a:latin typeface="Cambria Math" panose="02040503050406030204" pitchFamily="18" charset="0"/>
                  <a:cs typeface="Arial" panose="020B0604020202020204" pitchFamily="34" charset="0"/>
                </a:rPr>
                <a:t>/</a:t>
              </a:r>
              <a:r>
                <a:rPr lang="en-GB" sz="1200" i="0">
                  <a:latin typeface="Cambria Math" panose="02040503050406030204" pitchFamily="18" charset="0"/>
                </a:rPr>
                <a:t>£2</a:t>
              </a:r>
              <a:r>
                <a:rPr lang="en-GB" sz="1200" b="0" i="0">
                  <a:latin typeface="Cambria Math" panose="02040503050406030204" pitchFamily="18" charset="0"/>
                </a:rPr>
                <a:t>7</a:t>
              </a:r>
              <a:r>
                <a:rPr lang="en-GB" sz="1200" i="0">
                  <a:latin typeface="Cambria Math" panose="02040503050406030204" pitchFamily="18" charset="0"/>
                </a:rPr>
                <a:t>0,000</a:t>
              </a:r>
              <a:r>
                <a:rPr lang="en-GB" sz="1200">
                  <a:latin typeface="Arial" panose="020B0604020202020204" pitchFamily="34" charset="0"/>
                  <a:cs typeface="Arial" panose="020B0604020202020204" pitchFamily="34" charset="0"/>
                </a:rPr>
                <a:t> = 1.11</a:t>
              </a:r>
            </a:p>
            <a:p>
              <a:pPr algn="just"/>
              <a:r>
                <a:rPr lang="en-GB" sz="1200" b="1">
                  <a:latin typeface="Arial" panose="020B0604020202020204" pitchFamily="34" charset="0"/>
                  <a:cs typeface="Arial" panose="020B0604020202020204" pitchFamily="34" charset="0"/>
                </a:rPr>
                <a:t>2023:</a:t>
              </a:r>
            </a:p>
            <a:p>
              <a:pPr algn="just"/>
              <a:r>
                <a:rPr lang="en-GB" sz="1200" b="1">
                  <a:latin typeface="Arial" panose="020B0604020202020204" pitchFamily="34" charset="0"/>
                  <a:cs typeface="Arial" panose="020B0604020202020204" pitchFamily="34" charset="0"/>
                </a:rPr>
                <a:t>Current Assets:</a:t>
              </a:r>
              <a:endParaRPr lang="en-GB" sz="1200">
                <a:latin typeface="Arial" panose="020B0604020202020204" pitchFamily="34" charset="0"/>
                <a:cs typeface="Arial" panose="020B0604020202020204" pitchFamily="34" charset="0"/>
              </a:endParaRPr>
            </a:p>
            <a:p>
              <a:pPr algn="just"/>
              <a:r>
                <a:rPr lang="en-GB" sz="1200">
                  <a:latin typeface="Arial" panose="020B0604020202020204" pitchFamily="34" charset="0"/>
                  <a:cs typeface="Arial" panose="020B0604020202020204" pitchFamily="34" charset="0"/>
                </a:rPr>
                <a:t>Cash and Equivalents: £100,000</a:t>
              </a:r>
            </a:p>
            <a:p>
              <a:pPr algn="just"/>
              <a:r>
                <a:rPr lang="en-GB" sz="1200">
                  <a:latin typeface="Arial" panose="020B0604020202020204" pitchFamily="34" charset="0"/>
                  <a:cs typeface="Arial" panose="020B0604020202020204" pitchFamily="34" charset="0"/>
                </a:rPr>
                <a:t>Accounts Receivable: £80,000</a:t>
              </a:r>
            </a:p>
            <a:p>
              <a:pPr algn="just"/>
              <a:r>
                <a:rPr lang="en-GB" sz="1200">
                  <a:latin typeface="Arial" panose="020B0604020202020204" pitchFamily="34" charset="0"/>
                  <a:cs typeface="Arial" panose="020B0604020202020204" pitchFamily="34" charset="0"/>
                </a:rPr>
                <a:t>Total Current Assets: £100,000 + £80,000 = £180,000</a:t>
              </a:r>
            </a:p>
            <a:p>
              <a:pPr algn="just"/>
              <a:r>
                <a:rPr lang="en-GB" sz="1200" b="1">
                  <a:latin typeface="Arial" panose="020B0604020202020204" pitchFamily="34" charset="0"/>
                  <a:cs typeface="Arial" panose="020B0604020202020204" pitchFamily="34" charset="0"/>
                </a:rPr>
                <a:t>Current Liabilities:</a:t>
              </a:r>
              <a:endParaRPr lang="en-GB" sz="1200">
                <a:latin typeface="Arial" panose="020B0604020202020204" pitchFamily="34" charset="0"/>
                <a:cs typeface="Arial" panose="020B0604020202020204" pitchFamily="34" charset="0"/>
              </a:endParaRPr>
            </a:p>
            <a:p>
              <a:pPr algn="just"/>
              <a:r>
                <a:rPr lang="en-GB" sz="1200">
                  <a:latin typeface="Arial" panose="020B0604020202020204" pitchFamily="34" charset="0"/>
                  <a:cs typeface="Arial" panose="020B0604020202020204" pitchFamily="34" charset="0"/>
                </a:rPr>
                <a:t>Accounts Payable: £300,000</a:t>
              </a:r>
            </a:p>
            <a:p>
              <a:pPr algn="just"/>
              <a:r>
                <a:rPr lang="en-US" sz="1200">
                  <a:latin typeface="Arial" panose="020B0604020202020204" pitchFamily="34" charset="0"/>
                  <a:cs typeface="Arial" panose="020B0604020202020204" pitchFamily="34" charset="0"/>
                </a:rPr>
                <a:t>Current Ratio 2023= </a:t>
              </a:r>
              <a:r>
                <a:rPr lang="en-GB" sz="1200" i="0">
                  <a:latin typeface="Cambria Math" panose="02040503050406030204" pitchFamily="18" charset="0"/>
                  <a:cs typeface="Arial" panose="020B0604020202020204" pitchFamily="34" charset="0"/>
                </a:rPr>
                <a:t>£</a:t>
              </a:r>
              <a:r>
                <a:rPr lang="en-GB" sz="1200" b="0" i="0">
                  <a:latin typeface="Cambria Math" panose="02040503050406030204" pitchFamily="18" charset="0"/>
                  <a:cs typeface="Arial" panose="020B0604020202020204" pitchFamily="34" charset="0"/>
                </a:rPr>
                <a:t>18</a:t>
              </a:r>
              <a:r>
                <a:rPr lang="en-GB" sz="1200" i="0">
                  <a:latin typeface="Cambria Math" panose="02040503050406030204" pitchFamily="18" charset="0"/>
                  <a:cs typeface="Arial" panose="020B0604020202020204" pitchFamily="34" charset="0"/>
                </a:rPr>
                <a:t>0,000</a:t>
              </a:r>
              <a:r>
                <a:rPr lang="en-US" sz="1200" i="0">
                  <a:latin typeface="Cambria Math" panose="02040503050406030204" pitchFamily="18" charset="0"/>
                  <a:cs typeface="Arial" panose="020B0604020202020204" pitchFamily="34" charset="0"/>
                </a:rPr>
                <a:t>/</a:t>
              </a:r>
              <a:r>
                <a:rPr lang="en-GB" sz="1200" i="0">
                  <a:latin typeface="Cambria Math" panose="02040503050406030204" pitchFamily="18" charset="0"/>
                </a:rPr>
                <a:t>£</a:t>
              </a:r>
              <a:r>
                <a:rPr lang="en-GB" sz="1200" b="0" i="0">
                  <a:latin typeface="Cambria Math" panose="02040503050406030204" pitchFamily="18" charset="0"/>
                </a:rPr>
                <a:t>30</a:t>
              </a:r>
              <a:r>
                <a:rPr lang="en-GB" sz="1200" i="0">
                  <a:latin typeface="Cambria Math" panose="02040503050406030204" pitchFamily="18" charset="0"/>
                </a:rPr>
                <a:t>0,000</a:t>
              </a:r>
              <a:r>
                <a:rPr lang="en-GB" sz="1200">
                  <a:latin typeface="Arial" panose="020B0604020202020204" pitchFamily="34" charset="0"/>
                  <a:cs typeface="Arial" panose="020B0604020202020204" pitchFamily="34" charset="0"/>
                </a:rPr>
                <a:t> = 0.6</a:t>
              </a:r>
            </a:p>
            <a:p>
              <a:pPr algn="l"/>
              <a:r>
                <a:rPr lang="en-GB" sz="1200">
                  <a:latin typeface="Arial" panose="020B0604020202020204" pitchFamily="34" charset="0"/>
                  <a:cs typeface="Arial" panose="020B0604020202020204" pitchFamily="34" charset="0"/>
                </a:rPr>
                <a:t/>
              </a:r>
              <a:br>
                <a:rPr lang="en-GB" sz="1200">
                  <a:latin typeface="Arial" panose="020B0604020202020204" pitchFamily="34" charset="0"/>
                  <a:cs typeface="Arial" panose="020B0604020202020204" pitchFamily="34" charset="0"/>
                </a:rPr>
              </a:br>
              <a:r>
                <a:rPr lang="en-GB" sz="1200">
                  <a:latin typeface="Arial" panose="020B0604020202020204" pitchFamily="34" charset="0"/>
                  <a:cs typeface="Arial" panose="020B0604020202020204" pitchFamily="34" charset="0"/>
                </a:rPr>
                <a:t>The current ratio assesses the hotel's ability to meet short-term obligations with its short-term assets. Over three years, the current ratio decreased from 1.8 in 2021 to 0.6 in 2023. This falling trend suggests that the hotel's liquidity is deteriorating, meaning that it may struggle to meet its short-term liabilities as they become due. </a:t>
              </a:r>
              <a:br>
                <a:rPr lang="en-GB" sz="1200">
                  <a:latin typeface="Arial" panose="020B0604020202020204" pitchFamily="34" charset="0"/>
                  <a:cs typeface="Arial" panose="020B0604020202020204" pitchFamily="34" charset="0"/>
                </a:rPr>
              </a:br>
              <a:r>
                <a:rPr lang="en-GB" sz="1200">
                  <a:latin typeface="Arial" panose="020B0604020202020204" pitchFamily="34" charset="0"/>
                  <a:cs typeface="Arial" panose="020B0604020202020204" pitchFamily="34" charset="0"/>
                </a:rPr>
                <a:t/>
              </a:r>
              <a:br>
                <a:rPr lang="en-GB" sz="1200">
                  <a:latin typeface="Arial" panose="020B0604020202020204" pitchFamily="34" charset="0"/>
                  <a:cs typeface="Arial" panose="020B0604020202020204" pitchFamily="34" charset="0"/>
                </a:rPr>
              </a:br>
              <a:endParaRPr lang="en-GB" sz="1200">
                <a:latin typeface="Arial" panose="020B0604020202020204" pitchFamily="34" charset="0"/>
                <a:cs typeface="Arial" panose="020B0604020202020204" pitchFamily="34" charset="0"/>
              </a:endParaRPr>
            </a:p>
            <a:p>
              <a:pPr algn="just"/>
              <a:endParaRPr lang="en-GB" sz="1200">
                <a:latin typeface="Arial" panose="020B0604020202020204" pitchFamily="34" charset="0"/>
                <a:cs typeface="Arial" panose="020B0604020202020204" pitchFamily="34" charset="0"/>
              </a:endParaRPr>
            </a:p>
          </dgm:t>
        </dgm:pt>
      </mc:Fallback>
    </mc:AlternateContent>
    <dgm:pt modelId="{DB98F5D2-2D2E-482D-9A43-81629693911B}" type="parTrans" cxnId="{3F45BD05-4CB5-4865-9018-F6C71C506237}">
      <dgm:prSet/>
      <dgm:spPr/>
      <dgm:t>
        <a:bodyPr/>
        <a:lstStyle/>
        <a:p>
          <a:endParaRPr lang="en-US"/>
        </a:p>
      </dgm:t>
    </dgm:pt>
    <dgm:pt modelId="{6ADA5952-86C3-48C1-9C3A-90C30ADD1F0B}" type="sibTrans" cxnId="{3F45BD05-4CB5-4865-9018-F6C71C506237}">
      <dgm:prSet/>
      <dgm:spPr/>
      <dgm:t>
        <a:bodyPr/>
        <a:lstStyle/>
        <a:p>
          <a:endParaRPr lang="en-US"/>
        </a:p>
      </dgm:t>
    </dgm:pt>
    <dgm:pt modelId="{5DEEE0AE-4B26-4147-9B80-B65916866602}" type="pres">
      <dgm:prSet presAssocID="{C8DF6D06-E82E-4A7B-BC47-EA94F38F2556}" presName="diagram" presStyleCnt="0">
        <dgm:presLayoutVars>
          <dgm:dir/>
          <dgm:resizeHandles val="exact"/>
        </dgm:presLayoutVars>
      </dgm:prSet>
      <dgm:spPr/>
      <dgm:t>
        <a:bodyPr/>
        <a:lstStyle/>
        <a:p>
          <a:endParaRPr lang="en-GB"/>
        </a:p>
      </dgm:t>
    </dgm:pt>
    <dgm:pt modelId="{19C3E4A3-64B6-4489-9670-090E1541C720}" type="pres">
      <dgm:prSet presAssocID="{7A31AEF4-B4CF-441E-882E-DB98E3645859}" presName="node" presStyleLbl="node1" presStyleIdx="0" presStyleCnt="1" custScaleY="268317" custLinFactNeighborX="646" custLinFactNeighborY="-23634">
        <dgm:presLayoutVars>
          <dgm:bulletEnabled val="1"/>
        </dgm:presLayoutVars>
      </dgm:prSet>
      <dgm:spPr/>
      <dgm:t>
        <a:bodyPr/>
        <a:lstStyle/>
        <a:p>
          <a:endParaRPr lang="en-GB"/>
        </a:p>
      </dgm:t>
    </dgm:pt>
  </dgm:ptLst>
  <dgm:cxnLst>
    <dgm:cxn modelId="{3F45BD05-4CB5-4865-9018-F6C71C506237}" srcId="{C8DF6D06-E82E-4A7B-BC47-EA94F38F2556}" destId="{7A31AEF4-B4CF-441E-882E-DB98E3645859}" srcOrd="0" destOrd="0" parTransId="{DB98F5D2-2D2E-482D-9A43-81629693911B}" sibTransId="{6ADA5952-86C3-48C1-9C3A-90C30ADD1F0B}"/>
    <dgm:cxn modelId="{D308CE0A-9502-4460-B9C0-4A4A9C1C9200}" type="presOf" srcId="{C8DF6D06-E82E-4A7B-BC47-EA94F38F2556}" destId="{5DEEE0AE-4B26-4147-9B80-B65916866602}" srcOrd="0" destOrd="0" presId="urn:microsoft.com/office/officeart/2005/8/layout/default"/>
    <dgm:cxn modelId="{F4DA199D-D837-4218-8D89-2664C4A054E2}" type="presOf" srcId="{7A31AEF4-B4CF-441E-882E-DB98E3645859}" destId="{19C3E4A3-64B6-4489-9670-090E1541C720}" srcOrd="0" destOrd="0" presId="urn:microsoft.com/office/officeart/2005/8/layout/default"/>
    <dgm:cxn modelId="{228ABED5-DBC7-42E0-B092-C07CB5AD13F6}" type="presParOf" srcId="{5DEEE0AE-4B26-4147-9B80-B65916866602}" destId="{19C3E4A3-64B6-4489-9670-090E1541C720}" srcOrd="0" destOrd="0" presId="urn:microsoft.com/office/officeart/2005/8/layout/default"/>
  </dgm:cxnLst>
  <dgm:bg/>
  <dgm:whole/>
  <dgm:extLst>
    <a:ext uri="http://schemas.microsoft.com/office/drawing/2008/diagram">
      <dsp:dataModelExt xmlns:dsp="http://schemas.microsoft.com/office/drawing/2008/diagram" relId="rId31"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5C71233C-A9AD-4135-81EA-D429C0E7F46F}" type="doc">
      <dgm:prSet loTypeId="urn:microsoft.com/office/officeart/2005/8/layout/default" loCatId="list" qsTypeId="urn:microsoft.com/office/officeart/2005/8/quickstyle/simple1" qsCatId="simple" csTypeId="urn:microsoft.com/office/officeart/2005/8/colors/accent0_1" csCatId="mainScheme" phldr="1"/>
      <dgm:spPr/>
      <dgm:t>
        <a:bodyPr/>
        <a:lstStyle/>
        <a:p>
          <a:endParaRPr lang="en-US"/>
        </a:p>
      </dgm:t>
    </dgm:pt>
    <dgm:pt modelId="{9A8E0C77-645D-4C57-85E5-3CA29D3C8841}">
      <dgm:prSet phldrT="[Text]" custT="1"/>
      <dgm:spPr/>
      <dgm:t>
        <a:bodyPr/>
        <a:lstStyle/>
        <a:p>
          <a:pPr algn="just"/>
          <a:r>
            <a:rPr lang="en-GB" sz="1200" b="1">
              <a:latin typeface="Arial" panose="020B0604020202020204" pitchFamily="34" charset="0"/>
              <a:cs typeface="Arial" panose="020B0604020202020204" pitchFamily="34" charset="0"/>
            </a:rPr>
            <a:t>Formula:</a:t>
          </a:r>
          <a:r>
            <a:rPr lang="en-GB" sz="1200">
              <a:latin typeface="Arial" panose="020B0604020202020204" pitchFamily="34" charset="0"/>
              <a:cs typeface="Arial" panose="020B0604020202020204" pitchFamily="34" charset="0"/>
            </a:rPr>
            <a:t>Debt to Equity Ratio=Total Liabilities/Equity</a:t>
          </a:r>
        </a:p>
        <a:p>
          <a:pPr algn="just"/>
          <a:r>
            <a:rPr lang="en-GB" sz="1200">
              <a:latin typeface="Arial" panose="020B0604020202020204" pitchFamily="34" charset="0"/>
              <a:cs typeface="Arial" panose="020B0604020202020204" pitchFamily="34" charset="0"/>
            </a:rPr>
            <a:t>​</a:t>
          </a:r>
          <a:r>
            <a:rPr lang="en-GB" sz="1200" b="1">
              <a:latin typeface="Arial" panose="020B0604020202020204" pitchFamily="34" charset="0"/>
              <a:cs typeface="Arial" panose="020B0604020202020204" pitchFamily="34" charset="0"/>
            </a:rPr>
            <a:t>2021: </a:t>
          </a:r>
          <a:r>
            <a:rPr lang="en-GB" sz="1200">
              <a:latin typeface="Arial" panose="020B0604020202020204" pitchFamily="34" charset="0"/>
              <a:cs typeface="Arial" panose="020B0604020202020204" pitchFamily="34" charset="0"/>
            </a:rPr>
            <a:t>3,250,000​/2,200,000 ≈ 1.48</a:t>
          </a:r>
        </a:p>
        <a:p>
          <a:pPr algn="just"/>
          <a:r>
            <a:rPr lang="en-GB" sz="1200" b="1">
              <a:latin typeface="Arial" panose="020B0604020202020204" pitchFamily="34" charset="0"/>
              <a:cs typeface="Arial" panose="020B0604020202020204" pitchFamily="34" charset="0"/>
            </a:rPr>
            <a:t>2022: </a:t>
          </a:r>
          <a:r>
            <a:rPr lang="en-GB" sz="1200">
              <a:latin typeface="Arial" panose="020B0604020202020204" pitchFamily="34" charset="0"/>
              <a:cs typeface="Arial" panose="020B0604020202020204" pitchFamily="34" charset="0"/>
            </a:rPr>
            <a:t>3,270,000/ 1830,000 ≈ 1.79</a:t>
          </a:r>
        </a:p>
        <a:p>
          <a:pPr algn="just"/>
          <a:r>
            <a:rPr lang="en-GB" sz="1200" b="1">
              <a:latin typeface="Arial" panose="020B0604020202020204" pitchFamily="34" charset="0"/>
              <a:cs typeface="Arial" panose="020B0604020202020204" pitchFamily="34" charset="0"/>
            </a:rPr>
            <a:t>2023: </a:t>
          </a:r>
          <a:r>
            <a:rPr lang="en-GB" sz="1200">
              <a:latin typeface="Arial" panose="020B0604020202020204" pitchFamily="34" charset="0"/>
              <a:cs typeface="Arial" panose="020B0604020202020204" pitchFamily="34" charset="0"/>
            </a:rPr>
            <a:t>3,300,000/1,380,000 ≈ 2.39</a:t>
          </a:r>
        </a:p>
        <a:p>
          <a:pPr algn="just"/>
          <a:r>
            <a:rPr lang="en-GB" sz="1200">
              <a:latin typeface="Arial" panose="020B0604020202020204" pitchFamily="34" charset="0"/>
              <a:cs typeface="Arial" panose="020B0604020202020204" pitchFamily="34" charset="0"/>
            </a:rPr>
            <a:t>This increase, from 1.48 in 2021 to 2.39 in 2023, indicates that the hotel is becoming more leveraged, relying on debt financing rather than equity, hence increasing financial risk.</a:t>
          </a:r>
          <a:endParaRPr lang="en-US" sz="1200"/>
        </a:p>
      </dgm:t>
    </dgm:pt>
    <dgm:pt modelId="{7E0B844F-31C5-491F-AF72-105D315F12D9}" type="parTrans" cxnId="{929C550D-433D-4B71-A1A1-B515BCC70CF7}">
      <dgm:prSet/>
      <dgm:spPr/>
      <dgm:t>
        <a:bodyPr/>
        <a:lstStyle/>
        <a:p>
          <a:endParaRPr lang="en-US"/>
        </a:p>
      </dgm:t>
    </dgm:pt>
    <dgm:pt modelId="{433C4256-337F-4D5B-B5B5-F2FE52C69C6E}" type="sibTrans" cxnId="{929C550D-433D-4B71-A1A1-B515BCC70CF7}">
      <dgm:prSet/>
      <dgm:spPr/>
      <dgm:t>
        <a:bodyPr/>
        <a:lstStyle/>
        <a:p>
          <a:endParaRPr lang="en-US"/>
        </a:p>
      </dgm:t>
    </dgm:pt>
    <dgm:pt modelId="{BD9EB86B-68D7-45FC-97DE-0815509E2A06}" type="pres">
      <dgm:prSet presAssocID="{5C71233C-A9AD-4135-81EA-D429C0E7F46F}" presName="diagram" presStyleCnt="0">
        <dgm:presLayoutVars>
          <dgm:dir/>
          <dgm:resizeHandles val="exact"/>
        </dgm:presLayoutVars>
      </dgm:prSet>
      <dgm:spPr/>
      <dgm:t>
        <a:bodyPr/>
        <a:lstStyle/>
        <a:p>
          <a:endParaRPr lang="en-GB"/>
        </a:p>
      </dgm:t>
    </dgm:pt>
    <dgm:pt modelId="{4199C4E1-EE1F-4CCC-9150-A5F184A39969}" type="pres">
      <dgm:prSet presAssocID="{9A8E0C77-645D-4C57-85E5-3CA29D3C8841}" presName="node" presStyleLbl="node1" presStyleIdx="0" presStyleCnt="1" custScaleX="160086">
        <dgm:presLayoutVars>
          <dgm:bulletEnabled val="1"/>
        </dgm:presLayoutVars>
      </dgm:prSet>
      <dgm:spPr/>
      <dgm:t>
        <a:bodyPr/>
        <a:lstStyle/>
        <a:p>
          <a:endParaRPr lang="en-GB"/>
        </a:p>
      </dgm:t>
    </dgm:pt>
  </dgm:ptLst>
  <dgm:cxnLst>
    <dgm:cxn modelId="{38E500CB-1608-499E-945B-376F45006A75}" type="presOf" srcId="{9A8E0C77-645D-4C57-85E5-3CA29D3C8841}" destId="{4199C4E1-EE1F-4CCC-9150-A5F184A39969}" srcOrd="0" destOrd="0" presId="urn:microsoft.com/office/officeart/2005/8/layout/default"/>
    <dgm:cxn modelId="{2D8CD835-2CB2-4F20-8297-25E70A0F997A}" type="presOf" srcId="{5C71233C-A9AD-4135-81EA-D429C0E7F46F}" destId="{BD9EB86B-68D7-45FC-97DE-0815509E2A06}" srcOrd="0" destOrd="0" presId="urn:microsoft.com/office/officeart/2005/8/layout/default"/>
    <dgm:cxn modelId="{929C550D-433D-4B71-A1A1-B515BCC70CF7}" srcId="{5C71233C-A9AD-4135-81EA-D429C0E7F46F}" destId="{9A8E0C77-645D-4C57-85E5-3CA29D3C8841}" srcOrd="0" destOrd="0" parTransId="{7E0B844F-31C5-491F-AF72-105D315F12D9}" sibTransId="{433C4256-337F-4D5B-B5B5-F2FE52C69C6E}"/>
    <dgm:cxn modelId="{6A9D1039-ABF5-44DA-B955-099A35172553}" type="presParOf" srcId="{BD9EB86B-68D7-45FC-97DE-0815509E2A06}" destId="{4199C4E1-EE1F-4CCC-9150-A5F184A39969}" srcOrd="0" destOrd="0" presId="urn:microsoft.com/office/officeart/2005/8/layout/default"/>
  </dgm:cxnLst>
  <dgm:bg/>
  <dgm:whole/>
  <dgm:extLst>
    <a:ext uri="http://schemas.microsoft.com/office/drawing/2008/diagram">
      <dsp:dataModelExt xmlns:dsp="http://schemas.microsoft.com/office/drawing/2008/diagram" relId="rId37"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25B50E5C-9FCB-4D9F-B2AF-DF0485926613}" type="doc">
      <dgm:prSet loTypeId="urn:microsoft.com/office/officeart/2005/8/layout/default" loCatId="list" qsTypeId="urn:microsoft.com/office/officeart/2005/8/quickstyle/simple1" qsCatId="simple" csTypeId="urn:microsoft.com/office/officeart/2005/8/colors/accent0_1" csCatId="mainScheme" phldr="1"/>
      <dgm:spPr/>
      <dgm:t>
        <a:bodyPr/>
        <a:lstStyle/>
        <a:p>
          <a:endParaRPr lang="en-US"/>
        </a:p>
      </dgm:t>
    </dgm:pt>
    <dgm:pt modelId="{17338119-E00D-42EC-A1B6-D85A05609531}">
      <dgm:prSet custT="1"/>
      <dgm:spPr/>
      <dgm:t>
        <a:bodyPr/>
        <a:lstStyle/>
        <a:p>
          <a:pPr algn="just"/>
          <a:r>
            <a:rPr lang="en-US" sz="1200">
              <a:latin typeface="Arial" panose="020B0604020202020204" pitchFamily="34" charset="0"/>
              <a:cs typeface="Arial" panose="020B0604020202020204" pitchFamily="34" charset="0"/>
            </a:rPr>
            <a:t>ROA=( Total Assets/Net Income)×100</a:t>
          </a:r>
        </a:p>
        <a:p>
          <a:pPr algn="just"/>
          <a:r>
            <a:rPr lang="en-US" sz="1200">
              <a:latin typeface="Arial" panose="020B0604020202020204" pitchFamily="34" charset="0"/>
              <a:cs typeface="Arial" panose="020B0604020202020204" pitchFamily="34" charset="0"/>
            </a:rPr>
            <a:t>2021: (700,000/5450,000) × 100 </a:t>
          </a:r>
          <a:r>
            <a:rPr lang="en-GB" sz="1200"/>
            <a:t>≈12.84%</a:t>
          </a:r>
        </a:p>
        <a:p>
          <a:pPr algn="just"/>
          <a:r>
            <a:rPr lang="en-US" sz="1200">
              <a:latin typeface="Arial" panose="020B0604020202020204" pitchFamily="34" charset="0"/>
              <a:cs typeface="Arial" panose="020B0604020202020204" pitchFamily="34" charset="0"/>
            </a:rPr>
            <a:t>2022: (200,000/5100,000) × 100 </a:t>
          </a:r>
          <a:r>
            <a:rPr lang="en-GB" sz="1200"/>
            <a:t>≈3.92%</a:t>
          </a:r>
        </a:p>
        <a:p>
          <a:pPr algn="just"/>
          <a:r>
            <a:rPr lang="en-US" sz="1200">
              <a:latin typeface="Arial" panose="020B0604020202020204" pitchFamily="34" charset="0"/>
              <a:cs typeface="Arial" panose="020B0604020202020204" pitchFamily="34" charset="0"/>
            </a:rPr>
            <a:t>2023: (-500,000/4,680,000) × 100 </a:t>
          </a:r>
          <a:r>
            <a:rPr lang="en-GB" sz="1200"/>
            <a:t>≈-10.68%</a:t>
          </a:r>
          <a:endParaRPr lang="en-US" sz="1200">
            <a:latin typeface="Arial" panose="020B0604020202020204" pitchFamily="34" charset="0"/>
            <a:cs typeface="Arial" panose="020B0604020202020204" pitchFamily="34" charset="0"/>
          </a:endParaRPr>
        </a:p>
        <a:p>
          <a:pPr algn="ctr"/>
          <a:endParaRPr lang="en-US" sz="1200">
            <a:latin typeface="Arial" panose="020B0604020202020204" pitchFamily="34" charset="0"/>
            <a:cs typeface="Arial" panose="020B0604020202020204" pitchFamily="34" charset="0"/>
          </a:endParaRPr>
        </a:p>
      </dgm:t>
    </dgm:pt>
    <dgm:pt modelId="{7F6748DA-1E8A-496A-9D53-D006F9D993B8}" type="sibTrans" cxnId="{7B324149-ADB0-401B-9852-65672EB8572B}">
      <dgm:prSet/>
      <dgm:spPr/>
      <dgm:t>
        <a:bodyPr/>
        <a:lstStyle/>
        <a:p>
          <a:endParaRPr lang="en-US"/>
        </a:p>
      </dgm:t>
    </dgm:pt>
    <dgm:pt modelId="{A855F369-C5EA-4734-AA28-80E0AC323E72}" type="parTrans" cxnId="{7B324149-ADB0-401B-9852-65672EB8572B}">
      <dgm:prSet/>
      <dgm:spPr/>
      <dgm:t>
        <a:bodyPr/>
        <a:lstStyle/>
        <a:p>
          <a:endParaRPr lang="en-US"/>
        </a:p>
      </dgm:t>
    </dgm:pt>
    <dgm:pt modelId="{6229C6C6-17F2-4A3E-8051-53EB3411DF49}" type="pres">
      <dgm:prSet presAssocID="{25B50E5C-9FCB-4D9F-B2AF-DF0485926613}" presName="diagram" presStyleCnt="0">
        <dgm:presLayoutVars>
          <dgm:dir/>
          <dgm:resizeHandles val="exact"/>
        </dgm:presLayoutVars>
      </dgm:prSet>
      <dgm:spPr/>
      <dgm:t>
        <a:bodyPr/>
        <a:lstStyle/>
        <a:p>
          <a:endParaRPr lang="en-GB"/>
        </a:p>
      </dgm:t>
    </dgm:pt>
    <dgm:pt modelId="{D9D40198-F87A-4B7A-978E-12C2A433051A}" type="pres">
      <dgm:prSet presAssocID="{17338119-E00D-42EC-A1B6-D85A05609531}" presName="node" presStyleLbl="node1" presStyleIdx="0" presStyleCnt="1" custScaleX="139510" custScaleY="52315">
        <dgm:presLayoutVars>
          <dgm:bulletEnabled val="1"/>
        </dgm:presLayoutVars>
      </dgm:prSet>
      <dgm:spPr/>
      <dgm:t>
        <a:bodyPr/>
        <a:lstStyle/>
        <a:p>
          <a:endParaRPr lang="en-GB"/>
        </a:p>
      </dgm:t>
    </dgm:pt>
  </dgm:ptLst>
  <dgm:cxnLst>
    <dgm:cxn modelId="{7B324149-ADB0-401B-9852-65672EB8572B}" srcId="{25B50E5C-9FCB-4D9F-B2AF-DF0485926613}" destId="{17338119-E00D-42EC-A1B6-D85A05609531}" srcOrd="0" destOrd="0" parTransId="{A855F369-C5EA-4734-AA28-80E0AC323E72}" sibTransId="{7F6748DA-1E8A-496A-9D53-D006F9D993B8}"/>
    <dgm:cxn modelId="{CEDF3C4D-D0B0-4FED-BFA2-5C69C91D4091}" type="presOf" srcId="{17338119-E00D-42EC-A1B6-D85A05609531}" destId="{D9D40198-F87A-4B7A-978E-12C2A433051A}" srcOrd="0" destOrd="0" presId="urn:microsoft.com/office/officeart/2005/8/layout/default"/>
    <dgm:cxn modelId="{918DB94C-04B7-4B34-B4DA-396A3749A35C}" type="presOf" srcId="{25B50E5C-9FCB-4D9F-B2AF-DF0485926613}" destId="{6229C6C6-17F2-4A3E-8051-53EB3411DF49}" srcOrd="0" destOrd="0" presId="urn:microsoft.com/office/officeart/2005/8/layout/default"/>
    <dgm:cxn modelId="{9D653FCE-A46D-4B1A-A05C-15E6FD8F7EBA}" type="presParOf" srcId="{6229C6C6-17F2-4A3E-8051-53EB3411DF49}" destId="{D9D40198-F87A-4B7A-978E-12C2A433051A}" srcOrd="0" destOrd="0" presId="urn:microsoft.com/office/officeart/2005/8/layout/default"/>
  </dgm:cxnLst>
  <dgm:bg/>
  <dgm:whole/>
  <dgm:extLst>
    <a:ext uri="http://schemas.microsoft.com/office/drawing/2008/diagram">
      <dsp:dataModelExt xmlns:dsp="http://schemas.microsoft.com/office/drawing/2008/diagram" relId="rId44"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4E10635F-50E2-4689-9DC5-61A04E018288}" type="doc">
      <dgm:prSet loTypeId="urn:microsoft.com/office/officeart/2005/8/layout/default" loCatId="list" qsTypeId="urn:microsoft.com/office/officeart/2005/8/quickstyle/3d1" qsCatId="3D" csTypeId="urn:microsoft.com/office/officeart/2005/8/colors/colorful5" csCatId="colorful" phldr="1"/>
      <dgm:spPr/>
      <dgm:t>
        <a:bodyPr/>
        <a:lstStyle/>
        <a:p>
          <a:endParaRPr lang="en-US"/>
        </a:p>
      </dgm:t>
    </dgm:pt>
    <dgm:pt modelId="{9A28BC51-71F5-4834-A74E-7885FA573CC6}">
      <dgm:prSet phldrT="[Text]"/>
      <dgm:spPr/>
      <dgm:t>
        <a:bodyPr/>
        <a:lstStyle/>
        <a:p>
          <a:r>
            <a:rPr lang="en-GB" b="1">
              <a:latin typeface="Arial" panose="020B0604020202020204" pitchFamily="34" charset="0"/>
              <a:cs typeface="Arial" panose="020B0604020202020204" pitchFamily="34" charset="0"/>
            </a:rPr>
            <a:t>Market Risk Mitigation </a:t>
          </a:r>
          <a:endParaRPr lang="en-US" b="1">
            <a:latin typeface="Arial" panose="020B0604020202020204" pitchFamily="34" charset="0"/>
            <a:cs typeface="Arial" panose="020B0604020202020204" pitchFamily="34" charset="0"/>
          </a:endParaRPr>
        </a:p>
      </dgm:t>
    </dgm:pt>
    <dgm:pt modelId="{CF6E15B5-2442-420D-9DBE-3B50F6278D57}" type="parTrans" cxnId="{A35F0C12-DC20-48BF-9A46-E2B49CBFDDA0}">
      <dgm:prSet/>
      <dgm:spPr/>
      <dgm:t>
        <a:bodyPr/>
        <a:lstStyle/>
        <a:p>
          <a:endParaRPr lang="en-US"/>
        </a:p>
      </dgm:t>
    </dgm:pt>
    <dgm:pt modelId="{78C15437-11FB-4A41-8DF9-3AA7B7A7AC9C}" type="sibTrans" cxnId="{A35F0C12-DC20-48BF-9A46-E2B49CBFDDA0}">
      <dgm:prSet/>
      <dgm:spPr/>
      <dgm:t>
        <a:bodyPr/>
        <a:lstStyle/>
        <a:p>
          <a:endParaRPr lang="en-US"/>
        </a:p>
      </dgm:t>
    </dgm:pt>
    <dgm:pt modelId="{0AAEAF7C-0BD0-4EFF-86EA-5BDD9FBD8D39}">
      <dgm:prSet phldrT="[Text]"/>
      <dgm:spPr/>
      <dgm:t>
        <a:bodyPr/>
        <a:lstStyle/>
        <a:p>
          <a:r>
            <a:rPr lang="en-GB" b="1"/>
            <a:t>Operational Risk Mitigation </a:t>
          </a:r>
          <a:endParaRPr lang="en-US"/>
        </a:p>
      </dgm:t>
    </dgm:pt>
    <dgm:pt modelId="{0806E0C8-99E8-41FB-8E62-62A587447016}" type="parTrans" cxnId="{7451CA01-B222-46B8-801E-8CE4A50E53DD}">
      <dgm:prSet/>
      <dgm:spPr/>
      <dgm:t>
        <a:bodyPr/>
        <a:lstStyle/>
        <a:p>
          <a:endParaRPr lang="en-US"/>
        </a:p>
      </dgm:t>
    </dgm:pt>
    <dgm:pt modelId="{317BBBE8-6D5E-4D12-A461-4A0FD9583587}" type="sibTrans" cxnId="{7451CA01-B222-46B8-801E-8CE4A50E53DD}">
      <dgm:prSet/>
      <dgm:spPr/>
      <dgm:t>
        <a:bodyPr/>
        <a:lstStyle/>
        <a:p>
          <a:endParaRPr lang="en-US"/>
        </a:p>
      </dgm:t>
    </dgm:pt>
    <dgm:pt modelId="{09FB86C4-AD21-4436-911A-52D2148B27E6}">
      <dgm:prSet phldrT="[Text]"/>
      <dgm:spPr/>
      <dgm:t>
        <a:bodyPr/>
        <a:lstStyle/>
        <a:p>
          <a:r>
            <a:rPr lang="en-GB" b="1"/>
            <a:t>Managing Financial Risks</a:t>
          </a:r>
          <a:endParaRPr lang="en-US"/>
        </a:p>
      </dgm:t>
    </dgm:pt>
    <dgm:pt modelId="{803F70E3-BA6F-49A3-85D1-A6DAD2E5CA1C}" type="parTrans" cxnId="{8B3F8B51-2C31-4D49-80EA-942A983E6144}">
      <dgm:prSet/>
      <dgm:spPr/>
      <dgm:t>
        <a:bodyPr/>
        <a:lstStyle/>
        <a:p>
          <a:endParaRPr lang="en-US"/>
        </a:p>
      </dgm:t>
    </dgm:pt>
    <dgm:pt modelId="{3B99B502-C3EC-4CDD-8B0A-4399054387A6}" type="sibTrans" cxnId="{8B3F8B51-2C31-4D49-80EA-942A983E6144}">
      <dgm:prSet/>
      <dgm:spPr/>
      <dgm:t>
        <a:bodyPr/>
        <a:lstStyle/>
        <a:p>
          <a:endParaRPr lang="en-US"/>
        </a:p>
      </dgm:t>
    </dgm:pt>
    <dgm:pt modelId="{90F9B09B-8C28-417B-9573-D2034B489543}">
      <dgm:prSet phldrT="[Text]"/>
      <dgm:spPr/>
      <dgm:t>
        <a:bodyPr/>
        <a:lstStyle/>
        <a:p>
          <a:r>
            <a:rPr lang="en-GB" b="1"/>
            <a:t>Regulatory and Compliance Risk Mitigation</a:t>
          </a:r>
          <a:endParaRPr lang="en-US"/>
        </a:p>
      </dgm:t>
    </dgm:pt>
    <dgm:pt modelId="{1F0956B2-57AF-43B2-B4E8-620455BB4DCB}" type="parTrans" cxnId="{E0ED58D2-D100-4C1B-9B87-7B843C228782}">
      <dgm:prSet/>
      <dgm:spPr/>
      <dgm:t>
        <a:bodyPr/>
        <a:lstStyle/>
        <a:p>
          <a:endParaRPr lang="en-US"/>
        </a:p>
      </dgm:t>
    </dgm:pt>
    <dgm:pt modelId="{0B7AA049-A14F-4110-82FE-6BD561201ACF}" type="sibTrans" cxnId="{E0ED58D2-D100-4C1B-9B87-7B843C228782}">
      <dgm:prSet/>
      <dgm:spPr/>
      <dgm:t>
        <a:bodyPr/>
        <a:lstStyle/>
        <a:p>
          <a:endParaRPr lang="en-US"/>
        </a:p>
      </dgm:t>
    </dgm:pt>
    <dgm:pt modelId="{C9CED168-2860-497B-985F-B0D138469648}">
      <dgm:prSet phldrT="[Text]"/>
      <dgm:spPr/>
      <dgm:t>
        <a:bodyPr/>
        <a:lstStyle/>
        <a:p>
          <a:r>
            <a:rPr lang="en-GB" b="1"/>
            <a:t>Reputation Management</a:t>
          </a:r>
          <a:endParaRPr lang="en-US"/>
        </a:p>
      </dgm:t>
    </dgm:pt>
    <dgm:pt modelId="{FDD2D75F-76BE-4062-BC7C-8473653D8506}" type="parTrans" cxnId="{A8C89FD6-C0EB-46CD-ACBE-76E3E2D8EEAD}">
      <dgm:prSet/>
      <dgm:spPr/>
      <dgm:t>
        <a:bodyPr/>
        <a:lstStyle/>
        <a:p>
          <a:endParaRPr lang="en-US"/>
        </a:p>
      </dgm:t>
    </dgm:pt>
    <dgm:pt modelId="{94C5C6B1-996C-4DF6-89FE-075BC46109FC}" type="sibTrans" cxnId="{A8C89FD6-C0EB-46CD-ACBE-76E3E2D8EEAD}">
      <dgm:prSet/>
      <dgm:spPr/>
      <dgm:t>
        <a:bodyPr/>
        <a:lstStyle/>
        <a:p>
          <a:endParaRPr lang="en-US"/>
        </a:p>
      </dgm:t>
    </dgm:pt>
    <dgm:pt modelId="{97153316-6A57-426D-89B6-566224DD7FBA}">
      <dgm:prSet phldrT="[Text]"/>
      <dgm:spPr/>
      <dgm:t>
        <a:bodyPr/>
        <a:lstStyle/>
        <a:p>
          <a:r>
            <a:rPr lang="en-GB" b="1"/>
            <a:t>Financial Restructuring</a:t>
          </a:r>
          <a:br>
            <a:rPr lang="en-GB" b="1"/>
          </a:br>
          <a:endParaRPr lang="en-US"/>
        </a:p>
      </dgm:t>
    </dgm:pt>
    <dgm:pt modelId="{9E1A89FE-D76E-4084-B172-D3B917919A0F}" type="parTrans" cxnId="{19E2DF7D-6882-4779-9EA1-A3EB4D761BFA}">
      <dgm:prSet/>
      <dgm:spPr/>
      <dgm:t>
        <a:bodyPr/>
        <a:lstStyle/>
        <a:p>
          <a:endParaRPr lang="en-US"/>
        </a:p>
      </dgm:t>
    </dgm:pt>
    <dgm:pt modelId="{97A9FCEB-194A-457C-9AA5-288651D781C8}" type="sibTrans" cxnId="{19E2DF7D-6882-4779-9EA1-A3EB4D761BFA}">
      <dgm:prSet/>
      <dgm:spPr/>
      <dgm:t>
        <a:bodyPr/>
        <a:lstStyle/>
        <a:p>
          <a:endParaRPr lang="en-US"/>
        </a:p>
      </dgm:t>
    </dgm:pt>
    <dgm:pt modelId="{98F646EE-A416-42E5-B898-E94C65736864}" type="pres">
      <dgm:prSet presAssocID="{4E10635F-50E2-4689-9DC5-61A04E018288}" presName="diagram" presStyleCnt="0">
        <dgm:presLayoutVars>
          <dgm:dir/>
          <dgm:resizeHandles val="exact"/>
        </dgm:presLayoutVars>
      </dgm:prSet>
      <dgm:spPr/>
      <dgm:t>
        <a:bodyPr/>
        <a:lstStyle/>
        <a:p>
          <a:endParaRPr lang="en-GB"/>
        </a:p>
      </dgm:t>
    </dgm:pt>
    <dgm:pt modelId="{0D11381E-BA19-4280-8DD8-477757F97096}" type="pres">
      <dgm:prSet presAssocID="{9A28BC51-71F5-4834-A74E-7885FA573CC6}" presName="node" presStyleLbl="node1" presStyleIdx="0" presStyleCnt="6">
        <dgm:presLayoutVars>
          <dgm:bulletEnabled val="1"/>
        </dgm:presLayoutVars>
      </dgm:prSet>
      <dgm:spPr/>
      <dgm:t>
        <a:bodyPr/>
        <a:lstStyle/>
        <a:p>
          <a:endParaRPr lang="en-GB"/>
        </a:p>
      </dgm:t>
    </dgm:pt>
    <dgm:pt modelId="{871A5E94-F753-492A-B909-649E2547F0CD}" type="pres">
      <dgm:prSet presAssocID="{78C15437-11FB-4A41-8DF9-3AA7B7A7AC9C}" presName="sibTrans" presStyleCnt="0"/>
      <dgm:spPr/>
    </dgm:pt>
    <dgm:pt modelId="{4770184F-829B-49BD-9266-F5F751EAAFEA}" type="pres">
      <dgm:prSet presAssocID="{0AAEAF7C-0BD0-4EFF-86EA-5BDD9FBD8D39}" presName="node" presStyleLbl="node1" presStyleIdx="1" presStyleCnt="6">
        <dgm:presLayoutVars>
          <dgm:bulletEnabled val="1"/>
        </dgm:presLayoutVars>
      </dgm:prSet>
      <dgm:spPr/>
      <dgm:t>
        <a:bodyPr/>
        <a:lstStyle/>
        <a:p>
          <a:endParaRPr lang="en-GB"/>
        </a:p>
      </dgm:t>
    </dgm:pt>
    <dgm:pt modelId="{E63C6623-2045-4C1F-8151-BDDE67A19EF3}" type="pres">
      <dgm:prSet presAssocID="{317BBBE8-6D5E-4D12-A461-4A0FD9583587}" presName="sibTrans" presStyleCnt="0"/>
      <dgm:spPr/>
    </dgm:pt>
    <dgm:pt modelId="{D3B40275-6FFA-4A1E-82DD-9A964C01EEB0}" type="pres">
      <dgm:prSet presAssocID="{09FB86C4-AD21-4436-911A-52D2148B27E6}" presName="node" presStyleLbl="node1" presStyleIdx="2" presStyleCnt="6">
        <dgm:presLayoutVars>
          <dgm:bulletEnabled val="1"/>
        </dgm:presLayoutVars>
      </dgm:prSet>
      <dgm:spPr/>
      <dgm:t>
        <a:bodyPr/>
        <a:lstStyle/>
        <a:p>
          <a:endParaRPr lang="en-GB"/>
        </a:p>
      </dgm:t>
    </dgm:pt>
    <dgm:pt modelId="{00340074-6E35-4B0B-A873-FDE5A7AC7213}" type="pres">
      <dgm:prSet presAssocID="{3B99B502-C3EC-4CDD-8B0A-4399054387A6}" presName="sibTrans" presStyleCnt="0"/>
      <dgm:spPr/>
    </dgm:pt>
    <dgm:pt modelId="{B3B0EAA9-7F3B-46FB-A382-19F9DA355C8D}" type="pres">
      <dgm:prSet presAssocID="{90F9B09B-8C28-417B-9573-D2034B489543}" presName="node" presStyleLbl="node1" presStyleIdx="3" presStyleCnt="6">
        <dgm:presLayoutVars>
          <dgm:bulletEnabled val="1"/>
        </dgm:presLayoutVars>
      </dgm:prSet>
      <dgm:spPr/>
      <dgm:t>
        <a:bodyPr/>
        <a:lstStyle/>
        <a:p>
          <a:endParaRPr lang="en-GB"/>
        </a:p>
      </dgm:t>
    </dgm:pt>
    <dgm:pt modelId="{BCAB1655-F870-4FF9-BEC6-3BD4D7DE9063}" type="pres">
      <dgm:prSet presAssocID="{0B7AA049-A14F-4110-82FE-6BD561201ACF}" presName="sibTrans" presStyleCnt="0"/>
      <dgm:spPr/>
    </dgm:pt>
    <dgm:pt modelId="{F2EB59F7-DC9D-439C-A987-1154E998E649}" type="pres">
      <dgm:prSet presAssocID="{C9CED168-2860-497B-985F-B0D138469648}" presName="node" presStyleLbl="node1" presStyleIdx="4" presStyleCnt="6">
        <dgm:presLayoutVars>
          <dgm:bulletEnabled val="1"/>
        </dgm:presLayoutVars>
      </dgm:prSet>
      <dgm:spPr/>
      <dgm:t>
        <a:bodyPr/>
        <a:lstStyle/>
        <a:p>
          <a:endParaRPr lang="en-GB"/>
        </a:p>
      </dgm:t>
    </dgm:pt>
    <dgm:pt modelId="{A7EC2F84-5C4A-4D92-9A89-DE90D619DAF4}" type="pres">
      <dgm:prSet presAssocID="{94C5C6B1-996C-4DF6-89FE-075BC46109FC}" presName="sibTrans" presStyleCnt="0"/>
      <dgm:spPr/>
    </dgm:pt>
    <dgm:pt modelId="{B12E838F-541B-41A3-9D67-FE7E614CDE78}" type="pres">
      <dgm:prSet presAssocID="{97153316-6A57-426D-89B6-566224DD7FBA}" presName="node" presStyleLbl="node1" presStyleIdx="5" presStyleCnt="6">
        <dgm:presLayoutVars>
          <dgm:bulletEnabled val="1"/>
        </dgm:presLayoutVars>
      </dgm:prSet>
      <dgm:spPr/>
      <dgm:t>
        <a:bodyPr/>
        <a:lstStyle/>
        <a:p>
          <a:endParaRPr lang="en-GB"/>
        </a:p>
      </dgm:t>
    </dgm:pt>
  </dgm:ptLst>
  <dgm:cxnLst>
    <dgm:cxn modelId="{19E2DF7D-6882-4779-9EA1-A3EB4D761BFA}" srcId="{4E10635F-50E2-4689-9DC5-61A04E018288}" destId="{97153316-6A57-426D-89B6-566224DD7FBA}" srcOrd="5" destOrd="0" parTransId="{9E1A89FE-D76E-4084-B172-D3B917919A0F}" sibTransId="{97A9FCEB-194A-457C-9AA5-288651D781C8}"/>
    <dgm:cxn modelId="{E0ED58D2-D100-4C1B-9B87-7B843C228782}" srcId="{4E10635F-50E2-4689-9DC5-61A04E018288}" destId="{90F9B09B-8C28-417B-9573-D2034B489543}" srcOrd="3" destOrd="0" parTransId="{1F0956B2-57AF-43B2-B4E8-620455BB4DCB}" sibTransId="{0B7AA049-A14F-4110-82FE-6BD561201ACF}"/>
    <dgm:cxn modelId="{8B3F8B51-2C31-4D49-80EA-942A983E6144}" srcId="{4E10635F-50E2-4689-9DC5-61A04E018288}" destId="{09FB86C4-AD21-4436-911A-52D2148B27E6}" srcOrd="2" destOrd="0" parTransId="{803F70E3-BA6F-49A3-85D1-A6DAD2E5CA1C}" sibTransId="{3B99B502-C3EC-4CDD-8B0A-4399054387A6}"/>
    <dgm:cxn modelId="{1F8AA9EE-954E-45F3-B0C5-E719B11CD7BD}" type="presOf" srcId="{97153316-6A57-426D-89B6-566224DD7FBA}" destId="{B12E838F-541B-41A3-9D67-FE7E614CDE78}" srcOrd="0" destOrd="0" presId="urn:microsoft.com/office/officeart/2005/8/layout/default"/>
    <dgm:cxn modelId="{A35F0C12-DC20-48BF-9A46-E2B49CBFDDA0}" srcId="{4E10635F-50E2-4689-9DC5-61A04E018288}" destId="{9A28BC51-71F5-4834-A74E-7885FA573CC6}" srcOrd="0" destOrd="0" parTransId="{CF6E15B5-2442-420D-9DBE-3B50F6278D57}" sibTransId="{78C15437-11FB-4A41-8DF9-3AA7B7A7AC9C}"/>
    <dgm:cxn modelId="{74B19A23-D6C0-43C0-B495-31083B3C9712}" type="presOf" srcId="{4E10635F-50E2-4689-9DC5-61A04E018288}" destId="{98F646EE-A416-42E5-B898-E94C65736864}" srcOrd="0" destOrd="0" presId="urn:microsoft.com/office/officeart/2005/8/layout/default"/>
    <dgm:cxn modelId="{5757A8CB-D571-4A37-8026-C6651C69BD3A}" type="presOf" srcId="{9A28BC51-71F5-4834-A74E-7885FA573CC6}" destId="{0D11381E-BA19-4280-8DD8-477757F97096}" srcOrd="0" destOrd="0" presId="urn:microsoft.com/office/officeart/2005/8/layout/default"/>
    <dgm:cxn modelId="{C39FDFC4-AF6A-487A-985D-FC10E711AD2B}" type="presOf" srcId="{0AAEAF7C-0BD0-4EFF-86EA-5BDD9FBD8D39}" destId="{4770184F-829B-49BD-9266-F5F751EAAFEA}" srcOrd="0" destOrd="0" presId="urn:microsoft.com/office/officeart/2005/8/layout/default"/>
    <dgm:cxn modelId="{375B4E4A-1683-4861-BCCF-8D232653C433}" type="presOf" srcId="{90F9B09B-8C28-417B-9573-D2034B489543}" destId="{B3B0EAA9-7F3B-46FB-A382-19F9DA355C8D}" srcOrd="0" destOrd="0" presId="urn:microsoft.com/office/officeart/2005/8/layout/default"/>
    <dgm:cxn modelId="{8B4857EE-6EF5-441F-8EE6-811D26E7FA5B}" type="presOf" srcId="{09FB86C4-AD21-4436-911A-52D2148B27E6}" destId="{D3B40275-6FFA-4A1E-82DD-9A964C01EEB0}" srcOrd="0" destOrd="0" presId="urn:microsoft.com/office/officeart/2005/8/layout/default"/>
    <dgm:cxn modelId="{51A5260E-5669-48DF-AE7F-E21DBEC41035}" type="presOf" srcId="{C9CED168-2860-497B-985F-B0D138469648}" destId="{F2EB59F7-DC9D-439C-A987-1154E998E649}" srcOrd="0" destOrd="0" presId="urn:microsoft.com/office/officeart/2005/8/layout/default"/>
    <dgm:cxn modelId="{A8C89FD6-C0EB-46CD-ACBE-76E3E2D8EEAD}" srcId="{4E10635F-50E2-4689-9DC5-61A04E018288}" destId="{C9CED168-2860-497B-985F-B0D138469648}" srcOrd="4" destOrd="0" parTransId="{FDD2D75F-76BE-4062-BC7C-8473653D8506}" sibTransId="{94C5C6B1-996C-4DF6-89FE-075BC46109FC}"/>
    <dgm:cxn modelId="{7451CA01-B222-46B8-801E-8CE4A50E53DD}" srcId="{4E10635F-50E2-4689-9DC5-61A04E018288}" destId="{0AAEAF7C-0BD0-4EFF-86EA-5BDD9FBD8D39}" srcOrd="1" destOrd="0" parTransId="{0806E0C8-99E8-41FB-8E62-62A587447016}" sibTransId="{317BBBE8-6D5E-4D12-A461-4A0FD9583587}"/>
    <dgm:cxn modelId="{1B828034-C13F-432A-9E03-00F1FFDAFADE}" type="presParOf" srcId="{98F646EE-A416-42E5-B898-E94C65736864}" destId="{0D11381E-BA19-4280-8DD8-477757F97096}" srcOrd="0" destOrd="0" presId="urn:microsoft.com/office/officeart/2005/8/layout/default"/>
    <dgm:cxn modelId="{28BF97D0-8C82-4F6D-B263-0B9D0420DBDC}" type="presParOf" srcId="{98F646EE-A416-42E5-B898-E94C65736864}" destId="{871A5E94-F753-492A-B909-649E2547F0CD}" srcOrd="1" destOrd="0" presId="urn:microsoft.com/office/officeart/2005/8/layout/default"/>
    <dgm:cxn modelId="{3B9BEDE8-87A4-4C01-B2F6-1DA3381C3CA0}" type="presParOf" srcId="{98F646EE-A416-42E5-B898-E94C65736864}" destId="{4770184F-829B-49BD-9266-F5F751EAAFEA}" srcOrd="2" destOrd="0" presId="urn:microsoft.com/office/officeart/2005/8/layout/default"/>
    <dgm:cxn modelId="{201F92BB-44EF-4E32-B1BF-DB80D5F2AF57}" type="presParOf" srcId="{98F646EE-A416-42E5-B898-E94C65736864}" destId="{E63C6623-2045-4C1F-8151-BDDE67A19EF3}" srcOrd="3" destOrd="0" presId="urn:microsoft.com/office/officeart/2005/8/layout/default"/>
    <dgm:cxn modelId="{AC588310-B800-4F1A-A29C-69244742A406}" type="presParOf" srcId="{98F646EE-A416-42E5-B898-E94C65736864}" destId="{D3B40275-6FFA-4A1E-82DD-9A964C01EEB0}" srcOrd="4" destOrd="0" presId="urn:microsoft.com/office/officeart/2005/8/layout/default"/>
    <dgm:cxn modelId="{71E42C3E-738A-4850-BB86-9B8AEEA2EE93}" type="presParOf" srcId="{98F646EE-A416-42E5-B898-E94C65736864}" destId="{00340074-6E35-4B0B-A873-FDE5A7AC7213}" srcOrd="5" destOrd="0" presId="urn:microsoft.com/office/officeart/2005/8/layout/default"/>
    <dgm:cxn modelId="{FB4918B2-161E-45A8-8C28-81FC3DF592CE}" type="presParOf" srcId="{98F646EE-A416-42E5-B898-E94C65736864}" destId="{B3B0EAA9-7F3B-46FB-A382-19F9DA355C8D}" srcOrd="6" destOrd="0" presId="urn:microsoft.com/office/officeart/2005/8/layout/default"/>
    <dgm:cxn modelId="{69288665-87B0-4EDE-A920-A80E63F20716}" type="presParOf" srcId="{98F646EE-A416-42E5-B898-E94C65736864}" destId="{BCAB1655-F870-4FF9-BEC6-3BD4D7DE9063}" srcOrd="7" destOrd="0" presId="urn:microsoft.com/office/officeart/2005/8/layout/default"/>
    <dgm:cxn modelId="{A456B3AE-3FD6-4CA3-B7EC-49A2C4FB7C7C}" type="presParOf" srcId="{98F646EE-A416-42E5-B898-E94C65736864}" destId="{F2EB59F7-DC9D-439C-A987-1154E998E649}" srcOrd="8" destOrd="0" presId="urn:microsoft.com/office/officeart/2005/8/layout/default"/>
    <dgm:cxn modelId="{631B7BF2-DDA1-456A-B40A-D4AB55A7AB2E}" type="presParOf" srcId="{98F646EE-A416-42E5-B898-E94C65736864}" destId="{A7EC2F84-5C4A-4D92-9A89-DE90D619DAF4}" srcOrd="9" destOrd="0" presId="urn:microsoft.com/office/officeart/2005/8/layout/default"/>
    <dgm:cxn modelId="{1C8AED5D-2327-4604-8AD7-E45C0AA69217}" type="presParOf" srcId="{98F646EE-A416-42E5-B898-E94C65736864}" destId="{B12E838F-541B-41A3-9D67-FE7E614CDE78}" srcOrd="10" destOrd="0" presId="urn:microsoft.com/office/officeart/2005/8/layout/default"/>
  </dgm:cxnLst>
  <dgm:bg/>
  <dgm:whole/>
  <dgm:extLst>
    <a:ext uri="http://schemas.microsoft.com/office/drawing/2008/diagram">
      <dsp:dataModelExt xmlns:dsp="http://schemas.microsoft.com/office/drawing/2008/diagram" relId="rId49"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50084C0E-0D7E-4B62-831F-C927D6E79089}" type="doc">
      <dgm:prSet loTypeId="urn:microsoft.com/office/officeart/2008/layout/LinedList" loCatId="list" qsTypeId="urn:microsoft.com/office/officeart/2005/8/quickstyle/simple1" qsCatId="simple" csTypeId="urn:microsoft.com/office/officeart/2005/8/colors/accent1_2" csCatId="accent1" phldr="1"/>
      <dgm:spPr/>
      <dgm:t>
        <a:bodyPr/>
        <a:lstStyle/>
        <a:p>
          <a:endParaRPr lang="en-US"/>
        </a:p>
      </dgm:t>
    </dgm:pt>
    <dgm:pt modelId="{FBB12682-7036-4366-8E53-E6F171B65C7D}">
      <dgm:prSet phldrT="[Text]" custT="1"/>
      <dgm:spPr/>
      <dgm:t>
        <a:bodyPr/>
        <a:lstStyle/>
        <a:p>
          <a:r>
            <a:rPr lang="en-US" sz="1100" b="1">
              <a:latin typeface="Arial" panose="020B0604020202020204" pitchFamily="34" charset="0"/>
              <a:cs typeface="Arial" panose="020B0604020202020204" pitchFamily="34" charset="0"/>
            </a:rPr>
            <a:t>Immediate (0–3 months): </a:t>
          </a:r>
        </a:p>
      </dgm:t>
    </dgm:pt>
    <dgm:pt modelId="{DB9204D5-9AE2-43DC-AA2D-5206C3845066}" type="parTrans" cxnId="{2C059F5F-A86C-49B7-B8A4-EB5B782A6680}">
      <dgm:prSet/>
      <dgm:spPr/>
      <dgm:t>
        <a:bodyPr/>
        <a:lstStyle/>
        <a:p>
          <a:endParaRPr lang="en-US"/>
        </a:p>
      </dgm:t>
    </dgm:pt>
    <dgm:pt modelId="{6B960D6A-8702-44D6-9585-A86EF5F45325}" type="sibTrans" cxnId="{2C059F5F-A86C-49B7-B8A4-EB5B782A6680}">
      <dgm:prSet/>
      <dgm:spPr/>
      <dgm:t>
        <a:bodyPr/>
        <a:lstStyle/>
        <a:p>
          <a:endParaRPr lang="en-US"/>
        </a:p>
      </dgm:t>
    </dgm:pt>
    <dgm:pt modelId="{9BBE1E70-51F3-4532-9D75-6CDE2394050C}">
      <dgm:prSet phldrT="[Text]" custT="1"/>
      <dgm:spPr/>
      <dgm:t>
        <a:bodyPr/>
        <a:lstStyle/>
        <a:p>
          <a:r>
            <a:rPr lang="en-US" sz="1000">
              <a:latin typeface="Arial" panose="020B0604020202020204" pitchFamily="34" charset="0"/>
              <a:cs typeface="Arial" panose="020B0604020202020204" pitchFamily="34" charset="0"/>
            </a:rPr>
            <a:t>Renovate key areas of the hotel.</a:t>
          </a:r>
        </a:p>
      </dgm:t>
    </dgm:pt>
    <dgm:pt modelId="{7A4593F3-F4C0-4121-8ACD-2086620D006C}" type="sibTrans" cxnId="{258F124C-4AF5-49DF-99DF-AE223467F6A9}">
      <dgm:prSet/>
      <dgm:spPr/>
      <dgm:t>
        <a:bodyPr/>
        <a:lstStyle/>
        <a:p>
          <a:endParaRPr lang="en-US"/>
        </a:p>
      </dgm:t>
    </dgm:pt>
    <dgm:pt modelId="{D2944C6F-F620-4600-ABE5-A03DF99FD29B}" type="parTrans" cxnId="{258F124C-4AF5-49DF-99DF-AE223467F6A9}">
      <dgm:prSet/>
      <dgm:spPr/>
      <dgm:t>
        <a:bodyPr/>
        <a:lstStyle/>
        <a:p>
          <a:endParaRPr lang="en-US"/>
        </a:p>
      </dgm:t>
    </dgm:pt>
    <dgm:pt modelId="{7E9D6887-0A4B-4CC1-8010-11C5C0A5A6F2}">
      <dgm:prSet phldrT="[Text]" custT="1"/>
      <dgm:spPr/>
      <dgm:t>
        <a:bodyPr/>
        <a:lstStyle/>
        <a:p>
          <a:r>
            <a:rPr lang="en-US" sz="1100" b="1">
              <a:latin typeface="Arial" panose="020B0604020202020204" pitchFamily="34" charset="0"/>
              <a:cs typeface="Arial" panose="020B0604020202020204" pitchFamily="34" charset="0"/>
            </a:rPr>
            <a:t>Short-term (3 to 6 months): </a:t>
          </a:r>
        </a:p>
      </dgm:t>
    </dgm:pt>
    <dgm:pt modelId="{A77D3F78-A02F-468D-88F6-BDFC861F96D7}" type="sibTrans" cxnId="{336D730F-4068-4FCE-87E3-D173B18FC725}">
      <dgm:prSet/>
      <dgm:spPr/>
      <dgm:t>
        <a:bodyPr/>
        <a:lstStyle/>
        <a:p>
          <a:endParaRPr lang="en-US"/>
        </a:p>
      </dgm:t>
    </dgm:pt>
    <dgm:pt modelId="{FC0A1E36-8D12-4ADA-8765-C66DE42C1A88}" type="parTrans" cxnId="{336D730F-4068-4FCE-87E3-D173B18FC725}">
      <dgm:prSet/>
      <dgm:spPr/>
      <dgm:t>
        <a:bodyPr/>
        <a:lstStyle/>
        <a:p>
          <a:endParaRPr lang="en-US"/>
        </a:p>
      </dgm:t>
    </dgm:pt>
    <dgm:pt modelId="{EB042D98-5752-4188-B49F-F4ED4336EC5B}">
      <dgm:prSet phldrT="[Text]" custT="1"/>
      <dgm:spPr/>
      <dgm:t>
        <a:bodyPr/>
        <a:lstStyle/>
        <a:p>
          <a:r>
            <a:rPr lang="en-US" sz="1000">
              <a:latin typeface="Arial" panose="020B0604020202020204" pitchFamily="34" charset="0"/>
              <a:cs typeface="Arial" panose="020B0604020202020204" pitchFamily="34" charset="0"/>
            </a:rPr>
            <a:t>Perform market research to ensure competitive pricing.</a:t>
          </a:r>
        </a:p>
        <a:p>
          <a:r>
            <a:rPr lang="en-US" sz="1000">
              <a:latin typeface="Arial" panose="020B0604020202020204" pitchFamily="34" charset="0"/>
              <a:cs typeface="Arial" panose="020B0604020202020204" pitchFamily="34" charset="0"/>
            </a:rPr>
            <a:t>Begin staff training programmes.</a:t>
          </a:r>
        </a:p>
        <a:p>
          <a:r>
            <a:rPr lang="en-US" sz="1000">
              <a:latin typeface="Arial" panose="020B0604020202020204" pitchFamily="34" charset="0"/>
              <a:cs typeface="Arial" panose="020B0604020202020204" pitchFamily="34" charset="0"/>
            </a:rPr>
            <a:t>Implement cost-cutting strategies.</a:t>
          </a:r>
        </a:p>
        <a:p>
          <a:r>
            <a:rPr lang="en-US" sz="1000">
              <a:latin typeface="Arial" panose="020B0604020202020204" pitchFamily="34" charset="0"/>
              <a:cs typeface="Arial" panose="020B0604020202020204" pitchFamily="34" charset="0"/>
            </a:rPr>
            <a:t>Launch the marketing campaign.</a:t>
          </a:r>
        </a:p>
        <a:p>
          <a:endParaRPr lang="en-US" sz="1000">
            <a:latin typeface="Arial" panose="020B0604020202020204" pitchFamily="34" charset="0"/>
            <a:cs typeface="Arial" panose="020B0604020202020204" pitchFamily="34" charset="0"/>
          </a:endParaRPr>
        </a:p>
      </dgm:t>
    </dgm:pt>
    <dgm:pt modelId="{9FB11F89-453C-4E8A-9BBA-BC029C75D4A1}" type="sibTrans" cxnId="{4109DD35-5AA6-4A1E-AD29-70F63C92C2F4}">
      <dgm:prSet/>
      <dgm:spPr/>
      <dgm:t>
        <a:bodyPr/>
        <a:lstStyle/>
        <a:p>
          <a:endParaRPr lang="en-US"/>
        </a:p>
      </dgm:t>
    </dgm:pt>
    <dgm:pt modelId="{6EBB17E7-DBE5-4997-A6D1-204AC749D710}" type="parTrans" cxnId="{4109DD35-5AA6-4A1E-AD29-70F63C92C2F4}">
      <dgm:prSet/>
      <dgm:spPr/>
      <dgm:t>
        <a:bodyPr/>
        <a:lstStyle/>
        <a:p>
          <a:endParaRPr lang="en-US"/>
        </a:p>
      </dgm:t>
    </dgm:pt>
    <dgm:pt modelId="{988782E3-A5D8-4E53-AB6F-DEA20E909A07}">
      <dgm:prSet custT="1"/>
      <dgm:spPr/>
      <dgm:t>
        <a:bodyPr/>
        <a:lstStyle/>
        <a:p>
          <a:r>
            <a:rPr lang="en-US" sz="1000">
              <a:latin typeface="Arial" panose="020B0604020202020204" pitchFamily="34" charset="0"/>
              <a:cs typeface="Arial" panose="020B0604020202020204" pitchFamily="34" charset="0"/>
            </a:rPr>
            <a:t>Create new bundles that include dynamic pricing.</a:t>
          </a:r>
        </a:p>
      </dgm:t>
    </dgm:pt>
    <dgm:pt modelId="{DBD295B5-77F4-4D4E-8E0A-1877C956253C}" type="parTrans" cxnId="{885F9585-E3F5-4C33-A99F-79646E8C15CC}">
      <dgm:prSet/>
      <dgm:spPr/>
      <dgm:t>
        <a:bodyPr/>
        <a:lstStyle/>
        <a:p>
          <a:endParaRPr lang="en-US"/>
        </a:p>
      </dgm:t>
    </dgm:pt>
    <dgm:pt modelId="{EBBC0958-7BE9-48E6-ADB0-A63C58F8F10D}" type="sibTrans" cxnId="{885F9585-E3F5-4C33-A99F-79646E8C15CC}">
      <dgm:prSet/>
      <dgm:spPr/>
      <dgm:t>
        <a:bodyPr/>
        <a:lstStyle/>
        <a:p>
          <a:endParaRPr lang="en-US"/>
        </a:p>
      </dgm:t>
    </dgm:pt>
    <dgm:pt modelId="{CE0A80CF-168E-4F6F-91D2-A28A5223EE56}">
      <dgm:prSet custT="1"/>
      <dgm:spPr/>
      <dgm:t>
        <a:bodyPr/>
        <a:lstStyle/>
        <a:p>
          <a:r>
            <a:rPr lang="en-US" sz="1000">
              <a:latin typeface="Arial" panose="020B0604020202020204" pitchFamily="34" charset="0"/>
              <a:cs typeface="Arial" panose="020B0604020202020204" pitchFamily="34" charset="0"/>
            </a:rPr>
            <a:t>Improve cash flow management.</a:t>
          </a:r>
        </a:p>
        <a:p>
          <a:endParaRPr lang="en-US" sz="1000">
            <a:latin typeface="Arial" panose="020B0604020202020204" pitchFamily="34" charset="0"/>
            <a:cs typeface="Arial" panose="020B0604020202020204" pitchFamily="34" charset="0"/>
          </a:endParaRPr>
        </a:p>
        <a:p>
          <a:r>
            <a:rPr lang="en-US" sz="1000">
              <a:latin typeface="Arial" panose="020B0604020202020204" pitchFamily="34" charset="0"/>
              <a:cs typeface="Arial" panose="020B0604020202020204" pitchFamily="34" charset="0"/>
            </a:rPr>
            <a:t>Improve the consumer feedback mechanisms.</a:t>
          </a:r>
        </a:p>
        <a:p>
          <a:r>
            <a:rPr lang="en-US" sz="1000">
              <a:latin typeface="Arial" panose="020B0604020202020204" pitchFamily="34" charset="0"/>
              <a:cs typeface="Arial" panose="020B0604020202020204" pitchFamily="34" charset="0"/>
            </a:rPr>
            <a:t>Offer regular compliance training.</a:t>
          </a:r>
        </a:p>
        <a:p>
          <a:r>
            <a:rPr lang="en-US" sz="1000">
              <a:latin typeface="Arial" panose="020B0604020202020204" pitchFamily="34" charset="0"/>
              <a:cs typeface="Arial" panose="020B0604020202020204" pitchFamily="34" charset="0"/>
            </a:rPr>
            <a:t>Launch the public relations campaign.</a:t>
          </a:r>
        </a:p>
        <a:p>
          <a:endParaRPr lang="en-US" sz="1000">
            <a:latin typeface="Arial" panose="020B0604020202020204" pitchFamily="34" charset="0"/>
            <a:cs typeface="Arial" panose="020B0604020202020204" pitchFamily="34" charset="0"/>
          </a:endParaRPr>
        </a:p>
        <a:p>
          <a:endParaRPr lang="en-US" sz="1000">
            <a:latin typeface="Arial" panose="020B0604020202020204" pitchFamily="34" charset="0"/>
            <a:cs typeface="Arial" panose="020B0604020202020204" pitchFamily="34" charset="0"/>
          </a:endParaRPr>
        </a:p>
        <a:p>
          <a:endParaRPr lang="en-US" sz="1000">
            <a:latin typeface="Arial" panose="020B0604020202020204" pitchFamily="34" charset="0"/>
            <a:cs typeface="Arial" panose="020B0604020202020204" pitchFamily="34" charset="0"/>
          </a:endParaRPr>
        </a:p>
        <a:p>
          <a:r>
            <a:rPr lang="en-US" sz="1000">
              <a:latin typeface="Arial" panose="020B0604020202020204" pitchFamily="34" charset="0"/>
              <a:cs typeface="Arial" panose="020B0604020202020204" pitchFamily="34" charset="0"/>
            </a:rPr>
            <a:t>Complete all major renovations.</a:t>
          </a:r>
        </a:p>
        <a:p>
          <a:r>
            <a:rPr lang="en-US" sz="1000">
              <a:latin typeface="Arial" panose="020B0604020202020204" pitchFamily="34" charset="0"/>
              <a:cs typeface="Arial" panose="020B0604020202020204" pitchFamily="34" charset="0"/>
            </a:rPr>
            <a:t>Ensure constant occupancy and revenue </a:t>
          </a:r>
        </a:p>
        <a:p>
          <a:r>
            <a:rPr lang="en-US" sz="1000">
              <a:latin typeface="Arial" panose="020B0604020202020204" pitchFamily="34" charset="0"/>
              <a:cs typeface="Arial" panose="020B0604020202020204" pitchFamily="34" charset="0"/>
            </a:rPr>
            <a:t>growth.</a:t>
          </a:r>
        </a:p>
        <a:p>
          <a:r>
            <a:rPr lang="en-US" sz="1000">
              <a:latin typeface="Arial" panose="020B0604020202020204" pitchFamily="34" charset="0"/>
              <a:cs typeface="Arial" panose="020B0604020202020204" pitchFamily="34" charset="0"/>
            </a:rPr>
            <a:t>Continue to evaluate and enhance service quality.</a:t>
          </a:r>
        </a:p>
      </dgm:t>
    </dgm:pt>
    <dgm:pt modelId="{21E8053B-CE9C-4294-8C4F-7E2BBF7B1812}" type="parTrans" cxnId="{545B71B5-D6E5-4954-973D-6C4A1A4694AA}">
      <dgm:prSet/>
      <dgm:spPr/>
      <dgm:t>
        <a:bodyPr/>
        <a:lstStyle/>
        <a:p>
          <a:endParaRPr lang="en-US"/>
        </a:p>
      </dgm:t>
    </dgm:pt>
    <dgm:pt modelId="{F621D62F-F914-4584-8695-1E8FFDCEA680}" type="sibTrans" cxnId="{545B71B5-D6E5-4954-973D-6C4A1A4694AA}">
      <dgm:prSet/>
      <dgm:spPr/>
      <dgm:t>
        <a:bodyPr/>
        <a:lstStyle/>
        <a:p>
          <a:endParaRPr lang="en-US"/>
        </a:p>
      </dgm:t>
    </dgm:pt>
    <dgm:pt modelId="{CCB35466-C43E-49A8-983C-AC790F4D5FF4}">
      <dgm:prSet custT="1"/>
      <dgm:spPr/>
      <dgm:t>
        <a:bodyPr/>
        <a:lstStyle/>
        <a:p>
          <a:r>
            <a:rPr lang="en-US" sz="1100" b="1">
              <a:latin typeface="Arial" panose="020B0604020202020204" pitchFamily="34" charset="0"/>
              <a:cs typeface="Arial" panose="020B0604020202020204" pitchFamily="34" charset="0"/>
            </a:rPr>
            <a:t>Medium-term (6–12 months):</a:t>
          </a:r>
        </a:p>
      </dgm:t>
    </dgm:pt>
    <dgm:pt modelId="{7987A14E-26F9-40BA-97F4-C5338168D945}" type="parTrans" cxnId="{AF6E1CE4-DC9D-4780-8E33-C0C83E7C4A00}">
      <dgm:prSet/>
      <dgm:spPr/>
      <dgm:t>
        <a:bodyPr/>
        <a:lstStyle/>
        <a:p>
          <a:endParaRPr lang="en-US"/>
        </a:p>
      </dgm:t>
    </dgm:pt>
    <dgm:pt modelId="{BFBE6209-49DE-44D1-BB32-9FCDDA10EB97}" type="sibTrans" cxnId="{AF6E1CE4-DC9D-4780-8E33-C0C83E7C4A00}">
      <dgm:prSet/>
      <dgm:spPr/>
      <dgm:t>
        <a:bodyPr/>
        <a:lstStyle/>
        <a:p>
          <a:endParaRPr lang="en-US"/>
        </a:p>
      </dgm:t>
    </dgm:pt>
    <dgm:pt modelId="{DF03D5B0-9481-4B24-9D3C-C8A0CF05F6DA}">
      <dgm:prSet custT="1"/>
      <dgm:spPr/>
      <dgm:t>
        <a:bodyPr/>
        <a:lstStyle/>
        <a:p>
          <a:r>
            <a:rPr lang="en-US" sz="1100" b="1">
              <a:latin typeface="Arial" panose="020B0604020202020204" pitchFamily="34" charset="0"/>
              <a:cs typeface="Arial" panose="020B0604020202020204" pitchFamily="34" charset="0"/>
            </a:rPr>
            <a:t>Long-term (over 12 months)</a:t>
          </a:r>
          <a:endParaRPr lang="en-US" sz="1200" b="1">
            <a:latin typeface="Arial" panose="020B0604020202020204" pitchFamily="34" charset="0"/>
            <a:cs typeface="Arial" panose="020B0604020202020204" pitchFamily="34" charset="0"/>
          </a:endParaRPr>
        </a:p>
      </dgm:t>
    </dgm:pt>
    <dgm:pt modelId="{5BCFE1A5-C1F6-45FB-BDEA-DC97B73DB070}" type="parTrans" cxnId="{164AAB4D-7293-45A2-82D7-F535790477F2}">
      <dgm:prSet/>
      <dgm:spPr/>
      <dgm:t>
        <a:bodyPr/>
        <a:lstStyle/>
        <a:p>
          <a:endParaRPr lang="en-US"/>
        </a:p>
      </dgm:t>
    </dgm:pt>
    <dgm:pt modelId="{FC3A7A22-D9B7-4635-B741-D980E9AD9A25}" type="sibTrans" cxnId="{164AAB4D-7293-45A2-82D7-F535790477F2}">
      <dgm:prSet/>
      <dgm:spPr/>
      <dgm:t>
        <a:bodyPr/>
        <a:lstStyle/>
        <a:p>
          <a:endParaRPr lang="en-US"/>
        </a:p>
      </dgm:t>
    </dgm:pt>
    <dgm:pt modelId="{BCA60CFC-42E1-4703-83C0-4B9E88657222}" type="pres">
      <dgm:prSet presAssocID="{50084C0E-0D7E-4B62-831F-C927D6E79089}" presName="vert0" presStyleCnt="0">
        <dgm:presLayoutVars>
          <dgm:dir/>
          <dgm:animOne val="branch"/>
          <dgm:animLvl val="lvl"/>
        </dgm:presLayoutVars>
      </dgm:prSet>
      <dgm:spPr/>
      <dgm:t>
        <a:bodyPr/>
        <a:lstStyle/>
        <a:p>
          <a:endParaRPr lang="en-GB"/>
        </a:p>
      </dgm:t>
    </dgm:pt>
    <dgm:pt modelId="{FBEEB1EE-D004-4969-91A1-10AC49B5FBAC}" type="pres">
      <dgm:prSet presAssocID="{FBB12682-7036-4366-8E53-E6F171B65C7D}" presName="thickLine" presStyleLbl="alignNode1" presStyleIdx="0" presStyleCnt="4"/>
      <dgm:spPr/>
    </dgm:pt>
    <dgm:pt modelId="{3513ADC2-3328-4947-8F1F-96D0C5F304DD}" type="pres">
      <dgm:prSet presAssocID="{FBB12682-7036-4366-8E53-E6F171B65C7D}" presName="horz1" presStyleCnt="0"/>
      <dgm:spPr/>
    </dgm:pt>
    <dgm:pt modelId="{304529C6-11AE-45D2-B730-517B5BB8FEB6}" type="pres">
      <dgm:prSet presAssocID="{FBB12682-7036-4366-8E53-E6F171B65C7D}" presName="tx1" presStyleLbl="revTx" presStyleIdx="0" presStyleCnt="8" custFlipHor="1" custScaleX="123612"/>
      <dgm:spPr/>
      <dgm:t>
        <a:bodyPr/>
        <a:lstStyle/>
        <a:p>
          <a:endParaRPr lang="en-GB"/>
        </a:p>
      </dgm:t>
    </dgm:pt>
    <dgm:pt modelId="{3251AB86-22A0-4571-8D5D-04DEF4F94BEA}" type="pres">
      <dgm:prSet presAssocID="{FBB12682-7036-4366-8E53-E6F171B65C7D}" presName="vert1" presStyleCnt="0"/>
      <dgm:spPr/>
    </dgm:pt>
    <dgm:pt modelId="{C19DDAB5-2BF6-4FDE-8A3C-0415974CB346}" type="pres">
      <dgm:prSet presAssocID="{EB042D98-5752-4188-B49F-F4ED4336EC5B}" presName="vertSpace2a" presStyleCnt="0"/>
      <dgm:spPr/>
    </dgm:pt>
    <dgm:pt modelId="{6A638DE9-25A9-4813-BDF0-C2ABB9CCB9CF}" type="pres">
      <dgm:prSet presAssocID="{EB042D98-5752-4188-B49F-F4ED4336EC5B}" presName="horz2" presStyleCnt="0"/>
      <dgm:spPr/>
    </dgm:pt>
    <dgm:pt modelId="{E638BABC-3673-478D-867F-8CDA976787FF}" type="pres">
      <dgm:prSet presAssocID="{EB042D98-5752-4188-B49F-F4ED4336EC5B}" presName="horzSpace2" presStyleCnt="0"/>
      <dgm:spPr/>
    </dgm:pt>
    <dgm:pt modelId="{68D7DCBF-1D25-485C-881C-D731B1687CFC}" type="pres">
      <dgm:prSet presAssocID="{EB042D98-5752-4188-B49F-F4ED4336EC5B}" presName="tx2" presStyleLbl="revTx" presStyleIdx="1" presStyleCnt="8" custScaleY="83548"/>
      <dgm:spPr/>
      <dgm:t>
        <a:bodyPr/>
        <a:lstStyle/>
        <a:p>
          <a:endParaRPr lang="en-GB"/>
        </a:p>
      </dgm:t>
    </dgm:pt>
    <dgm:pt modelId="{3C7D1F5A-DFBD-403D-A469-9487E1E6B30E}" type="pres">
      <dgm:prSet presAssocID="{EB042D98-5752-4188-B49F-F4ED4336EC5B}" presName="vert2" presStyleCnt="0"/>
      <dgm:spPr/>
    </dgm:pt>
    <dgm:pt modelId="{ECFCFE69-F520-4857-AF47-91B9214FA785}" type="pres">
      <dgm:prSet presAssocID="{EB042D98-5752-4188-B49F-F4ED4336EC5B}" presName="thinLine2b" presStyleLbl="callout" presStyleIdx="0" presStyleCnt="4"/>
      <dgm:spPr/>
    </dgm:pt>
    <dgm:pt modelId="{0CB48B2F-C89F-4B8B-BF01-6B670C47212B}" type="pres">
      <dgm:prSet presAssocID="{EB042D98-5752-4188-B49F-F4ED4336EC5B}" presName="vertSpace2b" presStyleCnt="0"/>
      <dgm:spPr/>
    </dgm:pt>
    <dgm:pt modelId="{FDD027B6-C8E4-4723-ABB9-A5900514D7F0}" type="pres">
      <dgm:prSet presAssocID="{7E9D6887-0A4B-4CC1-8010-11C5C0A5A6F2}" presName="thickLine" presStyleLbl="alignNode1" presStyleIdx="1" presStyleCnt="4"/>
      <dgm:spPr/>
    </dgm:pt>
    <dgm:pt modelId="{A1CBA115-774B-4A85-88D9-1276E2232115}" type="pres">
      <dgm:prSet presAssocID="{7E9D6887-0A4B-4CC1-8010-11C5C0A5A6F2}" presName="horz1" presStyleCnt="0"/>
      <dgm:spPr/>
    </dgm:pt>
    <dgm:pt modelId="{4DF38DC1-1D3C-4CC9-855B-DD82C000A3F6}" type="pres">
      <dgm:prSet presAssocID="{7E9D6887-0A4B-4CC1-8010-11C5C0A5A6F2}" presName="tx1" presStyleLbl="revTx" presStyleIdx="2" presStyleCnt="8"/>
      <dgm:spPr/>
      <dgm:t>
        <a:bodyPr/>
        <a:lstStyle/>
        <a:p>
          <a:endParaRPr lang="en-GB"/>
        </a:p>
      </dgm:t>
    </dgm:pt>
    <dgm:pt modelId="{FE053EEB-E72A-43CB-80DD-4F7D6235F471}" type="pres">
      <dgm:prSet presAssocID="{7E9D6887-0A4B-4CC1-8010-11C5C0A5A6F2}" presName="vert1" presStyleCnt="0"/>
      <dgm:spPr/>
    </dgm:pt>
    <dgm:pt modelId="{0B58789D-9B4D-4139-A7D4-D83919519098}" type="pres">
      <dgm:prSet presAssocID="{9BBE1E70-51F3-4532-9D75-6CDE2394050C}" presName="vertSpace2a" presStyleCnt="0"/>
      <dgm:spPr/>
    </dgm:pt>
    <dgm:pt modelId="{13A80AEB-ABFA-4815-92FD-E3FCB8D465BB}" type="pres">
      <dgm:prSet presAssocID="{9BBE1E70-51F3-4532-9D75-6CDE2394050C}" presName="horz2" presStyleCnt="0"/>
      <dgm:spPr/>
    </dgm:pt>
    <dgm:pt modelId="{B95DC902-45C7-424B-B860-8CBD86C69470}" type="pres">
      <dgm:prSet presAssocID="{9BBE1E70-51F3-4532-9D75-6CDE2394050C}" presName="horzSpace2" presStyleCnt="0"/>
      <dgm:spPr/>
    </dgm:pt>
    <dgm:pt modelId="{DB02D1DB-29B2-4766-96E2-86F6813E5437}" type="pres">
      <dgm:prSet presAssocID="{9BBE1E70-51F3-4532-9D75-6CDE2394050C}" presName="tx2" presStyleLbl="revTx" presStyleIdx="3" presStyleCnt="8" custScaleX="94551" custScaleY="161401" custLinFactNeighborX="5662"/>
      <dgm:spPr/>
      <dgm:t>
        <a:bodyPr/>
        <a:lstStyle/>
        <a:p>
          <a:endParaRPr lang="en-GB"/>
        </a:p>
      </dgm:t>
    </dgm:pt>
    <dgm:pt modelId="{B3B10CCE-C34C-4F06-87C2-884662A48AC3}" type="pres">
      <dgm:prSet presAssocID="{9BBE1E70-51F3-4532-9D75-6CDE2394050C}" presName="vert2" presStyleCnt="0"/>
      <dgm:spPr/>
    </dgm:pt>
    <dgm:pt modelId="{462083DA-74F5-447E-BAFD-7D9E83E5CA08}" type="pres">
      <dgm:prSet presAssocID="{9BBE1E70-51F3-4532-9D75-6CDE2394050C}" presName="thinLine2b" presStyleLbl="callout" presStyleIdx="1" presStyleCnt="4"/>
      <dgm:spPr/>
    </dgm:pt>
    <dgm:pt modelId="{38D787AF-129D-4182-A33C-EE71AF6A437D}" type="pres">
      <dgm:prSet presAssocID="{9BBE1E70-51F3-4532-9D75-6CDE2394050C}" presName="vertSpace2b" presStyleCnt="0"/>
      <dgm:spPr/>
    </dgm:pt>
    <dgm:pt modelId="{4894AB41-655C-42D5-94C8-866116817AE5}" type="pres">
      <dgm:prSet presAssocID="{988782E3-A5D8-4E53-AB6F-DEA20E909A07}" presName="horz2" presStyleCnt="0"/>
      <dgm:spPr/>
    </dgm:pt>
    <dgm:pt modelId="{8110442B-91F5-45AC-ACC2-D782EB3947B7}" type="pres">
      <dgm:prSet presAssocID="{988782E3-A5D8-4E53-AB6F-DEA20E909A07}" presName="horzSpace2" presStyleCnt="0"/>
      <dgm:spPr/>
    </dgm:pt>
    <dgm:pt modelId="{AF58E2DA-3FB5-44B9-83B1-54D260CE5DA7}" type="pres">
      <dgm:prSet presAssocID="{988782E3-A5D8-4E53-AB6F-DEA20E909A07}" presName="tx2" presStyleLbl="revTx" presStyleIdx="4" presStyleCnt="8" custScaleX="94551" custScaleY="161401" custLinFactNeighborX="5662"/>
      <dgm:spPr/>
      <dgm:t>
        <a:bodyPr/>
        <a:lstStyle/>
        <a:p>
          <a:endParaRPr lang="en-GB"/>
        </a:p>
      </dgm:t>
    </dgm:pt>
    <dgm:pt modelId="{735AB070-7417-4AE5-ABBB-F6691F490268}" type="pres">
      <dgm:prSet presAssocID="{988782E3-A5D8-4E53-AB6F-DEA20E909A07}" presName="vert2" presStyleCnt="0"/>
      <dgm:spPr/>
    </dgm:pt>
    <dgm:pt modelId="{0C76747A-28A0-41FA-ACF1-0D5BE9E6F2B7}" type="pres">
      <dgm:prSet presAssocID="{988782E3-A5D8-4E53-AB6F-DEA20E909A07}" presName="thinLine2b" presStyleLbl="callout" presStyleIdx="2" presStyleCnt="4"/>
      <dgm:spPr/>
    </dgm:pt>
    <dgm:pt modelId="{FF303E8E-9C45-426E-9920-15CD42DDD727}" type="pres">
      <dgm:prSet presAssocID="{988782E3-A5D8-4E53-AB6F-DEA20E909A07}" presName="vertSpace2b" presStyleCnt="0"/>
      <dgm:spPr/>
    </dgm:pt>
    <dgm:pt modelId="{1372DA3A-C781-4E01-817A-D4D16F6329A4}" type="pres">
      <dgm:prSet presAssocID="{CE0A80CF-168E-4F6F-91D2-A28A5223EE56}" presName="horz2" presStyleCnt="0"/>
      <dgm:spPr/>
    </dgm:pt>
    <dgm:pt modelId="{9085CA95-CDA3-49A2-8A37-72AB4E3C5A31}" type="pres">
      <dgm:prSet presAssocID="{CE0A80CF-168E-4F6F-91D2-A28A5223EE56}" presName="horzSpace2" presStyleCnt="0"/>
      <dgm:spPr/>
    </dgm:pt>
    <dgm:pt modelId="{E1329EC6-E724-4FE6-B651-B61102B98412}" type="pres">
      <dgm:prSet presAssocID="{CE0A80CF-168E-4F6F-91D2-A28A5223EE56}" presName="tx2" presStyleLbl="revTx" presStyleIdx="5" presStyleCnt="8" custScaleX="94551" custScaleY="161401" custLinFactNeighborX="5662"/>
      <dgm:spPr/>
      <dgm:t>
        <a:bodyPr/>
        <a:lstStyle/>
        <a:p>
          <a:endParaRPr lang="en-GB"/>
        </a:p>
      </dgm:t>
    </dgm:pt>
    <dgm:pt modelId="{F6852D7D-4927-45E7-B5DE-8DD44023F0B7}" type="pres">
      <dgm:prSet presAssocID="{CE0A80CF-168E-4F6F-91D2-A28A5223EE56}" presName="vert2" presStyleCnt="0"/>
      <dgm:spPr/>
    </dgm:pt>
    <dgm:pt modelId="{A3E90B6E-2417-4C46-921C-878B961D7EDA}" type="pres">
      <dgm:prSet presAssocID="{CE0A80CF-168E-4F6F-91D2-A28A5223EE56}" presName="thinLine2b" presStyleLbl="callout" presStyleIdx="3" presStyleCnt="4"/>
      <dgm:spPr/>
    </dgm:pt>
    <dgm:pt modelId="{78FDDDF8-D952-459B-BDB8-E6039868B774}" type="pres">
      <dgm:prSet presAssocID="{CE0A80CF-168E-4F6F-91D2-A28A5223EE56}" presName="vertSpace2b" presStyleCnt="0"/>
      <dgm:spPr/>
    </dgm:pt>
    <dgm:pt modelId="{2DF18717-12F5-445C-B967-E4BF0ED55B02}" type="pres">
      <dgm:prSet presAssocID="{CCB35466-C43E-49A8-983C-AC790F4D5FF4}" presName="thickLine" presStyleLbl="alignNode1" presStyleIdx="2" presStyleCnt="4"/>
      <dgm:spPr/>
    </dgm:pt>
    <dgm:pt modelId="{09BB50B3-6E50-41A8-A19D-77358AFC7094}" type="pres">
      <dgm:prSet presAssocID="{CCB35466-C43E-49A8-983C-AC790F4D5FF4}" presName="horz1" presStyleCnt="0"/>
      <dgm:spPr/>
    </dgm:pt>
    <dgm:pt modelId="{21373DB6-585E-4CA9-944E-1BF9E202317D}" type="pres">
      <dgm:prSet presAssocID="{CCB35466-C43E-49A8-983C-AC790F4D5FF4}" presName="tx1" presStyleLbl="revTx" presStyleIdx="6" presStyleCnt="8"/>
      <dgm:spPr/>
      <dgm:t>
        <a:bodyPr/>
        <a:lstStyle/>
        <a:p>
          <a:endParaRPr lang="en-GB"/>
        </a:p>
      </dgm:t>
    </dgm:pt>
    <dgm:pt modelId="{82401422-40BA-4F2C-A54B-AB373C13678A}" type="pres">
      <dgm:prSet presAssocID="{CCB35466-C43E-49A8-983C-AC790F4D5FF4}" presName="vert1" presStyleCnt="0"/>
      <dgm:spPr/>
    </dgm:pt>
    <dgm:pt modelId="{78890785-4E74-46EA-A521-E052357A528E}" type="pres">
      <dgm:prSet presAssocID="{DF03D5B0-9481-4B24-9D3C-C8A0CF05F6DA}" presName="thickLine" presStyleLbl="alignNode1" presStyleIdx="3" presStyleCnt="4"/>
      <dgm:spPr/>
    </dgm:pt>
    <dgm:pt modelId="{D5CAD127-BC5C-4FE5-B6F7-1CE9B9C84BC8}" type="pres">
      <dgm:prSet presAssocID="{DF03D5B0-9481-4B24-9D3C-C8A0CF05F6DA}" presName="horz1" presStyleCnt="0"/>
      <dgm:spPr/>
    </dgm:pt>
    <dgm:pt modelId="{9C45ADCF-AB28-4B8F-8DDB-A0F4BA278C44}" type="pres">
      <dgm:prSet presAssocID="{DF03D5B0-9481-4B24-9D3C-C8A0CF05F6DA}" presName="tx1" presStyleLbl="revTx" presStyleIdx="7" presStyleCnt="8"/>
      <dgm:spPr/>
      <dgm:t>
        <a:bodyPr/>
        <a:lstStyle/>
        <a:p>
          <a:endParaRPr lang="en-GB"/>
        </a:p>
      </dgm:t>
    </dgm:pt>
    <dgm:pt modelId="{EEEAE938-DAEE-48FD-AEA6-1DE5FD165DD4}" type="pres">
      <dgm:prSet presAssocID="{DF03D5B0-9481-4B24-9D3C-C8A0CF05F6DA}" presName="vert1" presStyleCnt="0"/>
      <dgm:spPr/>
    </dgm:pt>
  </dgm:ptLst>
  <dgm:cxnLst>
    <dgm:cxn modelId="{8A896911-881B-44A7-A5DC-19F724692C37}" type="presOf" srcId="{FBB12682-7036-4366-8E53-E6F171B65C7D}" destId="{304529C6-11AE-45D2-B730-517B5BB8FEB6}" srcOrd="0" destOrd="0" presId="urn:microsoft.com/office/officeart/2008/layout/LinedList"/>
    <dgm:cxn modelId="{2255401D-1C47-4DE1-80F5-994004A2FD4D}" type="presOf" srcId="{CCB35466-C43E-49A8-983C-AC790F4D5FF4}" destId="{21373DB6-585E-4CA9-944E-1BF9E202317D}" srcOrd="0" destOrd="0" presId="urn:microsoft.com/office/officeart/2008/layout/LinedList"/>
    <dgm:cxn modelId="{258F124C-4AF5-49DF-99DF-AE223467F6A9}" srcId="{7E9D6887-0A4B-4CC1-8010-11C5C0A5A6F2}" destId="{9BBE1E70-51F3-4532-9D75-6CDE2394050C}" srcOrd="0" destOrd="0" parTransId="{D2944C6F-F620-4600-ABE5-A03DF99FD29B}" sibTransId="{7A4593F3-F4C0-4121-8ACD-2086620D006C}"/>
    <dgm:cxn modelId="{AF6E1CE4-DC9D-4780-8E33-C0C83E7C4A00}" srcId="{50084C0E-0D7E-4B62-831F-C927D6E79089}" destId="{CCB35466-C43E-49A8-983C-AC790F4D5FF4}" srcOrd="2" destOrd="0" parTransId="{7987A14E-26F9-40BA-97F4-C5338168D945}" sibTransId="{BFBE6209-49DE-44D1-BB32-9FCDDA10EB97}"/>
    <dgm:cxn modelId="{E485A2EF-2D1A-4110-BF3E-1D27C11D849B}" type="presOf" srcId="{9BBE1E70-51F3-4532-9D75-6CDE2394050C}" destId="{DB02D1DB-29B2-4766-96E2-86F6813E5437}" srcOrd="0" destOrd="0" presId="urn:microsoft.com/office/officeart/2008/layout/LinedList"/>
    <dgm:cxn modelId="{2AB79588-B12E-40BB-B913-8861E7EA7055}" type="presOf" srcId="{EB042D98-5752-4188-B49F-F4ED4336EC5B}" destId="{68D7DCBF-1D25-485C-881C-D731B1687CFC}" srcOrd="0" destOrd="0" presId="urn:microsoft.com/office/officeart/2008/layout/LinedList"/>
    <dgm:cxn modelId="{164AAB4D-7293-45A2-82D7-F535790477F2}" srcId="{50084C0E-0D7E-4B62-831F-C927D6E79089}" destId="{DF03D5B0-9481-4B24-9D3C-C8A0CF05F6DA}" srcOrd="3" destOrd="0" parTransId="{5BCFE1A5-C1F6-45FB-BDEA-DC97B73DB070}" sibTransId="{FC3A7A22-D9B7-4635-B741-D980E9AD9A25}"/>
    <dgm:cxn modelId="{B00AD496-867E-4091-91BD-6C27EE5D3109}" type="presOf" srcId="{DF03D5B0-9481-4B24-9D3C-C8A0CF05F6DA}" destId="{9C45ADCF-AB28-4B8F-8DDB-A0F4BA278C44}" srcOrd="0" destOrd="0" presId="urn:microsoft.com/office/officeart/2008/layout/LinedList"/>
    <dgm:cxn modelId="{F57228B3-544D-4500-9C4B-2B6225C9D05D}" type="presOf" srcId="{7E9D6887-0A4B-4CC1-8010-11C5C0A5A6F2}" destId="{4DF38DC1-1D3C-4CC9-855B-DD82C000A3F6}" srcOrd="0" destOrd="0" presId="urn:microsoft.com/office/officeart/2008/layout/LinedList"/>
    <dgm:cxn modelId="{545B71B5-D6E5-4954-973D-6C4A1A4694AA}" srcId="{7E9D6887-0A4B-4CC1-8010-11C5C0A5A6F2}" destId="{CE0A80CF-168E-4F6F-91D2-A28A5223EE56}" srcOrd="2" destOrd="0" parTransId="{21E8053B-CE9C-4294-8C4F-7E2BBF7B1812}" sibTransId="{F621D62F-F914-4584-8695-1E8FFDCEA680}"/>
    <dgm:cxn modelId="{4109DD35-5AA6-4A1E-AD29-70F63C92C2F4}" srcId="{FBB12682-7036-4366-8E53-E6F171B65C7D}" destId="{EB042D98-5752-4188-B49F-F4ED4336EC5B}" srcOrd="0" destOrd="0" parTransId="{6EBB17E7-DBE5-4997-A6D1-204AC749D710}" sibTransId="{9FB11F89-453C-4E8A-9BBA-BC029C75D4A1}"/>
    <dgm:cxn modelId="{2C059F5F-A86C-49B7-B8A4-EB5B782A6680}" srcId="{50084C0E-0D7E-4B62-831F-C927D6E79089}" destId="{FBB12682-7036-4366-8E53-E6F171B65C7D}" srcOrd="0" destOrd="0" parTransId="{DB9204D5-9AE2-43DC-AA2D-5206C3845066}" sibTransId="{6B960D6A-8702-44D6-9585-A86EF5F45325}"/>
    <dgm:cxn modelId="{56DBA42B-25F0-45D1-B222-84E4C6273B43}" type="presOf" srcId="{50084C0E-0D7E-4B62-831F-C927D6E79089}" destId="{BCA60CFC-42E1-4703-83C0-4B9E88657222}" srcOrd="0" destOrd="0" presId="urn:microsoft.com/office/officeart/2008/layout/LinedList"/>
    <dgm:cxn modelId="{885F9585-E3F5-4C33-A99F-79646E8C15CC}" srcId="{7E9D6887-0A4B-4CC1-8010-11C5C0A5A6F2}" destId="{988782E3-A5D8-4E53-AB6F-DEA20E909A07}" srcOrd="1" destOrd="0" parTransId="{DBD295B5-77F4-4D4E-8E0A-1877C956253C}" sibTransId="{EBBC0958-7BE9-48E6-ADB0-A63C58F8F10D}"/>
    <dgm:cxn modelId="{4C8AEF99-555C-45B2-8DF2-46F549AAA6B6}" type="presOf" srcId="{988782E3-A5D8-4E53-AB6F-DEA20E909A07}" destId="{AF58E2DA-3FB5-44B9-83B1-54D260CE5DA7}" srcOrd="0" destOrd="0" presId="urn:microsoft.com/office/officeart/2008/layout/LinedList"/>
    <dgm:cxn modelId="{336D730F-4068-4FCE-87E3-D173B18FC725}" srcId="{50084C0E-0D7E-4B62-831F-C927D6E79089}" destId="{7E9D6887-0A4B-4CC1-8010-11C5C0A5A6F2}" srcOrd="1" destOrd="0" parTransId="{FC0A1E36-8D12-4ADA-8765-C66DE42C1A88}" sibTransId="{A77D3F78-A02F-468D-88F6-BDFC861F96D7}"/>
    <dgm:cxn modelId="{33E84D1A-5315-4561-8928-CEF957BFC282}" type="presOf" srcId="{CE0A80CF-168E-4F6F-91D2-A28A5223EE56}" destId="{E1329EC6-E724-4FE6-B651-B61102B98412}" srcOrd="0" destOrd="0" presId="urn:microsoft.com/office/officeart/2008/layout/LinedList"/>
    <dgm:cxn modelId="{CF5F1F60-FA23-43F0-8EF2-3642A72D46F6}" type="presParOf" srcId="{BCA60CFC-42E1-4703-83C0-4B9E88657222}" destId="{FBEEB1EE-D004-4969-91A1-10AC49B5FBAC}" srcOrd="0" destOrd="0" presId="urn:microsoft.com/office/officeart/2008/layout/LinedList"/>
    <dgm:cxn modelId="{43DEF1BD-6178-4D2A-AEFF-D1598327BA3F}" type="presParOf" srcId="{BCA60CFC-42E1-4703-83C0-4B9E88657222}" destId="{3513ADC2-3328-4947-8F1F-96D0C5F304DD}" srcOrd="1" destOrd="0" presId="urn:microsoft.com/office/officeart/2008/layout/LinedList"/>
    <dgm:cxn modelId="{4E719389-7DE3-4650-AFFF-E2396FC8EC25}" type="presParOf" srcId="{3513ADC2-3328-4947-8F1F-96D0C5F304DD}" destId="{304529C6-11AE-45D2-B730-517B5BB8FEB6}" srcOrd="0" destOrd="0" presId="urn:microsoft.com/office/officeart/2008/layout/LinedList"/>
    <dgm:cxn modelId="{4867FD92-98A6-45A0-A06F-977DB0B47BBE}" type="presParOf" srcId="{3513ADC2-3328-4947-8F1F-96D0C5F304DD}" destId="{3251AB86-22A0-4571-8D5D-04DEF4F94BEA}" srcOrd="1" destOrd="0" presId="urn:microsoft.com/office/officeart/2008/layout/LinedList"/>
    <dgm:cxn modelId="{FC84A217-4336-4DAA-8222-A46E5747C929}" type="presParOf" srcId="{3251AB86-22A0-4571-8D5D-04DEF4F94BEA}" destId="{C19DDAB5-2BF6-4FDE-8A3C-0415974CB346}" srcOrd="0" destOrd="0" presId="urn:microsoft.com/office/officeart/2008/layout/LinedList"/>
    <dgm:cxn modelId="{5443A3A6-B7DF-482C-A34A-40A4A6736696}" type="presParOf" srcId="{3251AB86-22A0-4571-8D5D-04DEF4F94BEA}" destId="{6A638DE9-25A9-4813-BDF0-C2ABB9CCB9CF}" srcOrd="1" destOrd="0" presId="urn:microsoft.com/office/officeart/2008/layout/LinedList"/>
    <dgm:cxn modelId="{480BD209-409A-41CA-92A9-BC45F2FC0F04}" type="presParOf" srcId="{6A638DE9-25A9-4813-BDF0-C2ABB9CCB9CF}" destId="{E638BABC-3673-478D-867F-8CDA976787FF}" srcOrd="0" destOrd="0" presId="urn:microsoft.com/office/officeart/2008/layout/LinedList"/>
    <dgm:cxn modelId="{EBF151B8-DB14-458E-A9A1-7DDBD2272C0D}" type="presParOf" srcId="{6A638DE9-25A9-4813-BDF0-C2ABB9CCB9CF}" destId="{68D7DCBF-1D25-485C-881C-D731B1687CFC}" srcOrd="1" destOrd="0" presId="urn:microsoft.com/office/officeart/2008/layout/LinedList"/>
    <dgm:cxn modelId="{0B2A43BB-21F9-4375-BDB2-CC8D6FD8FD23}" type="presParOf" srcId="{6A638DE9-25A9-4813-BDF0-C2ABB9CCB9CF}" destId="{3C7D1F5A-DFBD-403D-A469-9487E1E6B30E}" srcOrd="2" destOrd="0" presId="urn:microsoft.com/office/officeart/2008/layout/LinedList"/>
    <dgm:cxn modelId="{60A00433-85D4-4705-9A0E-00267102A580}" type="presParOf" srcId="{3251AB86-22A0-4571-8D5D-04DEF4F94BEA}" destId="{ECFCFE69-F520-4857-AF47-91B9214FA785}" srcOrd="2" destOrd="0" presId="urn:microsoft.com/office/officeart/2008/layout/LinedList"/>
    <dgm:cxn modelId="{530FC8D1-3D90-47B9-9A92-92A762E599A3}" type="presParOf" srcId="{3251AB86-22A0-4571-8D5D-04DEF4F94BEA}" destId="{0CB48B2F-C89F-4B8B-BF01-6B670C47212B}" srcOrd="3" destOrd="0" presId="urn:microsoft.com/office/officeart/2008/layout/LinedList"/>
    <dgm:cxn modelId="{518F8FE9-8F60-492B-9454-C0614AC869FE}" type="presParOf" srcId="{BCA60CFC-42E1-4703-83C0-4B9E88657222}" destId="{FDD027B6-C8E4-4723-ABB9-A5900514D7F0}" srcOrd="2" destOrd="0" presId="urn:microsoft.com/office/officeart/2008/layout/LinedList"/>
    <dgm:cxn modelId="{6235A870-411E-4BFE-A06E-FCD516947211}" type="presParOf" srcId="{BCA60CFC-42E1-4703-83C0-4B9E88657222}" destId="{A1CBA115-774B-4A85-88D9-1276E2232115}" srcOrd="3" destOrd="0" presId="urn:microsoft.com/office/officeart/2008/layout/LinedList"/>
    <dgm:cxn modelId="{5E7D6D83-C2BA-433F-8C70-E155FD582D5F}" type="presParOf" srcId="{A1CBA115-774B-4A85-88D9-1276E2232115}" destId="{4DF38DC1-1D3C-4CC9-855B-DD82C000A3F6}" srcOrd="0" destOrd="0" presId="urn:microsoft.com/office/officeart/2008/layout/LinedList"/>
    <dgm:cxn modelId="{35475C01-CA3D-4B24-9E7E-7490F0FCEA9D}" type="presParOf" srcId="{A1CBA115-774B-4A85-88D9-1276E2232115}" destId="{FE053EEB-E72A-43CB-80DD-4F7D6235F471}" srcOrd="1" destOrd="0" presId="urn:microsoft.com/office/officeart/2008/layout/LinedList"/>
    <dgm:cxn modelId="{62270DC1-ABEA-4EA1-AC5F-C2D3185B6625}" type="presParOf" srcId="{FE053EEB-E72A-43CB-80DD-4F7D6235F471}" destId="{0B58789D-9B4D-4139-A7D4-D83919519098}" srcOrd="0" destOrd="0" presId="urn:microsoft.com/office/officeart/2008/layout/LinedList"/>
    <dgm:cxn modelId="{55EF7040-4DA9-430F-AA9F-D8DD922F8EEC}" type="presParOf" srcId="{FE053EEB-E72A-43CB-80DD-4F7D6235F471}" destId="{13A80AEB-ABFA-4815-92FD-E3FCB8D465BB}" srcOrd="1" destOrd="0" presId="urn:microsoft.com/office/officeart/2008/layout/LinedList"/>
    <dgm:cxn modelId="{782DCEDC-6FF4-4D38-B3D6-C9300EE74936}" type="presParOf" srcId="{13A80AEB-ABFA-4815-92FD-E3FCB8D465BB}" destId="{B95DC902-45C7-424B-B860-8CBD86C69470}" srcOrd="0" destOrd="0" presId="urn:microsoft.com/office/officeart/2008/layout/LinedList"/>
    <dgm:cxn modelId="{5EB86E4B-61F4-4AAC-B246-423BBBC622E5}" type="presParOf" srcId="{13A80AEB-ABFA-4815-92FD-E3FCB8D465BB}" destId="{DB02D1DB-29B2-4766-96E2-86F6813E5437}" srcOrd="1" destOrd="0" presId="urn:microsoft.com/office/officeart/2008/layout/LinedList"/>
    <dgm:cxn modelId="{150988EE-672B-46BD-9385-1CB2DEC0816D}" type="presParOf" srcId="{13A80AEB-ABFA-4815-92FD-E3FCB8D465BB}" destId="{B3B10CCE-C34C-4F06-87C2-884662A48AC3}" srcOrd="2" destOrd="0" presId="urn:microsoft.com/office/officeart/2008/layout/LinedList"/>
    <dgm:cxn modelId="{C64F2357-0D7F-42B9-9A32-DBBE6721793D}" type="presParOf" srcId="{FE053EEB-E72A-43CB-80DD-4F7D6235F471}" destId="{462083DA-74F5-447E-BAFD-7D9E83E5CA08}" srcOrd="2" destOrd="0" presId="urn:microsoft.com/office/officeart/2008/layout/LinedList"/>
    <dgm:cxn modelId="{EB5C10C9-3C08-4B68-B8E6-D21962CA02E3}" type="presParOf" srcId="{FE053EEB-E72A-43CB-80DD-4F7D6235F471}" destId="{38D787AF-129D-4182-A33C-EE71AF6A437D}" srcOrd="3" destOrd="0" presId="urn:microsoft.com/office/officeart/2008/layout/LinedList"/>
    <dgm:cxn modelId="{F9CA9E55-BE01-4DCD-B4A2-61F9ED96DDEF}" type="presParOf" srcId="{FE053EEB-E72A-43CB-80DD-4F7D6235F471}" destId="{4894AB41-655C-42D5-94C8-866116817AE5}" srcOrd="4" destOrd="0" presId="urn:microsoft.com/office/officeart/2008/layout/LinedList"/>
    <dgm:cxn modelId="{ACC2D53F-ECD0-4458-A7ED-25C167C90AD5}" type="presParOf" srcId="{4894AB41-655C-42D5-94C8-866116817AE5}" destId="{8110442B-91F5-45AC-ACC2-D782EB3947B7}" srcOrd="0" destOrd="0" presId="urn:microsoft.com/office/officeart/2008/layout/LinedList"/>
    <dgm:cxn modelId="{D383E211-7E3D-4CA2-AAD2-B9B70335B764}" type="presParOf" srcId="{4894AB41-655C-42D5-94C8-866116817AE5}" destId="{AF58E2DA-3FB5-44B9-83B1-54D260CE5DA7}" srcOrd="1" destOrd="0" presId="urn:microsoft.com/office/officeart/2008/layout/LinedList"/>
    <dgm:cxn modelId="{834A4CDC-B3F3-48E4-A68D-AF6B605A9CFF}" type="presParOf" srcId="{4894AB41-655C-42D5-94C8-866116817AE5}" destId="{735AB070-7417-4AE5-ABBB-F6691F490268}" srcOrd="2" destOrd="0" presId="urn:microsoft.com/office/officeart/2008/layout/LinedList"/>
    <dgm:cxn modelId="{2EE0088E-EBDA-4CF9-8C2B-EB53DD20F4E4}" type="presParOf" srcId="{FE053EEB-E72A-43CB-80DD-4F7D6235F471}" destId="{0C76747A-28A0-41FA-ACF1-0D5BE9E6F2B7}" srcOrd="5" destOrd="0" presId="urn:microsoft.com/office/officeart/2008/layout/LinedList"/>
    <dgm:cxn modelId="{2BDE5E5E-3D2C-40D2-8144-FE232FD42D3D}" type="presParOf" srcId="{FE053EEB-E72A-43CB-80DD-4F7D6235F471}" destId="{FF303E8E-9C45-426E-9920-15CD42DDD727}" srcOrd="6" destOrd="0" presId="urn:microsoft.com/office/officeart/2008/layout/LinedList"/>
    <dgm:cxn modelId="{06179801-1EC9-4833-B691-11CF91CDDDCB}" type="presParOf" srcId="{FE053EEB-E72A-43CB-80DD-4F7D6235F471}" destId="{1372DA3A-C781-4E01-817A-D4D16F6329A4}" srcOrd="7" destOrd="0" presId="urn:microsoft.com/office/officeart/2008/layout/LinedList"/>
    <dgm:cxn modelId="{4AD3B08E-8327-4F1F-B1F3-70FB3DBBEF46}" type="presParOf" srcId="{1372DA3A-C781-4E01-817A-D4D16F6329A4}" destId="{9085CA95-CDA3-49A2-8A37-72AB4E3C5A31}" srcOrd="0" destOrd="0" presId="urn:microsoft.com/office/officeart/2008/layout/LinedList"/>
    <dgm:cxn modelId="{1882C465-9317-4076-BDB8-A09B248656EA}" type="presParOf" srcId="{1372DA3A-C781-4E01-817A-D4D16F6329A4}" destId="{E1329EC6-E724-4FE6-B651-B61102B98412}" srcOrd="1" destOrd="0" presId="urn:microsoft.com/office/officeart/2008/layout/LinedList"/>
    <dgm:cxn modelId="{29FF3F7C-549B-4597-9782-D5C8D514D3B3}" type="presParOf" srcId="{1372DA3A-C781-4E01-817A-D4D16F6329A4}" destId="{F6852D7D-4927-45E7-B5DE-8DD44023F0B7}" srcOrd="2" destOrd="0" presId="urn:microsoft.com/office/officeart/2008/layout/LinedList"/>
    <dgm:cxn modelId="{0497F590-9EC8-4E1A-B449-5D1103D7D99D}" type="presParOf" srcId="{FE053EEB-E72A-43CB-80DD-4F7D6235F471}" destId="{A3E90B6E-2417-4C46-921C-878B961D7EDA}" srcOrd="8" destOrd="0" presId="urn:microsoft.com/office/officeart/2008/layout/LinedList"/>
    <dgm:cxn modelId="{1F0BC8F5-4ADA-496B-AB16-D8DACAAFF5DF}" type="presParOf" srcId="{FE053EEB-E72A-43CB-80DD-4F7D6235F471}" destId="{78FDDDF8-D952-459B-BDB8-E6039868B774}" srcOrd="9" destOrd="0" presId="urn:microsoft.com/office/officeart/2008/layout/LinedList"/>
    <dgm:cxn modelId="{D31EFAF6-84E0-47E2-AA0F-2DCCF4C4682B}" type="presParOf" srcId="{BCA60CFC-42E1-4703-83C0-4B9E88657222}" destId="{2DF18717-12F5-445C-B967-E4BF0ED55B02}" srcOrd="4" destOrd="0" presId="urn:microsoft.com/office/officeart/2008/layout/LinedList"/>
    <dgm:cxn modelId="{2F9EC029-00BF-40B0-8636-CF66ED089795}" type="presParOf" srcId="{BCA60CFC-42E1-4703-83C0-4B9E88657222}" destId="{09BB50B3-6E50-41A8-A19D-77358AFC7094}" srcOrd="5" destOrd="0" presId="urn:microsoft.com/office/officeart/2008/layout/LinedList"/>
    <dgm:cxn modelId="{3FB75D68-8F23-4C64-9F1D-4E18A42E92B9}" type="presParOf" srcId="{09BB50B3-6E50-41A8-A19D-77358AFC7094}" destId="{21373DB6-585E-4CA9-944E-1BF9E202317D}" srcOrd="0" destOrd="0" presId="urn:microsoft.com/office/officeart/2008/layout/LinedList"/>
    <dgm:cxn modelId="{D3BCBE11-BAE6-4A9E-8614-C539232A5C70}" type="presParOf" srcId="{09BB50B3-6E50-41A8-A19D-77358AFC7094}" destId="{82401422-40BA-4F2C-A54B-AB373C13678A}" srcOrd="1" destOrd="0" presId="urn:microsoft.com/office/officeart/2008/layout/LinedList"/>
    <dgm:cxn modelId="{141FB2B9-FB3F-41A3-8474-5C852C06EF17}" type="presParOf" srcId="{BCA60CFC-42E1-4703-83C0-4B9E88657222}" destId="{78890785-4E74-46EA-A521-E052357A528E}" srcOrd="6" destOrd="0" presId="urn:microsoft.com/office/officeart/2008/layout/LinedList"/>
    <dgm:cxn modelId="{FDAAB751-E050-48A6-8DEF-E286515D9619}" type="presParOf" srcId="{BCA60CFC-42E1-4703-83C0-4B9E88657222}" destId="{D5CAD127-BC5C-4FE5-B6F7-1CE9B9C84BC8}" srcOrd="7" destOrd="0" presId="urn:microsoft.com/office/officeart/2008/layout/LinedList"/>
    <dgm:cxn modelId="{FC4C6C04-400D-4AE4-91B2-F00436A675FA}" type="presParOf" srcId="{D5CAD127-BC5C-4FE5-B6F7-1CE9B9C84BC8}" destId="{9C45ADCF-AB28-4B8F-8DDB-A0F4BA278C44}" srcOrd="0" destOrd="0" presId="urn:microsoft.com/office/officeart/2008/layout/LinedList"/>
    <dgm:cxn modelId="{66F52319-AF0E-4565-9DB8-6EFC4CB1B128}" type="presParOf" srcId="{D5CAD127-BC5C-4FE5-B6F7-1CE9B9C84BC8}" destId="{EEEAE938-DAEE-48FD-AEA6-1DE5FD165DD4}" srcOrd="1" destOrd="0" presId="urn:microsoft.com/office/officeart/2008/layout/LinedList"/>
  </dgm:cxnLst>
  <dgm:bg/>
  <dgm:whole/>
  <dgm:extLst>
    <a:ext uri="http://schemas.microsoft.com/office/drawing/2008/diagram">
      <dsp:dataModelExt xmlns:dsp="http://schemas.microsoft.com/office/drawing/2008/diagram" relId="rId54"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C95BAFEB-50E8-4143-9814-972FDC8CCA80}" type="doc">
      <dgm:prSet loTypeId="urn:diagrams.loki3.com/VaryingWidthList" loCatId="list" qsTypeId="urn:microsoft.com/office/officeart/2005/8/quickstyle/simple1" qsCatId="simple" csTypeId="urn:microsoft.com/office/officeart/2005/8/colors/accent0_1" csCatId="mainScheme" phldr="1"/>
      <dgm:spPr/>
    </dgm:pt>
    <dgm:pt modelId="{19DA12DF-DFC0-40F5-AB44-5F545EDEA0D4}">
      <dgm:prSet phldrT="[Text]" custT="1"/>
      <dgm:spPr/>
      <dgm:t>
        <a:bodyPr/>
        <a:lstStyle/>
        <a:p>
          <a:endParaRPr lang="en-GB" sz="1200">
            <a:latin typeface="Arial" panose="020B0604020202020204" pitchFamily="34" charset="0"/>
            <a:cs typeface="Arial" panose="020B0604020202020204" pitchFamily="34" charset="0"/>
          </a:endParaRPr>
        </a:p>
        <a:p>
          <a:r>
            <a:rPr lang="en-GB" sz="1100">
              <a:latin typeface="Arial" panose="020B0604020202020204" pitchFamily="34" charset="0"/>
              <a:cs typeface="Arial" panose="020B0604020202020204" pitchFamily="34" charset="0"/>
            </a:rPr>
            <a:t>Competitive pricing and stronger marketing initiatives led to higher occupancy rates and revenue. </a:t>
          </a:r>
          <a:br>
            <a:rPr lang="en-GB" sz="1100">
              <a:latin typeface="Arial" panose="020B0604020202020204" pitchFamily="34" charset="0"/>
              <a:cs typeface="Arial" panose="020B0604020202020204" pitchFamily="34" charset="0"/>
            </a:rPr>
          </a:br>
          <a:endParaRPr lang="en-US" sz="1100">
            <a:latin typeface="Arial" panose="020B0604020202020204" pitchFamily="34" charset="0"/>
            <a:cs typeface="Arial" panose="020B0604020202020204" pitchFamily="34" charset="0"/>
          </a:endParaRPr>
        </a:p>
      </dgm:t>
    </dgm:pt>
    <dgm:pt modelId="{6A2C2DA1-2D49-4979-A03A-B847BC6EAD01}" type="parTrans" cxnId="{55041148-E249-4049-8540-98C6A3132FF0}">
      <dgm:prSet/>
      <dgm:spPr/>
      <dgm:t>
        <a:bodyPr/>
        <a:lstStyle/>
        <a:p>
          <a:endParaRPr lang="en-US"/>
        </a:p>
      </dgm:t>
    </dgm:pt>
    <dgm:pt modelId="{DDA58E99-43F6-489F-ACA9-7B3065F2C788}" type="sibTrans" cxnId="{55041148-E249-4049-8540-98C6A3132FF0}">
      <dgm:prSet/>
      <dgm:spPr/>
      <dgm:t>
        <a:bodyPr/>
        <a:lstStyle/>
        <a:p>
          <a:endParaRPr lang="en-US"/>
        </a:p>
      </dgm:t>
    </dgm:pt>
    <dgm:pt modelId="{485063CE-25E5-4A3A-B7D3-DB3564D8DECF}">
      <dgm:prSet phldrT="[Text]" custT="1"/>
      <dgm:spPr/>
      <dgm:t>
        <a:bodyPr/>
        <a:lstStyle/>
        <a:p>
          <a:r>
            <a:rPr lang="en-GB" sz="1100">
              <a:latin typeface="Arial" panose="020B0604020202020204" pitchFamily="34" charset="0"/>
              <a:cs typeface="Arial" panose="020B0604020202020204" pitchFamily="34" charset="0"/>
            </a:rPr>
            <a:t>Better service and amenities result in higher customer satisfaction and repeat business. </a:t>
          </a:r>
          <a:endParaRPr lang="en-US" sz="1100">
            <a:latin typeface="Arial" panose="020B0604020202020204" pitchFamily="34" charset="0"/>
            <a:cs typeface="Arial" panose="020B0604020202020204" pitchFamily="34" charset="0"/>
          </a:endParaRPr>
        </a:p>
      </dgm:t>
    </dgm:pt>
    <dgm:pt modelId="{0417C39D-4D47-44C0-9A8A-4E14A0CC78FD}" type="parTrans" cxnId="{4B9E0BAE-34BA-4973-8782-0F59BE825ADE}">
      <dgm:prSet/>
      <dgm:spPr/>
      <dgm:t>
        <a:bodyPr/>
        <a:lstStyle/>
        <a:p>
          <a:endParaRPr lang="en-US"/>
        </a:p>
      </dgm:t>
    </dgm:pt>
    <dgm:pt modelId="{00082752-6BD1-4202-BD67-658D86EAD8A6}" type="sibTrans" cxnId="{4B9E0BAE-34BA-4973-8782-0F59BE825ADE}">
      <dgm:prSet/>
      <dgm:spPr/>
      <dgm:t>
        <a:bodyPr/>
        <a:lstStyle/>
        <a:p>
          <a:endParaRPr lang="en-US"/>
        </a:p>
      </dgm:t>
    </dgm:pt>
    <dgm:pt modelId="{71240CC1-17F3-4BE8-AD2B-AC6E120497CC}">
      <dgm:prSet phldrT="[Text]" custT="1"/>
      <dgm:spPr/>
      <dgm:t>
        <a:bodyPr/>
        <a:lstStyle/>
        <a:p>
          <a:r>
            <a:rPr lang="en-GB" sz="1100">
              <a:latin typeface="Arial" panose="020B0604020202020204" pitchFamily="34" charset="0"/>
              <a:cs typeface="Arial" panose="020B0604020202020204" pitchFamily="34" charset="0"/>
            </a:rPr>
            <a:t>Better management and cost-cutting strategies lead to more efficient operations and fewer expenses. </a:t>
          </a:r>
          <a:endParaRPr lang="en-US" sz="1100">
            <a:latin typeface="Arial" panose="020B0604020202020204" pitchFamily="34" charset="0"/>
            <a:cs typeface="Arial" panose="020B0604020202020204" pitchFamily="34" charset="0"/>
          </a:endParaRPr>
        </a:p>
      </dgm:t>
    </dgm:pt>
    <dgm:pt modelId="{35FD4F5E-6DF2-4AA5-AF26-58B98BBAC9C7}" type="parTrans" cxnId="{39E6B21F-F04F-4F4B-8C8F-4A278F4C65D9}">
      <dgm:prSet/>
      <dgm:spPr/>
      <dgm:t>
        <a:bodyPr/>
        <a:lstStyle/>
        <a:p>
          <a:endParaRPr lang="en-US"/>
        </a:p>
      </dgm:t>
    </dgm:pt>
    <dgm:pt modelId="{3A86B4F9-5612-4F91-A616-3344BB9A5DC7}" type="sibTrans" cxnId="{39E6B21F-F04F-4F4B-8C8F-4A278F4C65D9}">
      <dgm:prSet/>
      <dgm:spPr/>
      <dgm:t>
        <a:bodyPr/>
        <a:lstStyle/>
        <a:p>
          <a:endParaRPr lang="en-US"/>
        </a:p>
      </dgm:t>
    </dgm:pt>
    <dgm:pt modelId="{7789586E-19B1-44B3-A6C8-39C1EB681494}">
      <dgm:prSet phldrT="[Text]" custT="1"/>
      <dgm:spPr/>
      <dgm:t>
        <a:bodyPr/>
        <a:lstStyle/>
        <a:p>
          <a:r>
            <a:rPr lang="en-GB" sz="1100">
              <a:latin typeface="Arial" panose="020B0604020202020204" pitchFamily="34" charset="0"/>
              <a:cs typeface="Arial" panose="020B0604020202020204" pitchFamily="34" charset="0"/>
            </a:rPr>
            <a:t>A restored reputation, leading in more guests and positive remarks. </a:t>
          </a:r>
          <a:br>
            <a:rPr lang="en-GB" sz="1100">
              <a:latin typeface="Arial" panose="020B0604020202020204" pitchFamily="34" charset="0"/>
              <a:cs typeface="Arial" panose="020B0604020202020204" pitchFamily="34" charset="0"/>
            </a:rPr>
          </a:br>
          <a:endParaRPr lang="en-US" sz="1100">
            <a:latin typeface="Arial" panose="020B0604020202020204" pitchFamily="34" charset="0"/>
            <a:cs typeface="Arial" panose="020B0604020202020204" pitchFamily="34" charset="0"/>
          </a:endParaRPr>
        </a:p>
      </dgm:t>
    </dgm:pt>
    <dgm:pt modelId="{6C8139FB-B324-4A54-B5C8-D38E1AE147B1}" type="parTrans" cxnId="{0CA81EFB-7255-448E-B0D1-7BE8AFDC9E11}">
      <dgm:prSet/>
      <dgm:spPr/>
      <dgm:t>
        <a:bodyPr/>
        <a:lstStyle/>
        <a:p>
          <a:endParaRPr lang="en-US"/>
        </a:p>
      </dgm:t>
    </dgm:pt>
    <dgm:pt modelId="{F827DD45-91FF-4745-AA89-25C2779218EA}" type="sibTrans" cxnId="{0CA81EFB-7255-448E-B0D1-7BE8AFDC9E11}">
      <dgm:prSet/>
      <dgm:spPr/>
      <dgm:t>
        <a:bodyPr/>
        <a:lstStyle/>
        <a:p>
          <a:endParaRPr lang="en-US"/>
        </a:p>
      </dgm:t>
    </dgm:pt>
    <dgm:pt modelId="{16208094-92C9-42D2-93E4-02461CB3D7C4}">
      <dgm:prSet phldrT="[Text]" custT="1"/>
      <dgm:spPr/>
      <dgm:t>
        <a:bodyPr/>
        <a:lstStyle/>
        <a:p>
          <a:r>
            <a:rPr lang="en-US" sz="1100">
              <a:latin typeface="Arial" panose="020B0604020202020204" pitchFamily="34" charset="0"/>
              <a:cs typeface="Arial" panose="020B0604020202020204" pitchFamily="34" charset="0"/>
            </a:rPr>
            <a:t>Enhanced financial stability through higher cash flow, debt restructuring, and potential equity infusion. </a:t>
          </a:r>
        </a:p>
      </dgm:t>
    </dgm:pt>
    <dgm:pt modelId="{2E1B7E8D-5EF2-4BA5-838B-FC6247CD4CF1}" type="parTrans" cxnId="{B14B0AA7-FC6C-41CE-B7DC-B8A947A51972}">
      <dgm:prSet/>
      <dgm:spPr/>
      <dgm:t>
        <a:bodyPr/>
        <a:lstStyle/>
        <a:p>
          <a:endParaRPr lang="en-US"/>
        </a:p>
      </dgm:t>
    </dgm:pt>
    <dgm:pt modelId="{EBE350DA-CB06-4254-B2B3-7CC724F53D35}" type="sibTrans" cxnId="{B14B0AA7-FC6C-41CE-B7DC-B8A947A51972}">
      <dgm:prSet/>
      <dgm:spPr/>
      <dgm:t>
        <a:bodyPr/>
        <a:lstStyle/>
        <a:p>
          <a:endParaRPr lang="en-US"/>
        </a:p>
      </dgm:t>
    </dgm:pt>
    <dgm:pt modelId="{661ED414-0754-49D1-B13D-ACD47A4A9F40}" type="pres">
      <dgm:prSet presAssocID="{C95BAFEB-50E8-4143-9814-972FDC8CCA80}" presName="Name0" presStyleCnt="0">
        <dgm:presLayoutVars>
          <dgm:resizeHandles/>
        </dgm:presLayoutVars>
      </dgm:prSet>
      <dgm:spPr/>
    </dgm:pt>
    <dgm:pt modelId="{3AD157D0-D824-40C5-9A56-B7132F225075}" type="pres">
      <dgm:prSet presAssocID="{19DA12DF-DFC0-40F5-AB44-5F545EDEA0D4}" presName="text" presStyleLbl="node1" presStyleIdx="0" presStyleCnt="5" custScaleX="762000">
        <dgm:presLayoutVars>
          <dgm:bulletEnabled val="1"/>
        </dgm:presLayoutVars>
      </dgm:prSet>
      <dgm:spPr/>
      <dgm:t>
        <a:bodyPr/>
        <a:lstStyle/>
        <a:p>
          <a:endParaRPr lang="en-GB"/>
        </a:p>
      </dgm:t>
    </dgm:pt>
    <dgm:pt modelId="{B7231C94-E1BB-4746-8472-8365D99369E9}" type="pres">
      <dgm:prSet presAssocID="{DDA58E99-43F6-489F-ACA9-7B3065F2C788}" presName="space" presStyleCnt="0"/>
      <dgm:spPr/>
    </dgm:pt>
    <dgm:pt modelId="{E7D746E7-D403-4C39-B9E2-E573D3D538DF}" type="pres">
      <dgm:prSet presAssocID="{485063CE-25E5-4A3A-B7D3-DB3564D8DECF}" presName="text" presStyleLbl="node1" presStyleIdx="1" presStyleCnt="5" custScaleX="762000">
        <dgm:presLayoutVars>
          <dgm:bulletEnabled val="1"/>
        </dgm:presLayoutVars>
      </dgm:prSet>
      <dgm:spPr/>
      <dgm:t>
        <a:bodyPr/>
        <a:lstStyle/>
        <a:p>
          <a:endParaRPr lang="en-GB"/>
        </a:p>
      </dgm:t>
    </dgm:pt>
    <dgm:pt modelId="{146789C1-5FB6-442C-93C0-FC82654A5BE3}" type="pres">
      <dgm:prSet presAssocID="{00082752-6BD1-4202-BD67-658D86EAD8A6}" presName="space" presStyleCnt="0"/>
      <dgm:spPr/>
    </dgm:pt>
    <dgm:pt modelId="{9A838A2A-D42F-4351-AFE7-09E940BA94A0}" type="pres">
      <dgm:prSet presAssocID="{71240CC1-17F3-4BE8-AD2B-AC6E120497CC}" presName="text" presStyleLbl="node1" presStyleIdx="2" presStyleCnt="5" custScaleX="762000">
        <dgm:presLayoutVars>
          <dgm:bulletEnabled val="1"/>
        </dgm:presLayoutVars>
      </dgm:prSet>
      <dgm:spPr/>
      <dgm:t>
        <a:bodyPr/>
        <a:lstStyle/>
        <a:p>
          <a:endParaRPr lang="en-GB"/>
        </a:p>
      </dgm:t>
    </dgm:pt>
    <dgm:pt modelId="{B568A0A8-A336-44CD-9F7D-B1FC748D7B06}" type="pres">
      <dgm:prSet presAssocID="{3A86B4F9-5612-4F91-A616-3344BB9A5DC7}" presName="space" presStyleCnt="0"/>
      <dgm:spPr/>
    </dgm:pt>
    <dgm:pt modelId="{AD015338-553D-4487-9409-F5141772F1B9}" type="pres">
      <dgm:prSet presAssocID="{16208094-92C9-42D2-93E4-02461CB3D7C4}" presName="text" presStyleLbl="node1" presStyleIdx="3" presStyleCnt="5" custScaleX="773642">
        <dgm:presLayoutVars>
          <dgm:bulletEnabled val="1"/>
        </dgm:presLayoutVars>
      </dgm:prSet>
      <dgm:spPr/>
      <dgm:t>
        <a:bodyPr/>
        <a:lstStyle/>
        <a:p>
          <a:endParaRPr lang="en-GB"/>
        </a:p>
      </dgm:t>
    </dgm:pt>
    <dgm:pt modelId="{06D324BC-9F31-4051-90E6-951BD4D68BDD}" type="pres">
      <dgm:prSet presAssocID="{EBE350DA-CB06-4254-B2B3-7CC724F53D35}" presName="space" presStyleCnt="0"/>
      <dgm:spPr/>
    </dgm:pt>
    <dgm:pt modelId="{E921644B-B001-4A66-B2C6-DC1767C394ED}" type="pres">
      <dgm:prSet presAssocID="{7789586E-19B1-44B3-A6C8-39C1EB681494}" presName="text" presStyleLbl="node1" presStyleIdx="4" presStyleCnt="5" custScaleX="775758">
        <dgm:presLayoutVars>
          <dgm:bulletEnabled val="1"/>
        </dgm:presLayoutVars>
      </dgm:prSet>
      <dgm:spPr/>
      <dgm:t>
        <a:bodyPr/>
        <a:lstStyle/>
        <a:p>
          <a:endParaRPr lang="en-GB"/>
        </a:p>
      </dgm:t>
    </dgm:pt>
  </dgm:ptLst>
  <dgm:cxnLst>
    <dgm:cxn modelId="{CD95BE86-1453-47F2-A33B-2EC1DE56643C}" type="presOf" srcId="{16208094-92C9-42D2-93E4-02461CB3D7C4}" destId="{AD015338-553D-4487-9409-F5141772F1B9}" srcOrd="0" destOrd="0" presId="urn:diagrams.loki3.com/VaryingWidthList"/>
    <dgm:cxn modelId="{7AD232C4-6F20-4E20-A31A-C240621A86CF}" type="presOf" srcId="{C95BAFEB-50E8-4143-9814-972FDC8CCA80}" destId="{661ED414-0754-49D1-B13D-ACD47A4A9F40}" srcOrd="0" destOrd="0" presId="urn:diagrams.loki3.com/VaryingWidthList"/>
    <dgm:cxn modelId="{39E6B21F-F04F-4F4B-8C8F-4A278F4C65D9}" srcId="{C95BAFEB-50E8-4143-9814-972FDC8CCA80}" destId="{71240CC1-17F3-4BE8-AD2B-AC6E120497CC}" srcOrd="2" destOrd="0" parTransId="{35FD4F5E-6DF2-4AA5-AF26-58B98BBAC9C7}" sibTransId="{3A86B4F9-5612-4F91-A616-3344BB9A5DC7}"/>
    <dgm:cxn modelId="{4B9E0BAE-34BA-4973-8782-0F59BE825ADE}" srcId="{C95BAFEB-50E8-4143-9814-972FDC8CCA80}" destId="{485063CE-25E5-4A3A-B7D3-DB3564D8DECF}" srcOrd="1" destOrd="0" parTransId="{0417C39D-4D47-44C0-9A8A-4E14A0CC78FD}" sibTransId="{00082752-6BD1-4202-BD67-658D86EAD8A6}"/>
    <dgm:cxn modelId="{3514BBAC-F3F1-4D39-BFAD-1CFD70548503}" type="presOf" srcId="{71240CC1-17F3-4BE8-AD2B-AC6E120497CC}" destId="{9A838A2A-D42F-4351-AFE7-09E940BA94A0}" srcOrd="0" destOrd="0" presId="urn:diagrams.loki3.com/VaryingWidthList"/>
    <dgm:cxn modelId="{55041148-E249-4049-8540-98C6A3132FF0}" srcId="{C95BAFEB-50E8-4143-9814-972FDC8CCA80}" destId="{19DA12DF-DFC0-40F5-AB44-5F545EDEA0D4}" srcOrd="0" destOrd="0" parTransId="{6A2C2DA1-2D49-4979-A03A-B847BC6EAD01}" sibTransId="{DDA58E99-43F6-489F-ACA9-7B3065F2C788}"/>
    <dgm:cxn modelId="{B14B0AA7-FC6C-41CE-B7DC-B8A947A51972}" srcId="{C95BAFEB-50E8-4143-9814-972FDC8CCA80}" destId="{16208094-92C9-42D2-93E4-02461CB3D7C4}" srcOrd="3" destOrd="0" parTransId="{2E1B7E8D-5EF2-4BA5-838B-FC6247CD4CF1}" sibTransId="{EBE350DA-CB06-4254-B2B3-7CC724F53D35}"/>
    <dgm:cxn modelId="{39CDE7CE-13B1-4F94-9984-272B1A132730}" type="presOf" srcId="{485063CE-25E5-4A3A-B7D3-DB3564D8DECF}" destId="{E7D746E7-D403-4C39-B9E2-E573D3D538DF}" srcOrd="0" destOrd="0" presId="urn:diagrams.loki3.com/VaryingWidthList"/>
    <dgm:cxn modelId="{87C8D98E-1465-4C25-81C0-0138ECA642A7}" type="presOf" srcId="{19DA12DF-DFC0-40F5-AB44-5F545EDEA0D4}" destId="{3AD157D0-D824-40C5-9A56-B7132F225075}" srcOrd="0" destOrd="0" presId="urn:diagrams.loki3.com/VaryingWidthList"/>
    <dgm:cxn modelId="{0CA81EFB-7255-448E-B0D1-7BE8AFDC9E11}" srcId="{C95BAFEB-50E8-4143-9814-972FDC8CCA80}" destId="{7789586E-19B1-44B3-A6C8-39C1EB681494}" srcOrd="4" destOrd="0" parTransId="{6C8139FB-B324-4A54-B5C8-D38E1AE147B1}" sibTransId="{F827DD45-91FF-4745-AA89-25C2779218EA}"/>
    <dgm:cxn modelId="{E9269E00-39A1-4CC5-A2AF-149BDC202EC2}" type="presOf" srcId="{7789586E-19B1-44B3-A6C8-39C1EB681494}" destId="{E921644B-B001-4A66-B2C6-DC1767C394ED}" srcOrd="0" destOrd="0" presId="urn:diagrams.loki3.com/VaryingWidthList"/>
    <dgm:cxn modelId="{9E7DCD3B-94DC-4895-BE16-4DDEDC241571}" type="presParOf" srcId="{661ED414-0754-49D1-B13D-ACD47A4A9F40}" destId="{3AD157D0-D824-40C5-9A56-B7132F225075}" srcOrd="0" destOrd="0" presId="urn:diagrams.loki3.com/VaryingWidthList"/>
    <dgm:cxn modelId="{0C6FBE2E-B534-46C8-898D-FF7CF23B6490}" type="presParOf" srcId="{661ED414-0754-49D1-B13D-ACD47A4A9F40}" destId="{B7231C94-E1BB-4746-8472-8365D99369E9}" srcOrd="1" destOrd="0" presId="urn:diagrams.loki3.com/VaryingWidthList"/>
    <dgm:cxn modelId="{F836C314-D07A-47CE-8793-B41597886C69}" type="presParOf" srcId="{661ED414-0754-49D1-B13D-ACD47A4A9F40}" destId="{E7D746E7-D403-4C39-B9E2-E573D3D538DF}" srcOrd="2" destOrd="0" presId="urn:diagrams.loki3.com/VaryingWidthList"/>
    <dgm:cxn modelId="{01AD2BE3-D9BC-44A9-BC72-903C4D5CC538}" type="presParOf" srcId="{661ED414-0754-49D1-B13D-ACD47A4A9F40}" destId="{146789C1-5FB6-442C-93C0-FC82654A5BE3}" srcOrd="3" destOrd="0" presId="urn:diagrams.loki3.com/VaryingWidthList"/>
    <dgm:cxn modelId="{2006E65D-1742-49A4-A023-56547E2300ED}" type="presParOf" srcId="{661ED414-0754-49D1-B13D-ACD47A4A9F40}" destId="{9A838A2A-D42F-4351-AFE7-09E940BA94A0}" srcOrd="4" destOrd="0" presId="urn:diagrams.loki3.com/VaryingWidthList"/>
    <dgm:cxn modelId="{4265252D-D223-4FDD-9CFC-7DD6C3CEEDCE}" type="presParOf" srcId="{661ED414-0754-49D1-B13D-ACD47A4A9F40}" destId="{B568A0A8-A336-44CD-9F7D-B1FC748D7B06}" srcOrd="5" destOrd="0" presId="urn:diagrams.loki3.com/VaryingWidthList"/>
    <dgm:cxn modelId="{6B973087-409E-4C95-979F-D7CEB831EBEA}" type="presParOf" srcId="{661ED414-0754-49D1-B13D-ACD47A4A9F40}" destId="{AD015338-553D-4487-9409-F5141772F1B9}" srcOrd="6" destOrd="0" presId="urn:diagrams.loki3.com/VaryingWidthList"/>
    <dgm:cxn modelId="{EA9F14C1-C6C3-4AE9-8B1E-AA442546A5BC}" type="presParOf" srcId="{661ED414-0754-49D1-B13D-ACD47A4A9F40}" destId="{06D324BC-9F31-4051-90E6-951BD4D68BDD}" srcOrd="7" destOrd="0" presId="urn:diagrams.loki3.com/VaryingWidthList"/>
    <dgm:cxn modelId="{80E543A4-CE0F-4199-8A94-2A85A49F7F0A}" type="presParOf" srcId="{661ED414-0754-49D1-B13D-ACD47A4A9F40}" destId="{E921644B-B001-4A66-B2C6-DC1767C394ED}" srcOrd="8" destOrd="0" presId="urn:diagrams.loki3.com/VaryingWidthList"/>
  </dgm:cxnLst>
  <dgm:bg/>
  <dgm:whole/>
  <dgm:extLst>
    <a:ext uri="http://schemas.microsoft.com/office/drawing/2008/diagram">
      <dsp:dataModelExt xmlns:dsp="http://schemas.microsoft.com/office/drawing/2008/diagram" relId="rId5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9D07C9D-9431-41E9-94E7-48043A1DA59D}">
      <dsp:nvSpPr>
        <dsp:cNvPr id="0" name=""/>
        <dsp:cNvSpPr/>
      </dsp:nvSpPr>
      <dsp:spPr>
        <a:xfrm>
          <a:off x="0" y="0"/>
          <a:ext cx="5471152" cy="1295126"/>
        </a:xfrm>
        <a:prstGeom prst="rect">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just" defTabSz="533400">
            <a:lnSpc>
              <a:spcPct val="90000"/>
            </a:lnSpc>
            <a:spcBef>
              <a:spcPct val="0"/>
            </a:spcBef>
            <a:spcAft>
              <a:spcPct val="35000"/>
            </a:spcAft>
          </a:pPr>
          <a:r>
            <a:rPr lang="en-GB" sz="1200" b="1" kern="1200">
              <a:latin typeface="Arial" panose="020B0604020202020204" pitchFamily="34" charset="0"/>
              <a:cs typeface="Arial" panose="020B0604020202020204" pitchFamily="34" charset="0"/>
            </a:rPr>
            <a:t>Formula:</a:t>
          </a:r>
          <a:r>
            <a:rPr lang="en-GB" sz="1200" kern="1200">
              <a:latin typeface="Arial" panose="020B0604020202020204" pitchFamily="34" charset="0"/>
              <a:cs typeface="Arial" panose="020B0604020202020204" pitchFamily="34" charset="0"/>
            </a:rPr>
            <a:t> Profit Margin = (Net Income / Total Revenue) * 100</a:t>
          </a:r>
        </a:p>
        <a:p>
          <a:pPr lvl="0" algn="just" defTabSz="533400">
            <a:lnSpc>
              <a:spcPct val="90000"/>
            </a:lnSpc>
            <a:spcBef>
              <a:spcPct val="0"/>
            </a:spcBef>
            <a:spcAft>
              <a:spcPct val="35000"/>
            </a:spcAft>
          </a:pPr>
          <a:r>
            <a:rPr lang="en-GB" sz="1200" b="1" kern="1200">
              <a:latin typeface="Arial" panose="020B0604020202020204" pitchFamily="34" charset="0"/>
              <a:cs typeface="Arial" panose="020B0604020202020204" pitchFamily="34" charset="0"/>
            </a:rPr>
            <a:t>2021:</a:t>
          </a:r>
          <a:r>
            <a:rPr lang="en-GB" sz="1200" kern="1200">
              <a:latin typeface="Arial" panose="020B0604020202020204" pitchFamily="34" charset="0"/>
              <a:cs typeface="Arial" panose="020B0604020202020204" pitchFamily="34" charset="0"/>
            </a:rPr>
            <a:t> (700,000 / 2,500,000) * 100 = 28%</a:t>
          </a:r>
        </a:p>
        <a:p>
          <a:pPr lvl="0" algn="just" defTabSz="533400">
            <a:lnSpc>
              <a:spcPct val="90000"/>
            </a:lnSpc>
            <a:spcBef>
              <a:spcPct val="0"/>
            </a:spcBef>
            <a:spcAft>
              <a:spcPct val="35000"/>
            </a:spcAft>
          </a:pPr>
          <a:r>
            <a:rPr lang="en-GB" sz="1200" b="1" kern="1200">
              <a:latin typeface="Arial" panose="020B0604020202020204" pitchFamily="34" charset="0"/>
              <a:cs typeface="Arial" panose="020B0604020202020204" pitchFamily="34" charset="0"/>
            </a:rPr>
            <a:t>2022:</a:t>
          </a:r>
          <a:r>
            <a:rPr lang="en-GB" sz="1200" kern="1200">
              <a:latin typeface="Arial" panose="020B0604020202020204" pitchFamily="34" charset="0"/>
              <a:cs typeface="Arial" panose="020B0604020202020204" pitchFamily="34" charset="0"/>
            </a:rPr>
            <a:t> (200,000 / 2,200,000) * 100 = 9%</a:t>
          </a:r>
        </a:p>
        <a:p>
          <a:pPr lvl="0" algn="just" defTabSz="533400">
            <a:lnSpc>
              <a:spcPct val="90000"/>
            </a:lnSpc>
            <a:spcBef>
              <a:spcPct val="0"/>
            </a:spcBef>
            <a:spcAft>
              <a:spcPct val="35000"/>
            </a:spcAft>
          </a:pPr>
          <a:r>
            <a:rPr lang="en-GB" sz="1200" b="1" kern="1200">
              <a:latin typeface="Arial" panose="020B0604020202020204" pitchFamily="34" charset="0"/>
              <a:cs typeface="Arial" panose="020B0604020202020204" pitchFamily="34" charset="0"/>
            </a:rPr>
            <a:t>2023:</a:t>
          </a:r>
          <a:r>
            <a:rPr lang="en-GB" sz="1200" kern="1200">
              <a:latin typeface="Arial" panose="020B0604020202020204" pitchFamily="34" charset="0"/>
              <a:cs typeface="Arial" panose="020B0604020202020204" pitchFamily="34" charset="0"/>
            </a:rPr>
            <a:t> (-500,000 / 1,800,000) * 100 = -27.8%</a:t>
          </a:r>
        </a:p>
        <a:p>
          <a:pPr lvl="0" algn="just" defTabSz="533400">
            <a:lnSpc>
              <a:spcPct val="90000"/>
            </a:lnSpc>
            <a:spcBef>
              <a:spcPct val="0"/>
            </a:spcBef>
            <a:spcAft>
              <a:spcPct val="35000"/>
            </a:spcAft>
          </a:pPr>
          <a:endParaRPr lang="en-US" sz="1200" kern="1200">
            <a:latin typeface="Arial" panose="020B0604020202020204" pitchFamily="34" charset="0"/>
            <a:cs typeface="Arial" panose="020B0604020202020204" pitchFamily="34" charset="0"/>
          </a:endParaRPr>
        </a:p>
      </dsp:txBody>
      <dsp:txXfrm>
        <a:off x="0" y="0"/>
        <a:ext cx="5471152" cy="129512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9D07C9D-9431-41E9-94E7-48043A1DA59D}">
      <dsp:nvSpPr>
        <dsp:cNvPr id="0" name=""/>
        <dsp:cNvSpPr/>
      </dsp:nvSpPr>
      <dsp:spPr>
        <a:xfrm>
          <a:off x="0" y="0"/>
          <a:ext cx="5463537" cy="1147661"/>
        </a:xfrm>
        <a:prstGeom prst="rect">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just" defTabSz="533400">
            <a:lnSpc>
              <a:spcPct val="90000"/>
            </a:lnSpc>
            <a:spcBef>
              <a:spcPct val="0"/>
            </a:spcBef>
            <a:spcAft>
              <a:spcPct val="35000"/>
            </a:spcAft>
          </a:pPr>
          <a:r>
            <a:rPr lang="en-GB" sz="1200" b="1" kern="1200">
              <a:latin typeface="Arial" panose="020B0604020202020204" pitchFamily="34" charset="0"/>
              <a:cs typeface="Arial" panose="020B0604020202020204" pitchFamily="34" charset="0"/>
            </a:rPr>
            <a:t>Formula:</a:t>
          </a:r>
          <a:r>
            <a:rPr lang="en-GB" sz="1200" kern="1200">
              <a:latin typeface="Arial" panose="020B0604020202020204" pitchFamily="34" charset="0"/>
              <a:cs typeface="Arial" panose="020B0604020202020204" pitchFamily="34" charset="0"/>
            </a:rPr>
            <a:t> Operating Margin = (Operating Income / Total Revenue) * 100</a:t>
          </a:r>
        </a:p>
        <a:p>
          <a:pPr lvl="0" algn="just" defTabSz="533400">
            <a:lnSpc>
              <a:spcPct val="90000"/>
            </a:lnSpc>
            <a:spcBef>
              <a:spcPct val="0"/>
            </a:spcBef>
            <a:spcAft>
              <a:spcPct val="35000"/>
            </a:spcAft>
          </a:pPr>
          <a:r>
            <a:rPr lang="en-GB" sz="1200" b="1" kern="1200">
              <a:latin typeface="Arial" panose="020B0604020202020204" pitchFamily="34" charset="0"/>
              <a:cs typeface="Arial" panose="020B0604020202020204" pitchFamily="34" charset="0"/>
            </a:rPr>
            <a:t>2021:</a:t>
          </a:r>
          <a:r>
            <a:rPr lang="en-GB" sz="1200" kern="1200">
              <a:latin typeface="Arial" panose="020B0604020202020204" pitchFamily="34" charset="0"/>
              <a:cs typeface="Arial" panose="020B0604020202020204" pitchFamily="34" charset="0"/>
            </a:rPr>
            <a:t> (700,000 / 2,500,000) * 100 = 28%</a:t>
          </a:r>
        </a:p>
        <a:p>
          <a:pPr lvl="0" algn="just" defTabSz="533400">
            <a:lnSpc>
              <a:spcPct val="90000"/>
            </a:lnSpc>
            <a:spcBef>
              <a:spcPct val="0"/>
            </a:spcBef>
            <a:spcAft>
              <a:spcPct val="35000"/>
            </a:spcAft>
          </a:pPr>
          <a:r>
            <a:rPr lang="en-GB" sz="1200" b="1" kern="1200">
              <a:latin typeface="Arial" panose="020B0604020202020204" pitchFamily="34" charset="0"/>
              <a:cs typeface="Arial" panose="020B0604020202020204" pitchFamily="34" charset="0"/>
            </a:rPr>
            <a:t>2022:</a:t>
          </a:r>
          <a:r>
            <a:rPr lang="en-GB" sz="1200" kern="1200">
              <a:latin typeface="Arial" panose="020B0604020202020204" pitchFamily="34" charset="0"/>
              <a:cs typeface="Arial" panose="020B0604020202020204" pitchFamily="34" charset="0"/>
            </a:rPr>
            <a:t> (200,000 / 2,200,000) * 100 = 9%</a:t>
          </a:r>
        </a:p>
        <a:p>
          <a:pPr lvl="0" algn="just" defTabSz="533400">
            <a:lnSpc>
              <a:spcPct val="90000"/>
            </a:lnSpc>
            <a:spcBef>
              <a:spcPct val="0"/>
            </a:spcBef>
            <a:spcAft>
              <a:spcPct val="35000"/>
            </a:spcAft>
          </a:pPr>
          <a:r>
            <a:rPr lang="en-GB" sz="1200" b="1" kern="1200">
              <a:latin typeface="Arial" panose="020B0604020202020204" pitchFamily="34" charset="0"/>
              <a:cs typeface="Arial" panose="020B0604020202020204" pitchFamily="34" charset="0"/>
            </a:rPr>
            <a:t>2023:</a:t>
          </a:r>
          <a:r>
            <a:rPr lang="en-GB" sz="1200" kern="1200">
              <a:latin typeface="Arial" panose="020B0604020202020204" pitchFamily="34" charset="0"/>
              <a:cs typeface="Arial" panose="020B0604020202020204" pitchFamily="34" charset="0"/>
            </a:rPr>
            <a:t> (-500,000 / 1,800,000) * 100 = -27.8%</a:t>
          </a:r>
          <a:endParaRPr lang="en-US" sz="1200" kern="1200">
            <a:latin typeface="Arial" panose="020B0604020202020204" pitchFamily="34" charset="0"/>
            <a:cs typeface="Arial" panose="020B0604020202020204" pitchFamily="34" charset="0"/>
          </a:endParaRPr>
        </a:p>
      </dsp:txBody>
      <dsp:txXfrm>
        <a:off x="0" y="0"/>
        <a:ext cx="5463537" cy="1147661"/>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9C3E4A3-64B6-4489-9670-090E1541C720}">
      <dsp:nvSpPr>
        <dsp:cNvPr id="0" name=""/>
        <dsp:cNvSpPr/>
      </dsp:nvSpPr>
      <dsp:spPr>
        <a:xfrm>
          <a:off x="5357" y="0"/>
          <a:ext cx="5481042" cy="8823940"/>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just" defTabSz="533400">
            <a:lnSpc>
              <a:spcPct val="90000"/>
            </a:lnSpc>
            <a:spcBef>
              <a:spcPct val="0"/>
            </a:spcBef>
            <a:spcAft>
              <a:spcPct val="35000"/>
            </a:spcAft>
          </a:pPr>
          <a:r>
            <a:rPr lang="en-US" sz="1200" kern="1200">
              <a:latin typeface="Arial" panose="020B0604020202020204" pitchFamily="34" charset="0"/>
              <a:cs typeface="Arial" panose="020B0604020202020204" pitchFamily="34" charset="0"/>
            </a:rPr>
            <a:t>Formula: </a:t>
          </a:r>
        </a:p>
        <a:p>
          <a:pPr lvl="0" algn="just" defTabSz="533400">
            <a:lnSpc>
              <a:spcPct val="90000"/>
            </a:lnSpc>
            <a:spcBef>
              <a:spcPct val="0"/>
            </a:spcBef>
            <a:spcAft>
              <a:spcPct val="35000"/>
            </a:spcAft>
          </a:pPr>
          <a:r>
            <a:rPr lang="en-US" sz="1200" kern="1200">
              <a:latin typeface="Arial" panose="020B0604020202020204" pitchFamily="34" charset="0"/>
              <a:cs typeface="Arial" panose="020B0604020202020204" pitchFamily="34" charset="0"/>
            </a:rPr>
            <a:t>Current Ratio</a:t>
          </a:r>
          <a14:m xmlns:a14="http://schemas.microsoft.com/office/drawing/2010/main">
            <m:oMath xmlns:m="http://schemas.openxmlformats.org/officeDocument/2006/math">
              <m:f>
                <m:fPr>
                  <m:ctrlPr>
                    <a:rPr lang="en-US" sz="1200" i="1" kern="1200">
                      <a:latin typeface="Cambria Math"/>
                    </a:rPr>
                  </m:ctrlPr>
                </m:fPr>
                <m:num>
                  <m:r>
                    <a:rPr lang="en-GB" sz="1200" b="0" i="1" kern="1200">
                      <a:latin typeface="Cambria Math" panose="02040503050406030204" pitchFamily="18" charset="0"/>
                    </a:rPr>
                    <m:t>𝐶𝑢𝑟𝑟𝑒𝑛𝑡</m:t>
                  </m:r>
                  <m:r>
                    <a:rPr lang="en-GB" sz="1200" b="0" i="1" kern="1200">
                      <a:latin typeface="Cambria Math" panose="02040503050406030204" pitchFamily="18" charset="0"/>
                    </a:rPr>
                    <m:t> </m:t>
                  </m:r>
                  <m:r>
                    <a:rPr lang="en-GB" sz="1200" b="0" i="1" kern="1200">
                      <a:latin typeface="Cambria Math" panose="02040503050406030204" pitchFamily="18" charset="0"/>
                    </a:rPr>
                    <m:t>𝐴𝑠𝑠𝑒𝑡𝑠</m:t>
                  </m:r>
                </m:num>
                <m:den>
                  <m:r>
                    <m:rPr>
                      <m:sty m:val="p"/>
                    </m:rPr>
                    <a:rPr lang="en-US" sz="1200" kern="1200">
                      <a:latin typeface="Cambria Math"/>
                    </a:rPr>
                    <m:t>Current</m:t>
                  </m:r>
                  <m:r>
                    <a:rPr lang="en-US" sz="1200" kern="1200">
                      <a:latin typeface="Cambria Math"/>
                    </a:rPr>
                    <m:t> </m:t>
                  </m:r>
                  <m:r>
                    <m:rPr>
                      <m:sty m:val="p"/>
                    </m:rPr>
                    <a:rPr lang="en-US" sz="1200" kern="1200">
                      <a:latin typeface="Cambria Math"/>
                    </a:rPr>
                    <m:t>Liabilities</m:t>
                  </m:r>
                </m:den>
              </m:f>
            </m:oMath>
          </a14:m>
          <a:endParaRPr lang="en-US" sz="1200" kern="1200">
            <a:latin typeface="Arial" panose="020B0604020202020204" pitchFamily="34" charset="0"/>
            <a:cs typeface="Arial" panose="020B0604020202020204" pitchFamily="34" charset="0"/>
          </a:endParaRPr>
        </a:p>
        <a:p>
          <a:pPr lvl="0" algn="just" defTabSz="533400">
            <a:lnSpc>
              <a:spcPct val="90000"/>
            </a:lnSpc>
            <a:spcBef>
              <a:spcPct val="0"/>
            </a:spcBef>
            <a:spcAft>
              <a:spcPct val="35000"/>
            </a:spcAft>
          </a:pPr>
          <a:r>
            <a:rPr lang="en-GB" sz="1200" b="1" kern="1200">
              <a:latin typeface="Arial" panose="020B0604020202020204" pitchFamily="34" charset="0"/>
              <a:cs typeface="Arial" panose="020B0604020202020204" pitchFamily="34" charset="0"/>
            </a:rPr>
            <a:t>2021:</a:t>
          </a:r>
        </a:p>
        <a:p>
          <a:pPr lvl="0" algn="just" defTabSz="533400">
            <a:lnSpc>
              <a:spcPct val="90000"/>
            </a:lnSpc>
            <a:spcBef>
              <a:spcPct val="0"/>
            </a:spcBef>
            <a:spcAft>
              <a:spcPct val="35000"/>
            </a:spcAft>
          </a:pPr>
          <a:r>
            <a:rPr lang="en-GB" sz="1200" b="1" kern="1200">
              <a:latin typeface="Arial" panose="020B0604020202020204" pitchFamily="34" charset="0"/>
              <a:cs typeface="Arial" panose="020B0604020202020204" pitchFamily="34" charset="0"/>
            </a:rPr>
            <a:t>Current Assets:</a:t>
          </a:r>
          <a:endParaRPr lang="en-GB" sz="1200" kern="1200">
            <a:latin typeface="Arial" panose="020B0604020202020204" pitchFamily="34" charset="0"/>
            <a:cs typeface="Arial" panose="020B0604020202020204" pitchFamily="34" charset="0"/>
          </a:endParaRPr>
        </a:p>
        <a:p>
          <a:pPr lvl="0" algn="just" defTabSz="533400">
            <a:lnSpc>
              <a:spcPct val="90000"/>
            </a:lnSpc>
            <a:spcBef>
              <a:spcPct val="0"/>
            </a:spcBef>
            <a:spcAft>
              <a:spcPct val="35000"/>
            </a:spcAft>
          </a:pPr>
          <a:r>
            <a:rPr lang="en-GB" sz="1200" kern="1200">
              <a:latin typeface="Arial" panose="020B0604020202020204" pitchFamily="34" charset="0"/>
              <a:cs typeface="Arial" panose="020B0604020202020204" pitchFamily="34" charset="0"/>
            </a:rPr>
            <a:t>Cash and Equivalents: £300,000</a:t>
          </a:r>
        </a:p>
        <a:p>
          <a:pPr lvl="0" algn="just" defTabSz="533400">
            <a:lnSpc>
              <a:spcPct val="90000"/>
            </a:lnSpc>
            <a:spcBef>
              <a:spcPct val="0"/>
            </a:spcBef>
            <a:spcAft>
              <a:spcPct val="35000"/>
            </a:spcAft>
          </a:pPr>
          <a:r>
            <a:rPr lang="en-GB" sz="1200" kern="1200">
              <a:latin typeface="Arial" panose="020B0604020202020204" pitchFamily="34" charset="0"/>
              <a:cs typeface="Arial" panose="020B0604020202020204" pitchFamily="34" charset="0"/>
            </a:rPr>
            <a:t>Accounts Receivable: £150,000</a:t>
          </a:r>
        </a:p>
        <a:p>
          <a:pPr lvl="0" algn="just" defTabSz="533400">
            <a:lnSpc>
              <a:spcPct val="90000"/>
            </a:lnSpc>
            <a:spcBef>
              <a:spcPct val="0"/>
            </a:spcBef>
            <a:spcAft>
              <a:spcPct val="35000"/>
            </a:spcAft>
          </a:pPr>
          <a:r>
            <a:rPr lang="en-GB" sz="1200" kern="1200">
              <a:latin typeface="Arial" panose="020B0604020202020204" pitchFamily="34" charset="0"/>
              <a:cs typeface="Arial" panose="020B0604020202020204" pitchFamily="34" charset="0"/>
            </a:rPr>
            <a:t>Total Current Assets: £300,000 + £150,000 = £450,000</a:t>
          </a:r>
        </a:p>
        <a:p>
          <a:pPr lvl="0" algn="just" defTabSz="533400">
            <a:lnSpc>
              <a:spcPct val="90000"/>
            </a:lnSpc>
            <a:spcBef>
              <a:spcPct val="0"/>
            </a:spcBef>
            <a:spcAft>
              <a:spcPct val="35000"/>
            </a:spcAft>
          </a:pPr>
          <a:r>
            <a:rPr lang="en-GB" sz="1200" b="1" kern="1200">
              <a:latin typeface="Arial" panose="020B0604020202020204" pitchFamily="34" charset="0"/>
              <a:cs typeface="Arial" panose="020B0604020202020204" pitchFamily="34" charset="0"/>
            </a:rPr>
            <a:t>Current Liabilities:</a:t>
          </a:r>
          <a:endParaRPr lang="en-GB" sz="1200" kern="1200">
            <a:latin typeface="Arial" panose="020B0604020202020204" pitchFamily="34" charset="0"/>
            <a:cs typeface="Arial" panose="020B0604020202020204" pitchFamily="34" charset="0"/>
          </a:endParaRPr>
        </a:p>
        <a:p>
          <a:pPr lvl="0" algn="just" defTabSz="533400">
            <a:lnSpc>
              <a:spcPct val="90000"/>
            </a:lnSpc>
            <a:spcBef>
              <a:spcPct val="0"/>
            </a:spcBef>
            <a:spcAft>
              <a:spcPct val="35000"/>
            </a:spcAft>
          </a:pPr>
          <a:r>
            <a:rPr lang="en-GB" sz="1200" kern="1200">
              <a:latin typeface="Arial" panose="020B0604020202020204" pitchFamily="34" charset="0"/>
              <a:cs typeface="Arial" panose="020B0604020202020204" pitchFamily="34" charset="0"/>
            </a:rPr>
            <a:t>Accounts Payable: £250,000</a:t>
          </a:r>
        </a:p>
        <a:p>
          <a:pPr lvl="0" algn="just" defTabSz="533400">
            <a:lnSpc>
              <a:spcPct val="90000"/>
            </a:lnSpc>
            <a:spcBef>
              <a:spcPct val="0"/>
            </a:spcBef>
            <a:spcAft>
              <a:spcPct val="35000"/>
            </a:spcAft>
          </a:pPr>
          <a:r>
            <a:rPr lang="en-US" sz="1200" kern="1200">
              <a:latin typeface="Arial" panose="020B0604020202020204" pitchFamily="34" charset="0"/>
              <a:cs typeface="Arial" panose="020B0604020202020204" pitchFamily="34" charset="0"/>
            </a:rPr>
            <a:t>Current Ratio 2021= </a:t>
          </a:r>
          <a14:m xmlns:a14="http://schemas.microsoft.com/office/drawing/2010/main">
            <m:oMath xmlns:m="http://schemas.openxmlformats.org/officeDocument/2006/math">
              <m:f>
                <m:fPr>
                  <m:ctrlPr>
                    <a:rPr lang="en-US" sz="1200" i="1" kern="1200">
                      <a:latin typeface="Cambria Math"/>
                    </a:rPr>
                  </m:ctrlPr>
                </m:fPr>
                <m:num>
                  <m:r>
                    <a:rPr lang="en-GB" sz="1200" kern="1200">
                      <a:latin typeface="Cambria Math"/>
                      <a:cs typeface="Arial" panose="020B0604020202020204" pitchFamily="34" charset="0"/>
                    </a:rPr>
                    <m:t>£450,000</m:t>
                  </m:r>
                </m:num>
                <m:den>
                  <m:r>
                    <a:rPr lang="en-GB" sz="1200" kern="1200">
                      <a:latin typeface="Cambria Math"/>
                    </a:rPr>
                    <m:t>£250,000</m:t>
                  </m:r>
                </m:den>
              </m:f>
            </m:oMath>
          </a14:m>
          <a:r>
            <a:rPr lang="en-GB" sz="1200" kern="1200">
              <a:latin typeface="Arial" panose="020B0604020202020204" pitchFamily="34" charset="0"/>
              <a:cs typeface="Arial" panose="020B0604020202020204" pitchFamily="34" charset="0"/>
            </a:rPr>
            <a:t> = 1.8</a:t>
          </a:r>
        </a:p>
        <a:p>
          <a:pPr lvl="0" algn="just" defTabSz="533400">
            <a:lnSpc>
              <a:spcPct val="90000"/>
            </a:lnSpc>
            <a:spcBef>
              <a:spcPct val="0"/>
            </a:spcBef>
            <a:spcAft>
              <a:spcPct val="35000"/>
            </a:spcAft>
          </a:pPr>
          <a:r>
            <a:rPr lang="en-GB" sz="1200" b="1" kern="1200">
              <a:latin typeface="Arial" panose="020B0604020202020204" pitchFamily="34" charset="0"/>
              <a:cs typeface="Arial" panose="020B0604020202020204" pitchFamily="34" charset="0"/>
            </a:rPr>
            <a:t>2022:</a:t>
          </a:r>
        </a:p>
        <a:p>
          <a:pPr lvl="0" algn="just" defTabSz="533400">
            <a:lnSpc>
              <a:spcPct val="90000"/>
            </a:lnSpc>
            <a:spcBef>
              <a:spcPct val="0"/>
            </a:spcBef>
            <a:spcAft>
              <a:spcPct val="35000"/>
            </a:spcAft>
          </a:pPr>
          <a:r>
            <a:rPr lang="en-GB" sz="1200" b="1" kern="1200">
              <a:latin typeface="Arial" panose="020B0604020202020204" pitchFamily="34" charset="0"/>
              <a:cs typeface="Arial" panose="020B0604020202020204" pitchFamily="34" charset="0"/>
            </a:rPr>
            <a:t>Current Assets:</a:t>
          </a:r>
          <a:endParaRPr lang="en-GB" sz="1200" kern="1200">
            <a:latin typeface="Arial" panose="020B0604020202020204" pitchFamily="34" charset="0"/>
            <a:cs typeface="Arial" panose="020B0604020202020204" pitchFamily="34" charset="0"/>
          </a:endParaRPr>
        </a:p>
        <a:p>
          <a:pPr lvl="0" algn="just" defTabSz="533400">
            <a:lnSpc>
              <a:spcPct val="90000"/>
            </a:lnSpc>
            <a:spcBef>
              <a:spcPct val="0"/>
            </a:spcBef>
            <a:spcAft>
              <a:spcPct val="35000"/>
            </a:spcAft>
          </a:pPr>
          <a:r>
            <a:rPr lang="en-GB" sz="1200" kern="1200">
              <a:latin typeface="Arial" panose="020B0604020202020204" pitchFamily="34" charset="0"/>
              <a:cs typeface="Arial" panose="020B0604020202020204" pitchFamily="34" charset="0"/>
            </a:rPr>
            <a:t>Cash and Equivalents: £200,000</a:t>
          </a:r>
        </a:p>
        <a:p>
          <a:pPr lvl="0" algn="just" defTabSz="533400">
            <a:lnSpc>
              <a:spcPct val="90000"/>
            </a:lnSpc>
            <a:spcBef>
              <a:spcPct val="0"/>
            </a:spcBef>
            <a:spcAft>
              <a:spcPct val="35000"/>
            </a:spcAft>
          </a:pPr>
          <a:r>
            <a:rPr lang="en-GB" sz="1200" kern="1200">
              <a:latin typeface="Arial" panose="020B0604020202020204" pitchFamily="34" charset="0"/>
              <a:cs typeface="Arial" panose="020B0604020202020204" pitchFamily="34" charset="0"/>
            </a:rPr>
            <a:t>Accounts Receivable: £100,000</a:t>
          </a:r>
        </a:p>
        <a:p>
          <a:pPr lvl="0" algn="just" defTabSz="533400">
            <a:lnSpc>
              <a:spcPct val="90000"/>
            </a:lnSpc>
            <a:spcBef>
              <a:spcPct val="0"/>
            </a:spcBef>
            <a:spcAft>
              <a:spcPct val="35000"/>
            </a:spcAft>
          </a:pPr>
          <a:r>
            <a:rPr lang="en-GB" sz="1200" kern="1200">
              <a:latin typeface="Arial" panose="020B0604020202020204" pitchFamily="34" charset="0"/>
              <a:cs typeface="Arial" panose="020B0604020202020204" pitchFamily="34" charset="0"/>
            </a:rPr>
            <a:t>Total Current Assets: £200,000 + £100,000 = £300,000</a:t>
          </a:r>
        </a:p>
        <a:p>
          <a:pPr lvl="0" algn="just" defTabSz="533400">
            <a:lnSpc>
              <a:spcPct val="90000"/>
            </a:lnSpc>
            <a:spcBef>
              <a:spcPct val="0"/>
            </a:spcBef>
            <a:spcAft>
              <a:spcPct val="35000"/>
            </a:spcAft>
          </a:pPr>
          <a:r>
            <a:rPr lang="en-GB" sz="1200" b="1" kern="1200">
              <a:latin typeface="Arial" panose="020B0604020202020204" pitchFamily="34" charset="0"/>
              <a:cs typeface="Arial" panose="020B0604020202020204" pitchFamily="34" charset="0"/>
            </a:rPr>
            <a:t>Current Liabilities:</a:t>
          </a:r>
          <a:endParaRPr lang="en-GB" sz="1200" kern="1200">
            <a:latin typeface="Arial" panose="020B0604020202020204" pitchFamily="34" charset="0"/>
            <a:cs typeface="Arial" panose="020B0604020202020204" pitchFamily="34" charset="0"/>
          </a:endParaRPr>
        </a:p>
        <a:p>
          <a:pPr lvl="0" algn="just" defTabSz="533400">
            <a:lnSpc>
              <a:spcPct val="90000"/>
            </a:lnSpc>
            <a:spcBef>
              <a:spcPct val="0"/>
            </a:spcBef>
            <a:spcAft>
              <a:spcPct val="35000"/>
            </a:spcAft>
          </a:pPr>
          <a:r>
            <a:rPr lang="en-GB" sz="1200" kern="1200">
              <a:latin typeface="Arial" panose="020B0604020202020204" pitchFamily="34" charset="0"/>
              <a:cs typeface="Arial" panose="020B0604020202020204" pitchFamily="34" charset="0"/>
            </a:rPr>
            <a:t>Accounts Payable: £270,000</a:t>
          </a:r>
        </a:p>
        <a:p>
          <a:pPr lvl="0" algn="just" defTabSz="533400">
            <a:lnSpc>
              <a:spcPct val="90000"/>
            </a:lnSpc>
            <a:spcBef>
              <a:spcPct val="0"/>
            </a:spcBef>
            <a:spcAft>
              <a:spcPct val="35000"/>
            </a:spcAft>
          </a:pPr>
          <a:r>
            <a:rPr lang="en-US" sz="1200" kern="1200">
              <a:latin typeface="Arial" panose="020B0604020202020204" pitchFamily="34" charset="0"/>
              <a:cs typeface="Arial" panose="020B0604020202020204" pitchFamily="34" charset="0"/>
            </a:rPr>
            <a:t>Current Ratio 2022= </a:t>
          </a:r>
          <a14:m xmlns:a14="http://schemas.microsoft.com/office/drawing/2010/main">
            <m:oMath xmlns:m="http://schemas.openxmlformats.org/officeDocument/2006/math">
              <m:f>
                <m:fPr>
                  <m:ctrlPr>
                    <a:rPr lang="en-US" sz="1200" i="1" kern="1200">
                      <a:latin typeface="Cambria Math"/>
                    </a:rPr>
                  </m:ctrlPr>
                </m:fPr>
                <m:num>
                  <m:r>
                    <a:rPr lang="en-GB" sz="1200" kern="1200">
                      <a:latin typeface="Cambria Math" panose="02040503050406030204" pitchFamily="18" charset="0"/>
                      <a:cs typeface="Arial" panose="020B0604020202020204" pitchFamily="34" charset="0"/>
                    </a:rPr>
                    <m:t>£</m:t>
                  </m:r>
                  <m:r>
                    <a:rPr lang="en-GB" sz="1200" b="0" i="0" kern="1200">
                      <a:latin typeface="Cambria Math" panose="02040503050406030204" pitchFamily="18" charset="0"/>
                      <a:cs typeface="Arial" panose="020B0604020202020204" pitchFamily="34" charset="0"/>
                    </a:rPr>
                    <m:t>30</m:t>
                  </m:r>
                  <m:r>
                    <a:rPr lang="en-GB" sz="1200" kern="1200">
                      <a:latin typeface="Cambria Math" panose="02040503050406030204" pitchFamily="18" charset="0"/>
                      <a:cs typeface="Arial" panose="020B0604020202020204" pitchFamily="34" charset="0"/>
                    </a:rPr>
                    <m:t>0,000</m:t>
                  </m:r>
                </m:num>
                <m:den>
                  <m:r>
                    <a:rPr lang="en-GB" sz="1200" kern="1200">
                      <a:latin typeface="Cambria Math" panose="02040503050406030204" pitchFamily="18" charset="0"/>
                    </a:rPr>
                    <m:t>£2</m:t>
                  </m:r>
                  <m:r>
                    <a:rPr lang="en-GB" sz="1200" b="0" i="0" kern="1200">
                      <a:latin typeface="Cambria Math" panose="02040503050406030204" pitchFamily="18" charset="0"/>
                    </a:rPr>
                    <m:t>7</m:t>
                  </m:r>
                  <m:r>
                    <a:rPr lang="en-GB" sz="1200" kern="1200">
                      <a:latin typeface="Cambria Math" panose="02040503050406030204" pitchFamily="18" charset="0"/>
                    </a:rPr>
                    <m:t>0,000</m:t>
                  </m:r>
                </m:den>
              </m:f>
            </m:oMath>
          </a14:m>
          <a:r>
            <a:rPr lang="en-GB" sz="1200" kern="1200">
              <a:latin typeface="Arial" panose="020B0604020202020204" pitchFamily="34" charset="0"/>
              <a:cs typeface="Arial" panose="020B0604020202020204" pitchFamily="34" charset="0"/>
            </a:rPr>
            <a:t> = 1.11</a:t>
          </a:r>
        </a:p>
        <a:p>
          <a:pPr lvl="0" algn="just" defTabSz="533400">
            <a:lnSpc>
              <a:spcPct val="90000"/>
            </a:lnSpc>
            <a:spcBef>
              <a:spcPct val="0"/>
            </a:spcBef>
            <a:spcAft>
              <a:spcPct val="35000"/>
            </a:spcAft>
          </a:pPr>
          <a:r>
            <a:rPr lang="en-GB" sz="1200" b="1" kern="1200">
              <a:latin typeface="Arial" panose="020B0604020202020204" pitchFamily="34" charset="0"/>
              <a:cs typeface="Arial" panose="020B0604020202020204" pitchFamily="34" charset="0"/>
            </a:rPr>
            <a:t>2023:</a:t>
          </a:r>
        </a:p>
        <a:p>
          <a:pPr lvl="0" algn="just" defTabSz="533400">
            <a:lnSpc>
              <a:spcPct val="90000"/>
            </a:lnSpc>
            <a:spcBef>
              <a:spcPct val="0"/>
            </a:spcBef>
            <a:spcAft>
              <a:spcPct val="35000"/>
            </a:spcAft>
          </a:pPr>
          <a:r>
            <a:rPr lang="en-GB" sz="1200" b="1" kern="1200">
              <a:latin typeface="Arial" panose="020B0604020202020204" pitchFamily="34" charset="0"/>
              <a:cs typeface="Arial" panose="020B0604020202020204" pitchFamily="34" charset="0"/>
            </a:rPr>
            <a:t>Current Assets:</a:t>
          </a:r>
          <a:endParaRPr lang="en-GB" sz="1200" kern="1200">
            <a:latin typeface="Arial" panose="020B0604020202020204" pitchFamily="34" charset="0"/>
            <a:cs typeface="Arial" panose="020B0604020202020204" pitchFamily="34" charset="0"/>
          </a:endParaRPr>
        </a:p>
        <a:p>
          <a:pPr lvl="0" algn="just" defTabSz="533400">
            <a:lnSpc>
              <a:spcPct val="90000"/>
            </a:lnSpc>
            <a:spcBef>
              <a:spcPct val="0"/>
            </a:spcBef>
            <a:spcAft>
              <a:spcPct val="35000"/>
            </a:spcAft>
          </a:pPr>
          <a:r>
            <a:rPr lang="en-GB" sz="1200" kern="1200">
              <a:latin typeface="Arial" panose="020B0604020202020204" pitchFamily="34" charset="0"/>
              <a:cs typeface="Arial" panose="020B0604020202020204" pitchFamily="34" charset="0"/>
            </a:rPr>
            <a:t>Cash and Equivalents: £100,000</a:t>
          </a:r>
        </a:p>
        <a:p>
          <a:pPr lvl="0" algn="just" defTabSz="533400">
            <a:lnSpc>
              <a:spcPct val="90000"/>
            </a:lnSpc>
            <a:spcBef>
              <a:spcPct val="0"/>
            </a:spcBef>
            <a:spcAft>
              <a:spcPct val="35000"/>
            </a:spcAft>
          </a:pPr>
          <a:r>
            <a:rPr lang="en-GB" sz="1200" kern="1200">
              <a:latin typeface="Arial" panose="020B0604020202020204" pitchFamily="34" charset="0"/>
              <a:cs typeface="Arial" panose="020B0604020202020204" pitchFamily="34" charset="0"/>
            </a:rPr>
            <a:t>Accounts Receivable: £80,000</a:t>
          </a:r>
        </a:p>
        <a:p>
          <a:pPr lvl="0" algn="just" defTabSz="533400">
            <a:lnSpc>
              <a:spcPct val="90000"/>
            </a:lnSpc>
            <a:spcBef>
              <a:spcPct val="0"/>
            </a:spcBef>
            <a:spcAft>
              <a:spcPct val="35000"/>
            </a:spcAft>
          </a:pPr>
          <a:r>
            <a:rPr lang="en-GB" sz="1200" kern="1200">
              <a:latin typeface="Arial" panose="020B0604020202020204" pitchFamily="34" charset="0"/>
              <a:cs typeface="Arial" panose="020B0604020202020204" pitchFamily="34" charset="0"/>
            </a:rPr>
            <a:t>Total Current Assets: £100,000 + £80,000 = £180,000</a:t>
          </a:r>
        </a:p>
        <a:p>
          <a:pPr lvl="0" algn="just" defTabSz="533400">
            <a:lnSpc>
              <a:spcPct val="90000"/>
            </a:lnSpc>
            <a:spcBef>
              <a:spcPct val="0"/>
            </a:spcBef>
            <a:spcAft>
              <a:spcPct val="35000"/>
            </a:spcAft>
          </a:pPr>
          <a:r>
            <a:rPr lang="en-GB" sz="1200" b="1" kern="1200">
              <a:latin typeface="Arial" panose="020B0604020202020204" pitchFamily="34" charset="0"/>
              <a:cs typeface="Arial" panose="020B0604020202020204" pitchFamily="34" charset="0"/>
            </a:rPr>
            <a:t>Current Liabilities:</a:t>
          </a:r>
          <a:endParaRPr lang="en-GB" sz="1200" kern="1200">
            <a:latin typeface="Arial" panose="020B0604020202020204" pitchFamily="34" charset="0"/>
            <a:cs typeface="Arial" panose="020B0604020202020204" pitchFamily="34" charset="0"/>
          </a:endParaRPr>
        </a:p>
        <a:p>
          <a:pPr lvl="0" algn="just" defTabSz="533400">
            <a:lnSpc>
              <a:spcPct val="90000"/>
            </a:lnSpc>
            <a:spcBef>
              <a:spcPct val="0"/>
            </a:spcBef>
            <a:spcAft>
              <a:spcPct val="35000"/>
            </a:spcAft>
          </a:pPr>
          <a:r>
            <a:rPr lang="en-GB" sz="1200" kern="1200">
              <a:latin typeface="Arial" panose="020B0604020202020204" pitchFamily="34" charset="0"/>
              <a:cs typeface="Arial" panose="020B0604020202020204" pitchFamily="34" charset="0"/>
            </a:rPr>
            <a:t>Accounts Payable: £300,000</a:t>
          </a:r>
        </a:p>
        <a:p>
          <a:pPr lvl="0" algn="just" defTabSz="533400">
            <a:lnSpc>
              <a:spcPct val="90000"/>
            </a:lnSpc>
            <a:spcBef>
              <a:spcPct val="0"/>
            </a:spcBef>
            <a:spcAft>
              <a:spcPct val="35000"/>
            </a:spcAft>
          </a:pPr>
          <a:r>
            <a:rPr lang="en-US" sz="1200" kern="1200">
              <a:latin typeface="Arial" panose="020B0604020202020204" pitchFamily="34" charset="0"/>
              <a:cs typeface="Arial" panose="020B0604020202020204" pitchFamily="34" charset="0"/>
            </a:rPr>
            <a:t>Current Ratio 2023= </a:t>
          </a:r>
          <a14:m xmlns:a14="http://schemas.microsoft.com/office/drawing/2010/main">
            <m:oMath xmlns:m="http://schemas.openxmlformats.org/officeDocument/2006/math">
              <m:f>
                <m:fPr>
                  <m:ctrlPr>
                    <a:rPr lang="en-US" sz="1200" i="1" kern="1200">
                      <a:latin typeface="Cambria Math"/>
                    </a:rPr>
                  </m:ctrlPr>
                </m:fPr>
                <m:num>
                  <m:r>
                    <a:rPr lang="en-GB" sz="1200" kern="1200">
                      <a:latin typeface="Cambria Math" panose="02040503050406030204" pitchFamily="18" charset="0"/>
                      <a:cs typeface="Arial" panose="020B0604020202020204" pitchFamily="34" charset="0"/>
                    </a:rPr>
                    <m:t>£</m:t>
                  </m:r>
                  <m:r>
                    <a:rPr lang="en-GB" sz="1200" b="0" i="0" kern="1200">
                      <a:latin typeface="Cambria Math" panose="02040503050406030204" pitchFamily="18" charset="0"/>
                      <a:cs typeface="Arial" panose="020B0604020202020204" pitchFamily="34" charset="0"/>
                    </a:rPr>
                    <m:t>18</m:t>
                  </m:r>
                  <m:r>
                    <a:rPr lang="en-GB" sz="1200" kern="1200">
                      <a:latin typeface="Cambria Math" panose="02040503050406030204" pitchFamily="18" charset="0"/>
                      <a:cs typeface="Arial" panose="020B0604020202020204" pitchFamily="34" charset="0"/>
                    </a:rPr>
                    <m:t>0,000</m:t>
                  </m:r>
                </m:num>
                <m:den>
                  <m:r>
                    <a:rPr lang="en-GB" sz="1200" kern="1200">
                      <a:latin typeface="Cambria Math" panose="02040503050406030204" pitchFamily="18" charset="0"/>
                    </a:rPr>
                    <m:t>£</m:t>
                  </m:r>
                  <m:r>
                    <a:rPr lang="en-GB" sz="1200" b="0" i="0" kern="1200">
                      <a:latin typeface="Cambria Math" panose="02040503050406030204" pitchFamily="18" charset="0"/>
                    </a:rPr>
                    <m:t>30</m:t>
                  </m:r>
                  <m:r>
                    <a:rPr lang="en-GB" sz="1200" kern="1200">
                      <a:latin typeface="Cambria Math" panose="02040503050406030204" pitchFamily="18" charset="0"/>
                    </a:rPr>
                    <m:t>0,000</m:t>
                  </m:r>
                </m:den>
              </m:f>
            </m:oMath>
          </a14:m>
          <a:r>
            <a:rPr lang="en-GB" sz="1200" kern="1200">
              <a:latin typeface="Arial" panose="020B0604020202020204" pitchFamily="34" charset="0"/>
              <a:cs typeface="Arial" panose="020B0604020202020204" pitchFamily="34" charset="0"/>
            </a:rPr>
            <a:t> = 0.6</a:t>
          </a:r>
        </a:p>
        <a:p>
          <a:pPr lvl="0" algn="l" defTabSz="533400">
            <a:lnSpc>
              <a:spcPct val="90000"/>
            </a:lnSpc>
            <a:spcBef>
              <a:spcPct val="0"/>
            </a:spcBef>
            <a:spcAft>
              <a:spcPct val="35000"/>
            </a:spcAft>
          </a:pPr>
          <a:r>
            <a:rPr lang="en-GB" sz="1200" kern="1200">
              <a:latin typeface="Arial" panose="020B0604020202020204" pitchFamily="34" charset="0"/>
              <a:cs typeface="Arial" panose="020B0604020202020204" pitchFamily="34" charset="0"/>
            </a:rPr>
            <a:t/>
          </a:r>
          <a:br>
            <a:rPr lang="en-GB" sz="1200" kern="1200">
              <a:latin typeface="Arial" panose="020B0604020202020204" pitchFamily="34" charset="0"/>
              <a:cs typeface="Arial" panose="020B0604020202020204" pitchFamily="34" charset="0"/>
            </a:rPr>
          </a:br>
          <a:r>
            <a:rPr lang="en-GB" sz="1200" kern="1200">
              <a:latin typeface="Arial" panose="020B0604020202020204" pitchFamily="34" charset="0"/>
              <a:cs typeface="Arial" panose="020B0604020202020204" pitchFamily="34" charset="0"/>
            </a:rPr>
            <a:t>The current ratio assesses the hotel's ability to meet short-term obligations with its short-term assets. Over three years, the current ratio decreased from 1.8 in 2021 to 0.6 in 2023. This falling trend suggests that the hotel's liquidity is deteriorating, meaning that it may struggle to meet its short-term liabilities as they become due. </a:t>
          </a:r>
          <a:br>
            <a:rPr lang="en-GB" sz="1200" kern="1200">
              <a:latin typeface="Arial" panose="020B0604020202020204" pitchFamily="34" charset="0"/>
              <a:cs typeface="Arial" panose="020B0604020202020204" pitchFamily="34" charset="0"/>
            </a:rPr>
          </a:br>
          <a:r>
            <a:rPr lang="en-GB" sz="1200" kern="1200">
              <a:latin typeface="Arial" panose="020B0604020202020204" pitchFamily="34" charset="0"/>
              <a:cs typeface="Arial" panose="020B0604020202020204" pitchFamily="34" charset="0"/>
            </a:rPr>
            <a:t/>
          </a:r>
          <a:br>
            <a:rPr lang="en-GB" sz="1200" kern="1200">
              <a:latin typeface="Arial" panose="020B0604020202020204" pitchFamily="34" charset="0"/>
              <a:cs typeface="Arial" panose="020B0604020202020204" pitchFamily="34" charset="0"/>
            </a:rPr>
          </a:br>
          <a:endParaRPr lang="en-GB" sz="1200" kern="1200">
            <a:latin typeface="Arial" panose="020B0604020202020204" pitchFamily="34" charset="0"/>
            <a:cs typeface="Arial" panose="020B0604020202020204" pitchFamily="34" charset="0"/>
          </a:endParaRPr>
        </a:p>
        <a:p>
          <a:pPr lvl="0" algn="just" defTabSz="533400">
            <a:lnSpc>
              <a:spcPct val="90000"/>
            </a:lnSpc>
            <a:spcBef>
              <a:spcPct val="0"/>
            </a:spcBef>
            <a:spcAft>
              <a:spcPct val="35000"/>
            </a:spcAft>
          </a:pPr>
          <a:endParaRPr lang="en-GB" sz="1200" kern="1200">
            <a:latin typeface="Arial" panose="020B0604020202020204" pitchFamily="34" charset="0"/>
            <a:cs typeface="Arial" panose="020B0604020202020204" pitchFamily="34" charset="0"/>
          </a:endParaRPr>
        </a:p>
      </dsp:txBody>
      <dsp:txXfrm>
        <a:off x="5357" y="0"/>
        <a:ext cx="5481042" cy="8823940"/>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199C4E1-EE1F-4CCC-9150-A5F184A39969}">
      <dsp:nvSpPr>
        <dsp:cNvPr id="0" name=""/>
        <dsp:cNvSpPr/>
      </dsp:nvSpPr>
      <dsp:spPr>
        <a:xfrm>
          <a:off x="7625" y="117"/>
          <a:ext cx="5875009" cy="2201944"/>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just" defTabSz="533400">
            <a:lnSpc>
              <a:spcPct val="90000"/>
            </a:lnSpc>
            <a:spcBef>
              <a:spcPct val="0"/>
            </a:spcBef>
            <a:spcAft>
              <a:spcPct val="35000"/>
            </a:spcAft>
          </a:pPr>
          <a:r>
            <a:rPr lang="en-GB" sz="1200" b="1" kern="1200">
              <a:latin typeface="Arial" panose="020B0604020202020204" pitchFamily="34" charset="0"/>
              <a:cs typeface="Arial" panose="020B0604020202020204" pitchFamily="34" charset="0"/>
            </a:rPr>
            <a:t>Formula:</a:t>
          </a:r>
          <a:r>
            <a:rPr lang="en-GB" sz="1200" kern="1200">
              <a:latin typeface="Arial" panose="020B0604020202020204" pitchFamily="34" charset="0"/>
              <a:cs typeface="Arial" panose="020B0604020202020204" pitchFamily="34" charset="0"/>
            </a:rPr>
            <a:t>Debt to Equity Ratio=Total Liabilities/Equity</a:t>
          </a:r>
        </a:p>
        <a:p>
          <a:pPr lvl="0" algn="just" defTabSz="533400">
            <a:lnSpc>
              <a:spcPct val="90000"/>
            </a:lnSpc>
            <a:spcBef>
              <a:spcPct val="0"/>
            </a:spcBef>
            <a:spcAft>
              <a:spcPct val="35000"/>
            </a:spcAft>
          </a:pPr>
          <a:r>
            <a:rPr lang="en-GB" sz="1200" kern="1200">
              <a:latin typeface="Arial" panose="020B0604020202020204" pitchFamily="34" charset="0"/>
              <a:cs typeface="Arial" panose="020B0604020202020204" pitchFamily="34" charset="0"/>
            </a:rPr>
            <a:t>​</a:t>
          </a:r>
          <a:r>
            <a:rPr lang="en-GB" sz="1200" b="1" kern="1200">
              <a:latin typeface="Arial" panose="020B0604020202020204" pitchFamily="34" charset="0"/>
              <a:cs typeface="Arial" panose="020B0604020202020204" pitchFamily="34" charset="0"/>
            </a:rPr>
            <a:t>2021: </a:t>
          </a:r>
          <a:r>
            <a:rPr lang="en-GB" sz="1200" kern="1200">
              <a:latin typeface="Arial" panose="020B0604020202020204" pitchFamily="34" charset="0"/>
              <a:cs typeface="Arial" panose="020B0604020202020204" pitchFamily="34" charset="0"/>
            </a:rPr>
            <a:t>3,250,000​/2,200,000 ≈ 1.48</a:t>
          </a:r>
        </a:p>
        <a:p>
          <a:pPr lvl="0" algn="just" defTabSz="533400">
            <a:lnSpc>
              <a:spcPct val="90000"/>
            </a:lnSpc>
            <a:spcBef>
              <a:spcPct val="0"/>
            </a:spcBef>
            <a:spcAft>
              <a:spcPct val="35000"/>
            </a:spcAft>
          </a:pPr>
          <a:r>
            <a:rPr lang="en-GB" sz="1200" b="1" kern="1200">
              <a:latin typeface="Arial" panose="020B0604020202020204" pitchFamily="34" charset="0"/>
              <a:cs typeface="Arial" panose="020B0604020202020204" pitchFamily="34" charset="0"/>
            </a:rPr>
            <a:t>2022: </a:t>
          </a:r>
          <a:r>
            <a:rPr lang="en-GB" sz="1200" kern="1200">
              <a:latin typeface="Arial" panose="020B0604020202020204" pitchFamily="34" charset="0"/>
              <a:cs typeface="Arial" panose="020B0604020202020204" pitchFamily="34" charset="0"/>
            </a:rPr>
            <a:t>3,270,000/ 1830,000 ≈ 1.79</a:t>
          </a:r>
        </a:p>
        <a:p>
          <a:pPr lvl="0" algn="just" defTabSz="533400">
            <a:lnSpc>
              <a:spcPct val="90000"/>
            </a:lnSpc>
            <a:spcBef>
              <a:spcPct val="0"/>
            </a:spcBef>
            <a:spcAft>
              <a:spcPct val="35000"/>
            </a:spcAft>
          </a:pPr>
          <a:r>
            <a:rPr lang="en-GB" sz="1200" b="1" kern="1200">
              <a:latin typeface="Arial" panose="020B0604020202020204" pitchFamily="34" charset="0"/>
              <a:cs typeface="Arial" panose="020B0604020202020204" pitchFamily="34" charset="0"/>
            </a:rPr>
            <a:t>2023: </a:t>
          </a:r>
          <a:r>
            <a:rPr lang="en-GB" sz="1200" kern="1200">
              <a:latin typeface="Arial" panose="020B0604020202020204" pitchFamily="34" charset="0"/>
              <a:cs typeface="Arial" panose="020B0604020202020204" pitchFamily="34" charset="0"/>
            </a:rPr>
            <a:t>3,300,000/1,380,000 ≈ 2.39</a:t>
          </a:r>
        </a:p>
        <a:p>
          <a:pPr lvl="0" algn="just" defTabSz="533400">
            <a:lnSpc>
              <a:spcPct val="90000"/>
            </a:lnSpc>
            <a:spcBef>
              <a:spcPct val="0"/>
            </a:spcBef>
            <a:spcAft>
              <a:spcPct val="35000"/>
            </a:spcAft>
          </a:pPr>
          <a:r>
            <a:rPr lang="en-GB" sz="1200" kern="1200">
              <a:latin typeface="Arial" panose="020B0604020202020204" pitchFamily="34" charset="0"/>
              <a:cs typeface="Arial" panose="020B0604020202020204" pitchFamily="34" charset="0"/>
            </a:rPr>
            <a:t>This increase, from 1.48 in 2021 to 2.39 in 2023, indicates that the hotel is becoming more leveraged, relying on debt financing rather than equity, hence increasing financial risk.</a:t>
          </a:r>
          <a:endParaRPr lang="en-US" sz="1200" kern="1200"/>
        </a:p>
      </dsp:txBody>
      <dsp:txXfrm>
        <a:off x="7625" y="117"/>
        <a:ext cx="5875009" cy="2201944"/>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9D40198-F87A-4B7A-978E-12C2A433051A}">
      <dsp:nvSpPr>
        <dsp:cNvPr id="0" name=""/>
        <dsp:cNvSpPr/>
      </dsp:nvSpPr>
      <dsp:spPr>
        <a:xfrm>
          <a:off x="3728" y="853"/>
          <a:ext cx="5478943" cy="1232732"/>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just" defTabSz="533400">
            <a:lnSpc>
              <a:spcPct val="90000"/>
            </a:lnSpc>
            <a:spcBef>
              <a:spcPct val="0"/>
            </a:spcBef>
            <a:spcAft>
              <a:spcPct val="35000"/>
            </a:spcAft>
          </a:pPr>
          <a:r>
            <a:rPr lang="en-US" sz="1200" kern="1200">
              <a:latin typeface="Arial" panose="020B0604020202020204" pitchFamily="34" charset="0"/>
              <a:cs typeface="Arial" panose="020B0604020202020204" pitchFamily="34" charset="0"/>
            </a:rPr>
            <a:t>ROA=( Total Assets/Net Income)×100</a:t>
          </a:r>
        </a:p>
        <a:p>
          <a:pPr lvl="0" algn="just" defTabSz="533400">
            <a:lnSpc>
              <a:spcPct val="90000"/>
            </a:lnSpc>
            <a:spcBef>
              <a:spcPct val="0"/>
            </a:spcBef>
            <a:spcAft>
              <a:spcPct val="35000"/>
            </a:spcAft>
          </a:pPr>
          <a:r>
            <a:rPr lang="en-US" sz="1200" kern="1200">
              <a:latin typeface="Arial" panose="020B0604020202020204" pitchFamily="34" charset="0"/>
              <a:cs typeface="Arial" panose="020B0604020202020204" pitchFamily="34" charset="0"/>
            </a:rPr>
            <a:t>2021: (700,000/5450,000) × 100 </a:t>
          </a:r>
          <a:r>
            <a:rPr lang="en-GB" sz="1200" kern="1200"/>
            <a:t>≈12.84%</a:t>
          </a:r>
        </a:p>
        <a:p>
          <a:pPr lvl="0" algn="just" defTabSz="533400">
            <a:lnSpc>
              <a:spcPct val="90000"/>
            </a:lnSpc>
            <a:spcBef>
              <a:spcPct val="0"/>
            </a:spcBef>
            <a:spcAft>
              <a:spcPct val="35000"/>
            </a:spcAft>
          </a:pPr>
          <a:r>
            <a:rPr lang="en-US" sz="1200" kern="1200">
              <a:latin typeface="Arial" panose="020B0604020202020204" pitchFamily="34" charset="0"/>
              <a:cs typeface="Arial" panose="020B0604020202020204" pitchFamily="34" charset="0"/>
            </a:rPr>
            <a:t>2022: (200,000/5100,000) × 100 </a:t>
          </a:r>
          <a:r>
            <a:rPr lang="en-GB" sz="1200" kern="1200"/>
            <a:t>≈3.92%</a:t>
          </a:r>
        </a:p>
        <a:p>
          <a:pPr lvl="0" algn="just" defTabSz="533400">
            <a:lnSpc>
              <a:spcPct val="90000"/>
            </a:lnSpc>
            <a:spcBef>
              <a:spcPct val="0"/>
            </a:spcBef>
            <a:spcAft>
              <a:spcPct val="35000"/>
            </a:spcAft>
          </a:pPr>
          <a:r>
            <a:rPr lang="en-US" sz="1200" kern="1200">
              <a:latin typeface="Arial" panose="020B0604020202020204" pitchFamily="34" charset="0"/>
              <a:cs typeface="Arial" panose="020B0604020202020204" pitchFamily="34" charset="0"/>
            </a:rPr>
            <a:t>2023: (-500,000/4,680,000) × 100 </a:t>
          </a:r>
          <a:r>
            <a:rPr lang="en-GB" sz="1200" kern="1200"/>
            <a:t>≈-10.68%</a:t>
          </a:r>
          <a:endParaRPr lang="en-US" sz="1200" kern="1200">
            <a:latin typeface="Arial" panose="020B0604020202020204" pitchFamily="34" charset="0"/>
            <a:cs typeface="Arial" panose="020B0604020202020204" pitchFamily="34" charset="0"/>
          </a:endParaRPr>
        </a:p>
        <a:p>
          <a:pPr lvl="0" algn="ctr" defTabSz="533400">
            <a:lnSpc>
              <a:spcPct val="90000"/>
            </a:lnSpc>
            <a:spcBef>
              <a:spcPct val="0"/>
            </a:spcBef>
            <a:spcAft>
              <a:spcPct val="35000"/>
            </a:spcAft>
          </a:pPr>
          <a:endParaRPr lang="en-US" sz="1200" kern="1200">
            <a:latin typeface="Arial" panose="020B0604020202020204" pitchFamily="34" charset="0"/>
            <a:cs typeface="Arial" panose="020B0604020202020204" pitchFamily="34" charset="0"/>
          </a:endParaRPr>
        </a:p>
      </dsp:txBody>
      <dsp:txXfrm>
        <a:off x="3728" y="853"/>
        <a:ext cx="5478943" cy="1232732"/>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D11381E-BA19-4280-8DD8-477757F97096}">
      <dsp:nvSpPr>
        <dsp:cNvPr id="0" name=""/>
        <dsp:cNvSpPr/>
      </dsp:nvSpPr>
      <dsp:spPr>
        <a:xfrm>
          <a:off x="52249" y="822"/>
          <a:ext cx="1294134" cy="776480"/>
        </a:xfrm>
        <a:prstGeom prst="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GB" sz="1400" b="1" kern="1200">
              <a:latin typeface="Arial" panose="020B0604020202020204" pitchFamily="34" charset="0"/>
              <a:cs typeface="Arial" panose="020B0604020202020204" pitchFamily="34" charset="0"/>
            </a:rPr>
            <a:t>Market Risk Mitigation </a:t>
          </a:r>
          <a:endParaRPr lang="en-US" sz="1400" b="1" kern="1200">
            <a:latin typeface="Arial" panose="020B0604020202020204" pitchFamily="34" charset="0"/>
            <a:cs typeface="Arial" panose="020B0604020202020204" pitchFamily="34" charset="0"/>
          </a:endParaRPr>
        </a:p>
      </dsp:txBody>
      <dsp:txXfrm>
        <a:off x="52249" y="822"/>
        <a:ext cx="1294134" cy="776480"/>
      </dsp:txXfrm>
    </dsp:sp>
    <dsp:sp modelId="{4770184F-829B-49BD-9266-F5F751EAAFEA}">
      <dsp:nvSpPr>
        <dsp:cNvPr id="0" name=""/>
        <dsp:cNvSpPr/>
      </dsp:nvSpPr>
      <dsp:spPr>
        <a:xfrm>
          <a:off x="1475798" y="822"/>
          <a:ext cx="1294134" cy="776480"/>
        </a:xfrm>
        <a:prstGeom prst="rect">
          <a:avLst/>
        </a:prstGeom>
        <a:gradFill rotWithShape="0">
          <a:gsLst>
            <a:gs pos="0">
              <a:schemeClr val="accent5">
                <a:hueOff val="-1470669"/>
                <a:satOff val="-2046"/>
                <a:lumOff val="-784"/>
                <a:alphaOff val="0"/>
                <a:satMod val="103000"/>
                <a:lumMod val="102000"/>
                <a:tint val="94000"/>
              </a:schemeClr>
            </a:gs>
            <a:gs pos="50000">
              <a:schemeClr val="accent5">
                <a:hueOff val="-1470669"/>
                <a:satOff val="-2046"/>
                <a:lumOff val="-784"/>
                <a:alphaOff val="0"/>
                <a:satMod val="110000"/>
                <a:lumMod val="100000"/>
                <a:shade val="100000"/>
              </a:schemeClr>
            </a:gs>
            <a:gs pos="100000">
              <a:schemeClr val="accent5">
                <a:hueOff val="-1470669"/>
                <a:satOff val="-2046"/>
                <a:lumOff val="-784"/>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GB" sz="1400" b="1" kern="1200"/>
            <a:t>Operational Risk Mitigation </a:t>
          </a:r>
          <a:endParaRPr lang="en-US" sz="1400" kern="1200"/>
        </a:p>
      </dsp:txBody>
      <dsp:txXfrm>
        <a:off x="1475798" y="822"/>
        <a:ext cx="1294134" cy="776480"/>
      </dsp:txXfrm>
    </dsp:sp>
    <dsp:sp modelId="{D3B40275-6FFA-4A1E-82DD-9A964C01EEB0}">
      <dsp:nvSpPr>
        <dsp:cNvPr id="0" name=""/>
        <dsp:cNvSpPr/>
      </dsp:nvSpPr>
      <dsp:spPr>
        <a:xfrm>
          <a:off x="2899346" y="822"/>
          <a:ext cx="1294134" cy="776480"/>
        </a:xfrm>
        <a:prstGeom prst="rect">
          <a:avLst/>
        </a:prstGeom>
        <a:gradFill rotWithShape="0">
          <a:gsLst>
            <a:gs pos="0">
              <a:schemeClr val="accent5">
                <a:hueOff val="-2941338"/>
                <a:satOff val="-4091"/>
                <a:lumOff val="-1569"/>
                <a:alphaOff val="0"/>
                <a:satMod val="103000"/>
                <a:lumMod val="102000"/>
                <a:tint val="94000"/>
              </a:schemeClr>
            </a:gs>
            <a:gs pos="50000">
              <a:schemeClr val="accent5">
                <a:hueOff val="-2941338"/>
                <a:satOff val="-4091"/>
                <a:lumOff val="-1569"/>
                <a:alphaOff val="0"/>
                <a:satMod val="110000"/>
                <a:lumMod val="100000"/>
                <a:shade val="100000"/>
              </a:schemeClr>
            </a:gs>
            <a:gs pos="100000">
              <a:schemeClr val="accent5">
                <a:hueOff val="-2941338"/>
                <a:satOff val="-4091"/>
                <a:lumOff val="-1569"/>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GB" sz="1400" b="1" kern="1200"/>
            <a:t>Managing Financial Risks</a:t>
          </a:r>
          <a:endParaRPr lang="en-US" sz="1400" kern="1200"/>
        </a:p>
      </dsp:txBody>
      <dsp:txXfrm>
        <a:off x="2899346" y="822"/>
        <a:ext cx="1294134" cy="776480"/>
      </dsp:txXfrm>
    </dsp:sp>
    <dsp:sp modelId="{B3B0EAA9-7F3B-46FB-A382-19F9DA355C8D}">
      <dsp:nvSpPr>
        <dsp:cNvPr id="0" name=""/>
        <dsp:cNvSpPr/>
      </dsp:nvSpPr>
      <dsp:spPr>
        <a:xfrm>
          <a:off x="4322895" y="822"/>
          <a:ext cx="1294134" cy="776480"/>
        </a:xfrm>
        <a:prstGeom prst="rect">
          <a:avLst/>
        </a:prstGeom>
        <a:gradFill rotWithShape="0">
          <a:gsLst>
            <a:gs pos="0">
              <a:schemeClr val="accent5">
                <a:hueOff val="-4412007"/>
                <a:satOff val="-6137"/>
                <a:lumOff val="-2353"/>
                <a:alphaOff val="0"/>
                <a:satMod val="103000"/>
                <a:lumMod val="102000"/>
                <a:tint val="94000"/>
              </a:schemeClr>
            </a:gs>
            <a:gs pos="50000">
              <a:schemeClr val="accent5">
                <a:hueOff val="-4412007"/>
                <a:satOff val="-6137"/>
                <a:lumOff val="-2353"/>
                <a:alphaOff val="0"/>
                <a:satMod val="110000"/>
                <a:lumMod val="100000"/>
                <a:shade val="100000"/>
              </a:schemeClr>
            </a:gs>
            <a:gs pos="100000">
              <a:schemeClr val="accent5">
                <a:hueOff val="-4412007"/>
                <a:satOff val="-6137"/>
                <a:lumOff val="-2353"/>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GB" sz="1400" b="1" kern="1200"/>
            <a:t>Regulatory and Compliance Risk Mitigation</a:t>
          </a:r>
          <a:endParaRPr lang="en-US" sz="1400" kern="1200"/>
        </a:p>
      </dsp:txBody>
      <dsp:txXfrm>
        <a:off x="4322895" y="822"/>
        <a:ext cx="1294134" cy="776480"/>
      </dsp:txXfrm>
    </dsp:sp>
    <dsp:sp modelId="{F2EB59F7-DC9D-439C-A987-1154E998E649}">
      <dsp:nvSpPr>
        <dsp:cNvPr id="0" name=""/>
        <dsp:cNvSpPr/>
      </dsp:nvSpPr>
      <dsp:spPr>
        <a:xfrm>
          <a:off x="1475798" y="906716"/>
          <a:ext cx="1294134" cy="776480"/>
        </a:xfrm>
        <a:prstGeom prst="rect">
          <a:avLst/>
        </a:prstGeom>
        <a:gradFill rotWithShape="0">
          <a:gsLst>
            <a:gs pos="0">
              <a:schemeClr val="accent5">
                <a:hueOff val="-5882677"/>
                <a:satOff val="-8182"/>
                <a:lumOff val="-3138"/>
                <a:alphaOff val="0"/>
                <a:satMod val="103000"/>
                <a:lumMod val="102000"/>
                <a:tint val="94000"/>
              </a:schemeClr>
            </a:gs>
            <a:gs pos="50000">
              <a:schemeClr val="accent5">
                <a:hueOff val="-5882677"/>
                <a:satOff val="-8182"/>
                <a:lumOff val="-3138"/>
                <a:alphaOff val="0"/>
                <a:satMod val="110000"/>
                <a:lumMod val="100000"/>
                <a:shade val="100000"/>
              </a:schemeClr>
            </a:gs>
            <a:gs pos="100000">
              <a:schemeClr val="accent5">
                <a:hueOff val="-5882677"/>
                <a:satOff val="-8182"/>
                <a:lumOff val="-3138"/>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GB" sz="1400" b="1" kern="1200"/>
            <a:t>Reputation Management</a:t>
          </a:r>
          <a:endParaRPr lang="en-US" sz="1400" kern="1200"/>
        </a:p>
      </dsp:txBody>
      <dsp:txXfrm>
        <a:off x="1475798" y="906716"/>
        <a:ext cx="1294134" cy="776480"/>
      </dsp:txXfrm>
    </dsp:sp>
    <dsp:sp modelId="{B12E838F-541B-41A3-9D67-FE7E614CDE78}">
      <dsp:nvSpPr>
        <dsp:cNvPr id="0" name=""/>
        <dsp:cNvSpPr/>
      </dsp:nvSpPr>
      <dsp:spPr>
        <a:xfrm>
          <a:off x="2899346" y="906716"/>
          <a:ext cx="1294134" cy="776480"/>
        </a:xfrm>
        <a:prstGeom prst="rect">
          <a:avLst/>
        </a:prstGeom>
        <a:gradFill rotWithShape="0">
          <a:gsLst>
            <a:gs pos="0">
              <a:schemeClr val="accent5">
                <a:hueOff val="-7353345"/>
                <a:satOff val="-10228"/>
                <a:lumOff val="-3922"/>
                <a:alphaOff val="0"/>
                <a:satMod val="103000"/>
                <a:lumMod val="102000"/>
                <a:tint val="94000"/>
              </a:schemeClr>
            </a:gs>
            <a:gs pos="50000">
              <a:schemeClr val="accent5">
                <a:hueOff val="-7353345"/>
                <a:satOff val="-10228"/>
                <a:lumOff val="-3922"/>
                <a:alphaOff val="0"/>
                <a:satMod val="110000"/>
                <a:lumMod val="100000"/>
                <a:shade val="100000"/>
              </a:schemeClr>
            </a:gs>
            <a:gs pos="100000">
              <a:schemeClr val="accent5">
                <a:hueOff val="-7353345"/>
                <a:satOff val="-10228"/>
                <a:lumOff val="-3922"/>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GB" sz="1400" b="1" kern="1200"/>
            <a:t>Financial Restructuring</a:t>
          </a:r>
          <a:br>
            <a:rPr lang="en-GB" sz="1400" b="1" kern="1200"/>
          </a:br>
          <a:endParaRPr lang="en-US" sz="1400" kern="1200"/>
        </a:p>
      </dsp:txBody>
      <dsp:txXfrm>
        <a:off x="2899346" y="906716"/>
        <a:ext cx="1294134" cy="776480"/>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BEEB1EE-D004-4969-91A1-10AC49B5FBAC}">
      <dsp:nvSpPr>
        <dsp:cNvPr id="0" name=""/>
        <dsp:cNvSpPr/>
      </dsp:nvSpPr>
      <dsp:spPr>
        <a:xfrm>
          <a:off x="0" y="0"/>
          <a:ext cx="5577840" cy="0"/>
        </a:xfrm>
        <a:prstGeom prst="line">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04529C6-11AE-45D2-B730-517B5BB8FEB6}">
      <dsp:nvSpPr>
        <dsp:cNvPr id="0" name=""/>
        <dsp:cNvSpPr/>
      </dsp:nvSpPr>
      <dsp:spPr>
        <a:xfrm flipH="1">
          <a:off x="0" y="0"/>
          <a:ext cx="1315683" cy="108204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lvl="0" algn="l" defTabSz="488950">
            <a:lnSpc>
              <a:spcPct val="90000"/>
            </a:lnSpc>
            <a:spcBef>
              <a:spcPct val="0"/>
            </a:spcBef>
            <a:spcAft>
              <a:spcPct val="35000"/>
            </a:spcAft>
          </a:pPr>
          <a:r>
            <a:rPr lang="en-US" sz="1100" b="1" kern="1200">
              <a:latin typeface="Arial" panose="020B0604020202020204" pitchFamily="34" charset="0"/>
              <a:cs typeface="Arial" panose="020B0604020202020204" pitchFamily="34" charset="0"/>
            </a:rPr>
            <a:t>Immediate (0–3 months): </a:t>
          </a:r>
        </a:p>
      </dsp:txBody>
      <dsp:txXfrm>
        <a:off x="0" y="0"/>
        <a:ext cx="1315683" cy="1082040"/>
      </dsp:txXfrm>
    </dsp:sp>
    <dsp:sp modelId="{68D7DCBF-1D25-485C-881C-D731B1687CFC}">
      <dsp:nvSpPr>
        <dsp:cNvPr id="0" name=""/>
        <dsp:cNvSpPr/>
      </dsp:nvSpPr>
      <dsp:spPr>
        <a:xfrm>
          <a:off x="1395510" y="54102"/>
          <a:ext cx="4177633" cy="90402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t" anchorCtr="0">
          <a:noAutofit/>
        </a:bodyPr>
        <a:lstStyle/>
        <a:p>
          <a:pPr lvl="0" algn="l" defTabSz="444500">
            <a:lnSpc>
              <a:spcPct val="90000"/>
            </a:lnSpc>
            <a:spcBef>
              <a:spcPct val="0"/>
            </a:spcBef>
            <a:spcAft>
              <a:spcPct val="35000"/>
            </a:spcAft>
          </a:pPr>
          <a:r>
            <a:rPr lang="en-US" sz="1000" kern="1200">
              <a:latin typeface="Arial" panose="020B0604020202020204" pitchFamily="34" charset="0"/>
              <a:cs typeface="Arial" panose="020B0604020202020204" pitchFamily="34" charset="0"/>
            </a:rPr>
            <a:t>Perform market research to ensure competitive pricing.</a:t>
          </a:r>
        </a:p>
        <a:p>
          <a:pPr lvl="0" algn="l" defTabSz="444500">
            <a:lnSpc>
              <a:spcPct val="90000"/>
            </a:lnSpc>
            <a:spcBef>
              <a:spcPct val="0"/>
            </a:spcBef>
            <a:spcAft>
              <a:spcPct val="35000"/>
            </a:spcAft>
          </a:pPr>
          <a:r>
            <a:rPr lang="en-US" sz="1000" kern="1200">
              <a:latin typeface="Arial" panose="020B0604020202020204" pitchFamily="34" charset="0"/>
              <a:cs typeface="Arial" panose="020B0604020202020204" pitchFamily="34" charset="0"/>
            </a:rPr>
            <a:t>Begin staff training programmes.</a:t>
          </a:r>
        </a:p>
        <a:p>
          <a:pPr lvl="0" algn="l" defTabSz="444500">
            <a:lnSpc>
              <a:spcPct val="90000"/>
            </a:lnSpc>
            <a:spcBef>
              <a:spcPct val="0"/>
            </a:spcBef>
            <a:spcAft>
              <a:spcPct val="35000"/>
            </a:spcAft>
          </a:pPr>
          <a:r>
            <a:rPr lang="en-US" sz="1000" kern="1200">
              <a:latin typeface="Arial" panose="020B0604020202020204" pitchFamily="34" charset="0"/>
              <a:cs typeface="Arial" panose="020B0604020202020204" pitchFamily="34" charset="0"/>
            </a:rPr>
            <a:t>Implement cost-cutting strategies.</a:t>
          </a:r>
        </a:p>
        <a:p>
          <a:pPr lvl="0" algn="l" defTabSz="444500">
            <a:lnSpc>
              <a:spcPct val="90000"/>
            </a:lnSpc>
            <a:spcBef>
              <a:spcPct val="0"/>
            </a:spcBef>
            <a:spcAft>
              <a:spcPct val="35000"/>
            </a:spcAft>
          </a:pPr>
          <a:r>
            <a:rPr lang="en-US" sz="1000" kern="1200">
              <a:latin typeface="Arial" panose="020B0604020202020204" pitchFamily="34" charset="0"/>
              <a:cs typeface="Arial" panose="020B0604020202020204" pitchFamily="34" charset="0"/>
            </a:rPr>
            <a:t>Launch the marketing campaign.</a:t>
          </a:r>
        </a:p>
        <a:p>
          <a:pPr lvl="0" algn="l" defTabSz="444500">
            <a:lnSpc>
              <a:spcPct val="90000"/>
            </a:lnSpc>
            <a:spcBef>
              <a:spcPct val="0"/>
            </a:spcBef>
            <a:spcAft>
              <a:spcPct val="35000"/>
            </a:spcAft>
          </a:pPr>
          <a:endParaRPr lang="en-US" sz="1000" kern="1200">
            <a:latin typeface="Arial" panose="020B0604020202020204" pitchFamily="34" charset="0"/>
            <a:cs typeface="Arial" panose="020B0604020202020204" pitchFamily="34" charset="0"/>
          </a:endParaRPr>
        </a:p>
      </dsp:txBody>
      <dsp:txXfrm>
        <a:off x="1395510" y="54102"/>
        <a:ext cx="4177633" cy="904022"/>
      </dsp:txXfrm>
    </dsp:sp>
    <dsp:sp modelId="{ECFCFE69-F520-4857-AF47-91B9214FA785}">
      <dsp:nvSpPr>
        <dsp:cNvPr id="0" name=""/>
        <dsp:cNvSpPr/>
      </dsp:nvSpPr>
      <dsp:spPr>
        <a:xfrm>
          <a:off x="1315683" y="958124"/>
          <a:ext cx="4257460" cy="0"/>
        </a:xfrm>
        <a:prstGeom prst="line">
          <a:avLst/>
        </a:prstGeom>
        <a:solidFill>
          <a:schemeClr val="accent1">
            <a:hueOff val="0"/>
            <a:satOff val="0"/>
            <a:lumOff val="0"/>
            <a:alphaOff val="0"/>
          </a:schemeClr>
        </a:solid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FDD027B6-C8E4-4723-ABB9-A5900514D7F0}">
      <dsp:nvSpPr>
        <dsp:cNvPr id="0" name=""/>
        <dsp:cNvSpPr/>
      </dsp:nvSpPr>
      <dsp:spPr>
        <a:xfrm>
          <a:off x="0" y="1082040"/>
          <a:ext cx="5577840" cy="0"/>
        </a:xfrm>
        <a:prstGeom prst="line">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DF38DC1-1D3C-4CC9-855B-DD82C000A3F6}">
      <dsp:nvSpPr>
        <dsp:cNvPr id="0" name=""/>
        <dsp:cNvSpPr/>
      </dsp:nvSpPr>
      <dsp:spPr>
        <a:xfrm>
          <a:off x="0" y="1082040"/>
          <a:ext cx="1115568" cy="108204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lvl="0" algn="l" defTabSz="488950">
            <a:lnSpc>
              <a:spcPct val="90000"/>
            </a:lnSpc>
            <a:spcBef>
              <a:spcPct val="0"/>
            </a:spcBef>
            <a:spcAft>
              <a:spcPct val="35000"/>
            </a:spcAft>
          </a:pPr>
          <a:r>
            <a:rPr lang="en-US" sz="1100" b="1" kern="1200">
              <a:latin typeface="Arial" panose="020B0604020202020204" pitchFamily="34" charset="0"/>
              <a:cs typeface="Arial" panose="020B0604020202020204" pitchFamily="34" charset="0"/>
            </a:rPr>
            <a:t>Short-term (3 to 6 months): </a:t>
          </a:r>
        </a:p>
      </dsp:txBody>
      <dsp:txXfrm>
        <a:off x="0" y="1082040"/>
        <a:ext cx="1115568" cy="1082040"/>
      </dsp:txXfrm>
    </dsp:sp>
    <dsp:sp modelId="{DB02D1DB-29B2-4766-96E2-86F6813E5437}">
      <dsp:nvSpPr>
        <dsp:cNvPr id="0" name=""/>
        <dsp:cNvSpPr/>
      </dsp:nvSpPr>
      <dsp:spPr>
        <a:xfrm>
          <a:off x="1437825" y="1092765"/>
          <a:ext cx="4140014" cy="34621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t" anchorCtr="0">
          <a:noAutofit/>
        </a:bodyPr>
        <a:lstStyle/>
        <a:p>
          <a:pPr lvl="0" algn="l" defTabSz="444500">
            <a:lnSpc>
              <a:spcPct val="90000"/>
            </a:lnSpc>
            <a:spcBef>
              <a:spcPct val="0"/>
            </a:spcBef>
            <a:spcAft>
              <a:spcPct val="35000"/>
            </a:spcAft>
          </a:pPr>
          <a:r>
            <a:rPr lang="en-US" sz="1000" kern="1200">
              <a:latin typeface="Arial" panose="020B0604020202020204" pitchFamily="34" charset="0"/>
              <a:cs typeface="Arial" panose="020B0604020202020204" pitchFamily="34" charset="0"/>
            </a:rPr>
            <a:t>Renovate key areas of the hotel.</a:t>
          </a:r>
        </a:p>
      </dsp:txBody>
      <dsp:txXfrm>
        <a:off x="1437825" y="1092765"/>
        <a:ext cx="4140014" cy="346214"/>
      </dsp:txXfrm>
    </dsp:sp>
    <dsp:sp modelId="{462083DA-74F5-447E-BAFD-7D9E83E5CA08}">
      <dsp:nvSpPr>
        <dsp:cNvPr id="0" name=""/>
        <dsp:cNvSpPr/>
      </dsp:nvSpPr>
      <dsp:spPr>
        <a:xfrm>
          <a:off x="1115568" y="1438980"/>
          <a:ext cx="4462272" cy="0"/>
        </a:xfrm>
        <a:prstGeom prst="line">
          <a:avLst/>
        </a:prstGeom>
        <a:solidFill>
          <a:schemeClr val="accent1">
            <a:hueOff val="0"/>
            <a:satOff val="0"/>
            <a:lumOff val="0"/>
            <a:alphaOff val="0"/>
          </a:schemeClr>
        </a:solid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AF58E2DA-3FB5-44B9-83B1-54D260CE5DA7}">
      <dsp:nvSpPr>
        <dsp:cNvPr id="0" name=""/>
        <dsp:cNvSpPr/>
      </dsp:nvSpPr>
      <dsp:spPr>
        <a:xfrm>
          <a:off x="1437825" y="1449705"/>
          <a:ext cx="4140014" cy="34621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t" anchorCtr="0">
          <a:noAutofit/>
        </a:bodyPr>
        <a:lstStyle/>
        <a:p>
          <a:pPr lvl="0" algn="l" defTabSz="444500">
            <a:lnSpc>
              <a:spcPct val="90000"/>
            </a:lnSpc>
            <a:spcBef>
              <a:spcPct val="0"/>
            </a:spcBef>
            <a:spcAft>
              <a:spcPct val="35000"/>
            </a:spcAft>
          </a:pPr>
          <a:r>
            <a:rPr lang="en-US" sz="1000" kern="1200">
              <a:latin typeface="Arial" panose="020B0604020202020204" pitchFamily="34" charset="0"/>
              <a:cs typeface="Arial" panose="020B0604020202020204" pitchFamily="34" charset="0"/>
            </a:rPr>
            <a:t>Create new bundles that include dynamic pricing.</a:t>
          </a:r>
        </a:p>
      </dsp:txBody>
      <dsp:txXfrm>
        <a:off x="1437825" y="1449705"/>
        <a:ext cx="4140014" cy="346214"/>
      </dsp:txXfrm>
    </dsp:sp>
    <dsp:sp modelId="{0C76747A-28A0-41FA-ACF1-0D5BE9E6F2B7}">
      <dsp:nvSpPr>
        <dsp:cNvPr id="0" name=""/>
        <dsp:cNvSpPr/>
      </dsp:nvSpPr>
      <dsp:spPr>
        <a:xfrm>
          <a:off x="1115568" y="1795920"/>
          <a:ext cx="4462272" cy="0"/>
        </a:xfrm>
        <a:prstGeom prst="line">
          <a:avLst/>
        </a:prstGeom>
        <a:solidFill>
          <a:schemeClr val="accent1">
            <a:hueOff val="0"/>
            <a:satOff val="0"/>
            <a:lumOff val="0"/>
            <a:alphaOff val="0"/>
          </a:schemeClr>
        </a:solid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E1329EC6-E724-4FE6-B651-B61102B98412}">
      <dsp:nvSpPr>
        <dsp:cNvPr id="0" name=""/>
        <dsp:cNvSpPr/>
      </dsp:nvSpPr>
      <dsp:spPr>
        <a:xfrm>
          <a:off x="1437825" y="1806645"/>
          <a:ext cx="4140014" cy="34621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t" anchorCtr="0">
          <a:noAutofit/>
        </a:bodyPr>
        <a:lstStyle/>
        <a:p>
          <a:pPr lvl="0" algn="l" defTabSz="444500">
            <a:lnSpc>
              <a:spcPct val="90000"/>
            </a:lnSpc>
            <a:spcBef>
              <a:spcPct val="0"/>
            </a:spcBef>
            <a:spcAft>
              <a:spcPct val="35000"/>
            </a:spcAft>
          </a:pPr>
          <a:r>
            <a:rPr lang="en-US" sz="1000" kern="1200">
              <a:latin typeface="Arial" panose="020B0604020202020204" pitchFamily="34" charset="0"/>
              <a:cs typeface="Arial" panose="020B0604020202020204" pitchFamily="34" charset="0"/>
            </a:rPr>
            <a:t>Improve cash flow management.</a:t>
          </a:r>
        </a:p>
        <a:p>
          <a:pPr lvl="0" algn="l" defTabSz="444500">
            <a:lnSpc>
              <a:spcPct val="90000"/>
            </a:lnSpc>
            <a:spcBef>
              <a:spcPct val="0"/>
            </a:spcBef>
            <a:spcAft>
              <a:spcPct val="35000"/>
            </a:spcAft>
          </a:pPr>
          <a:endParaRPr lang="en-US" sz="1000" kern="1200">
            <a:latin typeface="Arial" panose="020B0604020202020204" pitchFamily="34" charset="0"/>
            <a:cs typeface="Arial" panose="020B0604020202020204" pitchFamily="34" charset="0"/>
          </a:endParaRPr>
        </a:p>
        <a:p>
          <a:pPr lvl="0" algn="l" defTabSz="444500">
            <a:lnSpc>
              <a:spcPct val="90000"/>
            </a:lnSpc>
            <a:spcBef>
              <a:spcPct val="0"/>
            </a:spcBef>
            <a:spcAft>
              <a:spcPct val="35000"/>
            </a:spcAft>
          </a:pPr>
          <a:r>
            <a:rPr lang="en-US" sz="1000" kern="1200">
              <a:latin typeface="Arial" panose="020B0604020202020204" pitchFamily="34" charset="0"/>
              <a:cs typeface="Arial" panose="020B0604020202020204" pitchFamily="34" charset="0"/>
            </a:rPr>
            <a:t>Improve the consumer feedback mechanisms.</a:t>
          </a:r>
        </a:p>
        <a:p>
          <a:pPr lvl="0" algn="l" defTabSz="444500">
            <a:lnSpc>
              <a:spcPct val="90000"/>
            </a:lnSpc>
            <a:spcBef>
              <a:spcPct val="0"/>
            </a:spcBef>
            <a:spcAft>
              <a:spcPct val="35000"/>
            </a:spcAft>
          </a:pPr>
          <a:r>
            <a:rPr lang="en-US" sz="1000" kern="1200">
              <a:latin typeface="Arial" panose="020B0604020202020204" pitchFamily="34" charset="0"/>
              <a:cs typeface="Arial" panose="020B0604020202020204" pitchFamily="34" charset="0"/>
            </a:rPr>
            <a:t>Offer regular compliance training.</a:t>
          </a:r>
        </a:p>
        <a:p>
          <a:pPr lvl="0" algn="l" defTabSz="444500">
            <a:lnSpc>
              <a:spcPct val="90000"/>
            </a:lnSpc>
            <a:spcBef>
              <a:spcPct val="0"/>
            </a:spcBef>
            <a:spcAft>
              <a:spcPct val="35000"/>
            </a:spcAft>
          </a:pPr>
          <a:r>
            <a:rPr lang="en-US" sz="1000" kern="1200">
              <a:latin typeface="Arial" panose="020B0604020202020204" pitchFamily="34" charset="0"/>
              <a:cs typeface="Arial" panose="020B0604020202020204" pitchFamily="34" charset="0"/>
            </a:rPr>
            <a:t>Launch the public relations campaign.</a:t>
          </a:r>
        </a:p>
        <a:p>
          <a:pPr lvl="0" algn="l" defTabSz="444500">
            <a:lnSpc>
              <a:spcPct val="90000"/>
            </a:lnSpc>
            <a:spcBef>
              <a:spcPct val="0"/>
            </a:spcBef>
            <a:spcAft>
              <a:spcPct val="35000"/>
            </a:spcAft>
          </a:pPr>
          <a:endParaRPr lang="en-US" sz="1000" kern="1200">
            <a:latin typeface="Arial" panose="020B0604020202020204" pitchFamily="34" charset="0"/>
            <a:cs typeface="Arial" panose="020B0604020202020204" pitchFamily="34" charset="0"/>
          </a:endParaRPr>
        </a:p>
        <a:p>
          <a:pPr lvl="0" algn="l" defTabSz="444500">
            <a:lnSpc>
              <a:spcPct val="90000"/>
            </a:lnSpc>
            <a:spcBef>
              <a:spcPct val="0"/>
            </a:spcBef>
            <a:spcAft>
              <a:spcPct val="35000"/>
            </a:spcAft>
          </a:pPr>
          <a:endParaRPr lang="en-US" sz="1000" kern="1200">
            <a:latin typeface="Arial" panose="020B0604020202020204" pitchFamily="34" charset="0"/>
            <a:cs typeface="Arial" panose="020B0604020202020204" pitchFamily="34" charset="0"/>
          </a:endParaRPr>
        </a:p>
        <a:p>
          <a:pPr lvl="0" algn="l" defTabSz="444500">
            <a:lnSpc>
              <a:spcPct val="90000"/>
            </a:lnSpc>
            <a:spcBef>
              <a:spcPct val="0"/>
            </a:spcBef>
            <a:spcAft>
              <a:spcPct val="35000"/>
            </a:spcAft>
          </a:pPr>
          <a:endParaRPr lang="en-US" sz="1000" kern="1200">
            <a:latin typeface="Arial" panose="020B0604020202020204" pitchFamily="34" charset="0"/>
            <a:cs typeface="Arial" panose="020B0604020202020204" pitchFamily="34" charset="0"/>
          </a:endParaRPr>
        </a:p>
        <a:p>
          <a:pPr lvl="0" algn="l" defTabSz="444500">
            <a:lnSpc>
              <a:spcPct val="90000"/>
            </a:lnSpc>
            <a:spcBef>
              <a:spcPct val="0"/>
            </a:spcBef>
            <a:spcAft>
              <a:spcPct val="35000"/>
            </a:spcAft>
          </a:pPr>
          <a:r>
            <a:rPr lang="en-US" sz="1000" kern="1200">
              <a:latin typeface="Arial" panose="020B0604020202020204" pitchFamily="34" charset="0"/>
              <a:cs typeface="Arial" panose="020B0604020202020204" pitchFamily="34" charset="0"/>
            </a:rPr>
            <a:t>Complete all major renovations.</a:t>
          </a:r>
        </a:p>
        <a:p>
          <a:pPr lvl="0" algn="l" defTabSz="444500">
            <a:lnSpc>
              <a:spcPct val="90000"/>
            </a:lnSpc>
            <a:spcBef>
              <a:spcPct val="0"/>
            </a:spcBef>
            <a:spcAft>
              <a:spcPct val="35000"/>
            </a:spcAft>
          </a:pPr>
          <a:r>
            <a:rPr lang="en-US" sz="1000" kern="1200">
              <a:latin typeface="Arial" panose="020B0604020202020204" pitchFamily="34" charset="0"/>
              <a:cs typeface="Arial" panose="020B0604020202020204" pitchFamily="34" charset="0"/>
            </a:rPr>
            <a:t>Ensure constant occupancy and revenue </a:t>
          </a:r>
        </a:p>
        <a:p>
          <a:pPr lvl="0" algn="l" defTabSz="444500">
            <a:lnSpc>
              <a:spcPct val="90000"/>
            </a:lnSpc>
            <a:spcBef>
              <a:spcPct val="0"/>
            </a:spcBef>
            <a:spcAft>
              <a:spcPct val="35000"/>
            </a:spcAft>
          </a:pPr>
          <a:r>
            <a:rPr lang="en-US" sz="1000" kern="1200">
              <a:latin typeface="Arial" panose="020B0604020202020204" pitchFamily="34" charset="0"/>
              <a:cs typeface="Arial" panose="020B0604020202020204" pitchFamily="34" charset="0"/>
            </a:rPr>
            <a:t>growth.</a:t>
          </a:r>
        </a:p>
        <a:p>
          <a:pPr lvl="0" algn="l" defTabSz="444500">
            <a:lnSpc>
              <a:spcPct val="90000"/>
            </a:lnSpc>
            <a:spcBef>
              <a:spcPct val="0"/>
            </a:spcBef>
            <a:spcAft>
              <a:spcPct val="35000"/>
            </a:spcAft>
          </a:pPr>
          <a:r>
            <a:rPr lang="en-US" sz="1000" kern="1200">
              <a:latin typeface="Arial" panose="020B0604020202020204" pitchFamily="34" charset="0"/>
              <a:cs typeface="Arial" panose="020B0604020202020204" pitchFamily="34" charset="0"/>
            </a:rPr>
            <a:t>Continue to evaluate and enhance service quality.</a:t>
          </a:r>
        </a:p>
      </dsp:txBody>
      <dsp:txXfrm>
        <a:off x="1437825" y="1806645"/>
        <a:ext cx="4140014" cy="346214"/>
      </dsp:txXfrm>
    </dsp:sp>
    <dsp:sp modelId="{A3E90B6E-2417-4C46-921C-878B961D7EDA}">
      <dsp:nvSpPr>
        <dsp:cNvPr id="0" name=""/>
        <dsp:cNvSpPr/>
      </dsp:nvSpPr>
      <dsp:spPr>
        <a:xfrm>
          <a:off x="1115568" y="2152860"/>
          <a:ext cx="4462272" cy="0"/>
        </a:xfrm>
        <a:prstGeom prst="line">
          <a:avLst/>
        </a:prstGeom>
        <a:solidFill>
          <a:schemeClr val="accent1">
            <a:hueOff val="0"/>
            <a:satOff val="0"/>
            <a:lumOff val="0"/>
            <a:alphaOff val="0"/>
          </a:schemeClr>
        </a:solid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DF18717-12F5-445C-B967-E4BF0ED55B02}">
      <dsp:nvSpPr>
        <dsp:cNvPr id="0" name=""/>
        <dsp:cNvSpPr/>
      </dsp:nvSpPr>
      <dsp:spPr>
        <a:xfrm>
          <a:off x="0" y="2164080"/>
          <a:ext cx="5577840" cy="0"/>
        </a:xfrm>
        <a:prstGeom prst="line">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1373DB6-585E-4CA9-944E-1BF9E202317D}">
      <dsp:nvSpPr>
        <dsp:cNvPr id="0" name=""/>
        <dsp:cNvSpPr/>
      </dsp:nvSpPr>
      <dsp:spPr>
        <a:xfrm>
          <a:off x="0" y="2164080"/>
          <a:ext cx="1115568" cy="108204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lvl="0" algn="l" defTabSz="488950">
            <a:lnSpc>
              <a:spcPct val="90000"/>
            </a:lnSpc>
            <a:spcBef>
              <a:spcPct val="0"/>
            </a:spcBef>
            <a:spcAft>
              <a:spcPct val="35000"/>
            </a:spcAft>
          </a:pPr>
          <a:r>
            <a:rPr lang="en-US" sz="1100" b="1" kern="1200">
              <a:latin typeface="Arial" panose="020B0604020202020204" pitchFamily="34" charset="0"/>
              <a:cs typeface="Arial" panose="020B0604020202020204" pitchFamily="34" charset="0"/>
            </a:rPr>
            <a:t>Medium-term (6–12 months):</a:t>
          </a:r>
        </a:p>
      </dsp:txBody>
      <dsp:txXfrm>
        <a:off x="0" y="2164080"/>
        <a:ext cx="1115568" cy="1082040"/>
      </dsp:txXfrm>
    </dsp:sp>
    <dsp:sp modelId="{78890785-4E74-46EA-A521-E052357A528E}">
      <dsp:nvSpPr>
        <dsp:cNvPr id="0" name=""/>
        <dsp:cNvSpPr/>
      </dsp:nvSpPr>
      <dsp:spPr>
        <a:xfrm>
          <a:off x="0" y="3246119"/>
          <a:ext cx="5577840" cy="0"/>
        </a:xfrm>
        <a:prstGeom prst="line">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C45ADCF-AB28-4B8F-8DDB-A0F4BA278C44}">
      <dsp:nvSpPr>
        <dsp:cNvPr id="0" name=""/>
        <dsp:cNvSpPr/>
      </dsp:nvSpPr>
      <dsp:spPr>
        <a:xfrm>
          <a:off x="0" y="3246119"/>
          <a:ext cx="1115568" cy="108204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lvl="0" algn="l" defTabSz="488950">
            <a:lnSpc>
              <a:spcPct val="90000"/>
            </a:lnSpc>
            <a:spcBef>
              <a:spcPct val="0"/>
            </a:spcBef>
            <a:spcAft>
              <a:spcPct val="35000"/>
            </a:spcAft>
          </a:pPr>
          <a:r>
            <a:rPr lang="en-US" sz="1100" b="1" kern="1200">
              <a:latin typeface="Arial" panose="020B0604020202020204" pitchFamily="34" charset="0"/>
              <a:cs typeface="Arial" panose="020B0604020202020204" pitchFamily="34" charset="0"/>
            </a:rPr>
            <a:t>Long-term (over 12 months)</a:t>
          </a:r>
          <a:endParaRPr lang="en-US" sz="1200" b="1" kern="1200">
            <a:latin typeface="Arial" panose="020B0604020202020204" pitchFamily="34" charset="0"/>
            <a:cs typeface="Arial" panose="020B0604020202020204" pitchFamily="34" charset="0"/>
          </a:endParaRPr>
        </a:p>
      </dsp:txBody>
      <dsp:txXfrm>
        <a:off x="0" y="3246119"/>
        <a:ext cx="1115568" cy="1082040"/>
      </dsp:txXfrm>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AD157D0-D824-40C5-9A56-B7132F225075}">
      <dsp:nvSpPr>
        <dsp:cNvPr id="0" name=""/>
        <dsp:cNvSpPr/>
      </dsp:nvSpPr>
      <dsp:spPr>
        <a:xfrm>
          <a:off x="0" y="2155"/>
          <a:ext cx="5654040" cy="446113"/>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533400">
            <a:lnSpc>
              <a:spcPct val="90000"/>
            </a:lnSpc>
            <a:spcBef>
              <a:spcPct val="0"/>
            </a:spcBef>
            <a:spcAft>
              <a:spcPct val="35000"/>
            </a:spcAft>
          </a:pPr>
          <a:endParaRPr lang="en-GB" sz="1200" kern="1200">
            <a:latin typeface="Arial" panose="020B0604020202020204" pitchFamily="34" charset="0"/>
            <a:cs typeface="Arial" panose="020B0604020202020204" pitchFamily="34" charset="0"/>
          </a:endParaRPr>
        </a:p>
        <a:p>
          <a:pPr lvl="0" algn="ctr" defTabSz="533400">
            <a:lnSpc>
              <a:spcPct val="90000"/>
            </a:lnSpc>
            <a:spcBef>
              <a:spcPct val="0"/>
            </a:spcBef>
            <a:spcAft>
              <a:spcPct val="35000"/>
            </a:spcAft>
          </a:pPr>
          <a:r>
            <a:rPr lang="en-GB" sz="1100" kern="1200">
              <a:latin typeface="Arial" panose="020B0604020202020204" pitchFamily="34" charset="0"/>
              <a:cs typeface="Arial" panose="020B0604020202020204" pitchFamily="34" charset="0"/>
            </a:rPr>
            <a:t>Competitive pricing and stronger marketing initiatives led to higher occupancy rates and revenue. </a:t>
          </a:r>
          <a:br>
            <a:rPr lang="en-GB" sz="1100" kern="1200">
              <a:latin typeface="Arial" panose="020B0604020202020204" pitchFamily="34" charset="0"/>
              <a:cs typeface="Arial" panose="020B0604020202020204" pitchFamily="34" charset="0"/>
            </a:rPr>
          </a:br>
          <a:endParaRPr lang="en-US" sz="1100" kern="1200">
            <a:latin typeface="Arial" panose="020B0604020202020204" pitchFamily="34" charset="0"/>
            <a:cs typeface="Arial" panose="020B0604020202020204" pitchFamily="34" charset="0"/>
          </a:endParaRPr>
        </a:p>
      </dsp:txBody>
      <dsp:txXfrm>
        <a:off x="0" y="2155"/>
        <a:ext cx="5654040" cy="446113"/>
      </dsp:txXfrm>
    </dsp:sp>
    <dsp:sp modelId="{E7D746E7-D403-4C39-B9E2-E573D3D538DF}">
      <dsp:nvSpPr>
        <dsp:cNvPr id="0" name=""/>
        <dsp:cNvSpPr/>
      </dsp:nvSpPr>
      <dsp:spPr>
        <a:xfrm>
          <a:off x="0" y="470574"/>
          <a:ext cx="5654040" cy="446113"/>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7940" rIns="27940" bIns="27940" numCol="1" spcCol="1270" anchor="ctr" anchorCtr="0">
          <a:noAutofit/>
        </a:bodyPr>
        <a:lstStyle/>
        <a:p>
          <a:pPr lvl="0" algn="ctr" defTabSz="488950">
            <a:lnSpc>
              <a:spcPct val="90000"/>
            </a:lnSpc>
            <a:spcBef>
              <a:spcPct val="0"/>
            </a:spcBef>
            <a:spcAft>
              <a:spcPct val="35000"/>
            </a:spcAft>
          </a:pPr>
          <a:r>
            <a:rPr lang="en-GB" sz="1100" kern="1200">
              <a:latin typeface="Arial" panose="020B0604020202020204" pitchFamily="34" charset="0"/>
              <a:cs typeface="Arial" panose="020B0604020202020204" pitchFamily="34" charset="0"/>
            </a:rPr>
            <a:t>Better service and amenities result in higher customer satisfaction and repeat business. </a:t>
          </a:r>
          <a:endParaRPr lang="en-US" sz="1100" kern="1200">
            <a:latin typeface="Arial" panose="020B0604020202020204" pitchFamily="34" charset="0"/>
            <a:cs typeface="Arial" panose="020B0604020202020204" pitchFamily="34" charset="0"/>
          </a:endParaRPr>
        </a:p>
      </dsp:txBody>
      <dsp:txXfrm>
        <a:off x="0" y="470574"/>
        <a:ext cx="5654040" cy="446113"/>
      </dsp:txXfrm>
    </dsp:sp>
    <dsp:sp modelId="{9A838A2A-D42F-4351-AFE7-09E940BA94A0}">
      <dsp:nvSpPr>
        <dsp:cNvPr id="0" name=""/>
        <dsp:cNvSpPr/>
      </dsp:nvSpPr>
      <dsp:spPr>
        <a:xfrm>
          <a:off x="0" y="938993"/>
          <a:ext cx="5654040" cy="446113"/>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7940" rIns="27940" bIns="27940" numCol="1" spcCol="1270" anchor="ctr" anchorCtr="0">
          <a:noAutofit/>
        </a:bodyPr>
        <a:lstStyle/>
        <a:p>
          <a:pPr lvl="0" algn="ctr" defTabSz="488950">
            <a:lnSpc>
              <a:spcPct val="90000"/>
            </a:lnSpc>
            <a:spcBef>
              <a:spcPct val="0"/>
            </a:spcBef>
            <a:spcAft>
              <a:spcPct val="35000"/>
            </a:spcAft>
          </a:pPr>
          <a:r>
            <a:rPr lang="en-GB" sz="1100" kern="1200">
              <a:latin typeface="Arial" panose="020B0604020202020204" pitchFamily="34" charset="0"/>
              <a:cs typeface="Arial" panose="020B0604020202020204" pitchFamily="34" charset="0"/>
            </a:rPr>
            <a:t>Better management and cost-cutting strategies lead to more efficient operations and fewer expenses. </a:t>
          </a:r>
          <a:endParaRPr lang="en-US" sz="1100" kern="1200">
            <a:latin typeface="Arial" panose="020B0604020202020204" pitchFamily="34" charset="0"/>
            <a:cs typeface="Arial" panose="020B0604020202020204" pitchFamily="34" charset="0"/>
          </a:endParaRPr>
        </a:p>
      </dsp:txBody>
      <dsp:txXfrm>
        <a:off x="0" y="938993"/>
        <a:ext cx="5654040" cy="446113"/>
      </dsp:txXfrm>
    </dsp:sp>
    <dsp:sp modelId="{AD015338-553D-4487-9409-F5141772F1B9}">
      <dsp:nvSpPr>
        <dsp:cNvPr id="0" name=""/>
        <dsp:cNvSpPr/>
      </dsp:nvSpPr>
      <dsp:spPr>
        <a:xfrm>
          <a:off x="0" y="1407412"/>
          <a:ext cx="5654040" cy="446113"/>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7940" rIns="27940" bIns="27940" numCol="1" spcCol="1270" anchor="ctr" anchorCtr="0">
          <a:noAutofit/>
        </a:bodyPr>
        <a:lstStyle/>
        <a:p>
          <a:pPr lvl="0" algn="ctr" defTabSz="488950">
            <a:lnSpc>
              <a:spcPct val="90000"/>
            </a:lnSpc>
            <a:spcBef>
              <a:spcPct val="0"/>
            </a:spcBef>
            <a:spcAft>
              <a:spcPct val="35000"/>
            </a:spcAft>
          </a:pPr>
          <a:r>
            <a:rPr lang="en-US" sz="1100" kern="1200">
              <a:latin typeface="Arial" panose="020B0604020202020204" pitchFamily="34" charset="0"/>
              <a:cs typeface="Arial" panose="020B0604020202020204" pitchFamily="34" charset="0"/>
            </a:rPr>
            <a:t>Enhanced financial stability through higher cash flow, debt restructuring, and potential equity infusion. </a:t>
          </a:r>
        </a:p>
      </dsp:txBody>
      <dsp:txXfrm>
        <a:off x="0" y="1407412"/>
        <a:ext cx="5654040" cy="446113"/>
      </dsp:txXfrm>
    </dsp:sp>
    <dsp:sp modelId="{E921644B-B001-4A66-B2C6-DC1767C394ED}">
      <dsp:nvSpPr>
        <dsp:cNvPr id="0" name=""/>
        <dsp:cNvSpPr/>
      </dsp:nvSpPr>
      <dsp:spPr>
        <a:xfrm>
          <a:off x="0" y="1875831"/>
          <a:ext cx="5654040" cy="446113"/>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7940" rIns="27940" bIns="27940" numCol="1" spcCol="1270" anchor="ctr" anchorCtr="0">
          <a:noAutofit/>
        </a:bodyPr>
        <a:lstStyle/>
        <a:p>
          <a:pPr lvl="0" algn="ctr" defTabSz="488950">
            <a:lnSpc>
              <a:spcPct val="90000"/>
            </a:lnSpc>
            <a:spcBef>
              <a:spcPct val="0"/>
            </a:spcBef>
            <a:spcAft>
              <a:spcPct val="35000"/>
            </a:spcAft>
          </a:pPr>
          <a:r>
            <a:rPr lang="en-GB" sz="1100" kern="1200">
              <a:latin typeface="Arial" panose="020B0604020202020204" pitchFamily="34" charset="0"/>
              <a:cs typeface="Arial" panose="020B0604020202020204" pitchFamily="34" charset="0"/>
            </a:rPr>
            <a:t>A restored reputation, leading in more guests and positive remarks. </a:t>
          </a:r>
          <a:br>
            <a:rPr lang="en-GB" sz="1100" kern="1200">
              <a:latin typeface="Arial" panose="020B0604020202020204" pitchFamily="34" charset="0"/>
              <a:cs typeface="Arial" panose="020B0604020202020204" pitchFamily="34" charset="0"/>
            </a:rPr>
          </a:br>
          <a:endParaRPr lang="en-US" sz="1100" kern="1200">
            <a:latin typeface="Arial" panose="020B0604020202020204" pitchFamily="34" charset="0"/>
            <a:cs typeface="Arial" panose="020B0604020202020204" pitchFamily="34" charset="0"/>
          </a:endParaRPr>
        </a:p>
      </dsp:txBody>
      <dsp:txXfrm>
        <a:off x="0" y="1875831"/>
        <a:ext cx="5654040" cy="446113"/>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7.xml><?xml version="1.0" encoding="utf-8"?>
<dgm:layoutDef xmlns:dgm="http://schemas.openxmlformats.org/drawingml/2006/diagram" xmlns:a="http://schemas.openxmlformats.org/drawingml/2006/main" uniqueId="urn:microsoft.com/office/officeart/2008/layout/LinedList">
  <dgm:title val=""/>
  <dgm:desc val=""/>
  <dgm:catLst>
    <dgm:cat type="hierarchy" pri="8000"/>
    <dgm:cat type="list" pri="25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clrData>
  <dgm:layoutNode name="vert0">
    <dgm:varLst>
      <dgm:dir/>
      <dgm:animOne val="branch"/>
      <dgm:animLvl val="lvl"/>
    </dgm:varLst>
    <dgm:choose name="Name0">
      <dgm:if name="Name1" func="var" arg="dir" op="equ" val="norm">
        <dgm:alg type="lin">
          <dgm:param type="linDir" val="fromT"/>
          <dgm:param type="nodeHorzAlign" val="l"/>
        </dgm:alg>
      </dgm:if>
      <dgm:else name="Name2">
        <dgm:alg type="lin">
          <dgm:param type="linDir" val="fromT"/>
          <dgm:param type="nodeHorzAlign" val="r"/>
        </dgm:alg>
      </dgm:else>
    </dgm:choose>
    <dgm:shape xmlns:r="http://schemas.openxmlformats.org/officeDocument/2006/relationships" r:blip="">
      <dgm:adjLst/>
    </dgm:shape>
    <dgm:presOf/>
    <dgm:constrLst>
      <dgm:constr type="w" for="ch" forName="horz1" refType="w"/>
      <dgm:constr type="h" for="ch" forName="horz1" refType="h"/>
      <dgm:constr type="h" for="des" forName="vert1" refType="h"/>
      <dgm:constr type="h" for="des" forName="tx1" refType="h"/>
      <dgm:constr type="h" for="des" forName="horz2" refType="h"/>
      <dgm:constr type="h" for="des" forName="vert2" refType="h"/>
      <dgm:constr type="h" for="des" forName="horz3" refType="h"/>
      <dgm:constr type="h" for="des" forName="vert3" refType="h"/>
      <dgm:constr type="h" for="des" forName="horz4" refType="h"/>
      <dgm:constr type="h" for="des" ptType="node" refType="h"/>
      <dgm:constr type="primFontSz" for="des" forName="tx1" op="equ" val="65"/>
      <dgm:constr type="primFontSz" for="des" forName="tx2" op="equ" val="65"/>
      <dgm:constr type="primFontSz" for="des" forName="tx3" op="equ" val="65"/>
      <dgm:constr type="primFontSz" for="des" forName="tx4" op="equ" val="65"/>
      <dgm:constr type="w" for="des" forName="thickLine" refType="w"/>
      <dgm:constr type="h" for="des" forName="thickLine"/>
      <dgm:constr type="h" for="des" forName="thinLine1"/>
      <dgm:constr type="h" for="des" forName="thinLine2b"/>
      <dgm:constr type="h" for="des" forName="thinLine3"/>
      <dgm:constr type="h" for="des" forName="vertSpace2a" refType="h" fact="0.05"/>
      <dgm:constr type="h" for="des" forName="vertSpace2b" refType="h" refFor="des" refForName="vertSpace2a"/>
    </dgm:constrLst>
    <dgm:forEach name="Name3" axis="ch" ptType="node">
      <dgm:layoutNode name="thickLine" styleLbl="alignNode1">
        <dgm:alg type="sp"/>
        <dgm:shape xmlns:r="http://schemas.openxmlformats.org/officeDocument/2006/relationships" type="line" r:blip="">
          <dgm:adjLst/>
        </dgm:shape>
        <dgm:presOf/>
      </dgm:layoutNode>
      <dgm:layoutNode name="horz1">
        <dgm:choose name="Name4">
          <dgm:if name="Name5" func="var" arg="dir" op="equ" val="norm">
            <dgm:alg type="lin">
              <dgm:param type="linDir" val="fromL"/>
              <dgm:param type="nodeVertAlign" val="t"/>
            </dgm:alg>
          </dgm:if>
          <dgm:else name="Name6">
            <dgm:alg type="lin">
              <dgm:param type="linDir" val="fromR"/>
              <dgm:param type="nodeVertAlign" val="t"/>
            </dgm:alg>
          </dgm:else>
        </dgm:choose>
        <dgm:shape xmlns:r="http://schemas.openxmlformats.org/officeDocument/2006/relationships" r:blip="">
          <dgm:adjLst/>
        </dgm:shape>
        <dgm:presOf/>
        <dgm:choose name="Name7">
          <dgm:if name="Name8" axis="root des" func="maxDepth" op="equ" val="1">
            <dgm:constrLst>
              <dgm:constr type="w" for="ch" forName="tx1" refType="w"/>
            </dgm:constrLst>
          </dgm:if>
          <dgm:if name="Name9" axis="root des" func="maxDepth" op="equ" val="2">
            <dgm:constrLst>
              <dgm:constr type="w" for="ch" forName="tx1" refType="w" fact="0.2"/>
              <dgm:constr type="w" for="des" forName="tx2" refType="w" fact="0.785"/>
              <dgm:constr type="w" for="des" forName="horzSpace2" refType="w" fact="0.015"/>
              <dgm:constr type="w" for="des" forName="thinLine2b" refType="w" fact="0.8"/>
            </dgm:constrLst>
          </dgm:if>
          <dgm:if name="Name10" axis="root des" func="maxDepth" op="equ" val="3">
            <dgm:constrLst>
              <dgm:constr type="w" for="ch" forName="tx1" refType="w" fact="0.2"/>
              <dgm:constr type="w" for="des" forName="tx2" refType="w" fact="0.385"/>
              <dgm:constr type="w" for="des" forName="tx3" refType="w" fact="0.385"/>
              <dgm:constr type="w" for="des" forName="horzSpace2" refType="w" fact="0.015"/>
              <dgm:constr type="w" for="des" forName="horzSpace3" refType="w" fact="0.015"/>
              <dgm:constr type="w" for="des" forName="thinLine2b" refType="w" fact="0.8"/>
              <dgm:constr type="w" for="des" forName="thinLine3" refType="w" fact="0.385"/>
            </dgm:constrLst>
          </dgm:if>
          <dgm:if name="Name11" axis="root des" func="maxDepth" op="gte" val="4">
            <dgm:constrLst>
              <dgm:constr type="w" for="ch" forName="tx1" refType="w" fact="0.2"/>
              <dgm:constr type="w" for="des" forName="tx2" refType="w" fact="0.2516"/>
              <dgm:constr type="w" for="des" forName="tx3" refType="w" fact="0.2516"/>
              <dgm:constr type="w" for="des" forName="tx4" refType="w" fact="0.2516"/>
              <dgm:constr type="w" for="des" forName="horzSpace2" refType="w" fact="0.015"/>
              <dgm:constr type="w" for="des" forName="horzSpace3" refType="w" fact="0.015"/>
              <dgm:constr type="w" for="des" forName="horzSpace4" refType="w" fact="0.015"/>
              <dgm:constr type="w" for="des" forName="thinLine2b" refType="w" fact="0.8"/>
              <dgm:constr type="w" for="des" forName="thinLine3" refType="w" fact="0.5332"/>
            </dgm:constrLst>
          </dgm:if>
          <dgm:else name="Name12"/>
        </dgm:choose>
        <dgm:layoutNode name="tx1"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1">
          <dgm:choose name="Name13">
            <dgm:if name="Name14" func="var" arg="dir" op="equ" val="norm">
              <dgm:alg type="lin">
                <dgm:param type="linDir" val="fromT"/>
                <dgm:param type="nodeHorzAlign" val="l"/>
              </dgm:alg>
            </dgm:if>
            <dgm:else name="Name15">
              <dgm:alg type="lin">
                <dgm:param type="linDir" val="fromT"/>
                <dgm:param type="nodeHorzAlign" val="r"/>
              </dgm:alg>
            </dgm:else>
          </dgm:choose>
          <dgm:shape xmlns:r="http://schemas.openxmlformats.org/officeDocument/2006/relationships" r:blip="">
            <dgm:adjLst/>
          </dgm:shape>
          <dgm:presOf/>
          <dgm:forEach name="Name16" axis="ch" ptType="node">
            <dgm:choose name="Name17">
              <dgm:if name="Name18" axis="self" ptType="node" func="pos" op="equ" val="1">
                <dgm:layoutNode name="vertSpace2a">
                  <dgm:alg type="sp"/>
                  <dgm:shape xmlns:r="http://schemas.openxmlformats.org/officeDocument/2006/relationships" r:blip="">
                    <dgm:adjLst/>
                  </dgm:shape>
                  <dgm:presOf/>
                </dgm:layoutNode>
              </dgm:if>
              <dgm:else name="Name19"/>
            </dgm:choose>
            <dgm:layoutNode name="horz2">
              <dgm:choose name="Name20">
                <dgm:if name="Name21" func="var" arg="dir" op="equ" val="norm">
                  <dgm:alg type="lin">
                    <dgm:param type="linDir" val="fromL"/>
                    <dgm:param type="nodeVertAlign" val="t"/>
                  </dgm:alg>
                </dgm:if>
                <dgm:else name="Name22">
                  <dgm:alg type="lin">
                    <dgm:param type="linDir" val="fromR"/>
                    <dgm:param type="nodeVertAlign" val="t"/>
                  </dgm:alg>
                </dgm:else>
              </dgm:choose>
              <dgm:shape xmlns:r="http://schemas.openxmlformats.org/officeDocument/2006/relationships" r:blip="">
                <dgm:adjLst/>
              </dgm:shape>
              <dgm:presOf/>
              <dgm:layoutNode name="horzSpace2">
                <dgm:alg type="sp"/>
                <dgm:shape xmlns:r="http://schemas.openxmlformats.org/officeDocument/2006/relationships" r:blip="">
                  <dgm:adjLst/>
                </dgm:shape>
                <dgm:presOf/>
              </dgm:layoutNode>
              <dgm:layoutNode name="tx2"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2">
                <dgm:choose name="Name23">
                  <dgm:if name="Name24" func="var" arg="dir" op="equ" val="norm">
                    <dgm:alg type="lin">
                      <dgm:param type="linDir" val="fromT"/>
                      <dgm:param type="nodeHorzAlign" val="l"/>
                    </dgm:alg>
                  </dgm:if>
                  <dgm:else name="Name25">
                    <dgm:alg type="lin">
                      <dgm:param type="linDir" val="fromT"/>
                      <dgm:param type="nodeHorzAlign" val="r"/>
                    </dgm:alg>
                  </dgm:else>
                </dgm:choose>
                <dgm:shape xmlns:r="http://schemas.openxmlformats.org/officeDocument/2006/relationships" r:blip="">
                  <dgm:adjLst/>
                </dgm:shape>
                <dgm:presOf/>
                <dgm:forEach name="Name26" axis="ch" ptType="node">
                  <dgm:layoutNode name="horz3">
                    <dgm:choose name="Name27">
                      <dgm:if name="Name28" func="var" arg="dir" op="equ" val="norm">
                        <dgm:alg type="lin">
                          <dgm:param type="linDir" val="fromL"/>
                          <dgm:param type="nodeVertAlign" val="t"/>
                        </dgm:alg>
                      </dgm:if>
                      <dgm:else name="Name29">
                        <dgm:alg type="lin">
                          <dgm:param type="linDir" val="fromR"/>
                          <dgm:param type="nodeVertAlign" val="t"/>
                        </dgm:alg>
                      </dgm:else>
                    </dgm:choose>
                    <dgm:shape xmlns:r="http://schemas.openxmlformats.org/officeDocument/2006/relationships" r:blip="">
                      <dgm:adjLst/>
                    </dgm:shape>
                    <dgm:presOf/>
                    <dgm:layoutNode name="horzSpace3">
                      <dgm:alg type="sp"/>
                      <dgm:shape xmlns:r="http://schemas.openxmlformats.org/officeDocument/2006/relationships" r:blip="">
                        <dgm:adjLst/>
                      </dgm:shape>
                      <dgm:presOf/>
                    </dgm:layoutNode>
                    <dgm:layoutNode name="tx3"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3">
                      <dgm:choose name="Name30">
                        <dgm:if name="Name31" func="var" arg="dir" op="equ" val="norm">
                          <dgm:alg type="lin">
                            <dgm:param type="linDir" val="fromT"/>
                            <dgm:param type="nodeHorzAlign" val="l"/>
                          </dgm:alg>
                        </dgm:if>
                        <dgm:else name="Name32">
                          <dgm:alg type="lin">
                            <dgm:param type="linDir" val="fromT"/>
                            <dgm:param type="nodeHorzAlign" val="r"/>
                          </dgm:alg>
                        </dgm:else>
                      </dgm:choose>
                      <dgm:shape xmlns:r="http://schemas.openxmlformats.org/officeDocument/2006/relationships" r:blip="">
                        <dgm:adjLst/>
                      </dgm:shape>
                      <dgm:presOf/>
                      <dgm:forEach name="Name33" axis="ch" ptType="node">
                        <dgm:layoutNode name="horz4">
                          <dgm:choose name="Name34">
                            <dgm:if name="Name35" func="var" arg="dir" op="equ" val="norm">
                              <dgm:alg type="lin">
                                <dgm:param type="linDir" val="fromL"/>
                                <dgm:param type="nodeVertAlign" val="t"/>
                              </dgm:alg>
                            </dgm:if>
                            <dgm:else name="Name36">
                              <dgm:alg type="lin">
                                <dgm:param type="linDir" val="fromR"/>
                                <dgm:param type="nodeVertAlign" val="t"/>
                              </dgm:alg>
                            </dgm:else>
                          </dgm:choose>
                          <dgm:shape xmlns:r="http://schemas.openxmlformats.org/officeDocument/2006/relationships" r:blip="">
                            <dgm:adjLst/>
                          </dgm:shape>
                          <dgm:presOf/>
                          <dgm:layoutNode name="horzSpace4">
                            <dgm:alg type="sp"/>
                            <dgm:shape xmlns:r="http://schemas.openxmlformats.org/officeDocument/2006/relationships" r:blip="">
                              <dgm:adjLst/>
                            </dgm:shape>
                            <dgm:presOf/>
                          </dgm:layoutNode>
                          <dgm:layoutNode name="tx4" styleLbl="revTx">
                            <dgm:varLst>
                              <dgm:bulletEnabled val="1"/>
                            </dgm:varLst>
                            <dgm:alg type="tx">
                              <dgm:param type="parTxLTRAlign" val="l"/>
                              <dgm:param type="parTxRTLAlign" val="r"/>
                              <dgm:param type="txAnchorVert" val="t"/>
                            </dgm:alg>
                            <dgm:shape xmlns:r="http://schemas.openxmlformats.org/officeDocument/2006/relationships" type="rect" r:blip="">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dgm:layoutNode>
                  </dgm:layoutNode>
                  <dgm:forEach name="Name37" axis="followSib" ptType="sibTrans" cnt="1">
                    <dgm:layoutNode name="thinLine3" styleLbl="callout">
                      <dgm:alg type="sp"/>
                      <dgm:shape xmlns:r="http://schemas.openxmlformats.org/officeDocument/2006/relationships" type="line" r:blip="">
                        <dgm:adjLst/>
                      </dgm:shape>
                      <dgm:presOf/>
                    </dgm:layoutNode>
                  </dgm:forEach>
                </dgm:forEach>
              </dgm:layoutNode>
            </dgm:layoutNode>
            <dgm:layoutNode name="thinLine2b" styleLbl="callout">
              <dgm:alg type="sp"/>
              <dgm:shape xmlns:r="http://schemas.openxmlformats.org/officeDocument/2006/relationships" type="line" r:blip="">
                <dgm:adjLst/>
              </dgm:shape>
              <dgm:presOf/>
            </dgm:layoutNode>
            <dgm:layoutNode name="vertSpace2b">
              <dgm:alg type="sp"/>
              <dgm:shape xmlns:r="http://schemas.openxmlformats.org/officeDocument/2006/relationships" r:blip="">
                <dgm:adjLst/>
              </dgm:shape>
              <dgm:presOf/>
            </dgm:layoutNode>
          </dgm:forEach>
        </dgm:layoutNode>
      </dgm:layoutNode>
    </dgm:forEach>
  </dgm:layoutNode>
</dgm:layoutDef>
</file>

<file path=word/diagrams/layout8.xml><?xml version="1.0" encoding="utf-8"?>
<dgm:layoutDef xmlns:dgm="http://schemas.openxmlformats.org/drawingml/2006/diagram" xmlns:a="http://schemas.openxmlformats.org/drawingml/2006/main" uniqueId="urn:diagrams.loki3.com/VaryingWidthList">
  <dgm:title val="Varying Width List"/>
  <dgm:desc val="Use for emphasizing items of different weights.  Good for large amounts of Level 1 text.  The width of each shape is independently determined based on its text."/>
  <dgm:catLst>
    <dgm:cat type="list" pri="4160"/>
    <dgm:cat type="officeonline" pri="5000"/>
  </dgm:catLst>
  <dgm:sampData useDef="1">
    <dgm:dataModel>
      <dgm:ptLst/>
      <dgm:bg/>
      <dgm:whole/>
    </dgm:dataModel>
  </dgm:sampData>
  <dgm:styleData useDef="1">
    <dgm:dataModel>
      <dgm:ptLst/>
      <dgm:bg/>
      <dgm:whole/>
    </dgm:dataModel>
  </dgm:styleData>
  <dgm:clrData useDef="1">
    <dgm:dataModel>
      <dgm:ptLst/>
      <dgm:bg/>
      <dgm:whole/>
    </dgm:dataModel>
  </dgm:clrData>
  <dgm:layoutNode name="Name0">
    <dgm:varLst>
      <dgm:resizeHandles/>
    </dgm:varLst>
    <dgm:alg type="lin">
      <dgm:param type="linDir" val="fromT"/>
    </dgm:alg>
    <dgm:shape xmlns:r="http://schemas.openxmlformats.org/officeDocument/2006/relationships" r:blip="">
      <dgm:adjLst/>
    </dgm:shape>
    <dgm:presOf/>
    <dgm:constrLst>
      <dgm:constr type="w" for="ch" forName="text" val="20"/>
      <dgm:constr type="h" for="ch" forName="text" refType="h"/>
      <dgm:constr type="primFontSz" for="ch" forName="text" op="equ" val="65"/>
      <dgm:constr type="h" for="ch" forName="space" refType="h" fact="0.05"/>
    </dgm:constrLst>
    <dgm:forEach name="Name1" axis="ch" ptType="node">
      <dgm:layoutNode name="text" styleLbl="node1">
        <dgm:varLst>
          <dgm:bulletEnabled val="1"/>
        </dgm:varLst>
        <dgm:alg type="tx"/>
        <dgm:shape xmlns:r="http://schemas.openxmlformats.org/officeDocument/2006/relationships" type="rect" r:blip="">
          <dgm:adjLst/>
        </dgm:shape>
        <dgm:presOf axis="desOrSelf" ptType="node"/>
        <dgm:constrLst>
          <dgm:constr type="tMarg" refType="primFontSz" fact="0.2"/>
          <dgm:constr type="bMarg" refType="primFontSz" fact="0.2"/>
          <dgm:constr type="lMarg" refType="primFontSz" fact="0.2"/>
          <dgm:constr type="rMarg" refType="primFontSz" fact="0.2"/>
        </dgm:constrLst>
        <dgm:ruleLst>
          <dgm:rule type="w" val="INF" fact="NaN" max="NaN"/>
          <dgm:rule type="primFontSz" val="5" fact="NaN" max="NaN"/>
        </dgm:ruleLst>
      </dgm:layoutNode>
      <dgm:choose name="Name2">
        <dgm:if name="Name3" axis="par ch" ptType="doc node" func="cnt" op="gte" val="2">
          <dgm:forEach name="Name4" axis="followSib" ptType="sibTrans" cnt="1">
            <dgm:layoutNode name="space">
              <dgm:alg type="sp"/>
              <dgm:shape xmlns:r="http://schemas.openxmlformats.org/officeDocument/2006/relationships" r:blip="">
                <dgm:adjLst/>
              </dgm:shape>
              <dgm:presOf/>
            </dgm:layoutNode>
          </dgm:forEach>
        </dgm:if>
        <dgm:else name="Name5"/>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rawings/_rels/drawing2.xml.rels><?xml version="1.0" encoding="UTF-8" standalone="yes"?>
<Relationships xmlns="http://schemas.openxmlformats.org/package/2006/relationships"><Relationship Id="rId1" Type="http://schemas.openxmlformats.org/officeDocument/2006/relationships/image" Target="../media/image2.emf"/></Relationships>
</file>

<file path=word/drawings/_rels/drawing3.xml.rels><?xml version="1.0" encoding="UTF-8" standalone="yes"?>
<Relationships xmlns="http://schemas.openxmlformats.org/package/2006/relationships"><Relationship Id="rId1" Type="http://schemas.openxmlformats.org/officeDocument/2006/relationships/image" Target="../media/image2.emf"/></Relationships>
</file>

<file path=word/drawings/_rels/drawing4.xml.rels><?xml version="1.0" encoding="UTF-8" standalone="yes"?>
<Relationships xmlns="http://schemas.openxmlformats.org/package/2006/relationships"><Relationship Id="rId1" Type="http://schemas.openxmlformats.org/officeDocument/2006/relationships/image" Target="../media/image2.emf"/></Relationships>
</file>

<file path=word/drawings/_rels/drawing5.xml.rels><?xml version="1.0" encoding="UTF-8" standalone="yes"?>
<Relationships xmlns="http://schemas.openxmlformats.org/package/2006/relationships"><Relationship Id="rId1" Type="http://schemas.openxmlformats.org/officeDocument/2006/relationships/image" Target="../media/image2.emf"/></Relationships>
</file>

<file path=word/drawings/_rels/drawing6.xml.rels><?xml version="1.0" encoding="UTF-8" standalone="yes"?>
<Relationships xmlns="http://schemas.openxmlformats.org/package/2006/relationships"><Relationship Id="rId1" Type="http://schemas.openxmlformats.org/officeDocument/2006/relationships/image" Target="../media/image2.emf"/></Relationships>
</file>

<file path=word/drawings/_rels/drawing7.xml.rels><?xml version="1.0" encoding="UTF-8" standalone="yes"?>
<Relationships xmlns="http://schemas.openxmlformats.org/package/2006/relationships"><Relationship Id="rId1" Type="http://schemas.openxmlformats.org/officeDocument/2006/relationships/image" Target="../media/image2.emf"/></Relationships>
</file>

<file path=word/drawings/_rels/drawing8.xml.rels><?xml version="1.0" encoding="UTF-8" standalone="yes"?>
<Relationships xmlns="http://schemas.openxmlformats.org/package/2006/relationships"><Relationship Id="rId1" Type="http://schemas.openxmlformats.org/officeDocument/2006/relationships/image" Target="../media/image2.emf"/></Relationships>
</file>

<file path=word/drawings/drawing1.xml><?xml version="1.0" encoding="utf-8"?>
<c:userShapes xmlns:c="http://schemas.openxmlformats.org/drawingml/2006/chart">
  <cdr:relSizeAnchor xmlns:cdr="http://schemas.openxmlformats.org/drawingml/2006/chartDrawing">
    <cdr:from>
      <cdr:x>0.89833</cdr:x>
      <cdr:y>0.52778</cdr:y>
    </cdr:from>
    <cdr:to>
      <cdr:x>0.98833</cdr:x>
      <cdr:y>0.6</cdr:y>
    </cdr:to>
    <cdr:sp macro="" textlink="">
      <cdr:nvSpPr>
        <cdr:cNvPr id="2" name="Rectangle 1"/>
        <cdr:cNvSpPr/>
      </cdr:nvSpPr>
      <cdr:spPr>
        <a:xfrm xmlns:a="http://schemas.openxmlformats.org/drawingml/2006/main">
          <a:off x="4107180" y="1447812"/>
          <a:ext cx="411480" cy="198108"/>
        </a:xfrm>
        <a:prstGeom xmlns:a="http://schemas.openxmlformats.org/drawingml/2006/main" prst="rect">
          <a:avLst/>
        </a:prstGeom>
        <a:solidFill xmlns:a="http://schemas.openxmlformats.org/drawingml/2006/main">
          <a:schemeClr val="bg1"/>
        </a:solidFill>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r>
            <a:rPr lang="en-US" sz="800">
              <a:solidFill>
                <a:schemeClr val="tx1"/>
              </a:solidFill>
            </a:rPr>
            <a:t>2022</a:t>
          </a:r>
        </a:p>
      </cdr:txBody>
    </cdr:sp>
  </cdr:relSizeAnchor>
  <cdr:relSizeAnchor xmlns:cdr="http://schemas.openxmlformats.org/drawingml/2006/chartDrawing">
    <cdr:from>
      <cdr:x>0.895</cdr:x>
      <cdr:y>0.60186</cdr:y>
    </cdr:from>
    <cdr:to>
      <cdr:x>0.985</cdr:x>
      <cdr:y>0.67407</cdr:y>
    </cdr:to>
    <cdr:sp macro="" textlink="">
      <cdr:nvSpPr>
        <cdr:cNvPr id="3" name="Rectangle 2"/>
        <cdr:cNvSpPr/>
      </cdr:nvSpPr>
      <cdr:spPr>
        <a:xfrm xmlns:a="http://schemas.openxmlformats.org/drawingml/2006/main">
          <a:off x="4091940" y="1651012"/>
          <a:ext cx="411480" cy="198108"/>
        </a:xfrm>
        <a:prstGeom xmlns:a="http://schemas.openxmlformats.org/drawingml/2006/main" prst="rect">
          <a:avLst/>
        </a:prstGeom>
        <a:solidFill xmlns:a="http://schemas.openxmlformats.org/drawingml/2006/main">
          <a:schemeClr val="bg1"/>
        </a:solidFill>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r>
            <a:rPr lang="en-US" sz="800">
              <a:solidFill>
                <a:schemeClr val="tx1"/>
              </a:solidFill>
            </a:rPr>
            <a:t>2023</a:t>
          </a:r>
        </a:p>
      </cdr:txBody>
    </cdr:sp>
  </cdr:relSizeAnchor>
</c:userShapes>
</file>

<file path=word/drawings/drawing2.xml><?xml version="1.0" encoding="utf-8"?>
<c:userShapes xmlns:c="http://schemas.openxmlformats.org/drawingml/2006/chart">
  <cdr:relSizeAnchor xmlns:cdr="http://schemas.openxmlformats.org/drawingml/2006/chartDrawing">
    <cdr:from>
      <cdr:x>0.16611</cdr:x>
      <cdr:y>0.89722</cdr:y>
    </cdr:from>
    <cdr:to>
      <cdr:x>0.90944</cdr:x>
      <cdr:y>0.98889</cdr:y>
    </cdr:to>
    <cdr:pic>
      <cdr:nvPicPr>
        <cdr:cNvPr id="2"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759460" y="2461260"/>
          <a:ext cx="3398520" cy="251460"/>
        </a:xfrm>
        <a:prstGeom xmlns:a="http://schemas.openxmlformats.org/drawingml/2006/main" prst="rect">
          <a:avLst/>
        </a:prstGeom>
      </cdr:spPr>
    </cdr:pic>
  </cdr:relSizeAnchor>
</c:userShapes>
</file>

<file path=word/drawings/drawing3.xml><?xml version="1.0" encoding="utf-8"?>
<c:userShapes xmlns:c="http://schemas.openxmlformats.org/drawingml/2006/chart">
  <cdr:relSizeAnchor xmlns:cdr="http://schemas.openxmlformats.org/drawingml/2006/chartDrawing">
    <cdr:from>
      <cdr:x>0.16944</cdr:x>
      <cdr:y>0.90278</cdr:y>
    </cdr:from>
    <cdr:to>
      <cdr:x>0.91278</cdr:x>
      <cdr:y>0.99444</cdr:y>
    </cdr:to>
    <cdr:pic>
      <cdr:nvPicPr>
        <cdr:cNvPr id="2"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774700" y="2476500"/>
          <a:ext cx="3398520" cy="251460"/>
        </a:xfrm>
        <a:prstGeom xmlns:a="http://schemas.openxmlformats.org/drawingml/2006/main" prst="rect">
          <a:avLst/>
        </a:prstGeom>
      </cdr:spPr>
    </cdr:pic>
  </cdr:relSizeAnchor>
</c:userShapes>
</file>

<file path=word/drawings/drawing4.xml><?xml version="1.0" encoding="utf-8"?>
<c:userShapes xmlns:c="http://schemas.openxmlformats.org/drawingml/2006/chart">
  <cdr:relSizeAnchor xmlns:cdr="http://schemas.openxmlformats.org/drawingml/2006/chartDrawing">
    <cdr:from>
      <cdr:x>0.18444</cdr:x>
      <cdr:y>0.89722</cdr:y>
    </cdr:from>
    <cdr:to>
      <cdr:x>0.92778</cdr:x>
      <cdr:y>0.98889</cdr:y>
    </cdr:to>
    <cdr:pic>
      <cdr:nvPicPr>
        <cdr:cNvPr id="2"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843280" y="2461260"/>
          <a:ext cx="3398520" cy="251460"/>
        </a:xfrm>
        <a:prstGeom xmlns:a="http://schemas.openxmlformats.org/drawingml/2006/main" prst="rect">
          <a:avLst/>
        </a:prstGeom>
      </cdr:spPr>
    </cdr:pic>
  </cdr:relSizeAnchor>
</c:userShapes>
</file>

<file path=word/drawings/drawing5.xml><?xml version="1.0" encoding="utf-8"?>
<c:userShapes xmlns:c="http://schemas.openxmlformats.org/drawingml/2006/chart">
  <cdr:relSizeAnchor xmlns:cdr="http://schemas.openxmlformats.org/drawingml/2006/chartDrawing">
    <cdr:from>
      <cdr:x>0.20611</cdr:x>
      <cdr:y>0.90556</cdr:y>
    </cdr:from>
    <cdr:to>
      <cdr:x>0.94944</cdr:x>
      <cdr:y>0.99722</cdr:y>
    </cdr:to>
    <cdr:pic>
      <cdr:nvPicPr>
        <cdr:cNvPr id="2"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942340" y="2484120"/>
          <a:ext cx="3398520" cy="251460"/>
        </a:xfrm>
        <a:prstGeom xmlns:a="http://schemas.openxmlformats.org/drawingml/2006/main" prst="rect">
          <a:avLst/>
        </a:prstGeom>
      </cdr:spPr>
    </cdr:pic>
  </cdr:relSizeAnchor>
</c:userShapes>
</file>

<file path=word/drawings/drawing6.xml><?xml version="1.0" encoding="utf-8"?>
<c:userShapes xmlns:c="http://schemas.openxmlformats.org/drawingml/2006/chart">
  <cdr:relSizeAnchor xmlns:cdr="http://schemas.openxmlformats.org/drawingml/2006/chartDrawing">
    <cdr:from>
      <cdr:x>0.17944</cdr:x>
      <cdr:y>0.90833</cdr:y>
    </cdr:from>
    <cdr:to>
      <cdr:x>0.92278</cdr:x>
      <cdr:y>1</cdr:y>
    </cdr:to>
    <cdr:pic>
      <cdr:nvPicPr>
        <cdr:cNvPr id="2"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820420" y="2491740"/>
          <a:ext cx="3398520" cy="251460"/>
        </a:xfrm>
        <a:prstGeom xmlns:a="http://schemas.openxmlformats.org/drawingml/2006/main" prst="rect">
          <a:avLst/>
        </a:prstGeom>
      </cdr:spPr>
    </cdr:pic>
  </cdr:relSizeAnchor>
</c:userShapes>
</file>

<file path=word/drawings/drawing7.xml><?xml version="1.0" encoding="utf-8"?>
<c:userShapes xmlns:c="http://schemas.openxmlformats.org/drawingml/2006/chart">
  <cdr:relSizeAnchor xmlns:cdr="http://schemas.openxmlformats.org/drawingml/2006/chartDrawing">
    <cdr:from>
      <cdr:x>0.18944</cdr:x>
      <cdr:y>0.90833</cdr:y>
    </cdr:from>
    <cdr:to>
      <cdr:x>0.93278</cdr:x>
      <cdr:y>1</cdr:y>
    </cdr:to>
    <cdr:pic>
      <cdr:nvPicPr>
        <cdr:cNvPr id="2"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866140" y="2491740"/>
          <a:ext cx="3398520" cy="251460"/>
        </a:xfrm>
        <a:prstGeom xmlns:a="http://schemas.openxmlformats.org/drawingml/2006/main" prst="rect">
          <a:avLst/>
        </a:prstGeom>
      </cdr:spPr>
    </cdr:pic>
  </cdr:relSizeAnchor>
</c:userShapes>
</file>

<file path=word/drawings/drawing8.xml><?xml version="1.0" encoding="utf-8"?>
<c:userShapes xmlns:c="http://schemas.openxmlformats.org/drawingml/2006/chart">
  <cdr:relSizeAnchor xmlns:cdr="http://schemas.openxmlformats.org/drawingml/2006/chartDrawing">
    <cdr:from>
      <cdr:x>0.21167</cdr:x>
      <cdr:y>0.90833</cdr:y>
    </cdr:from>
    <cdr:to>
      <cdr:x>0.955</cdr:x>
      <cdr:y>1</cdr:y>
    </cdr:to>
    <cdr:pic>
      <cdr:nvPicPr>
        <cdr:cNvPr id="3"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967740" y="2491740"/>
          <a:ext cx="3398520" cy="251460"/>
        </a:xfrm>
        <a:prstGeom xmlns:a="http://schemas.openxmlformats.org/drawingml/2006/main" prst="rect">
          <a:avLst/>
        </a:prstGeom>
      </cdr:spPr>
    </cdr:pic>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A4DC35-E505-4952-BF86-C084BAE221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22</Pages>
  <Words>3417</Words>
  <Characters>19480</Characters>
  <DocSecurity>0</DocSecurity>
  <Lines>162</Lines>
  <Paragraphs>45</Paragraphs>
  <ScaleCrop>false</ScaleCrop>
  <HeadingPairs>
    <vt:vector size="2" baseType="variant">
      <vt:variant>
        <vt:lpstr>Title</vt:lpstr>
      </vt:variant>
      <vt:variant>
        <vt:i4>1</vt:i4>
      </vt:variant>
    </vt:vector>
  </HeadingPairs>
  <TitlesOfParts>
    <vt:vector size="1" baseType="lpstr">
      <vt:lpstr>URBAN HEIGHTS HOTEL</vt:lpstr>
    </vt:vector>
  </TitlesOfParts>
  <Company/>
  <LinksUpToDate>false</LinksUpToDate>
  <CharactersWithSpaces>22852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URBAN HEIGHTS HOTEL</dc:title>
  <dc:subject>REPORT OF CASE STUDY</dc:subject>
  <dc:creator>Kamrul Khan</dc:creator>
  <cp:keywords/>
  <dc:description/>
  <dcterms:created xsi:type="dcterms:W3CDTF">2024-06-06T11:29:00Z</dcterms:created>
  <dcterms:modified xsi:type="dcterms:W3CDTF">2024-06-06T11:58:00Z</dcterms:modified>
</cp:coreProperties>
</file>