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8EC83" w14:textId="77777777" w:rsidR="00937386" w:rsidRDefault="00937386" w:rsidP="00805AD9">
      <w:pPr>
        <w:spacing w:after="100"/>
        <w:jc w:val="center"/>
        <w:rPr>
          <w:rFonts w:ascii="Arial" w:eastAsia="Calibri" w:hAnsi="Arial" w:cs="Arial"/>
          <w:b/>
          <w:bCs/>
          <w:sz w:val="32"/>
          <w:szCs w:val="32"/>
        </w:rPr>
      </w:pPr>
    </w:p>
    <w:p w14:paraId="6973574E" w14:textId="2105CA28" w:rsidR="00937386" w:rsidRDefault="003A4EC6" w:rsidP="003A4EC6">
      <w:pPr>
        <w:pStyle w:val="ListParagraph"/>
      </w:pPr>
      <w:r>
        <w:rPr>
          <w:noProof/>
        </w:rPr>
        <w:drawing>
          <wp:inline distT="0" distB="0" distL="0" distR="0" wp14:anchorId="762933D9" wp14:editId="04366F32">
            <wp:extent cx="3156066" cy="1598212"/>
            <wp:effectExtent l="0" t="0" r="6350" b="2540"/>
            <wp:docPr id="1025" name="Picture 2" descr="A close-up of a sign&#10;&#10;AI-generated content may be incorrect.">
              <a:extLst xmlns:a="http://schemas.openxmlformats.org/drawingml/2006/main">
                <a:ext uri="{FF2B5EF4-FFF2-40B4-BE49-F238E27FC236}">
                  <a16:creationId xmlns:a16="http://schemas.microsoft.com/office/drawing/2014/main" id="{6E5897BA-23B3-2E4D-3A13-121DAEDF62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2" descr="A close-up of a sign&#10;&#10;AI-generated content may be incorrect.">
                      <a:extLst>
                        <a:ext uri="{FF2B5EF4-FFF2-40B4-BE49-F238E27FC236}">
                          <a16:creationId xmlns:a16="http://schemas.microsoft.com/office/drawing/2014/main" id="{6E5897BA-23B3-2E4D-3A13-121DAEDF62AC}"/>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9652" cy="1615220"/>
                    </a:xfrm>
                    <a:prstGeom prst="rect">
                      <a:avLst/>
                    </a:prstGeom>
                    <a:noFill/>
                  </pic:spPr>
                </pic:pic>
              </a:graphicData>
            </a:graphic>
          </wp:inline>
        </w:drawing>
      </w:r>
    </w:p>
    <w:p w14:paraId="740A5818" w14:textId="6821D47A" w:rsidR="00937386" w:rsidRDefault="003A4EC6" w:rsidP="00805AD9">
      <w:pPr>
        <w:spacing w:after="100"/>
        <w:jc w:val="center"/>
        <w:rPr>
          <w:rFonts w:ascii="Arial" w:eastAsia="Calibri" w:hAnsi="Arial" w:cs="Arial"/>
          <w:b/>
          <w:bCs/>
          <w:sz w:val="32"/>
          <w:szCs w:val="32"/>
        </w:rPr>
      </w:pPr>
      <w:r>
        <w:rPr>
          <w:rFonts w:ascii="Arial" w:eastAsia="Calibri" w:hAnsi="Arial" w:cs="Arial"/>
          <w:b/>
          <w:bCs/>
          <w:sz w:val="32"/>
          <w:szCs w:val="32"/>
        </w:rPr>
        <w:t xml:space="preserve">                                                                                      </w:t>
      </w:r>
    </w:p>
    <w:p w14:paraId="196B20F7" w14:textId="77777777" w:rsidR="00937386" w:rsidRDefault="00937386" w:rsidP="00F311D1">
      <w:pPr>
        <w:spacing w:after="100"/>
        <w:rPr>
          <w:rFonts w:ascii="Arial" w:eastAsia="Calibri" w:hAnsi="Arial" w:cs="Arial"/>
          <w:b/>
          <w:bCs/>
          <w:sz w:val="32"/>
          <w:szCs w:val="32"/>
        </w:rPr>
      </w:pPr>
    </w:p>
    <w:p w14:paraId="4CBEF33F" w14:textId="77777777" w:rsidR="00937386" w:rsidRDefault="00937386" w:rsidP="00805AD9">
      <w:pPr>
        <w:spacing w:after="100"/>
        <w:jc w:val="center"/>
        <w:rPr>
          <w:rFonts w:ascii="Arial" w:eastAsia="Calibri" w:hAnsi="Arial" w:cs="Arial"/>
          <w:b/>
          <w:bCs/>
          <w:sz w:val="32"/>
          <w:szCs w:val="32"/>
        </w:rPr>
      </w:pPr>
    </w:p>
    <w:p w14:paraId="68EAF35C" w14:textId="77777777" w:rsidR="00F311D1" w:rsidRPr="00F311D1" w:rsidRDefault="00F311D1" w:rsidP="00F311D1">
      <w:pPr>
        <w:spacing w:after="100"/>
        <w:rPr>
          <w:rFonts w:ascii="Arial" w:eastAsia="Calibri" w:hAnsi="Arial" w:cs="Arial"/>
          <w:b/>
          <w:bCs/>
          <w:sz w:val="32"/>
          <w:szCs w:val="32"/>
        </w:rPr>
      </w:pPr>
      <w:r w:rsidRPr="00F311D1">
        <w:rPr>
          <w:rFonts w:ascii="Arial" w:eastAsia="Calibri" w:hAnsi="Arial" w:cs="Arial"/>
          <w:b/>
          <w:bCs/>
          <w:sz w:val="32"/>
          <w:szCs w:val="32"/>
        </w:rPr>
        <w:t xml:space="preserve">Module name: Psychopathological Classifications and Provisions </w:t>
      </w:r>
    </w:p>
    <w:p w14:paraId="1886F32E" w14:textId="77777777" w:rsidR="00F311D1" w:rsidRPr="00F311D1" w:rsidRDefault="00F311D1" w:rsidP="00F311D1">
      <w:pPr>
        <w:spacing w:after="100"/>
        <w:rPr>
          <w:rFonts w:ascii="Arial" w:eastAsia="Calibri" w:hAnsi="Arial" w:cs="Arial"/>
          <w:b/>
          <w:bCs/>
          <w:sz w:val="32"/>
          <w:szCs w:val="32"/>
        </w:rPr>
      </w:pPr>
      <w:r w:rsidRPr="00F311D1">
        <w:rPr>
          <w:rFonts w:ascii="Arial" w:eastAsia="Calibri" w:hAnsi="Arial" w:cs="Arial"/>
          <w:b/>
          <w:bCs/>
          <w:sz w:val="32"/>
          <w:szCs w:val="32"/>
        </w:rPr>
        <w:t>Module number: BMHP6029_BIRM</w:t>
      </w:r>
    </w:p>
    <w:p w14:paraId="0C2BEEA0" w14:textId="77777777" w:rsidR="00F311D1" w:rsidRPr="00F311D1" w:rsidRDefault="00F311D1" w:rsidP="00F311D1">
      <w:pPr>
        <w:spacing w:after="100"/>
        <w:rPr>
          <w:rFonts w:ascii="Arial" w:eastAsia="Calibri" w:hAnsi="Arial" w:cs="Arial"/>
          <w:b/>
          <w:bCs/>
          <w:sz w:val="32"/>
          <w:szCs w:val="32"/>
        </w:rPr>
      </w:pPr>
      <w:r w:rsidRPr="00F311D1">
        <w:rPr>
          <w:rFonts w:ascii="Arial" w:eastAsia="Calibri" w:hAnsi="Arial" w:cs="Arial"/>
          <w:b/>
          <w:bCs/>
          <w:sz w:val="32"/>
          <w:szCs w:val="32"/>
        </w:rPr>
        <w:t>Student name: Melania Ciornei</w:t>
      </w:r>
    </w:p>
    <w:p w14:paraId="0C6E2B79" w14:textId="77777777" w:rsidR="00F311D1" w:rsidRPr="00F311D1" w:rsidRDefault="00F311D1" w:rsidP="00F311D1">
      <w:pPr>
        <w:spacing w:after="100"/>
        <w:rPr>
          <w:rFonts w:ascii="Arial" w:eastAsia="Calibri" w:hAnsi="Arial" w:cs="Arial"/>
          <w:b/>
          <w:bCs/>
          <w:sz w:val="32"/>
          <w:szCs w:val="32"/>
        </w:rPr>
      </w:pPr>
      <w:r w:rsidRPr="00F311D1">
        <w:rPr>
          <w:rFonts w:ascii="Arial" w:eastAsia="Calibri" w:hAnsi="Arial" w:cs="Arial"/>
          <w:b/>
          <w:bCs/>
          <w:sz w:val="32"/>
          <w:szCs w:val="32"/>
        </w:rPr>
        <w:t>Student number: 2329516</w:t>
      </w:r>
    </w:p>
    <w:p w14:paraId="79866F09" w14:textId="77777777" w:rsidR="00F311D1" w:rsidRPr="00F311D1" w:rsidRDefault="00F311D1" w:rsidP="00F311D1">
      <w:pPr>
        <w:spacing w:after="100"/>
        <w:rPr>
          <w:rFonts w:ascii="Arial" w:eastAsia="Calibri" w:hAnsi="Arial" w:cs="Arial"/>
          <w:b/>
          <w:bCs/>
          <w:sz w:val="32"/>
          <w:szCs w:val="32"/>
        </w:rPr>
      </w:pPr>
      <w:r w:rsidRPr="00F311D1">
        <w:rPr>
          <w:rFonts w:ascii="Arial" w:eastAsia="Calibri" w:hAnsi="Arial" w:cs="Arial"/>
          <w:b/>
          <w:bCs/>
          <w:sz w:val="32"/>
          <w:szCs w:val="32"/>
        </w:rPr>
        <w:t>Lecturer name: Kennedy Obohwemu </w:t>
      </w:r>
    </w:p>
    <w:p w14:paraId="45A19861" w14:textId="77777777" w:rsidR="00937386" w:rsidRDefault="00937386" w:rsidP="00F311D1">
      <w:pPr>
        <w:spacing w:after="100"/>
        <w:rPr>
          <w:rFonts w:ascii="Arial" w:eastAsia="Calibri" w:hAnsi="Arial" w:cs="Arial"/>
          <w:b/>
          <w:bCs/>
          <w:sz w:val="32"/>
          <w:szCs w:val="32"/>
        </w:rPr>
      </w:pPr>
    </w:p>
    <w:p w14:paraId="6593A286" w14:textId="77777777" w:rsidR="00937386" w:rsidRDefault="00937386" w:rsidP="00805AD9">
      <w:pPr>
        <w:spacing w:after="100"/>
        <w:jc w:val="center"/>
        <w:rPr>
          <w:rFonts w:ascii="Arial" w:eastAsia="Calibri" w:hAnsi="Arial" w:cs="Arial"/>
          <w:b/>
          <w:bCs/>
          <w:sz w:val="32"/>
          <w:szCs w:val="32"/>
        </w:rPr>
      </w:pPr>
    </w:p>
    <w:p w14:paraId="665BFC77" w14:textId="77777777" w:rsidR="00937386" w:rsidRDefault="00937386" w:rsidP="00805AD9">
      <w:pPr>
        <w:spacing w:after="100"/>
        <w:jc w:val="center"/>
        <w:rPr>
          <w:rFonts w:ascii="Arial" w:eastAsia="Calibri" w:hAnsi="Arial" w:cs="Arial"/>
          <w:b/>
          <w:bCs/>
          <w:sz w:val="32"/>
          <w:szCs w:val="32"/>
        </w:rPr>
      </w:pPr>
    </w:p>
    <w:p w14:paraId="50B004F0" w14:textId="00DB29DA" w:rsidR="00937386" w:rsidRPr="00F34737" w:rsidRDefault="00F311D1" w:rsidP="00805AD9">
      <w:pPr>
        <w:spacing w:after="100"/>
        <w:jc w:val="center"/>
        <w:rPr>
          <w:rFonts w:ascii="Arial" w:eastAsia="Calibri" w:hAnsi="Arial" w:cs="Arial"/>
          <w:b/>
          <w:bCs/>
          <w:sz w:val="48"/>
          <w:szCs w:val="48"/>
        </w:rPr>
      </w:pPr>
      <w:r w:rsidRPr="00F34737">
        <w:rPr>
          <w:rFonts w:ascii="Arial" w:eastAsia="Calibri" w:hAnsi="Arial" w:cs="Arial"/>
          <w:b/>
          <w:bCs/>
          <w:sz w:val="48"/>
          <w:szCs w:val="48"/>
        </w:rPr>
        <w:t>Report</w:t>
      </w:r>
    </w:p>
    <w:p w14:paraId="4F4F306E" w14:textId="05D80D77" w:rsidR="00F311D1" w:rsidRDefault="00F311D1" w:rsidP="00F311D1">
      <w:pPr>
        <w:spacing w:after="100"/>
        <w:jc w:val="center"/>
        <w:rPr>
          <w:rFonts w:ascii="Arial" w:eastAsia="Calibri" w:hAnsi="Arial" w:cs="Arial"/>
          <w:b/>
          <w:bCs/>
          <w:sz w:val="32"/>
          <w:szCs w:val="32"/>
        </w:rPr>
      </w:pPr>
      <w:r w:rsidRPr="007A4B30">
        <w:rPr>
          <w:rFonts w:ascii="Arial" w:eastAsia="Calibri" w:hAnsi="Arial" w:cs="Arial"/>
          <w:b/>
          <w:bCs/>
          <w:sz w:val="32"/>
          <w:szCs w:val="32"/>
        </w:rPr>
        <w:t>P</w:t>
      </w:r>
      <w:r w:rsidR="003358C3">
        <w:rPr>
          <w:rFonts w:ascii="Arial" w:eastAsia="Calibri" w:hAnsi="Arial" w:cs="Arial"/>
          <w:b/>
          <w:bCs/>
          <w:sz w:val="32"/>
          <w:szCs w:val="32"/>
        </w:rPr>
        <w:t>a</w:t>
      </w:r>
      <w:r w:rsidRPr="007A4B30">
        <w:rPr>
          <w:rFonts w:ascii="Arial" w:eastAsia="Calibri" w:hAnsi="Arial" w:cs="Arial"/>
          <w:b/>
          <w:bCs/>
          <w:sz w:val="32"/>
          <w:szCs w:val="32"/>
        </w:rPr>
        <w:t>edophilic Disorder</w:t>
      </w:r>
    </w:p>
    <w:p w14:paraId="35F37905" w14:textId="33DFD90D" w:rsidR="00CB53BB" w:rsidRDefault="00F311D1" w:rsidP="00F311D1">
      <w:pPr>
        <w:spacing w:after="100"/>
        <w:jc w:val="center"/>
        <w:rPr>
          <w:rFonts w:ascii="Arial" w:eastAsia="Calibri" w:hAnsi="Arial" w:cs="Arial"/>
          <w:b/>
          <w:bCs/>
          <w:sz w:val="32"/>
          <w:szCs w:val="32"/>
        </w:rPr>
      </w:pPr>
      <w:r w:rsidRPr="007A4B30">
        <w:rPr>
          <w:rFonts w:ascii="Arial" w:eastAsia="Calibri" w:hAnsi="Arial" w:cs="Arial"/>
          <w:b/>
          <w:bCs/>
          <w:sz w:val="32"/>
          <w:szCs w:val="32"/>
        </w:rPr>
        <w:t xml:space="preserve"> </w:t>
      </w:r>
    </w:p>
    <w:p w14:paraId="55B36711" w14:textId="77777777" w:rsidR="00CB53BB" w:rsidRDefault="00CB53BB" w:rsidP="00F311D1">
      <w:pPr>
        <w:spacing w:after="100"/>
        <w:jc w:val="center"/>
        <w:rPr>
          <w:rFonts w:ascii="Arial" w:eastAsia="Calibri" w:hAnsi="Arial" w:cs="Arial"/>
          <w:b/>
          <w:bCs/>
          <w:sz w:val="32"/>
          <w:szCs w:val="32"/>
        </w:rPr>
      </w:pPr>
    </w:p>
    <w:p w14:paraId="5014C817" w14:textId="77777777" w:rsidR="00CB53BB" w:rsidRDefault="00CB53BB" w:rsidP="00F311D1">
      <w:pPr>
        <w:spacing w:after="100"/>
        <w:jc w:val="center"/>
        <w:rPr>
          <w:rFonts w:ascii="Arial" w:eastAsia="Calibri" w:hAnsi="Arial" w:cs="Arial"/>
          <w:b/>
          <w:bCs/>
          <w:sz w:val="32"/>
          <w:szCs w:val="32"/>
        </w:rPr>
      </w:pPr>
    </w:p>
    <w:p w14:paraId="495849D2" w14:textId="77777777" w:rsidR="00CB53BB" w:rsidRDefault="00CB53BB" w:rsidP="00F311D1">
      <w:pPr>
        <w:spacing w:after="100"/>
        <w:jc w:val="center"/>
        <w:rPr>
          <w:rFonts w:ascii="Arial" w:eastAsia="Calibri" w:hAnsi="Arial" w:cs="Arial"/>
          <w:b/>
          <w:bCs/>
          <w:sz w:val="32"/>
          <w:szCs w:val="32"/>
        </w:rPr>
      </w:pPr>
    </w:p>
    <w:p w14:paraId="46E182FD" w14:textId="77777777" w:rsidR="00F475D0" w:rsidRDefault="00F475D0" w:rsidP="00F311D1">
      <w:pPr>
        <w:spacing w:after="100"/>
        <w:jc w:val="center"/>
        <w:rPr>
          <w:rFonts w:ascii="Arial" w:eastAsia="Calibri" w:hAnsi="Arial" w:cs="Arial"/>
          <w:b/>
          <w:bCs/>
          <w:sz w:val="32"/>
          <w:szCs w:val="32"/>
        </w:rPr>
      </w:pPr>
    </w:p>
    <w:p w14:paraId="178C51AF" w14:textId="77777777" w:rsidR="006650D2" w:rsidRDefault="006650D2" w:rsidP="00F311D1">
      <w:pPr>
        <w:spacing w:after="100"/>
        <w:jc w:val="center"/>
        <w:rPr>
          <w:rFonts w:ascii="Arial" w:eastAsia="Calibri" w:hAnsi="Arial" w:cs="Arial"/>
          <w:b/>
          <w:bCs/>
          <w:sz w:val="32"/>
          <w:szCs w:val="32"/>
        </w:rPr>
      </w:pPr>
    </w:p>
    <w:p w14:paraId="64CE009B" w14:textId="77777777" w:rsidR="006650D2" w:rsidRDefault="006650D2" w:rsidP="006650D2">
      <w:pPr>
        <w:spacing w:after="100"/>
        <w:rPr>
          <w:rFonts w:ascii="Arial" w:eastAsia="Calibri" w:hAnsi="Arial" w:cs="Arial"/>
          <w:b/>
          <w:bCs/>
          <w:sz w:val="32"/>
          <w:szCs w:val="32"/>
        </w:rPr>
      </w:pPr>
    </w:p>
    <w:p w14:paraId="7A558E31" w14:textId="77777777" w:rsidR="00594FE1" w:rsidRPr="00CB0FBE" w:rsidRDefault="006650D2" w:rsidP="00594FE1">
      <w:pPr>
        <w:spacing w:after="100"/>
        <w:jc w:val="both"/>
        <w:rPr>
          <w:rFonts w:ascii="Arial" w:eastAsia="Calibri" w:hAnsi="Arial" w:cs="Arial"/>
          <w:b/>
          <w:bCs/>
          <w:sz w:val="24"/>
          <w:szCs w:val="24"/>
        </w:rPr>
      </w:pPr>
      <w:r w:rsidRPr="00CB0FBE">
        <w:rPr>
          <w:rFonts w:ascii="Arial" w:eastAsia="Calibri" w:hAnsi="Arial" w:cs="Arial"/>
          <w:b/>
          <w:bCs/>
          <w:sz w:val="24"/>
          <w:szCs w:val="24"/>
        </w:rPr>
        <w:lastRenderedPageBreak/>
        <w:t>Table of contents</w:t>
      </w:r>
    </w:p>
    <w:p w14:paraId="05A51159" w14:textId="0243F52E" w:rsidR="007C553E" w:rsidRPr="005840C6" w:rsidRDefault="005840C6" w:rsidP="00594FE1">
      <w:pPr>
        <w:spacing w:after="100"/>
        <w:jc w:val="both"/>
        <w:rPr>
          <w:rFonts w:ascii="Arial" w:eastAsia="Calibri" w:hAnsi="Arial" w:cs="Arial"/>
          <w:sz w:val="24"/>
          <w:szCs w:val="24"/>
        </w:rPr>
      </w:pPr>
      <w:r w:rsidRPr="005840C6">
        <w:rPr>
          <w:rFonts w:ascii="Arial" w:eastAsia="Calibri" w:hAnsi="Arial" w:cs="Arial"/>
        </w:rPr>
        <w:br/>
      </w:r>
      <w:r w:rsidRPr="005840C6">
        <w:rPr>
          <w:rFonts w:ascii="Arial" w:eastAsia="Calibri" w:hAnsi="Arial" w:cs="Arial"/>
        </w:rPr>
        <w:br/>
        <w:t>1. Introduction</w:t>
      </w:r>
      <w:r w:rsidR="00CB0FBE">
        <w:rPr>
          <w:rFonts w:ascii="Arial" w:eastAsia="Calibri" w:hAnsi="Arial" w:cs="Arial"/>
        </w:rPr>
        <w:t>…….</w:t>
      </w:r>
      <w:r w:rsidRPr="005840C6">
        <w:rPr>
          <w:rFonts w:ascii="Arial" w:eastAsia="Calibri" w:hAnsi="Arial" w:cs="Arial"/>
        </w:rPr>
        <w:t xml:space="preserve"> ..............................................</w:t>
      </w:r>
      <w:r>
        <w:rPr>
          <w:rFonts w:ascii="Arial" w:eastAsia="Calibri" w:hAnsi="Arial" w:cs="Arial"/>
        </w:rPr>
        <w:t>...............................</w:t>
      </w:r>
      <w:r w:rsidRPr="005840C6">
        <w:rPr>
          <w:rFonts w:ascii="Arial" w:eastAsia="Calibri" w:hAnsi="Arial" w:cs="Arial"/>
        </w:rPr>
        <w:t>................</w:t>
      </w:r>
      <w:r>
        <w:rPr>
          <w:rFonts w:ascii="Arial" w:eastAsia="Calibri" w:hAnsi="Arial" w:cs="Arial"/>
        </w:rPr>
        <w:t>................</w:t>
      </w:r>
      <w:r w:rsidR="00594FE1">
        <w:rPr>
          <w:rFonts w:ascii="Arial" w:eastAsia="Calibri" w:hAnsi="Arial" w:cs="Arial"/>
        </w:rPr>
        <w:t>...</w:t>
      </w:r>
      <w:r>
        <w:rPr>
          <w:rFonts w:ascii="Arial" w:eastAsia="Calibri" w:hAnsi="Arial" w:cs="Arial"/>
        </w:rPr>
        <w:t>..3</w:t>
      </w:r>
      <w:r w:rsidRPr="005840C6">
        <w:rPr>
          <w:rFonts w:ascii="Arial" w:eastAsia="Calibri" w:hAnsi="Arial" w:cs="Arial"/>
        </w:rPr>
        <w:br/>
      </w:r>
      <w:r w:rsidRPr="005840C6">
        <w:rPr>
          <w:rFonts w:ascii="Arial" w:eastAsia="Calibri" w:hAnsi="Arial" w:cs="Arial"/>
        </w:rPr>
        <w:br/>
        <w:t>2. Classification and Diagnosis</w:t>
      </w:r>
      <w:r w:rsidR="00CB0FBE">
        <w:rPr>
          <w:rFonts w:ascii="Arial" w:eastAsia="Calibri" w:hAnsi="Arial" w:cs="Arial"/>
        </w:rPr>
        <w:t>…….</w:t>
      </w:r>
      <w:r w:rsidRPr="005840C6">
        <w:rPr>
          <w:rFonts w:ascii="Arial" w:eastAsia="Calibri" w:hAnsi="Arial" w:cs="Arial"/>
        </w:rPr>
        <w:t xml:space="preserve"> ..............................................</w:t>
      </w:r>
      <w:r>
        <w:rPr>
          <w:rFonts w:ascii="Arial" w:eastAsia="Calibri" w:hAnsi="Arial" w:cs="Arial"/>
        </w:rPr>
        <w:t>......................................</w:t>
      </w:r>
      <w:r w:rsidR="00594FE1">
        <w:rPr>
          <w:rFonts w:ascii="Arial" w:eastAsia="Calibri" w:hAnsi="Arial" w:cs="Arial"/>
        </w:rPr>
        <w:t>...</w:t>
      </w:r>
      <w:r>
        <w:rPr>
          <w:rFonts w:ascii="Arial" w:eastAsia="Calibri" w:hAnsi="Arial" w:cs="Arial"/>
        </w:rPr>
        <w:t>.4</w:t>
      </w:r>
      <w:r w:rsidRPr="005840C6">
        <w:rPr>
          <w:rFonts w:ascii="Arial" w:eastAsia="Calibri" w:hAnsi="Arial" w:cs="Arial"/>
        </w:rPr>
        <w:br/>
      </w:r>
      <w:r w:rsidRPr="005840C6">
        <w:rPr>
          <w:rFonts w:ascii="Arial" w:eastAsia="Calibri" w:hAnsi="Arial" w:cs="Arial"/>
        </w:rPr>
        <w:br/>
        <w:t>3. Treatment Approaches</w:t>
      </w:r>
      <w:r w:rsidR="00CB0FBE">
        <w:rPr>
          <w:rFonts w:ascii="Arial" w:eastAsia="Calibri" w:hAnsi="Arial" w:cs="Arial"/>
        </w:rPr>
        <w:t>…….</w:t>
      </w:r>
      <w:r w:rsidRPr="005840C6">
        <w:rPr>
          <w:rFonts w:ascii="Arial" w:eastAsia="Calibri" w:hAnsi="Arial" w:cs="Arial"/>
        </w:rPr>
        <w:t xml:space="preserve"> ...............................</w:t>
      </w:r>
      <w:r w:rsidR="00594FE1">
        <w:rPr>
          <w:rFonts w:ascii="Arial" w:eastAsia="Calibri" w:hAnsi="Arial" w:cs="Arial"/>
        </w:rPr>
        <w:t>...........................................</w:t>
      </w:r>
      <w:r w:rsidRPr="005840C6">
        <w:rPr>
          <w:rFonts w:ascii="Arial" w:eastAsia="Calibri" w:hAnsi="Arial" w:cs="Arial"/>
        </w:rPr>
        <w:t xml:space="preserve">...................... </w:t>
      </w:r>
      <w:r w:rsidR="00AD7356">
        <w:rPr>
          <w:rFonts w:ascii="Arial" w:eastAsia="Calibri" w:hAnsi="Arial" w:cs="Arial"/>
        </w:rPr>
        <w:t>5</w:t>
      </w:r>
      <w:r w:rsidRPr="005840C6">
        <w:rPr>
          <w:rFonts w:ascii="Arial" w:eastAsia="Calibri" w:hAnsi="Arial" w:cs="Arial"/>
        </w:rPr>
        <w:br/>
      </w:r>
      <w:r w:rsidRPr="005840C6">
        <w:rPr>
          <w:rFonts w:ascii="Arial" w:eastAsia="Calibri" w:hAnsi="Arial" w:cs="Arial"/>
        </w:rPr>
        <w:br/>
        <w:t>4. Rehabilitatio</w:t>
      </w:r>
      <w:r w:rsidR="003A6B61">
        <w:rPr>
          <w:rFonts w:ascii="Arial" w:eastAsia="Calibri" w:hAnsi="Arial" w:cs="Arial"/>
        </w:rPr>
        <w:t>n,</w:t>
      </w:r>
      <w:r w:rsidRPr="005840C6">
        <w:rPr>
          <w:rFonts w:ascii="Arial" w:eastAsia="Calibri" w:hAnsi="Arial" w:cs="Arial"/>
        </w:rPr>
        <w:t xml:space="preserve"> Long</w:t>
      </w:r>
      <w:r w:rsidR="007E1739">
        <w:rPr>
          <w:rFonts w:ascii="Arial" w:eastAsia="Calibri" w:hAnsi="Arial" w:cs="Arial"/>
        </w:rPr>
        <w:t xml:space="preserve"> -</w:t>
      </w:r>
      <w:r w:rsidR="009203A5">
        <w:rPr>
          <w:rFonts w:ascii="Arial" w:eastAsia="Calibri" w:hAnsi="Arial" w:cs="Arial"/>
        </w:rPr>
        <w:t>-</w:t>
      </w:r>
      <w:r w:rsidR="007E1739">
        <w:rPr>
          <w:rFonts w:ascii="Arial" w:eastAsia="Calibri" w:hAnsi="Arial" w:cs="Arial"/>
        </w:rPr>
        <w:t>T</w:t>
      </w:r>
      <w:r w:rsidRPr="005840C6">
        <w:rPr>
          <w:rFonts w:ascii="Arial" w:eastAsia="Calibri" w:hAnsi="Arial" w:cs="Arial"/>
        </w:rPr>
        <w:t>erm Management</w:t>
      </w:r>
      <w:r w:rsidR="003A6B61">
        <w:rPr>
          <w:rFonts w:ascii="Arial" w:eastAsia="Calibri" w:hAnsi="Arial" w:cs="Arial"/>
        </w:rPr>
        <w:t xml:space="preserve"> and Legal Framework</w:t>
      </w:r>
      <w:r w:rsidRPr="005840C6">
        <w:rPr>
          <w:rFonts w:ascii="Arial" w:eastAsia="Calibri" w:hAnsi="Arial" w:cs="Arial"/>
        </w:rPr>
        <w:t>.............</w:t>
      </w:r>
      <w:r w:rsidR="00594FE1">
        <w:rPr>
          <w:rFonts w:ascii="Arial" w:eastAsia="Calibri" w:hAnsi="Arial" w:cs="Arial"/>
        </w:rPr>
        <w:t>............................</w:t>
      </w:r>
      <w:r w:rsidR="00AD7356">
        <w:rPr>
          <w:rFonts w:ascii="Arial" w:eastAsia="Calibri" w:hAnsi="Arial" w:cs="Arial"/>
        </w:rPr>
        <w:t>6</w:t>
      </w:r>
      <w:r w:rsidRPr="005840C6">
        <w:rPr>
          <w:rFonts w:ascii="Arial" w:eastAsia="Calibri" w:hAnsi="Arial" w:cs="Arial"/>
        </w:rPr>
        <w:br/>
      </w:r>
      <w:r w:rsidRPr="005840C6">
        <w:rPr>
          <w:rFonts w:ascii="Arial" w:eastAsia="Calibri" w:hAnsi="Arial" w:cs="Arial"/>
        </w:rPr>
        <w:br/>
        <w:t>5. Current Debates and Emerging Issues ......................</w:t>
      </w:r>
      <w:r w:rsidR="00594FE1">
        <w:rPr>
          <w:rFonts w:ascii="Arial" w:eastAsia="Calibri" w:hAnsi="Arial" w:cs="Arial"/>
        </w:rPr>
        <w:t>...................................</w:t>
      </w:r>
      <w:r w:rsidRPr="005840C6">
        <w:rPr>
          <w:rFonts w:ascii="Arial" w:eastAsia="Calibri" w:hAnsi="Arial" w:cs="Arial"/>
        </w:rPr>
        <w:t>..............</w:t>
      </w:r>
      <w:r w:rsidR="00594FE1">
        <w:rPr>
          <w:rFonts w:ascii="Arial" w:eastAsia="Calibri" w:hAnsi="Arial" w:cs="Arial"/>
        </w:rPr>
        <w:t>.......</w:t>
      </w:r>
      <w:r w:rsidRPr="005840C6">
        <w:rPr>
          <w:rFonts w:ascii="Arial" w:eastAsia="Calibri" w:hAnsi="Arial" w:cs="Arial"/>
        </w:rPr>
        <w:t xml:space="preserve">. </w:t>
      </w:r>
      <w:r w:rsidR="00AD7356">
        <w:rPr>
          <w:rFonts w:ascii="Arial" w:eastAsia="Calibri" w:hAnsi="Arial" w:cs="Arial"/>
        </w:rPr>
        <w:t>7</w:t>
      </w:r>
      <w:r w:rsidRPr="005840C6">
        <w:rPr>
          <w:rFonts w:ascii="Arial" w:eastAsia="Calibri" w:hAnsi="Arial" w:cs="Arial"/>
        </w:rPr>
        <w:br/>
      </w:r>
      <w:r w:rsidRPr="005840C6">
        <w:rPr>
          <w:rFonts w:ascii="Arial" w:eastAsia="Calibri" w:hAnsi="Arial" w:cs="Arial"/>
        </w:rPr>
        <w:br/>
        <w:t>6. Recommendations ...................................</w:t>
      </w:r>
      <w:r w:rsidR="00594FE1">
        <w:rPr>
          <w:rFonts w:ascii="Arial" w:eastAsia="Calibri" w:hAnsi="Arial" w:cs="Arial"/>
        </w:rPr>
        <w:t>.............................................</w:t>
      </w:r>
      <w:r w:rsidRPr="005840C6">
        <w:rPr>
          <w:rFonts w:ascii="Arial" w:eastAsia="Calibri" w:hAnsi="Arial" w:cs="Arial"/>
        </w:rPr>
        <w:t>.......................</w:t>
      </w:r>
      <w:r w:rsidR="00594FE1">
        <w:rPr>
          <w:rFonts w:ascii="Arial" w:eastAsia="Calibri" w:hAnsi="Arial" w:cs="Arial"/>
        </w:rPr>
        <w:t>.......</w:t>
      </w:r>
      <w:r w:rsidRPr="005840C6">
        <w:rPr>
          <w:rFonts w:ascii="Arial" w:eastAsia="Calibri" w:hAnsi="Arial" w:cs="Arial"/>
        </w:rPr>
        <w:t xml:space="preserve"> </w:t>
      </w:r>
      <w:r w:rsidR="00AD7356">
        <w:rPr>
          <w:rFonts w:ascii="Arial" w:eastAsia="Calibri" w:hAnsi="Arial" w:cs="Arial"/>
        </w:rPr>
        <w:t>8</w:t>
      </w:r>
      <w:r w:rsidRPr="005840C6">
        <w:rPr>
          <w:rFonts w:ascii="Arial" w:eastAsia="Calibri" w:hAnsi="Arial" w:cs="Arial"/>
        </w:rPr>
        <w:br/>
      </w:r>
      <w:r w:rsidRPr="005840C6">
        <w:rPr>
          <w:rFonts w:ascii="Arial" w:eastAsia="Calibri" w:hAnsi="Arial" w:cs="Arial"/>
        </w:rPr>
        <w:br/>
        <w:t>References ..........................................................</w:t>
      </w:r>
      <w:r w:rsidR="009330DA">
        <w:rPr>
          <w:rFonts w:ascii="Arial" w:eastAsia="Calibri" w:hAnsi="Arial" w:cs="Arial"/>
        </w:rPr>
        <w:t>....................................................</w:t>
      </w:r>
      <w:r w:rsidRPr="005840C6">
        <w:rPr>
          <w:rFonts w:ascii="Arial" w:eastAsia="Calibri" w:hAnsi="Arial" w:cs="Arial"/>
        </w:rPr>
        <w:t>........</w:t>
      </w:r>
      <w:r w:rsidR="00594FE1">
        <w:rPr>
          <w:rFonts w:ascii="Arial" w:eastAsia="Calibri" w:hAnsi="Arial" w:cs="Arial"/>
        </w:rPr>
        <w:t>......</w:t>
      </w:r>
      <w:r w:rsidRPr="005840C6">
        <w:rPr>
          <w:rFonts w:ascii="Arial" w:eastAsia="Calibri" w:hAnsi="Arial" w:cs="Arial"/>
        </w:rPr>
        <w:t xml:space="preserve">. </w:t>
      </w:r>
      <w:r w:rsidR="009330DA">
        <w:rPr>
          <w:rFonts w:ascii="Arial" w:eastAsia="Calibri" w:hAnsi="Arial" w:cs="Arial"/>
        </w:rPr>
        <w:t>9</w:t>
      </w:r>
    </w:p>
    <w:p w14:paraId="0372DDB5" w14:textId="465D5EEF" w:rsidR="007C553E" w:rsidRPr="00113B20" w:rsidRDefault="007C553E" w:rsidP="00594FE1">
      <w:pPr>
        <w:spacing w:after="400" w:line="360" w:lineRule="auto"/>
        <w:jc w:val="both"/>
        <w:rPr>
          <w:rFonts w:ascii="Arial" w:eastAsia="Calibri" w:hAnsi="Arial" w:cs="Arial"/>
          <w:sz w:val="24"/>
          <w:szCs w:val="24"/>
        </w:rPr>
      </w:pPr>
    </w:p>
    <w:p w14:paraId="51CFF8CC" w14:textId="77777777" w:rsidR="00113B20" w:rsidRDefault="00113B20" w:rsidP="00113B20">
      <w:pPr>
        <w:spacing w:after="400" w:line="360" w:lineRule="auto"/>
        <w:rPr>
          <w:rFonts w:ascii="Arial" w:eastAsia="Calibri" w:hAnsi="Arial" w:cs="Arial"/>
          <w:sz w:val="24"/>
          <w:szCs w:val="24"/>
        </w:rPr>
      </w:pPr>
    </w:p>
    <w:p w14:paraId="10D4E599" w14:textId="0B4A4B7C" w:rsidR="006650D2" w:rsidRDefault="006650D2" w:rsidP="00113B20">
      <w:pPr>
        <w:pStyle w:val="ListParagraph"/>
      </w:pPr>
    </w:p>
    <w:p w14:paraId="344511D2" w14:textId="77777777" w:rsidR="00234E8B" w:rsidRPr="006650D2" w:rsidRDefault="00234E8B" w:rsidP="006650D2">
      <w:pPr>
        <w:spacing w:after="100"/>
        <w:rPr>
          <w:rFonts w:ascii="Arial" w:eastAsia="Calibri" w:hAnsi="Arial" w:cs="Arial"/>
          <w:sz w:val="24"/>
          <w:szCs w:val="24"/>
        </w:rPr>
      </w:pPr>
    </w:p>
    <w:p w14:paraId="46717BDB" w14:textId="77777777" w:rsidR="006650D2" w:rsidRDefault="006650D2" w:rsidP="00F311D1">
      <w:pPr>
        <w:spacing w:after="100"/>
        <w:jc w:val="center"/>
        <w:rPr>
          <w:rFonts w:ascii="Arial" w:eastAsia="Calibri" w:hAnsi="Arial" w:cs="Arial"/>
          <w:b/>
          <w:bCs/>
          <w:sz w:val="32"/>
          <w:szCs w:val="32"/>
        </w:rPr>
      </w:pPr>
    </w:p>
    <w:p w14:paraId="225F7846" w14:textId="77777777" w:rsidR="00CB53BB" w:rsidRDefault="00CB53BB" w:rsidP="00F311D1">
      <w:pPr>
        <w:spacing w:after="100"/>
        <w:jc w:val="center"/>
        <w:rPr>
          <w:rFonts w:ascii="Arial" w:eastAsia="Calibri" w:hAnsi="Arial" w:cs="Arial"/>
          <w:b/>
          <w:bCs/>
          <w:sz w:val="32"/>
          <w:szCs w:val="32"/>
        </w:rPr>
      </w:pPr>
    </w:p>
    <w:p w14:paraId="7D8436E9" w14:textId="77777777" w:rsidR="00937386" w:rsidRDefault="00937386" w:rsidP="00805AD9">
      <w:pPr>
        <w:spacing w:after="100"/>
        <w:jc w:val="center"/>
        <w:rPr>
          <w:rFonts w:ascii="Arial" w:eastAsia="Calibri" w:hAnsi="Arial" w:cs="Arial"/>
          <w:b/>
          <w:bCs/>
          <w:sz w:val="32"/>
          <w:szCs w:val="32"/>
        </w:rPr>
      </w:pPr>
    </w:p>
    <w:p w14:paraId="08575D1A" w14:textId="77777777" w:rsidR="00937386" w:rsidRDefault="00937386" w:rsidP="00805AD9">
      <w:pPr>
        <w:spacing w:after="100"/>
        <w:jc w:val="center"/>
        <w:rPr>
          <w:rFonts w:ascii="Arial" w:eastAsia="Calibri" w:hAnsi="Arial" w:cs="Arial"/>
          <w:b/>
          <w:bCs/>
          <w:sz w:val="32"/>
          <w:szCs w:val="32"/>
        </w:rPr>
      </w:pPr>
    </w:p>
    <w:p w14:paraId="5907E9E0" w14:textId="77777777" w:rsidR="00937386" w:rsidRDefault="00937386" w:rsidP="00805AD9">
      <w:pPr>
        <w:spacing w:after="100"/>
        <w:jc w:val="center"/>
        <w:rPr>
          <w:rFonts w:ascii="Arial" w:eastAsia="Calibri" w:hAnsi="Arial" w:cs="Arial"/>
          <w:b/>
          <w:bCs/>
          <w:sz w:val="32"/>
          <w:szCs w:val="32"/>
        </w:rPr>
      </w:pPr>
    </w:p>
    <w:p w14:paraId="54522C6F" w14:textId="77777777" w:rsidR="006650D2" w:rsidRDefault="006650D2" w:rsidP="00805AD9">
      <w:pPr>
        <w:spacing w:after="100"/>
        <w:jc w:val="center"/>
        <w:rPr>
          <w:rFonts w:ascii="Arial" w:eastAsia="Calibri" w:hAnsi="Arial" w:cs="Arial"/>
          <w:b/>
          <w:bCs/>
          <w:sz w:val="32"/>
          <w:szCs w:val="32"/>
        </w:rPr>
      </w:pPr>
    </w:p>
    <w:p w14:paraId="09F7E080" w14:textId="77777777" w:rsidR="006650D2" w:rsidRDefault="006650D2" w:rsidP="00805AD9">
      <w:pPr>
        <w:spacing w:after="100"/>
        <w:jc w:val="center"/>
        <w:rPr>
          <w:rFonts w:ascii="Arial" w:eastAsia="Calibri" w:hAnsi="Arial" w:cs="Arial"/>
          <w:b/>
          <w:bCs/>
          <w:sz w:val="32"/>
          <w:szCs w:val="32"/>
        </w:rPr>
      </w:pPr>
    </w:p>
    <w:p w14:paraId="2542E476" w14:textId="77777777" w:rsidR="006650D2" w:rsidRDefault="006650D2" w:rsidP="00805AD9">
      <w:pPr>
        <w:spacing w:after="100"/>
        <w:jc w:val="center"/>
        <w:rPr>
          <w:rFonts w:ascii="Arial" w:eastAsia="Calibri" w:hAnsi="Arial" w:cs="Arial"/>
          <w:b/>
          <w:bCs/>
          <w:sz w:val="32"/>
          <w:szCs w:val="32"/>
        </w:rPr>
      </w:pPr>
    </w:p>
    <w:p w14:paraId="6E652504" w14:textId="77777777" w:rsidR="00BA18B3" w:rsidRDefault="00BA18B3" w:rsidP="00805AD9">
      <w:pPr>
        <w:spacing w:after="100"/>
        <w:jc w:val="center"/>
        <w:rPr>
          <w:rFonts w:ascii="Arial" w:eastAsia="Calibri" w:hAnsi="Arial" w:cs="Arial"/>
          <w:b/>
          <w:bCs/>
          <w:sz w:val="32"/>
          <w:szCs w:val="32"/>
        </w:rPr>
      </w:pPr>
    </w:p>
    <w:p w14:paraId="0670DB6E" w14:textId="77777777" w:rsidR="00594FE1" w:rsidRDefault="00594FE1" w:rsidP="00805AD9">
      <w:pPr>
        <w:spacing w:after="100"/>
        <w:jc w:val="center"/>
        <w:rPr>
          <w:rFonts w:ascii="Arial" w:eastAsia="Calibri" w:hAnsi="Arial" w:cs="Arial"/>
          <w:b/>
          <w:bCs/>
          <w:sz w:val="32"/>
          <w:szCs w:val="32"/>
        </w:rPr>
      </w:pPr>
    </w:p>
    <w:p w14:paraId="650F7434" w14:textId="77777777" w:rsidR="00BA18B3" w:rsidRDefault="00BA18B3" w:rsidP="00805AD9">
      <w:pPr>
        <w:spacing w:after="100"/>
        <w:jc w:val="center"/>
        <w:rPr>
          <w:rFonts w:ascii="Arial" w:eastAsia="Calibri" w:hAnsi="Arial" w:cs="Arial"/>
          <w:b/>
          <w:bCs/>
          <w:sz w:val="32"/>
          <w:szCs w:val="32"/>
        </w:rPr>
      </w:pPr>
    </w:p>
    <w:p w14:paraId="50A99563" w14:textId="77777777" w:rsidR="00BA18B3" w:rsidRDefault="00BA18B3" w:rsidP="00805AD9">
      <w:pPr>
        <w:spacing w:after="100"/>
        <w:jc w:val="center"/>
        <w:rPr>
          <w:rFonts w:ascii="Arial" w:eastAsia="Calibri" w:hAnsi="Arial" w:cs="Arial"/>
          <w:b/>
          <w:bCs/>
          <w:sz w:val="32"/>
          <w:szCs w:val="32"/>
        </w:rPr>
      </w:pPr>
    </w:p>
    <w:p w14:paraId="3846571B" w14:textId="77777777" w:rsidR="006650D2" w:rsidRDefault="006650D2" w:rsidP="00805AD9">
      <w:pPr>
        <w:spacing w:after="100"/>
        <w:jc w:val="center"/>
        <w:rPr>
          <w:rFonts w:ascii="Arial" w:eastAsia="Calibri" w:hAnsi="Arial" w:cs="Arial"/>
          <w:b/>
          <w:bCs/>
          <w:sz w:val="32"/>
          <w:szCs w:val="32"/>
        </w:rPr>
      </w:pPr>
    </w:p>
    <w:p w14:paraId="558C75EE" w14:textId="77777777" w:rsidR="006650D2" w:rsidRDefault="006650D2" w:rsidP="005840C6">
      <w:pPr>
        <w:spacing w:after="100"/>
        <w:rPr>
          <w:rFonts w:ascii="Arial" w:eastAsia="Calibri" w:hAnsi="Arial" w:cs="Arial"/>
          <w:b/>
          <w:bCs/>
          <w:sz w:val="32"/>
          <w:szCs w:val="32"/>
        </w:rPr>
      </w:pPr>
    </w:p>
    <w:p w14:paraId="4CD3706A" w14:textId="77777777" w:rsidR="00805AD9" w:rsidRDefault="00805AD9" w:rsidP="00805AD9">
      <w:pPr>
        <w:spacing w:after="400" w:line="360" w:lineRule="auto"/>
        <w:jc w:val="center"/>
        <w:rPr>
          <w:rFonts w:ascii="Arial" w:eastAsia="Calibri" w:hAnsi="Arial" w:cs="Arial"/>
          <w:i/>
          <w:iCs/>
        </w:rPr>
      </w:pPr>
      <w:r w:rsidRPr="007A4B30">
        <w:rPr>
          <w:rFonts w:ascii="Arial" w:eastAsia="Calibri" w:hAnsi="Arial" w:cs="Arial"/>
          <w:i/>
          <w:iCs/>
          <w:sz w:val="24"/>
          <w:szCs w:val="24"/>
        </w:rPr>
        <w:lastRenderedPageBreak/>
        <w:t xml:space="preserve">A Critical Examination Within the ICD-11 Paraphilic Disorders Category and UK Clinical, </w:t>
      </w:r>
      <w:r w:rsidRPr="007A4B30">
        <w:rPr>
          <w:rFonts w:ascii="Arial" w:eastAsia="Calibri" w:hAnsi="Arial" w:cs="Arial"/>
          <w:i/>
          <w:iCs/>
        </w:rPr>
        <w:t>Legal, and Policy Context</w:t>
      </w:r>
    </w:p>
    <w:p w14:paraId="171A0538" w14:textId="4594E064" w:rsidR="00FC2AE4" w:rsidRDefault="00FC2AE4" w:rsidP="009D34AC">
      <w:pPr>
        <w:pStyle w:val="ListParagraph"/>
        <w:numPr>
          <w:ilvl w:val="0"/>
          <w:numId w:val="2"/>
        </w:numPr>
        <w:spacing w:after="400" w:line="360" w:lineRule="auto"/>
        <w:rPr>
          <w:rFonts w:ascii="Arial" w:eastAsia="Calibri" w:hAnsi="Arial" w:cs="Arial"/>
          <w:b/>
          <w:bCs/>
        </w:rPr>
      </w:pPr>
      <w:r w:rsidRPr="00234E8B">
        <w:rPr>
          <w:rFonts w:ascii="Arial" w:eastAsia="Calibri" w:hAnsi="Arial" w:cs="Arial"/>
          <w:b/>
          <w:bCs/>
        </w:rPr>
        <w:t>Introduction</w:t>
      </w:r>
    </w:p>
    <w:p w14:paraId="56B7E54B" w14:textId="677CEC4E" w:rsidR="00580F4A" w:rsidRPr="00580F4A" w:rsidRDefault="00580F4A" w:rsidP="00580F4A">
      <w:pPr>
        <w:spacing w:after="400" w:line="360" w:lineRule="auto"/>
        <w:jc w:val="both"/>
        <w:rPr>
          <w:rFonts w:ascii="Arial" w:eastAsia="Calibri" w:hAnsi="Arial" w:cs="Arial"/>
        </w:rPr>
      </w:pPr>
      <w:r w:rsidRPr="00580F4A">
        <w:rPr>
          <w:rFonts w:ascii="Arial" w:eastAsia="Calibri" w:hAnsi="Arial" w:cs="Arial"/>
        </w:rPr>
        <w:t xml:space="preserve">Paedophilic Disorder is one of six conditions grouped under "Paraphilic Disorders" in the International Classification of Diseases, Eleventh Revision (ICD-11). It is the most clinically and socially significant of these diagnoses, given its direct relevance to child protection, and has generated the largest body of treatment, rehabilitation, and classification debate within the category. In England and Wales, the Office for National Statistics (2024) estimates that 9.1% of adults, around 4.3 million people, experienced sexual abuse before age 18, and the Vulnerability Knowledge and Practice Programme (2024) recorded over 79,000 contact child sexual abuse and exploitation offences in a single year, alongside a rapidly growing number of non-contact offences. These figures place child sexual abuse among the most significant safeguarding concerns facing UK health and criminal justice systems. Understanding how </w:t>
      </w:r>
      <w:r w:rsidR="00DA4D13" w:rsidRPr="00580F4A">
        <w:rPr>
          <w:rFonts w:ascii="Arial" w:eastAsia="Calibri" w:hAnsi="Arial" w:cs="Arial"/>
        </w:rPr>
        <w:t>Paedophilic</w:t>
      </w:r>
      <w:r w:rsidRPr="00580F4A">
        <w:rPr>
          <w:rFonts w:ascii="Arial" w:eastAsia="Calibri" w:hAnsi="Arial" w:cs="Arial"/>
        </w:rPr>
        <w:t xml:space="preserve"> Disorder is classified, diagnosed, treated, and managed therefore carries substantial public health and safeguarding importance, not merely clinical significance. This report examines </w:t>
      </w:r>
      <w:r w:rsidR="00DA4D13" w:rsidRPr="00580F4A">
        <w:rPr>
          <w:rFonts w:ascii="Arial" w:eastAsia="Calibri" w:hAnsi="Arial" w:cs="Arial"/>
        </w:rPr>
        <w:t>Paedophilic</w:t>
      </w:r>
      <w:r w:rsidRPr="00580F4A">
        <w:rPr>
          <w:rFonts w:ascii="Arial" w:eastAsia="Calibri" w:hAnsi="Arial" w:cs="Arial"/>
        </w:rPr>
        <w:t xml:space="preserve"> Disorder within the ICD-11 classification and diagnostic framework in UK clinical settings, evaluates treatment and rehabilitation within NHS and forensic practice, and considers debates around neurodevelopmental framing, terminology, and UK legal frameworks, before offering evidence-based recommendations for practice, policy, and research.</w:t>
      </w:r>
    </w:p>
    <w:p w14:paraId="731EDE84" w14:textId="0AE482B8" w:rsidR="005D1E71" w:rsidRPr="009D34AC" w:rsidRDefault="005D1E71" w:rsidP="009D34AC">
      <w:pPr>
        <w:pStyle w:val="ListParagraph"/>
        <w:numPr>
          <w:ilvl w:val="0"/>
          <w:numId w:val="2"/>
        </w:numPr>
        <w:spacing w:after="400" w:line="360" w:lineRule="auto"/>
        <w:rPr>
          <w:rFonts w:ascii="Arial" w:eastAsia="Calibri" w:hAnsi="Arial" w:cs="Arial"/>
          <w:b/>
          <w:bCs/>
        </w:rPr>
      </w:pPr>
      <w:r w:rsidRPr="009D34AC">
        <w:rPr>
          <w:rFonts w:ascii="Arial" w:eastAsia="Calibri" w:hAnsi="Arial" w:cs="Arial"/>
          <w:b/>
          <w:bCs/>
        </w:rPr>
        <w:t xml:space="preserve">Classification and </w:t>
      </w:r>
      <w:r w:rsidR="00B4794A" w:rsidRPr="009D34AC">
        <w:rPr>
          <w:rFonts w:ascii="Arial" w:eastAsia="Calibri" w:hAnsi="Arial" w:cs="Arial"/>
          <w:b/>
          <w:bCs/>
        </w:rPr>
        <w:t>D</w:t>
      </w:r>
      <w:r w:rsidRPr="009D34AC">
        <w:rPr>
          <w:rFonts w:ascii="Arial" w:eastAsia="Calibri" w:hAnsi="Arial" w:cs="Arial"/>
          <w:b/>
          <w:bCs/>
        </w:rPr>
        <w:t>iagnosis</w:t>
      </w:r>
    </w:p>
    <w:p w14:paraId="65B49C1C" w14:textId="146DF153" w:rsidR="006B2713" w:rsidRPr="007A4B30" w:rsidRDefault="006B2713" w:rsidP="006B2713">
      <w:pPr>
        <w:spacing w:after="200" w:line="360" w:lineRule="auto"/>
        <w:jc w:val="both"/>
        <w:rPr>
          <w:rFonts w:ascii="Arial" w:hAnsi="Arial" w:cs="Arial"/>
        </w:rPr>
      </w:pPr>
      <w:r w:rsidRPr="007A4B30">
        <w:rPr>
          <w:rFonts w:ascii="Arial" w:eastAsia="Calibri" w:hAnsi="Arial" w:cs="Arial"/>
        </w:rPr>
        <w:t xml:space="preserve">ICD-11 replaced the ICD-10 grouping "Disorders of sexual preference" with the narrower category "Paraphilic Disorders," restricting diagnosis to arousal patterns involving non-consenting others, marked distress not attributable to social rejection, or significant risk of injury or death. </w:t>
      </w:r>
      <w:r w:rsidR="001D7E1B" w:rsidRPr="001D7E1B">
        <w:rPr>
          <w:rFonts w:ascii="Arial" w:eastAsia="Calibri" w:hAnsi="Arial" w:cs="Arial"/>
        </w:rPr>
        <w:t xml:space="preserve">Within ICD-11, </w:t>
      </w:r>
      <w:r w:rsidR="00DA4D13" w:rsidRPr="001D7E1B">
        <w:rPr>
          <w:rFonts w:ascii="Arial" w:eastAsia="Calibri" w:hAnsi="Arial" w:cs="Arial"/>
        </w:rPr>
        <w:t>Paedophilic</w:t>
      </w:r>
      <w:r w:rsidR="001D7E1B" w:rsidRPr="001D7E1B">
        <w:rPr>
          <w:rFonts w:ascii="Arial" w:eastAsia="Calibri" w:hAnsi="Arial" w:cs="Arial"/>
        </w:rPr>
        <w:t xml:space="preserve"> Disorder is coded 6D32, sitting under the Paraphilic Disorders block (6D30–6D3Z) alongside Exhibitionistic (6D30), Voyeuristic (6D31), Coercive Sexual Sadism (6D33), and Frotteuristic (6D34) Disorders.</w:t>
      </w:r>
      <w:r w:rsidR="001D7E1B">
        <w:rPr>
          <w:rFonts w:ascii="Arial" w:eastAsia="Calibri" w:hAnsi="Arial" w:cs="Arial"/>
        </w:rPr>
        <w:t xml:space="preserve"> </w:t>
      </w:r>
      <w:r w:rsidR="00DA4D13" w:rsidRPr="007A4B30">
        <w:rPr>
          <w:rFonts w:ascii="Arial" w:eastAsia="Calibri" w:hAnsi="Arial" w:cs="Arial"/>
        </w:rPr>
        <w:t>Paedophilic</w:t>
      </w:r>
      <w:r w:rsidRPr="007A4B30">
        <w:rPr>
          <w:rFonts w:ascii="Arial" w:eastAsia="Calibri" w:hAnsi="Arial" w:cs="Arial"/>
        </w:rPr>
        <w:t xml:space="preserve"> Disorder specifically requires a persistent, intense pattern of sexual arousal to prepubescent children, alongside either acting on this pattern or experiencing significant distress because of it (Krueger et al., 2017). The classification retains "disorder" rather than "illness" throughout, and </w:t>
      </w:r>
      <w:r>
        <w:rPr>
          <w:rFonts w:ascii="Arial" w:eastAsia="Calibri" w:hAnsi="Arial" w:cs="Arial"/>
        </w:rPr>
        <w:t>World Health Organization (</w:t>
      </w:r>
      <w:r w:rsidRPr="007A4B30">
        <w:rPr>
          <w:rFonts w:ascii="Arial" w:eastAsia="Calibri" w:hAnsi="Arial" w:cs="Arial"/>
        </w:rPr>
        <w:t>WHO</w:t>
      </w:r>
      <w:r>
        <w:rPr>
          <w:rFonts w:ascii="Arial" w:eastAsia="Calibri" w:hAnsi="Arial" w:cs="Arial"/>
        </w:rPr>
        <w:t xml:space="preserve">) </w:t>
      </w:r>
      <w:r w:rsidRPr="007A4B30">
        <w:rPr>
          <w:rFonts w:ascii="Arial" w:eastAsia="Calibri" w:hAnsi="Arial" w:cs="Arial"/>
        </w:rPr>
        <w:t>frames its entries as "diagnostic requirements" rather than fixed "criteria," reflecting an intention to guide clinical judgement (Reed et al., 2016).</w:t>
      </w:r>
    </w:p>
    <w:p w14:paraId="5CD5C725" w14:textId="77777777" w:rsidR="006B2713" w:rsidRPr="007A4B30" w:rsidRDefault="006B2713" w:rsidP="006B2713">
      <w:pPr>
        <w:spacing w:after="200" w:line="360" w:lineRule="auto"/>
        <w:jc w:val="both"/>
        <w:rPr>
          <w:rFonts w:ascii="Arial" w:hAnsi="Arial" w:cs="Arial"/>
        </w:rPr>
      </w:pPr>
      <w:r w:rsidRPr="007A4B30">
        <w:rPr>
          <w:rFonts w:ascii="Arial" w:eastAsia="Calibri" w:hAnsi="Arial" w:cs="Arial"/>
        </w:rPr>
        <w:lastRenderedPageBreak/>
        <w:t>In UK clinical settings, diagnostic processes differ markedly from the theoretical ICD-11 framework. Few patients present voluntarily; most are identified through the criminal justice system, and specific NHS treatment capacity is scarce, largely concentrated in specialist forensic psychotherapy services such as the Portman Clinic in London, part of the Tavistock and Portman NHS Foundation Trust. Patients frequently first present with comorbid anxiety, depression, or substance misuse, with the underlying paraphilia disclosed only during the course of therapy (</w:t>
      </w:r>
      <w:proofErr w:type="spellStart"/>
      <w:r w:rsidRPr="007A4B30">
        <w:rPr>
          <w:rFonts w:ascii="Arial" w:eastAsia="Calibri" w:hAnsi="Arial" w:cs="Arial"/>
        </w:rPr>
        <w:t>Yakeley</w:t>
      </w:r>
      <w:proofErr w:type="spellEnd"/>
      <w:r w:rsidRPr="007A4B30">
        <w:rPr>
          <w:rFonts w:ascii="Arial" w:eastAsia="Calibri" w:hAnsi="Arial" w:cs="Arial"/>
        </w:rPr>
        <w:t xml:space="preserve"> and Wood, 2014). This creates a substantial diagnostic bottleneck, compounded by long waiting times for the small number of specialist services able to conduct forensic psychosexual assessment, meaning many individuals with paedophilic interest are never formally assessed until after an offence has occurred.</w:t>
      </w:r>
    </w:p>
    <w:p w14:paraId="1045C2A4" w14:textId="6F4DC358" w:rsidR="006B2713" w:rsidRPr="007A4B30" w:rsidRDefault="006B2713" w:rsidP="006B2713">
      <w:pPr>
        <w:spacing w:after="200" w:line="360" w:lineRule="auto"/>
        <w:jc w:val="both"/>
        <w:rPr>
          <w:rFonts w:ascii="Arial" w:hAnsi="Arial" w:cs="Arial"/>
        </w:rPr>
      </w:pPr>
      <w:r w:rsidRPr="007A4B30">
        <w:rPr>
          <w:rFonts w:ascii="Arial" w:eastAsia="Calibri" w:hAnsi="Arial" w:cs="Arial"/>
        </w:rPr>
        <w:t xml:space="preserve">NICE has not issued a specific guideline for </w:t>
      </w:r>
      <w:r w:rsidR="00CF3842">
        <w:rPr>
          <w:rFonts w:ascii="Arial" w:eastAsia="Calibri" w:hAnsi="Arial" w:cs="Arial"/>
        </w:rPr>
        <w:t>pa</w:t>
      </w:r>
      <w:r w:rsidRPr="007A4B30">
        <w:rPr>
          <w:rFonts w:ascii="Arial" w:eastAsia="Calibri" w:hAnsi="Arial" w:cs="Arial"/>
        </w:rPr>
        <w:t xml:space="preserve">edophilic </w:t>
      </w:r>
      <w:r w:rsidR="00CF3842">
        <w:rPr>
          <w:rFonts w:ascii="Arial" w:eastAsia="Calibri" w:hAnsi="Arial" w:cs="Arial"/>
        </w:rPr>
        <w:t>d</w:t>
      </w:r>
      <w:r w:rsidRPr="007A4B30">
        <w:rPr>
          <w:rFonts w:ascii="Arial" w:eastAsia="Calibri" w:hAnsi="Arial" w:cs="Arial"/>
        </w:rPr>
        <w:t>isorder or paraphilic disorders in adults; its only closely related guidance, NG55, addresses harmful sexual behaviour among children and young people rather than adult diagnosis or treatment. This represents a notable policy gap: NHS clinicians assessing adults with paedophilic interest have no NICE-endorsed diagnostic pathway to follow, unlike for most other named mental disorders, and must rely on generic forensic psychiatric practice and international literature.</w:t>
      </w:r>
    </w:p>
    <w:p w14:paraId="5F48CC24" w14:textId="118D96FA" w:rsidR="006B2713" w:rsidRPr="007A4B30" w:rsidRDefault="006B2713" w:rsidP="006B2713">
      <w:pPr>
        <w:spacing w:after="200" w:line="360" w:lineRule="auto"/>
        <w:jc w:val="both"/>
        <w:rPr>
          <w:rFonts w:ascii="Arial" w:hAnsi="Arial" w:cs="Arial"/>
        </w:rPr>
      </w:pPr>
      <w:r w:rsidRPr="007A4B30">
        <w:rPr>
          <w:rFonts w:ascii="Arial" w:eastAsia="Calibri" w:hAnsi="Arial" w:cs="Arial"/>
        </w:rPr>
        <w:t xml:space="preserve">Debate over language mirrors the broader paraphilic disorders category. ICD-11's retention of "disorder" for </w:t>
      </w:r>
      <w:r w:rsidR="00AA3437">
        <w:rPr>
          <w:rFonts w:ascii="Arial" w:eastAsia="Calibri" w:hAnsi="Arial" w:cs="Arial"/>
        </w:rPr>
        <w:t>p</w:t>
      </w:r>
      <w:r w:rsidR="00AA3437" w:rsidRPr="007A4B30">
        <w:rPr>
          <w:rFonts w:ascii="Arial" w:eastAsia="Calibri" w:hAnsi="Arial" w:cs="Arial"/>
        </w:rPr>
        <w:t>aedophilic</w:t>
      </w:r>
      <w:r w:rsidRPr="007A4B30">
        <w:rPr>
          <w:rFonts w:ascii="Arial" w:eastAsia="Calibri" w:hAnsi="Arial" w:cs="Arial"/>
        </w:rPr>
        <w:t xml:space="preserve"> </w:t>
      </w:r>
      <w:r w:rsidR="00AA3437">
        <w:rPr>
          <w:rFonts w:ascii="Arial" w:eastAsia="Calibri" w:hAnsi="Arial" w:cs="Arial"/>
        </w:rPr>
        <w:t>d</w:t>
      </w:r>
      <w:r w:rsidRPr="007A4B30">
        <w:rPr>
          <w:rFonts w:ascii="Arial" w:eastAsia="Calibri" w:hAnsi="Arial" w:cs="Arial"/>
        </w:rPr>
        <w:t>isorder, while removing several consensual paraphilias from codable status altogether, signals that the diagnosis is defined by harm and lack of consent rather than by atypicality of arousal alone. This has direct diagnostic consequences in the UK: an assessing clinician must establish not merely the presence of paedophilic arousal, but distress or behaviour meeting the ICD-11 threshold, which in practice usually means evidence of offending or attempted offending.</w:t>
      </w:r>
    </w:p>
    <w:p w14:paraId="1ADB2F5C" w14:textId="6FFF90F2" w:rsidR="006B2713" w:rsidRPr="009D34AC" w:rsidRDefault="000C0C90" w:rsidP="009D34AC">
      <w:pPr>
        <w:pStyle w:val="ListParagraph"/>
        <w:numPr>
          <w:ilvl w:val="0"/>
          <w:numId w:val="2"/>
        </w:numPr>
        <w:spacing w:after="400" w:line="360" w:lineRule="auto"/>
        <w:rPr>
          <w:rFonts w:ascii="Arial" w:eastAsia="Calibri" w:hAnsi="Arial" w:cs="Arial"/>
          <w:b/>
          <w:bCs/>
        </w:rPr>
      </w:pPr>
      <w:r w:rsidRPr="009D34AC">
        <w:rPr>
          <w:rFonts w:ascii="Arial" w:eastAsia="Calibri" w:hAnsi="Arial" w:cs="Arial"/>
          <w:b/>
          <w:bCs/>
        </w:rPr>
        <w:t>Treatment and Approaches</w:t>
      </w:r>
    </w:p>
    <w:p w14:paraId="43B7B8D7" w14:textId="77777777" w:rsidR="009F6C56" w:rsidRPr="007A4B30" w:rsidRDefault="009F6C56" w:rsidP="009F6C56">
      <w:pPr>
        <w:spacing w:after="200" w:line="360" w:lineRule="auto"/>
        <w:jc w:val="both"/>
        <w:rPr>
          <w:rFonts w:ascii="Arial" w:hAnsi="Arial" w:cs="Arial"/>
        </w:rPr>
      </w:pPr>
      <w:r w:rsidRPr="007A4B30">
        <w:rPr>
          <w:rFonts w:ascii="Arial" w:eastAsia="Calibri" w:hAnsi="Arial" w:cs="Arial"/>
        </w:rPr>
        <w:t>Psychological treatment centres on cognitive behavioural therapy (CBT), typically delivered through relapse-prevention and Risk-Need-Responsivity (RNR) frameworks that match treatment intensity to assessed risk and target criminogenic needs empirically linked to reoffending. Comparative reviews credit RNR-based programming with measurable reductions in recidivism, but note its narrow focus on risk management can underplay the therapeutic relationship and personal strengths that support behaviour change. The Good Lives Model has been developed alongside RNR to address this critique, instead helping individuals build a prosocial, meaningful life rather than solely avoiding risk factors, though independent outcome evidence for this approach remains more limited (Lutz et al., 2022).</w:t>
      </w:r>
    </w:p>
    <w:p w14:paraId="7A3AFA20" w14:textId="77777777" w:rsidR="009F6C56" w:rsidRPr="007A4B30" w:rsidRDefault="009F6C56" w:rsidP="009F6C56">
      <w:pPr>
        <w:spacing w:after="200" w:line="360" w:lineRule="auto"/>
        <w:jc w:val="both"/>
        <w:rPr>
          <w:rFonts w:ascii="Arial" w:hAnsi="Arial" w:cs="Arial"/>
        </w:rPr>
      </w:pPr>
      <w:r w:rsidRPr="007A4B30">
        <w:rPr>
          <w:rFonts w:ascii="Arial" w:eastAsia="Calibri" w:hAnsi="Arial" w:cs="Arial"/>
        </w:rPr>
        <w:lastRenderedPageBreak/>
        <w:t>Pharmacologically, selective serotonin reuptake inhibitors are sometimes prescribed on the basis of serotonergic involvement in impulse control, though supporting evidence is largely limited to case reports. Antiandrogens and gonadotropin-releasing hormone (GnRH) agonists have a stronger evidence base for reducing sexual drive and fantasy frequency, but systematic reviews consistently highlight poor trial quality, few placebo-controlled studies, inconsistent outcome measures, and significant side effects including bone density loss and cardiovascular risk, meaning claims of high efficacy should be treated cautiously (</w:t>
      </w:r>
      <w:proofErr w:type="spellStart"/>
      <w:r w:rsidRPr="007A4B30">
        <w:rPr>
          <w:rFonts w:ascii="Arial" w:eastAsia="Calibri" w:hAnsi="Arial" w:cs="Arial"/>
        </w:rPr>
        <w:t>Culos</w:t>
      </w:r>
      <w:proofErr w:type="spellEnd"/>
      <w:r w:rsidRPr="007A4B30">
        <w:rPr>
          <w:rFonts w:ascii="Arial" w:eastAsia="Calibri" w:hAnsi="Arial" w:cs="Arial"/>
        </w:rPr>
        <w:t xml:space="preserve">, Di Grazia and </w:t>
      </w:r>
      <w:proofErr w:type="spellStart"/>
      <w:r w:rsidRPr="007A4B30">
        <w:rPr>
          <w:rFonts w:ascii="Arial" w:eastAsia="Calibri" w:hAnsi="Arial" w:cs="Arial"/>
        </w:rPr>
        <w:t>Meneguzzo</w:t>
      </w:r>
      <w:proofErr w:type="spellEnd"/>
      <w:r w:rsidRPr="007A4B30">
        <w:rPr>
          <w:rFonts w:ascii="Arial" w:eastAsia="Calibri" w:hAnsi="Arial" w:cs="Arial"/>
        </w:rPr>
        <w:t>, 2024). Combination therapy integrating psychological and pharmacological approaches is generally reported as superior to either alone, though robust UK-based comparative trials remain scarce.</w:t>
      </w:r>
    </w:p>
    <w:p w14:paraId="439A9EA7" w14:textId="77777777" w:rsidR="009F6C56" w:rsidRDefault="009F6C56" w:rsidP="009F6C56">
      <w:pPr>
        <w:spacing w:after="200" w:line="360" w:lineRule="auto"/>
        <w:jc w:val="both"/>
        <w:rPr>
          <w:rFonts w:ascii="Arial" w:eastAsia="Calibri" w:hAnsi="Arial" w:cs="Arial"/>
        </w:rPr>
      </w:pPr>
      <w:r w:rsidRPr="007A4B30">
        <w:rPr>
          <w:rFonts w:ascii="Arial" w:eastAsia="Calibri" w:hAnsi="Arial" w:cs="Arial"/>
        </w:rPr>
        <w:t>Within the NHS, treatment access is a significant limitation. Specific services for legal or non-offending presentations of paraphilia are scarce; patients may be treated in general psychosexual clinics or psychotherapy departments, with only a small number referred to specialised forensic psychotherapy services such as the Portman Clinic, part of the Tavistock and Portman NHS Foundation Trust in London (</w:t>
      </w:r>
      <w:proofErr w:type="spellStart"/>
      <w:r w:rsidRPr="007A4B30">
        <w:rPr>
          <w:rFonts w:ascii="Arial" w:eastAsia="Calibri" w:hAnsi="Arial" w:cs="Arial"/>
        </w:rPr>
        <w:t>Yakeley</w:t>
      </w:r>
      <w:proofErr w:type="spellEnd"/>
      <w:r w:rsidRPr="007A4B30">
        <w:rPr>
          <w:rFonts w:ascii="Arial" w:eastAsia="Calibri" w:hAnsi="Arial" w:cs="Arial"/>
        </w:rPr>
        <w:t xml:space="preserve"> and Wood, 2014). Notably, NHS Improving Access to Psychological Therapies (IAPT) services, the main route to psychological therapy for common mental disorders such as anxiety and depression, are not designed for or generally accessible to individuals presenting with paedophilic interest, leaving a substantial gap in mainstream NHS provision for those outside forensic or specialist pathways. Prescribing of antiandrogens and GnRH agonists in the UK requires specialist psychiatric endorsement and careful ongoing monitoring given endocrine and bone density risks, restricting this treatment route to the small number of clinicians experienced in its use. Overall, UK treatment access is best characterised as fragmented, London-centric, and heavily reliant on a handful of specialist centres, with limited alternative provision for individuals who are not already within the criminal justice system and who may struggle to access help voluntarily.</w:t>
      </w:r>
    </w:p>
    <w:p w14:paraId="0D8F49D5" w14:textId="7DA4B8AD" w:rsidR="00D55A3B" w:rsidRPr="009D34AC" w:rsidRDefault="00D55A3B" w:rsidP="009D34AC">
      <w:pPr>
        <w:pStyle w:val="ListParagraph"/>
        <w:numPr>
          <w:ilvl w:val="0"/>
          <w:numId w:val="2"/>
        </w:numPr>
        <w:spacing w:after="200" w:line="360" w:lineRule="auto"/>
        <w:jc w:val="both"/>
        <w:rPr>
          <w:rFonts w:ascii="Arial" w:eastAsia="Calibri" w:hAnsi="Arial" w:cs="Arial"/>
          <w:b/>
          <w:bCs/>
        </w:rPr>
      </w:pPr>
      <w:r w:rsidRPr="009D34AC">
        <w:rPr>
          <w:rFonts w:ascii="Arial" w:eastAsia="Calibri" w:hAnsi="Arial" w:cs="Arial"/>
          <w:b/>
          <w:bCs/>
        </w:rPr>
        <w:t>Rehabilitation</w:t>
      </w:r>
      <w:r w:rsidR="001E7855">
        <w:rPr>
          <w:rFonts w:ascii="Arial" w:eastAsia="Calibri" w:hAnsi="Arial" w:cs="Arial"/>
          <w:b/>
          <w:bCs/>
        </w:rPr>
        <w:t>,</w:t>
      </w:r>
      <w:r w:rsidRPr="009D34AC">
        <w:rPr>
          <w:rFonts w:ascii="Arial" w:eastAsia="Calibri" w:hAnsi="Arial" w:cs="Arial"/>
          <w:b/>
          <w:bCs/>
        </w:rPr>
        <w:t xml:space="preserve"> Long – </w:t>
      </w:r>
      <w:r w:rsidR="001E7855">
        <w:rPr>
          <w:rFonts w:ascii="Arial" w:eastAsia="Calibri" w:hAnsi="Arial" w:cs="Arial"/>
          <w:b/>
          <w:bCs/>
        </w:rPr>
        <w:t>T</w:t>
      </w:r>
      <w:r w:rsidRPr="009D34AC">
        <w:rPr>
          <w:rFonts w:ascii="Arial" w:eastAsia="Calibri" w:hAnsi="Arial" w:cs="Arial"/>
          <w:b/>
          <w:bCs/>
        </w:rPr>
        <w:t>erm Management</w:t>
      </w:r>
      <w:r w:rsidR="001E7855">
        <w:rPr>
          <w:rFonts w:ascii="Arial" w:eastAsia="Calibri" w:hAnsi="Arial" w:cs="Arial"/>
          <w:b/>
          <w:bCs/>
        </w:rPr>
        <w:t xml:space="preserve"> and Legal Framework</w:t>
      </w:r>
    </w:p>
    <w:p w14:paraId="70B76E12" w14:textId="2829FC63" w:rsidR="005365E3" w:rsidRPr="007A4B30" w:rsidRDefault="005365E3" w:rsidP="005365E3">
      <w:pPr>
        <w:spacing w:after="200" w:line="360" w:lineRule="auto"/>
        <w:jc w:val="both"/>
        <w:rPr>
          <w:rFonts w:ascii="Arial" w:hAnsi="Arial" w:cs="Arial"/>
        </w:rPr>
      </w:pPr>
      <w:r w:rsidRPr="007A4B30">
        <w:rPr>
          <w:rFonts w:ascii="Arial" w:eastAsia="Calibri" w:hAnsi="Arial" w:cs="Arial"/>
        </w:rPr>
        <w:t xml:space="preserve">ICD-11 itself is largely silent on rehabilitation, setting diagnostic boundaries but leaving treatment and management pathways to national systems. In UK practice, statutory rehabilitation operates primarily through the Mental Health Act 1983, as amended in 2007. Offenders may be made subject to a hospital order (Section 37) and, where the court considers public protection necessary, a restriction order (Section 41), with discharge decisions requiring Ministry of Justice or tribunal approval rather than resting solely with the treating clinician. The 2007 amendments replaced the earlier "treatability test," which required treatment to be likely to succeed, with an "appropriate medical treatment test," meaning detention now requires only that appropriate treatment is available, regardless of predicted outcome; this has direct </w:t>
      </w:r>
      <w:r w:rsidRPr="007A4B30">
        <w:rPr>
          <w:rFonts w:ascii="Arial" w:eastAsia="Calibri" w:hAnsi="Arial" w:cs="Arial"/>
        </w:rPr>
        <w:lastRenderedPageBreak/>
        <w:t xml:space="preserve">relevance for </w:t>
      </w:r>
      <w:r w:rsidR="000C5A77" w:rsidRPr="007A4B30">
        <w:rPr>
          <w:rFonts w:ascii="Arial" w:eastAsia="Calibri" w:hAnsi="Arial" w:cs="Arial"/>
        </w:rPr>
        <w:t>Pa</w:t>
      </w:r>
      <w:r w:rsidR="000C5A77">
        <w:rPr>
          <w:rFonts w:ascii="Arial" w:eastAsia="Calibri" w:hAnsi="Arial" w:cs="Arial"/>
        </w:rPr>
        <w:t>e</w:t>
      </w:r>
      <w:r w:rsidR="000C5A77" w:rsidRPr="007A4B30">
        <w:rPr>
          <w:rFonts w:ascii="Arial" w:eastAsia="Calibri" w:hAnsi="Arial" w:cs="Arial"/>
        </w:rPr>
        <w:t>dophilic</w:t>
      </w:r>
      <w:r w:rsidRPr="007A4B30">
        <w:rPr>
          <w:rFonts w:ascii="Arial" w:eastAsia="Calibri" w:hAnsi="Arial" w:cs="Arial"/>
        </w:rPr>
        <w:t xml:space="preserve"> Disorder, where treatment efficacy evidence remains contested and historically some tribunals questioned whether sexual deviancy alone constituted a treatable mental disorder. The Care Act 2014 separately governs social care support for such individuals following discharge, including needs assessments, safeguarding duties, and support to reintegrate safely into the community.</w:t>
      </w:r>
    </w:p>
    <w:p w14:paraId="4806A1FF" w14:textId="77777777" w:rsidR="005365E3" w:rsidRDefault="005365E3" w:rsidP="005365E3">
      <w:pPr>
        <w:spacing w:after="200" w:line="360" w:lineRule="auto"/>
        <w:jc w:val="both"/>
        <w:rPr>
          <w:rFonts w:ascii="Arial" w:eastAsia="Calibri" w:hAnsi="Arial" w:cs="Arial"/>
        </w:rPr>
      </w:pPr>
      <w:r w:rsidRPr="007A4B30">
        <w:rPr>
          <w:rFonts w:ascii="Arial" w:eastAsia="Calibri" w:hAnsi="Arial" w:cs="Arial"/>
        </w:rPr>
        <w:t xml:space="preserve">Community-based rehabilitation in the UK also draws heavily on charitable and voluntary provision alongside statutory services. The Lucy Faithfull Foundation runs the Stop It Now! UK and Ireland helpline, a confidential, anonymous service supporting both those worried about their own thoughts or behaviour towards children and concerned family members or professionals. This model parallels Germany's Prevention Project </w:t>
      </w:r>
      <w:proofErr w:type="spellStart"/>
      <w:r w:rsidRPr="007A4B30">
        <w:rPr>
          <w:rFonts w:ascii="Arial" w:eastAsia="Calibri" w:hAnsi="Arial" w:cs="Arial"/>
        </w:rPr>
        <w:t>Dunkelfeld</w:t>
      </w:r>
      <w:proofErr w:type="spellEnd"/>
      <w:r w:rsidRPr="007A4B30">
        <w:rPr>
          <w:rFonts w:ascii="Arial" w:eastAsia="Calibri" w:hAnsi="Arial" w:cs="Arial"/>
        </w:rPr>
        <w:t xml:space="preserve">, though a recent reappraisal found self-reported recidivism in comparable </w:t>
      </w:r>
      <w:proofErr w:type="spellStart"/>
      <w:r w:rsidRPr="007A4B30">
        <w:rPr>
          <w:rFonts w:ascii="Arial" w:eastAsia="Calibri" w:hAnsi="Arial" w:cs="Arial"/>
        </w:rPr>
        <w:t>Dunkelfeld</w:t>
      </w:r>
      <w:proofErr w:type="spellEnd"/>
      <w:r w:rsidRPr="007A4B30">
        <w:rPr>
          <w:rFonts w:ascii="Arial" w:eastAsia="Calibri" w:hAnsi="Arial" w:cs="Arial"/>
        </w:rPr>
        <w:t xml:space="preserve"> samples considerably higher than official conviction rates would suggest, underlining the difficulty of evaluating voluntary, non-forensic prevention services using conventional recidivism measures (von </w:t>
      </w:r>
      <w:proofErr w:type="spellStart"/>
      <w:r w:rsidRPr="007A4B30">
        <w:rPr>
          <w:rFonts w:ascii="Arial" w:eastAsia="Calibri" w:hAnsi="Arial" w:cs="Arial"/>
        </w:rPr>
        <w:t>Franqué</w:t>
      </w:r>
      <w:proofErr w:type="spellEnd"/>
      <w:r w:rsidRPr="007A4B30">
        <w:rPr>
          <w:rFonts w:ascii="Arial" w:eastAsia="Calibri" w:hAnsi="Arial" w:cs="Arial"/>
        </w:rPr>
        <w:t xml:space="preserve"> et al., 2023). The Circles of Support and Accountability approach used more widely in England and Wales pairs high-risk individuals with trained community volunteers; a Minnesota randomised controlled trial found it significantly reduced sexual recidivism (Duwe, 2018), and qualitative research suggests these effects operate through the relational trust volunteers provide during reintegration (Richards, 2022). The NHS Long Term Plan has signalled intent to strengthen community forensic provision, though ring-fenced investment in paraphilic disorder services remains limited relative to demand.</w:t>
      </w:r>
    </w:p>
    <w:p w14:paraId="130EC0BF" w14:textId="4CB27E2E" w:rsidR="001A574F" w:rsidRPr="009D34AC" w:rsidRDefault="001A574F" w:rsidP="009D34AC">
      <w:pPr>
        <w:pStyle w:val="ListParagraph"/>
        <w:numPr>
          <w:ilvl w:val="0"/>
          <w:numId w:val="2"/>
        </w:numPr>
        <w:spacing w:after="200" w:line="360" w:lineRule="auto"/>
        <w:jc w:val="both"/>
        <w:rPr>
          <w:rFonts w:ascii="Arial" w:eastAsia="Calibri" w:hAnsi="Arial" w:cs="Arial"/>
          <w:b/>
          <w:bCs/>
        </w:rPr>
      </w:pPr>
      <w:r w:rsidRPr="009D34AC">
        <w:rPr>
          <w:rFonts w:ascii="Arial" w:eastAsia="Calibri" w:hAnsi="Arial" w:cs="Arial"/>
          <w:b/>
          <w:bCs/>
        </w:rPr>
        <w:t>Current Debates and Emerging Issues</w:t>
      </w:r>
    </w:p>
    <w:p w14:paraId="0D90EE89" w14:textId="01753F5C" w:rsidR="003004B9" w:rsidRPr="007A4B30" w:rsidRDefault="003004B9" w:rsidP="003004B9">
      <w:pPr>
        <w:spacing w:after="200" w:line="360" w:lineRule="auto"/>
        <w:jc w:val="both"/>
        <w:rPr>
          <w:rFonts w:ascii="Arial" w:hAnsi="Arial" w:cs="Arial"/>
        </w:rPr>
      </w:pPr>
      <w:r w:rsidRPr="007A4B30">
        <w:rPr>
          <w:rFonts w:ascii="Arial" w:eastAsia="Calibri" w:hAnsi="Arial" w:cs="Arial"/>
        </w:rPr>
        <w:t xml:space="preserve">A prominent debate concerns whether </w:t>
      </w:r>
      <w:r w:rsidR="000C5A77" w:rsidRPr="007A4B30">
        <w:rPr>
          <w:rFonts w:ascii="Arial" w:eastAsia="Calibri" w:hAnsi="Arial" w:cs="Arial"/>
        </w:rPr>
        <w:t>Pa</w:t>
      </w:r>
      <w:r w:rsidR="000C5A77">
        <w:rPr>
          <w:rFonts w:ascii="Arial" w:eastAsia="Calibri" w:hAnsi="Arial" w:cs="Arial"/>
        </w:rPr>
        <w:t>e</w:t>
      </w:r>
      <w:r w:rsidR="000C5A77" w:rsidRPr="007A4B30">
        <w:rPr>
          <w:rFonts w:ascii="Arial" w:eastAsia="Calibri" w:hAnsi="Arial" w:cs="Arial"/>
        </w:rPr>
        <w:t>dophilic</w:t>
      </w:r>
      <w:r w:rsidRPr="007A4B30">
        <w:rPr>
          <w:rFonts w:ascii="Arial" w:eastAsia="Calibri" w:hAnsi="Arial" w:cs="Arial"/>
        </w:rPr>
        <w:t xml:space="preserve"> Disorder should be reframed within a neurodevelopmental model, aligning it with conditions more commonly associated with neurodivergence. A Swedish neuroimaging study of help-seeking men with the disorder reported structural brain differences consistent with early neurodevelopmental disruption (</w:t>
      </w:r>
      <w:proofErr w:type="spellStart"/>
      <w:r w:rsidRPr="007A4B30">
        <w:rPr>
          <w:rFonts w:ascii="Arial" w:eastAsia="Calibri" w:hAnsi="Arial" w:cs="Arial"/>
        </w:rPr>
        <w:t>Abé</w:t>
      </w:r>
      <w:proofErr w:type="spellEnd"/>
      <w:r w:rsidRPr="007A4B30">
        <w:rPr>
          <w:rFonts w:ascii="Arial" w:eastAsia="Calibri" w:hAnsi="Arial" w:cs="Arial"/>
        </w:rPr>
        <w:t xml:space="preserve"> et al., 2021). However, a large two-study online survey of self-identified community members with pe</w:t>
      </w:r>
      <w:r w:rsidR="004664EC">
        <w:rPr>
          <w:rFonts w:ascii="Arial" w:eastAsia="Calibri" w:hAnsi="Arial" w:cs="Arial"/>
        </w:rPr>
        <w:t>a</w:t>
      </w:r>
      <w:r w:rsidRPr="007A4B30">
        <w:rPr>
          <w:rFonts w:ascii="Arial" w:eastAsia="Calibri" w:hAnsi="Arial" w:cs="Arial"/>
        </w:rPr>
        <w:t>dohebephilic interest failed to replicate earlier findings linking height, intelligence, and handedness to attraction itself, finding these markers correlated more strongly with self-reported offending than with the attraction pattern (Jahnke et al., 2022). This matters for UK policy: uncritically adopting a neurodevelopmental or "disability" framing risks conflating attraction with offending in ways current evidence does not support.</w:t>
      </w:r>
    </w:p>
    <w:p w14:paraId="0C1BBE49" w14:textId="16B31434" w:rsidR="003004B9" w:rsidRPr="007A4B30" w:rsidRDefault="003004B9" w:rsidP="003004B9">
      <w:pPr>
        <w:spacing w:after="200" w:line="360" w:lineRule="auto"/>
        <w:jc w:val="both"/>
        <w:rPr>
          <w:rFonts w:ascii="Arial" w:hAnsi="Arial" w:cs="Arial"/>
        </w:rPr>
      </w:pPr>
      <w:r w:rsidRPr="007A4B30">
        <w:rPr>
          <w:rFonts w:ascii="Arial" w:eastAsia="Calibri" w:hAnsi="Arial" w:cs="Arial"/>
        </w:rPr>
        <w:t xml:space="preserve">This tension has a direct legal parallel in UK equality law. The Equality Act 2010 (Disability) Regulations 2010 explicitly exclude a tendency to physical or sexual abuse of other persons, exhibitionism, and voyeurism from counting as impairments for disability discrimination purposes, regardless of any underlying psychiatric diagnosis. Despite ICD-11 classifying </w:t>
      </w:r>
      <w:r w:rsidRPr="007A4B30">
        <w:rPr>
          <w:rFonts w:ascii="Arial" w:eastAsia="Calibri" w:hAnsi="Arial" w:cs="Arial"/>
        </w:rPr>
        <w:lastRenderedPageBreak/>
        <w:t>P</w:t>
      </w:r>
      <w:r w:rsidR="005B4F2C">
        <w:rPr>
          <w:rFonts w:ascii="Arial" w:eastAsia="Calibri" w:hAnsi="Arial" w:cs="Arial"/>
        </w:rPr>
        <w:t>a</w:t>
      </w:r>
      <w:r w:rsidRPr="007A4B30">
        <w:rPr>
          <w:rFonts w:ascii="Arial" w:eastAsia="Calibri" w:hAnsi="Arial" w:cs="Arial"/>
        </w:rPr>
        <w:t>edophilic Disorder as a mental disorder, individuals with this diagnosis therefore have no disability protection under UK law for the excluded behaviours themselves. This reflects a deliberate policy position that clinical classification should not extend to legal protection where public protection concerns are engaged, though it also means individuals seeking voluntary treatment cannot invoke disability rights to access NHS services more readily.</w:t>
      </w:r>
    </w:p>
    <w:p w14:paraId="1F5FB90F" w14:textId="77777777" w:rsidR="003004B9" w:rsidRPr="007A4B30" w:rsidRDefault="003004B9" w:rsidP="003004B9">
      <w:pPr>
        <w:spacing w:after="200" w:line="360" w:lineRule="auto"/>
        <w:jc w:val="both"/>
        <w:rPr>
          <w:rFonts w:ascii="Arial" w:hAnsi="Arial" w:cs="Arial"/>
        </w:rPr>
      </w:pPr>
      <w:r w:rsidRPr="007A4B30">
        <w:rPr>
          <w:rFonts w:ascii="Arial" w:eastAsia="Calibri" w:hAnsi="Arial" w:cs="Arial"/>
        </w:rPr>
        <w:t>A related debate concerns the terminology used in research and advocacy, particularly the term "minor-attracted person." A 2024 review found its adoption in academic scholarship draws on contested comparisons with sexual-minority identities, and that claims framing stigma as a primary driver of offending are empirically unsupported (Farmer, Salter and Woodlock, 2024). UK-based clinical research from the Portman Clinic, examining personality dysfunction among patients with paraphilic disorders, continues to inform this debate through NHS forensic psychotherapy caseloads rather than purely theoretical argument (</w:t>
      </w:r>
      <w:proofErr w:type="spellStart"/>
      <w:r w:rsidRPr="007A4B30">
        <w:rPr>
          <w:rFonts w:ascii="Arial" w:eastAsia="Calibri" w:hAnsi="Arial" w:cs="Arial"/>
        </w:rPr>
        <w:t>Yakeley</w:t>
      </w:r>
      <w:proofErr w:type="spellEnd"/>
      <w:r w:rsidRPr="007A4B30">
        <w:rPr>
          <w:rFonts w:ascii="Arial" w:eastAsia="Calibri" w:hAnsi="Arial" w:cs="Arial"/>
        </w:rPr>
        <w:t xml:space="preserve"> et al., 2025).</w:t>
      </w:r>
    </w:p>
    <w:p w14:paraId="364B3351" w14:textId="77777777" w:rsidR="003004B9" w:rsidRDefault="003004B9" w:rsidP="003004B9">
      <w:pPr>
        <w:spacing w:after="200" w:line="360" w:lineRule="auto"/>
        <w:jc w:val="both"/>
        <w:rPr>
          <w:rFonts w:ascii="Arial" w:eastAsia="Calibri" w:hAnsi="Arial" w:cs="Arial"/>
        </w:rPr>
      </w:pPr>
      <w:r w:rsidRPr="007A4B30">
        <w:rPr>
          <w:rFonts w:ascii="Arial" w:eastAsia="Calibri" w:hAnsi="Arial" w:cs="Arial"/>
        </w:rPr>
        <w:t>This connects to debate over whether paedophilic attraction is better understood as an immutable sexual orientation than solely a disorder to treat. Proponents note the attraction pattern is typically stable from adolescence, with survey evidence indicating many affected individuals report falling in love and forming attachment patterns mirroring conventional romantic orientation (Mundy, 2022; Martijn et al., 2020). This matters for UK service design: internalised stigma is linked to reduced help-seeking (</w:t>
      </w:r>
      <w:proofErr w:type="spellStart"/>
      <w:r w:rsidRPr="007A4B30">
        <w:rPr>
          <w:rFonts w:ascii="Arial" w:eastAsia="Calibri" w:hAnsi="Arial" w:cs="Arial"/>
        </w:rPr>
        <w:t>Lievesley</w:t>
      </w:r>
      <w:proofErr w:type="spellEnd"/>
      <w:r w:rsidRPr="007A4B30">
        <w:rPr>
          <w:rFonts w:ascii="Arial" w:eastAsia="Calibri" w:hAnsi="Arial" w:cs="Arial"/>
        </w:rPr>
        <w:t>, Harper and Elliott, 2020), UK research finds many healthcare professionals feel unprepared to treat this population (</w:t>
      </w:r>
      <w:proofErr w:type="spellStart"/>
      <w:r w:rsidRPr="007A4B30">
        <w:rPr>
          <w:rFonts w:ascii="Arial" w:eastAsia="Calibri" w:hAnsi="Arial" w:cs="Arial"/>
        </w:rPr>
        <w:t>Lievesley</w:t>
      </w:r>
      <w:proofErr w:type="spellEnd"/>
      <w:r w:rsidRPr="007A4B30">
        <w:rPr>
          <w:rFonts w:ascii="Arial" w:eastAsia="Calibri" w:hAnsi="Arial" w:cs="Arial"/>
        </w:rPr>
        <w:t xml:space="preserve"> et al., 2022), and wider research confirms fear of social and legal consequences, rather than lack of insight, is usually the dominant barrier to disclosure (Levenson, Willis and Vicencio, 2017), reinforcing the case for confidential treatment pathways.</w:t>
      </w:r>
    </w:p>
    <w:p w14:paraId="068710B2" w14:textId="7C8BFD47" w:rsidR="003004B9" w:rsidRDefault="00E91884" w:rsidP="009D34AC">
      <w:pPr>
        <w:pStyle w:val="ListParagraph"/>
        <w:numPr>
          <w:ilvl w:val="0"/>
          <w:numId w:val="2"/>
        </w:numPr>
        <w:spacing w:after="200" w:line="360" w:lineRule="auto"/>
        <w:jc w:val="both"/>
        <w:rPr>
          <w:rFonts w:ascii="Arial" w:eastAsia="Calibri" w:hAnsi="Arial" w:cs="Arial"/>
          <w:b/>
          <w:bCs/>
        </w:rPr>
      </w:pPr>
      <w:r w:rsidRPr="009D34AC">
        <w:rPr>
          <w:rFonts w:ascii="Arial" w:eastAsia="Calibri" w:hAnsi="Arial" w:cs="Arial"/>
          <w:b/>
          <w:bCs/>
        </w:rPr>
        <w:t>Recommendations</w:t>
      </w:r>
    </w:p>
    <w:p w14:paraId="489EE4A2" w14:textId="77777777" w:rsidR="009E3315" w:rsidRPr="009D34AC" w:rsidRDefault="009E3315" w:rsidP="009E3315">
      <w:pPr>
        <w:pStyle w:val="ListParagraph"/>
        <w:spacing w:after="200" w:line="360" w:lineRule="auto"/>
        <w:jc w:val="both"/>
        <w:rPr>
          <w:rFonts w:ascii="Arial" w:eastAsia="Calibri" w:hAnsi="Arial" w:cs="Arial"/>
          <w:b/>
          <w:bCs/>
        </w:rPr>
      </w:pPr>
    </w:p>
    <w:p w14:paraId="3732468B" w14:textId="2608A6C3" w:rsidR="007A3CE1" w:rsidRPr="007A4B30" w:rsidRDefault="007A3CE1" w:rsidP="00713E8C">
      <w:pPr>
        <w:pStyle w:val="ListParagraph"/>
        <w:numPr>
          <w:ilvl w:val="0"/>
          <w:numId w:val="1"/>
        </w:numPr>
        <w:spacing w:after="120" w:line="360" w:lineRule="auto"/>
        <w:contextualSpacing w:val="0"/>
        <w:jc w:val="both"/>
        <w:rPr>
          <w:rFonts w:ascii="Arial" w:hAnsi="Arial" w:cs="Arial"/>
        </w:rPr>
      </w:pPr>
      <w:r w:rsidRPr="007A4B30">
        <w:rPr>
          <w:rFonts w:ascii="Arial" w:eastAsia="Calibri" w:hAnsi="Arial" w:cs="Arial"/>
        </w:rPr>
        <w:t>NICE should develop a specific guideline for the assessment and treatment of P</w:t>
      </w:r>
      <w:r w:rsidR="005B0E7C">
        <w:rPr>
          <w:rFonts w:ascii="Arial" w:eastAsia="Calibri" w:hAnsi="Arial" w:cs="Arial"/>
        </w:rPr>
        <w:t>a</w:t>
      </w:r>
      <w:r w:rsidRPr="007A4B30">
        <w:rPr>
          <w:rFonts w:ascii="Arial" w:eastAsia="Calibri" w:hAnsi="Arial" w:cs="Arial"/>
        </w:rPr>
        <w:t>edophilic Disorder and related paraphilic disorders in adults, addressing the current gap left by NG55's exclusive focus on children and young people, and providing UK clinicians with an evidence-based diagnostic and treatment pathway.</w:t>
      </w:r>
    </w:p>
    <w:p w14:paraId="1EC91359" w14:textId="77777777" w:rsidR="007A3CE1" w:rsidRPr="007A4B30" w:rsidRDefault="007A3CE1" w:rsidP="00713E8C">
      <w:pPr>
        <w:pStyle w:val="ListParagraph"/>
        <w:numPr>
          <w:ilvl w:val="0"/>
          <w:numId w:val="1"/>
        </w:numPr>
        <w:spacing w:after="120" w:line="360" w:lineRule="auto"/>
        <w:contextualSpacing w:val="0"/>
        <w:jc w:val="both"/>
        <w:rPr>
          <w:rFonts w:ascii="Arial" w:hAnsi="Arial" w:cs="Arial"/>
        </w:rPr>
      </w:pPr>
      <w:r w:rsidRPr="007A4B30">
        <w:rPr>
          <w:rFonts w:ascii="Arial" w:eastAsia="Calibri" w:hAnsi="Arial" w:cs="Arial"/>
        </w:rPr>
        <w:t>NHS England should expand specialist forensic psychotherapy capacity beyond London-centric provision such as the Portman Clinic, reducing regional inequality in access to psychosexual assessment and treatment for both offending and non-offending individuals.</w:t>
      </w:r>
    </w:p>
    <w:p w14:paraId="22F7F06F" w14:textId="77777777" w:rsidR="007A3CE1" w:rsidRPr="007A4B30" w:rsidRDefault="007A3CE1" w:rsidP="00713E8C">
      <w:pPr>
        <w:pStyle w:val="ListParagraph"/>
        <w:numPr>
          <w:ilvl w:val="0"/>
          <w:numId w:val="1"/>
        </w:numPr>
        <w:spacing w:after="120" w:line="360" w:lineRule="auto"/>
        <w:contextualSpacing w:val="0"/>
        <w:jc w:val="both"/>
        <w:rPr>
          <w:rFonts w:ascii="Arial" w:hAnsi="Arial" w:cs="Arial"/>
        </w:rPr>
      </w:pPr>
      <w:r w:rsidRPr="007A4B30">
        <w:rPr>
          <w:rFonts w:ascii="Arial" w:eastAsia="Calibri" w:hAnsi="Arial" w:cs="Arial"/>
        </w:rPr>
        <w:lastRenderedPageBreak/>
        <w:t>Commissioners should fund a confidential, non-forensic treatment pathway for non-offending individuals with paedophilic interest, building on the Lucy Faithfull Foundation's Stop It Now! helpline model and integrating it more closely with NHS clinical and pharmacological services.</w:t>
      </w:r>
    </w:p>
    <w:p w14:paraId="1CCFA785" w14:textId="77777777" w:rsidR="007A3CE1" w:rsidRPr="007A4B30" w:rsidRDefault="007A3CE1" w:rsidP="00713E8C">
      <w:pPr>
        <w:pStyle w:val="ListParagraph"/>
        <w:numPr>
          <w:ilvl w:val="0"/>
          <w:numId w:val="1"/>
        </w:numPr>
        <w:spacing w:after="120" w:line="360" w:lineRule="auto"/>
        <w:contextualSpacing w:val="0"/>
        <w:jc w:val="both"/>
        <w:rPr>
          <w:rFonts w:ascii="Arial" w:hAnsi="Arial" w:cs="Arial"/>
        </w:rPr>
      </w:pPr>
      <w:r w:rsidRPr="007A4B30">
        <w:rPr>
          <w:rFonts w:ascii="Arial" w:eastAsia="Calibri" w:hAnsi="Arial" w:cs="Arial"/>
        </w:rPr>
        <w:t>Policymakers should clarify how the Equality Act 2010 exclusions interact with NHS treatment access, ensuring that the deliberate absence of disability protection for excluded behaviours does not inadvertently become a barrier to voluntary help-seeking before offending occurs.</w:t>
      </w:r>
    </w:p>
    <w:p w14:paraId="655A60F2" w14:textId="77777777" w:rsidR="007A3CE1" w:rsidRPr="007A3CE1" w:rsidRDefault="007A3CE1" w:rsidP="00713E8C">
      <w:pPr>
        <w:pStyle w:val="ListParagraph"/>
        <w:numPr>
          <w:ilvl w:val="0"/>
          <w:numId w:val="1"/>
        </w:numPr>
        <w:spacing w:after="120" w:line="360" w:lineRule="auto"/>
        <w:contextualSpacing w:val="0"/>
        <w:jc w:val="both"/>
        <w:rPr>
          <w:rFonts w:ascii="Arial" w:hAnsi="Arial" w:cs="Arial"/>
        </w:rPr>
      </w:pPr>
      <w:r w:rsidRPr="007A4B30">
        <w:rPr>
          <w:rFonts w:ascii="Arial" w:eastAsia="Calibri" w:hAnsi="Arial" w:cs="Arial"/>
        </w:rPr>
        <w:t>Further UK-based research, building on Portman Clinic caseload studies, should prioritise community rather than solely forensic samples when examining neurodevelopmental and personality correlates, to avoid policy being shaped by unrepresentative offender-only data.</w:t>
      </w:r>
    </w:p>
    <w:p w14:paraId="4308711C" w14:textId="77777777" w:rsidR="007A3CE1" w:rsidRDefault="007A3CE1" w:rsidP="00713E8C">
      <w:pPr>
        <w:spacing w:after="120" w:line="360" w:lineRule="auto"/>
        <w:jc w:val="both"/>
        <w:rPr>
          <w:rFonts w:ascii="Arial" w:eastAsia="Calibri" w:hAnsi="Arial" w:cs="Arial"/>
        </w:rPr>
      </w:pPr>
    </w:p>
    <w:p w14:paraId="72CB947C" w14:textId="71D809C5" w:rsidR="007A3CE1" w:rsidRPr="009D34AC" w:rsidRDefault="007A3CE1" w:rsidP="009D34AC">
      <w:pPr>
        <w:pStyle w:val="ListParagraph"/>
        <w:numPr>
          <w:ilvl w:val="0"/>
          <w:numId w:val="2"/>
        </w:numPr>
        <w:spacing w:after="120" w:line="360" w:lineRule="auto"/>
        <w:rPr>
          <w:rFonts w:ascii="Arial" w:hAnsi="Arial" w:cs="Arial"/>
          <w:b/>
          <w:bCs/>
        </w:rPr>
      </w:pPr>
      <w:r w:rsidRPr="009D34AC">
        <w:rPr>
          <w:rFonts w:ascii="Arial" w:eastAsia="Calibri" w:hAnsi="Arial" w:cs="Arial"/>
          <w:b/>
          <w:bCs/>
        </w:rPr>
        <w:t>Conclusion</w:t>
      </w:r>
    </w:p>
    <w:p w14:paraId="246697FE" w14:textId="54BADB16" w:rsidR="000256C8" w:rsidRDefault="000256C8" w:rsidP="000256C8">
      <w:pPr>
        <w:spacing w:after="200" w:line="360" w:lineRule="auto"/>
        <w:jc w:val="both"/>
        <w:rPr>
          <w:rFonts w:ascii="Arial" w:eastAsia="Calibri" w:hAnsi="Arial" w:cs="Arial"/>
        </w:rPr>
      </w:pPr>
      <w:r w:rsidRPr="007A4B30">
        <w:rPr>
          <w:rFonts w:ascii="Arial" w:eastAsia="Calibri" w:hAnsi="Arial" w:cs="Arial"/>
        </w:rPr>
        <w:t>P</w:t>
      </w:r>
      <w:r w:rsidR="00A70BA1">
        <w:rPr>
          <w:rFonts w:ascii="Arial" w:eastAsia="Calibri" w:hAnsi="Arial" w:cs="Arial"/>
        </w:rPr>
        <w:t>a</w:t>
      </w:r>
      <w:r w:rsidRPr="007A4B30">
        <w:rPr>
          <w:rFonts w:ascii="Arial" w:eastAsia="Calibri" w:hAnsi="Arial" w:cs="Arial"/>
        </w:rPr>
        <w:t>edophilic Disorder sits at the intersection of psychiatric classification, forensic practice, and UK child protection policy. ICD-11 provides a narrower, more clinically defensible diagnostic boundary than its predecessor, but UK implementation remains constrained by scarce specialist NHS capacity, the absence of NICE guidance for adults, and a legal framework that deliberately withholds disability protection from the condition's excluded behaviours under the Equality Act 2010. Treatment evidence, while moderately promising for combined psychological and pharmacological approaches, remains methodologically limited, and long-term rehabilitation depends heavily on a small number of specialist NHS services alongside voluntary sector partners such as the Lucy Faithfull Foundation. Current debates over neurodevelopmental framing and terminology have real practice implications, since offender-only evidence bases risk distorting both clinical assessment and public policy. Future research should prioritise community samples and UK-specific outcome data, while policy attention should focus on expanding equitable, confidential access to evidence-based treatment before, rather than only after, offending occurs. Without such investment and a clearer NICE pathway, the current reliance on a handful of specialist centres is unlikely to meet demonstrated national need, and opportunities for earlier, preventive intervention will continue to be missed.</w:t>
      </w:r>
    </w:p>
    <w:p w14:paraId="1FA25BEC" w14:textId="77777777" w:rsidR="00CF50DE" w:rsidRDefault="00CF50DE" w:rsidP="000256C8">
      <w:pPr>
        <w:spacing w:after="200" w:line="360" w:lineRule="auto"/>
        <w:jc w:val="both"/>
        <w:rPr>
          <w:rFonts w:ascii="Arial" w:eastAsia="Calibri" w:hAnsi="Arial" w:cs="Arial"/>
        </w:rPr>
      </w:pPr>
    </w:p>
    <w:p w14:paraId="36970AD8" w14:textId="77777777" w:rsidR="00CF50DE" w:rsidRDefault="00CF50DE" w:rsidP="000256C8">
      <w:pPr>
        <w:spacing w:after="200" w:line="360" w:lineRule="auto"/>
        <w:jc w:val="both"/>
        <w:rPr>
          <w:rFonts w:ascii="Arial" w:eastAsia="Calibri" w:hAnsi="Arial" w:cs="Arial"/>
        </w:rPr>
      </w:pPr>
    </w:p>
    <w:p w14:paraId="01A74A3A" w14:textId="2B4BF6B7" w:rsidR="00CF50DE" w:rsidRDefault="00830EFD" w:rsidP="000256C8">
      <w:pPr>
        <w:spacing w:after="200" w:line="360" w:lineRule="auto"/>
        <w:jc w:val="both"/>
        <w:rPr>
          <w:rFonts w:ascii="Arial" w:eastAsia="Calibri" w:hAnsi="Arial" w:cs="Arial"/>
        </w:rPr>
      </w:pPr>
      <w:r>
        <w:rPr>
          <w:rFonts w:ascii="Arial" w:eastAsia="Calibri" w:hAnsi="Arial" w:cs="Arial"/>
        </w:rPr>
        <w:t xml:space="preserve"> </w:t>
      </w:r>
    </w:p>
    <w:p w14:paraId="7DBDDF3E" w14:textId="77777777" w:rsidR="00A21994" w:rsidRPr="00A21994" w:rsidRDefault="00A21994" w:rsidP="00A21994">
      <w:pPr>
        <w:spacing w:after="200" w:line="360" w:lineRule="auto"/>
        <w:jc w:val="both"/>
        <w:rPr>
          <w:rFonts w:ascii="Arial" w:hAnsi="Arial" w:cs="Arial"/>
          <w:b/>
          <w:bCs/>
        </w:rPr>
      </w:pPr>
      <w:r w:rsidRPr="00A21994">
        <w:rPr>
          <w:rFonts w:ascii="Arial" w:hAnsi="Arial" w:cs="Arial"/>
          <w:b/>
          <w:bCs/>
        </w:rPr>
        <w:lastRenderedPageBreak/>
        <w:t>References</w:t>
      </w:r>
    </w:p>
    <w:p w14:paraId="782A4927" w14:textId="77777777" w:rsidR="00A21994" w:rsidRPr="00A21994" w:rsidRDefault="00A21994" w:rsidP="00A21994">
      <w:pPr>
        <w:spacing w:after="200" w:line="360" w:lineRule="auto"/>
        <w:jc w:val="both"/>
        <w:rPr>
          <w:rFonts w:ascii="Arial" w:hAnsi="Arial" w:cs="Arial"/>
        </w:rPr>
      </w:pPr>
      <w:proofErr w:type="spellStart"/>
      <w:r w:rsidRPr="00A21994">
        <w:rPr>
          <w:rFonts w:ascii="Arial" w:hAnsi="Arial" w:cs="Arial"/>
        </w:rPr>
        <w:t>Abé</w:t>
      </w:r>
      <w:proofErr w:type="spellEnd"/>
      <w:r w:rsidRPr="00A21994">
        <w:rPr>
          <w:rFonts w:ascii="Arial" w:hAnsi="Arial" w:cs="Arial"/>
        </w:rPr>
        <w:t xml:space="preserve">, C., </w:t>
      </w:r>
      <w:proofErr w:type="spellStart"/>
      <w:r w:rsidRPr="00A21994">
        <w:rPr>
          <w:rFonts w:ascii="Arial" w:hAnsi="Arial" w:cs="Arial"/>
        </w:rPr>
        <w:t>Adebahr</w:t>
      </w:r>
      <w:proofErr w:type="spellEnd"/>
      <w:r w:rsidRPr="00A21994">
        <w:rPr>
          <w:rFonts w:ascii="Arial" w:hAnsi="Arial" w:cs="Arial"/>
        </w:rPr>
        <w:t xml:space="preserve">, R., Liberg, B., </w:t>
      </w:r>
      <w:proofErr w:type="spellStart"/>
      <w:r w:rsidRPr="00A21994">
        <w:rPr>
          <w:rFonts w:ascii="Arial" w:hAnsi="Arial" w:cs="Arial"/>
        </w:rPr>
        <w:t>Mannfolk</w:t>
      </w:r>
      <w:proofErr w:type="spellEnd"/>
      <w:r w:rsidRPr="00A21994">
        <w:rPr>
          <w:rFonts w:ascii="Arial" w:hAnsi="Arial" w:cs="Arial"/>
        </w:rPr>
        <w:t xml:space="preserve">, C., Lebedev, A., Eriksson, J., </w:t>
      </w:r>
      <w:proofErr w:type="spellStart"/>
      <w:r w:rsidRPr="00A21994">
        <w:rPr>
          <w:rFonts w:ascii="Arial" w:hAnsi="Arial" w:cs="Arial"/>
        </w:rPr>
        <w:t>Långström</w:t>
      </w:r>
      <w:proofErr w:type="spellEnd"/>
      <w:r w:rsidRPr="00A21994">
        <w:rPr>
          <w:rFonts w:ascii="Arial" w:hAnsi="Arial" w:cs="Arial"/>
        </w:rPr>
        <w:t xml:space="preserve">, N. and Rahm, C. (2021) 'Brain structure and clinical profile point to neurodevelopmental factors involved in </w:t>
      </w:r>
      <w:proofErr w:type="spellStart"/>
      <w:r w:rsidRPr="00A21994">
        <w:rPr>
          <w:rFonts w:ascii="Arial" w:hAnsi="Arial" w:cs="Arial"/>
        </w:rPr>
        <w:t>pedophilic</w:t>
      </w:r>
      <w:proofErr w:type="spellEnd"/>
      <w:r w:rsidRPr="00A21994">
        <w:rPr>
          <w:rFonts w:ascii="Arial" w:hAnsi="Arial" w:cs="Arial"/>
        </w:rPr>
        <w:t xml:space="preserve"> disorder', </w:t>
      </w:r>
      <w:r w:rsidRPr="00A21994">
        <w:rPr>
          <w:rFonts w:ascii="Arial" w:hAnsi="Arial" w:cs="Arial"/>
          <w:i/>
          <w:iCs/>
        </w:rPr>
        <w:t xml:space="preserve">Acta </w:t>
      </w:r>
      <w:proofErr w:type="spellStart"/>
      <w:r w:rsidRPr="00A21994">
        <w:rPr>
          <w:rFonts w:ascii="Arial" w:hAnsi="Arial" w:cs="Arial"/>
          <w:i/>
          <w:iCs/>
        </w:rPr>
        <w:t>Psychiatrica</w:t>
      </w:r>
      <w:proofErr w:type="spellEnd"/>
      <w:r w:rsidRPr="00A21994">
        <w:rPr>
          <w:rFonts w:ascii="Arial" w:hAnsi="Arial" w:cs="Arial"/>
          <w:i/>
          <w:iCs/>
        </w:rPr>
        <w:t xml:space="preserve"> Scandinavica</w:t>
      </w:r>
      <w:r w:rsidRPr="00A21994">
        <w:rPr>
          <w:rFonts w:ascii="Arial" w:hAnsi="Arial" w:cs="Arial"/>
        </w:rPr>
        <w:t xml:space="preserve">, </w:t>
      </w:r>
      <w:r w:rsidRPr="009E3315">
        <w:rPr>
          <w:rFonts w:ascii="Arial" w:hAnsi="Arial" w:cs="Arial"/>
        </w:rPr>
        <w:t>143</w:t>
      </w:r>
      <w:r w:rsidRPr="00A21994">
        <w:rPr>
          <w:rFonts w:ascii="Arial" w:hAnsi="Arial" w:cs="Arial"/>
        </w:rPr>
        <w:t>(4), pp. 363–374.</w:t>
      </w:r>
    </w:p>
    <w:p w14:paraId="09455249" w14:textId="77777777" w:rsidR="00A21994" w:rsidRPr="00A21994" w:rsidRDefault="00A21994" w:rsidP="00A21994">
      <w:pPr>
        <w:spacing w:after="200" w:line="360" w:lineRule="auto"/>
        <w:jc w:val="both"/>
        <w:rPr>
          <w:rFonts w:ascii="Arial" w:hAnsi="Arial" w:cs="Arial"/>
        </w:rPr>
      </w:pPr>
      <w:proofErr w:type="spellStart"/>
      <w:r w:rsidRPr="00A21994">
        <w:rPr>
          <w:rFonts w:ascii="Arial" w:hAnsi="Arial" w:cs="Arial"/>
        </w:rPr>
        <w:t>Culos</w:t>
      </w:r>
      <w:proofErr w:type="spellEnd"/>
      <w:r w:rsidRPr="00A21994">
        <w:rPr>
          <w:rFonts w:ascii="Arial" w:hAnsi="Arial" w:cs="Arial"/>
        </w:rPr>
        <w:t xml:space="preserve">, C., Di Grazia, M. and </w:t>
      </w:r>
      <w:proofErr w:type="spellStart"/>
      <w:r w:rsidRPr="00A21994">
        <w:rPr>
          <w:rFonts w:ascii="Arial" w:hAnsi="Arial" w:cs="Arial"/>
        </w:rPr>
        <w:t>Meneguzzo</w:t>
      </w:r>
      <w:proofErr w:type="spellEnd"/>
      <w:r w:rsidRPr="00A21994">
        <w:rPr>
          <w:rFonts w:ascii="Arial" w:hAnsi="Arial" w:cs="Arial"/>
        </w:rPr>
        <w:t xml:space="preserve">, P. (2024) 'Pharmacological interventions in paraphilic disorders: Systematic review and insights', </w:t>
      </w:r>
      <w:r w:rsidRPr="00A21994">
        <w:rPr>
          <w:rFonts w:ascii="Arial" w:hAnsi="Arial" w:cs="Arial"/>
          <w:i/>
          <w:iCs/>
        </w:rPr>
        <w:t>Journal of Clinical Medicine</w:t>
      </w:r>
      <w:r w:rsidRPr="00A21994">
        <w:rPr>
          <w:rFonts w:ascii="Arial" w:hAnsi="Arial" w:cs="Arial"/>
        </w:rPr>
        <w:t xml:space="preserve">, </w:t>
      </w:r>
      <w:r w:rsidRPr="009E3315">
        <w:rPr>
          <w:rFonts w:ascii="Arial" w:hAnsi="Arial" w:cs="Arial"/>
        </w:rPr>
        <w:t>13</w:t>
      </w:r>
      <w:r w:rsidRPr="00A21994">
        <w:rPr>
          <w:rFonts w:ascii="Arial" w:hAnsi="Arial" w:cs="Arial"/>
        </w:rPr>
        <w:t>(6), 1524.</w:t>
      </w:r>
    </w:p>
    <w:p w14:paraId="43726A66" w14:textId="77777777" w:rsidR="00A21994" w:rsidRPr="00A21994" w:rsidRDefault="00A21994" w:rsidP="00A21994">
      <w:pPr>
        <w:spacing w:after="200" w:line="360" w:lineRule="auto"/>
        <w:jc w:val="both"/>
        <w:rPr>
          <w:rFonts w:ascii="Arial" w:hAnsi="Arial" w:cs="Arial"/>
        </w:rPr>
      </w:pPr>
      <w:r w:rsidRPr="00A21994">
        <w:rPr>
          <w:rFonts w:ascii="Arial" w:hAnsi="Arial" w:cs="Arial"/>
        </w:rPr>
        <w:t>Duwe, G. (2018) 'Can circles of support and accountability (</w:t>
      </w:r>
      <w:proofErr w:type="spellStart"/>
      <w:r w:rsidRPr="00A21994">
        <w:rPr>
          <w:rFonts w:ascii="Arial" w:hAnsi="Arial" w:cs="Arial"/>
        </w:rPr>
        <w:t>CoSA</w:t>
      </w:r>
      <w:proofErr w:type="spellEnd"/>
      <w:r w:rsidRPr="00A21994">
        <w:rPr>
          <w:rFonts w:ascii="Arial" w:hAnsi="Arial" w:cs="Arial"/>
        </w:rPr>
        <w:t xml:space="preserve">) significantly reduce sexual recidivism? Results from a randomized controlled trial in Minnesota', </w:t>
      </w:r>
      <w:r w:rsidRPr="00A21994">
        <w:rPr>
          <w:rFonts w:ascii="Arial" w:hAnsi="Arial" w:cs="Arial"/>
          <w:i/>
          <w:iCs/>
        </w:rPr>
        <w:t>Journal of Experimental Criminology</w:t>
      </w:r>
      <w:r w:rsidRPr="00A21994">
        <w:rPr>
          <w:rFonts w:ascii="Arial" w:hAnsi="Arial" w:cs="Arial"/>
        </w:rPr>
        <w:t xml:space="preserve">, </w:t>
      </w:r>
      <w:r w:rsidRPr="009E3315">
        <w:rPr>
          <w:rFonts w:ascii="Arial" w:hAnsi="Arial" w:cs="Arial"/>
        </w:rPr>
        <w:t>14</w:t>
      </w:r>
      <w:r w:rsidRPr="00A21994">
        <w:rPr>
          <w:rFonts w:ascii="Arial" w:hAnsi="Arial" w:cs="Arial"/>
        </w:rPr>
        <w:t>(4), pp. 463–484.</w:t>
      </w:r>
    </w:p>
    <w:p w14:paraId="1768A785"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Farmer, C., Salter, M. and Woodlock, D. (2024) 'A review of academic use of the term "minor attracted persons"', </w:t>
      </w:r>
      <w:r w:rsidRPr="00A21994">
        <w:rPr>
          <w:rFonts w:ascii="Arial" w:hAnsi="Arial" w:cs="Arial"/>
          <w:i/>
          <w:iCs/>
        </w:rPr>
        <w:t>Trauma, Violence, &amp; Abuse</w:t>
      </w:r>
      <w:r w:rsidRPr="00A21994">
        <w:rPr>
          <w:rFonts w:ascii="Arial" w:hAnsi="Arial" w:cs="Arial"/>
        </w:rPr>
        <w:t xml:space="preserve">, </w:t>
      </w:r>
      <w:r w:rsidRPr="009E3315">
        <w:rPr>
          <w:rFonts w:ascii="Arial" w:hAnsi="Arial" w:cs="Arial"/>
        </w:rPr>
        <w:t>25(</w:t>
      </w:r>
      <w:r w:rsidRPr="00A21994">
        <w:rPr>
          <w:rFonts w:ascii="Arial" w:hAnsi="Arial" w:cs="Arial"/>
        </w:rPr>
        <w:t>5).</w:t>
      </w:r>
    </w:p>
    <w:p w14:paraId="24EF5257"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Jahnke, S., Schmidt, A.F., Klöckner, A. and Hoyer, J. (2022) 'Neurodevelopmental differences, </w:t>
      </w:r>
      <w:proofErr w:type="spellStart"/>
      <w:r w:rsidRPr="00A21994">
        <w:rPr>
          <w:rFonts w:ascii="Arial" w:hAnsi="Arial" w:cs="Arial"/>
        </w:rPr>
        <w:t>pedohebephilia</w:t>
      </w:r>
      <w:proofErr w:type="spellEnd"/>
      <w:r w:rsidRPr="00A21994">
        <w:rPr>
          <w:rFonts w:ascii="Arial" w:hAnsi="Arial" w:cs="Arial"/>
        </w:rPr>
        <w:t xml:space="preserve">, and sexual offending: Findings from two online surveys', </w:t>
      </w:r>
      <w:r w:rsidRPr="00A21994">
        <w:rPr>
          <w:rFonts w:ascii="Arial" w:hAnsi="Arial" w:cs="Arial"/>
          <w:i/>
          <w:iCs/>
        </w:rPr>
        <w:t xml:space="preserve">Archives of Sexual </w:t>
      </w:r>
      <w:proofErr w:type="spellStart"/>
      <w:r w:rsidRPr="00A21994">
        <w:rPr>
          <w:rFonts w:ascii="Arial" w:hAnsi="Arial" w:cs="Arial"/>
          <w:i/>
          <w:iCs/>
        </w:rPr>
        <w:t>Behavior</w:t>
      </w:r>
      <w:proofErr w:type="spellEnd"/>
      <w:r w:rsidRPr="00A21994">
        <w:rPr>
          <w:rFonts w:ascii="Arial" w:hAnsi="Arial" w:cs="Arial"/>
        </w:rPr>
        <w:t xml:space="preserve">, </w:t>
      </w:r>
      <w:r w:rsidRPr="00A21994">
        <w:rPr>
          <w:rFonts w:ascii="Arial" w:hAnsi="Arial" w:cs="Arial"/>
          <w:b/>
          <w:bCs/>
        </w:rPr>
        <w:t>51</w:t>
      </w:r>
      <w:r w:rsidRPr="00A21994">
        <w:rPr>
          <w:rFonts w:ascii="Arial" w:hAnsi="Arial" w:cs="Arial"/>
        </w:rPr>
        <w:t>(2), pp. 849–866.</w:t>
      </w:r>
    </w:p>
    <w:p w14:paraId="0C368FDA"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Krueger, R.B., Reed, G.M., First, M.B., Marais, A., </w:t>
      </w:r>
      <w:proofErr w:type="spellStart"/>
      <w:r w:rsidRPr="00A21994">
        <w:rPr>
          <w:rFonts w:ascii="Arial" w:hAnsi="Arial" w:cs="Arial"/>
        </w:rPr>
        <w:t>Kismodi</w:t>
      </w:r>
      <w:proofErr w:type="spellEnd"/>
      <w:r w:rsidRPr="00A21994">
        <w:rPr>
          <w:rFonts w:ascii="Arial" w:hAnsi="Arial" w:cs="Arial"/>
        </w:rPr>
        <w:t xml:space="preserve">, E. and Briken, P. (2017) 'Proposals for paraphilic disorders in the International Classification of Diseases and Related Health Problems, Eleventh Revision (ICD-11)', </w:t>
      </w:r>
      <w:r w:rsidRPr="00A21994">
        <w:rPr>
          <w:rFonts w:ascii="Arial" w:hAnsi="Arial" w:cs="Arial"/>
          <w:i/>
          <w:iCs/>
        </w:rPr>
        <w:t xml:space="preserve">Archives of Sexual </w:t>
      </w:r>
      <w:proofErr w:type="spellStart"/>
      <w:r w:rsidRPr="00A21994">
        <w:rPr>
          <w:rFonts w:ascii="Arial" w:hAnsi="Arial" w:cs="Arial"/>
          <w:i/>
          <w:iCs/>
        </w:rPr>
        <w:t>Behavior</w:t>
      </w:r>
      <w:proofErr w:type="spellEnd"/>
      <w:r w:rsidRPr="00A21994">
        <w:rPr>
          <w:rFonts w:ascii="Arial" w:hAnsi="Arial" w:cs="Arial"/>
        </w:rPr>
        <w:t xml:space="preserve">, </w:t>
      </w:r>
      <w:r w:rsidRPr="009E3315">
        <w:rPr>
          <w:rFonts w:ascii="Arial" w:hAnsi="Arial" w:cs="Arial"/>
        </w:rPr>
        <w:t>46</w:t>
      </w:r>
      <w:r w:rsidRPr="00A21994">
        <w:rPr>
          <w:rFonts w:ascii="Arial" w:hAnsi="Arial" w:cs="Arial"/>
        </w:rPr>
        <w:t>(5), pp. 1529–1545.</w:t>
      </w:r>
    </w:p>
    <w:p w14:paraId="2439532C"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Legislation.gov.uk (1983) </w:t>
      </w:r>
      <w:r w:rsidRPr="00A21994">
        <w:rPr>
          <w:rFonts w:ascii="Arial" w:hAnsi="Arial" w:cs="Arial"/>
          <w:i/>
          <w:iCs/>
        </w:rPr>
        <w:t>Mental Health Act 1983</w:t>
      </w:r>
      <w:r w:rsidRPr="00A21994">
        <w:rPr>
          <w:rFonts w:ascii="Arial" w:hAnsi="Arial" w:cs="Arial"/>
        </w:rPr>
        <w:t xml:space="preserve">, as amended by the Mental Health Act 2007. Available at: </w:t>
      </w:r>
      <w:hyperlink r:id="rId8" w:tgtFrame="_new" w:history="1">
        <w:r w:rsidRPr="00A21994">
          <w:rPr>
            <w:rStyle w:val="Hyperlink"/>
            <w:rFonts w:ascii="Arial" w:hAnsi="Arial" w:cs="Arial"/>
          </w:rPr>
          <w:t>https://www.legislation.gov.uk/ukpga/1983/20</w:t>
        </w:r>
      </w:hyperlink>
      <w:r w:rsidRPr="00A21994">
        <w:rPr>
          <w:rFonts w:ascii="Arial" w:hAnsi="Arial" w:cs="Arial"/>
        </w:rPr>
        <w:t xml:space="preserve"> (Accessed: 6 July 2026).</w:t>
      </w:r>
    </w:p>
    <w:p w14:paraId="46388292"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Legislation.gov.uk (2010) </w:t>
      </w:r>
      <w:r w:rsidRPr="00A21994">
        <w:rPr>
          <w:rFonts w:ascii="Arial" w:hAnsi="Arial" w:cs="Arial"/>
          <w:i/>
          <w:iCs/>
        </w:rPr>
        <w:t>Equality Act 2010 (Disability) Regulations 2010</w:t>
      </w:r>
      <w:r w:rsidRPr="00A21994">
        <w:rPr>
          <w:rFonts w:ascii="Arial" w:hAnsi="Arial" w:cs="Arial"/>
        </w:rPr>
        <w:t xml:space="preserve">. Available at: </w:t>
      </w:r>
      <w:hyperlink r:id="rId9" w:tgtFrame="_new" w:history="1">
        <w:r w:rsidRPr="00A21994">
          <w:rPr>
            <w:rStyle w:val="Hyperlink"/>
            <w:rFonts w:ascii="Arial" w:hAnsi="Arial" w:cs="Arial"/>
          </w:rPr>
          <w:t>https://www.legislation.gov.uk/uksi/2010/2128</w:t>
        </w:r>
      </w:hyperlink>
      <w:r w:rsidRPr="00A21994">
        <w:rPr>
          <w:rFonts w:ascii="Arial" w:hAnsi="Arial" w:cs="Arial"/>
        </w:rPr>
        <w:t xml:space="preserve"> (Accessed: 6 July 2026).</w:t>
      </w:r>
    </w:p>
    <w:p w14:paraId="00F5EEBD"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Legislation.gov.uk (2014) </w:t>
      </w:r>
      <w:r w:rsidRPr="00A21994">
        <w:rPr>
          <w:rFonts w:ascii="Arial" w:hAnsi="Arial" w:cs="Arial"/>
          <w:i/>
          <w:iCs/>
        </w:rPr>
        <w:t>Care Act 2014</w:t>
      </w:r>
      <w:r w:rsidRPr="00A21994">
        <w:rPr>
          <w:rFonts w:ascii="Arial" w:hAnsi="Arial" w:cs="Arial"/>
        </w:rPr>
        <w:t xml:space="preserve">. Available at: </w:t>
      </w:r>
      <w:hyperlink r:id="rId10" w:tgtFrame="_new" w:history="1">
        <w:r w:rsidRPr="00A21994">
          <w:rPr>
            <w:rStyle w:val="Hyperlink"/>
            <w:rFonts w:ascii="Arial" w:hAnsi="Arial" w:cs="Arial"/>
          </w:rPr>
          <w:t>https://www.legislation.gov.uk/ukpga/2014/23</w:t>
        </w:r>
      </w:hyperlink>
      <w:r w:rsidRPr="00A21994">
        <w:rPr>
          <w:rFonts w:ascii="Arial" w:hAnsi="Arial" w:cs="Arial"/>
        </w:rPr>
        <w:t xml:space="preserve"> (Accessed: 6 July 2026).</w:t>
      </w:r>
    </w:p>
    <w:p w14:paraId="75D47803"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Levenson, J.S., Willis, G.M. and Vicencio, C.P. (2017) 'Obstacles to help-seeking for sexual offenders: Implications for prevention of sexual abuse', </w:t>
      </w:r>
      <w:r w:rsidRPr="00A21994">
        <w:rPr>
          <w:rFonts w:ascii="Arial" w:hAnsi="Arial" w:cs="Arial"/>
          <w:i/>
          <w:iCs/>
        </w:rPr>
        <w:t>Journal of Child Sexual Abuse</w:t>
      </w:r>
      <w:r w:rsidRPr="00A21994">
        <w:rPr>
          <w:rFonts w:ascii="Arial" w:hAnsi="Arial" w:cs="Arial"/>
        </w:rPr>
        <w:t xml:space="preserve">, </w:t>
      </w:r>
      <w:r w:rsidRPr="009E3315">
        <w:rPr>
          <w:rFonts w:ascii="Arial" w:hAnsi="Arial" w:cs="Arial"/>
        </w:rPr>
        <w:t>26</w:t>
      </w:r>
      <w:r w:rsidRPr="00A21994">
        <w:rPr>
          <w:rFonts w:ascii="Arial" w:hAnsi="Arial" w:cs="Arial"/>
        </w:rPr>
        <w:t>(2), pp. 99–120.</w:t>
      </w:r>
    </w:p>
    <w:p w14:paraId="730D037F" w14:textId="77777777" w:rsidR="00A21994" w:rsidRPr="00A21994" w:rsidRDefault="00A21994" w:rsidP="00A21994">
      <w:pPr>
        <w:spacing w:after="200" w:line="360" w:lineRule="auto"/>
        <w:jc w:val="both"/>
        <w:rPr>
          <w:rFonts w:ascii="Arial" w:hAnsi="Arial" w:cs="Arial"/>
        </w:rPr>
      </w:pPr>
      <w:proofErr w:type="spellStart"/>
      <w:r w:rsidRPr="00A21994">
        <w:rPr>
          <w:rFonts w:ascii="Arial" w:hAnsi="Arial" w:cs="Arial"/>
        </w:rPr>
        <w:t>Lievesley</w:t>
      </w:r>
      <w:proofErr w:type="spellEnd"/>
      <w:r w:rsidRPr="00A21994">
        <w:rPr>
          <w:rFonts w:ascii="Arial" w:hAnsi="Arial" w:cs="Arial"/>
        </w:rPr>
        <w:t xml:space="preserve">, R., Harper, C.A. and Elliott, H. (2020) 'The internalization of social stigma among minor-attracted persons: Implications for treatment', </w:t>
      </w:r>
      <w:r w:rsidRPr="00A21994">
        <w:rPr>
          <w:rFonts w:ascii="Arial" w:hAnsi="Arial" w:cs="Arial"/>
          <w:i/>
          <w:iCs/>
        </w:rPr>
        <w:t xml:space="preserve">Archives of Sexual </w:t>
      </w:r>
      <w:proofErr w:type="spellStart"/>
      <w:r w:rsidRPr="00A21994">
        <w:rPr>
          <w:rFonts w:ascii="Arial" w:hAnsi="Arial" w:cs="Arial"/>
          <w:i/>
          <w:iCs/>
        </w:rPr>
        <w:t>Behavior</w:t>
      </w:r>
      <w:proofErr w:type="spellEnd"/>
      <w:r w:rsidRPr="00A21994">
        <w:rPr>
          <w:rFonts w:ascii="Arial" w:hAnsi="Arial" w:cs="Arial"/>
        </w:rPr>
        <w:t xml:space="preserve">, </w:t>
      </w:r>
      <w:r w:rsidRPr="009E3315">
        <w:rPr>
          <w:rFonts w:ascii="Arial" w:hAnsi="Arial" w:cs="Arial"/>
        </w:rPr>
        <w:t>49(</w:t>
      </w:r>
      <w:r w:rsidRPr="00A21994">
        <w:rPr>
          <w:rFonts w:ascii="Arial" w:hAnsi="Arial" w:cs="Arial"/>
        </w:rPr>
        <w:t>4), pp. 1291–1304.</w:t>
      </w:r>
    </w:p>
    <w:p w14:paraId="554C26FB" w14:textId="77777777" w:rsidR="00A21994" w:rsidRPr="00A21994" w:rsidRDefault="00A21994" w:rsidP="00A21994">
      <w:pPr>
        <w:spacing w:after="200" w:line="360" w:lineRule="auto"/>
        <w:jc w:val="both"/>
        <w:rPr>
          <w:rFonts w:ascii="Arial" w:hAnsi="Arial" w:cs="Arial"/>
        </w:rPr>
      </w:pPr>
      <w:proofErr w:type="spellStart"/>
      <w:r w:rsidRPr="00A21994">
        <w:rPr>
          <w:rFonts w:ascii="Arial" w:hAnsi="Arial" w:cs="Arial"/>
        </w:rPr>
        <w:lastRenderedPageBreak/>
        <w:t>Lievesley</w:t>
      </w:r>
      <w:proofErr w:type="spellEnd"/>
      <w:r w:rsidRPr="00A21994">
        <w:rPr>
          <w:rFonts w:ascii="Arial" w:hAnsi="Arial" w:cs="Arial"/>
        </w:rPr>
        <w:t xml:space="preserve">, R., Swaby, H., Harper, C.A. and Woodward, E. (2022) 'Primary health professionals' beliefs, experiences, and willingness to treat minor-attracted persons', </w:t>
      </w:r>
      <w:r w:rsidRPr="00A21994">
        <w:rPr>
          <w:rFonts w:ascii="Arial" w:hAnsi="Arial" w:cs="Arial"/>
          <w:i/>
          <w:iCs/>
        </w:rPr>
        <w:t xml:space="preserve">Archives of Sexual </w:t>
      </w:r>
      <w:proofErr w:type="spellStart"/>
      <w:r w:rsidRPr="00A21994">
        <w:rPr>
          <w:rFonts w:ascii="Arial" w:hAnsi="Arial" w:cs="Arial"/>
          <w:i/>
          <w:iCs/>
        </w:rPr>
        <w:t>Behavior</w:t>
      </w:r>
      <w:proofErr w:type="spellEnd"/>
      <w:r w:rsidRPr="00A21994">
        <w:rPr>
          <w:rFonts w:ascii="Arial" w:hAnsi="Arial" w:cs="Arial"/>
        </w:rPr>
        <w:t xml:space="preserve">, </w:t>
      </w:r>
      <w:r w:rsidRPr="009E3315">
        <w:rPr>
          <w:rFonts w:ascii="Arial" w:hAnsi="Arial" w:cs="Arial"/>
        </w:rPr>
        <w:t>51</w:t>
      </w:r>
      <w:r w:rsidRPr="00A21994">
        <w:rPr>
          <w:rFonts w:ascii="Arial" w:hAnsi="Arial" w:cs="Arial"/>
        </w:rPr>
        <w:t>(2), pp. 923–943.</w:t>
      </w:r>
    </w:p>
    <w:p w14:paraId="65805129"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Lucy Faithfull Foundation (2024) </w:t>
      </w:r>
      <w:r w:rsidRPr="00A21994">
        <w:rPr>
          <w:rFonts w:ascii="Arial" w:hAnsi="Arial" w:cs="Arial"/>
          <w:i/>
          <w:iCs/>
        </w:rPr>
        <w:t>Stop It Now! UK and Ireland Helpline</w:t>
      </w:r>
      <w:r w:rsidRPr="00A21994">
        <w:rPr>
          <w:rFonts w:ascii="Arial" w:hAnsi="Arial" w:cs="Arial"/>
        </w:rPr>
        <w:t xml:space="preserve">. Available at: </w:t>
      </w:r>
      <w:hyperlink r:id="rId11" w:tgtFrame="_new" w:history="1">
        <w:r w:rsidRPr="00A21994">
          <w:rPr>
            <w:rStyle w:val="Hyperlink"/>
            <w:rFonts w:ascii="Arial" w:hAnsi="Arial" w:cs="Arial"/>
          </w:rPr>
          <w:t>https://www.lucyfaithfull.org.uk/our-services/stop-it-now/</w:t>
        </w:r>
      </w:hyperlink>
      <w:r w:rsidRPr="00A21994">
        <w:rPr>
          <w:rFonts w:ascii="Arial" w:hAnsi="Arial" w:cs="Arial"/>
        </w:rPr>
        <w:t xml:space="preserve"> (Accessed: 6 July 2026).</w:t>
      </w:r>
    </w:p>
    <w:p w14:paraId="06B673E8"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Lutz, M., Zani, D., Fritz, M., Dudeck, M. and Franke, I. (2022) 'A review and comparative analysis of the risk-needs-responsivity, good lives, and recovery models in forensic psychiatric treatment', </w:t>
      </w:r>
      <w:r w:rsidRPr="00A21994">
        <w:rPr>
          <w:rFonts w:ascii="Arial" w:hAnsi="Arial" w:cs="Arial"/>
          <w:i/>
          <w:iCs/>
        </w:rPr>
        <w:t>Frontiers in Psychiatry</w:t>
      </w:r>
      <w:r w:rsidRPr="00A21994">
        <w:rPr>
          <w:rFonts w:ascii="Arial" w:hAnsi="Arial" w:cs="Arial"/>
        </w:rPr>
        <w:t xml:space="preserve">, </w:t>
      </w:r>
      <w:r w:rsidRPr="00A21994">
        <w:rPr>
          <w:rFonts w:ascii="Arial" w:hAnsi="Arial" w:cs="Arial"/>
          <w:b/>
          <w:bCs/>
        </w:rPr>
        <w:t>13</w:t>
      </w:r>
      <w:r w:rsidRPr="00A21994">
        <w:rPr>
          <w:rFonts w:ascii="Arial" w:hAnsi="Arial" w:cs="Arial"/>
        </w:rPr>
        <w:t>, 988905.</w:t>
      </w:r>
    </w:p>
    <w:p w14:paraId="20892EE0"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Martijn, F.M., </w:t>
      </w:r>
      <w:proofErr w:type="spellStart"/>
      <w:r w:rsidRPr="00A21994">
        <w:rPr>
          <w:rFonts w:ascii="Arial" w:hAnsi="Arial" w:cs="Arial"/>
        </w:rPr>
        <w:t>Babchishin</w:t>
      </w:r>
      <w:proofErr w:type="spellEnd"/>
      <w:r w:rsidRPr="00A21994">
        <w:rPr>
          <w:rFonts w:ascii="Arial" w:hAnsi="Arial" w:cs="Arial"/>
        </w:rPr>
        <w:t xml:space="preserve">, K.M., Pullman, L.E. and Seto, M.C. (2020) 'Sexual attraction and falling in love in persons with </w:t>
      </w:r>
      <w:proofErr w:type="spellStart"/>
      <w:r w:rsidRPr="00A21994">
        <w:rPr>
          <w:rFonts w:ascii="Arial" w:hAnsi="Arial" w:cs="Arial"/>
        </w:rPr>
        <w:t>pedohebephilia</w:t>
      </w:r>
      <w:proofErr w:type="spellEnd"/>
      <w:r w:rsidRPr="00A21994">
        <w:rPr>
          <w:rFonts w:ascii="Arial" w:hAnsi="Arial" w:cs="Arial"/>
        </w:rPr>
        <w:t xml:space="preserve">', </w:t>
      </w:r>
      <w:r w:rsidRPr="00A21994">
        <w:rPr>
          <w:rFonts w:ascii="Arial" w:hAnsi="Arial" w:cs="Arial"/>
          <w:i/>
          <w:iCs/>
        </w:rPr>
        <w:t xml:space="preserve">Archives of Sexual </w:t>
      </w:r>
      <w:proofErr w:type="spellStart"/>
      <w:r w:rsidRPr="00A21994">
        <w:rPr>
          <w:rFonts w:ascii="Arial" w:hAnsi="Arial" w:cs="Arial"/>
          <w:i/>
          <w:iCs/>
        </w:rPr>
        <w:t>Behavior</w:t>
      </w:r>
      <w:proofErr w:type="spellEnd"/>
      <w:r w:rsidRPr="00A21994">
        <w:rPr>
          <w:rFonts w:ascii="Arial" w:hAnsi="Arial" w:cs="Arial"/>
        </w:rPr>
        <w:t xml:space="preserve">, </w:t>
      </w:r>
      <w:r w:rsidRPr="009E3315">
        <w:rPr>
          <w:rFonts w:ascii="Arial" w:hAnsi="Arial" w:cs="Arial"/>
        </w:rPr>
        <w:t>49</w:t>
      </w:r>
      <w:r w:rsidRPr="00A21994">
        <w:rPr>
          <w:rFonts w:ascii="Arial" w:hAnsi="Arial" w:cs="Arial"/>
        </w:rPr>
        <w:t>(4), pp. 1305–1318.</w:t>
      </w:r>
    </w:p>
    <w:p w14:paraId="49D80591"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Mundy, C.L. (2022) '10 years later: Revisiting Seto's (2012) conceptualization of orientation to sexual maturity among </w:t>
      </w:r>
      <w:proofErr w:type="spellStart"/>
      <w:r w:rsidRPr="00A21994">
        <w:rPr>
          <w:rFonts w:ascii="Arial" w:hAnsi="Arial" w:cs="Arial"/>
        </w:rPr>
        <w:t>pedohebephilic</w:t>
      </w:r>
      <w:proofErr w:type="spellEnd"/>
      <w:r w:rsidRPr="00A21994">
        <w:rPr>
          <w:rFonts w:ascii="Arial" w:hAnsi="Arial" w:cs="Arial"/>
        </w:rPr>
        <w:t xml:space="preserve"> persons', </w:t>
      </w:r>
      <w:r w:rsidRPr="00A21994">
        <w:rPr>
          <w:rFonts w:ascii="Arial" w:hAnsi="Arial" w:cs="Arial"/>
          <w:i/>
          <w:iCs/>
        </w:rPr>
        <w:t>The Canadian Journal of Human Sexuality</w:t>
      </w:r>
      <w:r w:rsidRPr="00A21994">
        <w:rPr>
          <w:rFonts w:ascii="Arial" w:hAnsi="Arial" w:cs="Arial"/>
        </w:rPr>
        <w:t xml:space="preserve">, </w:t>
      </w:r>
      <w:r w:rsidRPr="009E3315">
        <w:rPr>
          <w:rFonts w:ascii="Arial" w:hAnsi="Arial" w:cs="Arial"/>
        </w:rPr>
        <w:t>31</w:t>
      </w:r>
      <w:r w:rsidRPr="00A21994">
        <w:rPr>
          <w:rFonts w:ascii="Arial" w:hAnsi="Arial" w:cs="Arial"/>
        </w:rPr>
        <w:t>(3), pp. 443–457.</w:t>
      </w:r>
    </w:p>
    <w:p w14:paraId="7F5A5C5F"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National Institute for Health and Care Excellence (2016) </w:t>
      </w:r>
      <w:r w:rsidRPr="00A21994">
        <w:rPr>
          <w:rFonts w:ascii="Arial" w:hAnsi="Arial" w:cs="Arial"/>
          <w:i/>
          <w:iCs/>
        </w:rPr>
        <w:t>Harmful sexual behaviour among children and young people (NG55).</w:t>
      </w:r>
      <w:r w:rsidRPr="00A21994">
        <w:rPr>
          <w:rFonts w:ascii="Arial" w:hAnsi="Arial" w:cs="Arial"/>
        </w:rPr>
        <w:t xml:space="preserve"> Available at: </w:t>
      </w:r>
      <w:hyperlink r:id="rId12" w:tgtFrame="_new" w:history="1">
        <w:r w:rsidRPr="00A21994">
          <w:rPr>
            <w:rStyle w:val="Hyperlink"/>
            <w:rFonts w:ascii="Arial" w:hAnsi="Arial" w:cs="Arial"/>
          </w:rPr>
          <w:t>https://www.nice.org.uk/guidance/ng55</w:t>
        </w:r>
      </w:hyperlink>
      <w:r w:rsidRPr="00A21994">
        <w:rPr>
          <w:rFonts w:ascii="Arial" w:hAnsi="Arial" w:cs="Arial"/>
        </w:rPr>
        <w:t xml:space="preserve"> (Accessed: 6 July 2026).</w:t>
      </w:r>
    </w:p>
    <w:p w14:paraId="48969A67"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NHS England (2019) </w:t>
      </w:r>
      <w:r w:rsidRPr="00A21994">
        <w:rPr>
          <w:rFonts w:ascii="Arial" w:hAnsi="Arial" w:cs="Arial"/>
          <w:i/>
          <w:iCs/>
        </w:rPr>
        <w:t>The NHS Long Term Plan</w:t>
      </w:r>
      <w:r w:rsidRPr="00A21994">
        <w:rPr>
          <w:rFonts w:ascii="Arial" w:hAnsi="Arial" w:cs="Arial"/>
        </w:rPr>
        <w:t xml:space="preserve">. Available at: </w:t>
      </w:r>
      <w:hyperlink r:id="rId13" w:tgtFrame="_new" w:history="1">
        <w:r w:rsidRPr="00A21994">
          <w:rPr>
            <w:rStyle w:val="Hyperlink"/>
            <w:rFonts w:ascii="Arial" w:hAnsi="Arial" w:cs="Arial"/>
          </w:rPr>
          <w:t>https://www.longtermplan.nhs.uk</w:t>
        </w:r>
      </w:hyperlink>
      <w:r w:rsidRPr="00A21994">
        <w:rPr>
          <w:rFonts w:ascii="Arial" w:hAnsi="Arial" w:cs="Arial"/>
        </w:rPr>
        <w:t xml:space="preserve"> (Accessed: 6 July 2026).</w:t>
      </w:r>
    </w:p>
    <w:p w14:paraId="54AE3EDA"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Office for National Statistics (2024) </w:t>
      </w:r>
      <w:r w:rsidRPr="00A21994">
        <w:rPr>
          <w:rFonts w:ascii="Arial" w:hAnsi="Arial" w:cs="Arial"/>
          <w:i/>
          <w:iCs/>
        </w:rPr>
        <w:t>Abuse during childhood in England and Wales: March 2024</w:t>
      </w:r>
      <w:r w:rsidRPr="00A21994">
        <w:rPr>
          <w:rFonts w:ascii="Arial" w:hAnsi="Arial" w:cs="Arial"/>
        </w:rPr>
        <w:t xml:space="preserve">. Available at: </w:t>
      </w:r>
      <w:hyperlink r:id="rId14" w:tgtFrame="_new" w:history="1">
        <w:r w:rsidRPr="00A21994">
          <w:rPr>
            <w:rStyle w:val="Hyperlink"/>
            <w:rFonts w:ascii="Arial" w:hAnsi="Arial" w:cs="Arial"/>
          </w:rPr>
          <w:t>https://www.ons.gov.uk</w:t>
        </w:r>
      </w:hyperlink>
      <w:r w:rsidRPr="00A21994">
        <w:rPr>
          <w:rFonts w:ascii="Arial" w:hAnsi="Arial" w:cs="Arial"/>
        </w:rPr>
        <w:t xml:space="preserve"> (Accessed: 6 July 2026).</w:t>
      </w:r>
    </w:p>
    <w:p w14:paraId="3BAE1E71" w14:textId="77777777" w:rsidR="00A21994" w:rsidRPr="00A21994" w:rsidRDefault="00A21994" w:rsidP="00A21994">
      <w:pPr>
        <w:spacing w:after="200" w:line="360" w:lineRule="auto"/>
        <w:jc w:val="both"/>
        <w:rPr>
          <w:rFonts w:ascii="Arial" w:hAnsi="Arial" w:cs="Arial"/>
        </w:rPr>
      </w:pPr>
      <w:r w:rsidRPr="00A21994">
        <w:rPr>
          <w:rFonts w:ascii="Arial" w:hAnsi="Arial" w:cs="Arial"/>
        </w:rPr>
        <w:t>Reed, G.M., Drescher, J., Krueger, R.B., Atalla, E., Cochran, S.D., First, M.B., Cohen-</w:t>
      </w:r>
      <w:proofErr w:type="spellStart"/>
      <w:r w:rsidRPr="00A21994">
        <w:rPr>
          <w:rFonts w:ascii="Arial" w:hAnsi="Arial" w:cs="Arial"/>
        </w:rPr>
        <w:t>Kettenis</w:t>
      </w:r>
      <w:proofErr w:type="spellEnd"/>
      <w:r w:rsidRPr="00A21994">
        <w:rPr>
          <w:rFonts w:ascii="Arial" w:hAnsi="Arial" w:cs="Arial"/>
        </w:rPr>
        <w:t xml:space="preserve">, P.T., Arango-de Montis, I., Parish, S.J., </w:t>
      </w:r>
      <w:proofErr w:type="spellStart"/>
      <w:r w:rsidRPr="00A21994">
        <w:rPr>
          <w:rFonts w:ascii="Arial" w:hAnsi="Arial" w:cs="Arial"/>
        </w:rPr>
        <w:t>Cottler</w:t>
      </w:r>
      <w:proofErr w:type="spellEnd"/>
      <w:r w:rsidRPr="00A21994">
        <w:rPr>
          <w:rFonts w:ascii="Arial" w:hAnsi="Arial" w:cs="Arial"/>
        </w:rPr>
        <w:t xml:space="preserve">, S., Briken, P. and Saxena, S. (2016) 'Disorders related to sexuality and gender identity in the ICD-11', </w:t>
      </w:r>
      <w:r w:rsidRPr="00A21994">
        <w:rPr>
          <w:rFonts w:ascii="Arial" w:hAnsi="Arial" w:cs="Arial"/>
          <w:i/>
          <w:iCs/>
        </w:rPr>
        <w:t>World Psychiatry</w:t>
      </w:r>
      <w:r w:rsidRPr="00A21994">
        <w:rPr>
          <w:rFonts w:ascii="Arial" w:hAnsi="Arial" w:cs="Arial"/>
        </w:rPr>
        <w:t xml:space="preserve">, </w:t>
      </w:r>
      <w:r w:rsidRPr="009E3315">
        <w:rPr>
          <w:rFonts w:ascii="Arial" w:hAnsi="Arial" w:cs="Arial"/>
        </w:rPr>
        <w:t>15</w:t>
      </w:r>
      <w:r w:rsidRPr="00A21994">
        <w:rPr>
          <w:rFonts w:ascii="Arial" w:hAnsi="Arial" w:cs="Arial"/>
        </w:rPr>
        <w:t>(3), pp. 205–221.</w:t>
      </w:r>
    </w:p>
    <w:p w14:paraId="21D2A873"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Richards, K. (2022) 'Circles of support and accountability: The role of social relations in core member desistance', </w:t>
      </w:r>
      <w:r w:rsidRPr="00A21994">
        <w:rPr>
          <w:rFonts w:ascii="Arial" w:hAnsi="Arial" w:cs="Arial"/>
          <w:i/>
          <w:iCs/>
        </w:rPr>
        <w:t>Sexual Abuse</w:t>
      </w:r>
      <w:r w:rsidRPr="00A21994">
        <w:rPr>
          <w:rFonts w:ascii="Arial" w:hAnsi="Arial" w:cs="Arial"/>
        </w:rPr>
        <w:t xml:space="preserve">, </w:t>
      </w:r>
      <w:r w:rsidRPr="009E3315">
        <w:rPr>
          <w:rFonts w:ascii="Arial" w:hAnsi="Arial" w:cs="Arial"/>
        </w:rPr>
        <w:t>34</w:t>
      </w:r>
      <w:r w:rsidRPr="00A21994">
        <w:rPr>
          <w:rFonts w:ascii="Arial" w:hAnsi="Arial" w:cs="Arial"/>
        </w:rPr>
        <w:t>(8), pp. 1055–1076.</w:t>
      </w:r>
    </w:p>
    <w:p w14:paraId="2994FDA0"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Vulnerability Knowledge and Practice Programme (2024) </w:t>
      </w:r>
      <w:r w:rsidRPr="00A21994">
        <w:rPr>
          <w:rFonts w:ascii="Arial" w:hAnsi="Arial" w:cs="Arial"/>
          <w:i/>
          <w:iCs/>
        </w:rPr>
        <w:t>National Analysis of Police-Recorded Child Sexual Abuse and Exploitation Crimes</w:t>
      </w:r>
      <w:r w:rsidRPr="00A21994">
        <w:rPr>
          <w:rFonts w:ascii="Arial" w:hAnsi="Arial" w:cs="Arial"/>
        </w:rPr>
        <w:t xml:space="preserve">. Available at: </w:t>
      </w:r>
      <w:hyperlink r:id="rId15" w:tgtFrame="_new" w:history="1">
        <w:r w:rsidRPr="00A21994">
          <w:rPr>
            <w:rStyle w:val="Hyperlink"/>
            <w:rFonts w:ascii="Arial" w:hAnsi="Arial" w:cs="Arial"/>
          </w:rPr>
          <w:t>https://www.vkpp.org.uk</w:t>
        </w:r>
      </w:hyperlink>
      <w:r w:rsidRPr="00A21994">
        <w:rPr>
          <w:rFonts w:ascii="Arial" w:hAnsi="Arial" w:cs="Arial"/>
        </w:rPr>
        <w:t xml:space="preserve"> (Accessed: 6 July 2026).</w:t>
      </w:r>
    </w:p>
    <w:p w14:paraId="53D29F4B" w14:textId="77777777" w:rsidR="00A21994" w:rsidRPr="00A21994" w:rsidRDefault="00A21994" w:rsidP="00A21994">
      <w:pPr>
        <w:spacing w:after="200" w:line="360" w:lineRule="auto"/>
        <w:jc w:val="both"/>
        <w:rPr>
          <w:rFonts w:ascii="Arial" w:hAnsi="Arial" w:cs="Arial"/>
        </w:rPr>
      </w:pPr>
      <w:r w:rsidRPr="00A21994">
        <w:rPr>
          <w:rFonts w:ascii="Arial" w:hAnsi="Arial" w:cs="Arial"/>
        </w:rPr>
        <w:t xml:space="preserve">Yakeley, J. and Wood, H. (2014) 'Paraphilias and paraphilic disorders: Diagnosis, assessment and management', </w:t>
      </w:r>
      <w:r w:rsidRPr="00A21994">
        <w:rPr>
          <w:rFonts w:ascii="Arial" w:hAnsi="Arial" w:cs="Arial"/>
          <w:i/>
          <w:iCs/>
        </w:rPr>
        <w:t>Advances in Psychiatric Treatment</w:t>
      </w:r>
      <w:r w:rsidRPr="00A21994">
        <w:rPr>
          <w:rFonts w:ascii="Arial" w:hAnsi="Arial" w:cs="Arial"/>
        </w:rPr>
        <w:t xml:space="preserve">, </w:t>
      </w:r>
      <w:r w:rsidRPr="00D574D7">
        <w:rPr>
          <w:rFonts w:ascii="Arial" w:hAnsi="Arial" w:cs="Arial"/>
        </w:rPr>
        <w:t>20</w:t>
      </w:r>
      <w:r w:rsidRPr="00A21994">
        <w:rPr>
          <w:rFonts w:ascii="Arial" w:hAnsi="Arial" w:cs="Arial"/>
        </w:rPr>
        <w:t>(3), pp. 202–213.</w:t>
      </w:r>
    </w:p>
    <w:p w14:paraId="5235D49D" w14:textId="77777777" w:rsidR="00A21994" w:rsidRDefault="00A21994" w:rsidP="00A21994">
      <w:pPr>
        <w:spacing w:after="200" w:line="360" w:lineRule="auto"/>
        <w:jc w:val="both"/>
        <w:rPr>
          <w:rFonts w:ascii="Arial" w:hAnsi="Arial" w:cs="Arial"/>
        </w:rPr>
      </w:pPr>
      <w:r w:rsidRPr="00A21994">
        <w:rPr>
          <w:rFonts w:ascii="Arial" w:hAnsi="Arial" w:cs="Arial"/>
        </w:rPr>
        <w:lastRenderedPageBreak/>
        <w:t xml:space="preserve">Yakeley, J., Rost, F., Wood, H. and Abid, S. (2025) 'Paraphilias, problematic sexual behaviours and personality disorder: To what extent are they linked?', </w:t>
      </w:r>
      <w:r w:rsidRPr="00A21994">
        <w:rPr>
          <w:rFonts w:ascii="Arial" w:hAnsi="Arial" w:cs="Arial"/>
          <w:i/>
          <w:iCs/>
        </w:rPr>
        <w:t>Personality and Mental Health</w:t>
      </w:r>
      <w:r w:rsidRPr="00A21994">
        <w:rPr>
          <w:rFonts w:ascii="Arial" w:hAnsi="Arial" w:cs="Arial"/>
        </w:rPr>
        <w:t xml:space="preserve">, </w:t>
      </w:r>
      <w:r w:rsidRPr="009E3315">
        <w:rPr>
          <w:rFonts w:ascii="Arial" w:hAnsi="Arial" w:cs="Arial"/>
        </w:rPr>
        <w:t>19</w:t>
      </w:r>
      <w:r w:rsidRPr="00A21994">
        <w:rPr>
          <w:rFonts w:ascii="Arial" w:hAnsi="Arial" w:cs="Arial"/>
        </w:rPr>
        <w:t>(1), e1650.</w:t>
      </w:r>
    </w:p>
    <w:p w14:paraId="463FEA16" w14:textId="31901582" w:rsidR="00986523" w:rsidRPr="00A21994" w:rsidRDefault="00986523" w:rsidP="00A21994">
      <w:pPr>
        <w:spacing w:after="200" w:line="360" w:lineRule="auto"/>
        <w:jc w:val="both"/>
        <w:rPr>
          <w:rFonts w:ascii="Arial" w:hAnsi="Arial" w:cs="Arial"/>
        </w:rPr>
      </w:pPr>
      <w:r w:rsidRPr="00986523">
        <w:rPr>
          <w:rFonts w:ascii="Arial" w:hAnsi="Arial" w:cs="Arial"/>
        </w:rPr>
        <w:t xml:space="preserve">World Health Organization (2019) </w:t>
      </w:r>
      <w:r w:rsidRPr="00986523">
        <w:rPr>
          <w:rFonts w:ascii="Arial" w:hAnsi="Arial" w:cs="Arial"/>
          <w:i/>
          <w:iCs/>
        </w:rPr>
        <w:t>International Classification of Diseases for Mortality and Morbidity Statistics (11th Revision).</w:t>
      </w:r>
      <w:r w:rsidRPr="00986523">
        <w:rPr>
          <w:rFonts w:ascii="Arial" w:hAnsi="Arial" w:cs="Arial"/>
        </w:rPr>
        <w:t xml:space="preserve"> Geneva: World Health Organization. Available at: </w:t>
      </w:r>
      <w:hyperlink r:id="rId16" w:tgtFrame="_new" w:history="1">
        <w:r w:rsidRPr="00986523">
          <w:rPr>
            <w:rStyle w:val="Hyperlink"/>
            <w:rFonts w:ascii="Arial" w:hAnsi="Arial" w:cs="Arial"/>
          </w:rPr>
          <w:t>https://icd.who.int/</w:t>
        </w:r>
      </w:hyperlink>
      <w:r w:rsidRPr="00986523">
        <w:rPr>
          <w:rFonts w:ascii="Arial" w:hAnsi="Arial" w:cs="Arial"/>
        </w:rPr>
        <w:t xml:space="preserve"> (Accessed: </w:t>
      </w:r>
      <w:r>
        <w:rPr>
          <w:rFonts w:ascii="Arial" w:hAnsi="Arial" w:cs="Arial"/>
        </w:rPr>
        <w:t>4</w:t>
      </w:r>
      <w:r w:rsidRPr="00986523">
        <w:rPr>
          <w:rFonts w:ascii="Arial" w:hAnsi="Arial" w:cs="Arial"/>
        </w:rPr>
        <w:t xml:space="preserve"> </w:t>
      </w:r>
      <w:r>
        <w:rPr>
          <w:rFonts w:ascii="Arial" w:hAnsi="Arial" w:cs="Arial"/>
        </w:rPr>
        <w:t>July</w:t>
      </w:r>
      <w:r w:rsidRPr="00986523">
        <w:rPr>
          <w:rFonts w:ascii="Arial" w:hAnsi="Arial" w:cs="Arial"/>
        </w:rPr>
        <w:t xml:space="preserve"> 202</w:t>
      </w:r>
      <w:r>
        <w:rPr>
          <w:rFonts w:ascii="Arial" w:hAnsi="Arial" w:cs="Arial"/>
        </w:rPr>
        <w:t>6</w:t>
      </w:r>
      <w:r w:rsidRPr="00986523">
        <w:rPr>
          <w:rFonts w:ascii="Arial" w:hAnsi="Arial" w:cs="Arial"/>
        </w:rPr>
        <w:t>).</w:t>
      </w:r>
    </w:p>
    <w:p w14:paraId="0EE026FA" w14:textId="77777777" w:rsidR="00E91884" w:rsidRPr="007A4B30" w:rsidRDefault="00E91884" w:rsidP="003004B9">
      <w:pPr>
        <w:spacing w:after="200" w:line="360" w:lineRule="auto"/>
        <w:jc w:val="both"/>
        <w:rPr>
          <w:rFonts w:ascii="Arial" w:hAnsi="Arial" w:cs="Arial"/>
        </w:rPr>
      </w:pPr>
    </w:p>
    <w:p w14:paraId="1032F295" w14:textId="77777777" w:rsidR="003004B9" w:rsidRDefault="003004B9" w:rsidP="005365E3">
      <w:pPr>
        <w:spacing w:after="200" w:line="360" w:lineRule="auto"/>
        <w:jc w:val="both"/>
        <w:rPr>
          <w:rFonts w:ascii="Arial" w:eastAsia="Calibri" w:hAnsi="Arial" w:cs="Arial"/>
        </w:rPr>
      </w:pPr>
    </w:p>
    <w:p w14:paraId="4250EAF3" w14:textId="77777777" w:rsidR="001A574F" w:rsidRPr="007A4B30" w:rsidRDefault="001A574F" w:rsidP="005365E3">
      <w:pPr>
        <w:spacing w:after="200" w:line="360" w:lineRule="auto"/>
        <w:jc w:val="both"/>
        <w:rPr>
          <w:rFonts w:ascii="Arial" w:hAnsi="Arial" w:cs="Arial"/>
        </w:rPr>
      </w:pPr>
    </w:p>
    <w:p w14:paraId="17108B29" w14:textId="77777777" w:rsidR="005365E3" w:rsidRPr="00D55A3B" w:rsidRDefault="005365E3" w:rsidP="009F6C56">
      <w:pPr>
        <w:spacing w:after="200" w:line="360" w:lineRule="auto"/>
        <w:jc w:val="both"/>
        <w:rPr>
          <w:rFonts w:ascii="Arial" w:eastAsia="Calibri" w:hAnsi="Arial" w:cs="Arial"/>
          <w:b/>
          <w:bCs/>
        </w:rPr>
      </w:pPr>
    </w:p>
    <w:p w14:paraId="448C3544" w14:textId="77777777" w:rsidR="00D55A3B" w:rsidRPr="007A4B30" w:rsidRDefault="00D55A3B" w:rsidP="009F6C56">
      <w:pPr>
        <w:spacing w:after="200" w:line="360" w:lineRule="auto"/>
        <w:jc w:val="both"/>
        <w:rPr>
          <w:rFonts w:ascii="Arial" w:hAnsi="Arial" w:cs="Arial"/>
        </w:rPr>
      </w:pPr>
    </w:p>
    <w:p w14:paraId="31665F18" w14:textId="77777777" w:rsidR="000C0C90" w:rsidRPr="00B4794A" w:rsidRDefault="000C0C90" w:rsidP="00FC2AE4">
      <w:pPr>
        <w:spacing w:after="400" w:line="360" w:lineRule="auto"/>
        <w:rPr>
          <w:rFonts w:ascii="Arial" w:eastAsia="Calibri" w:hAnsi="Arial" w:cs="Arial"/>
          <w:b/>
          <w:bCs/>
        </w:rPr>
      </w:pPr>
    </w:p>
    <w:sectPr w:rsidR="000C0C90" w:rsidRPr="00B4794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30CFC" w14:textId="77777777" w:rsidR="00280E31" w:rsidRDefault="00280E31" w:rsidP="001E3947">
      <w:pPr>
        <w:spacing w:after="0" w:line="240" w:lineRule="auto"/>
      </w:pPr>
      <w:r>
        <w:separator/>
      </w:r>
    </w:p>
  </w:endnote>
  <w:endnote w:type="continuationSeparator" w:id="0">
    <w:p w14:paraId="51BA9D33" w14:textId="77777777" w:rsidR="00280E31" w:rsidRDefault="00280E31" w:rsidP="001E3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27802"/>
      <w:docPartObj>
        <w:docPartGallery w:val="Page Numbers (Bottom of Page)"/>
        <w:docPartUnique/>
      </w:docPartObj>
    </w:sdtPr>
    <w:sdtEndPr/>
    <w:sdtContent>
      <w:p w14:paraId="0B43A087" w14:textId="497090B9" w:rsidR="001E3947" w:rsidRDefault="001E3947">
        <w:pPr>
          <w:pStyle w:val="Footer"/>
          <w:jc w:val="right"/>
        </w:pPr>
        <w:r>
          <w:fldChar w:fldCharType="begin"/>
        </w:r>
        <w:r>
          <w:instrText>PAGE   \* MERGEFORMAT</w:instrText>
        </w:r>
        <w:r>
          <w:fldChar w:fldCharType="separate"/>
        </w:r>
        <w:r>
          <w:t>2</w:t>
        </w:r>
        <w:r>
          <w:fldChar w:fldCharType="end"/>
        </w:r>
      </w:p>
    </w:sdtContent>
  </w:sdt>
  <w:p w14:paraId="5C31359E" w14:textId="77777777" w:rsidR="001E3947" w:rsidRDefault="001E3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9D7AE" w14:textId="77777777" w:rsidR="00280E31" w:rsidRDefault="00280E31" w:rsidP="001E3947">
      <w:pPr>
        <w:spacing w:after="0" w:line="240" w:lineRule="auto"/>
      </w:pPr>
      <w:r>
        <w:separator/>
      </w:r>
    </w:p>
  </w:footnote>
  <w:footnote w:type="continuationSeparator" w:id="0">
    <w:p w14:paraId="16490999" w14:textId="77777777" w:rsidR="00280E31" w:rsidRDefault="00280E31" w:rsidP="001E3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845B4"/>
    <w:multiLevelType w:val="hybridMultilevel"/>
    <w:tmpl w:val="697C45F8"/>
    <w:lvl w:ilvl="0" w:tplc="D2B61C9E">
      <w:start w:val="1"/>
      <w:numFmt w:val="bullet"/>
      <w:lvlText w:val="●"/>
      <w:lvlJc w:val="left"/>
      <w:pPr>
        <w:ind w:left="720" w:hanging="360"/>
      </w:pPr>
    </w:lvl>
    <w:lvl w:ilvl="1" w:tplc="5AECA1A2">
      <w:start w:val="1"/>
      <w:numFmt w:val="bullet"/>
      <w:lvlText w:val="○"/>
      <w:lvlJc w:val="left"/>
      <w:pPr>
        <w:ind w:left="1440" w:hanging="360"/>
      </w:pPr>
    </w:lvl>
    <w:lvl w:ilvl="2" w:tplc="2CE4AB54">
      <w:start w:val="1"/>
      <w:numFmt w:val="bullet"/>
      <w:lvlText w:val="■"/>
      <w:lvlJc w:val="left"/>
      <w:pPr>
        <w:ind w:left="2160" w:hanging="360"/>
      </w:pPr>
    </w:lvl>
    <w:lvl w:ilvl="3" w:tplc="372A9366">
      <w:start w:val="1"/>
      <w:numFmt w:val="bullet"/>
      <w:lvlText w:val="●"/>
      <w:lvlJc w:val="left"/>
      <w:pPr>
        <w:ind w:left="2880" w:hanging="360"/>
      </w:pPr>
    </w:lvl>
    <w:lvl w:ilvl="4" w:tplc="3A260E1A">
      <w:start w:val="1"/>
      <w:numFmt w:val="bullet"/>
      <w:lvlText w:val="○"/>
      <w:lvlJc w:val="left"/>
      <w:pPr>
        <w:ind w:left="3600" w:hanging="360"/>
      </w:pPr>
    </w:lvl>
    <w:lvl w:ilvl="5" w:tplc="39D2AE7A">
      <w:start w:val="1"/>
      <w:numFmt w:val="bullet"/>
      <w:lvlText w:val="■"/>
      <w:lvlJc w:val="left"/>
      <w:pPr>
        <w:ind w:left="4320" w:hanging="360"/>
      </w:pPr>
    </w:lvl>
    <w:lvl w:ilvl="6" w:tplc="FECEC638">
      <w:start w:val="1"/>
      <w:numFmt w:val="bullet"/>
      <w:lvlText w:val="●"/>
      <w:lvlJc w:val="left"/>
      <w:pPr>
        <w:ind w:left="5040" w:hanging="360"/>
      </w:pPr>
    </w:lvl>
    <w:lvl w:ilvl="7" w:tplc="04F69662">
      <w:start w:val="1"/>
      <w:numFmt w:val="bullet"/>
      <w:lvlText w:val="●"/>
      <w:lvlJc w:val="left"/>
      <w:pPr>
        <w:ind w:left="5760" w:hanging="360"/>
      </w:pPr>
    </w:lvl>
    <w:lvl w:ilvl="8" w:tplc="92CC458A">
      <w:start w:val="1"/>
      <w:numFmt w:val="bullet"/>
      <w:lvlText w:val="●"/>
      <w:lvlJc w:val="left"/>
      <w:pPr>
        <w:ind w:left="6480" w:hanging="360"/>
      </w:pPr>
    </w:lvl>
  </w:abstractNum>
  <w:abstractNum w:abstractNumId="1" w15:restartNumberingAfterBreak="0">
    <w:nsid w:val="664B28E7"/>
    <w:multiLevelType w:val="hybridMultilevel"/>
    <w:tmpl w:val="D1B6C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2070939">
    <w:abstractNumId w:val="0"/>
    <w:lvlOverride w:ilvl="0">
      <w:startOverride w:val="1"/>
    </w:lvlOverride>
  </w:num>
  <w:num w:numId="2" w16cid:durableId="2060812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740"/>
    <w:rsid w:val="00014CC0"/>
    <w:rsid w:val="000256C8"/>
    <w:rsid w:val="0002763F"/>
    <w:rsid w:val="000567AA"/>
    <w:rsid w:val="0006599A"/>
    <w:rsid w:val="00094D37"/>
    <w:rsid w:val="000C0C90"/>
    <w:rsid w:val="000C5A77"/>
    <w:rsid w:val="000F0862"/>
    <w:rsid w:val="00113B20"/>
    <w:rsid w:val="00136B00"/>
    <w:rsid w:val="00174FD0"/>
    <w:rsid w:val="001A574F"/>
    <w:rsid w:val="001D739B"/>
    <w:rsid w:val="001D7E1B"/>
    <w:rsid w:val="001E3947"/>
    <w:rsid w:val="001E7855"/>
    <w:rsid w:val="001F0057"/>
    <w:rsid w:val="00234E8B"/>
    <w:rsid w:val="00280E31"/>
    <w:rsid w:val="002E3740"/>
    <w:rsid w:val="003004B9"/>
    <w:rsid w:val="003358C3"/>
    <w:rsid w:val="00357686"/>
    <w:rsid w:val="00383ABD"/>
    <w:rsid w:val="003A4EC6"/>
    <w:rsid w:val="003A6B61"/>
    <w:rsid w:val="00402E0E"/>
    <w:rsid w:val="00432476"/>
    <w:rsid w:val="00466005"/>
    <w:rsid w:val="004664EC"/>
    <w:rsid w:val="005365E3"/>
    <w:rsid w:val="00580F4A"/>
    <w:rsid w:val="005812A1"/>
    <w:rsid w:val="005840C6"/>
    <w:rsid w:val="00594FE1"/>
    <w:rsid w:val="005B0E7C"/>
    <w:rsid w:val="005B4F2C"/>
    <w:rsid w:val="005D1E71"/>
    <w:rsid w:val="00647C38"/>
    <w:rsid w:val="00653FD8"/>
    <w:rsid w:val="006650D2"/>
    <w:rsid w:val="0069400F"/>
    <w:rsid w:val="006A5D43"/>
    <w:rsid w:val="006B2713"/>
    <w:rsid w:val="006C0D2E"/>
    <w:rsid w:val="00702A21"/>
    <w:rsid w:val="00713E8C"/>
    <w:rsid w:val="007A3CE1"/>
    <w:rsid w:val="007C553E"/>
    <w:rsid w:val="007E1739"/>
    <w:rsid w:val="00805AD9"/>
    <w:rsid w:val="00830EFD"/>
    <w:rsid w:val="00894EB2"/>
    <w:rsid w:val="009203A5"/>
    <w:rsid w:val="00920D58"/>
    <w:rsid w:val="009330DA"/>
    <w:rsid w:val="00937386"/>
    <w:rsid w:val="009548CE"/>
    <w:rsid w:val="00982F33"/>
    <w:rsid w:val="00986523"/>
    <w:rsid w:val="009D34AC"/>
    <w:rsid w:val="009E3315"/>
    <w:rsid w:val="009F6C56"/>
    <w:rsid w:val="00A0144F"/>
    <w:rsid w:val="00A21994"/>
    <w:rsid w:val="00A519C0"/>
    <w:rsid w:val="00A70BA1"/>
    <w:rsid w:val="00AA3437"/>
    <w:rsid w:val="00AB5F17"/>
    <w:rsid w:val="00AD552E"/>
    <w:rsid w:val="00AD7356"/>
    <w:rsid w:val="00AF773D"/>
    <w:rsid w:val="00B03C03"/>
    <w:rsid w:val="00B4794A"/>
    <w:rsid w:val="00BA18B3"/>
    <w:rsid w:val="00BA2FAA"/>
    <w:rsid w:val="00BC10CE"/>
    <w:rsid w:val="00C34A69"/>
    <w:rsid w:val="00CB0FBE"/>
    <w:rsid w:val="00CB53BB"/>
    <w:rsid w:val="00CF3842"/>
    <w:rsid w:val="00CF50DE"/>
    <w:rsid w:val="00D23918"/>
    <w:rsid w:val="00D54571"/>
    <w:rsid w:val="00D55A3B"/>
    <w:rsid w:val="00D574D7"/>
    <w:rsid w:val="00DA4D13"/>
    <w:rsid w:val="00DD51D1"/>
    <w:rsid w:val="00DF14F2"/>
    <w:rsid w:val="00DF52F8"/>
    <w:rsid w:val="00E0488B"/>
    <w:rsid w:val="00E127C8"/>
    <w:rsid w:val="00E91884"/>
    <w:rsid w:val="00E9666F"/>
    <w:rsid w:val="00F1686F"/>
    <w:rsid w:val="00F311D1"/>
    <w:rsid w:val="00F34737"/>
    <w:rsid w:val="00F475D0"/>
    <w:rsid w:val="00F7307F"/>
    <w:rsid w:val="00F94CFE"/>
    <w:rsid w:val="00FC2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4437"/>
  <w15:chartTrackingRefBased/>
  <w15:docId w15:val="{D624249F-BA8F-4777-BC83-BAF4D150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740"/>
    <w:rPr>
      <w:rFonts w:eastAsiaTheme="majorEastAsia" w:cstheme="majorBidi"/>
      <w:color w:val="272727" w:themeColor="text1" w:themeTint="D8"/>
    </w:rPr>
  </w:style>
  <w:style w:type="paragraph" w:styleId="Title">
    <w:name w:val="Title"/>
    <w:basedOn w:val="Normal"/>
    <w:next w:val="Normal"/>
    <w:link w:val="TitleChar"/>
    <w:uiPriority w:val="10"/>
    <w:qFormat/>
    <w:rsid w:val="002E3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740"/>
    <w:pPr>
      <w:spacing w:before="160"/>
      <w:jc w:val="center"/>
    </w:pPr>
    <w:rPr>
      <w:i/>
      <w:iCs/>
      <w:color w:val="404040" w:themeColor="text1" w:themeTint="BF"/>
    </w:rPr>
  </w:style>
  <w:style w:type="character" w:customStyle="1" w:styleId="QuoteChar">
    <w:name w:val="Quote Char"/>
    <w:basedOn w:val="DefaultParagraphFont"/>
    <w:link w:val="Quote"/>
    <w:uiPriority w:val="29"/>
    <w:rsid w:val="002E3740"/>
    <w:rPr>
      <w:i/>
      <w:iCs/>
      <w:color w:val="404040" w:themeColor="text1" w:themeTint="BF"/>
    </w:rPr>
  </w:style>
  <w:style w:type="paragraph" w:styleId="ListParagraph">
    <w:name w:val="List Paragraph"/>
    <w:basedOn w:val="Normal"/>
    <w:qFormat/>
    <w:rsid w:val="002E3740"/>
    <w:pPr>
      <w:ind w:left="720"/>
      <w:contextualSpacing/>
    </w:pPr>
  </w:style>
  <w:style w:type="character" w:styleId="IntenseEmphasis">
    <w:name w:val="Intense Emphasis"/>
    <w:basedOn w:val="DefaultParagraphFont"/>
    <w:uiPriority w:val="21"/>
    <w:qFormat/>
    <w:rsid w:val="002E3740"/>
    <w:rPr>
      <w:i/>
      <w:iCs/>
      <w:color w:val="0F4761" w:themeColor="accent1" w:themeShade="BF"/>
    </w:rPr>
  </w:style>
  <w:style w:type="paragraph" w:styleId="IntenseQuote">
    <w:name w:val="Intense Quote"/>
    <w:basedOn w:val="Normal"/>
    <w:next w:val="Normal"/>
    <w:link w:val="IntenseQuoteChar"/>
    <w:uiPriority w:val="30"/>
    <w:qFormat/>
    <w:rsid w:val="002E3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740"/>
    <w:rPr>
      <w:i/>
      <w:iCs/>
      <w:color w:val="0F4761" w:themeColor="accent1" w:themeShade="BF"/>
    </w:rPr>
  </w:style>
  <w:style w:type="character" w:styleId="IntenseReference">
    <w:name w:val="Intense Reference"/>
    <w:basedOn w:val="DefaultParagraphFont"/>
    <w:uiPriority w:val="32"/>
    <w:qFormat/>
    <w:rsid w:val="002E3740"/>
    <w:rPr>
      <w:b/>
      <w:bCs/>
      <w:smallCaps/>
      <w:color w:val="0F4761" w:themeColor="accent1" w:themeShade="BF"/>
      <w:spacing w:val="5"/>
    </w:rPr>
  </w:style>
  <w:style w:type="character" w:styleId="Hyperlink">
    <w:name w:val="Hyperlink"/>
    <w:basedOn w:val="DefaultParagraphFont"/>
    <w:uiPriority w:val="99"/>
    <w:unhideWhenUsed/>
    <w:rsid w:val="00B03C03"/>
    <w:rPr>
      <w:color w:val="467886" w:themeColor="hyperlink"/>
      <w:u w:val="single"/>
    </w:rPr>
  </w:style>
  <w:style w:type="character" w:styleId="UnresolvedMention">
    <w:name w:val="Unresolved Mention"/>
    <w:basedOn w:val="DefaultParagraphFont"/>
    <w:uiPriority w:val="99"/>
    <w:semiHidden/>
    <w:unhideWhenUsed/>
    <w:rsid w:val="00B03C03"/>
    <w:rPr>
      <w:color w:val="605E5C"/>
      <w:shd w:val="clear" w:color="auto" w:fill="E1DFDD"/>
    </w:rPr>
  </w:style>
  <w:style w:type="paragraph" w:styleId="Header">
    <w:name w:val="header"/>
    <w:basedOn w:val="Normal"/>
    <w:link w:val="HeaderChar"/>
    <w:uiPriority w:val="99"/>
    <w:unhideWhenUsed/>
    <w:rsid w:val="001E3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947"/>
  </w:style>
  <w:style w:type="paragraph" w:styleId="Footer">
    <w:name w:val="footer"/>
    <w:basedOn w:val="Normal"/>
    <w:link w:val="FooterChar"/>
    <w:uiPriority w:val="99"/>
    <w:unhideWhenUsed/>
    <w:rsid w:val="001E3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947"/>
  </w:style>
  <w:style w:type="paragraph" w:styleId="TOCHeading">
    <w:name w:val="TOC Heading"/>
    <w:basedOn w:val="Heading1"/>
    <w:next w:val="Normal"/>
    <w:uiPriority w:val="39"/>
    <w:unhideWhenUsed/>
    <w:qFormat/>
    <w:rsid w:val="00F1686F"/>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3/20" TargetMode="External"/><Relationship Id="rId13" Type="http://schemas.openxmlformats.org/officeDocument/2006/relationships/hyperlink" Target="https://www.longtermplan.nhs.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guidance/ng5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cd.who.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ucyfaithfull.org.uk/our-services/stop-it-now/" TargetMode="External"/><Relationship Id="rId5" Type="http://schemas.openxmlformats.org/officeDocument/2006/relationships/footnotes" Target="footnotes.xml"/><Relationship Id="rId15" Type="http://schemas.openxmlformats.org/officeDocument/2006/relationships/hyperlink" Target="https://www.vkpp.org.uk" TargetMode="External"/><Relationship Id="rId10" Type="http://schemas.openxmlformats.org/officeDocument/2006/relationships/hyperlink" Target="https://www.legislation.gov.uk/ukpga/2014/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si/2010/2128" TargetMode="External"/><Relationship Id="rId1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3461</Words>
  <Characters>19729</Characters>
  <Application>Microsoft Office Word</Application>
  <DocSecurity>0</DocSecurity>
  <Lines>164</Lines>
  <Paragraphs>46</Paragraphs>
  <ScaleCrop>false</ScaleCrop>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 (2329516)</dc:creator>
  <cp:keywords/>
  <dc:description/>
  <cp:lastModifiedBy>Melania Ciornei (2329516)</cp:lastModifiedBy>
  <cp:revision>16</cp:revision>
  <dcterms:created xsi:type="dcterms:W3CDTF">2026-07-06T14:51:00Z</dcterms:created>
  <dcterms:modified xsi:type="dcterms:W3CDTF">2026-07-13T17:17:00Z</dcterms:modified>
</cp:coreProperties>
</file>