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249ED" w14:textId="272B4C7C" w:rsidR="00D271D2" w:rsidRDefault="00D271D2" w:rsidP="00D271D2">
      <w:pPr>
        <w:spacing w:before="100" w:beforeAutospacing="1" w:after="100" w:afterAutospacing="1" w:line="240" w:lineRule="auto"/>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Tanya Roberts</w:t>
      </w:r>
    </w:p>
    <w:p w14:paraId="07233087" w14:textId="3B855301" w:rsidR="00D271D2" w:rsidRDefault="00D271D2" w:rsidP="00D271D2">
      <w:pPr>
        <w:spacing w:before="100" w:beforeAutospacing="1" w:after="100" w:afterAutospacing="1" w:line="240" w:lineRule="auto"/>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2520867</w:t>
      </w:r>
    </w:p>
    <w:p w14:paraId="71478424" w14:textId="1E445A92" w:rsidR="00D271D2" w:rsidRDefault="00D271D2" w:rsidP="00D271D2">
      <w:pPr>
        <w:spacing w:before="100" w:beforeAutospacing="1" w:after="100" w:afterAutospacing="1" w:line="240" w:lineRule="auto"/>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Speakers notes</w:t>
      </w:r>
    </w:p>
    <w:p w14:paraId="21893764" w14:textId="626D37E9" w:rsidR="00D271D2" w:rsidRDefault="008A31B0" w:rsidP="00D271D2">
      <w:pPr>
        <w:spacing w:before="100" w:beforeAutospacing="1" w:after="100" w:afterAutospacing="1" w:line="240" w:lineRule="auto"/>
        <w:jc w:val="center"/>
        <w:rPr>
          <w:rFonts w:ascii="Arial" w:eastAsia="Times New Roman" w:hAnsi="Arial" w:cs="Arial"/>
          <w:b/>
          <w:bCs/>
          <w:kern w:val="0"/>
          <w:sz w:val="24"/>
          <w:szCs w:val="24"/>
          <w:lang w:eastAsia="en-GB"/>
          <w14:ligatures w14:val="none"/>
        </w:rPr>
      </w:pPr>
      <w:r w:rsidRPr="008A31B0">
        <w:rPr>
          <w:rFonts w:ascii="Arial" w:hAnsi="Arial" w:cs="Arial"/>
          <w:b/>
          <w:bCs/>
        </w:rPr>
        <w:t xml:space="preserve">THE ROLE OF A YOUTH WORKER IN SUPPORTING YOUNG PEOPLE WITH PSYCHOLOGICAL WELLBEING AND ADOLESCENT TRANSITIONS </w:t>
      </w:r>
      <w:r w:rsidR="00D271D2" w:rsidRPr="000F4D69">
        <w:rPr>
          <w:rFonts w:ascii="Arial" w:hAnsi="Arial" w:cs="Arial"/>
          <w:b/>
        </w:rPr>
        <w:t>ECYW4012</w:t>
      </w:r>
    </w:p>
    <w:p w14:paraId="5E5032A6" w14:textId="0B816A98" w:rsidR="007A442F" w:rsidRPr="007A442F" w:rsidRDefault="0089773A"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Slide </w:t>
      </w:r>
      <w:r w:rsidR="007A442F" w:rsidRPr="007A442F">
        <w:rPr>
          <w:rFonts w:ascii="Arial" w:eastAsia="Times New Roman" w:hAnsi="Arial" w:cs="Arial"/>
          <w:b/>
          <w:bCs/>
          <w:kern w:val="0"/>
          <w:sz w:val="24"/>
          <w:szCs w:val="24"/>
          <w:lang w:eastAsia="en-GB"/>
          <w14:ligatures w14:val="none"/>
        </w:rPr>
        <w:t>1. Introduction (1 minute)</w:t>
      </w:r>
    </w:p>
    <w:p w14:paraId="45B3E98A"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My name is Tanya Roberts, and today I will be presenting a seminar on the role of youth workers in supporting young people’s psychological wellbeing and their transitions through adolescence.</w:t>
      </w:r>
    </w:p>
    <w:p w14:paraId="221327CE"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I will begin by outlining the key developmental changes that occur during adolescence, including physical, emotional, and cognitive development, as well as the key age</w:t>
      </w:r>
      <w:r w:rsidRPr="007A442F">
        <w:rPr>
          <w:rFonts w:ascii="Arial" w:eastAsia="Times New Roman" w:hAnsi="Arial" w:cs="Arial"/>
          <w:kern w:val="0"/>
          <w:sz w:val="24"/>
          <w:szCs w:val="24"/>
          <w:lang w:eastAsia="en-GB"/>
          <w14:ligatures w14:val="none"/>
        </w:rPr>
        <w:noBreakHyphen/>
        <w:t>related milestones. I will then explore how relationships shift during this period, particularly with families and peer groups.</w:t>
      </w:r>
    </w:p>
    <w:p w14:paraId="53EAC70D"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Following this, I will consider wider social pressures such as poverty, digital influences, and changing employment patterns. Finally, I will conclude by discussing how youth workers in Wales can support young people through these challenges, drawing on psychological theory, youth work principles, and Welsh policy frameworks.</w:t>
      </w:r>
    </w:p>
    <w:p w14:paraId="70E326EB" w14:textId="2B96707A" w:rsidR="007A442F" w:rsidRPr="007A442F" w:rsidRDefault="0089773A"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Slide </w:t>
      </w:r>
      <w:r w:rsidR="007A442F" w:rsidRPr="007A442F">
        <w:rPr>
          <w:rFonts w:ascii="Arial" w:eastAsia="Times New Roman" w:hAnsi="Arial" w:cs="Arial"/>
          <w:b/>
          <w:bCs/>
          <w:kern w:val="0"/>
          <w:sz w:val="24"/>
          <w:szCs w:val="24"/>
          <w:lang w:eastAsia="en-GB"/>
          <w14:ligatures w14:val="none"/>
        </w:rPr>
        <w:t>2. Understanding Adolescent Transitions (2 minutes)</w:t>
      </w:r>
    </w:p>
    <w:p w14:paraId="55590679" w14:textId="77777777"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Adolescence is widely recognised as a complex and challenging period, marked by rapid physical, emotional, and cognitive changes. These changes shape young people’s emerging identities and influence how they see themselves within society.</w:t>
      </w:r>
    </w:p>
    <w:p w14:paraId="18E1D8EB" w14:textId="1FF75AF4" w:rsidR="0089773A" w:rsidRPr="007A442F" w:rsidRDefault="0089773A"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As we can see from the top image this visualises how the brain develops and second image is what we think a </w:t>
      </w:r>
      <w:r w:rsidR="001E4392">
        <w:rPr>
          <w:rFonts w:ascii="Arial" w:eastAsia="Times New Roman" w:hAnsi="Arial" w:cs="Arial"/>
          <w:kern w:val="0"/>
          <w:sz w:val="24"/>
          <w:szCs w:val="24"/>
          <w:lang w:eastAsia="en-GB"/>
          <w14:ligatures w14:val="none"/>
        </w:rPr>
        <w:t>young person mind</w:t>
      </w:r>
      <w:r>
        <w:rPr>
          <w:rFonts w:ascii="Arial" w:eastAsia="Times New Roman" w:hAnsi="Arial" w:cs="Arial"/>
          <w:kern w:val="0"/>
          <w:sz w:val="24"/>
          <w:szCs w:val="24"/>
          <w:lang w:eastAsia="en-GB"/>
          <w14:ligatures w14:val="none"/>
        </w:rPr>
        <w:t xml:space="preserve"> looks like as they try and navigate through Adolescences.</w:t>
      </w:r>
    </w:p>
    <w:p w14:paraId="1CC82BBA" w14:textId="774BE684" w:rsidR="0089773A" w:rsidRPr="0089773A" w:rsidRDefault="0089773A" w:rsidP="007A442F">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89773A">
        <w:rPr>
          <w:rFonts w:ascii="Arial" w:eastAsia="Times New Roman" w:hAnsi="Arial" w:cs="Arial"/>
          <w:b/>
          <w:bCs/>
          <w:kern w:val="0"/>
          <w:sz w:val="24"/>
          <w:szCs w:val="24"/>
          <w:lang w:eastAsia="en-GB"/>
          <w14:ligatures w14:val="none"/>
        </w:rPr>
        <w:t>Slide 3</w:t>
      </w:r>
      <w:r>
        <w:rPr>
          <w:rFonts w:ascii="Arial" w:eastAsia="Times New Roman" w:hAnsi="Arial" w:cs="Arial"/>
          <w:b/>
          <w:bCs/>
          <w:kern w:val="0"/>
          <w:sz w:val="24"/>
          <w:szCs w:val="24"/>
          <w:lang w:eastAsia="en-GB"/>
          <w14:ligatures w14:val="none"/>
        </w:rPr>
        <w:t xml:space="preserve"> Eriksons </w:t>
      </w:r>
      <w:r w:rsidR="001E4392">
        <w:rPr>
          <w:rFonts w:ascii="Arial" w:eastAsia="Times New Roman" w:hAnsi="Arial" w:cs="Arial"/>
          <w:b/>
          <w:bCs/>
          <w:kern w:val="0"/>
          <w:sz w:val="24"/>
          <w:szCs w:val="24"/>
          <w:lang w:eastAsia="en-GB"/>
          <w14:ligatures w14:val="none"/>
        </w:rPr>
        <w:t xml:space="preserve">psychosocial theory </w:t>
      </w:r>
    </w:p>
    <w:p w14:paraId="535A2899" w14:textId="798274CF"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Erikson’s psychosocial theory identifies adolescence as the stage of </w:t>
      </w:r>
      <w:r w:rsidRPr="007A442F">
        <w:rPr>
          <w:rFonts w:ascii="Arial" w:eastAsia="Times New Roman" w:hAnsi="Arial" w:cs="Arial"/>
          <w:b/>
          <w:bCs/>
          <w:kern w:val="0"/>
          <w:sz w:val="24"/>
          <w:szCs w:val="24"/>
          <w:lang w:eastAsia="en-GB"/>
          <w14:ligatures w14:val="none"/>
        </w:rPr>
        <w:t>Identity vs Role Confusion</w:t>
      </w:r>
      <w:r w:rsidRPr="007A442F">
        <w:rPr>
          <w:rFonts w:ascii="Arial" w:eastAsia="Times New Roman" w:hAnsi="Arial" w:cs="Arial"/>
          <w:kern w:val="0"/>
          <w:sz w:val="24"/>
          <w:szCs w:val="24"/>
          <w:lang w:eastAsia="en-GB"/>
          <w14:ligatures w14:val="none"/>
        </w:rPr>
        <w:t>, typically occurring between ages 12–18 (Erikson, 1968). During this stage, young people explore their values, beliefs, and future aspirations. Erikson argues that when adolescents are given space to experiment, alongside supportive guidance, they are more likely to develop a strong and coherent sense of identity.</w:t>
      </w:r>
    </w:p>
    <w:p w14:paraId="5A85F8FA" w14:textId="60AD85A8"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noProof/>
        </w:rPr>
        <w:lastRenderedPageBreak/>
        <w:drawing>
          <wp:inline distT="0" distB="0" distL="0" distR="0" wp14:anchorId="7BED5B04" wp14:editId="0B1CA122">
            <wp:extent cx="5731510" cy="3223895"/>
            <wp:effectExtent l="0" t="0" r="2540" b="0"/>
            <wp:docPr id="29477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6FA8D48" w14:textId="77777777" w:rsidR="00860C77" w:rsidRPr="00860C77" w:rsidRDefault="00860C77" w:rsidP="007A442F">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860C77">
        <w:rPr>
          <w:rFonts w:ascii="Arial" w:eastAsia="Times New Roman" w:hAnsi="Arial" w:cs="Arial"/>
          <w:b/>
          <w:bCs/>
          <w:kern w:val="0"/>
          <w:sz w:val="24"/>
          <w:szCs w:val="24"/>
          <w:lang w:eastAsia="en-GB"/>
          <w14:ligatures w14:val="none"/>
        </w:rPr>
        <w:t>Slide 4</w:t>
      </w:r>
    </w:p>
    <w:p w14:paraId="44D44ADA" w14:textId="5BF4BCC4"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Piaget’s theory also highlights significant cognitive development during adolescence. He suggests that young people enter the </w:t>
      </w:r>
      <w:r w:rsidRPr="007A442F">
        <w:rPr>
          <w:rFonts w:ascii="Arial" w:eastAsia="Times New Roman" w:hAnsi="Arial" w:cs="Arial"/>
          <w:b/>
          <w:bCs/>
          <w:kern w:val="0"/>
          <w:sz w:val="24"/>
          <w:szCs w:val="24"/>
          <w:lang w:eastAsia="en-GB"/>
          <w14:ligatures w14:val="none"/>
        </w:rPr>
        <w:t>formal operational stage</w:t>
      </w:r>
      <w:r w:rsidRPr="007A442F">
        <w:rPr>
          <w:rFonts w:ascii="Arial" w:eastAsia="Times New Roman" w:hAnsi="Arial" w:cs="Arial"/>
          <w:kern w:val="0"/>
          <w:sz w:val="24"/>
          <w:szCs w:val="24"/>
          <w:lang w:eastAsia="en-GB"/>
          <w14:ligatures w14:val="none"/>
        </w:rPr>
        <w:t xml:space="preserve"> from around age 11, gaining the ability to think abstractly, reason hypothetically, and consider multiple perspectives (Piaget, 1972).</w:t>
      </w:r>
    </w:p>
    <w:p w14:paraId="54B8C918" w14:textId="726E1487" w:rsidR="00B07304" w:rsidRPr="007A442F" w:rsidRDefault="00B07304"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noProof/>
        </w:rPr>
        <w:drawing>
          <wp:inline distT="0" distB="0" distL="0" distR="0" wp14:anchorId="75872FFF" wp14:editId="21240060">
            <wp:extent cx="5731510" cy="3822700"/>
            <wp:effectExtent l="0" t="0" r="2540" b="6350"/>
            <wp:docPr id="1575461073" name="Picture 1" descr="Overview of Jean Piaget’s four cognitive development stages with age ranges and key characteristics for educ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view of Jean Piaget’s four cognitive development stages with age ranges and key characteristics for educato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1F485BC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lastRenderedPageBreak/>
        <w:t xml:space="preserve">However, despite these advances, the adolescent brain is still developing—particularly the </w:t>
      </w:r>
      <w:r w:rsidRPr="007A442F">
        <w:rPr>
          <w:rFonts w:ascii="Arial" w:eastAsia="Times New Roman" w:hAnsi="Arial" w:cs="Arial"/>
          <w:b/>
          <w:bCs/>
          <w:kern w:val="0"/>
          <w:sz w:val="24"/>
          <w:szCs w:val="24"/>
          <w:lang w:eastAsia="en-GB"/>
          <w14:ligatures w14:val="none"/>
        </w:rPr>
        <w:t>prefrontal cortex</w:t>
      </w:r>
      <w:r w:rsidRPr="007A442F">
        <w:rPr>
          <w:rFonts w:ascii="Arial" w:eastAsia="Times New Roman" w:hAnsi="Arial" w:cs="Arial"/>
          <w:kern w:val="0"/>
          <w:sz w:val="24"/>
          <w:szCs w:val="24"/>
          <w:lang w:eastAsia="en-GB"/>
          <w14:ligatures w14:val="none"/>
        </w:rPr>
        <w:t>, which is responsible for decision</w:t>
      </w:r>
      <w:r w:rsidRPr="007A442F">
        <w:rPr>
          <w:rFonts w:ascii="Arial" w:eastAsia="Times New Roman" w:hAnsi="Arial" w:cs="Arial"/>
          <w:kern w:val="0"/>
          <w:sz w:val="24"/>
          <w:szCs w:val="24"/>
          <w:lang w:eastAsia="en-GB"/>
          <w14:ligatures w14:val="none"/>
        </w:rPr>
        <w:noBreakHyphen/>
        <w:t>making and impulse control. This can lead to increased emotional responses and risk</w:t>
      </w:r>
      <w:r w:rsidRPr="007A442F">
        <w:rPr>
          <w:rFonts w:ascii="Arial" w:eastAsia="Times New Roman" w:hAnsi="Arial" w:cs="Arial"/>
          <w:kern w:val="0"/>
          <w:sz w:val="24"/>
          <w:szCs w:val="24"/>
          <w:lang w:eastAsia="en-GB"/>
          <w14:ligatures w14:val="none"/>
        </w:rPr>
        <w:noBreakHyphen/>
        <w:t>taking behaviours, including substance misuse, unsafe sexual activity, and susceptibility to peer influence.</w:t>
      </w:r>
    </w:p>
    <w:p w14:paraId="35F66957"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Recent data from NHS Wales highlights the scale of these risks:</w:t>
      </w:r>
    </w:p>
    <w:p w14:paraId="49340C57"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i/>
          <w:iCs/>
          <w:kern w:val="0"/>
          <w:sz w:val="24"/>
          <w:szCs w:val="24"/>
          <w:lang w:eastAsia="en-GB"/>
          <w14:ligatures w14:val="none"/>
        </w:rPr>
        <w:t>“There were a total of 869 school exclusions as a result of alcohol or drugs amongst school</w:t>
      </w:r>
      <w:r w:rsidRPr="007A442F">
        <w:rPr>
          <w:rFonts w:ascii="Arial" w:eastAsia="Times New Roman" w:hAnsi="Arial" w:cs="Arial"/>
          <w:i/>
          <w:iCs/>
          <w:kern w:val="0"/>
          <w:sz w:val="24"/>
          <w:szCs w:val="24"/>
          <w:lang w:eastAsia="en-GB"/>
          <w14:ligatures w14:val="none"/>
        </w:rPr>
        <w:noBreakHyphen/>
        <w:t>aged children in 2022–23.” (Public Health</w:t>
      </w:r>
      <w:r w:rsidRPr="007A442F">
        <w:rPr>
          <w:rFonts w:ascii="Arial" w:eastAsia="Times New Roman" w:hAnsi="Arial" w:cs="Arial"/>
          <w:kern w:val="0"/>
          <w:sz w:val="24"/>
          <w:szCs w:val="24"/>
          <w:lang w:eastAsia="en-GB"/>
          <w14:ligatures w14:val="none"/>
        </w:rPr>
        <w:t xml:space="preserve"> Wales, 2023)</w:t>
      </w:r>
    </w:p>
    <w:p w14:paraId="6CCA485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This reinforces the importance of youth workers being present in both community and school settings, offering informal education, early intervention, and trusted support. Ongoing training is essential so youth workers can respond to emerging trends and provide accurate, relevant guidance.</w:t>
      </w:r>
    </w:p>
    <w:p w14:paraId="2746DAB3" w14:textId="44D50432" w:rsidR="007A442F" w:rsidRPr="007A442F" w:rsidRDefault="00FB561A"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Slide 5</w:t>
      </w:r>
      <w:r w:rsidR="007A442F" w:rsidRPr="007A442F">
        <w:rPr>
          <w:rFonts w:ascii="Arial" w:eastAsia="Times New Roman" w:hAnsi="Arial" w:cs="Arial"/>
          <w:b/>
          <w:bCs/>
          <w:kern w:val="0"/>
          <w:sz w:val="24"/>
          <w:szCs w:val="24"/>
          <w:lang w:eastAsia="en-GB"/>
          <w14:ligatures w14:val="none"/>
        </w:rPr>
        <w:t>. Changing Relationships: Family and Peer Groups (2 minutes)</w:t>
      </w:r>
    </w:p>
    <w:p w14:paraId="6440C072"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Family Relationships</w:t>
      </w:r>
    </w:p>
    <w:p w14:paraId="2323B0D4"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As adolescents seek independence, family relationships often become strained. Boundaries are tested, communication can break down, and conflict may arise. Bowlby’s attachment theory reminds us that even as young people push for autonomy, </w:t>
      </w:r>
      <w:r w:rsidRPr="007A442F">
        <w:rPr>
          <w:rFonts w:ascii="Arial" w:eastAsia="Times New Roman" w:hAnsi="Arial" w:cs="Arial"/>
          <w:b/>
          <w:bCs/>
          <w:kern w:val="0"/>
          <w:sz w:val="24"/>
          <w:szCs w:val="24"/>
          <w:lang w:eastAsia="en-GB"/>
          <w14:ligatures w14:val="none"/>
        </w:rPr>
        <w:t>secure and consistent relationships</w:t>
      </w:r>
      <w:r w:rsidRPr="007A442F">
        <w:rPr>
          <w:rFonts w:ascii="Arial" w:eastAsia="Times New Roman" w:hAnsi="Arial" w:cs="Arial"/>
          <w:kern w:val="0"/>
          <w:sz w:val="24"/>
          <w:szCs w:val="24"/>
          <w:lang w:eastAsia="en-GB"/>
          <w14:ligatures w14:val="none"/>
        </w:rPr>
        <w:t xml:space="preserve"> remain vital for emotional wellbeing (Bowlby, 1988).</w:t>
      </w:r>
    </w:p>
    <w:p w14:paraId="2B437F92"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Youth workers can play a crucial role in supporting families through these tensions. In my own work on a homelessness prevention project, mediation is often key. Many young people present as homeless due to conflict over household rules or expectations. Mediation allows both sides to be heard and helps families reach compromise, reducing the risk of homelessness.</w:t>
      </w:r>
    </w:p>
    <w:p w14:paraId="5781D39D"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Peer Relationships</w:t>
      </w:r>
    </w:p>
    <w:p w14:paraId="2AA00421"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Peer groups become increasingly important during adolescence, offering belonging, identity, and social learning. However, peers can also influence risk</w:t>
      </w:r>
      <w:r w:rsidRPr="007A442F">
        <w:rPr>
          <w:rFonts w:ascii="Arial" w:eastAsia="Times New Roman" w:hAnsi="Arial" w:cs="Arial"/>
          <w:kern w:val="0"/>
          <w:sz w:val="24"/>
          <w:szCs w:val="24"/>
          <w:lang w:eastAsia="en-GB"/>
          <w14:ligatures w14:val="none"/>
        </w:rPr>
        <w:noBreakHyphen/>
        <w:t>taking behaviours. As Glaser, Shelton and Bree (2010) note, peer groups can both model positive behaviours and provide opportunities for negative ones.</w:t>
      </w:r>
    </w:p>
    <w:p w14:paraId="57CB3483"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Youth workers can create safe, structured environments where young people can form healthy peer relationships and develop social skills. Many Welsh youth services use </w:t>
      </w:r>
      <w:r w:rsidRPr="007A442F">
        <w:rPr>
          <w:rFonts w:ascii="Arial" w:eastAsia="Times New Roman" w:hAnsi="Arial" w:cs="Arial"/>
          <w:b/>
          <w:bCs/>
          <w:kern w:val="0"/>
          <w:sz w:val="24"/>
          <w:szCs w:val="24"/>
          <w:lang w:eastAsia="en-GB"/>
          <w14:ligatures w14:val="none"/>
        </w:rPr>
        <w:t>peer mentoring</w:t>
      </w:r>
      <w:r w:rsidRPr="007A442F">
        <w:rPr>
          <w:rFonts w:ascii="Arial" w:eastAsia="Times New Roman" w:hAnsi="Arial" w:cs="Arial"/>
          <w:kern w:val="0"/>
          <w:sz w:val="24"/>
          <w:szCs w:val="24"/>
          <w:lang w:eastAsia="en-GB"/>
          <w14:ligatures w14:val="none"/>
        </w:rPr>
        <w:t>, which empowers young people to support one another and develop leadership skills. At CYEB, for example, our peer mentoring scheme allows young people to gain accreditation while building confidence and positive relationships.</w:t>
      </w:r>
    </w:p>
    <w:p w14:paraId="29AA6D38" w14:textId="43B71856" w:rsidR="007A442F" w:rsidRPr="007A442F" w:rsidRDefault="003247EB"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Slide </w:t>
      </w:r>
      <w:r w:rsidR="001617ED">
        <w:rPr>
          <w:rFonts w:ascii="Arial" w:eastAsia="Times New Roman" w:hAnsi="Arial" w:cs="Arial"/>
          <w:b/>
          <w:bCs/>
          <w:kern w:val="0"/>
          <w:sz w:val="24"/>
          <w:szCs w:val="24"/>
          <w:lang w:eastAsia="en-GB"/>
          <w14:ligatures w14:val="none"/>
        </w:rPr>
        <w:t>6:</w:t>
      </w:r>
      <w:r w:rsidR="001617ED" w:rsidRPr="007A442F">
        <w:rPr>
          <w:rFonts w:ascii="Arial" w:eastAsia="Times New Roman" w:hAnsi="Arial" w:cs="Arial"/>
          <w:b/>
          <w:bCs/>
          <w:kern w:val="0"/>
          <w:sz w:val="24"/>
          <w:szCs w:val="24"/>
          <w:lang w:eastAsia="en-GB"/>
          <w14:ligatures w14:val="none"/>
        </w:rPr>
        <w:t xml:space="preserve"> Social</w:t>
      </w:r>
      <w:r w:rsidR="007A442F" w:rsidRPr="007A442F">
        <w:rPr>
          <w:rFonts w:ascii="Arial" w:eastAsia="Times New Roman" w:hAnsi="Arial" w:cs="Arial"/>
          <w:b/>
          <w:bCs/>
          <w:kern w:val="0"/>
          <w:sz w:val="24"/>
          <w:szCs w:val="24"/>
          <w:lang w:eastAsia="en-GB"/>
          <w14:ligatures w14:val="none"/>
        </w:rPr>
        <w:t xml:space="preserve"> Change, Social Pressures, and Their Impact (2 minutes)</w:t>
      </w:r>
    </w:p>
    <w:p w14:paraId="0A2CB8D7" w14:textId="77777777"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Young people’s experiences are shaped not only by their immediate relationships but also by wider social and economic factors. Bronfenbrenner’s Ecological Systems </w:t>
      </w:r>
      <w:r w:rsidRPr="007A442F">
        <w:rPr>
          <w:rFonts w:ascii="Arial" w:eastAsia="Times New Roman" w:hAnsi="Arial" w:cs="Arial"/>
          <w:kern w:val="0"/>
          <w:sz w:val="24"/>
          <w:szCs w:val="24"/>
          <w:lang w:eastAsia="en-GB"/>
          <w14:ligatures w14:val="none"/>
        </w:rPr>
        <w:lastRenderedPageBreak/>
        <w:t>Theory emphasises how multiple layers of a young person’s environment—family, school, community, and society—interact to influence development (Bronfenbrenner, 1979).</w:t>
      </w:r>
    </w:p>
    <w:p w14:paraId="4640957C" w14:textId="77777777"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p>
    <w:p w14:paraId="2105B040" w14:textId="72475D1D" w:rsidR="007A442F" w:rsidRPr="007A442F" w:rsidRDefault="007A442F" w:rsidP="007A442F">
      <w:pPr>
        <w:spacing w:before="100" w:beforeAutospacing="1" w:after="100" w:afterAutospacing="1" w:line="240" w:lineRule="auto"/>
        <w:jc w:val="center"/>
        <w:rPr>
          <w:rFonts w:ascii="Arial" w:eastAsia="Times New Roman" w:hAnsi="Arial" w:cs="Arial"/>
          <w:kern w:val="0"/>
          <w:sz w:val="24"/>
          <w:szCs w:val="24"/>
          <w:lang w:eastAsia="en-GB"/>
          <w14:ligatures w14:val="none"/>
        </w:rPr>
      </w:pPr>
      <w:r>
        <w:rPr>
          <w:noProof/>
        </w:rPr>
        <w:drawing>
          <wp:inline distT="0" distB="0" distL="0" distR="0" wp14:anchorId="36CC27E2" wp14:editId="5122D6CD">
            <wp:extent cx="1588135" cy="1588135"/>
            <wp:effectExtent l="0" t="0" r="0" b="0"/>
            <wp:docPr id="1929569719" name="Picture 2" descr="Bronfenbrenner's Microsystem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s Microsystem Theo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88135" cy="1588135"/>
                    </a:xfrm>
                    <a:prstGeom prst="rect">
                      <a:avLst/>
                    </a:prstGeom>
                    <a:noFill/>
                    <a:ln>
                      <a:noFill/>
                    </a:ln>
                  </pic:spPr>
                </pic:pic>
              </a:graphicData>
            </a:graphic>
          </wp:inline>
        </w:drawing>
      </w:r>
    </w:p>
    <w:p w14:paraId="70BBCC1F" w14:textId="35C9DD75" w:rsidR="007A442F" w:rsidRPr="007A442F" w:rsidRDefault="001617ED"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Slide 7 </w:t>
      </w:r>
      <w:r w:rsidR="007A442F" w:rsidRPr="007A442F">
        <w:rPr>
          <w:rFonts w:ascii="Arial" w:eastAsia="Times New Roman" w:hAnsi="Arial" w:cs="Arial"/>
          <w:b/>
          <w:bCs/>
          <w:kern w:val="0"/>
          <w:sz w:val="24"/>
          <w:szCs w:val="24"/>
          <w:lang w:eastAsia="en-GB"/>
          <w14:ligatures w14:val="none"/>
        </w:rPr>
        <w:t>Digital Pressures</w:t>
      </w:r>
    </w:p>
    <w:p w14:paraId="626F2CB3" w14:textId="3EE52BB4" w:rsidR="007A442F" w:rsidRPr="007A442F" w:rsidRDefault="007A442F" w:rsidP="007E4A94">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Social media is now almost universal among young people. The World Health Organization reports that up to </w:t>
      </w:r>
      <w:r w:rsidRPr="007A442F">
        <w:rPr>
          <w:rFonts w:ascii="Arial" w:eastAsia="Times New Roman" w:hAnsi="Arial" w:cs="Arial"/>
          <w:b/>
          <w:bCs/>
          <w:kern w:val="0"/>
          <w:sz w:val="24"/>
          <w:szCs w:val="24"/>
          <w:lang w:eastAsia="en-GB"/>
          <w14:ligatures w14:val="none"/>
        </w:rPr>
        <w:t>95% of teens aged 13–17 use social media</w:t>
      </w:r>
      <w:r w:rsidRPr="007A442F">
        <w:rPr>
          <w:rFonts w:ascii="Arial" w:eastAsia="Times New Roman" w:hAnsi="Arial" w:cs="Arial"/>
          <w:kern w:val="0"/>
          <w:sz w:val="24"/>
          <w:szCs w:val="24"/>
          <w:lang w:eastAsia="en-GB"/>
          <w14:ligatures w14:val="none"/>
        </w:rPr>
        <w:t>, with over one</w:t>
      </w:r>
      <w:r w:rsidRPr="007A442F">
        <w:rPr>
          <w:rFonts w:ascii="Arial" w:eastAsia="Times New Roman" w:hAnsi="Arial" w:cs="Arial"/>
          <w:kern w:val="0"/>
          <w:sz w:val="24"/>
          <w:szCs w:val="24"/>
          <w:lang w:eastAsia="en-GB"/>
          <w14:ligatures w14:val="none"/>
        </w:rPr>
        <w:noBreakHyphen/>
        <w:t xml:space="preserve">third using it “almost constantly” (WHO, 2023). This increases exposure to comparison culture, cyberbullying, and unrealistic expectations, all of which can </w:t>
      </w:r>
    </w:p>
    <w:p w14:paraId="5E12B647"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Poverty and Inequality</w:t>
      </w:r>
    </w:p>
    <w:p w14:paraId="0EE7A72D" w14:textId="3CA28102"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Poverty remains a significant issue in Wales. The Joseph Rowntree Foundation (2025) reports that </w:t>
      </w:r>
      <w:r w:rsidRPr="007A442F">
        <w:rPr>
          <w:rFonts w:ascii="Arial" w:eastAsia="Times New Roman" w:hAnsi="Arial" w:cs="Arial"/>
          <w:b/>
          <w:bCs/>
          <w:kern w:val="0"/>
          <w:sz w:val="24"/>
          <w:szCs w:val="24"/>
          <w:lang w:eastAsia="en-GB"/>
          <w14:ligatures w14:val="none"/>
        </w:rPr>
        <w:t>3 in 10 young people</w:t>
      </w:r>
      <w:r w:rsidRPr="007A442F">
        <w:rPr>
          <w:rFonts w:ascii="Arial" w:eastAsia="Times New Roman" w:hAnsi="Arial" w:cs="Arial"/>
          <w:kern w:val="0"/>
          <w:sz w:val="24"/>
          <w:szCs w:val="24"/>
          <w:lang w:eastAsia="en-GB"/>
          <w14:ligatures w14:val="none"/>
        </w:rPr>
        <w:t xml:space="preserve"> are living in poverty, with little improvement over the past 20 years. Poverty affects nutrition, access to opportunities, and overall wellbeing, limiting young people’s ability to make positive transitions into adulthood.</w:t>
      </w:r>
      <w:r>
        <w:rPr>
          <w:rFonts w:ascii="Arial" w:eastAsia="Times New Roman" w:hAnsi="Arial" w:cs="Arial"/>
          <w:kern w:val="0"/>
          <w:sz w:val="24"/>
          <w:szCs w:val="24"/>
          <w:lang w:eastAsia="en-GB"/>
          <w14:ligatures w14:val="none"/>
        </w:rPr>
        <w:t xml:space="preserve"> </w:t>
      </w:r>
    </w:p>
    <w:p w14:paraId="41202ED2" w14:textId="77777777" w:rsidR="007A442F" w:rsidRDefault="007A442F" w:rsidP="007A442F">
      <w:pPr>
        <w:rPr>
          <w:rFonts w:ascii="Arial" w:hAnsi="Arial" w:cs="Arial"/>
        </w:rPr>
      </w:pPr>
      <w:r w:rsidRPr="00EA2BCD">
        <w:rPr>
          <w:rFonts w:ascii="Arial" w:hAnsi="Arial" w:cs="Arial"/>
        </w:rPr>
        <w:t>Figure 1: Wales and England have the highest overall poverty rates, and have shown little change over the last 20 years Source: JRF analysis of Households Below Average Income, 2023/24, DW</w:t>
      </w:r>
    </w:p>
    <w:p w14:paraId="4A902674" w14:textId="17201166"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noProof/>
        </w:rPr>
        <w:lastRenderedPageBreak/>
        <w:drawing>
          <wp:inline distT="0" distB="0" distL="0" distR="0" wp14:anchorId="4448470D" wp14:editId="23DAA520">
            <wp:extent cx="5724525" cy="2714625"/>
            <wp:effectExtent l="0" t="0" r="9525" b="9525"/>
            <wp:docPr id="436706804" name="Picture 3" descr="Relative income poverty: April 2023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ive income poverty: April 2023 t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14:paraId="6805139B" w14:textId="206A2746" w:rsidR="007A442F" w:rsidRPr="007A442F" w:rsidRDefault="003C393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Slide 8:</w:t>
      </w:r>
      <w:r w:rsidR="007A442F" w:rsidRPr="007A442F">
        <w:rPr>
          <w:rFonts w:ascii="Arial" w:eastAsia="Times New Roman" w:hAnsi="Arial" w:cs="Arial"/>
          <w:b/>
          <w:bCs/>
          <w:kern w:val="0"/>
          <w:sz w:val="24"/>
          <w:szCs w:val="24"/>
          <w:lang w:eastAsia="en-GB"/>
          <w14:ligatures w14:val="none"/>
        </w:rPr>
        <w:t xml:space="preserve"> The Role of Youth Workers in Wales (3 minutes)</w:t>
      </w:r>
    </w:p>
    <w:p w14:paraId="25CE0C3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Youth workers play a vital role in supporting young people through these developmental and social challenges. According to </w:t>
      </w:r>
      <w:r w:rsidRPr="007A442F">
        <w:rPr>
          <w:rFonts w:ascii="Arial" w:eastAsia="Times New Roman" w:hAnsi="Arial" w:cs="Arial"/>
          <w:i/>
          <w:iCs/>
          <w:kern w:val="0"/>
          <w:sz w:val="24"/>
          <w:szCs w:val="24"/>
          <w:lang w:eastAsia="en-GB"/>
          <w14:ligatures w14:val="none"/>
        </w:rPr>
        <w:t>Youth Work in Wales: Principles and Purposes</w:t>
      </w:r>
      <w:r w:rsidRPr="007A442F">
        <w:rPr>
          <w:rFonts w:ascii="Arial" w:eastAsia="Times New Roman" w:hAnsi="Arial" w:cs="Arial"/>
          <w:kern w:val="0"/>
          <w:sz w:val="24"/>
          <w:szCs w:val="24"/>
          <w:lang w:eastAsia="en-GB"/>
          <w14:ligatures w14:val="none"/>
        </w:rPr>
        <w:t xml:space="preserve"> (Welsh Government, 2019), youth work is:</w:t>
      </w:r>
    </w:p>
    <w:p w14:paraId="6CB814FD" w14:textId="77777777" w:rsidR="007A442F" w:rsidRPr="007A442F" w:rsidRDefault="007A442F" w:rsidP="007A442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voluntary</w:t>
      </w:r>
    </w:p>
    <w:p w14:paraId="6D0A1AC7" w14:textId="77777777" w:rsidR="007A442F" w:rsidRPr="007A442F" w:rsidRDefault="007A442F" w:rsidP="007A442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educative</w:t>
      </w:r>
    </w:p>
    <w:p w14:paraId="37B241A6" w14:textId="77777777" w:rsidR="007A442F" w:rsidRPr="007A442F" w:rsidRDefault="007A442F" w:rsidP="007A442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based on mutual respect</w:t>
      </w:r>
    </w:p>
    <w:p w14:paraId="4C8D52CC" w14:textId="77777777" w:rsidR="007A442F" w:rsidRPr="007A442F" w:rsidRDefault="007A442F" w:rsidP="007A442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focused on personal, social, and emotional development</w:t>
      </w:r>
    </w:p>
    <w:p w14:paraId="64AE3F9D"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1. Supporting Emotional Wellbeing</w:t>
      </w:r>
    </w:p>
    <w:p w14:paraId="119D2FFD" w14:textId="13C33BF9" w:rsidR="007A442F" w:rsidRDefault="007A442F" w:rsidP="007A442F">
      <w:pPr>
        <w:rPr>
          <w:rFonts w:ascii="Arial" w:hAnsi="Arial" w:cs="Arial"/>
        </w:rPr>
      </w:pPr>
      <w:r w:rsidRPr="007A442F">
        <w:rPr>
          <w:rFonts w:ascii="Arial" w:eastAsia="Times New Roman" w:hAnsi="Arial" w:cs="Arial"/>
          <w:kern w:val="0"/>
          <w:sz w:val="24"/>
          <w:szCs w:val="24"/>
          <w:lang w:eastAsia="en-GB"/>
          <w14:ligatures w14:val="none"/>
        </w:rPr>
        <w:t>Youth workers help young people understand their emotions, build resilience, and develop coping strategies</w:t>
      </w:r>
      <w:r w:rsidRPr="007A442F">
        <w:rPr>
          <w:rFonts w:ascii="Arial" w:hAnsi="Arial" w:cs="Arial"/>
          <w:sz w:val="24"/>
          <w:szCs w:val="24"/>
        </w:rPr>
        <w:t xml:space="preserve"> It could be something as simple as young person attending a youth club and not being able to make a piece of toast, say I can’t. A youth workers role is to turn that can’t into a yes, you can! Using that time to encourage them and guide them through the process of making toast gives them not only a new skill but also a newfound confidence. Something that they will take with them into Adulthood</w:t>
      </w:r>
      <w:r>
        <w:rPr>
          <w:rFonts w:ascii="Arial" w:hAnsi="Arial" w:cs="Arial"/>
        </w:rPr>
        <w:t>.</w:t>
      </w:r>
    </w:p>
    <w:p w14:paraId="0BCB4C45" w14:textId="5646A85E"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w:t>
      </w:r>
    </w:p>
    <w:p w14:paraId="159D4160" w14:textId="77777777" w:rsidR="007A442F" w:rsidRDefault="007A442F" w:rsidP="007A442F">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0DFA23B6" w14:textId="77777777" w:rsidR="007A442F" w:rsidRDefault="007A442F" w:rsidP="007A442F">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1139AB91" w14:textId="4CE1D01F"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2. Facilitating Healthy Transitions</w:t>
      </w:r>
    </w:p>
    <w:p w14:paraId="2D43FEDF" w14:textId="77777777" w:rsidR="007A442F" w:rsidRPr="007A442F" w:rsidRDefault="007A442F" w:rsidP="007A442F">
      <w:pPr>
        <w:rPr>
          <w:rFonts w:ascii="Arial" w:hAnsi="Arial" w:cs="Arial"/>
          <w:sz w:val="24"/>
          <w:szCs w:val="24"/>
        </w:rPr>
      </w:pPr>
      <w:r w:rsidRPr="007A442F">
        <w:rPr>
          <w:rFonts w:ascii="Arial" w:hAnsi="Arial" w:cs="Arial"/>
          <w:sz w:val="24"/>
          <w:szCs w:val="24"/>
        </w:rPr>
        <w:t>Youth workers are important to guide young people through key transitions such as school changes and preparation for adulthood. This highlights the need for youth workers in schools and out in the communities. They help young people set goals, reflect on choices, and develop life skills.</w:t>
      </w:r>
    </w:p>
    <w:p w14:paraId="412FA5AF"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lastRenderedPageBreak/>
        <w:t>3. Strengthening Relationships</w:t>
      </w:r>
    </w:p>
    <w:p w14:paraId="5BF411E6"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Through group work, communication skills development, and mediation, youth workers help improve family relationships and reduce conflict.</w:t>
      </w:r>
    </w:p>
    <w:p w14:paraId="3D5F90E7"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4. Addressing Social Pressures</w:t>
      </w:r>
    </w:p>
    <w:p w14:paraId="1646BA6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Youth workers advocate for young people facing poverty, discrimination, or limited opportunities. They provide links to services and create opportunities for learning. For example, I deliver an accredited homelessness awareness course in schools, helping young people understand local services and the realities of homelessness.</w:t>
      </w:r>
    </w:p>
    <w:p w14:paraId="326A862B"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Conclusion (1 minute)</w:t>
      </w:r>
    </w:p>
    <w:p w14:paraId="3BA9FDA8"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Adolescence is a period of profound change, shaped by biological development, shifting relationships, and wider social pressures. Psychological theories such as those of Erikson, Piaget, Bowlby, and Bronfenbrenner help us understand the challenges young people face, while Welsh policy frameworks emphasise the importance of youth</w:t>
      </w:r>
      <w:r w:rsidRPr="007A442F">
        <w:rPr>
          <w:rFonts w:ascii="Arial" w:eastAsia="Times New Roman" w:hAnsi="Arial" w:cs="Arial"/>
          <w:kern w:val="0"/>
          <w:sz w:val="24"/>
          <w:szCs w:val="24"/>
          <w:lang w:eastAsia="en-GB"/>
          <w14:ligatures w14:val="none"/>
        </w:rPr>
        <w:noBreakHyphen/>
        <w:t>centred, voluntary, and educative support.</w:t>
      </w:r>
    </w:p>
    <w:p w14:paraId="0374EE4D" w14:textId="77777777" w:rsid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Youth workers in Wales play a crucial role in guiding young people through these transitions. By building trusting relationships, offering informal education, supporting families, and addressing social inequalities, youth workers help young people develop resilience, confidence, and the skills needed for adulthood. Their work is essential in ensuring that all young people—regardless of background—are supported to thrive.</w:t>
      </w:r>
    </w:p>
    <w:p w14:paraId="6CF57145" w14:textId="0DDF5610" w:rsidR="00C04172" w:rsidRPr="007A442F" w:rsidRDefault="00C04172" w:rsidP="007A442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is an image of our Tree of Trust that Conwy young People created in our </w:t>
      </w:r>
      <w:r w:rsidR="00BA16C6">
        <w:rPr>
          <w:rFonts w:ascii="Arial" w:eastAsia="Times New Roman" w:hAnsi="Arial" w:cs="Arial"/>
          <w:kern w:val="0"/>
          <w:sz w:val="24"/>
          <w:szCs w:val="24"/>
          <w:lang w:eastAsia="en-GB"/>
          <w14:ligatures w14:val="none"/>
        </w:rPr>
        <w:t xml:space="preserve">central offices, Coed Pella. Young people were able to write a person or place where they felt trusted or safe of each finger of the hand. Young workers and youth club spaces </w:t>
      </w:r>
      <w:r w:rsidR="00233969">
        <w:rPr>
          <w:rFonts w:ascii="Arial" w:eastAsia="Times New Roman" w:hAnsi="Arial" w:cs="Arial"/>
          <w:kern w:val="0"/>
          <w:sz w:val="24"/>
          <w:szCs w:val="24"/>
          <w:lang w:eastAsia="en-GB"/>
          <w14:ligatures w14:val="none"/>
        </w:rPr>
        <w:t>ranked high as well as family and friends showing that</w:t>
      </w:r>
      <w:r w:rsidR="00A40629">
        <w:rPr>
          <w:rFonts w:ascii="Arial" w:eastAsia="Times New Roman" w:hAnsi="Arial" w:cs="Arial"/>
          <w:kern w:val="0"/>
          <w:sz w:val="24"/>
          <w:szCs w:val="24"/>
          <w:lang w:eastAsia="en-GB"/>
          <w14:ligatures w14:val="none"/>
        </w:rPr>
        <w:t xml:space="preserve"> support from all of these places can help guide a young person through Adolescence.</w:t>
      </w:r>
    </w:p>
    <w:p w14:paraId="37E6B266"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b/>
          <w:bCs/>
          <w:kern w:val="0"/>
          <w:sz w:val="24"/>
          <w:szCs w:val="24"/>
          <w:lang w:eastAsia="en-GB"/>
          <w14:ligatures w14:val="none"/>
        </w:rPr>
        <w:t>Harvard Reference List</w:t>
      </w:r>
    </w:p>
    <w:p w14:paraId="2856D643"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Bowlby, J. (1988) </w:t>
      </w:r>
      <w:r w:rsidRPr="007A442F">
        <w:rPr>
          <w:rFonts w:ascii="Arial" w:eastAsia="Times New Roman" w:hAnsi="Arial" w:cs="Arial"/>
          <w:i/>
          <w:iCs/>
          <w:kern w:val="0"/>
          <w:sz w:val="24"/>
          <w:szCs w:val="24"/>
          <w:lang w:eastAsia="en-GB"/>
          <w14:ligatures w14:val="none"/>
        </w:rPr>
        <w:t>A Secure Base: Parent-Child Attachment and Healthy Human Development</w:t>
      </w:r>
      <w:r w:rsidRPr="007A442F">
        <w:rPr>
          <w:rFonts w:ascii="Arial" w:eastAsia="Times New Roman" w:hAnsi="Arial" w:cs="Arial"/>
          <w:kern w:val="0"/>
          <w:sz w:val="24"/>
          <w:szCs w:val="24"/>
          <w:lang w:eastAsia="en-GB"/>
          <w14:ligatures w14:val="none"/>
        </w:rPr>
        <w:t>. London: Routledge.</w:t>
      </w:r>
    </w:p>
    <w:p w14:paraId="26668EB3"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Bronfenbrenner, U. (1979) </w:t>
      </w:r>
      <w:r w:rsidRPr="007A442F">
        <w:rPr>
          <w:rFonts w:ascii="Arial" w:eastAsia="Times New Roman" w:hAnsi="Arial" w:cs="Arial"/>
          <w:i/>
          <w:iCs/>
          <w:kern w:val="0"/>
          <w:sz w:val="24"/>
          <w:szCs w:val="24"/>
          <w:lang w:eastAsia="en-GB"/>
          <w14:ligatures w14:val="none"/>
        </w:rPr>
        <w:t>The Ecology of Human Development</w:t>
      </w:r>
      <w:r w:rsidRPr="007A442F">
        <w:rPr>
          <w:rFonts w:ascii="Arial" w:eastAsia="Times New Roman" w:hAnsi="Arial" w:cs="Arial"/>
          <w:kern w:val="0"/>
          <w:sz w:val="24"/>
          <w:szCs w:val="24"/>
          <w:lang w:eastAsia="en-GB"/>
          <w14:ligatures w14:val="none"/>
        </w:rPr>
        <w:t>. Cambridge, MA: Harvard University Press.</w:t>
      </w:r>
    </w:p>
    <w:p w14:paraId="477D3202"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Erikson, E. (1968) </w:t>
      </w:r>
      <w:r w:rsidRPr="007A442F">
        <w:rPr>
          <w:rFonts w:ascii="Arial" w:eastAsia="Times New Roman" w:hAnsi="Arial" w:cs="Arial"/>
          <w:i/>
          <w:iCs/>
          <w:kern w:val="0"/>
          <w:sz w:val="24"/>
          <w:szCs w:val="24"/>
          <w:lang w:eastAsia="en-GB"/>
          <w14:ligatures w14:val="none"/>
        </w:rPr>
        <w:t>Identity: Youth and Crisis</w:t>
      </w:r>
      <w:r w:rsidRPr="007A442F">
        <w:rPr>
          <w:rFonts w:ascii="Arial" w:eastAsia="Times New Roman" w:hAnsi="Arial" w:cs="Arial"/>
          <w:kern w:val="0"/>
          <w:sz w:val="24"/>
          <w:szCs w:val="24"/>
          <w:lang w:eastAsia="en-GB"/>
          <w14:ligatures w14:val="none"/>
        </w:rPr>
        <w:t>. New York: Norton.</w:t>
      </w:r>
    </w:p>
    <w:p w14:paraId="28F44D6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Glaser, B., Shelton, K. and Bree, M. (2010) ‘The role of peer influence in adolescent substance use’, </w:t>
      </w:r>
      <w:r w:rsidRPr="007A442F">
        <w:rPr>
          <w:rFonts w:ascii="Arial" w:eastAsia="Times New Roman" w:hAnsi="Arial" w:cs="Arial"/>
          <w:i/>
          <w:iCs/>
          <w:kern w:val="0"/>
          <w:sz w:val="24"/>
          <w:szCs w:val="24"/>
          <w:lang w:eastAsia="en-GB"/>
          <w14:ligatures w14:val="none"/>
        </w:rPr>
        <w:t>Journal of Adolescence</w:t>
      </w:r>
      <w:r w:rsidRPr="007A442F">
        <w:rPr>
          <w:rFonts w:ascii="Arial" w:eastAsia="Times New Roman" w:hAnsi="Arial" w:cs="Arial"/>
          <w:kern w:val="0"/>
          <w:sz w:val="24"/>
          <w:szCs w:val="24"/>
          <w:lang w:eastAsia="en-GB"/>
          <w14:ligatures w14:val="none"/>
        </w:rPr>
        <w:t>, 33(1), pp. 1–8.</w:t>
      </w:r>
    </w:p>
    <w:p w14:paraId="3F4AE1C8" w14:textId="44CB9C83"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Joseph Rowntree Foundation (2025) </w:t>
      </w:r>
      <w:r w:rsidRPr="007A442F">
        <w:rPr>
          <w:rFonts w:ascii="Arial" w:eastAsia="Times New Roman" w:hAnsi="Arial" w:cs="Arial"/>
          <w:i/>
          <w:iCs/>
          <w:kern w:val="0"/>
          <w:sz w:val="24"/>
          <w:szCs w:val="24"/>
          <w:lang w:eastAsia="en-GB"/>
          <w14:ligatures w14:val="none"/>
        </w:rPr>
        <w:t>Poverty in Wales 2025</w:t>
      </w:r>
      <w:r w:rsidRPr="007A442F">
        <w:rPr>
          <w:rFonts w:ascii="Arial" w:eastAsia="Times New Roman" w:hAnsi="Arial" w:cs="Arial"/>
          <w:kern w:val="0"/>
          <w:sz w:val="24"/>
          <w:szCs w:val="24"/>
          <w:lang w:eastAsia="en-GB"/>
          <w14:ligatures w14:val="none"/>
        </w:rPr>
        <w:t>. JRF.</w:t>
      </w:r>
    </w:p>
    <w:p w14:paraId="58237E07" w14:textId="43BF3ABE" w:rsidR="007A442F" w:rsidRPr="007A442F" w:rsidRDefault="007A442F" w:rsidP="007A442F">
      <w:pPr>
        <w:rPr>
          <w:rFonts w:ascii="Arial" w:hAnsi="Arial" w:cs="Arial"/>
          <w:sz w:val="24"/>
          <w:szCs w:val="24"/>
        </w:rPr>
      </w:pPr>
      <w:r w:rsidRPr="007A442F">
        <w:rPr>
          <w:rFonts w:ascii="Arial" w:hAnsi="Arial" w:cs="Arial"/>
          <w:sz w:val="24"/>
          <w:szCs w:val="24"/>
        </w:rPr>
        <w:t>JRF analysis of Households Below Average Income, 2023/24, DW</w:t>
      </w:r>
    </w:p>
    <w:p w14:paraId="36C47C51" w14:textId="03AB27D3"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lastRenderedPageBreak/>
        <w:t xml:space="preserve">Piaget, J. (1972) </w:t>
      </w:r>
      <w:r w:rsidRPr="007A442F">
        <w:rPr>
          <w:rFonts w:ascii="Arial" w:eastAsia="Times New Roman" w:hAnsi="Arial" w:cs="Arial"/>
          <w:i/>
          <w:iCs/>
          <w:kern w:val="0"/>
          <w:sz w:val="24"/>
          <w:szCs w:val="24"/>
          <w:lang w:eastAsia="en-GB"/>
          <w14:ligatures w14:val="none"/>
        </w:rPr>
        <w:t>The Psychology of the Child</w:t>
      </w:r>
      <w:r w:rsidRPr="007A442F">
        <w:rPr>
          <w:rFonts w:ascii="Arial" w:eastAsia="Times New Roman" w:hAnsi="Arial" w:cs="Arial"/>
          <w:kern w:val="0"/>
          <w:sz w:val="24"/>
          <w:szCs w:val="24"/>
          <w:lang w:eastAsia="en-GB"/>
          <w14:ligatures w14:val="none"/>
        </w:rPr>
        <w:t>. New York: Basic Books.</w:t>
      </w:r>
    </w:p>
    <w:p w14:paraId="2AE1EDEB"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Public Health Wales (2023) </w:t>
      </w:r>
      <w:r w:rsidRPr="007A442F">
        <w:rPr>
          <w:rFonts w:ascii="Arial" w:eastAsia="Times New Roman" w:hAnsi="Arial" w:cs="Arial"/>
          <w:i/>
          <w:iCs/>
          <w:kern w:val="0"/>
          <w:sz w:val="24"/>
          <w:szCs w:val="24"/>
          <w:lang w:eastAsia="en-GB"/>
          <w14:ligatures w14:val="none"/>
        </w:rPr>
        <w:t>Latest data on substance misuse in Wales published</w:t>
      </w:r>
      <w:r w:rsidRPr="007A442F">
        <w:rPr>
          <w:rFonts w:ascii="Arial" w:eastAsia="Times New Roman" w:hAnsi="Arial" w:cs="Arial"/>
          <w:kern w:val="0"/>
          <w:sz w:val="24"/>
          <w:szCs w:val="24"/>
          <w:lang w:eastAsia="en-GB"/>
          <w14:ligatures w14:val="none"/>
        </w:rPr>
        <w:t>. NHS Wales.</w:t>
      </w:r>
    </w:p>
    <w:p w14:paraId="38711694"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Welsh Government (2019) </w:t>
      </w:r>
      <w:r w:rsidRPr="007A442F">
        <w:rPr>
          <w:rFonts w:ascii="Arial" w:eastAsia="Times New Roman" w:hAnsi="Arial" w:cs="Arial"/>
          <w:i/>
          <w:iCs/>
          <w:kern w:val="0"/>
          <w:sz w:val="24"/>
          <w:szCs w:val="24"/>
          <w:lang w:eastAsia="en-GB"/>
          <w14:ligatures w14:val="none"/>
        </w:rPr>
        <w:t>Youth Work in Wales: Principles and Purposes</w:t>
      </w:r>
      <w:r w:rsidRPr="007A442F">
        <w:rPr>
          <w:rFonts w:ascii="Arial" w:eastAsia="Times New Roman" w:hAnsi="Arial" w:cs="Arial"/>
          <w:kern w:val="0"/>
          <w:sz w:val="24"/>
          <w:szCs w:val="24"/>
          <w:lang w:eastAsia="en-GB"/>
          <w14:ligatures w14:val="none"/>
        </w:rPr>
        <w:t>. Cardiff: Welsh Government.</w:t>
      </w:r>
    </w:p>
    <w:p w14:paraId="657C0D2C" w14:textId="77777777" w:rsidR="007A442F" w:rsidRPr="007A442F" w:rsidRDefault="007A442F" w:rsidP="007A442F">
      <w:pPr>
        <w:spacing w:before="100" w:beforeAutospacing="1" w:after="100" w:afterAutospacing="1" w:line="240" w:lineRule="auto"/>
        <w:rPr>
          <w:rFonts w:ascii="Arial" w:eastAsia="Times New Roman" w:hAnsi="Arial" w:cs="Arial"/>
          <w:kern w:val="0"/>
          <w:sz w:val="24"/>
          <w:szCs w:val="24"/>
          <w:lang w:eastAsia="en-GB"/>
          <w14:ligatures w14:val="none"/>
        </w:rPr>
      </w:pPr>
      <w:r w:rsidRPr="007A442F">
        <w:rPr>
          <w:rFonts w:ascii="Arial" w:eastAsia="Times New Roman" w:hAnsi="Arial" w:cs="Arial"/>
          <w:kern w:val="0"/>
          <w:sz w:val="24"/>
          <w:szCs w:val="24"/>
          <w:lang w:eastAsia="en-GB"/>
          <w14:ligatures w14:val="none"/>
        </w:rPr>
        <w:t xml:space="preserve">World Health Organization (2023) </w:t>
      </w:r>
      <w:r w:rsidRPr="007A442F">
        <w:rPr>
          <w:rFonts w:ascii="Arial" w:eastAsia="Times New Roman" w:hAnsi="Arial" w:cs="Arial"/>
          <w:i/>
          <w:iCs/>
          <w:kern w:val="0"/>
          <w:sz w:val="24"/>
          <w:szCs w:val="24"/>
          <w:lang w:eastAsia="en-GB"/>
          <w14:ligatures w14:val="none"/>
        </w:rPr>
        <w:t>Social Media and Youth Mental Health</w:t>
      </w:r>
      <w:r w:rsidRPr="007A442F">
        <w:rPr>
          <w:rFonts w:ascii="Arial" w:eastAsia="Times New Roman" w:hAnsi="Arial" w:cs="Arial"/>
          <w:kern w:val="0"/>
          <w:sz w:val="24"/>
          <w:szCs w:val="24"/>
          <w:lang w:eastAsia="en-GB"/>
          <w14:ligatures w14:val="none"/>
        </w:rPr>
        <w:t>. WHO.</w:t>
      </w:r>
    </w:p>
    <w:p w14:paraId="6EA5A728" w14:textId="77777777" w:rsidR="00E83C79" w:rsidRPr="007A442F" w:rsidRDefault="00E83C79">
      <w:pPr>
        <w:rPr>
          <w:rFonts w:ascii="Arial" w:hAnsi="Arial" w:cs="Arial"/>
          <w:sz w:val="24"/>
          <w:szCs w:val="24"/>
        </w:rPr>
      </w:pPr>
    </w:p>
    <w:sectPr w:rsidR="00E83C79" w:rsidRPr="007A44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526746"/>
    <w:multiLevelType w:val="multilevel"/>
    <w:tmpl w:val="8996A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962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42F"/>
    <w:rsid w:val="00134162"/>
    <w:rsid w:val="001617ED"/>
    <w:rsid w:val="001E4392"/>
    <w:rsid w:val="00233969"/>
    <w:rsid w:val="003247EB"/>
    <w:rsid w:val="003C393F"/>
    <w:rsid w:val="00633B4C"/>
    <w:rsid w:val="007A442F"/>
    <w:rsid w:val="007E4A94"/>
    <w:rsid w:val="00860C77"/>
    <w:rsid w:val="0089773A"/>
    <w:rsid w:val="008A31B0"/>
    <w:rsid w:val="00A40629"/>
    <w:rsid w:val="00B07304"/>
    <w:rsid w:val="00B463C8"/>
    <w:rsid w:val="00BA16C6"/>
    <w:rsid w:val="00C04172"/>
    <w:rsid w:val="00C86D97"/>
    <w:rsid w:val="00CB56EA"/>
    <w:rsid w:val="00D271D2"/>
    <w:rsid w:val="00E83C79"/>
    <w:rsid w:val="00F97570"/>
    <w:rsid w:val="00FB5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DE650"/>
  <w15:chartTrackingRefBased/>
  <w15:docId w15:val="{35D3A7E2-8A8C-4475-AB9F-633D7E993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42F"/>
  </w:style>
  <w:style w:type="paragraph" w:styleId="Heading1">
    <w:name w:val="heading 1"/>
    <w:basedOn w:val="Normal"/>
    <w:next w:val="Normal"/>
    <w:link w:val="Heading1Char"/>
    <w:uiPriority w:val="9"/>
    <w:qFormat/>
    <w:rsid w:val="007A442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A442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A442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A442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A442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A4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42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A442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A442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A442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A442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A4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42F"/>
    <w:rPr>
      <w:rFonts w:eastAsiaTheme="majorEastAsia" w:cstheme="majorBidi"/>
      <w:color w:val="272727" w:themeColor="text1" w:themeTint="D8"/>
    </w:rPr>
  </w:style>
  <w:style w:type="paragraph" w:styleId="Title">
    <w:name w:val="Title"/>
    <w:basedOn w:val="Normal"/>
    <w:next w:val="Normal"/>
    <w:link w:val="TitleChar"/>
    <w:uiPriority w:val="10"/>
    <w:qFormat/>
    <w:rsid w:val="007A4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42F"/>
    <w:pPr>
      <w:spacing w:before="160"/>
      <w:jc w:val="center"/>
    </w:pPr>
    <w:rPr>
      <w:i/>
      <w:iCs/>
      <w:color w:val="404040" w:themeColor="text1" w:themeTint="BF"/>
    </w:rPr>
  </w:style>
  <w:style w:type="character" w:customStyle="1" w:styleId="QuoteChar">
    <w:name w:val="Quote Char"/>
    <w:basedOn w:val="DefaultParagraphFont"/>
    <w:link w:val="Quote"/>
    <w:uiPriority w:val="29"/>
    <w:rsid w:val="007A442F"/>
    <w:rPr>
      <w:i/>
      <w:iCs/>
      <w:color w:val="404040" w:themeColor="text1" w:themeTint="BF"/>
    </w:rPr>
  </w:style>
  <w:style w:type="paragraph" w:styleId="ListParagraph">
    <w:name w:val="List Paragraph"/>
    <w:basedOn w:val="Normal"/>
    <w:uiPriority w:val="34"/>
    <w:qFormat/>
    <w:rsid w:val="007A442F"/>
    <w:pPr>
      <w:ind w:left="720"/>
      <w:contextualSpacing/>
    </w:pPr>
  </w:style>
  <w:style w:type="character" w:styleId="IntenseEmphasis">
    <w:name w:val="Intense Emphasis"/>
    <w:basedOn w:val="DefaultParagraphFont"/>
    <w:uiPriority w:val="21"/>
    <w:qFormat/>
    <w:rsid w:val="007A442F"/>
    <w:rPr>
      <w:i/>
      <w:iCs/>
      <w:color w:val="2E74B5" w:themeColor="accent1" w:themeShade="BF"/>
    </w:rPr>
  </w:style>
  <w:style w:type="paragraph" w:styleId="IntenseQuote">
    <w:name w:val="Intense Quote"/>
    <w:basedOn w:val="Normal"/>
    <w:next w:val="Normal"/>
    <w:link w:val="IntenseQuoteChar"/>
    <w:uiPriority w:val="30"/>
    <w:qFormat/>
    <w:rsid w:val="007A442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A442F"/>
    <w:rPr>
      <w:i/>
      <w:iCs/>
      <w:color w:val="2E74B5" w:themeColor="accent1" w:themeShade="BF"/>
    </w:rPr>
  </w:style>
  <w:style w:type="character" w:styleId="IntenseReference">
    <w:name w:val="Intense Reference"/>
    <w:basedOn w:val="DefaultParagraphFont"/>
    <w:uiPriority w:val="32"/>
    <w:qFormat/>
    <w:rsid w:val="007A442F"/>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7</Pages>
  <Words>1456</Words>
  <Characters>8304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17</cp:revision>
  <cp:lastPrinted>2026-05-11T11:56:00Z</cp:lastPrinted>
  <dcterms:created xsi:type="dcterms:W3CDTF">2026-05-11T11:44:00Z</dcterms:created>
  <dcterms:modified xsi:type="dcterms:W3CDTF">2026-05-13T19:55:00Z</dcterms:modified>
</cp:coreProperties>
</file>