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A0CFE79" wp14:paraId="72F9D1B5" wp14:textId="542A74C5">
      <w:pPr>
        <w:rPr>
          <w:rFonts w:ascii="Arial Nova" w:hAnsi="Arial Nova" w:eastAsia="Arial Nova" w:cs="Arial Nova"/>
          <w:b w:val="1"/>
          <w:bCs w:val="1"/>
        </w:rPr>
      </w:pPr>
      <w:r w:rsidRPr="1A0CFE79" w:rsidR="7EF9F574">
        <w:rPr>
          <w:rFonts w:ascii="Arial Nova" w:hAnsi="Arial Nova" w:eastAsia="Arial Nova" w:cs="Arial Nova"/>
          <w:b w:val="0"/>
          <w:bCs w:val="0"/>
          <w:sz w:val="28"/>
          <w:szCs w:val="28"/>
        </w:rPr>
        <w:t xml:space="preserve">Name                      Naema Shabir </w:t>
      </w:r>
    </w:p>
    <w:p xmlns:wp14="http://schemas.microsoft.com/office/word/2010/wordml" w:rsidP="1A0CFE79" wp14:paraId="34B65BE7" wp14:textId="1ECE4556">
      <w:pPr>
        <w:rPr>
          <w:rFonts w:ascii="Arial Nova" w:hAnsi="Arial Nova" w:eastAsia="Arial Nova" w:cs="Arial Nova"/>
          <w:b w:val="0"/>
          <w:bCs w:val="0"/>
          <w:sz w:val="28"/>
          <w:szCs w:val="28"/>
        </w:rPr>
      </w:pPr>
      <w:r w:rsidRPr="1A0CFE79" w:rsidR="7EF9F574">
        <w:rPr>
          <w:rFonts w:ascii="Arial Nova" w:hAnsi="Arial Nova" w:eastAsia="Arial Nova" w:cs="Arial Nova"/>
          <w:b w:val="0"/>
          <w:bCs w:val="0"/>
          <w:sz w:val="28"/>
          <w:szCs w:val="28"/>
        </w:rPr>
        <w:t>Student ID</w:t>
      </w:r>
      <w:r w:rsidRPr="1A0CFE79" w:rsidR="7EF9F574">
        <w:rPr>
          <w:rFonts w:ascii="Arial Nova" w:hAnsi="Arial Nova" w:eastAsia="Arial Nova" w:cs="Arial Nova"/>
          <w:b w:val="1"/>
          <w:bCs w:val="1"/>
        </w:rPr>
        <w:t xml:space="preserve">                  </w:t>
      </w:r>
      <w:r w:rsidRPr="1A0CFE79" w:rsidR="7EF9F574">
        <w:rPr>
          <w:rFonts w:ascii="Arial Nova" w:hAnsi="Arial Nova" w:eastAsia="Arial Nova" w:cs="Arial Nova"/>
          <w:b w:val="0"/>
          <w:bCs w:val="0"/>
          <w:sz w:val="28"/>
          <w:szCs w:val="28"/>
        </w:rPr>
        <w:t>2406615</w:t>
      </w:r>
      <w:r w:rsidRPr="1A0CFE79" w:rsidR="2B9EB828">
        <w:rPr>
          <w:rFonts w:ascii="Arial Nova" w:hAnsi="Arial Nova" w:eastAsia="Arial Nova" w:cs="Arial Nova"/>
          <w:b w:val="0"/>
          <w:bCs w:val="0"/>
          <w:sz w:val="28"/>
          <w:szCs w:val="28"/>
        </w:rPr>
        <w:t xml:space="preserve">   </w:t>
      </w:r>
    </w:p>
    <w:p xmlns:wp14="http://schemas.microsoft.com/office/word/2010/wordml" w:rsidP="1A0CFE79" wp14:paraId="5B62EB30" wp14:textId="7B20C539">
      <w:pPr>
        <w:rPr>
          <w:rFonts w:ascii="Arial Nova" w:hAnsi="Arial Nova" w:eastAsia="Arial Nova" w:cs="Arial Nova"/>
          <w:b w:val="0"/>
          <w:bCs w:val="0"/>
          <w:sz w:val="28"/>
          <w:szCs w:val="28"/>
        </w:rPr>
      </w:pPr>
      <w:r w:rsidRPr="1A0CFE79" w:rsidR="2B9EB828">
        <w:rPr>
          <w:rFonts w:ascii="Arial Nova" w:hAnsi="Arial Nova" w:eastAsia="Arial Nova" w:cs="Arial Nova"/>
          <w:b w:val="0"/>
          <w:bCs w:val="0"/>
          <w:sz w:val="28"/>
          <w:szCs w:val="28"/>
        </w:rPr>
        <w:t xml:space="preserve">Programme            BSc Health and Social Care  </w:t>
      </w:r>
    </w:p>
    <w:p xmlns:wp14="http://schemas.microsoft.com/office/word/2010/wordml" w:rsidP="1A0CFE79" wp14:paraId="5CDBAA8A" wp14:textId="4F53A9D8">
      <w:pPr>
        <w:rPr>
          <w:rFonts w:ascii="Arial Nova" w:hAnsi="Arial Nova" w:eastAsia="Arial Nova" w:cs="Arial Nova"/>
          <w:b w:val="0"/>
          <w:bCs w:val="0"/>
          <w:sz w:val="28"/>
          <w:szCs w:val="28"/>
        </w:rPr>
      </w:pPr>
      <w:r w:rsidRPr="1A0CFE79" w:rsidR="047E7A6F">
        <w:rPr>
          <w:rFonts w:ascii="Arial Nova" w:hAnsi="Arial Nova" w:eastAsia="Arial Nova" w:cs="Arial Nova"/>
          <w:b w:val="0"/>
          <w:bCs w:val="0"/>
          <w:sz w:val="28"/>
          <w:szCs w:val="28"/>
        </w:rPr>
        <w:t xml:space="preserve">Module                   Introduction to Physiology  </w:t>
      </w:r>
    </w:p>
    <w:p xmlns:wp14="http://schemas.microsoft.com/office/word/2010/wordml" w:rsidP="1A0CFE79" wp14:paraId="04AAF723" wp14:textId="0C5AA0B0">
      <w:pPr>
        <w:rPr>
          <w:rFonts w:ascii="Arial Nova" w:hAnsi="Arial Nova" w:eastAsia="Arial Nova" w:cs="Arial Nova"/>
          <w:b w:val="0"/>
          <w:bCs w:val="0"/>
          <w:sz w:val="28"/>
          <w:szCs w:val="28"/>
        </w:rPr>
      </w:pPr>
      <w:r w:rsidRPr="1A0CFE79" w:rsidR="047E7A6F">
        <w:rPr>
          <w:rFonts w:ascii="Arial Nova" w:hAnsi="Arial Nova" w:eastAsia="Arial Nova" w:cs="Arial Nova"/>
          <w:b w:val="0"/>
          <w:bCs w:val="0"/>
          <w:sz w:val="28"/>
          <w:szCs w:val="28"/>
        </w:rPr>
        <w:t xml:space="preserve">Mode Code            BMHP5023   </w:t>
      </w:r>
    </w:p>
    <w:p xmlns:wp14="http://schemas.microsoft.com/office/word/2010/wordml" w:rsidP="1A0CFE79" wp14:paraId="1E7A6C61" wp14:textId="183C7D2F">
      <w:pPr>
        <w:rPr>
          <w:rFonts w:ascii="Arial Nova" w:hAnsi="Arial Nova" w:eastAsia="Arial Nova" w:cs="Arial Nova"/>
          <w:b w:val="0"/>
          <w:bCs w:val="0"/>
          <w:sz w:val="28"/>
          <w:szCs w:val="28"/>
        </w:rPr>
      </w:pPr>
    </w:p>
    <w:p xmlns:wp14="http://schemas.microsoft.com/office/word/2010/wordml" w:rsidP="1A0CFE79" wp14:paraId="513DC50F" wp14:textId="6B6404A3">
      <w:pPr>
        <w:rPr>
          <w:rFonts w:ascii="Arial Nova" w:hAnsi="Arial Nova" w:eastAsia="Arial Nova" w:cs="Arial Nova"/>
          <w:b w:val="0"/>
          <w:bCs w:val="0"/>
          <w:sz w:val="28"/>
          <w:szCs w:val="28"/>
        </w:rPr>
      </w:pPr>
    </w:p>
    <w:p xmlns:wp14="http://schemas.microsoft.com/office/word/2010/wordml" w:rsidP="1A0CFE79" wp14:paraId="0641B5DD" wp14:textId="5D31153D">
      <w:pPr>
        <w:rPr>
          <w:rFonts w:ascii="Arial Nova" w:hAnsi="Arial Nova" w:eastAsia="Arial Nova" w:cs="Arial Nova"/>
          <w:b w:val="0"/>
          <w:bCs w:val="0"/>
          <w:sz w:val="28"/>
          <w:szCs w:val="28"/>
        </w:rPr>
      </w:pPr>
    </w:p>
    <w:p xmlns:wp14="http://schemas.microsoft.com/office/word/2010/wordml" w:rsidP="1A0CFE79" wp14:paraId="3228F814" wp14:textId="73E9C497">
      <w:pPr>
        <w:rPr>
          <w:rFonts w:ascii="Arial Nova" w:hAnsi="Arial Nova" w:eastAsia="Arial Nova" w:cs="Arial Nova"/>
          <w:b w:val="0"/>
          <w:bCs w:val="0"/>
          <w:sz w:val="28"/>
          <w:szCs w:val="28"/>
        </w:rPr>
      </w:pPr>
    </w:p>
    <w:p xmlns:wp14="http://schemas.microsoft.com/office/word/2010/wordml" w:rsidP="1A0CFE79" wp14:paraId="3593B136" wp14:textId="76307552">
      <w:pPr>
        <w:rPr>
          <w:rFonts w:ascii="Arial Nova" w:hAnsi="Arial Nova" w:eastAsia="Arial Nova" w:cs="Arial Nova"/>
          <w:b w:val="0"/>
          <w:bCs w:val="0"/>
          <w:sz w:val="28"/>
          <w:szCs w:val="28"/>
        </w:rPr>
      </w:pPr>
    </w:p>
    <w:p xmlns:wp14="http://schemas.microsoft.com/office/word/2010/wordml" w:rsidP="1A0CFE79" wp14:paraId="5A993EFC" wp14:textId="46A7A4F9">
      <w:pPr>
        <w:rPr>
          <w:rFonts w:ascii="Arial Nova" w:hAnsi="Arial Nova" w:eastAsia="Arial Nova" w:cs="Arial Nova"/>
          <w:b w:val="0"/>
          <w:bCs w:val="0"/>
          <w:sz w:val="28"/>
          <w:szCs w:val="28"/>
        </w:rPr>
      </w:pPr>
    </w:p>
    <w:p xmlns:wp14="http://schemas.microsoft.com/office/word/2010/wordml" w:rsidP="1A0CFE79" wp14:paraId="5B6563E5" wp14:textId="01F87A10">
      <w:pPr>
        <w:rPr>
          <w:rFonts w:ascii="Arial Nova" w:hAnsi="Arial Nova" w:eastAsia="Arial Nova" w:cs="Arial Nova"/>
          <w:b w:val="0"/>
          <w:bCs w:val="0"/>
          <w:sz w:val="28"/>
          <w:szCs w:val="28"/>
        </w:rPr>
      </w:pPr>
    </w:p>
    <w:p xmlns:wp14="http://schemas.microsoft.com/office/word/2010/wordml" w:rsidP="1A0CFE79" wp14:paraId="03853A31" wp14:textId="1B779AEC">
      <w:pPr>
        <w:rPr>
          <w:rFonts w:ascii="Arial Nova" w:hAnsi="Arial Nova" w:eastAsia="Arial Nova" w:cs="Arial Nova"/>
          <w:b w:val="0"/>
          <w:bCs w:val="0"/>
          <w:sz w:val="28"/>
          <w:szCs w:val="28"/>
        </w:rPr>
      </w:pPr>
    </w:p>
    <w:p xmlns:wp14="http://schemas.microsoft.com/office/word/2010/wordml" w:rsidP="1A0CFE79" wp14:paraId="6183A36E" wp14:textId="5C7EE910">
      <w:pPr>
        <w:rPr>
          <w:rFonts w:ascii="Arial Nova" w:hAnsi="Arial Nova" w:eastAsia="Arial Nova" w:cs="Arial Nova"/>
          <w:b w:val="0"/>
          <w:bCs w:val="0"/>
          <w:sz w:val="28"/>
          <w:szCs w:val="28"/>
        </w:rPr>
      </w:pPr>
    </w:p>
    <w:p xmlns:wp14="http://schemas.microsoft.com/office/word/2010/wordml" w:rsidP="1A0CFE79" wp14:paraId="194CB498" wp14:textId="709EB124">
      <w:pPr>
        <w:rPr>
          <w:rFonts w:ascii="Arial Nova" w:hAnsi="Arial Nova" w:eastAsia="Arial Nova" w:cs="Arial Nova"/>
          <w:b w:val="0"/>
          <w:bCs w:val="0"/>
          <w:sz w:val="28"/>
          <w:szCs w:val="28"/>
        </w:rPr>
      </w:pPr>
    </w:p>
    <w:p xmlns:wp14="http://schemas.microsoft.com/office/word/2010/wordml" w:rsidP="1A0CFE79" wp14:paraId="5C85A1AC" wp14:textId="0C031B5E">
      <w:pPr>
        <w:rPr>
          <w:rFonts w:ascii="Arial Nova" w:hAnsi="Arial Nova" w:eastAsia="Arial Nova" w:cs="Arial Nova"/>
          <w:b w:val="0"/>
          <w:bCs w:val="0"/>
          <w:sz w:val="28"/>
          <w:szCs w:val="28"/>
        </w:rPr>
      </w:pPr>
    </w:p>
    <w:p xmlns:wp14="http://schemas.microsoft.com/office/word/2010/wordml" w:rsidP="1A0CFE79" wp14:paraId="41FAD762" wp14:textId="3B092934">
      <w:pPr>
        <w:rPr>
          <w:rFonts w:ascii="Arial Nova" w:hAnsi="Arial Nova" w:eastAsia="Arial Nova" w:cs="Arial Nova"/>
          <w:b w:val="0"/>
          <w:bCs w:val="0"/>
          <w:sz w:val="28"/>
          <w:szCs w:val="28"/>
        </w:rPr>
      </w:pPr>
    </w:p>
    <w:p xmlns:wp14="http://schemas.microsoft.com/office/word/2010/wordml" w:rsidP="1A0CFE79" wp14:paraId="41B11C3D" wp14:textId="74C5B5FA">
      <w:pPr>
        <w:rPr>
          <w:rFonts w:ascii="Arial Nova" w:hAnsi="Arial Nova" w:eastAsia="Arial Nova" w:cs="Arial Nova"/>
          <w:b w:val="0"/>
          <w:bCs w:val="0"/>
          <w:sz w:val="28"/>
          <w:szCs w:val="28"/>
        </w:rPr>
      </w:pPr>
    </w:p>
    <w:p xmlns:wp14="http://schemas.microsoft.com/office/word/2010/wordml" w:rsidP="1A0CFE79" wp14:paraId="1F75AA3D" wp14:textId="5C584B81">
      <w:pPr>
        <w:rPr>
          <w:rFonts w:ascii="Arial Nova" w:hAnsi="Arial Nova" w:eastAsia="Arial Nova" w:cs="Arial Nova"/>
          <w:b w:val="0"/>
          <w:bCs w:val="0"/>
          <w:sz w:val="28"/>
          <w:szCs w:val="28"/>
        </w:rPr>
      </w:pPr>
    </w:p>
    <w:p xmlns:wp14="http://schemas.microsoft.com/office/word/2010/wordml" w:rsidP="1A0CFE79" wp14:paraId="62FAD1AC" wp14:textId="19633B20">
      <w:pPr>
        <w:rPr>
          <w:rFonts w:ascii="Arial Nova" w:hAnsi="Arial Nova" w:eastAsia="Arial Nova" w:cs="Arial Nova"/>
          <w:b w:val="0"/>
          <w:bCs w:val="0"/>
          <w:sz w:val="28"/>
          <w:szCs w:val="28"/>
        </w:rPr>
      </w:pPr>
    </w:p>
    <w:p xmlns:wp14="http://schemas.microsoft.com/office/word/2010/wordml" w:rsidP="1A0CFE79" wp14:paraId="43CD6C77" wp14:textId="71BAC0B2">
      <w:pPr>
        <w:rPr>
          <w:rFonts w:ascii="Arial Nova" w:hAnsi="Arial Nova" w:eastAsia="Arial Nova" w:cs="Arial Nova"/>
          <w:b w:val="0"/>
          <w:bCs w:val="0"/>
          <w:sz w:val="28"/>
          <w:szCs w:val="28"/>
        </w:rPr>
      </w:pPr>
    </w:p>
    <w:p xmlns:wp14="http://schemas.microsoft.com/office/word/2010/wordml" w:rsidP="1A0CFE79" wp14:paraId="70C3E16D" wp14:textId="71B2D40D">
      <w:pPr>
        <w:rPr>
          <w:rFonts w:ascii="Arial Nova" w:hAnsi="Arial Nova" w:eastAsia="Arial Nova" w:cs="Arial Nova"/>
          <w:b w:val="0"/>
          <w:bCs w:val="0"/>
          <w:sz w:val="28"/>
          <w:szCs w:val="28"/>
        </w:rPr>
      </w:pPr>
    </w:p>
    <w:p xmlns:wp14="http://schemas.microsoft.com/office/word/2010/wordml" w:rsidP="1A0CFE79" wp14:paraId="15241D7D" wp14:textId="00A1524A">
      <w:pPr>
        <w:rPr>
          <w:rFonts w:ascii="Arial Nova" w:hAnsi="Arial Nova" w:eastAsia="Arial Nova" w:cs="Arial Nova"/>
          <w:b w:val="0"/>
          <w:bCs w:val="0"/>
          <w:sz w:val="28"/>
          <w:szCs w:val="28"/>
        </w:rPr>
      </w:pPr>
    </w:p>
    <w:p xmlns:wp14="http://schemas.microsoft.com/office/word/2010/wordml" w:rsidP="1A0CFE79" wp14:paraId="4AAA7EE1" wp14:textId="3411545F">
      <w:pPr>
        <w:rPr>
          <w:rFonts w:ascii="Arial Nova" w:hAnsi="Arial Nova" w:eastAsia="Arial Nova" w:cs="Arial Nova"/>
          <w:b w:val="0"/>
          <w:bCs w:val="0"/>
          <w:sz w:val="28"/>
          <w:szCs w:val="28"/>
        </w:rPr>
      </w:pPr>
    </w:p>
    <w:p xmlns:wp14="http://schemas.microsoft.com/office/word/2010/wordml" w:rsidP="1A0CFE79" wp14:paraId="5CE0E5FD" wp14:textId="4DDF0A54">
      <w:pPr>
        <w:pStyle w:val="Normal"/>
        <w:rPr>
          <w:rFonts w:ascii="Arial Nova" w:hAnsi="Arial Nova" w:eastAsia="Arial Nova" w:cs="Arial Nova"/>
          <w:b w:val="0"/>
          <w:bCs w:val="0"/>
          <w:sz w:val="28"/>
          <w:szCs w:val="28"/>
        </w:rPr>
      </w:pPr>
    </w:p>
    <w:p xmlns:wp14="http://schemas.microsoft.com/office/word/2010/wordml" w:rsidP="1A0CFE79" wp14:paraId="41682E65" wp14:textId="75682B33">
      <w:pPr>
        <w:pStyle w:val="Normal"/>
        <w:rPr>
          <w:rFonts w:ascii="Arial Nova" w:hAnsi="Arial Nova" w:eastAsia="Arial Nova" w:cs="Arial Nova"/>
          <w:b w:val="0"/>
          <w:bCs w:val="0"/>
          <w:sz w:val="28"/>
          <w:szCs w:val="28"/>
        </w:rPr>
      </w:pPr>
      <w:r w:rsidRPr="1A0CFE79" w:rsidR="047E7A6F">
        <w:rPr>
          <w:rFonts w:ascii="Arial Nova" w:hAnsi="Arial Nova" w:eastAsia="Arial Nova" w:cs="Arial Nova"/>
          <w:b w:val="1"/>
          <w:bCs w:val="1"/>
          <w:sz w:val="28"/>
          <w:szCs w:val="28"/>
        </w:rPr>
        <w:t>Content Page</w:t>
      </w:r>
      <w:r w:rsidRPr="1A0CFE79" w:rsidR="047E7A6F">
        <w:rPr>
          <w:rFonts w:ascii="Arial Nova" w:hAnsi="Arial Nova" w:eastAsia="Arial Nova" w:cs="Arial Nova"/>
          <w:b w:val="0"/>
          <w:bCs w:val="0"/>
          <w:sz w:val="28"/>
          <w:szCs w:val="28"/>
        </w:rPr>
        <w:t xml:space="preserve"> </w:t>
      </w:r>
      <w:r w:rsidRPr="1A0CFE79" w:rsidR="0A3EA3A7">
        <w:rPr>
          <w:rFonts w:ascii="Arial Nova" w:hAnsi="Arial Nova" w:eastAsia="Arial Nova" w:cs="Arial Nova"/>
          <w:b w:val="0"/>
          <w:bCs w:val="0"/>
          <w:sz w:val="28"/>
          <w:szCs w:val="28"/>
        </w:rPr>
        <w:t xml:space="preserve"> </w:t>
      </w:r>
    </w:p>
    <w:p xmlns:wp14="http://schemas.microsoft.com/office/word/2010/wordml" w:rsidP="1A0CFE79" wp14:paraId="7BC106D0" wp14:textId="4B490C58">
      <w:pPr>
        <w:pStyle w:val="Normal"/>
        <w:rPr>
          <w:rFonts w:ascii="Arial Nova" w:hAnsi="Arial Nova" w:eastAsia="Arial Nova" w:cs="Arial Nova"/>
          <w:b w:val="0"/>
          <w:bCs w:val="0"/>
          <w:sz w:val="24"/>
          <w:szCs w:val="24"/>
        </w:rPr>
      </w:pPr>
      <w:r w:rsidRPr="1A0CFE79" w:rsidR="0A3EA3A7">
        <w:rPr>
          <w:rFonts w:ascii="Arial Nova" w:hAnsi="Arial Nova" w:eastAsia="Arial Nova" w:cs="Arial Nova"/>
          <w:b w:val="0"/>
          <w:bCs w:val="0"/>
          <w:sz w:val="24"/>
          <w:szCs w:val="24"/>
        </w:rPr>
        <w:t xml:space="preserve">Introduction </w:t>
      </w:r>
      <w:r w:rsidRPr="1A0CFE79" w:rsidR="2A8EECF6">
        <w:rPr>
          <w:rFonts w:ascii="Arial Nova" w:hAnsi="Arial Nova" w:eastAsia="Arial Nova" w:cs="Arial Nova"/>
          <w:b w:val="0"/>
          <w:bCs w:val="0"/>
          <w:sz w:val="24"/>
          <w:szCs w:val="24"/>
        </w:rPr>
        <w:t>...............................................................................................................p,3</w:t>
      </w:r>
    </w:p>
    <w:p xmlns:wp14="http://schemas.microsoft.com/office/word/2010/wordml" w:rsidP="1A0CFE79" wp14:paraId="549E6C16" wp14:textId="7A19982C">
      <w:pPr>
        <w:pStyle w:val="Normal"/>
        <w:rPr>
          <w:rFonts w:ascii="Arial Nova" w:hAnsi="Arial Nova" w:eastAsia="Arial Nova" w:cs="Arial Nova"/>
          <w:b w:val="0"/>
          <w:bCs w:val="0"/>
          <w:sz w:val="24"/>
          <w:szCs w:val="24"/>
        </w:rPr>
      </w:pPr>
      <w:r w:rsidRPr="1A0CFE79" w:rsidR="0A3EA3A7">
        <w:rPr>
          <w:rFonts w:ascii="Arial Nova" w:hAnsi="Arial Nova" w:eastAsia="Arial Nova" w:cs="Arial Nova"/>
          <w:b w:val="0"/>
          <w:bCs w:val="0"/>
          <w:sz w:val="24"/>
          <w:szCs w:val="24"/>
        </w:rPr>
        <w:t>Blood glucose levels</w:t>
      </w:r>
      <w:r w:rsidRPr="1A0CFE79" w:rsidR="34A54948">
        <w:rPr>
          <w:rFonts w:ascii="Arial Nova" w:hAnsi="Arial Nova" w:eastAsia="Arial Nova" w:cs="Arial Nova"/>
          <w:b w:val="0"/>
          <w:bCs w:val="0"/>
          <w:sz w:val="24"/>
          <w:szCs w:val="24"/>
        </w:rPr>
        <w:t>.................................................................................................p,3</w:t>
      </w:r>
      <w:r w:rsidRPr="1A0CFE79" w:rsidR="041891FC">
        <w:rPr>
          <w:rFonts w:ascii="Arial Nova" w:hAnsi="Arial Nova" w:eastAsia="Arial Nova" w:cs="Arial Nova"/>
          <w:b w:val="0"/>
          <w:bCs w:val="0"/>
          <w:sz w:val="24"/>
          <w:szCs w:val="24"/>
        </w:rPr>
        <w:t>,4</w:t>
      </w:r>
      <w:r w:rsidRPr="1A0CFE79" w:rsidR="0A3EA3A7">
        <w:rPr>
          <w:rFonts w:ascii="Arial Nova" w:hAnsi="Arial Nova" w:eastAsia="Arial Nova" w:cs="Arial Nova"/>
          <w:b w:val="0"/>
          <w:bCs w:val="0"/>
          <w:sz w:val="24"/>
          <w:szCs w:val="24"/>
        </w:rPr>
        <w:t xml:space="preserve"> </w:t>
      </w:r>
    </w:p>
    <w:p xmlns:wp14="http://schemas.microsoft.com/office/word/2010/wordml" w:rsidP="1A0CFE79" wp14:paraId="4A3CF888" wp14:textId="490DE624">
      <w:pPr>
        <w:pStyle w:val="Normal"/>
        <w:rPr>
          <w:rFonts w:ascii="Arial Nova" w:hAnsi="Arial Nova" w:eastAsia="Arial Nova" w:cs="Arial Nova"/>
          <w:noProof w:val="0"/>
          <w:sz w:val="22"/>
          <w:szCs w:val="22"/>
          <w:lang w:val="en-GB"/>
        </w:rPr>
      </w:pPr>
      <w:r w:rsidRPr="1A0CFE79" w:rsidR="0A3EA3A7">
        <w:rPr>
          <w:rFonts w:ascii="Arial Nova" w:hAnsi="Arial Nova" w:eastAsia="Arial Nova" w:cs="Arial Nova"/>
          <w:b w:val="0"/>
          <w:bCs w:val="0"/>
          <w:noProof w:val="0"/>
          <w:sz w:val="24"/>
          <w:szCs w:val="24"/>
          <w:lang w:val="en-GB"/>
        </w:rPr>
        <w:t>Cellular Energy Production</w:t>
      </w:r>
      <w:r w:rsidRPr="1A0CFE79" w:rsidR="0E53C06C">
        <w:rPr>
          <w:rFonts w:ascii="Arial Nova" w:hAnsi="Arial Nova" w:eastAsia="Arial Nova" w:cs="Arial Nova"/>
          <w:b w:val="0"/>
          <w:bCs w:val="0"/>
          <w:noProof w:val="0"/>
          <w:sz w:val="24"/>
          <w:szCs w:val="24"/>
          <w:lang w:val="en-GB"/>
        </w:rPr>
        <w:t>......................................................................................p,4,5</w:t>
      </w:r>
      <w:r w:rsidRPr="1A0CFE79" w:rsidR="0A3EA3A7">
        <w:rPr>
          <w:rFonts w:ascii="Arial Nova" w:hAnsi="Arial Nova" w:eastAsia="Arial Nova" w:cs="Arial Nova"/>
          <w:b w:val="1"/>
          <w:bCs w:val="1"/>
          <w:noProof w:val="0"/>
          <w:sz w:val="28"/>
          <w:szCs w:val="28"/>
          <w:lang w:val="en-GB"/>
        </w:rPr>
        <w:t xml:space="preserve">  </w:t>
      </w:r>
    </w:p>
    <w:p xmlns:wp14="http://schemas.microsoft.com/office/word/2010/wordml" w:rsidP="1A0CFE79" wp14:paraId="4B136508" wp14:textId="0EC0AE20">
      <w:pPr>
        <w:pStyle w:val="Normal"/>
        <w:rPr>
          <w:rFonts w:ascii="Arial Nova" w:hAnsi="Arial Nova" w:eastAsia="Arial Nova" w:cs="Arial Nova"/>
          <w:b w:val="0"/>
          <w:bCs w:val="0"/>
          <w:noProof w:val="0"/>
          <w:sz w:val="24"/>
          <w:szCs w:val="24"/>
          <w:lang w:val="en-GB"/>
        </w:rPr>
      </w:pPr>
      <w:r w:rsidRPr="1A0CFE79" w:rsidR="0A3EA3A7">
        <w:rPr>
          <w:rFonts w:ascii="Arial Nova" w:hAnsi="Arial Nova" w:eastAsia="Arial Nova" w:cs="Arial Nova"/>
          <w:b w:val="0"/>
          <w:bCs w:val="0"/>
          <w:noProof w:val="0"/>
          <w:sz w:val="24"/>
          <w:szCs w:val="24"/>
          <w:lang w:val="en-GB"/>
        </w:rPr>
        <w:t>Recording and tracking blood glucose levels</w:t>
      </w:r>
      <w:r w:rsidRPr="1A0CFE79" w:rsidR="2BFE4FBB">
        <w:rPr>
          <w:rFonts w:ascii="Arial Nova" w:hAnsi="Arial Nova" w:eastAsia="Arial Nova" w:cs="Arial Nova"/>
          <w:b w:val="0"/>
          <w:bCs w:val="0"/>
          <w:noProof w:val="0"/>
          <w:sz w:val="24"/>
          <w:szCs w:val="24"/>
          <w:lang w:val="en-GB"/>
        </w:rPr>
        <w:t>......................................</w:t>
      </w:r>
      <w:r w:rsidRPr="1A0CFE79" w:rsidR="188A074D">
        <w:rPr>
          <w:rFonts w:ascii="Arial Nova" w:hAnsi="Arial Nova" w:eastAsia="Arial Nova" w:cs="Arial Nova"/>
          <w:b w:val="0"/>
          <w:bCs w:val="0"/>
          <w:noProof w:val="0"/>
          <w:sz w:val="24"/>
          <w:szCs w:val="24"/>
          <w:lang w:val="en-GB"/>
        </w:rPr>
        <w:t>....</w:t>
      </w:r>
      <w:r w:rsidRPr="1A0CFE79" w:rsidR="2BFE4FBB">
        <w:rPr>
          <w:rFonts w:ascii="Arial Nova" w:hAnsi="Arial Nova" w:eastAsia="Arial Nova" w:cs="Arial Nova"/>
          <w:b w:val="0"/>
          <w:bCs w:val="0"/>
          <w:noProof w:val="0"/>
          <w:sz w:val="24"/>
          <w:szCs w:val="24"/>
          <w:lang w:val="en-GB"/>
        </w:rPr>
        <w:t>..............p,</w:t>
      </w:r>
      <w:r w:rsidRPr="1A0CFE79" w:rsidR="78BB4DA6">
        <w:rPr>
          <w:rFonts w:ascii="Arial Nova" w:hAnsi="Arial Nova" w:eastAsia="Arial Nova" w:cs="Arial Nova"/>
          <w:b w:val="0"/>
          <w:bCs w:val="0"/>
          <w:noProof w:val="0"/>
          <w:sz w:val="24"/>
          <w:szCs w:val="24"/>
          <w:lang w:val="en-GB"/>
        </w:rPr>
        <w:t>5</w:t>
      </w:r>
    </w:p>
    <w:p xmlns:wp14="http://schemas.microsoft.com/office/word/2010/wordml" w:rsidP="1A0CFE79" wp14:paraId="41D543A0" wp14:textId="5C4BCD46">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noProof w:val="0"/>
          <w:sz w:val="24"/>
          <w:szCs w:val="24"/>
          <w:lang w:val="en-GB"/>
        </w:rPr>
      </w:pPr>
      <w:r w:rsidRPr="1A0CFE79" w:rsidR="0A3EA3A7">
        <w:rPr>
          <w:rFonts w:ascii="Arial Nova" w:hAnsi="Arial Nova" w:eastAsia="Arial Nova" w:cs="Arial Nova"/>
          <w:b w:val="0"/>
          <w:bCs w:val="0"/>
          <w:noProof w:val="0"/>
          <w:sz w:val="24"/>
          <w:szCs w:val="24"/>
          <w:lang w:val="en-GB"/>
        </w:rPr>
        <w:t>Evidence-Based Lifestyle Recommendations</w:t>
      </w:r>
      <w:r w:rsidRPr="1A0CFE79" w:rsidR="2BB92C86">
        <w:rPr>
          <w:rFonts w:ascii="Arial Nova" w:hAnsi="Arial Nova" w:eastAsia="Arial Nova" w:cs="Arial Nova"/>
          <w:b w:val="0"/>
          <w:bCs w:val="0"/>
          <w:noProof w:val="0"/>
          <w:sz w:val="24"/>
          <w:szCs w:val="24"/>
          <w:lang w:val="en-GB"/>
        </w:rPr>
        <w:t>..............................................p,5,6,7,8,9</w:t>
      </w:r>
      <w:r w:rsidRPr="1A0CFE79" w:rsidR="0A3EA3A7">
        <w:rPr>
          <w:rFonts w:ascii="Arial Nova" w:hAnsi="Arial Nova" w:eastAsia="Arial Nova" w:cs="Arial Nova"/>
          <w:b w:val="0"/>
          <w:bCs w:val="0"/>
          <w:noProof w:val="0"/>
          <w:sz w:val="24"/>
          <w:szCs w:val="24"/>
          <w:lang w:val="en-GB"/>
        </w:rPr>
        <w:t xml:space="preserve"> </w:t>
      </w:r>
    </w:p>
    <w:p xmlns:wp14="http://schemas.microsoft.com/office/word/2010/wordml" w:rsidP="1A0CFE79" wp14:paraId="3EB3DC13" wp14:textId="0CCFFD79">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noProof w:val="0"/>
          <w:sz w:val="24"/>
          <w:szCs w:val="24"/>
          <w:lang w:val="en-GB"/>
        </w:rPr>
      </w:pPr>
      <w:r w:rsidRPr="1A0CFE79" w:rsidR="008B5BBF">
        <w:rPr>
          <w:rFonts w:ascii="Arial Nova" w:hAnsi="Arial Nova" w:eastAsia="Arial Nova" w:cs="Arial Nova"/>
          <w:b w:val="0"/>
          <w:bCs w:val="0"/>
          <w:noProof w:val="0"/>
          <w:sz w:val="24"/>
          <w:szCs w:val="24"/>
          <w:lang w:val="en-GB"/>
        </w:rPr>
        <w:t>Conclusion</w:t>
      </w:r>
      <w:r w:rsidRPr="1A0CFE79" w:rsidR="203CE860">
        <w:rPr>
          <w:rFonts w:ascii="Arial Nova" w:hAnsi="Arial Nova" w:eastAsia="Arial Nova" w:cs="Arial Nova"/>
          <w:b w:val="0"/>
          <w:bCs w:val="0"/>
          <w:noProof w:val="0"/>
          <w:sz w:val="24"/>
          <w:szCs w:val="24"/>
          <w:lang w:val="en-GB"/>
        </w:rPr>
        <w:t>.....................................................................................................................p,9</w:t>
      </w:r>
    </w:p>
    <w:p xmlns:wp14="http://schemas.microsoft.com/office/word/2010/wordml" w:rsidP="1A0CFE79" wp14:paraId="4BE0DB2C" wp14:textId="32D0F823">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noProof w:val="0"/>
          <w:sz w:val="24"/>
          <w:szCs w:val="24"/>
          <w:lang w:val="en-GB"/>
        </w:rPr>
      </w:pPr>
      <w:r w:rsidRPr="1A0CFE79" w:rsidR="203CE860">
        <w:rPr>
          <w:rFonts w:ascii="Arial Nova" w:hAnsi="Arial Nova" w:eastAsia="Arial Nova" w:cs="Arial Nova"/>
          <w:b w:val="0"/>
          <w:bCs w:val="0"/>
          <w:noProof w:val="0"/>
          <w:sz w:val="24"/>
          <w:szCs w:val="24"/>
          <w:lang w:val="en-GB"/>
        </w:rPr>
        <w:t>References.............................................................................................................</w:t>
      </w:r>
      <w:r w:rsidRPr="1A0CFE79" w:rsidR="4CB2B41B">
        <w:rPr>
          <w:rFonts w:ascii="Arial Nova" w:hAnsi="Arial Nova" w:eastAsia="Arial Nova" w:cs="Arial Nova"/>
          <w:b w:val="0"/>
          <w:bCs w:val="0"/>
          <w:noProof w:val="0"/>
          <w:sz w:val="24"/>
          <w:szCs w:val="24"/>
          <w:lang w:val="en-GB"/>
        </w:rPr>
        <w:t>p,1</w:t>
      </w:r>
      <w:r w:rsidRPr="1A0CFE79" w:rsidR="159A5B1F">
        <w:rPr>
          <w:rFonts w:ascii="Arial Nova" w:hAnsi="Arial Nova" w:eastAsia="Arial Nova" w:cs="Arial Nova"/>
          <w:b w:val="0"/>
          <w:bCs w:val="0"/>
          <w:noProof w:val="0"/>
          <w:sz w:val="24"/>
          <w:szCs w:val="24"/>
          <w:lang w:val="en-GB"/>
        </w:rPr>
        <w:t>0,11,12</w:t>
      </w:r>
    </w:p>
    <w:p xmlns:wp14="http://schemas.microsoft.com/office/word/2010/wordml" w:rsidP="1A0CFE79" wp14:paraId="16166832" wp14:textId="7D71EBB6">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noProof w:val="0"/>
          <w:sz w:val="24"/>
          <w:szCs w:val="24"/>
          <w:lang w:val="en-GB"/>
        </w:rPr>
      </w:pPr>
    </w:p>
    <w:p xmlns:wp14="http://schemas.microsoft.com/office/word/2010/wordml" w:rsidP="1A0CFE79" wp14:paraId="4499AA64" wp14:textId="543EB4CE">
      <w:pPr>
        <w:pStyle w:val="Normal"/>
        <w:rPr>
          <w:rFonts w:ascii="Arial Nova" w:hAnsi="Arial Nova" w:eastAsia="Arial Nova" w:cs="Arial Nova"/>
          <w:b w:val="0"/>
          <w:bCs w:val="0"/>
          <w:noProof w:val="0"/>
          <w:sz w:val="24"/>
          <w:szCs w:val="24"/>
          <w:lang w:val="en-GB"/>
        </w:rPr>
      </w:pPr>
      <w:r w:rsidRPr="1A0CFE79" w:rsidR="0A3EA3A7">
        <w:rPr>
          <w:rFonts w:ascii="Arial Nova" w:hAnsi="Arial Nova" w:eastAsia="Arial Nova" w:cs="Arial Nova"/>
          <w:b w:val="0"/>
          <w:bCs w:val="0"/>
          <w:noProof w:val="0"/>
          <w:sz w:val="24"/>
          <w:szCs w:val="24"/>
          <w:lang w:val="en-GB"/>
        </w:rPr>
        <w:t xml:space="preserve"> </w:t>
      </w:r>
    </w:p>
    <w:p xmlns:wp14="http://schemas.microsoft.com/office/word/2010/wordml" w:rsidP="1A0CFE79" wp14:paraId="72008E8F" wp14:textId="5D6394C7">
      <w:pPr>
        <w:pStyle w:val="Normal"/>
        <w:rPr>
          <w:rFonts w:ascii="Arial Nova" w:hAnsi="Arial Nova" w:eastAsia="Arial Nova" w:cs="Arial Nova"/>
          <w:b w:val="0"/>
          <w:bCs w:val="0"/>
          <w:sz w:val="24"/>
          <w:szCs w:val="24"/>
        </w:rPr>
      </w:pPr>
    </w:p>
    <w:p xmlns:wp14="http://schemas.microsoft.com/office/word/2010/wordml" w:rsidP="1A0CFE79" wp14:paraId="307F5AA2" wp14:textId="1C677330">
      <w:pPr>
        <w:pStyle w:val="Normal"/>
        <w:rPr>
          <w:rFonts w:ascii="Arial Nova" w:hAnsi="Arial Nova" w:eastAsia="Arial Nova" w:cs="Arial Nova"/>
          <w:b w:val="0"/>
          <w:bCs w:val="0"/>
          <w:sz w:val="28"/>
          <w:szCs w:val="28"/>
        </w:rPr>
      </w:pPr>
    </w:p>
    <w:p xmlns:wp14="http://schemas.microsoft.com/office/word/2010/wordml" w:rsidP="1A0CFE79" wp14:paraId="6E9177DC" wp14:textId="336D86EE">
      <w:pPr>
        <w:pStyle w:val="Normal"/>
        <w:rPr>
          <w:rFonts w:ascii="Arial Nova" w:hAnsi="Arial Nova" w:eastAsia="Arial Nova" w:cs="Arial Nova"/>
          <w:b w:val="0"/>
          <w:bCs w:val="0"/>
          <w:sz w:val="28"/>
          <w:szCs w:val="28"/>
        </w:rPr>
      </w:pPr>
    </w:p>
    <w:p xmlns:wp14="http://schemas.microsoft.com/office/word/2010/wordml" w:rsidP="1A0CFE79" wp14:paraId="3EB4AB11" wp14:textId="2ABBCEE2">
      <w:pPr>
        <w:pStyle w:val="Normal"/>
        <w:rPr>
          <w:rFonts w:ascii="Arial Nova" w:hAnsi="Arial Nova" w:eastAsia="Arial Nova" w:cs="Arial Nova"/>
          <w:b w:val="0"/>
          <w:bCs w:val="0"/>
          <w:sz w:val="28"/>
          <w:szCs w:val="28"/>
        </w:rPr>
      </w:pPr>
    </w:p>
    <w:p xmlns:wp14="http://schemas.microsoft.com/office/word/2010/wordml" w:rsidP="1A0CFE79" wp14:paraId="68319347" wp14:textId="38EFC3DA">
      <w:pPr>
        <w:pStyle w:val="Normal"/>
        <w:rPr>
          <w:rFonts w:ascii="Arial Nova" w:hAnsi="Arial Nova" w:eastAsia="Arial Nova" w:cs="Arial Nova"/>
          <w:b w:val="0"/>
          <w:bCs w:val="0"/>
          <w:sz w:val="28"/>
          <w:szCs w:val="28"/>
        </w:rPr>
      </w:pPr>
    </w:p>
    <w:p xmlns:wp14="http://schemas.microsoft.com/office/word/2010/wordml" w:rsidP="1A0CFE79" wp14:paraId="3ED994D1" wp14:textId="618BC3AF">
      <w:pPr>
        <w:pStyle w:val="Normal"/>
        <w:rPr>
          <w:rFonts w:ascii="Arial Nova" w:hAnsi="Arial Nova" w:eastAsia="Arial Nova" w:cs="Arial Nova"/>
          <w:b w:val="0"/>
          <w:bCs w:val="0"/>
          <w:sz w:val="28"/>
          <w:szCs w:val="28"/>
        </w:rPr>
      </w:pPr>
    </w:p>
    <w:p xmlns:wp14="http://schemas.microsoft.com/office/word/2010/wordml" w:rsidP="1A0CFE79" wp14:paraId="26FD9B0A" wp14:textId="4BBB9AB4">
      <w:pPr>
        <w:pStyle w:val="Normal"/>
        <w:rPr>
          <w:rFonts w:ascii="Arial Nova" w:hAnsi="Arial Nova" w:eastAsia="Arial Nova" w:cs="Arial Nova"/>
          <w:b w:val="0"/>
          <w:bCs w:val="0"/>
          <w:sz w:val="28"/>
          <w:szCs w:val="28"/>
        </w:rPr>
      </w:pPr>
    </w:p>
    <w:p xmlns:wp14="http://schemas.microsoft.com/office/word/2010/wordml" w:rsidP="1A0CFE79" wp14:paraId="3C7049A7" wp14:textId="59067917">
      <w:pPr>
        <w:pStyle w:val="Normal"/>
        <w:rPr>
          <w:rFonts w:ascii="Arial Nova" w:hAnsi="Arial Nova" w:eastAsia="Arial Nova" w:cs="Arial Nova"/>
          <w:b w:val="0"/>
          <w:bCs w:val="0"/>
          <w:sz w:val="28"/>
          <w:szCs w:val="28"/>
        </w:rPr>
      </w:pPr>
    </w:p>
    <w:p xmlns:wp14="http://schemas.microsoft.com/office/word/2010/wordml" w:rsidP="1A0CFE79" wp14:paraId="1ABEA985" wp14:textId="1E3477F7">
      <w:pPr>
        <w:pStyle w:val="Normal"/>
        <w:rPr>
          <w:rFonts w:ascii="Arial Nova" w:hAnsi="Arial Nova" w:eastAsia="Arial Nova" w:cs="Arial Nova"/>
          <w:b w:val="0"/>
          <w:bCs w:val="0"/>
          <w:sz w:val="28"/>
          <w:szCs w:val="28"/>
        </w:rPr>
      </w:pPr>
    </w:p>
    <w:p xmlns:wp14="http://schemas.microsoft.com/office/word/2010/wordml" w:rsidP="1A0CFE79" wp14:paraId="2C41EBA7" wp14:textId="0FC42926">
      <w:pPr>
        <w:pStyle w:val="Normal"/>
        <w:rPr>
          <w:rFonts w:ascii="Arial Nova" w:hAnsi="Arial Nova" w:eastAsia="Arial Nova" w:cs="Arial Nova"/>
          <w:b w:val="0"/>
          <w:bCs w:val="0"/>
          <w:sz w:val="28"/>
          <w:szCs w:val="28"/>
        </w:rPr>
      </w:pPr>
    </w:p>
    <w:p xmlns:wp14="http://schemas.microsoft.com/office/word/2010/wordml" w:rsidP="1A0CFE79" wp14:paraId="77E59E7D" wp14:textId="628A4406">
      <w:pPr>
        <w:pStyle w:val="Normal"/>
        <w:rPr>
          <w:rFonts w:ascii="Arial Nova" w:hAnsi="Arial Nova" w:eastAsia="Arial Nova" w:cs="Arial Nova"/>
          <w:b w:val="0"/>
          <w:bCs w:val="0"/>
          <w:sz w:val="28"/>
          <w:szCs w:val="28"/>
        </w:rPr>
      </w:pPr>
    </w:p>
    <w:p xmlns:wp14="http://schemas.microsoft.com/office/word/2010/wordml" w:rsidP="1A0CFE79" wp14:paraId="36936207" wp14:textId="041D109B">
      <w:pPr>
        <w:pStyle w:val="Normal"/>
        <w:rPr>
          <w:rFonts w:ascii="Arial Nova" w:hAnsi="Arial Nova" w:eastAsia="Arial Nova" w:cs="Arial Nova"/>
          <w:b w:val="0"/>
          <w:bCs w:val="0"/>
          <w:sz w:val="28"/>
          <w:szCs w:val="28"/>
        </w:rPr>
      </w:pPr>
    </w:p>
    <w:p xmlns:wp14="http://schemas.microsoft.com/office/word/2010/wordml" w:rsidP="1A0CFE79" wp14:paraId="18310681" wp14:textId="65FBF90A">
      <w:pPr>
        <w:pStyle w:val="Normal"/>
        <w:rPr>
          <w:rFonts w:ascii="Arial Nova" w:hAnsi="Arial Nova" w:eastAsia="Arial Nova" w:cs="Arial Nova"/>
          <w:b w:val="0"/>
          <w:bCs w:val="0"/>
          <w:sz w:val="28"/>
          <w:szCs w:val="28"/>
        </w:rPr>
      </w:pPr>
    </w:p>
    <w:p xmlns:wp14="http://schemas.microsoft.com/office/word/2010/wordml" w:rsidP="1A0CFE79" wp14:paraId="59902D5D" wp14:textId="6CCAC75F">
      <w:pPr>
        <w:pStyle w:val="Normal"/>
        <w:rPr>
          <w:rFonts w:ascii="Arial Nova" w:hAnsi="Arial Nova" w:eastAsia="Arial Nova" w:cs="Arial Nova"/>
          <w:b w:val="1"/>
          <w:bCs w:val="1"/>
          <w:noProof w:val="0"/>
          <w:sz w:val="28"/>
          <w:szCs w:val="28"/>
          <w:lang w:val="en-GB"/>
        </w:rPr>
      </w:pPr>
    </w:p>
    <w:p xmlns:wp14="http://schemas.microsoft.com/office/word/2010/wordml" w:rsidP="1A0CFE79" wp14:paraId="25D3F1E5" wp14:textId="30E173C5">
      <w:pPr>
        <w:pStyle w:val="Normal"/>
        <w:rPr>
          <w:rFonts w:ascii="Arial Nova" w:hAnsi="Arial Nova" w:eastAsia="Arial Nova" w:cs="Arial Nova"/>
          <w:b w:val="1"/>
          <w:bCs w:val="1"/>
          <w:noProof w:val="0"/>
          <w:sz w:val="28"/>
          <w:szCs w:val="28"/>
          <w:lang w:val="en-GB"/>
        </w:rPr>
      </w:pPr>
    </w:p>
    <w:p xmlns:wp14="http://schemas.microsoft.com/office/word/2010/wordml" w:rsidP="1A0CFE79" wp14:paraId="33E037E9" wp14:textId="1E354E75">
      <w:pPr>
        <w:pStyle w:val="Normal"/>
        <w:rPr>
          <w:rFonts w:ascii="Arial Nova" w:hAnsi="Arial Nova" w:eastAsia="Arial Nova" w:cs="Arial Nova"/>
          <w:b w:val="1"/>
          <w:bCs w:val="1"/>
          <w:noProof w:val="0"/>
          <w:sz w:val="28"/>
          <w:szCs w:val="28"/>
          <w:lang w:val="en-GB"/>
        </w:rPr>
      </w:pPr>
      <w:r w:rsidRPr="1A0CFE79" w:rsidR="5FE72093">
        <w:rPr>
          <w:rFonts w:ascii="Arial Nova" w:hAnsi="Arial Nova" w:eastAsia="Arial Nova" w:cs="Arial Nova"/>
          <w:b w:val="1"/>
          <w:bCs w:val="1"/>
          <w:noProof w:val="0"/>
          <w:sz w:val="28"/>
          <w:szCs w:val="28"/>
          <w:lang w:val="en-GB"/>
        </w:rPr>
        <w:t xml:space="preserve">Introduction </w:t>
      </w:r>
    </w:p>
    <w:p xmlns:wp14="http://schemas.microsoft.com/office/word/2010/wordml" w:rsidP="1A0CFE79" wp14:paraId="58B43C07" wp14:textId="3543E5B8">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1A0CFE79" w:rsidR="2AEBFD81">
        <w:rPr>
          <w:rFonts w:ascii="Arial Nova" w:hAnsi="Arial Nova" w:eastAsia="Arial Nova" w:cs="Arial Nova"/>
          <w:noProof w:val="0"/>
          <w:color w:val="000000" w:themeColor="text1" w:themeTint="FF" w:themeShade="FF"/>
          <w:sz w:val="22"/>
          <w:szCs w:val="22"/>
          <w:lang w:val="en-GB"/>
        </w:rPr>
        <w:t xml:space="preserve">In my role as a practice nurse in a busy general-practice surgery, I have </w:t>
      </w:r>
      <w:r w:rsidRPr="1A0CFE79" w:rsidR="2AEBFD81">
        <w:rPr>
          <w:rFonts w:ascii="Arial Nova" w:hAnsi="Arial Nova" w:eastAsia="Arial Nova" w:cs="Arial Nova"/>
          <w:noProof w:val="0"/>
          <w:color w:val="000000" w:themeColor="text1" w:themeTint="FF" w:themeShade="FF"/>
          <w:sz w:val="22"/>
          <w:szCs w:val="22"/>
          <w:lang w:val="en-GB"/>
        </w:rPr>
        <w:t>observed</w:t>
      </w:r>
      <w:r w:rsidRPr="1A0CFE79" w:rsidR="2AEBFD81">
        <w:rPr>
          <w:rFonts w:ascii="Arial Nova" w:hAnsi="Arial Nova" w:eastAsia="Arial Nova" w:cs="Arial Nova"/>
          <w:noProof w:val="0"/>
          <w:color w:val="000000" w:themeColor="text1" w:themeTint="FF" w:themeShade="FF"/>
          <w:sz w:val="22"/>
          <w:szCs w:val="22"/>
          <w:lang w:val="en-GB"/>
        </w:rPr>
        <w:t xml:space="preserve"> a steady rise in the number of individuals diagnosed with Type 2 diabetes mellitus (T2DM). During routine reviews, many patients show limited understanding of how everyday choices</w:t>
      </w:r>
      <w:r w:rsidRPr="1A0CFE79" w:rsidR="413C0955">
        <w:rPr>
          <w:rFonts w:ascii="Arial Nova" w:hAnsi="Arial Nova" w:eastAsia="Arial Nova" w:cs="Arial Nova"/>
          <w:noProof w:val="0"/>
          <w:color w:val="000000" w:themeColor="text1" w:themeTint="FF" w:themeShade="FF"/>
          <w:sz w:val="22"/>
          <w:szCs w:val="22"/>
          <w:lang w:val="en-GB"/>
        </w:rPr>
        <w:t xml:space="preserve"> </w:t>
      </w:r>
      <w:r w:rsidRPr="1A0CFE79" w:rsidR="2AEBFD81">
        <w:rPr>
          <w:rFonts w:ascii="Arial Nova" w:hAnsi="Arial Nova" w:eastAsia="Arial Nova" w:cs="Arial Nova"/>
          <w:noProof w:val="0"/>
          <w:color w:val="000000" w:themeColor="text1" w:themeTint="FF" w:themeShade="FF"/>
          <w:sz w:val="22"/>
          <w:szCs w:val="22"/>
          <w:lang w:val="en-GB"/>
        </w:rPr>
        <w:t>such as diet, exercise, smoking, sleep, and stress</w:t>
      </w:r>
      <w:r w:rsidRPr="1A0CFE79" w:rsidR="110DFEAE">
        <w:rPr>
          <w:rFonts w:ascii="Arial Nova" w:hAnsi="Arial Nova" w:eastAsia="Arial Nova" w:cs="Arial Nova"/>
          <w:noProof w:val="0"/>
          <w:color w:val="000000" w:themeColor="text1" w:themeTint="FF" w:themeShade="FF"/>
          <w:sz w:val="22"/>
          <w:szCs w:val="22"/>
          <w:lang w:val="en-GB"/>
        </w:rPr>
        <w:t xml:space="preserve"> </w:t>
      </w:r>
      <w:r w:rsidRPr="1A0CFE79" w:rsidR="2AEBFD81">
        <w:rPr>
          <w:rFonts w:ascii="Arial Nova" w:hAnsi="Arial Nova" w:eastAsia="Arial Nova" w:cs="Arial Nova"/>
          <w:noProof w:val="0"/>
          <w:color w:val="000000" w:themeColor="text1" w:themeTint="FF" w:themeShade="FF"/>
          <w:sz w:val="22"/>
          <w:szCs w:val="22"/>
          <w:lang w:val="en-GB"/>
        </w:rPr>
        <w:t>affect their blood-glucose control. This knowledge gap can make self-management difficult and contribute to avoidable fluctuations in glucose levels and long-term complications. Strengthening patient education therefore forms a central part of my work.</w:t>
      </w:r>
    </w:p>
    <w:p xmlns:wp14="http://schemas.microsoft.com/office/word/2010/wordml" w:rsidP="1A0CFE79" wp14:paraId="11407036" wp14:textId="22F1D5D8">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1A0CFE79" w:rsidR="2AEBFD81">
        <w:rPr>
          <w:rFonts w:ascii="Arial Nova" w:hAnsi="Arial Nova" w:eastAsia="Arial Nova" w:cs="Arial Nova"/>
          <w:noProof w:val="0"/>
          <w:color w:val="000000" w:themeColor="text1" w:themeTint="FF" w:themeShade="FF"/>
          <w:sz w:val="22"/>
          <w:szCs w:val="22"/>
          <w:lang w:val="en-GB"/>
        </w:rPr>
        <w:t xml:space="preserve">Type 2 diabetes is a chronic metabolic condition characterised by sustained hyperglycaemia due to insulin resistance and a gradual decline in pancreatic β-cell function (NICE, 2023). It now </w:t>
      </w:r>
      <w:r w:rsidRPr="1A0CFE79" w:rsidR="2AEBFD81">
        <w:rPr>
          <w:rFonts w:ascii="Arial Nova" w:hAnsi="Arial Nova" w:eastAsia="Arial Nova" w:cs="Arial Nova"/>
          <w:noProof w:val="0"/>
          <w:color w:val="000000" w:themeColor="text1" w:themeTint="FF" w:themeShade="FF"/>
          <w:sz w:val="22"/>
          <w:szCs w:val="22"/>
          <w:lang w:val="en-GB"/>
        </w:rPr>
        <w:t>represents</w:t>
      </w:r>
      <w:r w:rsidRPr="1A0CFE79" w:rsidR="2AEBFD81">
        <w:rPr>
          <w:rFonts w:ascii="Arial Nova" w:hAnsi="Arial Nova" w:eastAsia="Arial Nova" w:cs="Arial Nova"/>
          <w:noProof w:val="0"/>
          <w:color w:val="000000" w:themeColor="text1" w:themeTint="FF" w:themeShade="FF"/>
          <w:sz w:val="22"/>
          <w:szCs w:val="22"/>
          <w:lang w:val="en-GB"/>
        </w:rPr>
        <w:t xml:space="preserve"> one of the most significant public-health challenges in the United Kingdom. Around 4.3 million people are diagnosed, with a further 850 000 likely to be undiagnosed (Diabetes UK, 2024). Type 2 diabetes accounts for about 90 per cent of all cases and is </w:t>
      </w:r>
      <w:bookmarkStart w:name="_Int_NCL2nsON" w:id="645868106"/>
      <w:r w:rsidRPr="1A0CFE79" w:rsidR="2AEBFD81">
        <w:rPr>
          <w:rFonts w:ascii="Arial Nova" w:hAnsi="Arial Nova" w:eastAsia="Arial Nova" w:cs="Arial Nova"/>
          <w:noProof w:val="0"/>
          <w:color w:val="000000" w:themeColor="text1" w:themeTint="FF" w:themeShade="FF"/>
          <w:sz w:val="22"/>
          <w:szCs w:val="22"/>
          <w:lang w:val="en-GB"/>
        </w:rPr>
        <w:t>closely linked</w:t>
      </w:r>
      <w:bookmarkEnd w:id="645868106"/>
      <w:r w:rsidRPr="1A0CFE79" w:rsidR="2AEBFD81">
        <w:rPr>
          <w:rFonts w:ascii="Arial Nova" w:hAnsi="Arial Nova" w:eastAsia="Arial Nova" w:cs="Arial Nova"/>
          <w:noProof w:val="0"/>
          <w:color w:val="000000" w:themeColor="text1" w:themeTint="FF" w:themeShade="FF"/>
          <w:sz w:val="22"/>
          <w:szCs w:val="22"/>
          <w:lang w:val="en-GB"/>
        </w:rPr>
        <w:t xml:space="preserve"> to modifiable lifestyle factors such as obesity, poor </w:t>
      </w:r>
      <w:r w:rsidRPr="1A0CFE79" w:rsidR="2AEBFD81">
        <w:rPr>
          <w:rFonts w:ascii="Arial Nova" w:hAnsi="Arial Nova" w:eastAsia="Arial Nova" w:cs="Arial Nova"/>
          <w:noProof w:val="0"/>
          <w:color w:val="000000" w:themeColor="text1" w:themeTint="FF" w:themeShade="FF"/>
          <w:sz w:val="22"/>
          <w:szCs w:val="22"/>
          <w:lang w:val="en-GB"/>
        </w:rPr>
        <w:t>diet</w:t>
      </w:r>
      <w:r w:rsidRPr="1A0CFE79" w:rsidR="2AEBFD81">
        <w:rPr>
          <w:rFonts w:ascii="Arial Nova" w:hAnsi="Arial Nova" w:eastAsia="Arial Nova" w:cs="Arial Nova"/>
          <w:noProof w:val="0"/>
          <w:color w:val="000000" w:themeColor="text1" w:themeTint="FF" w:themeShade="FF"/>
          <w:sz w:val="22"/>
          <w:szCs w:val="22"/>
          <w:lang w:val="en-GB"/>
        </w:rPr>
        <w:t xml:space="preserve"> and physical inactivity (Public Health England [PHE], 2021).</w:t>
      </w:r>
    </w:p>
    <w:p xmlns:wp14="http://schemas.microsoft.com/office/word/2010/wordml" w:rsidP="1A0CFE79" wp14:paraId="4FAB2925" wp14:textId="27DDD00E">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1A0CFE79" w:rsidR="2AEBFD81">
        <w:rPr>
          <w:rFonts w:ascii="Arial Nova" w:hAnsi="Arial Nova" w:eastAsia="Arial Nova" w:cs="Arial Nova"/>
          <w:noProof w:val="0"/>
          <w:color w:val="000000" w:themeColor="text1" w:themeTint="FF" w:themeShade="FF"/>
          <w:sz w:val="22"/>
          <w:szCs w:val="22"/>
          <w:lang w:val="en-GB"/>
        </w:rPr>
        <w:t xml:space="preserve">Insulin regulates glucose uptake into body tissues for energy production. When tissues become resistant to insulin and the pancreas can no longer compensate, blood-glucose levels </w:t>
      </w:r>
      <w:r w:rsidRPr="1A0CFE79" w:rsidR="2AEBFD81">
        <w:rPr>
          <w:rFonts w:ascii="Arial Nova" w:hAnsi="Arial Nova" w:eastAsia="Arial Nova" w:cs="Arial Nova"/>
          <w:noProof w:val="0"/>
          <w:color w:val="000000" w:themeColor="text1" w:themeTint="FF" w:themeShade="FF"/>
          <w:sz w:val="22"/>
          <w:szCs w:val="22"/>
          <w:lang w:val="en-GB"/>
        </w:rPr>
        <w:t>remain</w:t>
      </w:r>
      <w:r w:rsidRPr="1A0CFE79" w:rsidR="2AEBFD81">
        <w:rPr>
          <w:rFonts w:ascii="Arial Nova" w:hAnsi="Arial Nova" w:eastAsia="Arial Nova" w:cs="Arial Nova"/>
          <w:noProof w:val="0"/>
          <w:color w:val="000000" w:themeColor="text1" w:themeTint="FF" w:themeShade="FF"/>
          <w:sz w:val="22"/>
          <w:szCs w:val="22"/>
          <w:lang w:val="en-GB"/>
        </w:rPr>
        <w:t xml:space="preserve"> persistently high (Roden and Shulman, 2019). Long-term hyperglycaemia damages blood vessels and nerves, leading to complications such as coronary heart disease, nephropathy, </w:t>
      </w:r>
      <w:r w:rsidRPr="1A0CFE79" w:rsidR="2AEBFD81">
        <w:rPr>
          <w:rFonts w:ascii="Arial Nova" w:hAnsi="Arial Nova" w:eastAsia="Arial Nova" w:cs="Arial Nova"/>
          <w:noProof w:val="0"/>
          <w:color w:val="000000" w:themeColor="text1" w:themeTint="FF" w:themeShade="FF"/>
          <w:sz w:val="22"/>
          <w:szCs w:val="22"/>
          <w:lang w:val="en-GB"/>
        </w:rPr>
        <w:t>neuropathy</w:t>
      </w:r>
      <w:r w:rsidRPr="1A0CFE79" w:rsidR="2AEBFD81">
        <w:rPr>
          <w:rFonts w:ascii="Arial Nova" w:hAnsi="Arial Nova" w:eastAsia="Arial Nova" w:cs="Arial Nova"/>
          <w:noProof w:val="0"/>
          <w:color w:val="000000" w:themeColor="text1" w:themeTint="FF" w:themeShade="FF"/>
          <w:sz w:val="22"/>
          <w:szCs w:val="22"/>
          <w:lang w:val="en-GB"/>
        </w:rPr>
        <w:t xml:space="preserve"> and retinopathy (Kumar and Clark, 2022).</w:t>
      </w:r>
    </w:p>
    <w:p xmlns:wp14="http://schemas.microsoft.com/office/word/2010/wordml" w:rsidP="1A0CFE79" wp14:paraId="55011CF7" wp14:textId="714BC4E4">
      <w:pPr>
        <w:spacing w:before="240" w:beforeAutospacing="off" w:after="240" w:afterAutospacing="off" w:line="360" w:lineRule="auto"/>
      </w:pPr>
      <w:r w:rsidRPr="1A0CFE79" w:rsidR="2AEBFD81">
        <w:rPr>
          <w:rFonts w:ascii="Arial Nova" w:hAnsi="Arial Nova" w:eastAsia="Arial Nova" w:cs="Arial Nova"/>
          <w:noProof w:val="0"/>
          <w:color w:val="000000" w:themeColor="text1" w:themeTint="FF" w:themeShade="FF"/>
          <w:sz w:val="22"/>
          <w:szCs w:val="22"/>
          <w:lang w:val="en-GB"/>
        </w:rPr>
        <w:t>In primary care, nurses play a vital role in prevention, early identification, and long-term management. This report aims to provide clear, evidence-based information that can be used to help individuals understand their condition. It will outline how blood-glucose levels are controlled, describe how oxygen and glucose create energy within cells, explore how monitoring supports self-management, and present lifestyle recommendations grounded in current research.</w:t>
      </w:r>
    </w:p>
    <w:p xmlns:wp14="http://schemas.microsoft.com/office/word/2010/wordml" w:rsidP="1A0CFE79" wp14:paraId="0CA2F35D" wp14:textId="0D23E131">
      <w:pPr>
        <w:pStyle w:val="Heading3"/>
        <w:rPr>
          <w:rFonts w:ascii="Arial Nova" w:hAnsi="Arial Nova" w:eastAsia="Arial Nova" w:cs="Arial Nova"/>
          <w:b w:val="1"/>
          <w:bCs w:val="1"/>
          <w:noProof w:val="0"/>
          <w:color w:val="000000" w:themeColor="text1" w:themeTint="FF" w:themeShade="FF"/>
          <w:sz w:val="28"/>
          <w:szCs w:val="28"/>
          <w:lang w:val="en-GB"/>
        </w:rPr>
      </w:pPr>
      <w:r w:rsidRPr="1A0CFE79" w:rsidR="2AEBFD81">
        <w:rPr>
          <w:rFonts w:ascii="Arial Nova" w:hAnsi="Arial Nova" w:eastAsia="Arial Nova" w:cs="Arial Nova"/>
          <w:b w:val="1"/>
          <w:bCs w:val="1"/>
          <w:noProof w:val="0"/>
          <w:color w:val="000000" w:themeColor="text1" w:themeTint="FF" w:themeShade="FF"/>
          <w:sz w:val="28"/>
          <w:szCs w:val="28"/>
          <w:lang w:val="en-GB"/>
        </w:rPr>
        <w:t>Regulation of Blood-Glucose Levels</w:t>
      </w:r>
    </w:p>
    <w:p xmlns:wp14="http://schemas.microsoft.com/office/word/2010/wordml" w:rsidP="1A0CFE79" wp14:paraId="39B557D0" wp14:textId="37C68A18">
      <w:pPr>
        <w:spacing w:before="240" w:beforeAutospacing="off" w:after="240" w:afterAutospacing="off" w:line="360" w:lineRule="auto"/>
      </w:pPr>
      <w:r w:rsidRPr="1A0CFE79" w:rsidR="2AEBFD81">
        <w:rPr>
          <w:rFonts w:ascii="Arial Nova" w:hAnsi="Arial Nova" w:eastAsia="Arial Nova" w:cs="Arial Nova"/>
          <w:noProof w:val="0"/>
          <w:sz w:val="22"/>
          <w:szCs w:val="22"/>
          <w:lang w:val="en-GB"/>
        </w:rPr>
        <w:t xml:space="preserve">Maintaining stable blood-glucose levels is essential for normal physiological function. Glucose serves as the body’s primary fuel, particularly for the brain, which cannot store it. After a meal, carbohydrates are digested into glucose, raising blood-glucose concentration. The pancreas responds by releasing insulin from β-cells, which </w:t>
      </w:r>
      <w:r w:rsidRPr="1A0CFE79" w:rsidR="2AEBFD81">
        <w:rPr>
          <w:rFonts w:ascii="Arial Nova" w:hAnsi="Arial Nova" w:eastAsia="Arial Nova" w:cs="Arial Nova"/>
          <w:noProof w:val="0"/>
          <w:sz w:val="22"/>
          <w:szCs w:val="22"/>
          <w:lang w:val="en-GB"/>
        </w:rPr>
        <w:t>facilitates</w:t>
      </w:r>
      <w:r w:rsidRPr="1A0CFE79" w:rsidR="2AEBFD81">
        <w:rPr>
          <w:rFonts w:ascii="Arial Nova" w:hAnsi="Arial Nova" w:eastAsia="Arial Nova" w:cs="Arial Nova"/>
          <w:noProof w:val="0"/>
          <w:sz w:val="22"/>
          <w:szCs w:val="22"/>
          <w:lang w:val="en-GB"/>
        </w:rPr>
        <w:t xml:space="preserve"> glucose uptake into muscle and adipose tissue and promotes glycogen storage in the liver (Hall and Hall, 2020).</w:t>
      </w:r>
    </w:p>
    <w:p xmlns:wp14="http://schemas.microsoft.com/office/word/2010/wordml" w:rsidP="1A0CFE79" wp14:paraId="56B88C0F" wp14:textId="30752986">
      <w:pPr>
        <w:spacing w:before="240" w:beforeAutospacing="off" w:after="240" w:afterAutospacing="off" w:line="360" w:lineRule="auto"/>
      </w:pPr>
      <w:r w:rsidRPr="1A0CFE79" w:rsidR="2AEBFD81">
        <w:rPr>
          <w:rFonts w:ascii="Arial Nova" w:hAnsi="Arial Nova" w:eastAsia="Arial Nova" w:cs="Arial Nova"/>
          <w:noProof w:val="0"/>
          <w:sz w:val="22"/>
          <w:szCs w:val="22"/>
          <w:lang w:val="en-GB"/>
        </w:rPr>
        <w:t>Between meals, when glucose levels fall, pancreatic α-cells release glucagon. This hormone triggers glycogenolysis and gluconeogenesis to restore circulating glucose (</w:t>
      </w:r>
      <w:r w:rsidRPr="1A0CFE79" w:rsidR="2AEBFD81">
        <w:rPr>
          <w:rFonts w:ascii="Arial Nova" w:hAnsi="Arial Nova" w:eastAsia="Arial Nova" w:cs="Arial Nova"/>
          <w:noProof w:val="0"/>
          <w:sz w:val="22"/>
          <w:szCs w:val="22"/>
          <w:lang w:val="en-GB"/>
        </w:rPr>
        <w:t>Marieb</w:t>
      </w:r>
      <w:r w:rsidRPr="1A0CFE79" w:rsidR="2AEBFD81">
        <w:rPr>
          <w:rFonts w:ascii="Arial Nova" w:hAnsi="Arial Nova" w:eastAsia="Arial Nova" w:cs="Arial Nova"/>
          <w:noProof w:val="0"/>
          <w:sz w:val="22"/>
          <w:szCs w:val="22"/>
          <w:lang w:val="en-GB"/>
        </w:rPr>
        <w:t xml:space="preserve"> and Hoehn, 2019). These opposing actions </w:t>
      </w:r>
      <w:r w:rsidRPr="1A0CFE79" w:rsidR="2AEBFD81">
        <w:rPr>
          <w:rFonts w:ascii="Arial Nova" w:hAnsi="Arial Nova" w:eastAsia="Arial Nova" w:cs="Arial Nova"/>
          <w:noProof w:val="0"/>
          <w:sz w:val="22"/>
          <w:szCs w:val="22"/>
          <w:lang w:val="en-GB"/>
        </w:rPr>
        <w:t>maintain</w:t>
      </w:r>
      <w:r w:rsidRPr="1A0CFE79" w:rsidR="2AEBFD81">
        <w:rPr>
          <w:rFonts w:ascii="Arial Nova" w:hAnsi="Arial Nova" w:eastAsia="Arial Nova" w:cs="Arial Nova"/>
          <w:noProof w:val="0"/>
          <w:sz w:val="22"/>
          <w:szCs w:val="22"/>
          <w:lang w:val="en-GB"/>
        </w:rPr>
        <w:t xml:space="preserve"> plasma-glucose levels within </w:t>
      </w:r>
      <w:r w:rsidRPr="1A0CFE79" w:rsidR="253EBC68">
        <w:rPr>
          <w:rFonts w:ascii="Arial Nova" w:hAnsi="Arial Nova" w:eastAsia="Arial Nova" w:cs="Arial Nova"/>
          <w:noProof w:val="0"/>
          <w:sz w:val="22"/>
          <w:szCs w:val="22"/>
          <w:lang w:val="en-GB"/>
        </w:rPr>
        <w:t>4</w:t>
      </w:r>
      <w:r w:rsidRPr="1A0CFE79" w:rsidR="2AEBFD81">
        <w:rPr>
          <w:rFonts w:ascii="Arial Nova" w:hAnsi="Arial Nova" w:eastAsia="Arial Nova" w:cs="Arial Nova"/>
          <w:noProof w:val="0"/>
          <w:sz w:val="22"/>
          <w:szCs w:val="22"/>
          <w:lang w:val="en-GB"/>
        </w:rPr>
        <w:t>–7 mmol/L in healthy adults (NICE, 2023).</w:t>
      </w:r>
    </w:p>
    <w:p xmlns:wp14="http://schemas.microsoft.com/office/word/2010/wordml" w:rsidP="1A0CFE79" wp14:paraId="63756D7E" wp14:textId="77D93C9F">
      <w:pPr>
        <w:spacing w:before="240" w:beforeAutospacing="off" w:after="240" w:afterAutospacing="off" w:line="360" w:lineRule="auto"/>
      </w:pPr>
      <w:r w:rsidRPr="1A0CFE79" w:rsidR="2AEBFD81">
        <w:rPr>
          <w:rFonts w:ascii="Arial Nova" w:hAnsi="Arial Nova" w:eastAsia="Arial Nova" w:cs="Arial Nova"/>
          <w:noProof w:val="0"/>
          <w:sz w:val="22"/>
          <w:szCs w:val="22"/>
          <w:lang w:val="en-GB"/>
        </w:rPr>
        <w:t xml:space="preserve">In T2DM, insulin resistance disrupts this equilibrium. Cells become less responsive to insulin, and pancreatic function gradually declines, producing relative insulin deficiency. As a result, glucose accumulates in the bloodstream, damaging vascular endothelium and predisposing to atherosclerosis, renal </w:t>
      </w:r>
      <w:r w:rsidRPr="1A0CFE79" w:rsidR="53F1CD82">
        <w:rPr>
          <w:rFonts w:ascii="Arial Nova" w:hAnsi="Arial Nova" w:eastAsia="Arial Nova" w:cs="Arial Nova"/>
          <w:noProof w:val="0"/>
          <w:sz w:val="22"/>
          <w:szCs w:val="22"/>
          <w:lang w:val="en-GB"/>
        </w:rPr>
        <w:t>disease,</w:t>
      </w:r>
      <w:r w:rsidRPr="1A0CFE79" w:rsidR="2AEBFD81">
        <w:rPr>
          <w:rFonts w:ascii="Arial Nova" w:hAnsi="Arial Nova" w:eastAsia="Arial Nova" w:cs="Arial Nova"/>
          <w:noProof w:val="0"/>
          <w:sz w:val="22"/>
          <w:szCs w:val="22"/>
          <w:lang w:val="en-GB"/>
        </w:rPr>
        <w:t xml:space="preserve"> and neuropathy (Galicia-García et al., 2020; Cho et al., 2018).</w:t>
      </w:r>
    </w:p>
    <w:p xmlns:wp14="http://schemas.microsoft.com/office/word/2010/wordml" w:rsidP="1A0CFE79" wp14:paraId="3F681412" wp14:textId="7638F24D">
      <w:pPr>
        <w:spacing w:before="240" w:beforeAutospacing="off" w:after="240" w:afterAutospacing="off" w:line="360" w:lineRule="auto"/>
      </w:pPr>
      <w:r w:rsidRPr="1A0CFE79" w:rsidR="2AEBFD81">
        <w:rPr>
          <w:rFonts w:ascii="Arial Nova" w:hAnsi="Arial Nova" w:eastAsia="Arial Nova" w:cs="Arial Nova"/>
          <w:noProof w:val="0"/>
          <w:sz w:val="22"/>
          <w:szCs w:val="22"/>
          <w:lang w:val="en-GB"/>
        </w:rPr>
        <w:t xml:space="preserve">During patient consultations, I often explain this process using visual aids or analogies—for example, describing insulin as a “key” that opens the door of each cell. When the key no longer fits, glucose </w:t>
      </w:r>
      <w:r w:rsidRPr="1A0CFE79" w:rsidR="2AEBFD81">
        <w:rPr>
          <w:rFonts w:ascii="Arial Nova" w:hAnsi="Arial Nova" w:eastAsia="Arial Nova" w:cs="Arial Nova"/>
          <w:noProof w:val="0"/>
          <w:sz w:val="22"/>
          <w:szCs w:val="22"/>
          <w:lang w:val="en-GB"/>
        </w:rPr>
        <w:t>remains</w:t>
      </w:r>
      <w:r w:rsidRPr="1A0CFE79" w:rsidR="2AEBFD81">
        <w:rPr>
          <w:rFonts w:ascii="Arial Nova" w:hAnsi="Arial Nova" w:eastAsia="Arial Nova" w:cs="Arial Nova"/>
          <w:noProof w:val="0"/>
          <w:sz w:val="22"/>
          <w:szCs w:val="22"/>
          <w:lang w:val="en-GB"/>
        </w:rPr>
        <w:t xml:space="preserve"> outside. Helping patients visualise this mechanism makes the rationale for treatment and lifestyle change clearer and supports adherence.</w:t>
      </w:r>
    </w:p>
    <w:p xmlns:wp14="http://schemas.microsoft.com/office/word/2010/wordml" w:rsidP="1A0CFE79" wp14:paraId="6CC156AB" wp14:textId="195E71BE">
      <w:pPr>
        <w:pStyle w:val="Normal"/>
        <w:spacing w:before="240" w:beforeAutospacing="off" w:after="240" w:afterAutospacing="off" w:line="360" w:lineRule="auto"/>
        <w:rPr>
          <w:rFonts w:ascii="Arial Nova" w:hAnsi="Arial Nova" w:eastAsia="Arial Nova" w:cs="Arial Nova"/>
          <w:noProof w:val="0"/>
          <w:sz w:val="22"/>
          <w:szCs w:val="22"/>
          <w:lang w:val="en-GB"/>
        </w:rPr>
      </w:pPr>
      <w:r w:rsidRPr="1A0CFE79" w:rsidR="0F25E102">
        <w:rPr>
          <w:rFonts w:ascii="Arial Nova" w:hAnsi="Arial Nova" w:eastAsia="Arial Nova" w:cs="Arial Nova"/>
          <w:b w:val="1"/>
          <w:bCs w:val="1"/>
          <w:noProof w:val="0"/>
          <w:sz w:val="28"/>
          <w:szCs w:val="28"/>
          <w:lang w:val="en-GB"/>
        </w:rPr>
        <w:t xml:space="preserve">Oxygen and Glucose in Cellular Energy Production </w:t>
      </w:r>
    </w:p>
    <w:p xmlns:wp14="http://schemas.microsoft.com/office/word/2010/wordml" w:rsidP="1A0CFE79" wp14:paraId="6D511683" wp14:textId="1E1D1763">
      <w:pPr>
        <w:spacing w:before="240" w:beforeAutospacing="off" w:after="240" w:afterAutospacing="off" w:line="360" w:lineRule="auto"/>
        <w:rPr>
          <w:rFonts w:ascii="Arial Nova" w:hAnsi="Arial Nova" w:eastAsia="Arial Nova" w:cs="Arial Nova"/>
          <w:b w:val="0"/>
          <w:bCs w:val="0"/>
          <w:noProof w:val="0"/>
          <w:sz w:val="22"/>
          <w:szCs w:val="22"/>
          <w:lang w:val="en-GB"/>
        </w:rPr>
      </w:pPr>
      <w:r w:rsidRPr="1A0CFE79" w:rsidR="0A4CE352">
        <w:rPr>
          <w:rFonts w:ascii="Arial Nova" w:hAnsi="Arial Nova" w:eastAsia="Arial Nova" w:cs="Arial Nova"/>
          <w:b w:val="0"/>
          <w:bCs w:val="0"/>
          <w:noProof w:val="0"/>
          <w:sz w:val="22"/>
          <w:szCs w:val="22"/>
          <w:lang w:val="en-GB"/>
        </w:rPr>
        <w:t xml:space="preserve">Every cell in the human body requires energy to sustain life. This energy is produced </w:t>
      </w:r>
      <w:r w:rsidRPr="1A0CFE79" w:rsidR="02D0BBA3">
        <w:rPr>
          <w:rFonts w:ascii="Arial Nova" w:hAnsi="Arial Nova" w:eastAsia="Arial Nova" w:cs="Arial Nova"/>
          <w:b w:val="0"/>
          <w:bCs w:val="0"/>
          <w:noProof w:val="0"/>
          <w:sz w:val="22"/>
          <w:szCs w:val="22"/>
          <w:lang w:val="en-GB"/>
        </w:rPr>
        <w:t>through</w:t>
      </w:r>
      <w:r w:rsidRPr="1A0CFE79" w:rsidR="0A4CE352">
        <w:rPr>
          <w:rFonts w:ascii="Arial Nova" w:hAnsi="Arial Nova" w:eastAsia="Arial Nova" w:cs="Arial Nova"/>
          <w:b w:val="0"/>
          <w:bCs w:val="0"/>
          <w:noProof w:val="0"/>
          <w:sz w:val="22"/>
          <w:szCs w:val="22"/>
          <w:lang w:val="en-GB"/>
        </w:rPr>
        <w:t xml:space="preserve"> aerobic cellular respiration, a process that converts glucose and oxygen into adenosine triphosphate (ATP)</w:t>
      </w:r>
      <w:r w:rsidRPr="1A0CFE79" w:rsidR="298FCF80">
        <w:rPr>
          <w:rFonts w:ascii="Arial Nova" w:hAnsi="Arial Nova" w:eastAsia="Arial Nova" w:cs="Arial Nova"/>
          <w:b w:val="0"/>
          <w:bCs w:val="0"/>
          <w:noProof w:val="0"/>
          <w:sz w:val="22"/>
          <w:szCs w:val="22"/>
          <w:lang w:val="en-GB"/>
        </w:rPr>
        <w:t xml:space="preserve"> </w:t>
      </w:r>
      <w:r w:rsidRPr="1A0CFE79" w:rsidR="0A4CE352">
        <w:rPr>
          <w:rFonts w:ascii="Arial Nova" w:hAnsi="Arial Nova" w:eastAsia="Arial Nova" w:cs="Arial Nova"/>
          <w:b w:val="0"/>
          <w:bCs w:val="0"/>
          <w:noProof w:val="0"/>
          <w:sz w:val="22"/>
          <w:szCs w:val="22"/>
          <w:lang w:val="en-GB"/>
        </w:rPr>
        <w:t>the universal energy currency of the cell (Nelson and Cox, 2021). The reaction can be summarised as:</w:t>
      </w:r>
    </w:p>
    <w:p xmlns:wp14="http://schemas.microsoft.com/office/word/2010/wordml" w:rsidP="1A0CFE79" wp14:paraId="098B661A" wp14:textId="036849CF">
      <w:pPr>
        <w:spacing w:before="240" w:beforeAutospacing="off" w:after="240" w:afterAutospacing="off" w:line="360" w:lineRule="auto"/>
        <w:rPr>
          <w:rFonts w:ascii="Arial Nova" w:hAnsi="Arial Nova" w:eastAsia="Arial Nova" w:cs="Arial Nova"/>
          <w:b w:val="0"/>
          <w:bCs w:val="0"/>
          <w:noProof w:val="0"/>
          <w:sz w:val="22"/>
          <w:szCs w:val="22"/>
          <w:lang w:val="en-GB"/>
        </w:rPr>
      </w:pPr>
      <w:r w:rsidRPr="1A0CFE79" w:rsidR="0A4CE352">
        <w:rPr>
          <w:rFonts w:ascii="Arial Nova" w:hAnsi="Arial Nova" w:eastAsia="Arial Nova" w:cs="Arial Nova"/>
          <w:b w:val="0"/>
          <w:bCs w:val="0"/>
          <w:noProof w:val="0"/>
          <w:sz w:val="22"/>
          <w:szCs w:val="22"/>
          <w:lang w:val="en-GB"/>
        </w:rPr>
        <w:t>C₆H₁₂O₆ + 6 O₂ → 6 CO₂ + 6 H₂O + energy (ATP)</w:t>
      </w:r>
      <w:r w:rsidRPr="1A0CFE79" w:rsidR="0A4CE352">
        <w:rPr>
          <w:rFonts w:ascii="Arial Nova" w:hAnsi="Arial Nova" w:eastAsia="Arial Nova" w:cs="Arial Nova"/>
          <w:b w:val="0"/>
          <w:bCs w:val="0"/>
          <w:noProof w:val="0"/>
          <w:sz w:val="22"/>
          <w:szCs w:val="22"/>
          <w:lang w:val="en-GB"/>
        </w:rPr>
        <w:t xml:space="preserve"> (Waugh and Grant, 2018).</w:t>
      </w:r>
    </w:p>
    <w:p xmlns:wp14="http://schemas.microsoft.com/office/word/2010/wordml" w:rsidP="1A0CFE79" wp14:paraId="73DD4280" wp14:textId="4A3B2F47">
      <w:pPr>
        <w:spacing w:before="240" w:beforeAutospacing="off" w:after="240" w:afterAutospacing="off" w:line="360" w:lineRule="auto"/>
        <w:rPr>
          <w:rFonts w:ascii="Arial Nova" w:hAnsi="Arial Nova" w:eastAsia="Arial Nova" w:cs="Arial Nova"/>
          <w:b w:val="0"/>
          <w:bCs w:val="0"/>
          <w:noProof w:val="0"/>
          <w:sz w:val="22"/>
          <w:szCs w:val="22"/>
          <w:lang w:val="en-GB"/>
        </w:rPr>
      </w:pPr>
      <w:r w:rsidRPr="1A0CFE79" w:rsidR="0A4CE352">
        <w:rPr>
          <w:rFonts w:ascii="Arial Nova" w:hAnsi="Arial Nova" w:eastAsia="Arial Nova" w:cs="Arial Nova"/>
          <w:b w:val="0"/>
          <w:bCs w:val="0"/>
          <w:noProof w:val="0"/>
          <w:sz w:val="22"/>
          <w:szCs w:val="22"/>
          <w:lang w:val="en-GB"/>
        </w:rPr>
        <w:t>This process occurs in three stages. First, glycolysis in the cytoplasm breaks one molecule of glucose into two molecules of pyruvate, producing a small amount of ATP. Second, the Krebs cycle in the mitochondria oxidises pyruvate to carbon dioxide, transferring electrons to NADH and FADH₂. Finally, during oxidative phosphorylation, these electrons move through the electron-transport chain, generating a large yield of ATP. Oxygen acts as the terminal electron acceptor, combining with hydrogen to form water (Sherwood, 2021).</w:t>
      </w:r>
    </w:p>
    <w:p xmlns:wp14="http://schemas.microsoft.com/office/word/2010/wordml" w:rsidP="1A0CFE79" wp14:paraId="0A90C0FB" wp14:textId="585DB29B">
      <w:pPr>
        <w:spacing w:before="240" w:beforeAutospacing="off" w:after="240" w:afterAutospacing="off" w:line="360" w:lineRule="auto"/>
        <w:rPr>
          <w:rFonts w:ascii="Arial Nova" w:hAnsi="Arial Nova" w:eastAsia="Arial Nova" w:cs="Arial Nova"/>
          <w:b w:val="0"/>
          <w:bCs w:val="0"/>
          <w:noProof w:val="0"/>
          <w:sz w:val="22"/>
          <w:szCs w:val="22"/>
          <w:lang w:val="en-GB"/>
        </w:rPr>
      </w:pPr>
      <w:r w:rsidRPr="1A0CFE79" w:rsidR="0A4CE352">
        <w:rPr>
          <w:rFonts w:ascii="Arial Nova" w:hAnsi="Arial Nova" w:eastAsia="Arial Nova" w:cs="Arial Nova"/>
          <w:b w:val="0"/>
          <w:bCs w:val="0"/>
          <w:noProof w:val="0"/>
          <w:sz w:val="22"/>
          <w:szCs w:val="22"/>
          <w:lang w:val="en-GB"/>
        </w:rPr>
        <w:t xml:space="preserve">When glucose cannot enter cells because of insulin resistance, the body metabolises fats and proteins for energy, generating ketone bodies. Excessive accumulation of ketones can lead to metabolic acidosis and fatigue (Kumar and Clark, 2022). Understanding this link helps patients appreciate that stable glucose levels support energy, </w:t>
      </w:r>
      <w:r w:rsidRPr="1A0CFE79" w:rsidR="6B9432AC">
        <w:rPr>
          <w:rFonts w:ascii="Arial Nova" w:hAnsi="Arial Nova" w:eastAsia="Arial Nova" w:cs="Arial Nova"/>
          <w:b w:val="0"/>
          <w:bCs w:val="0"/>
          <w:noProof w:val="0"/>
          <w:sz w:val="22"/>
          <w:szCs w:val="22"/>
          <w:lang w:val="en-GB"/>
        </w:rPr>
        <w:t>concentration,</w:t>
      </w:r>
      <w:r w:rsidRPr="1A0CFE79" w:rsidR="0A4CE352">
        <w:rPr>
          <w:rFonts w:ascii="Arial Nova" w:hAnsi="Arial Nova" w:eastAsia="Arial Nova" w:cs="Arial Nova"/>
          <w:b w:val="0"/>
          <w:bCs w:val="0"/>
          <w:noProof w:val="0"/>
          <w:sz w:val="22"/>
          <w:szCs w:val="22"/>
          <w:lang w:val="en-GB"/>
        </w:rPr>
        <w:t xml:space="preserve"> and overall wellbeing. </w:t>
      </w:r>
    </w:p>
    <w:p xmlns:wp14="http://schemas.microsoft.com/office/word/2010/wordml" w:rsidP="1A0CFE79" wp14:paraId="47A1B0E2" wp14:textId="5E4E41B8">
      <w:pPr>
        <w:pStyle w:val="Normal"/>
        <w:spacing w:before="240" w:beforeAutospacing="off" w:after="240" w:afterAutospacing="off" w:line="360" w:lineRule="auto"/>
        <w:rPr>
          <w:rFonts w:ascii="Arial Nova" w:hAnsi="Arial Nova" w:eastAsia="Arial Nova" w:cs="Arial Nova"/>
          <w:b w:val="1"/>
          <w:bCs w:val="1"/>
          <w:noProof w:val="0"/>
          <w:sz w:val="28"/>
          <w:szCs w:val="28"/>
          <w:lang w:val="en-GB"/>
        </w:rPr>
      </w:pPr>
      <w:r w:rsidRPr="1A0CFE79" w:rsidR="0A4CE352">
        <w:rPr>
          <w:rFonts w:ascii="Arial Nova" w:hAnsi="Arial Nova" w:eastAsia="Arial Nova" w:cs="Arial Nova"/>
          <w:b w:val="1"/>
          <w:bCs w:val="1"/>
          <w:noProof w:val="0"/>
          <w:sz w:val="28"/>
          <w:szCs w:val="28"/>
          <w:lang w:val="en-GB"/>
        </w:rPr>
        <w:t xml:space="preserve">Recording and Tracking Blood-Glucose Levels  </w:t>
      </w:r>
    </w:p>
    <w:p xmlns:wp14="http://schemas.microsoft.com/office/word/2010/wordml" w:rsidP="1A0CFE79" wp14:paraId="27653331" wp14:textId="4D604310">
      <w:pPr>
        <w:spacing w:before="240" w:beforeAutospacing="off" w:after="240" w:afterAutospacing="off" w:line="360" w:lineRule="auto"/>
        <w:rPr>
          <w:rFonts w:ascii="Arial Nova" w:hAnsi="Arial Nova" w:eastAsia="Arial Nova" w:cs="Arial Nova"/>
          <w:b w:val="0"/>
          <w:bCs w:val="0"/>
          <w:noProof w:val="0"/>
          <w:sz w:val="22"/>
          <w:szCs w:val="22"/>
          <w:lang w:val="en-GB"/>
        </w:rPr>
      </w:pPr>
      <w:r w:rsidRPr="1A0CFE79" w:rsidR="0A4CE352">
        <w:rPr>
          <w:rFonts w:ascii="Arial Nova" w:hAnsi="Arial Nova" w:eastAsia="Arial Nova" w:cs="Arial Nova"/>
          <w:b w:val="0"/>
          <w:bCs w:val="0"/>
          <w:noProof w:val="0"/>
          <w:sz w:val="22"/>
          <w:szCs w:val="22"/>
          <w:lang w:val="en-GB"/>
        </w:rPr>
        <w:t xml:space="preserve">Regular monitoring and documentation of blood-glucose readings are fundamental to effective self-management. Tracking allows both patients and clinicians to </w:t>
      </w:r>
      <w:r w:rsidRPr="1A0CFE79" w:rsidR="0A4CE352">
        <w:rPr>
          <w:rFonts w:ascii="Arial Nova" w:hAnsi="Arial Nova" w:eastAsia="Arial Nova" w:cs="Arial Nova"/>
          <w:b w:val="0"/>
          <w:bCs w:val="0"/>
          <w:noProof w:val="0"/>
          <w:sz w:val="22"/>
          <w:szCs w:val="22"/>
          <w:lang w:val="en-GB"/>
        </w:rPr>
        <w:t>identify</w:t>
      </w:r>
      <w:r w:rsidRPr="1A0CFE79" w:rsidR="0A4CE352">
        <w:rPr>
          <w:rFonts w:ascii="Arial Nova" w:hAnsi="Arial Nova" w:eastAsia="Arial Nova" w:cs="Arial Nova"/>
          <w:b w:val="0"/>
          <w:bCs w:val="0"/>
          <w:noProof w:val="0"/>
          <w:sz w:val="22"/>
          <w:szCs w:val="22"/>
          <w:lang w:val="en-GB"/>
        </w:rPr>
        <w:t xml:space="preserve"> trends, assess responses to therapy, and make informed adjustments. According to NICE (2023), most adults with T2DM should aim for fasting glucose between 5 and 7 mmol/L and post-meal levels below 8.5 mmol/L, though targets must be individualised.</w:t>
      </w:r>
    </w:p>
    <w:p xmlns:wp14="http://schemas.microsoft.com/office/word/2010/wordml" w:rsidP="1A0CFE79" wp14:paraId="65EFBAE1" wp14:textId="77085CB2">
      <w:pPr>
        <w:spacing w:before="240" w:beforeAutospacing="off" w:after="240" w:afterAutospacing="off" w:line="360" w:lineRule="auto"/>
        <w:rPr>
          <w:rFonts w:ascii="Arial Nova" w:hAnsi="Arial Nova" w:eastAsia="Arial Nova" w:cs="Arial Nova"/>
          <w:b w:val="0"/>
          <w:bCs w:val="0"/>
          <w:noProof w:val="0"/>
          <w:sz w:val="22"/>
          <w:szCs w:val="22"/>
          <w:lang w:val="en-GB"/>
        </w:rPr>
      </w:pPr>
      <w:r w:rsidRPr="1A0CFE79" w:rsidR="0A4CE352">
        <w:rPr>
          <w:rFonts w:ascii="Arial Nova" w:hAnsi="Arial Nova" w:eastAsia="Arial Nova" w:cs="Arial Nova"/>
          <w:b w:val="0"/>
          <w:bCs w:val="0"/>
          <w:noProof w:val="0"/>
          <w:sz w:val="22"/>
          <w:szCs w:val="22"/>
          <w:lang w:val="en-GB"/>
        </w:rPr>
        <w:t>Self-monitoring of blood glucose (SMBG) and continuous glucose monitoring (CGM) are the main options. Structured SMBG programmes combined with education significantly improve HbA1c compared with unstructured testing (Farmer et al., 2012). CGM provides real-time feedback and has been shown to increase “time in range” the proportion of readings within 3.9–10 mmol/L reducing hyper- and hypoglycaemia episodes (ADA, 2023; Martens et al., 2021).</w:t>
      </w:r>
    </w:p>
    <w:p xmlns:wp14="http://schemas.microsoft.com/office/word/2010/wordml" w:rsidP="1A0CFE79" wp14:paraId="4A84367B" wp14:textId="2A65CCA1">
      <w:pPr>
        <w:spacing w:before="240" w:beforeAutospacing="off" w:after="240" w:afterAutospacing="off" w:line="360" w:lineRule="auto"/>
        <w:rPr>
          <w:rFonts w:ascii="Arial Nova" w:hAnsi="Arial Nova" w:eastAsia="Arial Nova" w:cs="Arial Nova"/>
          <w:b w:val="0"/>
          <w:bCs w:val="0"/>
          <w:noProof w:val="0"/>
          <w:sz w:val="22"/>
          <w:szCs w:val="22"/>
          <w:lang w:val="en-GB"/>
        </w:rPr>
      </w:pPr>
      <w:r w:rsidRPr="1A0CFE79" w:rsidR="0A4CE352">
        <w:rPr>
          <w:rFonts w:ascii="Arial Nova" w:hAnsi="Arial Nova" w:eastAsia="Arial Nova" w:cs="Arial Nova"/>
          <w:b w:val="0"/>
          <w:bCs w:val="0"/>
          <w:noProof w:val="0"/>
          <w:sz w:val="22"/>
          <w:szCs w:val="22"/>
          <w:lang w:val="en-GB"/>
        </w:rPr>
        <w:t xml:space="preserve">In my own practice, I emphasise that monitoring is not a test of success or failure but a way to learn how the body responds. I often help patients </w:t>
      </w:r>
      <w:r w:rsidRPr="1A0CFE79" w:rsidR="0A4CE352">
        <w:rPr>
          <w:rFonts w:ascii="Arial Nova" w:hAnsi="Arial Nova" w:eastAsia="Arial Nova" w:cs="Arial Nova"/>
          <w:b w:val="0"/>
          <w:bCs w:val="0"/>
          <w:noProof w:val="0"/>
          <w:sz w:val="22"/>
          <w:szCs w:val="22"/>
          <w:lang w:val="en-GB"/>
        </w:rPr>
        <w:t>establish</w:t>
      </w:r>
      <w:r w:rsidRPr="1A0CFE79" w:rsidR="0A4CE352">
        <w:rPr>
          <w:rFonts w:ascii="Arial Nova" w:hAnsi="Arial Nova" w:eastAsia="Arial Nova" w:cs="Arial Nova"/>
          <w:b w:val="0"/>
          <w:bCs w:val="0"/>
          <w:noProof w:val="0"/>
          <w:sz w:val="22"/>
          <w:szCs w:val="22"/>
          <w:lang w:val="en-GB"/>
        </w:rPr>
        <w:t xml:space="preserve"> SMART goals such as checking before breakfast and after the main meal several times a week. For those who are digitally confident, NHS-endorsed apps can automatically graph readings, enabling collaborative review (NHS, 2023).</w:t>
      </w:r>
    </w:p>
    <w:p xmlns:wp14="http://schemas.microsoft.com/office/word/2010/wordml" w:rsidP="1A0CFE79" wp14:paraId="71D48AA0" wp14:textId="72B5BB08">
      <w:pPr>
        <w:spacing w:before="240" w:beforeAutospacing="off" w:after="240" w:afterAutospacing="off" w:line="360" w:lineRule="auto"/>
        <w:rPr>
          <w:rFonts w:ascii="Arial Nova" w:hAnsi="Arial Nova" w:eastAsia="Arial Nova" w:cs="Arial Nova"/>
          <w:b w:val="0"/>
          <w:bCs w:val="0"/>
          <w:noProof w:val="0"/>
          <w:sz w:val="22"/>
          <w:szCs w:val="22"/>
          <w:lang w:val="en-GB"/>
        </w:rPr>
      </w:pPr>
      <w:r w:rsidRPr="1A0CFE79" w:rsidR="0A4CE352">
        <w:rPr>
          <w:rFonts w:ascii="Arial Nova" w:hAnsi="Arial Nova" w:eastAsia="Arial Nova" w:cs="Arial Nova"/>
          <w:b w:val="0"/>
          <w:bCs w:val="0"/>
          <w:noProof w:val="0"/>
          <w:sz w:val="22"/>
          <w:szCs w:val="22"/>
          <w:lang w:val="en-GB"/>
        </w:rPr>
        <w:t xml:space="preserve">Beyond numerical targets, glucose records reveal how stress, sleep, </w:t>
      </w:r>
      <w:r w:rsidRPr="1A0CFE79" w:rsidR="49075E34">
        <w:rPr>
          <w:rFonts w:ascii="Arial Nova" w:hAnsi="Arial Nova" w:eastAsia="Arial Nova" w:cs="Arial Nova"/>
          <w:b w:val="0"/>
          <w:bCs w:val="0"/>
          <w:noProof w:val="0"/>
          <w:sz w:val="22"/>
          <w:szCs w:val="22"/>
          <w:lang w:val="en-GB"/>
        </w:rPr>
        <w:t>illness,</w:t>
      </w:r>
      <w:r w:rsidRPr="1A0CFE79" w:rsidR="0A4CE352">
        <w:rPr>
          <w:rFonts w:ascii="Arial Nova" w:hAnsi="Arial Nova" w:eastAsia="Arial Nova" w:cs="Arial Nova"/>
          <w:b w:val="0"/>
          <w:bCs w:val="0"/>
          <w:noProof w:val="0"/>
          <w:sz w:val="22"/>
          <w:szCs w:val="22"/>
          <w:lang w:val="en-GB"/>
        </w:rPr>
        <w:t xml:space="preserve"> or exercise influence results. For instance, evening hyperglycaemia may relate to disrupted sleep or anxiety. Discussing these patterns enables me to integrate lifestyle and emotional factors into care planning. Understanding that poor sleep and stress elevate cortisol—and therefore glucose—helps patients connect daily routines with blood-sugar outcomes (Spiegel, </w:t>
      </w:r>
      <w:r w:rsidRPr="1A0CFE79" w:rsidR="0A4CE352">
        <w:rPr>
          <w:rFonts w:ascii="Arial Nova" w:hAnsi="Arial Nova" w:eastAsia="Arial Nova" w:cs="Arial Nova"/>
          <w:b w:val="0"/>
          <w:bCs w:val="0"/>
          <w:noProof w:val="0"/>
          <w:sz w:val="22"/>
          <w:szCs w:val="22"/>
          <w:lang w:val="en-GB"/>
        </w:rPr>
        <w:t>Leproult</w:t>
      </w:r>
      <w:r w:rsidRPr="1A0CFE79" w:rsidR="0A4CE352">
        <w:rPr>
          <w:rFonts w:ascii="Arial Nova" w:hAnsi="Arial Nova" w:eastAsia="Arial Nova" w:cs="Arial Nova"/>
          <w:b w:val="0"/>
          <w:bCs w:val="0"/>
          <w:noProof w:val="0"/>
          <w:sz w:val="22"/>
          <w:szCs w:val="22"/>
          <w:lang w:val="en-GB"/>
        </w:rPr>
        <w:t xml:space="preserve"> and Van </w:t>
      </w:r>
      <w:r w:rsidRPr="1A0CFE79" w:rsidR="0A4CE352">
        <w:rPr>
          <w:rFonts w:ascii="Arial Nova" w:hAnsi="Arial Nova" w:eastAsia="Arial Nova" w:cs="Arial Nova"/>
          <w:b w:val="0"/>
          <w:bCs w:val="0"/>
          <w:noProof w:val="0"/>
          <w:sz w:val="22"/>
          <w:szCs w:val="22"/>
          <w:lang w:val="en-GB"/>
        </w:rPr>
        <w:t>Cauter</w:t>
      </w:r>
      <w:r w:rsidRPr="1A0CFE79" w:rsidR="0A4CE352">
        <w:rPr>
          <w:rFonts w:ascii="Arial Nova" w:hAnsi="Arial Nova" w:eastAsia="Arial Nova" w:cs="Arial Nova"/>
          <w:b w:val="0"/>
          <w:bCs w:val="0"/>
          <w:noProof w:val="0"/>
          <w:sz w:val="22"/>
          <w:szCs w:val="22"/>
          <w:lang w:val="en-GB"/>
        </w:rPr>
        <w:t xml:space="preserve">, 1999). </w:t>
      </w:r>
    </w:p>
    <w:p xmlns:wp14="http://schemas.microsoft.com/office/word/2010/wordml" w:rsidP="1A0CFE79" wp14:paraId="3E34C538" wp14:textId="4B7BAA82">
      <w:pPr>
        <w:pStyle w:val="Normal"/>
        <w:suppressLineNumbers w:val="0"/>
        <w:bidi w:val="0"/>
        <w:spacing w:before="240" w:beforeAutospacing="off" w:after="240" w:afterAutospacing="off" w:line="360" w:lineRule="auto"/>
        <w:ind w:left="0" w:right="0"/>
        <w:jc w:val="left"/>
      </w:pPr>
      <w:r w:rsidRPr="1A0CFE79" w:rsidR="0A4CE352">
        <w:rPr>
          <w:rFonts w:ascii="Arial Nova" w:hAnsi="Arial Nova" w:eastAsia="Arial Nova" w:cs="Arial Nova"/>
          <w:b w:val="1"/>
          <w:bCs w:val="1"/>
          <w:noProof w:val="0"/>
          <w:sz w:val="28"/>
          <w:szCs w:val="28"/>
          <w:lang w:val="en-GB"/>
        </w:rPr>
        <w:t>Evidence-Based Lifestyle Recommendations</w:t>
      </w:r>
      <w:r w:rsidRPr="1A0CFE79" w:rsidR="0A4CE352">
        <w:rPr>
          <w:rFonts w:ascii="Arial Nova" w:hAnsi="Arial Nova" w:eastAsia="Arial Nova" w:cs="Arial Nova"/>
          <w:noProof w:val="0"/>
          <w:sz w:val="22"/>
          <w:szCs w:val="22"/>
          <w:lang w:val="en-GB"/>
        </w:rPr>
        <w:t xml:space="preserve"> </w:t>
      </w:r>
    </w:p>
    <w:p xmlns:wp14="http://schemas.microsoft.com/office/word/2010/wordml" w:rsidP="1A0CFE79" wp14:paraId="4E14053D" wp14:textId="128840EF">
      <w:pPr>
        <w:bidi w:val="0"/>
        <w:spacing w:before="240" w:beforeAutospacing="off" w:after="240" w:afterAutospacing="off"/>
        <w:jc w:val="left"/>
      </w:pPr>
      <w:r w:rsidRPr="1A0CFE79" w:rsidR="0A4CE352">
        <w:rPr>
          <w:rFonts w:ascii="Arial Nova" w:hAnsi="Arial Nova" w:eastAsia="Arial Nova" w:cs="Arial Nova"/>
          <w:noProof w:val="0"/>
          <w:sz w:val="22"/>
          <w:szCs w:val="22"/>
          <w:lang w:val="en-GB"/>
        </w:rPr>
        <w:t>Lifestyle modification is the cornerstone of T2DM management. My nursing role involves helping individuals implement practical, evidence-based strategies adapted to their personal circumstances.</w:t>
      </w:r>
    </w:p>
    <w:p xmlns:wp14="http://schemas.microsoft.com/office/word/2010/wordml" w:rsidP="1A0CFE79" wp14:paraId="353C455B" wp14:textId="5D050A59">
      <w:pPr>
        <w:pStyle w:val="Heading4"/>
        <w:bidi w:val="0"/>
        <w:spacing w:before="319" w:beforeAutospacing="off" w:after="319" w:afterAutospacing="off" w:line="360" w:lineRule="auto"/>
        <w:jc w:val="left"/>
        <w:rPr>
          <w:rFonts w:ascii="Arial Nova" w:hAnsi="Arial Nova" w:eastAsia="Arial Nova" w:cs="Arial Nova"/>
          <w:b w:val="1"/>
          <w:bCs w:val="1"/>
          <w:i w:val="0"/>
          <w:iCs w:val="0"/>
          <w:noProof w:val="0"/>
          <w:color w:val="000000" w:themeColor="text1" w:themeTint="FF" w:themeShade="FF"/>
          <w:sz w:val="28"/>
          <w:szCs w:val="28"/>
          <w:lang w:val="en-GB"/>
        </w:rPr>
      </w:pPr>
      <w:r w:rsidRPr="1A0CFE79" w:rsidR="0A4CE352">
        <w:rPr>
          <w:rFonts w:ascii="Arial Nova" w:hAnsi="Arial Nova" w:eastAsia="Arial Nova" w:cs="Arial Nova"/>
          <w:b w:val="1"/>
          <w:bCs w:val="1"/>
          <w:i w:val="0"/>
          <w:iCs w:val="0"/>
          <w:noProof w:val="0"/>
          <w:color w:val="000000" w:themeColor="text1" w:themeTint="FF" w:themeShade="FF"/>
          <w:sz w:val="28"/>
          <w:szCs w:val="28"/>
          <w:lang w:val="en-GB"/>
        </w:rPr>
        <w:t>Dietary Modification</w:t>
      </w:r>
    </w:p>
    <w:p xmlns:wp14="http://schemas.microsoft.com/office/word/2010/wordml" w:rsidP="1A0CFE79" wp14:paraId="68332CA8" wp14:textId="5DE6D45C">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A balanced diet underpins stable glucose control. A Mediterranean-style pattern—high in vegetables, fruits, legumes, </w:t>
      </w:r>
      <w:r w:rsidRPr="1A0CFE79" w:rsidR="68B573E8">
        <w:rPr>
          <w:rFonts w:ascii="Arial Nova" w:hAnsi="Arial Nova" w:eastAsia="Arial Nova" w:cs="Arial Nova"/>
          <w:b w:val="0"/>
          <w:bCs w:val="0"/>
          <w:i w:val="0"/>
          <w:iCs w:val="0"/>
          <w:noProof w:val="0"/>
          <w:color w:val="000000" w:themeColor="text1" w:themeTint="FF" w:themeShade="FF"/>
          <w:sz w:val="22"/>
          <w:szCs w:val="22"/>
          <w:lang w:val="en-GB"/>
        </w:rPr>
        <w:t>wholegrains,</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unsaturated fats</w:t>
      </w:r>
      <w:r w:rsidRPr="1A0CFE79" w:rsidR="1DB06CB0">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is associated with improved HbA1c and cardiovascular outcomes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Papamichou</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Panagiotakos</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Itsiopoulos</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2019). Choosing low-glycaemic-index carbohydrates slows absorption and prevents post-meal spikes (Ojo, Adebowale and Wang, 2018).</w:t>
      </w:r>
    </w:p>
    <w:p xmlns:wp14="http://schemas.microsoft.com/office/word/2010/wordml" w:rsidP="1A0CFE79" wp14:paraId="19FB00E9" wp14:textId="14979578">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During consultations, I encourage small, realistic changes: replacing sugary drinks with water, increasing fibre, reducing processed </w:t>
      </w:r>
      <w:r w:rsidRPr="1A0CFE79" w:rsidR="2113E80D">
        <w:rPr>
          <w:rFonts w:ascii="Arial Nova" w:hAnsi="Arial Nova" w:eastAsia="Arial Nova" w:cs="Arial Nova"/>
          <w:b w:val="0"/>
          <w:bCs w:val="0"/>
          <w:i w:val="0"/>
          <w:iCs w:val="0"/>
          <w:noProof w:val="0"/>
          <w:color w:val="000000" w:themeColor="text1" w:themeTint="FF" w:themeShade="FF"/>
          <w:sz w:val="22"/>
          <w:szCs w:val="22"/>
          <w:lang w:val="en-GB"/>
        </w:rPr>
        <w:t>foods,</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spreading carbohydrate intake evenly through the day. Patients who fast for cultural reasons receive individual guidance to adjust medication safely. Collaboration with dietitians ensures culturally sensitive, sustainable advice (NICE, 2023).</w:t>
      </w:r>
    </w:p>
    <w:p xmlns:wp14="http://schemas.microsoft.com/office/word/2010/wordml" w:rsidP="1A0CFE79" wp14:paraId="3EA91C66" wp14:textId="51D076E4">
      <w:pPr>
        <w:pStyle w:val="Heading4"/>
        <w:bidi w:val="0"/>
        <w:spacing w:before="319" w:beforeAutospacing="off" w:after="319" w:afterAutospacing="off" w:line="360" w:lineRule="auto"/>
        <w:jc w:val="left"/>
        <w:rPr>
          <w:rFonts w:ascii="Arial Nova" w:hAnsi="Arial Nova" w:eastAsia="Arial Nova" w:cs="Arial Nova"/>
          <w:b w:val="1"/>
          <w:bCs w:val="1"/>
          <w:i w:val="0"/>
          <w:iCs w:val="0"/>
          <w:noProof w:val="0"/>
          <w:color w:val="000000" w:themeColor="text1" w:themeTint="FF" w:themeShade="FF"/>
          <w:sz w:val="28"/>
          <w:szCs w:val="28"/>
          <w:lang w:val="en-GB"/>
        </w:rPr>
      </w:pPr>
      <w:r w:rsidRPr="1A0CFE79" w:rsidR="0A4CE352">
        <w:rPr>
          <w:rFonts w:ascii="Arial Nova" w:hAnsi="Arial Nova" w:eastAsia="Arial Nova" w:cs="Arial Nova"/>
          <w:b w:val="1"/>
          <w:bCs w:val="1"/>
          <w:i w:val="0"/>
          <w:iCs w:val="0"/>
          <w:noProof w:val="0"/>
          <w:color w:val="000000" w:themeColor="text1" w:themeTint="FF" w:themeShade="FF"/>
          <w:sz w:val="28"/>
          <w:szCs w:val="28"/>
          <w:lang w:val="en-GB"/>
        </w:rPr>
        <w:t>Physical Activity</w:t>
      </w:r>
    </w:p>
    <w:p xmlns:wp14="http://schemas.microsoft.com/office/word/2010/wordml" w:rsidP="1A0CFE79" wp14:paraId="3FAAD093" wp14:textId="68702398">
      <w:pPr>
        <w:bidi w:val="0"/>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1A0CFE79" w:rsidR="7C66C657">
        <w:rPr>
          <w:rFonts w:ascii="Arial Nova" w:hAnsi="Arial Nova" w:eastAsia="Arial Nova" w:cs="Arial Nova"/>
          <w:b w:val="0"/>
          <w:bCs w:val="0"/>
          <w:noProof w:val="0"/>
          <w:sz w:val="22"/>
          <w:szCs w:val="22"/>
          <w:lang w:val="en-GB"/>
        </w:rPr>
        <w:t>Regular physical activity is one of the most effective non-pharmacological strategies for improving glycaemic control and reducing cardiovascular risk in people with Type 2 diabetes. Exercise enhances glucose uptake in skeletal muscle through both insulin-dependent and insulin-independent pathways, increasing insulin sensitivity for up to 48 hours after activity (Colberg et al., 2016). The National Institute for Health and Care Excellence (NICE, 2023) recommends adults with diabetes undertake at least 150 minutes of moderate-intensity aerobic activity each week</w:t>
      </w:r>
      <w:r w:rsidRPr="1A0CFE79" w:rsidR="515A5688">
        <w:rPr>
          <w:rFonts w:ascii="Arial Nova" w:hAnsi="Arial Nova" w:eastAsia="Arial Nova" w:cs="Arial Nova"/>
          <w:b w:val="0"/>
          <w:bCs w:val="0"/>
          <w:noProof w:val="0"/>
          <w:sz w:val="22"/>
          <w:szCs w:val="22"/>
          <w:lang w:val="en-GB"/>
        </w:rPr>
        <w:t xml:space="preserve"> </w:t>
      </w:r>
      <w:r w:rsidRPr="1A0CFE79" w:rsidR="7C66C657">
        <w:rPr>
          <w:rFonts w:ascii="Arial Nova" w:hAnsi="Arial Nova" w:eastAsia="Arial Nova" w:cs="Arial Nova"/>
          <w:b w:val="0"/>
          <w:bCs w:val="0"/>
          <w:noProof w:val="0"/>
          <w:sz w:val="22"/>
          <w:szCs w:val="22"/>
          <w:lang w:val="en-GB"/>
        </w:rPr>
        <w:t>such as brisk walking, cycling, or swimming</w:t>
      </w:r>
      <w:r w:rsidRPr="1A0CFE79" w:rsidR="4F9C873B">
        <w:rPr>
          <w:rFonts w:ascii="Arial Nova" w:hAnsi="Arial Nova" w:eastAsia="Arial Nova" w:cs="Arial Nova"/>
          <w:b w:val="0"/>
          <w:bCs w:val="0"/>
          <w:noProof w:val="0"/>
          <w:sz w:val="22"/>
          <w:szCs w:val="22"/>
          <w:lang w:val="en-GB"/>
        </w:rPr>
        <w:t xml:space="preserve"> </w:t>
      </w:r>
      <w:r w:rsidRPr="1A0CFE79" w:rsidR="7C66C657">
        <w:rPr>
          <w:rFonts w:ascii="Arial Nova" w:hAnsi="Arial Nova" w:eastAsia="Arial Nova" w:cs="Arial Nova"/>
          <w:b w:val="0"/>
          <w:bCs w:val="0"/>
          <w:noProof w:val="0"/>
          <w:sz w:val="22"/>
          <w:szCs w:val="22"/>
          <w:lang w:val="en-GB"/>
        </w:rPr>
        <w:t>spread over at least three days, with no more than two consecutive days without exercise. In addition, muscle-strengthening activities should be performed on at least two days per week to preserve lean mass and metabolic rate.</w:t>
      </w:r>
    </w:p>
    <w:p xmlns:wp14="http://schemas.microsoft.com/office/word/2010/wordml" w:rsidP="1A0CFE79" wp14:paraId="6F74A928" wp14:textId="65C4A6A8">
      <w:pPr>
        <w:bidi w:val="0"/>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1A0CFE79" w:rsidR="7C66C657">
        <w:rPr>
          <w:rFonts w:ascii="Arial Nova" w:hAnsi="Arial Nova" w:eastAsia="Arial Nova" w:cs="Arial Nova"/>
          <w:b w:val="0"/>
          <w:bCs w:val="0"/>
          <w:noProof w:val="0"/>
          <w:sz w:val="22"/>
          <w:szCs w:val="22"/>
          <w:lang w:val="en-GB"/>
        </w:rPr>
        <w:t>In my clinical practice, I emphasise that “something is better than nothing.” Even small increases in physical movement yield benefits. For example, standing and walking for a few minutes each half hour can help to regulate blood-glucose excursions and improve circulation. Encouraging patients to track their steps using pedometers or smartphone apps can provide measurable feedback and motivation. Setting personalised SMART goals</w:t>
      </w:r>
      <w:r w:rsidRPr="1A0CFE79" w:rsidR="74D51D42">
        <w:rPr>
          <w:rFonts w:ascii="Arial Nova" w:hAnsi="Arial Nova" w:eastAsia="Arial Nova" w:cs="Arial Nova"/>
          <w:b w:val="0"/>
          <w:bCs w:val="0"/>
          <w:noProof w:val="0"/>
          <w:sz w:val="22"/>
          <w:szCs w:val="22"/>
          <w:lang w:val="en-GB"/>
        </w:rPr>
        <w:t xml:space="preserve"> </w:t>
      </w:r>
      <w:r w:rsidRPr="1A0CFE79" w:rsidR="7C66C657">
        <w:rPr>
          <w:rFonts w:ascii="Arial Nova" w:hAnsi="Arial Nova" w:eastAsia="Arial Nova" w:cs="Arial Nova"/>
          <w:b w:val="0"/>
          <w:bCs w:val="0"/>
          <w:noProof w:val="0"/>
          <w:sz w:val="22"/>
          <w:szCs w:val="22"/>
          <w:lang w:val="en-GB"/>
        </w:rPr>
        <w:t>such as adding a ten-minute walk after lunch</w:t>
      </w:r>
      <w:r w:rsidRPr="1A0CFE79" w:rsidR="42CD99E2">
        <w:rPr>
          <w:rFonts w:ascii="Arial Nova" w:hAnsi="Arial Nova" w:eastAsia="Arial Nova" w:cs="Arial Nova"/>
          <w:b w:val="0"/>
          <w:bCs w:val="0"/>
          <w:noProof w:val="0"/>
          <w:sz w:val="22"/>
          <w:szCs w:val="22"/>
          <w:lang w:val="en-GB"/>
        </w:rPr>
        <w:t xml:space="preserve"> </w:t>
      </w:r>
      <w:r w:rsidRPr="1A0CFE79" w:rsidR="7C66C657">
        <w:rPr>
          <w:rFonts w:ascii="Arial Nova" w:hAnsi="Arial Nova" w:eastAsia="Arial Nova" w:cs="Arial Nova"/>
          <w:b w:val="0"/>
          <w:bCs w:val="0"/>
          <w:noProof w:val="0"/>
          <w:sz w:val="22"/>
          <w:szCs w:val="22"/>
          <w:lang w:val="en-GB"/>
        </w:rPr>
        <w:t>helps transform abstract advice into tangible action.</w:t>
      </w:r>
    </w:p>
    <w:p xmlns:wp14="http://schemas.microsoft.com/office/word/2010/wordml" w:rsidP="1A0CFE79" wp14:paraId="1EA0640B" wp14:textId="12CD5256">
      <w:pPr>
        <w:bidi w:val="0"/>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1A0CFE79" w:rsidR="7C66C657">
        <w:rPr>
          <w:rFonts w:ascii="Arial Nova" w:hAnsi="Arial Nova" w:eastAsia="Arial Nova" w:cs="Arial Nova"/>
          <w:b w:val="0"/>
          <w:bCs w:val="0"/>
          <w:noProof w:val="0"/>
          <w:sz w:val="22"/>
          <w:szCs w:val="22"/>
          <w:lang w:val="en-GB"/>
        </w:rPr>
        <w:t>Patients often express barriers such as fatigue, pain, time constraints, or fear of hypoglycaemia. It is therefore essential to explore perceived obstacles in a supportive, non-judgemental way. For individuals with limited mobility, I recommend low-impact options such as chair-based routines, resistance-band training, or water-aerobics. The use of community programmes</w:t>
      </w:r>
      <w:r w:rsidRPr="1A0CFE79" w:rsidR="3EE6DFAF">
        <w:rPr>
          <w:rFonts w:ascii="Arial Nova" w:hAnsi="Arial Nova" w:eastAsia="Arial Nova" w:cs="Arial Nova"/>
          <w:b w:val="0"/>
          <w:bCs w:val="0"/>
          <w:noProof w:val="0"/>
          <w:sz w:val="22"/>
          <w:szCs w:val="22"/>
          <w:lang w:val="en-GB"/>
        </w:rPr>
        <w:t xml:space="preserve"> </w:t>
      </w:r>
      <w:r w:rsidRPr="1A0CFE79" w:rsidR="7C66C657">
        <w:rPr>
          <w:rFonts w:ascii="Arial Nova" w:hAnsi="Arial Nova" w:eastAsia="Arial Nova" w:cs="Arial Nova"/>
          <w:b w:val="0"/>
          <w:bCs w:val="0"/>
          <w:noProof w:val="0"/>
          <w:sz w:val="22"/>
          <w:szCs w:val="22"/>
          <w:lang w:val="en-GB"/>
        </w:rPr>
        <w:t xml:space="preserve">such as </w:t>
      </w:r>
      <w:r w:rsidRPr="1A0CFE79" w:rsidR="7C66C657">
        <w:rPr>
          <w:rFonts w:ascii="Arial Nova" w:hAnsi="Arial Nova" w:eastAsia="Arial Nova" w:cs="Arial Nova"/>
          <w:b w:val="0"/>
          <w:bCs w:val="0"/>
          <w:i w:val="1"/>
          <w:iCs w:val="1"/>
          <w:noProof w:val="0"/>
          <w:sz w:val="22"/>
          <w:szCs w:val="22"/>
          <w:lang w:val="en-GB"/>
        </w:rPr>
        <w:t>NHS Better Health</w:t>
      </w:r>
      <w:r w:rsidRPr="1A0CFE79" w:rsidR="7C66C657">
        <w:rPr>
          <w:rFonts w:ascii="Arial Nova" w:hAnsi="Arial Nova" w:eastAsia="Arial Nova" w:cs="Arial Nova"/>
          <w:b w:val="0"/>
          <w:bCs w:val="0"/>
          <w:noProof w:val="0"/>
          <w:sz w:val="22"/>
          <w:szCs w:val="22"/>
          <w:lang w:val="en-GB"/>
        </w:rPr>
        <w:t>, local leisure-centre classes, or walking group</w:t>
      </w:r>
      <w:r w:rsidRPr="1A0CFE79" w:rsidR="7FC6336C">
        <w:rPr>
          <w:rFonts w:ascii="Arial Nova" w:hAnsi="Arial Nova" w:eastAsia="Arial Nova" w:cs="Arial Nova"/>
          <w:b w:val="0"/>
          <w:bCs w:val="0"/>
          <w:noProof w:val="0"/>
          <w:sz w:val="22"/>
          <w:szCs w:val="22"/>
          <w:lang w:val="en-GB"/>
        </w:rPr>
        <w:t xml:space="preserve"> </w:t>
      </w:r>
      <w:r w:rsidRPr="1A0CFE79" w:rsidR="7C66C657">
        <w:rPr>
          <w:rFonts w:ascii="Arial Nova" w:hAnsi="Arial Nova" w:eastAsia="Arial Nova" w:cs="Arial Nova"/>
          <w:b w:val="0"/>
          <w:bCs w:val="0"/>
          <w:noProof w:val="0"/>
          <w:sz w:val="22"/>
          <w:szCs w:val="22"/>
          <w:lang w:val="en-GB"/>
        </w:rPr>
        <w:t>can promote accountability and social support, which are both strong predictors of adherence (</w:t>
      </w:r>
      <w:r w:rsidRPr="1A0CFE79" w:rsidR="7C66C657">
        <w:rPr>
          <w:rFonts w:ascii="Arial Nova" w:hAnsi="Arial Nova" w:eastAsia="Arial Nova" w:cs="Arial Nova"/>
          <w:b w:val="0"/>
          <w:bCs w:val="0"/>
          <w:noProof w:val="0"/>
          <w:sz w:val="22"/>
          <w:szCs w:val="22"/>
          <w:lang w:val="en-GB"/>
        </w:rPr>
        <w:t>Korkiakangas</w:t>
      </w:r>
      <w:r w:rsidRPr="1A0CFE79" w:rsidR="7C66C657">
        <w:rPr>
          <w:rFonts w:ascii="Arial Nova" w:hAnsi="Arial Nova" w:eastAsia="Arial Nova" w:cs="Arial Nova"/>
          <w:b w:val="0"/>
          <w:bCs w:val="0"/>
          <w:noProof w:val="0"/>
          <w:sz w:val="22"/>
          <w:szCs w:val="22"/>
          <w:lang w:val="en-GB"/>
        </w:rPr>
        <w:t xml:space="preserve">, </w:t>
      </w:r>
      <w:r w:rsidRPr="1A0CFE79" w:rsidR="7C66C657">
        <w:rPr>
          <w:rFonts w:ascii="Arial Nova" w:hAnsi="Arial Nova" w:eastAsia="Arial Nova" w:cs="Arial Nova"/>
          <w:b w:val="0"/>
          <w:bCs w:val="0"/>
          <w:noProof w:val="0"/>
          <w:sz w:val="22"/>
          <w:szCs w:val="22"/>
          <w:lang w:val="en-GB"/>
        </w:rPr>
        <w:t>Alahuhta</w:t>
      </w:r>
      <w:r w:rsidRPr="1A0CFE79" w:rsidR="7C66C657">
        <w:rPr>
          <w:rFonts w:ascii="Arial Nova" w:hAnsi="Arial Nova" w:eastAsia="Arial Nova" w:cs="Arial Nova"/>
          <w:b w:val="0"/>
          <w:bCs w:val="0"/>
          <w:noProof w:val="0"/>
          <w:sz w:val="22"/>
          <w:szCs w:val="22"/>
          <w:lang w:val="en-GB"/>
        </w:rPr>
        <w:t xml:space="preserve"> and Laitinen, 2019).</w:t>
      </w:r>
    </w:p>
    <w:p xmlns:wp14="http://schemas.microsoft.com/office/word/2010/wordml" w:rsidP="1A0CFE79" wp14:paraId="2D32B57C" wp14:textId="0FDAD47C">
      <w:pPr>
        <w:bidi w:val="0"/>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1A0CFE79" w:rsidR="7C66C657">
        <w:rPr>
          <w:rFonts w:ascii="Arial Nova" w:hAnsi="Arial Nova" w:eastAsia="Arial Nova" w:cs="Arial Nova"/>
          <w:b w:val="0"/>
          <w:bCs w:val="0"/>
          <w:noProof w:val="0"/>
          <w:sz w:val="22"/>
          <w:szCs w:val="22"/>
          <w:lang w:val="en-GB"/>
        </w:rPr>
        <w:t xml:space="preserve">Pre-exercise counselling is a key nursing responsibility. I </w:t>
      </w:r>
      <w:r w:rsidRPr="1A0CFE79" w:rsidR="7C66C657">
        <w:rPr>
          <w:rFonts w:ascii="Arial Nova" w:hAnsi="Arial Nova" w:eastAsia="Arial Nova" w:cs="Arial Nova"/>
          <w:b w:val="0"/>
          <w:bCs w:val="0"/>
          <w:noProof w:val="0"/>
          <w:sz w:val="22"/>
          <w:szCs w:val="22"/>
          <w:lang w:val="en-GB"/>
        </w:rPr>
        <w:t>advise</w:t>
      </w:r>
      <w:r w:rsidRPr="1A0CFE79" w:rsidR="7C66C657">
        <w:rPr>
          <w:rFonts w:ascii="Arial Nova" w:hAnsi="Arial Nova" w:eastAsia="Arial Nova" w:cs="Arial Nova"/>
          <w:b w:val="0"/>
          <w:bCs w:val="0"/>
          <w:noProof w:val="0"/>
          <w:sz w:val="22"/>
          <w:szCs w:val="22"/>
          <w:lang w:val="en-GB"/>
        </w:rPr>
        <w:t xml:space="preserve"> patients who use insulin or sulfonylureas to </w:t>
      </w:r>
      <w:r w:rsidRPr="1A0CFE79" w:rsidR="7C66C657">
        <w:rPr>
          <w:rFonts w:ascii="Arial Nova" w:hAnsi="Arial Nova" w:eastAsia="Arial Nova" w:cs="Arial Nova"/>
          <w:b w:val="0"/>
          <w:bCs w:val="0"/>
          <w:noProof w:val="0"/>
          <w:sz w:val="22"/>
          <w:szCs w:val="22"/>
          <w:lang w:val="en-GB"/>
        </w:rPr>
        <w:t>monitor</w:t>
      </w:r>
      <w:r w:rsidRPr="1A0CFE79" w:rsidR="7C66C657">
        <w:rPr>
          <w:rFonts w:ascii="Arial Nova" w:hAnsi="Arial Nova" w:eastAsia="Arial Nova" w:cs="Arial Nova"/>
          <w:b w:val="0"/>
          <w:bCs w:val="0"/>
          <w:noProof w:val="0"/>
          <w:sz w:val="22"/>
          <w:szCs w:val="22"/>
          <w:lang w:val="en-GB"/>
        </w:rPr>
        <w:t xml:space="preserve"> glucose before and after exercise, and to carry quick-acting carbohydrate snacks to prevent hypoglycaemia. Hydration, suitable footwear, and gradual progression in duration and intensity are also reinforced. For those with cardiovascular comorbidities, I ensure medical clearance and tailored exercise prescriptions are obtained before increasing activity levels (Davies et al., 2022).</w:t>
      </w:r>
    </w:p>
    <w:p xmlns:wp14="http://schemas.microsoft.com/office/word/2010/wordml" w:rsidP="1A0CFE79" wp14:paraId="14B81A6D" wp14:textId="4287155D">
      <w:pPr>
        <w:bidi w:val="0"/>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1A0CFE79" w:rsidR="7C66C657">
        <w:rPr>
          <w:rFonts w:ascii="Arial Nova" w:hAnsi="Arial Nova" w:eastAsia="Arial Nova" w:cs="Arial Nova"/>
          <w:b w:val="0"/>
          <w:bCs w:val="0"/>
          <w:noProof w:val="0"/>
          <w:sz w:val="22"/>
          <w:szCs w:val="22"/>
          <w:lang w:val="en-GB"/>
        </w:rPr>
        <w:t xml:space="preserve">Physical activity also </w:t>
      </w:r>
      <w:r w:rsidRPr="1A0CFE79" w:rsidR="7C66C657">
        <w:rPr>
          <w:rFonts w:ascii="Arial Nova" w:hAnsi="Arial Nova" w:eastAsia="Arial Nova" w:cs="Arial Nova"/>
          <w:b w:val="0"/>
          <w:bCs w:val="0"/>
          <w:noProof w:val="0"/>
          <w:sz w:val="22"/>
          <w:szCs w:val="22"/>
          <w:lang w:val="en-GB"/>
        </w:rPr>
        <w:t>benefits</w:t>
      </w:r>
      <w:r w:rsidRPr="1A0CFE79" w:rsidR="7C66C657">
        <w:rPr>
          <w:rFonts w:ascii="Arial Nova" w:hAnsi="Arial Nova" w:eastAsia="Arial Nova" w:cs="Arial Nova"/>
          <w:b w:val="0"/>
          <w:bCs w:val="0"/>
          <w:noProof w:val="0"/>
          <w:sz w:val="22"/>
          <w:szCs w:val="22"/>
          <w:lang w:val="en-GB"/>
        </w:rPr>
        <w:t xml:space="preserve"> mental health</w:t>
      </w:r>
      <w:r w:rsidRPr="1A0CFE79" w:rsidR="0D1C0103">
        <w:rPr>
          <w:rFonts w:ascii="Arial Nova" w:hAnsi="Arial Nova" w:eastAsia="Arial Nova" w:cs="Arial Nova"/>
          <w:b w:val="0"/>
          <w:bCs w:val="0"/>
          <w:noProof w:val="0"/>
          <w:sz w:val="22"/>
          <w:szCs w:val="22"/>
          <w:lang w:val="en-GB"/>
        </w:rPr>
        <w:t xml:space="preserve"> </w:t>
      </w:r>
      <w:r w:rsidRPr="1A0CFE79" w:rsidR="7C66C657">
        <w:rPr>
          <w:rFonts w:ascii="Arial Nova" w:hAnsi="Arial Nova" w:eastAsia="Arial Nova" w:cs="Arial Nova"/>
          <w:b w:val="0"/>
          <w:bCs w:val="0"/>
          <w:noProof w:val="0"/>
          <w:sz w:val="22"/>
          <w:szCs w:val="22"/>
          <w:lang w:val="en-GB"/>
        </w:rPr>
        <w:t xml:space="preserve">reducing anxiety, improving sleep, and enhancing mood, all of which indirectly improve adherence and glycaemic stability. Regular exercise stimulates endorphin release and lowers stress hormones such as cortisol, helping to moderate the physiological effects of stress on glucose metabolism (Spiegel, </w:t>
      </w:r>
      <w:r w:rsidRPr="1A0CFE79" w:rsidR="7C66C657">
        <w:rPr>
          <w:rFonts w:ascii="Arial Nova" w:hAnsi="Arial Nova" w:eastAsia="Arial Nova" w:cs="Arial Nova"/>
          <w:b w:val="0"/>
          <w:bCs w:val="0"/>
          <w:noProof w:val="0"/>
          <w:sz w:val="22"/>
          <w:szCs w:val="22"/>
          <w:lang w:val="en-GB"/>
        </w:rPr>
        <w:t>Leproult</w:t>
      </w:r>
      <w:r w:rsidRPr="1A0CFE79" w:rsidR="7C66C657">
        <w:rPr>
          <w:rFonts w:ascii="Arial Nova" w:hAnsi="Arial Nova" w:eastAsia="Arial Nova" w:cs="Arial Nova"/>
          <w:b w:val="0"/>
          <w:bCs w:val="0"/>
          <w:noProof w:val="0"/>
          <w:sz w:val="22"/>
          <w:szCs w:val="22"/>
          <w:lang w:val="en-GB"/>
        </w:rPr>
        <w:t xml:space="preserve"> and Van </w:t>
      </w:r>
      <w:r w:rsidRPr="1A0CFE79" w:rsidR="7C66C657">
        <w:rPr>
          <w:rFonts w:ascii="Arial Nova" w:hAnsi="Arial Nova" w:eastAsia="Arial Nova" w:cs="Arial Nova"/>
          <w:b w:val="0"/>
          <w:bCs w:val="0"/>
          <w:noProof w:val="0"/>
          <w:sz w:val="22"/>
          <w:szCs w:val="22"/>
          <w:lang w:val="en-GB"/>
        </w:rPr>
        <w:t>Cauter</w:t>
      </w:r>
      <w:r w:rsidRPr="1A0CFE79" w:rsidR="7C66C657">
        <w:rPr>
          <w:rFonts w:ascii="Arial Nova" w:hAnsi="Arial Nova" w:eastAsia="Arial Nova" w:cs="Arial Nova"/>
          <w:b w:val="0"/>
          <w:bCs w:val="0"/>
          <w:noProof w:val="0"/>
          <w:sz w:val="22"/>
          <w:szCs w:val="22"/>
          <w:lang w:val="en-GB"/>
        </w:rPr>
        <w:t>, 1999; Cappuccio et al., 2010).</w:t>
      </w:r>
    </w:p>
    <w:p xmlns:wp14="http://schemas.microsoft.com/office/word/2010/wordml" w:rsidP="1A0CFE79" wp14:paraId="6EC39A18" wp14:textId="01EEA7EF">
      <w:pPr>
        <w:bidi w:val="0"/>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1A0CFE79" w:rsidR="7C66C657">
        <w:rPr>
          <w:rFonts w:ascii="Arial Nova" w:hAnsi="Arial Nova" w:eastAsia="Arial Nova" w:cs="Arial Nova"/>
          <w:b w:val="0"/>
          <w:bCs w:val="0"/>
          <w:noProof w:val="0"/>
          <w:sz w:val="22"/>
          <w:szCs w:val="22"/>
          <w:lang w:val="en-GB"/>
        </w:rPr>
        <w:t xml:space="preserve">I often explain to patients that consistent activity acts like an </w:t>
      </w:r>
      <w:r w:rsidRPr="1A0CFE79" w:rsidR="7C66C657">
        <w:rPr>
          <w:rFonts w:ascii="Arial Nova" w:hAnsi="Arial Nova" w:eastAsia="Arial Nova" w:cs="Arial Nova"/>
          <w:b w:val="0"/>
          <w:bCs w:val="0"/>
          <w:noProof w:val="0"/>
          <w:sz w:val="22"/>
          <w:szCs w:val="22"/>
          <w:lang w:val="en-GB"/>
        </w:rPr>
        <w:t>additional</w:t>
      </w:r>
      <w:r w:rsidRPr="1A0CFE79" w:rsidR="7C66C657">
        <w:rPr>
          <w:rFonts w:ascii="Arial Nova" w:hAnsi="Arial Nova" w:eastAsia="Arial Nova" w:cs="Arial Nova"/>
          <w:b w:val="0"/>
          <w:bCs w:val="0"/>
          <w:noProof w:val="0"/>
          <w:sz w:val="22"/>
          <w:szCs w:val="22"/>
          <w:lang w:val="en-GB"/>
        </w:rPr>
        <w:t xml:space="preserve"> “medicine” that makes existing treatments more effective. Demonstrating small, achievable exercises in clinic</w:t>
      </w:r>
      <w:r w:rsidRPr="1A0CFE79" w:rsidR="75880216">
        <w:rPr>
          <w:rFonts w:ascii="Arial Nova" w:hAnsi="Arial Nova" w:eastAsia="Arial Nova" w:cs="Arial Nova"/>
          <w:b w:val="0"/>
          <w:bCs w:val="0"/>
          <w:noProof w:val="0"/>
          <w:sz w:val="22"/>
          <w:szCs w:val="22"/>
          <w:lang w:val="en-GB"/>
        </w:rPr>
        <w:t xml:space="preserve"> </w:t>
      </w:r>
      <w:r w:rsidRPr="1A0CFE79" w:rsidR="7C66C657">
        <w:rPr>
          <w:rFonts w:ascii="Arial Nova" w:hAnsi="Arial Nova" w:eastAsia="Arial Nova" w:cs="Arial Nova"/>
          <w:b w:val="0"/>
          <w:bCs w:val="0"/>
          <w:noProof w:val="0"/>
          <w:sz w:val="22"/>
          <w:szCs w:val="22"/>
          <w:lang w:val="en-GB"/>
        </w:rPr>
        <w:t>such as seated leg lifts or wall push-ups</w:t>
      </w:r>
      <w:r w:rsidRPr="1A0CFE79" w:rsidR="6CD84342">
        <w:rPr>
          <w:rFonts w:ascii="Arial Nova" w:hAnsi="Arial Nova" w:eastAsia="Arial Nova" w:cs="Arial Nova"/>
          <w:b w:val="0"/>
          <w:bCs w:val="0"/>
          <w:noProof w:val="0"/>
          <w:sz w:val="22"/>
          <w:szCs w:val="22"/>
          <w:lang w:val="en-GB"/>
        </w:rPr>
        <w:t xml:space="preserve"> </w:t>
      </w:r>
      <w:r w:rsidRPr="1A0CFE79" w:rsidR="7C66C657">
        <w:rPr>
          <w:rFonts w:ascii="Arial Nova" w:hAnsi="Arial Nova" w:eastAsia="Arial Nova" w:cs="Arial Nova"/>
          <w:b w:val="0"/>
          <w:bCs w:val="0"/>
          <w:noProof w:val="0"/>
          <w:sz w:val="22"/>
          <w:szCs w:val="22"/>
          <w:lang w:val="en-GB"/>
        </w:rPr>
        <w:t xml:space="preserve">can boost confidence. Positive reinforcement during follow-up appointments </w:t>
      </w:r>
      <w:r w:rsidRPr="1A0CFE79" w:rsidR="7C66C657">
        <w:rPr>
          <w:rFonts w:ascii="Arial Nova" w:hAnsi="Arial Nova" w:eastAsia="Arial Nova" w:cs="Arial Nova"/>
          <w:b w:val="0"/>
          <w:bCs w:val="0"/>
          <w:noProof w:val="0"/>
          <w:sz w:val="22"/>
          <w:szCs w:val="22"/>
          <w:lang w:val="en-GB"/>
        </w:rPr>
        <w:t>maintains</w:t>
      </w:r>
      <w:r w:rsidRPr="1A0CFE79" w:rsidR="7C66C657">
        <w:rPr>
          <w:rFonts w:ascii="Arial Nova" w:hAnsi="Arial Nova" w:eastAsia="Arial Nova" w:cs="Arial Nova"/>
          <w:b w:val="0"/>
          <w:bCs w:val="0"/>
          <w:noProof w:val="0"/>
          <w:sz w:val="22"/>
          <w:szCs w:val="22"/>
          <w:lang w:val="en-GB"/>
        </w:rPr>
        <w:t xml:space="preserve"> motivation and strengthens the therapeutic relationship.</w:t>
      </w:r>
    </w:p>
    <w:p xmlns:wp14="http://schemas.microsoft.com/office/word/2010/wordml" w:rsidP="1A0CFE79" wp14:paraId="486C508A" wp14:textId="358DA0F5">
      <w:pPr>
        <w:pStyle w:val="Heading4"/>
        <w:bidi w:val="0"/>
        <w:spacing w:before="240" w:beforeAutospacing="off" w:after="240" w:afterAutospacing="off" w:line="360" w:lineRule="auto"/>
        <w:jc w:val="left"/>
        <w:rPr>
          <w:rFonts w:ascii="Arial Nova" w:hAnsi="Arial Nova" w:eastAsia="Arial Nova" w:cs="Arial Nova"/>
          <w:b w:val="1"/>
          <w:bCs w:val="1"/>
          <w:i w:val="0"/>
          <w:iCs w:val="0"/>
          <w:noProof w:val="0"/>
          <w:color w:val="000000" w:themeColor="text1" w:themeTint="FF" w:themeShade="FF"/>
          <w:sz w:val="28"/>
          <w:szCs w:val="28"/>
          <w:lang w:val="en-GB"/>
        </w:rPr>
      </w:pPr>
      <w:r w:rsidRPr="1A0CFE79" w:rsidR="0A4CE352">
        <w:rPr>
          <w:rFonts w:ascii="Arial Nova" w:hAnsi="Arial Nova" w:eastAsia="Arial Nova" w:cs="Arial Nova"/>
          <w:b w:val="1"/>
          <w:bCs w:val="1"/>
          <w:i w:val="0"/>
          <w:iCs w:val="0"/>
          <w:noProof w:val="0"/>
          <w:color w:val="000000" w:themeColor="text1" w:themeTint="FF" w:themeShade="FF"/>
          <w:sz w:val="28"/>
          <w:szCs w:val="28"/>
          <w:lang w:val="en-GB"/>
        </w:rPr>
        <w:t>Smoking Cessation</w:t>
      </w:r>
    </w:p>
    <w:p xmlns:wp14="http://schemas.microsoft.com/office/word/2010/wordml" w:rsidP="1A0CFE79" wp14:paraId="0BFF9BD0" wp14:textId="03BD30F7">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Smoking increases insulin resistance and accelerates vascular damage. A meta-analysis of randomised controlled trials confirmed that smoking-cessation interventions improve health outcomes in adults with diabetes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Nagrebetsky</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et al., 2014). I use brief advice, motivational </w:t>
      </w:r>
      <w:r w:rsidRPr="1A0CFE79" w:rsidR="6BFD818F">
        <w:rPr>
          <w:rFonts w:ascii="Arial Nova" w:hAnsi="Arial Nova" w:eastAsia="Arial Nova" w:cs="Arial Nova"/>
          <w:b w:val="0"/>
          <w:bCs w:val="0"/>
          <w:i w:val="0"/>
          <w:iCs w:val="0"/>
          <w:noProof w:val="0"/>
          <w:color w:val="000000" w:themeColor="text1" w:themeTint="FF" w:themeShade="FF"/>
          <w:sz w:val="22"/>
          <w:szCs w:val="22"/>
          <w:lang w:val="en-GB"/>
        </w:rPr>
        <w:t>interviewing,</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referral to local cessation services, including pharmacological aids such as nicotine-replacement therapy (PHE, 2021). Emphasising short-term gains</w:t>
      </w:r>
      <w:r w:rsidRPr="1A0CFE79" w:rsidR="16658DA7">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improved circulation and oxygenation within weeks</w:t>
      </w:r>
      <w:r w:rsidRPr="1A0CFE79" w:rsidR="69C019E9">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helps patients commit to quitting.</w:t>
      </w:r>
    </w:p>
    <w:p xmlns:wp14="http://schemas.microsoft.com/office/word/2010/wordml" w:rsidP="1A0CFE79" wp14:paraId="2F6F8540" wp14:textId="28553D69">
      <w:pPr>
        <w:pStyle w:val="Heading4"/>
        <w:bidi w:val="0"/>
        <w:spacing w:before="319" w:beforeAutospacing="off" w:after="319" w:afterAutospacing="off" w:line="360" w:lineRule="auto"/>
        <w:jc w:val="left"/>
        <w:rPr>
          <w:rFonts w:ascii="Arial Nova" w:hAnsi="Arial Nova" w:eastAsia="Arial Nova" w:cs="Arial Nova"/>
          <w:b w:val="1"/>
          <w:bCs w:val="1"/>
          <w:i w:val="0"/>
          <w:iCs w:val="0"/>
          <w:noProof w:val="0"/>
          <w:color w:val="000000" w:themeColor="text1" w:themeTint="FF" w:themeShade="FF"/>
          <w:sz w:val="28"/>
          <w:szCs w:val="28"/>
          <w:lang w:val="en-GB"/>
        </w:rPr>
      </w:pPr>
      <w:r w:rsidRPr="1A0CFE79" w:rsidR="0A4CE352">
        <w:rPr>
          <w:rFonts w:ascii="Arial Nova" w:hAnsi="Arial Nova" w:eastAsia="Arial Nova" w:cs="Arial Nova"/>
          <w:b w:val="1"/>
          <w:bCs w:val="1"/>
          <w:i w:val="0"/>
          <w:iCs w:val="0"/>
          <w:noProof w:val="0"/>
          <w:color w:val="000000" w:themeColor="text1" w:themeTint="FF" w:themeShade="FF"/>
          <w:sz w:val="28"/>
          <w:szCs w:val="28"/>
          <w:lang w:val="en-GB"/>
        </w:rPr>
        <w:t>Weight Management</w:t>
      </w:r>
    </w:p>
    <w:p xmlns:wp14="http://schemas.microsoft.com/office/word/2010/wordml" w:rsidP="1A0CFE79" wp14:paraId="5CE1D4E9" wp14:textId="4F749FA2">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Excess body weight strongly predicts insulin resistance. Even modest weight loss of 5–10 per cent significantly improves glycaemic control (NICE, 2023). The </w:t>
      </w:r>
      <w:r w:rsidRPr="1A0CFE79" w:rsidR="7B0F2E4B">
        <w:rPr>
          <w:rFonts w:ascii="Arial Nova" w:hAnsi="Arial Nova" w:eastAsia="Arial Nova" w:cs="Arial Nova"/>
          <w:b w:val="0"/>
          <w:bCs w:val="0"/>
          <w:i w:val="0"/>
          <w:iCs w:val="0"/>
          <w:noProof w:val="0"/>
          <w:color w:val="000000" w:themeColor="text1" w:themeTint="FF" w:themeShade="FF"/>
          <w:sz w:val="22"/>
          <w:szCs w:val="22"/>
          <w:lang w:val="en-GB"/>
        </w:rPr>
        <w:t>Direct</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trial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demonstrated</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that intensive calorie-restriction programmes delivered in primary care achieved diabetes remission in </w:t>
      </w:r>
      <w:r w:rsidRPr="1A0CFE79" w:rsidR="614CDC28">
        <w:rPr>
          <w:rFonts w:ascii="Arial Nova" w:hAnsi="Arial Nova" w:eastAsia="Arial Nova" w:cs="Arial Nova"/>
          <w:b w:val="0"/>
          <w:bCs w:val="0"/>
          <w:i w:val="0"/>
          <w:iCs w:val="0"/>
          <w:noProof w:val="0"/>
          <w:color w:val="000000" w:themeColor="text1" w:themeTint="FF" w:themeShade="FF"/>
          <w:sz w:val="22"/>
          <w:szCs w:val="22"/>
          <w:lang w:val="en-GB"/>
        </w:rPr>
        <w:t>half</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of participants (Lean et al., 2019).</w:t>
      </w:r>
    </w:p>
    <w:p xmlns:wp14="http://schemas.microsoft.com/office/word/2010/wordml" w:rsidP="1A0CFE79" wp14:paraId="3D7DEA38" wp14:textId="4ED14498">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I work with patients to create stepwise plans that include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portion</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awareness, regular self-</w:t>
      </w:r>
      <w:r w:rsidRPr="1A0CFE79" w:rsidR="503FF493">
        <w:rPr>
          <w:rFonts w:ascii="Arial Nova" w:hAnsi="Arial Nova" w:eastAsia="Arial Nova" w:cs="Arial Nova"/>
          <w:b w:val="0"/>
          <w:bCs w:val="0"/>
          <w:i w:val="0"/>
          <w:iCs w:val="0"/>
          <w:noProof w:val="0"/>
          <w:color w:val="000000" w:themeColor="text1" w:themeTint="FF" w:themeShade="FF"/>
          <w:sz w:val="22"/>
          <w:szCs w:val="22"/>
          <w:lang w:val="en-GB"/>
        </w:rPr>
        <w:t>weighing,</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meal planning. Where necessary, I refer to structured weight-management or bariatric pathways, ensuring goals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remain</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realistic and supportive.</w:t>
      </w:r>
    </w:p>
    <w:p xmlns:wp14="http://schemas.microsoft.com/office/word/2010/wordml" w:rsidP="1A0CFE79" wp14:paraId="3AAE32CE" wp14:textId="2709615B">
      <w:pPr>
        <w:pStyle w:val="Heading4"/>
        <w:bidi w:val="0"/>
        <w:spacing w:before="319" w:beforeAutospacing="off" w:after="319" w:afterAutospacing="off" w:line="360" w:lineRule="auto"/>
        <w:jc w:val="left"/>
        <w:rPr>
          <w:rFonts w:ascii="Arial Nova" w:hAnsi="Arial Nova" w:eastAsia="Arial Nova" w:cs="Arial Nova"/>
          <w:b w:val="1"/>
          <w:bCs w:val="1"/>
          <w:i w:val="0"/>
          <w:iCs w:val="0"/>
          <w:noProof w:val="0"/>
          <w:color w:val="000000" w:themeColor="text1" w:themeTint="FF" w:themeShade="FF"/>
          <w:sz w:val="28"/>
          <w:szCs w:val="28"/>
          <w:lang w:val="en-GB"/>
        </w:rPr>
      </w:pPr>
      <w:r w:rsidRPr="1A0CFE79" w:rsidR="0A4CE352">
        <w:rPr>
          <w:rFonts w:ascii="Arial Nova" w:hAnsi="Arial Nova" w:eastAsia="Arial Nova" w:cs="Arial Nova"/>
          <w:b w:val="1"/>
          <w:bCs w:val="1"/>
          <w:i w:val="0"/>
          <w:iCs w:val="0"/>
          <w:noProof w:val="0"/>
          <w:color w:val="000000" w:themeColor="text1" w:themeTint="FF" w:themeShade="FF"/>
          <w:sz w:val="28"/>
          <w:szCs w:val="28"/>
          <w:lang w:val="en-GB"/>
        </w:rPr>
        <w:t>Structured Education and Digital Support</w:t>
      </w:r>
    </w:p>
    <w:p xmlns:wp14="http://schemas.microsoft.com/office/word/2010/wordml" w:rsidP="1A0CFE79" wp14:paraId="4B8229E4" wp14:textId="07893A39">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Structured programmes such as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DESMOND</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(Diabetes Education and Self-Management for Ongoing and Newly Diagnosed) improve self-efficacy and long-term outcomes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Khunti</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et al., 2012). I routinely promote enrolment soon after diagnosis and reinforce learning at follow-up. For patients with limited access or time, digital modules offer flexible alternatives (Greenwood et al., 2017). Continuous education ensures knowledge becomes embedded rather than forgotten.</w:t>
      </w:r>
    </w:p>
    <w:p xmlns:wp14="http://schemas.microsoft.com/office/word/2010/wordml" w:rsidP="1A0CFE79" wp14:paraId="37933266" wp14:textId="02E45CA7">
      <w:pPr>
        <w:pStyle w:val="Heading4"/>
        <w:bidi w:val="0"/>
        <w:spacing w:before="319" w:beforeAutospacing="off" w:after="319" w:afterAutospacing="off" w:line="360" w:lineRule="auto"/>
        <w:jc w:val="left"/>
        <w:rPr>
          <w:rFonts w:ascii="Arial Nova" w:hAnsi="Arial Nova" w:eastAsia="Arial Nova" w:cs="Arial Nova"/>
          <w:b w:val="1"/>
          <w:bCs w:val="1"/>
          <w:i w:val="0"/>
          <w:iCs w:val="0"/>
          <w:noProof w:val="0"/>
          <w:color w:val="000000" w:themeColor="text1" w:themeTint="FF" w:themeShade="FF"/>
          <w:sz w:val="28"/>
          <w:szCs w:val="28"/>
          <w:lang w:val="en-GB"/>
        </w:rPr>
      </w:pPr>
      <w:r w:rsidRPr="1A0CFE79" w:rsidR="0A4CE352">
        <w:rPr>
          <w:rFonts w:ascii="Arial Nova" w:hAnsi="Arial Nova" w:eastAsia="Arial Nova" w:cs="Arial Nova"/>
          <w:b w:val="1"/>
          <w:bCs w:val="1"/>
          <w:i w:val="0"/>
          <w:iCs w:val="0"/>
          <w:noProof w:val="0"/>
          <w:color w:val="000000" w:themeColor="text1" w:themeTint="FF" w:themeShade="FF"/>
          <w:sz w:val="28"/>
          <w:szCs w:val="28"/>
          <w:lang w:val="en-GB"/>
        </w:rPr>
        <w:t>Sleep, Stress and Psychological Wellbeing</w:t>
      </w:r>
    </w:p>
    <w:p xmlns:wp14="http://schemas.microsoft.com/office/word/2010/wordml" w:rsidP="1A0CFE79" wp14:paraId="772B8AB9" wp14:textId="33670029">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Recent research highlights the role of sleep quality and mental health in glucose regulation. Experimental sleep restriction has been shown to reduce insulin sensitivity by up to 30 per cent (Spiegel,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Leproult</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Van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Cauter</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1999). A systematic review found that both short and long sleep durations increase the risk of developing T2DM (Cappuccio et al., 2010). I therefore routinely discuss sleep hygiene</w:t>
      </w:r>
      <w:r w:rsidRPr="1A0CFE79" w:rsidR="23B28132">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maintaining</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regular bedtimes, avoiding caffeine after midday, and ensuring a dark, quiet bedroom. When symptoms such as loud snoring or daytime fatigue arise, I liaise with the GP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regarding</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sleep-apnoea assessment.</w:t>
      </w:r>
    </w:p>
    <w:p xmlns:wp14="http://schemas.microsoft.com/office/word/2010/wordml" w:rsidP="1A0CFE79" wp14:paraId="769BFAB7" wp14:textId="30BB8FD8">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Chronic psychological stress also elevates cortisol and hepatic glucose output. Simple stress-reduction methods</w:t>
      </w:r>
      <w:r w:rsidRPr="1A0CFE79" w:rsidR="61D6E7B1">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mindfulness, relaxation breathing, brief </w:t>
      </w:r>
      <w:r w:rsidRPr="1A0CFE79" w:rsidR="2E4DC824">
        <w:rPr>
          <w:rFonts w:ascii="Arial Nova" w:hAnsi="Arial Nova" w:eastAsia="Arial Nova" w:cs="Arial Nova"/>
          <w:b w:val="0"/>
          <w:bCs w:val="0"/>
          <w:i w:val="0"/>
          <w:iCs w:val="0"/>
          <w:noProof w:val="0"/>
          <w:color w:val="000000" w:themeColor="text1" w:themeTint="FF" w:themeShade="FF"/>
          <w:sz w:val="22"/>
          <w:szCs w:val="22"/>
          <w:lang w:val="en-GB"/>
        </w:rPr>
        <w:t>walks,</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or hobbies</w:t>
      </w:r>
      <w:r w:rsidRPr="1A0CFE79" w:rsidR="2990B008">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can lower glucose variability. When patients express low mood or hopelessness, I use screening questions and, if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indicated</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refer to talking-therapy or social-prescribing services. Depression is </w:t>
      </w:r>
      <w:r w:rsidRPr="1A0CFE79" w:rsidR="73E09E3B">
        <w:rPr>
          <w:rFonts w:ascii="Arial Nova" w:hAnsi="Arial Nova" w:eastAsia="Arial Nova" w:cs="Arial Nova"/>
          <w:b w:val="0"/>
          <w:bCs w:val="0"/>
          <w:i w:val="0"/>
          <w:iCs w:val="0"/>
          <w:noProof w:val="0"/>
          <w:color w:val="000000" w:themeColor="text1" w:themeTint="FF" w:themeShade="FF"/>
          <w:sz w:val="22"/>
          <w:szCs w:val="22"/>
          <w:lang w:val="en-GB"/>
        </w:rPr>
        <w:t>twice</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as prevalent in people with diabetes and reduces adherence to self-care (Mezuk et al., 2008). Addressing mental wellbeing is therefore a fundamental, not optional, part of diabetes care.</w:t>
      </w:r>
    </w:p>
    <w:p xmlns:wp14="http://schemas.microsoft.com/office/word/2010/wordml" w:rsidP="1A0CFE79" wp14:paraId="48E6B70A" wp14:textId="4B71BCE7">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By integrating discussions about sleep, </w:t>
      </w:r>
      <w:r w:rsidRPr="1A0CFE79" w:rsidR="001E21D5">
        <w:rPr>
          <w:rFonts w:ascii="Arial Nova" w:hAnsi="Arial Nova" w:eastAsia="Arial Nova" w:cs="Arial Nova"/>
          <w:b w:val="0"/>
          <w:bCs w:val="0"/>
          <w:i w:val="0"/>
          <w:iCs w:val="0"/>
          <w:noProof w:val="0"/>
          <w:color w:val="000000" w:themeColor="text1" w:themeTint="FF" w:themeShade="FF"/>
          <w:sz w:val="22"/>
          <w:szCs w:val="22"/>
          <w:lang w:val="en-GB"/>
        </w:rPr>
        <w:t>stress,</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emotional health into every review, I can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identify</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hidden contributors to poor control. Small improvements</w:t>
      </w:r>
      <w:r w:rsidRPr="1A0CFE79" w:rsidR="5B5B69FF">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better rest, reduced anxiety, improved coping</w:t>
      </w:r>
      <w:r w:rsidRPr="1A0CFE79" w:rsidR="4336E690">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often yield tangible improvements in glucose logs, confirming to patients that self-care extends beyond diet and tablets.</w:t>
      </w:r>
    </w:p>
    <w:p xmlns:wp14="http://schemas.microsoft.com/office/word/2010/wordml" w:rsidP="1A0CFE79" wp14:paraId="3FC7F47B" wp14:textId="4907252B">
      <w:pPr>
        <w:bidi w:val="0"/>
        <w:spacing w:line="360" w:lineRule="auto"/>
        <w:jc w:val="left"/>
        <w:rPr>
          <w:rFonts w:ascii="Arial Nova" w:hAnsi="Arial Nova" w:eastAsia="Arial Nova" w:cs="Arial Nova"/>
          <w:b w:val="0"/>
          <w:bCs w:val="0"/>
          <w:i w:val="0"/>
          <w:iCs w:val="0"/>
          <w:color w:val="000000" w:themeColor="text1" w:themeTint="FF" w:themeShade="FF"/>
          <w:sz w:val="22"/>
          <w:szCs w:val="22"/>
        </w:rPr>
      </w:pPr>
    </w:p>
    <w:p xmlns:wp14="http://schemas.microsoft.com/office/word/2010/wordml" w:rsidP="1A0CFE79" wp14:paraId="6671943C" wp14:textId="03C73BAA">
      <w:pPr>
        <w:pStyle w:val="Heading3"/>
        <w:bidi w:val="0"/>
        <w:spacing w:before="281" w:beforeAutospacing="off" w:after="281" w:afterAutospacing="off" w:line="360" w:lineRule="auto"/>
        <w:jc w:val="left"/>
        <w:rPr>
          <w:rFonts w:ascii="Arial Nova" w:hAnsi="Arial Nova" w:eastAsia="Arial Nova" w:cs="Arial Nova"/>
          <w:b w:val="1"/>
          <w:bCs w:val="1"/>
          <w:i w:val="0"/>
          <w:iCs w:val="0"/>
          <w:noProof w:val="0"/>
          <w:color w:val="000000" w:themeColor="text1" w:themeTint="FF" w:themeShade="FF"/>
          <w:sz w:val="28"/>
          <w:szCs w:val="28"/>
          <w:lang w:val="en-GB"/>
        </w:rPr>
      </w:pPr>
      <w:r w:rsidRPr="1A0CFE79" w:rsidR="0A4CE352">
        <w:rPr>
          <w:rFonts w:ascii="Arial Nova" w:hAnsi="Arial Nova" w:eastAsia="Arial Nova" w:cs="Arial Nova"/>
          <w:b w:val="1"/>
          <w:bCs w:val="1"/>
          <w:i w:val="0"/>
          <w:iCs w:val="0"/>
          <w:noProof w:val="0"/>
          <w:color w:val="000000" w:themeColor="text1" w:themeTint="FF" w:themeShade="FF"/>
          <w:sz w:val="28"/>
          <w:szCs w:val="28"/>
          <w:lang w:val="en-GB"/>
        </w:rPr>
        <w:t>Conclusion</w:t>
      </w:r>
    </w:p>
    <w:p xmlns:wp14="http://schemas.microsoft.com/office/word/2010/wordml" w:rsidP="1A0CFE79" wp14:paraId="371218F1" wp14:textId="4505B46F">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As a practice nurse, I recognise that managing Type 2 diabetes requires more than prescribing medication or checking blood results. It involves empowering individuals with the knowledge and confidence to manage a complex, lifelong condition. By explaining the body’s glucose-regulation mechanisms, how oxygen and glucose generate cellular energy, and how lifestyle factors influence these processes, I can help patients understand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why</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behaviour change matters.</w:t>
      </w:r>
    </w:p>
    <w:p xmlns:wp14="http://schemas.microsoft.com/office/word/2010/wordml" w:rsidP="1A0CFE79" wp14:paraId="12B68DC1" wp14:textId="57960D25">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Encouraging structured monitoring using SMBG or CGM transforms patients from passive recipients into active participants in care. Regular reviews of glucose data, including discussion of sleep and stress patterns, strengthen engagement and allow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timely</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interventions.</w:t>
      </w:r>
    </w:p>
    <w:p xmlns:wp14="http://schemas.microsoft.com/office/word/2010/wordml" w:rsidP="1A0CFE79" wp14:paraId="54F4C6EB" wp14:textId="0F7190D2">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Evidence consistently shows that integrated lifestyle modification</w:t>
      </w:r>
      <w:r w:rsidRPr="1A0CFE79" w:rsidR="2E1E916C">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healthy eating, regular exercise, weight management, smoking cessation, adequate sleep, and mental-health support</w:t>
      </w:r>
      <w:r w:rsidRPr="1A0CFE79" w:rsidR="2086CB6C">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improves glycaemic control and quality of life (Davies et al., 2022; Cappuccio et al., 2010). Nurses are ideally placed to coordinate these approaches, working alongside dietitians, </w:t>
      </w:r>
      <w:r w:rsidRPr="1A0CFE79" w:rsidR="3711CD33">
        <w:rPr>
          <w:rFonts w:ascii="Arial Nova" w:hAnsi="Arial Nova" w:eastAsia="Arial Nova" w:cs="Arial Nova"/>
          <w:b w:val="0"/>
          <w:bCs w:val="0"/>
          <w:i w:val="0"/>
          <w:iCs w:val="0"/>
          <w:noProof w:val="0"/>
          <w:color w:val="000000" w:themeColor="text1" w:themeTint="FF" w:themeShade="FF"/>
          <w:sz w:val="22"/>
          <w:szCs w:val="22"/>
          <w:lang w:val="en-GB"/>
        </w:rPr>
        <w:t>pharmacists,</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mental-health professionals to provide holistic, person-centred care.</w:t>
      </w:r>
    </w:p>
    <w:p xmlns:wp14="http://schemas.microsoft.com/office/word/2010/wordml" w:rsidP="1A0CFE79" wp14:paraId="02AB0F90" wp14:textId="7BF14E6D">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A0CFE79" w:rsidR="2DC566D0">
        <w:rPr>
          <w:rFonts w:ascii="Arial Nova" w:hAnsi="Arial Nova" w:eastAsia="Arial Nova" w:cs="Arial Nova"/>
          <w:b w:val="0"/>
          <w:bCs w:val="0"/>
          <w:i w:val="0"/>
          <w:iCs w:val="0"/>
          <w:noProof w:val="0"/>
          <w:color w:val="000000" w:themeColor="text1" w:themeTint="FF" w:themeShade="FF"/>
          <w:sz w:val="22"/>
          <w:szCs w:val="22"/>
          <w:lang w:val="en-GB"/>
        </w:rPr>
        <w:t>Diabetes</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management is a shared journey between clinician and patient. Through clear communication, empathy and continuity, practice nurses can transform education into empowerment, enabling individuals with T2DM to </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maintain</w:t>
      </w:r>
      <w:r w:rsidRPr="1A0CFE79" w:rsidR="0A4CE352">
        <w:rPr>
          <w:rFonts w:ascii="Arial Nova" w:hAnsi="Arial Nova" w:eastAsia="Arial Nova" w:cs="Arial Nova"/>
          <w:b w:val="0"/>
          <w:bCs w:val="0"/>
          <w:i w:val="0"/>
          <w:iCs w:val="0"/>
          <w:noProof w:val="0"/>
          <w:color w:val="000000" w:themeColor="text1" w:themeTint="FF" w:themeShade="FF"/>
          <w:sz w:val="22"/>
          <w:szCs w:val="22"/>
          <w:lang w:val="en-GB"/>
        </w:rPr>
        <w:t xml:space="preserve"> control, prevent complications and live full, healthy lives</w:t>
      </w:r>
      <w:r w:rsidRPr="1A0CFE79" w:rsidR="583A8C88">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A0CFE79" w:rsidR="0AD0D3D3">
        <w:rPr>
          <w:rFonts w:ascii="Arial Nova" w:hAnsi="Arial Nova" w:eastAsia="Arial Nova" w:cs="Arial Nova"/>
          <w:b w:val="0"/>
          <w:bCs w:val="0"/>
          <w:i w:val="0"/>
          <w:iCs w:val="0"/>
          <w:noProof w:val="0"/>
          <w:color w:val="000000" w:themeColor="text1" w:themeTint="FF" w:themeShade="FF"/>
          <w:sz w:val="22"/>
          <w:szCs w:val="22"/>
          <w:lang w:val="en-GB"/>
        </w:rPr>
        <w:t xml:space="preserve"> </w:t>
      </w:r>
    </w:p>
    <w:p xmlns:wp14="http://schemas.microsoft.com/office/word/2010/wordml" w:rsidP="1A0CFE79" wp14:paraId="1773B7A7" wp14:textId="17BC0E5A">
      <w:pPr>
        <w:pStyle w:val="Normal"/>
        <w:bidi w:val="0"/>
        <w:spacing w:before="240" w:beforeAutospacing="off" w:after="240" w:afterAutospacing="off" w:line="360" w:lineRule="auto"/>
        <w:jc w:val="left"/>
        <w:rPr>
          <w:rFonts w:ascii="Arial Nova" w:hAnsi="Arial Nova" w:eastAsia="Arial Nova" w:cs="Arial Nova"/>
          <w:b w:val="1"/>
          <w:bCs w:val="1"/>
          <w:i w:val="0"/>
          <w:iCs w:val="0"/>
          <w:noProof w:val="0"/>
          <w:color w:val="000000" w:themeColor="text1" w:themeTint="FF" w:themeShade="FF"/>
          <w:sz w:val="28"/>
          <w:szCs w:val="28"/>
          <w:lang w:val="en-GB"/>
        </w:rPr>
      </w:pPr>
    </w:p>
    <w:p xmlns:wp14="http://schemas.microsoft.com/office/word/2010/wordml" w:rsidP="1A0CFE79" wp14:paraId="609EC5A9" wp14:textId="4BD39D30">
      <w:pPr>
        <w:pStyle w:val="Normal"/>
        <w:bidi w:val="0"/>
        <w:spacing w:before="240" w:beforeAutospacing="off" w:after="240" w:afterAutospacing="off" w:line="360" w:lineRule="auto"/>
        <w:jc w:val="left"/>
        <w:rPr>
          <w:rFonts w:ascii="Arial Nova" w:hAnsi="Arial Nova" w:eastAsia="Arial Nova" w:cs="Arial Nova"/>
          <w:b w:val="1"/>
          <w:bCs w:val="1"/>
          <w:i w:val="0"/>
          <w:iCs w:val="0"/>
          <w:noProof w:val="0"/>
          <w:color w:val="000000" w:themeColor="text1" w:themeTint="FF" w:themeShade="FF"/>
          <w:sz w:val="28"/>
          <w:szCs w:val="28"/>
          <w:lang w:val="en-GB"/>
        </w:rPr>
      </w:pPr>
      <w:r w:rsidRPr="1A0CFE79" w:rsidR="0AD0D3D3">
        <w:rPr>
          <w:rFonts w:ascii="Arial Nova" w:hAnsi="Arial Nova" w:eastAsia="Arial Nova" w:cs="Arial Nova"/>
          <w:b w:val="1"/>
          <w:bCs w:val="1"/>
          <w:i w:val="0"/>
          <w:iCs w:val="0"/>
          <w:noProof w:val="0"/>
          <w:color w:val="000000" w:themeColor="text1" w:themeTint="FF" w:themeShade="FF"/>
          <w:sz w:val="28"/>
          <w:szCs w:val="28"/>
          <w:lang w:val="en-GB"/>
        </w:rPr>
        <w:t xml:space="preserve">References </w:t>
      </w:r>
    </w:p>
    <w:p xmlns:wp14="http://schemas.microsoft.com/office/word/2010/wordml" w:rsidP="1A0CFE79" wp14:paraId="10E94298" wp14:textId="25B36B0B">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American Diabetes Association (ADA) (2023) ‘Standards of Care in Diabetes—2023’, </w:t>
      </w:r>
      <w:r w:rsidRPr="1A0CFE79" w:rsidR="0F43F3D9">
        <w:rPr>
          <w:rFonts w:ascii="Arial Nova" w:hAnsi="Arial Nova" w:eastAsia="Arial Nova" w:cs="Arial Nova"/>
          <w:i w:val="1"/>
          <w:iCs w:val="1"/>
          <w:noProof w:val="0"/>
          <w:sz w:val="22"/>
          <w:szCs w:val="22"/>
          <w:lang w:val="en-GB"/>
        </w:rPr>
        <w:t>Diabetes Care</w:t>
      </w:r>
      <w:r w:rsidRPr="1A0CFE79" w:rsidR="0F43F3D9">
        <w:rPr>
          <w:rFonts w:ascii="Arial Nova" w:hAnsi="Arial Nova" w:eastAsia="Arial Nova" w:cs="Arial Nova"/>
          <w:noProof w:val="0"/>
          <w:sz w:val="22"/>
          <w:szCs w:val="22"/>
          <w:lang w:val="en-GB"/>
        </w:rPr>
        <w:t>, 46(Suppl. 1), pp. S1–S312.</w:t>
      </w:r>
      <w:r>
        <w:br/>
      </w:r>
      <w:r w:rsidRPr="1A0CFE79" w:rsidR="0F43F3D9">
        <w:rPr>
          <w:rFonts w:ascii="Arial Nova" w:hAnsi="Arial Nova" w:eastAsia="Arial Nova" w:cs="Arial Nova"/>
          <w:noProof w:val="0"/>
          <w:sz w:val="22"/>
          <w:szCs w:val="22"/>
          <w:lang w:val="en-GB"/>
        </w:rPr>
        <w:t xml:space="preserve">Available at: </w:t>
      </w:r>
      <w:hyperlink r:id="R7cc9ff36d71f47cc">
        <w:r w:rsidRPr="1A0CFE79" w:rsidR="0F43F3D9">
          <w:rPr>
            <w:rStyle w:val="Hyperlink"/>
            <w:rFonts w:ascii="Arial Nova" w:hAnsi="Arial Nova" w:eastAsia="Arial Nova" w:cs="Arial Nova"/>
            <w:noProof w:val="0"/>
            <w:sz w:val="22"/>
            <w:szCs w:val="22"/>
            <w:lang w:val="en-GB"/>
          </w:rPr>
          <w:t>https://diabetesjournals.org/care</w:t>
        </w:r>
      </w:hyperlink>
      <w:r w:rsidRPr="1A0CFE79" w:rsidR="0F43F3D9">
        <w:rPr>
          <w:rFonts w:ascii="Arial Nova" w:hAnsi="Arial Nova" w:eastAsia="Arial Nova" w:cs="Arial Nova"/>
          <w:noProof w:val="0"/>
          <w:sz w:val="22"/>
          <w:szCs w:val="22"/>
          <w:lang w:val="en-GB"/>
        </w:rPr>
        <w:t xml:space="preserve"> (Accessed: 2 November 2025).</w:t>
      </w:r>
    </w:p>
    <w:p xmlns:wp14="http://schemas.microsoft.com/office/word/2010/wordml" w:rsidP="1A0CFE79" wp14:paraId="22E1A529" wp14:textId="729E5A37">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Cappuccio, F.P., D’Elia, L., Strazzullo, P. and Miller, M.A. (2010) ‘Quantity and quality of sleep and incidence of type 2 diabetes: a systematic review and meta-analysis’, </w:t>
      </w:r>
      <w:r w:rsidRPr="1A0CFE79" w:rsidR="0F43F3D9">
        <w:rPr>
          <w:rFonts w:ascii="Arial Nova" w:hAnsi="Arial Nova" w:eastAsia="Arial Nova" w:cs="Arial Nova"/>
          <w:i w:val="1"/>
          <w:iCs w:val="1"/>
          <w:noProof w:val="0"/>
          <w:sz w:val="22"/>
          <w:szCs w:val="22"/>
          <w:lang w:val="en-GB"/>
        </w:rPr>
        <w:t>Diabetes Care</w:t>
      </w:r>
      <w:r w:rsidRPr="1A0CFE79" w:rsidR="0F43F3D9">
        <w:rPr>
          <w:rFonts w:ascii="Arial Nova" w:hAnsi="Arial Nova" w:eastAsia="Arial Nova" w:cs="Arial Nova"/>
          <w:noProof w:val="0"/>
          <w:sz w:val="22"/>
          <w:szCs w:val="22"/>
          <w:lang w:val="en-GB"/>
        </w:rPr>
        <w:t>, 33(2), pp. 414–420.</w:t>
      </w:r>
    </w:p>
    <w:p xmlns:wp14="http://schemas.microsoft.com/office/word/2010/wordml" w:rsidP="1A0CFE79" wp14:paraId="2A899268" wp14:textId="01F90681">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Cho, N.H., Shaw, J.E., </w:t>
      </w:r>
      <w:r w:rsidRPr="1A0CFE79" w:rsidR="0F43F3D9">
        <w:rPr>
          <w:rFonts w:ascii="Arial Nova" w:hAnsi="Arial Nova" w:eastAsia="Arial Nova" w:cs="Arial Nova"/>
          <w:noProof w:val="0"/>
          <w:sz w:val="22"/>
          <w:szCs w:val="22"/>
          <w:lang w:val="en-GB"/>
        </w:rPr>
        <w:t>Karuranga</w:t>
      </w:r>
      <w:r w:rsidRPr="1A0CFE79" w:rsidR="0F43F3D9">
        <w:rPr>
          <w:rFonts w:ascii="Arial Nova" w:hAnsi="Arial Nova" w:eastAsia="Arial Nova" w:cs="Arial Nova"/>
          <w:noProof w:val="0"/>
          <w:sz w:val="22"/>
          <w:szCs w:val="22"/>
          <w:lang w:val="en-GB"/>
        </w:rPr>
        <w:t xml:space="preserve">, S., Huang, Y., da Rocha Fernandes, J.D., Ohlrogge, A.W. and Malanda, B. (2018) ‘IDF Diabetes Atlas: Global estimates of diabetes prevalence for 2017 and projections for 2045’, </w:t>
      </w:r>
      <w:r w:rsidRPr="1A0CFE79" w:rsidR="0F43F3D9">
        <w:rPr>
          <w:rFonts w:ascii="Arial Nova" w:hAnsi="Arial Nova" w:eastAsia="Arial Nova" w:cs="Arial Nova"/>
          <w:i w:val="1"/>
          <w:iCs w:val="1"/>
          <w:noProof w:val="0"/>
          <w:sz w:val="22"/>
          <w:szCs w:val="22"/>
          <w:lang w:val="en-GB"/>
        </w:rPr>
        <w:t>Diabetes Research and Clinical Practice</w:t>
      </w:r>
      <w:r w:rsidRPr="1A0CFE79" w:rsidR="0F43F3D9">
        <w:rPr>
          <w:rFonts w:ascii="Arial Nova" w:hAnsi="Arial Nova" w:eastAsia="Arial Nova" w:cs="Arial Nova"/>
          <w:noProof w:val="0"/>
          <w:sz w:val="22"/>
          <w:szCs w:val="22"/>
          <w:lang w:val="en-GB"/>
        </w:rPr>
        <w:t>, 138, pp. 271–281.</w:t>
      </w:r>
    </w:p>
    <w:p xmlns:wp14="http://schemas.microsoft.com/office/word/2010/wordml" w:rsidP="1A0CFE79" wp14:paraId="44092DA7" wp14:textId="61C09938">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Colberg, S.R., Sigal, R.J., Yardley, J.E., Riddell, M.C., Dunstan, D.W., Dempsey, P.C., Horton, E.S., Castorino, </w:t>
      </w:r>
      <w:r w:rsidRPr="1A0CFE79" w:rsidR="1D28AEBE">
        <w:rPr>
          <w:rFonts w:ascii="Arial Nova" w:hAnsi="Arial Nova" w:eastAsia="Arial Nova" w:cs="Arial Nova"/>
          <w:noProof w:val="0"/>
          <w:sz w:val="22"/>
          <w:szCs w:val="22"/>
          <w:lang w:val="en-GB"/>
        </w:rPr>
        <w:t>K.,</w:t>
      </w:r>
      <w:r w:rsidRPr="1A0CFE79" w:rsidR="0F43F3D9">
        <w:rPr>
          <w:rFonts w:ascii="Arial Nova" w:hAnsi="Arial Nova" w:eastAsia="Arial Nova" w:cs="Arial Nova"/>
          <w:noProof w:val="0"/>
          <w:sz w:val="22"/>
          <w:szCs w:val="22"/>
          <w:lang w:val="en-GB"/>
        </w:rPr>
        <w:t xml:space="preserve"> and Tate, D.F. (2016) ‘Physical activity/exercise and diabetes: a position statement of the American Diabetes Association’, </w:t>
      </w:r>
      <w:r w:rsidRPr="1A0CFE79" w:rsidR="0F43F3D9">
        <w:rPr>
          <w:rFonts w:ascii="Arial Nova" w:hAnsi="Arial Nova" w:eastAsia="Arial Nova" w:cs="Arial Nova"/>
          <w:i w:val="1"/>
          <w:iCs w:val="1"/>
          <w:noProof w:val="0"/>
          <w:sz w:val="22"/>
          <w:szCs w:val="22"/>
          <w:lang w:val="en-GB"/>
        </w:rPr>
        <w:t>Diabetes Care</w:t>
      </w:r>
      <w:r w:rsidRPr="1A0CFE79" w:rsidR="0F43F3D9">
        <w:rPr>
          <w:rFonts w:ascii="Arial Nova" w:hAnsi="Arial Nova" w:eastAsia="Arial Nova" w:cs="Arial Nova"/>
          <w:noProof w:val="0"/>
          <w:sz w:val="22"/>
          <w:szCs w:val="22"/>
          <w:lang w:val="en-GB"/>
        </w:rPr>
        <w:t>, 39(11), pp. 2065–2079.</w:t>
      </w:r>
    </w:p>
    <w:p xmlns:wp14="http://schemas.microsoft.com/office/word/2010/wordml" w:rsidP="1A0CFE79" wp14:paraId="2FEE4FE5" wp14:textId="668C1F26">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Davies, M.J., D’Alessio, D.A., Fradkin, J., Kernan, W.N., Mathieu, C., Mingrone, G., Rossing, P., </w:t>
      </w:r>
      <w:r w:rsidRPr="1A0CFE79" w:rsidR="0F43F3D9">
        <w:rPr>
          <w:rFonts w:ascii="Arial Nova" w:hAnsi="Arial Nova" w:eastAsia="Arial Nova" w:cs="Arial Nova"/>
          <w:noProof w:val="0"/>
          <w:sz w:val="22"/>
          <w:szCs w:val="22"/>
          <w:lang w:val="en-GB"/>
        </w:rPr>
        <w:t>Tsapas</w:t>
      </w:r>
      <w:r w:rsidRPr="1A0CFE79" w:rsidR="0F43F3D9">
        <w:rPr>
          <w:rFonts w:ascii="Arial Nova" w:hAnsi="Arial Nova" w:eastAsia="Arial Nova" w:cs="Arial Nova"/>
          <w:noProof w:val="0"/>
          <w:sz w:val="22"/>
          <w:szCs w:val="22"/>
          <w:lang w:val="en-GB"/>
        </w:rPr>
        <w:t xml:space="preserve">, A., Wexler, D.J. and Buse, J.B. (2022) ‘Management of hyperglycaemia in type 2 diabetes, 2022: a consensus report by the American Diabetes Association and the European Association for the Study of Diabetes’, </w:t>
      </w:r>
      <w:r w:rsidRPr="1A0CFE79" w:rsidR="0F43F3D9">
        <w:rPr>
          <w:rFonts w:ascii="Arial Nova" w:hAnsi="Arial Nova" w:eastAsia="Arial Nova" w:cs="Arial Nova"/>
          <w:i w:val="1"/>
          <w:iCs w:val="1"/>
          <w:noProof w:val="0"/>
          <w:sz w:val="22"/>
          <w:szCs w:val="22"/>
          <w:lang w:val="en-GB"/>
        </w:rPr>
        <w:t>Diabetologia</w:t>
      </w:r>
      <w:r w:rsidRPr="1A0CFE79" w:rsidR="0F43F3D9">
        <w:rPr>
          <w:rFonts w:ascii="Arial Nova" w:hAnsi="Arial Nova" w:eastAsia="Arial Nova" w:cs="Arial Nova"/>
          <w:noProof w:val="0"/>
          <w:sz w:val="22"/>
          <w:szCs w:val="22"/>
          <w:lang w:val="en-GB"/>
        </w:rPr>
        <w:t>, 65(12), pp. 1925–1966.</w:t>
      </w:r>
    </w:p>
    <w:p xmlns:wp14="http://schemas.microsoft.com/office/word/2010/wordml" w:rsidP="1A0CFE79" wp14:paraId="6DD92B63" wp14:textId="751BFD98">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Diabetes UK (2024) </w:t>
      </w:r>
      <w:r w:rsidRPr="1A0CFE79" w:rsidR="0F43F3D9">
        <w:rPr>
          <w:rFonts w:ascii="Arial Nova" w:hAnsi="Arial Nova" w:eastAsia="Arial Nova" w:cs="Arial Nova"/>
          <w:i w:val="1"/>
          <w:iCs w:val="1"/>
          <w:noProof w:val="0"/>
          <w:sz w:val="22"/>
          <w:szCs w:val="22"/>
          <w:lang w:val="en-GB"/>
        </w:rPr>
        <w:t>Diabetes prevalence 2024</w:t>
      </w:r>
      <w:r w:rsidRPr="1A0CFE79" w:rsidR="0F43F3D9">
        <w:rPr>
          <w:rFonts w:ascii="Arial Nova" w:hAnsi="Arial Nova" w:eastAsia="Arial Nova" w:cs="Arial Nova"/>
          <w:noProof w:val="0"/>
          <w:sz w:val="22"/>
          <w:szCs w:val="22"/>
          <w:lang w:val="en-GB"/>
        </w:rPr>
        <w:t>.</w:t>
      </w:r>
      <w:r>
        <w:br/>
      </w:r>
      <w:r w:rsidRPr="1A0CFE79" w:rsidR="0F43F3D9">
        <w:rPr>
          <w:rFonts w:ascii="Arial Nova" w:hAnsi="Arial Nova" w:eastAsia="Arial Nova" w:cs="Arial Nova"/>
          <w:noProof w:val="0"/>
          <w:sz w:val="22"/>
          <w:szCs w:val="22"/>
          <w:lang w:val="en-GB"/>
        </w:rPr>
        <w:t xml:space="preserve"> Available at: </w:t>
      </w:r>
      <w:hyperlink r:id="R07a2552ea6ec4232">
        <w:r w:rsidRPr="1A0CFE79" w:rsidR="0F43F3D9">
          <w:rPr>
            <w:rStyle w:val="Hyperlink"/>
            <w:rFonts w:ascii="Arial Nova" w:hAnsi="Arial Nova" w:eastAsia="Arial Nova" w:cs="Arial Nova"/>
            <w:noProof w:val="0"/>
            <w:sz w:val="22"/>
            <w:szCs w:val="22"/>
            <w:lang w:val="en-GB"/>
          </w:rPr>
          <w:t>https://www.diabetes.org.uk</w:t>
        </w:r>
      </w:hyperlink>
      <w:r w:rsidRPr="1A0CFE79" w:rsidR="0F43F3D9">
        <w:rPr>
          <w:rFonts w:ascii="Arial Nova" w:hAnsi="Arial Nova" w:eastAsia="Arial Nova" w:cs="Arial Nova"/>
          <w:noProof w:val="0"/>
          <w:sz w:val="22"/>
          <w:szCs w:val="22"/>
          <w:lang w:val="en-GB"/>
        </w:rPr>
        <w:t xml:space="preserve"> (Accessed: 20 October 2025).</w:t>
      </w:r>
    </w:p>
    <w:p xmlns:wp14="http://schemas.microsoft.com/office/word/2010/wordml" w:rsidP="1A0CFE79" wp14:paraId="01CA3059" wp14:textId="27971A14">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Farmer, A.J., Perera, R., Ward, A., Heneghan, C., Oke, J., Barnett, A.H. and Davidson, M.B. (2012) ‘Meta-analysis of individual patient data in randomised trials of self-monitoring of blood glucose in people with non-insulin-treated type 2 diabetes’, </w:t>
      </w:r>
      <w:r w:rsidRPr="1A0CFE79" w:rsidR="0F43F3D9">
        <w:rPr>
          <w:rFonts w:ascii="Arial Nova" w:hAnsi="Arial Nova" w:eastAsia="Arial Nova" w:cs="Arial Nova"/>
          <w:i w:val="1"/>
          <w:iCs w:val="1"/>
          <w:noProof w:val="0"/>
          <w:sz w:val="22"/>
          <w:szCs w:val="22"/>
          <w:lang w:val="en-GB"/>
        </w:rPr>
        <w:t>BMJ</w:t>
      </w:r>
      <w:r w:rsidRPr="1A0CFE79" w:rsidR="0F43F3D9">
        <w:rPr>
          <w:rFonts w:ascii="Arial Nova" w:hAnsi="Arial Nova" w:eastAsia="Arial Nova" w:cs="Arial Nova"/>
          <w:noProof w:val="0"/>
          <w:sz w:val="22"/>
          <w:szCs w:val="22"/>
          <w:lang w:val="en-GB"/>
        </w:rPr>
        <w:t>, 344, e486.</w:t>
      </w:r>
    </w:p>
    <w:p xmlns:wp14="http://schemas.microsoft.com/office/word/2010/wordml" w:rsidP="1A0CFE79" wp14:paraId="04900A5F" wp14:textId="3C69FF6D">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Galicia-García, U., Benito-Vicente, A., </w:t>
      </w:r>
      <w:r w:rsidRPr="1A0CFE79" w:rsidR="0F43F3D9">
        <w:rPr>
          <w:rFonts w:ascii="Arial Nova" w:hAnsi="Arial Nova" w:eastAsia="Arial Nova" w:cs="Arial Nova"/>
          <w:noProof w:val="0"/>
          <w:sz w:val="22"/>
          <w:szCs w:val="22"/>
          <w:lang w:val="en-GB"/>
        </w:rPr>
        <w:t>Jebari</w:t>
      </w:r>
      <w:r w:rsidRPr="1A0CFE79" w:rsidR="0F43F3D9">
        <w:rPr>
          <w:rFonts w:ascii="Arial Nova" w:hAnsi="Arial Nova" w:eastAsia="Arial Nova" w:cs="Arial Nova"/>
          <w:noProof w:val="0"/>
          <w:sz w:val="22"/>
          <w:szCs w:val="22"/>
          <w:lang w:val="en-GB"/>
        </w:rPr>
        <w:t>, S., Larrea-</w:t>
      </w:r>
      <w:r w:rsidRPr="1A0CFE79" w:rsidR="0F43F3D9">
        <w:rPr>
          <w:rFonts w:ascii="Arial Nova" w:hAnsi="Arial Nova" w:eastAsia="Arial Nova" w:cs="Arial Nova"/>
          <w:noProof w:val="0"/>
          <w:sz w:val="22"/>
          <w:szCs w:val="22"/>
          <w:lang w:val="en-GB"/>
        </w:rPr>
        <w:t>Sebal</w:t>
      </w:r>
      <w:r w:rsidRPr="1A0CFE79" w:rsidR="0F43F3D9">
        <w:rPr>
          <w:rFonts w:ascii="Arial Nova" w:hAnsi="Arial Nova" w:eastAsia="Arial Nova" w:cs="Arial Nova"/>
          <w:noProof w:val="0"/>
          <w:sz w:val="22"/>
          <w:szCs w:val="22"/>
          <w:lang w:val="en-GB"/>
        </w:rPr>
        <w:t xml:space="preserve">, A., Siddiqi, H., Uribe, K.B., Ostolaza, H. and Martín, C. (2020) ‘Pathophysiology of type 2 diabetes mellitus’, </w:t>
      </w:r>
      <w:r w:rsidRPr="1A0CFE79" w:rsidR="0F43F3D9">
        <w:rPr>
          <w:rFonts w:ascii="Arial Nova" w:hAnsi="Arial Nova" w:eastAsia="Arial Nova" w:cs="Arial Nova"/>
          <w:i w:val="1"/>
          <w:iCs w:val="1"/>
          <w:noProof w:val="0"/>
          <w:sz w:val="22"/>
          <w:szCs w:val="22"/>
          <w:lang w:val="en-GB"/>
        </w:rPr>
        <w:t>International Journal of Molecular Sciences</w:t>
      </w:r>
      <w:r w:rsidRPr="1A0CFE79" w:rsidR="0F43F3D9">
        <w:rPr>
          <w:rFonts w:ascii="Arial Nova" w:hAnsi="Arial Nova" w:eastAsia="Arial Nova" w:cs="Arial Nova"/>
          <w:noProof w:val="0"/>
          <w:sz w:val="22"/>
          <w:szCs w:val="22"/>
          <w:lang w:val="en-GB"/>
        </w:rPr>
        <w:t>, 21(17), 6275.</w:t>
      </w:r>
    </w:p>
    <w:p xmlns:wp14="http://schemas.microsoft.com/office/word/2010/wordml" w:rsidP="1A0CFE79" wp14:paraId="402F5605" wp14:textId="056519C3">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Greenwood, D.A., Gee, P.M., Fatkin, K.J. and Peeples, M. (2017) ‘A systematic review of technology-enabled diabetes self-management education and support’, </w:t>
      </w:r>
      <w:r w:rsidRPr="1A0CFE79" w:rsidR="0F43F3D9">
        <w:rPr>
          <w:rFonts w:ascii="Arial Nova" w:hAnsi="Arial Nova" w:eastAsia="Arial Nova" w:cs="Arial Nova"/>
          <w:i w:val="1"/>
          <w:iCs w:val="1"/>
          <w:noProof w:val="0"/>
          <w:sz w:val="22"/>
          <w:szCs w:val="22"/>
          <w:lang w:val="en-GB"/>
        </w:rPr>
        <w:t>Journal of Diabetes Science and Technology</w:t>
      </w:r>
      <w:r w:rsidRPr="1A0CFE79" w:rsidR="0F43F3D9">
        <w:rPr>
          <w:rFonts w:ascii="Arial Nova" w:hAnsi="Arial Nova" w:eastAsia="Arial Nova" w:cs="Arial Nova"/>
          <w:noProof w:val="0"/>
          <w:sz w:val="22"/>
          <w:szCs w:val="22"/>
          <w:lang w:val="en-GB"/>
        </w:rPr>
        <w:t>, 11(5), pp. 1015–1027.</w:t>
      </w:r>
    </w:p>
    <w:p xmlns:wp14="http://schemas.microsoft.com/office/word/2010/wordml" w:rsidP="1A0CFE79" wp14:paraId="38686606" wp14:textId="4CA9AF26">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Hall, J.E. and Hall, M.E. (2020) </w:t>
      </w:r>
      <w:r w:rsidRPr="1A0CFE79" w:rsidR="0F43F3D9">
        <w:rPr>
          <w:rFonts w:ascii="Arial Nova" w:hAnsi="Arial Nova" w:eastAsia="Arial Nova" w:cs="Arial Nova"/>
          <w:i w:val="1"/>
          <w:iCs w:val="1"/>
          <w:noProof w:val="0"/>
          <w:sz w:val="22"/>
          <w:szCs w:val="22"/>
          <w:lang w:val="en-GB"/>
        </w:rPr>
        <w:t>Guyton and Hall Textbook of Medical Physiology</w:t>
      </w:r>
      <w:r w:rsidRPr="1A0CFE79" w:rsidR="0F43F3D9">
        <w:rPr>
          <w:rFonts w:ascii="Arial Nova" w:hAnsi="Arial Nova" w:eastAsia="Arial Nova" w:cs="Arial Nova"/>
          <w:noProof w:val="0"/>
          <w:sz w:val="22"/>
          <w:szCs w:val="22"/>
          <w:lang w:val="en-GB"/>
        </w:rPr>
        <w:t xml:space="preserve">. 14th </w:t>
      </w:r>
      <w:r w:rsidRPr="1A0CFE79" w:rsidR="0F43F3D9">
        <w:rPr>
          <w:rFonts w:ascii="Arial Nova" w:hAnsi="Arial Nova" w:eastAsia="Arial Nova" w:cs="Arial Nova"/>
          <w:noProof w:val="0"/>
          <w:sz w:val="22"/>
          <w:szCs w:val="22"/>
          <w:lang w:val="en-GB"/>
        </w:rPr>
        <w:t>edn</w:t>
      </w:r>
      <w:r w:rsidRPr="1A0CFE79" w:rsidR="0F43F3D9">
        <w:rPr>
          <w:rFonts w:ascii="Arial Nova" w:hAnsi="Arial Nova" w:eastAsia="Arial Nova" w:cs="Arial Nova"/>
          <w:noProof w:val="0"/>
          <w:sz w:val="22"/>
          <w:szCs w:val="22"/>
          <w:lang w:val="en-GB"/>
        </w:rPr>
        <w:t>. Philadelphia: Elsevier.</w:t>
      </w:r>
    </w:p>
    <w:p xmlns:wp14="http://schemas.microsoft.com/office/word/2010/wordml" w:rsidP="1A0CFE79" wp14:paraId="6873FA5E" wp14:textId="45F9BCDB">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Khunti</w:t>
      </w:r>
      <w:r w:rsidRPr="1A0CFE79" w:rsidR="0F43F3D9">
        <w:rPr>
          <w:rFonts w:ascii="Arial Nova" w:hAnsi="Arial Nova" w:eastAsia="Arial Nova" w:cs="Arial Nova"/>
          <w:noProof w:val="0"/>
          <w:sz w:val="22"/>
          <w:szCs w:val="22"/>
          <w:lang w:val="en-GB"/>
        </w:rPr>
        <w:t xml:space="preserve">, K., Gray, L.J., Skinner, T.C., Carey, M.E., </w:t>
      </w:r>
      <w:r w:rsidRPr="1A0CFE79" w:rsidR="0F43F3D9">
        <w:rPr>
          <w:rFonts w:ascii="Arial Nova" w:hAnsi="Arial Nova" w:eastAsia="Arial Nova" w:cs="Arial Nova"/>
          <w:noProof w:val="0"/>
          <w:sz w:val="22"/>
          <w:szCs w:val="22"/>
          <w:lang w:val="en-GB"/>
        </w:rPr>
        <w:t>Realf</w:t>
      </w:r>
      <w:r w:rsidRPr="1A0CFE79" w:rsidR="0F43F3D9">
        <w:rPr>
          <w:rFonts w:ascii="Arial Nova" w:hAnsi="Arial Nova" w:eastAsia="Arial Nova" w:cs="Arial Nova"/>
          <w:noProof w:val="0"/>
          <w:sz w:val="22"/>
          <w:szCs w:val="22"/>
          <w:lang w:val="en-GB"/>
        </w:rPr>
        <w:t xml:space="preserve">, K., </w:t>
      </w:r>
      <w:r w:rsidRPr="1A0CFE79" w:rsidR="0F43F3D9">
        <w:rPr>
          <w:rFonts w:ascii="Arial Nova" w:hAnsi="Arial Nova" w:eastAsia="Arial Nova" w:cs="Arial Nova"/>
          <w:noProof w:val="0"/>
          <w:sz w:val="22"/>
          <w:szCs w:val="22"/>
          <w:lang w:val="en-GB"/>
        </w:rPr>
        <w:t>Dallosso</w:t>
      </w:r>
      <w:r w:rsidRPr="1A0CFE79" w:rsidR="0F43F3D9">
        <w:rPr>
          <w:rFonts w:ascii="Arial Nova" w:hAnsi="Arial Nova" w:eastAsia="Arial Nova" w:cs="Arial Nova"/>
          <w:noProof w:val="0"/>
          <w:sz w:val="22"/>
          <w:szCs w:val="22"/>
          <w:lang w:val="en-GB"/>
        </w:rPr>
        <w:t xml:space="preserve">, H., Fisher, H., Campbell, M., Heller, S. and Davies, M.J. (2012) ‘Effectiveness of a diabetes education and self-management programme (DESMOND) for people with newly diagnosed type 2 diabetes mellitus: three-year follow-up of a cluster randomised controlled trial’, </w:t>
      </w:r>
      <w:r w:rsidRPr="1A0CFE79" w:rsidR="0F43F3D9">
        <w:rPr>
          <w:rFonts w:ascii="Arial Nova" w:hAnsi="Arial Nova" w:eastAsia="Arial Nova" w:cs="Arial Nova"/>
          <w:i w:val="1"/>
          <w:iCs w:val="1"/>
          <w:noProof w:val="0"/>
          <w:sz w:val="22"/>
          <w:szCs w:val="22"/>
          <w:lang w:val="en-GB"/>
        </w:rPr>
        <w:t>BMJ</w:t>
      </w:r>
      <w:r w:rsidRPr="1A0CFE79" w:rsidR="0F43F3D9">
        <w:rPr>
          <w:rFonts w:ascii="Arial Nova" w:hAnsi="Arial Nova" w:eastAsia="Arial Nova" w:cs="Arial Nova"/>
          <w:noProof w:val="0"/>
          <w:sz w:val="22"/>
          <w:szCs w:val="22"/>
          <w:lang w:val="en-GB"/>
        </w:rPr>
        <w:t>, 344, e2333.</w:t>
      </w:r>
    </w:p>
    <w:p xmlns:wp14="http://schemas.microsoft.com/office/word/2010/wordml" w:rsidP="1A0CFE79" wp14:paraId="5D772293" wp14:textId="1556C4A4">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Korkiakangas</w:t>
      </w:r>
      <w:r w:rsidRPr="1A0CFE79" w:rsidR="0F43F3D9">
        <w:rPr>
          <w:rFonts w:ascii="Arial Nova" w:hAnsi="Arial Nova" w:eastAsia="Arial Nova" w:cs="Arial Nova"/>
          <w:noProof w:val="0"/>
          <w:sz w:val="22"/>
          <w:szCs w:val="22"/>
          <w:lang w:val="en-GB"/>
        </w:rPr>
        <w:t xml:space="preserve">, E.E., </w:t>
      </w:r>
      <w:r w:rsidRPr="1A0CFE79" w:rsidR="0F43F3D9">
        <w:rPr>
          <w:rFonts w:ascii="Arial Nova" w:hAnsi="Arial Nova" w:eastAsia="Arial Nova" w:cs="Arial Nova"/>
          <w:noProof w:val="0"/>
          <w:sz w:val="22"/>
          <w:szCs w:val="22"/>
          <w:lang w:val="en-GB"/>
        </w:rPr>
        <w:t>Alahuhta</w:t>
      </w:r>
      <w:r w:rsidRPr="1A0CFE79" w:rsidR="0F43F3D9">
        <w:rPr>
          <w:rFonts w:ascii="Arial Nova" w:hAnsi="Arial Nova" w:eastAsia="Arial Nova" w:cs="Arial Nova"/>
          <w:noProof w:val="0"/>
          <w:sz w:val="22"/>
          <w:szCs w:val="22"/>
          <w:lang w:val="en-GB"/>
        </w:rPr>
        <w:t xml:space="preserve">, M.A. and Laitinen, J.H. (2019) ‘Barriers to regular exercise among adults with type 2 diabetes: a qualitative study’, </w:t>
      </w:r>
      <w:r w:rsidRPr="1A0CFE79" w:rsidR="0F43F3D9">
        <w:rPr>
          <w:rFonts w:ascii="Arial Nova" w:hAnsi="Arial Nova" w:eastAsia="Arial Nova" w:cs="Arial Nova"/>
          <w:i w:val="1"/>
          <w:iCs w:val="1"/>
          <w:noProof w:val="0"/>
          <w:sz w:val="22"/>
          <w:szCs w:val="22"/>
          <w:lang w:val="en-GB"/>
        </w:rPr>
        <w:t>Health Education Research</w:t>
      </w:r>
      <w:r w:rsidRPr="1A0CFE79" w:rsidR="0F43F3D9">
        <w:rPr>
          <w:rFonts w:ascii="Arial Nova" w:hAnsi="Arial Nova" w:eastAsia="Arial Nova" w:cs="Arial Nova"/>
          <w:noProof w:val="0"/>
          <w:sz w:val="22"/>
          <w:szCs w:val="22"/>
          <w:lang w:val="en-GB"/>
        </w:rPr>
        <w:t>, 34(3), pp. 221–230.</w:t>
      </w:r>
    </w:p>
    <w:p xmlns:wp14="http://schemas.microsoft.com/office/word/2010/wordml" w:rsidP="1A0CFE79" wp14:paraId="4271D063" wp14:textId="3E3573FC">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Kumar, P. and Clark, M. (2022) </w:t>
      </w:r>
      <w:r w:rsidRPr="1A0CFE79" w:rsidR="0F43F3D9">
        <w:rPr>
          <w:rFonts w:ascii="Arial Nova" w:hAnsi="Arial Nova" w:eastAsia="Arial Nova" w:cs="Arial Nova"/>
          <w:i w:val="1"/>
          <w:iCs w:val="1"/>
          <w:noProof w:val="0"/>
          <w:sz w:val="22"/>
          <w:szCs w:val="22"/>
          <w:lang w:val="en-GB"/>
        </w:rPr>
        <w:t>Kumar and Clark’s Clinical Medicine</w:t>
      </w:r>
      <w:r w:rsidRPr="1A0CFE79" w:rsidR="0F43F3D9">
        <w:rPr>
          <w:rFonts w:ascii="Arial Nova" w:hAnsi="Arial Nova" w:eastAsia="Arial Nova" w:cs="Arial Nova"/>
          <w:noProof w:val="0"/>
          <w:sz w:val="22"/>
          <w:szCs w:val="22"/>
          <w:lang w:val="en-GB"/>
        </w:rPr>
        <w:t xml:space="preserve">. 10th </w:t>
      </w:r>
      <w:r w:rsidRPr="1A0CFE79" w:rsidR="0F43F3D9">
        <w:rPr>
          <w:rFonts w:ascii="Arial Nova" w:hAnsi="Arial Nova" w:eastAsia="Arial Nova" w:cs="Arial Nova"/>
          <w:noProof w:val="0"/>
          <w:sz w:val="22"/>
          <w:szCs w:val="22"/>
          <w:lang w:val="en-GB"/>
        </w:rPr>
        <w:t>edn</w:t>
      </w:r>
      <w:r w:rsidRPr="1A0CFE79" w:rsidR="0F43F3D9">
        <w:rPr>
          <w:rFonts w:ascii="Arial Nova" w:hAnsi="Arial Nova" w:eastAsia="Arial Nova" w:cs="Arial Nova"/>
          <w:noProof w:val="0"/>
          <w:sz w:val="22"/>
          <w:szCs w:val="22"/>
          <w:lang w:val="en-GB"/>
        </w:rPr>
        <w:t>. Edinburgh: Elsevier.</w:t>
      </w:r>
    </w:p>
    <w:p xmlns:wp14="http://schemas.microsoft.com/office/word/2010/wordml" w:rsidP="1A0CFE79" wp14:paraId="62B239DE" wp14:textId="0A6DB6D2">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Lean, M.E.J., Leslie, W.S., Barnes, A.C., Brosnahan, N., Thom, G., McCombie, L., Peters, C., </w:t>
      </w:r>
      <w:r w:rsidRPr="1A0CFE79" w:rsidR="0F43F3D9">
        <w:rPr>
          <w:rFonts w:ascii="Arial Nova" w:hAnsi="Arial Nova" w:eastAsia="Arial Nova" w:cs="Arial Nova"/>
          <w:noProof w:val="0"/>
          <w:sz w:val="22"/>
          <w:szCs w:val="22"/>
          <w:lang w:val="en-GB"/>
        </w:rPr>
        <w:t>Zhyzhneuskaya</w:t>
      </w:r>
      <w:r w:rsidRPr="1A0CFE79" w:rsidR="0F43F3D9">
        <w:rPr>
          <w:rFonts w:ascii="Arial Nova" w:hAnsi="Arial Nova" w:eastAsia="Arial Nova" w:cs="Arial Nova"/>
          <w:noProof w:val="0"/>
          <w:sz w:val="22"/>
          <w:szCs w:val="22"/>
          <w:lang w:val="en-GB"/>
        </w:rPr>
        <w:t>, S., Al-</w:t>
      </w:r>
      <w:r w:rsidRPr="1A0CFE79" w:rsidR="0F43F3D9">
        <w:rPr>
          <w:rFonts w:ascii="Arial Nova" w:hAnsi="Arial Nova" w:eastAsia="Arial Nova" w:cs="Arial Nova"/>
          <w:noProof w:val="0"/>
          <w:sz w:val="22"/>
          <w:szCs w:val="22"/>
          <w:lang w:val="en-GB"/>
        </w:rPr>
        <w:t>Mrabeh</w:t>
      </w:r>
      <w:r w:rsidRPr="1A0CFE79" w:rsidR="0F43F3D9">
        <w:rPr>
          <w:rFonts w:ascii="Arial Nova" w:hAnsi="Arial Nova" w:eastAsia="Arial Nova" w:cs="Arial Nova"/>
          <w:noProof w:val="0"/>
          <w:sz w:val="22"/>
          <w:szCs w:val="22"/>
          <w:lang w:val="en-GB"/>
        </w:rPr>
        <w:t xml:space="preserve">, A., Hollingsworth, K.G., Rodrigues, A.M., </w:t>
      </w:r>
      <w:r w:rsidRPr="1A0CFE79" w:rsidR="0F43F3D9">
        <w:rPr>
          <w:rFonts w:ascii="Arial Nova" w:hAnsi="Arial Nova" w:eastAsia="Arial Nova" w:cs="Arial Nova"/>
          <w:noProof w:val="0"/>
          <w:sz w:val="22"/>
          <w:szCs w:val="22"/>
          <w:lang w:val="en-GB"/>
        </w:rPr>
        <w:t>Rehackova</w:t>
      </w:r>
      <w:r w:rsidRPr="1A0CFE79" w:rsidR="0F43F3D9">
        <w:rPr>
          <w:rFonts w:ascii="Arial Nova" w:hAnsi="Arial Nova" w:eastAsia="Arial Nova" w:cs="Arial Nova"/>
          <w:noProof w:val="0"/>
          <w:sz w:val="22"/>
          <w:szCs w:val="22"/>
          <w:lang w:val="en-GB"/>
        </w:rPr>
        <w:t xml:space="preserve">, L., Adamson, A., </w:t>
      </w:r>
      <w:r w:rsidRPr="1A0CFE79" w:rsidR="0F43F3D9">
        <w:rPr>
          <w:rFonts w:ascii="Arial Nova" w:hAnsi="Arial Nova" w:eastAsia="Arial Nova" w:cs="Arial Nova"/>
          <w:noProof w:val="0"/>
          <w:sz w:val="22"/>
          <w:szCs w:val="22"/>
          <w:lang w:val="en-GB"/>
        </w:rPr>
        <w:t>Sniehotta</w:t>
      </w:r>
      <w:r w:rsidRPr="1A0CFE79" w:rsidR="0F43F3D9">
        <w:rPr>
          <w:rFonts w:ascii="Arial Nova" w:hAnsi="Arial Nova" w:eastAsia="Arial Nova" w:cs="Arial Nova"/>
          <w:noProof w:val="0"/>
          <w:sz w:val="22"/>
          <w:szCs w:val="22"/>
          <w:lang w:val="en-GB"/>
        </w:rPr>
        <w:t>, F.F., Mathers, J.C., Ross, H.M., McIlvenna, Y., Stefanetti, R., Trenell, M.I., Welsh, P., Kean, S., Ford, I., McConnachie, A., Sattar, N. and Taylor, R. (2019) ‘Durability of a primary-care led weight-management intervention for remission of type 2 diabetes (</w:t>
      </w:r>
      <w:r w:rsidRPr="1A0CFE79" w:rsidR="0F43F3D9">
        <w:rPr>
          <w:rFonts w:ascii="Arial Nova" w:hAnsi="Arial Nova" w:eastAsia="Arial Nova" w:cs="Arial Nova"/>
          <w:noProof w:val="0"/>
          <w:sz w:val="22"/>
          <w:szCs w:val="22"/>
          <w:lang w:val="en-GB"/>
        </w:rPr>
        <w:t>DiRECT</w:t>
      </w:r>
      <w:r w:rsidRPr="1A0CFE79" w:rsidR="0F43F3D9">
        <w:rPr>
          <w:rFonts w:ascii="Arial Nova" w:hAnsi="Arial Nova" w:eastAsia="Arial Nova" w:cs="Arial Nova"/>
          <w:noProof w:val="0"/>
          <w:sz w:val="22"/>
          <w:szCs w:val="22"/>
          <w:lang w:val="en-GB"/>
        </w:rPr>
        <w:t xml:space="preserve">): two-year results of an open-label, cluster-randomised trial’, </w:t>
      </w:r>
      <w:r w:rsidRPr="1A0CFE79" w:rsidR="0F43F3D9">
        <w:rPr>
          <w:rFonts w:ascii="Arial Nova" w:hAnsi="Arial Nova" w:eastAsia="Arial Nova" w:cs="Arial Nova"/>
          <w:i w:val="1"/>
          <w:iCs w:val="1"/>
          <w:noProof w:val="0"/>
          <w:sz w:val="22"/>
          <w:szCs w:val="22"/>
          <w:lang w:val="en-GB"/>
        </w:rPr>
        <w:t>The Lancet Diabetes &amp; Endocrinology</w:t>
      </w:r>
      <w:r w:rsidRPr="1A0CFE79" w:rsidR="0F43F3D9">
        <w:rPr>
          <w:rFonts w:ascii="Arial Nova" w:hAnsi="Arial Nova" w:eastAsia="Arial Nova" w:cs="Arial Nova"/>
          <w:noProof w:val="0"/>
          <w:sz w:val="22"/>
          <w:szCs w:val="22"/>
          <w:lang w:val="en-GB"/>
        </w:rPr>
        <w:t>, 7(5), pp. 344–355.</w:t>
      </w:r>
    </w:p>
    <w:p xmlns:wp14="http://schemas.microsoft.com/office/word/2010/wordml" w:rsidP="1A0CFE79" wp14:paraId="665E5402" wp14:textId="1206EFA7">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Marieb</w:t>
      </w:r>
      <w:r w:rsidRPr="1A0CFE79" w:rsidR="0F43F3D9">
        <w:rPr>
          <w:rFonts w:ascii="Arial Nova" w:hAnsi="Arial Nova" w:eastAsia="Arial Nova" w:cs="Arial Nova"/>
          <w:noProof w:val="0"/>
          <w:sz w:val="22"/>
          <w:szCs w:val="22"/>
          <w:lang w:val="en-GB"/>
        </w:rPr>
        <w:t xml:space="preserve">, E.N. and Hoehn, K. (2019) </w:t>
      </w:r>
      <w:r w:rsidRPr="1A0CFE79" w:rsidR="0F43F3D9">
        <w:rPr>
          <w:rFonts w:ascii="Arial Nova" w:hAnsi="Arial Nova" w:eastAsia="Arial Nova" w:cs="Arial Nova"/>
          <w:i w:val="1"/>
          <w:iCs w:val="1"/>
          <w:noProof w:val="0"/>
          <w:sz w:val="22"/>
          <w:szCs w:val="22"/>
          <w:lang w:val="en-GB"/>
        </w:rPr>
        <w:t>Human Anatomy &amp; Physiology</w:t>
      </w:r>
      <w:r w:rsidRPr="1A0CFE79" w:rsidR="0F43F3D9">
        <w:rPr>
          <w:rFonts w:ascii="Arial Nova" w:hAnsi="Arial Nova" w:eastAsia="Arial Nova" w:cs="Arial Nova"/>
          <w:noProof w:val="0"/>
          <w:sz w:val="22"/>
          <w:szCs w:val="22"/>
          <w:lang w:val="en-GB"/>
        </w:rPr>
        <w:t xml:space="preserve">. 11th </w:t>
      </w:r>
      <w:r w:rsidRPr="1A0CFE79" w:rsidR="0F43F3D9">
        <w:rPr>
          <w:rFonts w:ascii="Arial Nova" w:hAnsi="Arial Nova" w:eastAsia="Arial Nova" w:cs="Arial Nova"/>
          <w:noProof w:val="0"/>
          <w:sz w:val="22"/>
          <w:szCs w:val="22"/>
          <w:lang w:val="en-GB"/>
        </w:rPr>
        <w:t>edn</w:t>
      </w:r>
      <w:r w:rsidRPr="1A0CFE79" w:rsidR="0F43F3D9">
        <w:rPr>
          <w:rFonts w:ascii="Arial Nova" w:hAnsi="Arial Nova" w:eastAsia="Arial Nova" w:cs="Arial Nova"/>
          <w:noProof w:val="0"/>
          <w:sz w:val="22"/>
          <w:szCs w:val="22"/>
          <w:lang w:val="en-GB"/>
        </w:rPr>
        <w:t>. Harlow: Pearson Education.</w:t>
      </w:r>
    </w:p>
    <w:p xmlns:wp14="http://schemas.microsoft.com/office/word/2010/wordml" w:rsidP="1A0CFE79" wp14:paraId="2D953E5D" wp14:textId="60BB8EF8">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Martens, T., Beck, R.W., Bailey, R., Brown, S.A., Calhoun, P., Carlson, A.L., Peters, A.L. and Hirsch, I.B. (2021) ‘Effect of continuous glucose monitoring on glycaemic control in patients with type 2 diabetes treated with basal insulin: the MOBILE randomized clinical trial’, </w:t>
      </w:r>
      <w:r w:rsidRPr="1A0CFE79" w:rsidR="0F43F3D9">
        <w:rPr>
          <w:rFonts w:ascii="Arial Nova" w:hAnsi="Arial Nova" w:eastAsia="Arial Nova" w:cs="Arial Nova"/>
          <w:i w:val="1"/>
          <w:iCs w:val="1"/>
          <w:noProof w:val="0"/>
          <w:sz w:val="22"/>
          <w:szCs w:val="22"/>
          <w:lang w:val="en-GB"/>
        </w:rPr>
        <w:t>JAMA</w:t>
      </w:r>
      <w:r w:rsidRPr="1A0CFE79" w:rsidR="0F43F3D9">
        <w:rPr>
          <w:rFonts w:ascii="Arial Nova" w:hAnsi="Arial Nova" w:eastAsia="Arial Nova" w:cs="Arial Nova"/>
          <w:noProof w:val="0"/>
          <w:sz w:val="22"/>
          <w:szCs w:val="22"/>
          <w:lang w:val="en-GB"/>
        </w:rPr>
        <w:t>, 325(22), pp. 2262–2272.</w:t>
      </w:r>
    </w:p>
    <w:p xmlns:wp14="http://schemas.microsoft.com/office/word/2010/wordml" w:rsidP="1A0CFE79" wp14:paraId="3165B2D8" wp14:textId="09DDDA04">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Mezuk, B., Eaton, W.W., Albrecht, </w:t>
      </w:r>
      <w:r w:rsidRPr="1A0CFE79" w:rsidR="64CA86CE">
        <w:rPr>
          <w:rFonts w:ascii="Arial Nova" w:hAnsi="Arial Nova" w:eastAsia="Arial Nova" w:cs="Arial Nova"/>
          <w:noProof w:val="0"/>
          <w:sz w:val="22"/>
          <w:szCs w:val="22"/>
          <w:lang w:val="en-GB"/>
        </w:rPr>
        <w:t>S.,</w:t>
      </w:r>
      <w:r w:rsidRPr="1A0CFE79" w:rsidR="0F43F3D9">
        <w:rPr>
          <w:rFonts w:ascii="Arial Nova" w:hAnsi="Arial Nova" w:eastAsia="Arial Nova" w:cs="Arial Nova"/>
          <w:noProof w:val="0"/>
          <w:sz w:val="22"/>
          <w:szCs w:val="22"/>
          <w:lang w:val="en-GB"/>
        </w:rPr>
        <w:t xml:space="preserve"> and Golden, S.H. (2008) ‘Depression and type 2 diabetes over the lifespan: a meta-analysis’, </w:t>
      </w:r>
      <w:r w:rsidRPr="1A0CFE79" w:rsidR="0F43F3D9">
        <w:rPr>
          <w:rFonts w:ascii="Arial Nova" w:hAnsi="Arial Nova" w:eastAsia="Arial Nova" w:cs="Arial Nova"/>
          <w:i w:val="1"/>
          <w:iCs w:val="1"/>
          <w:noProof w:val="0"/>
          <w:sz w:val="22"/>
          <w:szCs w:val="22"/>
          <w:lang w:val="en-GB"/>
        </w:rPr>
        <w:t>Diabetes Care</w:t>
      </w:r>
      <w:r w:rsidRPr="1A0CFE79" w:rsidR="0F43F3D9">
        <w:rPr>
          <w:rFonts w:ascii="Arial Nova" w:hAnsi="Arial Nova" w:eastAsia="Arial Nova" w:cs="Arial Nova"/>
          <w:noProof w:val="0"/>
          <w:sz w:val="22"/>
          <w:szCs w:val="22"/>
          <w:lang w:val="en-GB"/>
        </w:rPr>
        <w:t>, 31(12), pp. 2383–2390.</w:t>
      </w:r>
    </w:p>
    <w:p xmlns:wp14="http://schemas.microsoft.com/office/word/2010/wordml" w:rsidP="1A0CFE79" wp14:paraId="2F912AA1" wp14:textId="1C14FB66">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Nagrebetsky</w:t>
      </w:r>
      <w:r w:rsidRPr="1A0CFE79" w:rsidR="0F43F3D9">
        <w:rPr>
          <w:rFonts w:ascii="Arial Nova" w:hAnsi="Arial Nova" w:eastAsia="Arial Nova" w:cs="Arial Nova"/>
          <w:noProof w:val="0"/>
          <w:sz w:val="22"/>
          <w:szCs w:val="22"/>
          <w:lang w:val="en-GB"/>
        </w:rPr>
        <w:t xml:space="preserve">, A., Brettell, R., Roberts, </w:t>
      </w:r>
      <w:bookmarkStart w:name="_Int_g1fnqUXb" w:id="845655625"/>
      <w:r w:rsidRPr="1A0CFE79" w:rsidR="0F43F3D9">
        <w:rPr>
          <w:rFonts w:ascii="Arial Nova" w:hAnsi="Arial Nova" w:eastAsia="Arial Nova" w:cs="Arial Nova"/>
          <w:noProof w:val="0"/>
          <w:sz w:val="22"/>
          <w:szCs w:val="22"/>
          <w:lang w:val="en-GB"/>
        </w:rPr>
        <w:t>N.</w:t>
      </w:r>
      <w:bookmarkEnd w:id="845655625"/>
      <w:r w:rsidRPr="1A0CFE79" w:rsidR="0F43F3D9">
        <w:rPr>
          <w:rFonts w:ascii="Arial Nova" w:hAnsi="Arial Nova" w:eastAsia="Arial Nova" w:cs="Arial Nova"/>
          <w:noProof w:val="0"/>
          <w:sz w:val="22"/>
          <w:szCs w:val="22"/>
          <w:lang w:val="en-GB"/>
        </w:rPr>
        <w:t xml:space="preserve"> and Farmer, A. (2014) ‘Smoking cessation in adults with diabetes: a systematic review and meta-analysis of data from randomised controlled trials’, </w:t>
      </w:r>
      <w:r w:rsidRPr="1A0CFE79" w:rsidR="0F43F3D9">
        <w:rPr>
          <w:rFonts w:ascii="Arial Nova" w:hAnsi="Arial Nova" w:eastAsia="Arial Nova" w:cs="Arial Nova"/>
          <w:i w:val="1"/>
          <w:iCs w:val="1"/>
          <w:noProof w:val="0"/>
          <w:sz w:val="22"/>
          <w:szCs w:val="22"/>
          <w:lang w:val="en-GB"/>
        </w:rPr>
        <w:t>BMJ Open</w:t>
      </w:r>
      <w:r w:rsidRPr="1A0CFE79" w:rsidR="0F43F3D9">
        <w:rPr>
          <w:rFonts w:ascii="Arial Nova" w:hAnsi="Arial Nova" w:eastAsia="Arial Nova" w:cs="Arial Nova"/>
          <w:noProof w:val="0"/>
          <w:sz w:val="22"/>
          <w:szCs w:val="22"/>
          <w:lang w:val="en-GB"/>
        </w:rPr>
        <w:t>, 4(3), e004107.</w:t>
      </w:r>
    </w:p>
    <w:p xmlns:wp14="http://schemas.microsoft.com/office/word/2010/wordml" w:rsidP="1A0CFE79" wp14:paraId="05F04C7A" wp14:textId="065B53B2">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National Institute for Health and Care Excellence (NICE) (2023) </w:t>
      </w:r>
      <w:r w:rsidRPr="1A0CFE79" w:rsidR="0F43F3D9">
        <w:rPr>
          <w:rFonts w:ascii="Arial Nova" w:hAnsi="Arial Nova" w:eastAsia="Arial Nova" w:cs="Arial Nova"/>
          <w:i w:val="1"/>
          <w:iCs w:val="1"/>
          <w:noProof w:val="0"/>
          <w:sz w:val="22"/>
          <w:szCs w:val="22"/>
          <w:lang w:val="en-GB"/>
        </w:rPr>
        <w:t>Type 2 diabetes in adults: management (NG28)</w:t>
      </w:r>
      <w:r w:rsidRPr="1A0CFE79" w:rsidR="0F43F3D9">
        <w:rPr>
          <w:rFonts w:ascii="Arial Nova" w:hAnsi="Arial Nova" w:eastAsia="Arial Nova" w:cs="Arial Nova"/>
          <w:noProof w:val="0"/>
          <w:sz w:val="22"/>
          <w:szCs w:val="22"/>
          <w:lang w:val="en-GB"/>
        </w:rPr>
        <w:t>. London: NICE.</w:t>
      </w:r>
      <w:r>
        <w:br/>
      </w:r>
      <w:r w:rsidRPr="1A0CFE79" w:rsidR="0F43F3D9">
        <w:rPr>
          <w:rFonts w:ascii="Arial Nova" w:hAnsi="Arial Nova" w:eastAsia="Arial Nova" w:cs="Arial Nova"/>
          <w:noProof w:val="0"/>
          <w:sz w:val="22"/>
          <w:szCs w:val="22"/>
          <w:lang w:val="en-GB"/>
        </w:rPr>
        <w:t xml:space="preserve">Available at: </w:t>
      </w:r>
      <w:hyperlink r:id="R1ebb5bfbd52f4b85">
        <w:r w:rsidRPr="1A0CFE79" w:rsidR="0F43F3D9">
          <w:rPr>
            <w:rStyle w:val="Hyperlink"/>
            <w:rFonts w:ascii="Arial Nova" w:hAnsi="Arial Nova" w:eastAsia="Arial Nova" w:cs="Arial Nova"/>
            <w:noProof w:val="0"/>
            <w:sz w:val="22"/>
            <w:szCs w:val="22"/>
            <w:lang w:val="en-GB"/>
          </w:rPr>
          <w:t>https://www.nice.org.uk/guidance/ng28</w:t>
        </w:r>
      </w:hyperlink>
      <w:r w:rsidRPr="1A0CFE79" w:rsidR="0F43F3D9">
        <w:rPr>
          <w:rFonts w:ascii="Arial Nova" w:hAnsi="Arial Nova" w:eastAsia="Arial Nova" w:cs="Arial Nova"/>
          <w:noProof w:val="0"/>
          <w:sz w:val="22"/>
          <w:szCs w:val="22"/>
          <w:lang w:val="en-GB"/>
        </w:rPr>
        <w:t xml:space="preserve"> (Accessed: 25 October 2025).</w:t>
      </w:r>
    </w:p>
    <w:p xmlns:wp14="http://schemas.microsoft.com/office/word/2010/wordml" w:rsidP="1A0CFE79" wp14:paraId="39E4A214" wp14:textId="060BF225">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Nelson, D.L. and Cox, M.M. (2021) </w:t>
      </w:r>
      <w:r w:rsidRPr="1A0CFE79" w:rsidR="0F43F3D9">
        <w:rPr>
          <w:rFonts w:ascii="Arial Nova" w:hAnsi="Arial Nova" w:eastAsia="Arial Nova" w:cs="Arial Nova"/>
          <w:i w:val="1"/>
          <w:iCs w:val="1"/>
          <w:noProof w:val="0"/>
          <w:sz w:val="22"/>
          <w:szCs w:val="22"/>
          <w:lang w:val="en-GB"/>
        </w:rPr>
        <w:t>Lehninger</w:t>
      </w:r>
      <w:r w:rsidRPr="1A0CFE79" w:rsidR="0F43F3D9">
        <w:rPr>
          <w:rFonts w:ascii="Arial Nova" w:hAnsi="Arial Nova" w:eastAsia="Arial Nova" w:cs="Arial Nova"/>
          <w:i w:val="1"/>
          <w:iCs w:val="1"/>
          <w:noProof w:val="0"/>
          <w:sz w:val="22"/>
          <w:szCs w:val="22"/>
          <w:lang w:val="en-GB"/>
        </w:rPr>
        <w:t xml:space="preserve"> Principles of Biochemistry</w:t>
      </w:r>
      <w:r w:rsidRPr="1A0CFE79" w:rsidR="0F43F3D9">
        <w:rPr>
          <w:rFonts w:ascii="Arial Nova" w:hAnsi="Arial Nova" w:eastAsia="Arial Nova" w:cs="Arial Nova"/>
          <w:noProof w:val="0"/>
          <w:sz w:val="22"/>
          <w:szCs w:val="22"/>
          <w:lang w:val="en-GB"/>
        </w:rPr>
        <w:t xml:space="preserve">. 8th </w:t>
      </w:r>
      <w:r w:rsidRPr="1A0CFE79" w:rsidR="0F43F3D9">
        <w:rPr>
          <w:rFonts w:ascii="Arial Nova" w:hAnsi="Arial Nova" w:eastAsia="Arial Nova" w:cs="Arial Nova"/>
          <w:noProof w:val="0"/>
          <w:sz w:val="22"/>
          <w:szCs w:val="22"/>
          <w:lang w:val="en-GB"/>
        </w:rPr>
        <w:t>edn</w:t>
      </w:r>
      <w:r w:rsidRPr="1A0CFE79" w:rsidR="0F43F3D9">
        <w:rPr>
          <w:rFonts w:ascii="Arial Nova" w:hAnsi="Arial Nova" w:eastAsia="Arial Nova" w:cs="Arial Nova"/>
          <w:noProof w:val="0"/>
          <w:sz w:val="22"/>
          <w:szCs w:val="22"/>
          <w:lang w:val="en-GB"/>
        </w:rPr>
        <w:t>. New York: W.H. Freeman and Company.</w:t>
      </w:r>
    </w:p>
    <w:p xmlns:wp14="http://schemas.microsoft.com/office/word/2010/wordml" w:rsidP="1A0CFE79" wp14:paraId="3DA9D9E6" wp14:textId="0C7EE8DC">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NHS (2023) </w:t>
      </w:r>
      <w:r w:rsidRPr="1A0CFE79" w:rsidR="0F43F3D9">
        <w:rPr>
          <w:rFonts w:ascii="Arial Nova" w:hAnsi="Arial Nova" w:eastAsia="Arial Nova" w:cs="Arial Nova"/>
          <w:i w:val="1"/>
          <w:iCs w:val="1"/>
          <w:noProof w:val="0"/>
          <w:sz w:val="22"/>
          <w:szCs w:val="22"/>
          <w:lang w:val="en-GB"/>
        </w:rPr>
        <w:t>NHS Apps Library: Diabetes management tools</w:t>
      </w:r>
      <w:r w:rsidRPr="1A0CFE79" w:rsidR="0F43F3D9">
        <w:rPr>
          <w:rFonts w:ascii="Arial Nova" w:hAnsi="Arial Nova" w:eastAsia="Arial Nova" w:cs="Arial Nova"/>
          <w:noProof w:val="0"/>
          <w:sz w:val="22"/>
          <w:szCs w:val="22"/>
          <w:lang w:val="en-GB"/>
        </w:rPr>
        <w:t>.</w:t>
      </w:r>
      <w:r>
        <w:br/>
      </w:r>
      <w:r w:rsidRPr="1A0CFE79" w:rsidR="0F43F3D9">
        <w:rPr>
          <w:rFonts w:ascii="Arial Nova" w:hAnsi="Arial Nova" w:eastAsia="Arial Nova" w:cs="Arial Nova"/>
          <w:noProof w:val="0"/>
          <w:sz w:val="22"/>
          <w:szCs w:val="22"/>
          <w:lang w:val="en-GB"/>
        </w:rPr>
        <w:t xml:space="preserve">Available at: </w:t>
      </w:r>
      <w:hyperlink r:id="R5cd1c9a905cd48e5">
        <w:r w:rsidRPr="1A0CFE79" w:rsidR="0F43F3D9">
          <w:rPr>
            <w:rStyle w:val="Hyperlink"/>
            <w:rFonts w:ascii="Arial Nova" w:hAnsi="Arial Nova" w:eastAsia="Arial Nova" w:cs="Arial Nova"/>
            <w:noProof w:val="0"/>
            <w:sz w:val="22"/>
            <w:szCs w:val="22"/>
            <w:lang w:val="en-GB"/>
          </w:rPr>
          <w:t>https://www.nhs.uk/apps-library/</w:t>
        </w:r>
      </w:hyperlink>
      <w:r w:rsidRPr="1A0CFE79" w:rsidR="0F43F3D9">
        <w:rPr>
          <w:rFonts w:ascii="Arial Nova" w:hAnsi="Arial Nova" w:eastAsia="Arial Nova" w:cs="Arial Nova"/>
          <w:noProof w:val="0"/>
          <w:sz w:val="22"/>
          <w:szCs w:val="22"/>
          <w:lang w:val="en-GB"/>
        </w:rPr>
        <w:t xml:space="preserve"> (Accessed: 22 October 2025).</w:t>
      </w:r>
    </w:p>
    <w:p xmlns:wp14="http://schemas.microsoft.com/office/word/2010/wordml" w:rsidP="1A0CFE79" wp14:paraId="727FEB4B" wp14:textId="522A0128">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Ojo, O., Adebowale, F. and Wang, X.H. (2018) ‘The effect of dietary glycaemic index on glycaemic control in type 2 diabetes: a systematic review and meta-analysis of randomised controlled trials’, </w:t>
      </w:r>
      <w:r w:rsidRPr="1A0CFE79" w:rsidR="0F43F3D9">
        <w:rPr>
          <w:rFonts w:ascii="Arial Nova" w:hAnsi="Arial Nova" w:eastAsia="Arial Nova" w:cs="Arial Nova"/>
          <w:i w:val="1"/>
          <w:iCs w:val="1"/>
          <w:noProof w:val="0"/>
          <w:sz w:val="22"/>
          <w:szCs w:val="22"/>
          <w:lang w:val="en-GB"/>
        </w:rPr>
        <w:t>Nutrients</w:t>
      </w:r>
      <w:r w:rsidRPr="1A0CFE79" w:rsidR="0F43F3D9">
        <w:rPr>
          <w:rFonts w:ascii="Arial Nova" w:hAnsi="Arial Nova" w:eastAsia="Arial Nova" w:cs="Arial Nova"/>
          <w:noProof w:val="0"/>
          <w:sz w:val="22"/>
          <w:szCs w:val="22"/>
          <w:lang w:val="en-GB"/>
        </w:rPr>
        <w:t>, 10(3), 373.</w:t>
      </w:r>
    </w:p>
    <w:p xmlns:wp14="http://schemas.microsoft.com/office/word/2010/wordml" w:rsidP="1A0CFE79" wp14:paraId="66D6855A" wp14:textId="47391F94">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Papamichou</w:t>
      </w:r>
      <w:r w:rsidRPr="1A0CFE79" w:rsidR="0F43F3D9">
        <w:rPr>
          <w:rFonts w:ascii="Arial Nova" w:hAnsi="Arial Nova" w:eastAsia="Arial Nova" w:cs="Arial Nova"/>
          <w:noProof w:val="0"/>
          <w:sz w:val="22"/>
          <w:szCs w:val="22"/>
          <w:lang w:val="en-GB"/>
        </w:rPr>
        <w:t xml:space="preserve">, D., </w:t>
      </w:r>
      <w:r w:rsidRPr="1A0CFE79" w:rsidR="0F43F3D9">
        <w:rPr>
          <w:rFonts w:ascii="Arial Nova" w:hAnsi="Arial Nova" w:eastAsia="Arial Nova" w:cs="Arial Nova"/>
          <w:noProof w:val="0"/>
          <w:sz w:val="22"/>
          <w:szCs w:val="22"/>
          <w:lang w:val="en-GB"/>
        </w:rPr>
        <w:t>Panagiotakos</w:t>
      </w:r>
      <w:r w:rsidRPr="1A0CFE79" w:rsidR="0F43F3D9">
        <w:rPr>
          <w:rFonts w:ascii="Arial Nova" w:hAnsi="Arial Nova" w:eastAsia="Arial Nova" w:cs="Arial Nova"/>
          <w:noProof w:val="0"/>
          <w:sz w:val="22"/>
          <w:szCs w:val="22"/>
          <w:lang w:val="en-GB"/>
        </w:rPr>
        <w:t xml:space="preserve">, D.B. and </w:t>
      </w:r>
      <w:r w:rsidRPr="1A0CFE79" w:rsidR="0F43F3D9">
        <w:rPr>
          <w:rFonts w:ascii="Arial Nova" w:hAnsi="Arial Nova" w:eastAsia="Arial Nova" w:cs="Arial Nova"/>
          <w:noProof w:val="0"/>
          <w:sz w:val="22"/>
          <w:szCs w:val="22"/>
          <w:lang w:val="en-GB"/>
        </w:rPr>
        <w:t>Itsiopoulos</w:t>
      </w:r>
      <w:r w:rsidRPr="1A0CFE79" w:rsidR="0F43F3D9">
        <w:rPr>
          <w:rFonts w:ascii="Arial Nova" w:hAnsi="Arial Nova" w:eastAsia="Arial Nova" w:cs="Arial Nova"/>
          <w:noProof w:val="0"/>
          <w:sz w:val="22"/>
          <w:szCs w:val="22"/>
          <w:lang w:val="en-GB"/>
        </w:rPr>
        <w:t xml:space="preserve">, C. (2019) ‘Dietary patterns and management of type 2 diabetes: a systematic review of randomised clinical trials’, </w:t>
      </w:r>
      <w:r w:rsidRPr="1A0CFE79" w:rsidR="0F43F3D9">
        <w:rPr>
          <w:rFonts w:ascii="Arial Nova" w:hAnsi="Arial Nova" w:eastAsia="Arial Nova" w:cs="Arial Nova"/>
          <w:i w:val="1"/>
          <w:iCs w:val="1"/>
          <w:noProof w:val="0"/>
          <w:sz w:val="22"/>
          <w:szCs w:val="22"/>
          <w:lang w:val="en-GB"/>
        </w:rPr>
        <w:t>Nutrition, Metabolism and Cardiovascular Diseases</w:t>
      </w:r>
      <w:r w:rsidRPr="1A0CFE79" w:rsidR="0F43F3D9">
        <w:rPr>
          <w:rFonts w:ascii="Arial Nova" w:hAnsi="Arial Nova" w:eastAsia="Arial Nova" w:cs="Arial Nova"/>
          <w:noProof w:val="0"/>
          <w:sz w:val="22"/>
          <w:szCs w:val="22"/>
          <w:lang w:val="en-GB"/>
        </w:rPr>
        <w:t>, 29(6), pp. 531–543.</w:t>
      </w:r>
    </w:p>
    <w:p xmlns:wp14="http://schemas.microsoft.com/office/word/2010/wordml" w:rsidP="1A0CFE79" wp14:paraId="327E31B4" wp14:textId="1BAB464B">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Public Health England (PHE) (2021) </w:t>
      </w:r>
      <w:r w:rsidRPr="1A0CFE79" w:rsidR="0F43F3D9">
        <w:rPr>
          <w:rFonts w:ascii="Arial Nova" w:hAnsi="Arial Nova" w:eastAsia="Arial Nova" w:cs="Arial Nova"/>
          <w:i w:val="1"/>
          <w:iCs w:val="1"/>
          <w:noProof w:val="0"/>
          <w:sz w:val="22"/>
          <w:szCs w:val="22"/>
          <w:lang w:val="en-GB"/>
        </w:rPr>
        <w:t>Health matters: preventing type 2 diabetes</w:t>
      </w:r>
      <w:r w:rsidRPr="1A0CFE79" w:rsidR="0F43F3D9">
        <w:rPr>
          <w:rFonts w:ascii="Arial Nova" w:hAnsi="Arial Nova" w:eastAsia="Arial Nova" w:cs="Arial Nova"/>
          <w:noProof w:val="0"/>
          <w:sz w:val="22"/>
          <w:szCs w:val="22"/>
          <w:lang w:val="en-GB"/>
        </w:rPr>
        <w:t>.</w:t>
      </w:r>
      <w:r>
        <w:br/>
      </w:r>
      <w:r w:rsidRPr="1A0CFE79" w:rsidR="0F43F3D9">
        <w:rPr>
          <w:rFonts w:ascii="Arial Nova" w:hAnsi="Arial Nova" w:eastAsia="Arial Nova" w:cs="Arial Nova"/>
          <w:noProof w:val="0"/>
          <w:sz w:val="22"/>
          <w:szCs w:val="22"/>
          <w:lang w:val="en-GB"/>
        </w:rPr>
        <w:t xml:space="preserve"> Available at: </w:t>
      </w:r>
      <w:hyperlink r:id="R980171813d4c4c61">
        <w:r w:rsidRPr="1A0CFE79" w:rsidR="0F43F3D9">
          <w:rPr>
            <w:rStyle w:val="Hyperlink"/>
            <w:rFonts w:ascii="Arial Nova" w:hAnsi="Arial Nova" w:eastAsia="Arial Nova" w:cs="Arial Nova"/>
            <w:noProof w:val="0"/>
            <w:sz w:val="22"/>
            <w:szCs w:val="22"/>
            <w:lang w:val="en-GB"/>
          </w:rPr>
          <w:t>https://www.gov.uk/government/publications/health-matters-preventing-type-2-diabetes</w:t>
        </w:r>
      </w:hyperlink>
      <w:r w:rsidRPr="1A0CFE79" w:rsidR="0F43F3D9">
        <w:rPr>
          <w:rFonts w:ascii="Arial Nova" w:hAnsi="Arial Nova" w:eastAsia="Arial Nova" w:cs="Arial Nova"/>
          <w:noProof w:val="0"/>
          <w:sz w:val="22"/>
          <w:szCs w:val="22"/>
          <w:lang w:val="en-GB"/>
        </w:rPr>
        <w:t xml:space="preserve"> (Accessed: 20 October 2025).</w:t>
      </w:r>
    </w:p>
    <w:p xmlns:wp14="http://schemas.microsoft.com/office/word/2010/wordml" w:rsidP="1A0CFE79" wp14:paraId="07939B32" wp14:textId="27888F06">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Roden, M. and Shulman, G.I. (2019) ‘The integrative biology of type 2 diabetes’, </w:t>
      </w:r>
      <w:r w:rsidRPr="1A0CFE79" w:rsidR="0F43F3D9">
        <w:rPr>
          <w:rFonts w:ascii="Arial Nova" w:hAnsi="Arial Nova" w:eastAsia="Arial Nova" w:cs="Arial Nova"/>
          <w:i w:val="1"/>
          <w:iCs w:val="1"/>
          <w:noProof w:val="0"/>
          <w:sz w:val="22"/>
          <w:szCs w:val="22"/>
          <w:lang w:val="en-GB"/>
        </w:rPr>
        <w:t>Nature</w:t>
      </w:r>
      <w:r w:rsidRPr="1A0CFE79" w:rsidR="0F43F3D9">
        <w:rPr>
          <w:rFonts w:ascii="Arial Nova" w:hAnsi="Arial Nova" w:eastAsia="Arial Nova" w:cs="Arial Nova"/>
          <w:noProof w:val="0"/>
          <w:sz w:val="22"/>
          <w:szCs w:val="22"/>
          <w:lang w:val="en-GB"/>
        </w:rPr>
        <w:t>, 576(7785), pp. 51–60.</w:t>
      </w:r>
    </w:p>
    <w:p xmlns:wp14="http://schemas.microsoft.com/office/word/2010/wordml" w:rsidP="1A0CFE79" wp14:paraId="11C850AC" wp14:textId="3E7AAB84">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Sherwood, L. (2021) </w:t>
      </w:r>
      <w:r w:rsidRPr="1A0CFE79" w:rsidR="0F43F3D9">
        <w:rPr>
          <w:rFonts w:ascii="Arial Nova" w:hAnsi="Arial Nova" w:eastAsia="Arial Nova" w:cs="Arial Nova"/>
          <w:i w:val="1"/>
          <w:iCs w:val="1"/>
          <w:noProof w:val="0"/>
          <w:sz w:val="22"/>
          <w:szCs w:val="22"/>
          <w:lang w:val="en-GB"/>
        </w:rPr>
        <w:t>Human Physiology: From Cells to Systems</w:t>
      </w:r>
      <w:r w:rsidRPr="1A0CFE79" w:rsidR="0F43F3D9">
        <w:rPr>
          <w:rFonts w:ascii="Arial Nova" w:hAnsi="Arial Nova" w:eastAsia="Arial Nova" w:cs="Arial Nova"/>
          <w:noProof w:val="0"/>
          <w:sz w:val="22"/>
          <w:szCs w:val="22"/>
          <w:lang w:val="en-GB"/>
        </w:rPr>
        <w:t xml:space="preserve">. 11th </w:t>
      </w:r>
      <w:r w:rsidRPr="1A0CFE79" w:rsidR="0F43F3D9">
        <w:rPr>
          <w:rFonts w:ascii="Arial Nova" w:hAnsi="Arial Nova" w:eastAsia="Arial Nova" w:cs="Arial Nova"/>
          <w:noProof w:val="0"/>
          <w:sz w:val="22"/>
          <w:szCs w:val="22"/>
          <w:lang w:val="en-GB"/>
        </w:rPr>
        <w:t>edn</w:t>
      </w:r>
      <w:r w:rsidRPr="1A0CFE79" w:rsidR="0F43F3D9">
        <w:rPr>
          <w:rFonts w:ascii="Arial Nova" w:hAnsi="Arial Nova" w:eastAsia="Arial Nova" w:cs="Arial Nova"/>
          <w:noProof w:val="0"/>
          <w:sz w:val="22"/>
          <w:szCs w:val="22"/>
          <w:lang w:val="en-GB"/>
        </w:rPr>
        <w:t>. Boston: Cengage Learning.</w:t>
      </w:r>
    </w:p>
    <w:p xmlns:wp14="http://schemas.microsoft.com/office/word/2010/wordml" w:rsidP="1A0CFE79" wp14:paraId="622E5BDF" wp14:textId="6B856340">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Spiegel, K., </w:t>
      </w:r>
      <w:r w:rsidRPr="1A0CFE79" w:rsidR="0F43F3D9">
        <w:rPr>
          <w:rFonts w:ascii="Arial Nova" w:hAnsi="Arial Nova" w:eastAsia="Arial Nova" w:cs="Arial Nova"/>
          <w:noProof w:val="0"/>
          <w:sz w:val="22"/>
          <w:szCs w:val="22"/>
          <w:lang w:val="en-GB"/>
        </w:rPr>
        <w:t>Leproult</w:t>
      </w:r>
      <w:r w:rsidRPr="1A0CFE79" w:rsidR="0F43F3D9">
        <w:rPr>
          <w:rFonts w:ascii="Arial Nova" w:hAnsi="Arial Nova" w:eastAsia="Arial Nova" w:cs="Arial Nova"/>
          <w:noProof w:val="0"/>
          <w:sz w:val="22"/>
          <w:szCs w:val="22"/>
          <w:lang w:val="en-GB"/>
        </w:rPr>
        <w:t xml:space="preserve">, R. and Van </w:t>
      </w:r>
      <w:r w:rsidRPr="1A0CFE79" w:rsidR="0F43F3D9">
        <w:rPr>
          <w:rFonts w:ascii="Arial Nova" w:hAnsi="Arial Nova" w:eastAsia="Arial Nova" w:cs="Arial Nova"/>
          <w:noProof w:val="0"/>
          <w:sz w:val="22"/>
          <w:szCs w:val="22"/>
          <w:lang w:val="en-GB"/>
        </w:rPr>
        <w:t>Cauter</w:t>
      </w:r>
      <w:r w:rsidRPr="1A0CFE79" w:rsidR="0F43F3D9">
        <w:rPr>
          <w:rFonts w:ascii="Arial Nova" w:hAnsi="Arial Nova" w:eastAsia="Arial Nova" w:cs="Arial Nova"/>
          <w:noProof w:val="0"/>
          <w:sz w:val="22"/>
          <w:szCs w:val="22"/>
          <w:lang w:val="en-GB"/>
        </w:rPr>
        <w:t xml:space="preserve">, E. (1999) ‘Impact of sleep debt on metabolic and endocrine function’, </w:t>
      </w:r>
      <w:r w:rsidRPr="1A0CFE79" w:rsidR="0F43F3D9">
        <w:rPr>
          <w:rFonts w:ascii="Arial Nova" w:hAnsi="Arial Nova" w:eastAsia="Arial Nova" w:cs="Arial Nova"/>
          <w:i w:val="1"/>
          <w:iCs w:val="1"/>
          <w:noProof w:val="0"/>
          <w:sz w:val="22"/>
          <w:szCs w:val="22"/>
          <w:lang w:val="en-GB"/>
        </w:rPr>
        <w:t>The Lancet</w:t>
      </w:r>
      <w:r w:rsidRPr="1A0CFE79" w:rsidR="0F43F3D9">
        <w:rPr>
          <w:rFonts w:ascii="Arial Nova" w:hAnsi="Arial Nova" w:eastAsia="Arial Nova" w:cs="Arial Nova"/>
          <w:noProof w:val="0"/>
          <w:sz w:val="22"/>
          <w:szCs w:val="22"/>
          <w:lang w:val="en-GB"/>
        </w:rPr>
        <w:t>, 354(9188), pp. 1435–1439.</w:t>
      </w:r>
    </w:p>
    <w:p xmlns:wp14="http://schemas.microsoft.com/office/word/2010/wordml" w:rsidP="1A0CFE79" wp14:paraId="408B1E17" wp14:textId="2C0E7A29">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Waugh, A. and Grant, A. (2018) </w:t>
      </w:r>
      <w:r w:rsidRPr="1A0CFE79" w:rsidR="0F43F3D9">
        <w:rPr>
          <w:rFonts w:ascii="Arial Nova" w:hAnsi="Arial Nova" w:eastAsia="Arial Nova" w:cs="Arial Nova"/>
          <w:i w:val="1"/>
          <w:iCs w:val="1"/>
          <w:noProof w:val="0"/>
          <w:sz w:val="22"/>
          <w:szCs w:val="22"/>
          <w:lang w:val="en-GB"/>
        </w:rPr>
        <w:t>Ross and Wilson Anatomy and Physiology in Health and Illness</w:t>
      </w:r>
      <w:r w:rsidRPr="1A0CFE79" w:rsidR="0F43F3D9">
        <w:rPr>
          <w:rFonts w:ascii="Arial Nova" w:hAnsi="Arial Nova" w:eastAsia="Arial Nova" w:cs="Arial Nova"/>
          <w:noProof w:val="0"/>
          <w:sz w:val="22"/>
          <w:szCs w:val="22"/>
          <w:lang w:val="en-GB"/>
        </w:rPr>
        <w:t xml:space="preserve">. 14th </w:t>
      </w:r>
      <w:r w:rsidRPr="1A0CFE79" w:rsidR="0F43F3D9">
        <w:rPr>
          <w:rFonts w:ascii="Arial Nova" w:hAnsi="Arial Nova" w:eastAsia="Arial Nova" w:cs="Arial Nova"/>
          <w:noProof w:val="0"/>
          <w:sz w:val="22"/>
          <w:szCs w:val="22"/>
          <w:lang w:val="en-GB"/>
        </w:rPr>
        <w:t>edn</w:t>
      </w:r>
      <w:r w:rsidRPr="1A0CFE79" w:rsidR="0F43F3D9">
        <w:rPr>
          <w:rFonts w:ascii="Arial Nova" w:hAnsi="Arial Nova" w:eastAsia="Arial Nova" w:cs="Arial Nova"/>
          <w:noProof w:val="0"/>
          <w:sz w:val="22"/>
          <w:szCs w:val="22"/>
          <w:lang w:val="en-GB"/>
        </w:rPr>
        <w:t>. Edinburgh: Elsevier.</w:t>
      </w:r>
    </w:p>
    <w:p xmlns:wp14="http://schemas.microsoft.com/office/word/2010/wordml" w:rsidP="1A0CFE79" wp14:paraId="2CB733FD" wp14:textId="3FA35CC3">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A0CFE79" w:rsidR="0F43F3D9">
        <w:rPr>
          <w:rFonts w:ascii="Arial Nova" w:hAnsi="Arial Nova" w:eastAsia="Arial Nova" w:cs="Arial Nova"/>
          <w:noProof w:val="0"/>
          <w:sz w:val="22"/>
          <w:szCs w:val="22"/>
          <w:lang w:val="en-GB"/>
        </w:rPr>
        <w:t xml:space="preserve">World Health Organization (WHO) (2020) </w:t>
      </w:r>
      <w:r w:rsidRPr="1A0CFE79" w:rsidR="0F43F3D9">
        <w:rPr>
          <w:rFonts w:ascii="Arial Nova" w:hAnsi="Arial Nova" w:eastAsia="Arial Nova" w:cs="Arial Nova"/>
          <w:i w:val="1"/>
          <w:iCs w:val="1"/>
          <w:noProof w:val="0"/>
          <w:sz w:val="22"/>
          <w:szCs w:val="22"/>
          <w:lang w:val="en-GB"/>
        </w:rPr>
        <w:t>WHO Guidelines on Physical Activity and Sedentary Behaviour</w:t>
      </w:r>
      <w:r w:rsidRPr="1A0CFE79" w:rsidR="0F43F3D9">
        <w:rPr>
          <w:rFonts w:ascii="Arial Nova" w:hAnsi="Arial Nova" w:eastAsia="Arial Nova" w:cs="Arial Nova"/>
          <w:noProof w:val="0"/>
          <w:sz w:val="22"/>
          <w:szCs w:val="22"/>
          <w:lang w:val="en-GB"/>
        </w:rPr>
        <w:t>. Geneva: WHO.</w:t>
      </w:r>
      <w:r>
        <w:br/>
      </w:r>
      <w:r w:rsidRPr="1A0CFE79" w:rsidR="0F43F3D9">
        <w:rPr>
          <w:rFonts w:ascii="Arial Nova" w:hAnsi="Arial Nova" w:eastAsia="Arial Nova" w:cs="Arial Nova"/>
          <w:noProof w:val="0"/>
          <w:sz w:val="22"/>
          <w:szCs w:val="22"/>
          <w:lang w:val="en-GB"/>
        </w:rPr>
        <w:t xml:space="preserve">Available at: </w:t>
      </w:r>
      <w:hyperlink r:id="R70378ab41b9f4e88">
        <w:r w:rsidRPr="1A0CFE79" w:rsidR="0F43F3D9">
          <w:rPr>
            <w:rStyle w:val="Hyperlink"/>
            <w:rFonts w:ascii="Arial Nova" w:hAnsi="Arial Nova" w:eastAsia="Arial Nova" w:cs="Arial Nova"/>
            <w:noProof w:val="0"/>
            <w:sz w:val="22"/>
            <w:szCs w:val="22"/>
            <w:lang w:val="en-GB"/>
          </w:rPr>
          <w:t>https://www.who.int/publications/i/item/9789240015128</w:t>
        </w:r>
      </w:hyperlink>
      <w:r w:rsidRPr="1A0CFE79" w:rsidR="0F43F3D9">
        <w:rPr>
          <w:rFonts w:ascii="Arial Nova" w:hAnsi="Arial Nova" w:eastAsia="Arial Nova" w:cs="Arial Nova"/>
          <w:noProof w:val="0"/>
          <w:sz w:val="22"/>
          <w:szCs w:val="22"/>
          <w:lang w:val="en-GB"/>
        </w:rPr>
        <w:t xml:space="preserve"> (Accessed: 25 October 2025).</w:t>
      </w:r>
    </w:p>
    <w:p xmlns:wp14="http://schemas.microsoft.com/office/word/2010/wordml" w:rsidP="1A0CFE79" wp14:paraId="7DFDC59A" wp14:textId="32CB37B3">
      <w:pPr>
        <w:bidi w:val="0"/>
        <w:spacing w:before="240" w:beforeAutospacing="off" w:after="240" w:afterAutospacing="off" w:line="360" w:lineRule="auto"/>
        <w:jc w:val="left"/>
        <w:rPr>
          <w:rFonts w:ascii="Arial Nova" w:hAnsi="Arial Nova" w:eastAsia="Arial Nova" w:cs="Arial Nova"/>
          <w:b w:val="1"/>
          <w:bCs w:val="1"/>
          <w:i w:val="0"/>
          <w:iCs w:val="0"/>
          <w:noProof w:val="0"/>
          <w:color w:val="000000" w:themeColor="text1" w:themeTint="FF" w:themeShade="FF"/>
          <w:sz w:val="28"/>
          <w:szCs w:val="28"/>
          <w:lang w:val="en-GB"/>
        </w:rPr>
      </w:pPr>
      <w:r w:rsidRPr="1A0CFE79" w:rsidR="0F43F3D9">
        <w:rPr>
          <w:rFonts w:ascii="Arial Nova" w:hAnsi="Arial Nova" w:eastAsia="Arial Nova" w:cs="Arial Nova"/>
          <w:b w:val="1"/>
          <w:bCs w:val="1"/>
          <w:i w:val="0"/>
          <w:iCs w:val="0"/>
          <w:noProof w:val="0"/>
          <w:color w:val="000000" w:themeColor="text1" w:themeTint="FF" w:themeShade="FF"/>
          <w:sz w:val="28"/>
          <w:szCs w:val="28"/>
          <w:lang w:val="en-GB"/>
        </w:rPr>
        <w:t xml:space="preserve"> </w:t>
      </w:r>
    </w:p>
    <w:p xmlns:wp14="http://schemas.microsoft.com/office/word/2010/wordml" w:rsidP="1A0CFE79" wp14:paraId="15F6354D" wp14:textId="0AF8EAF3">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noProof w:val="0"/>
          <w:color w:val="000000" w:themeColor="text1" w:themeTint="FF" w:themeShade="FF"/>
          <w:sz w:val="22"/>
          <w:szCs w:val="22"/>
          <w:lang w:val="en-GB"/>
        </w:rPr>
      </w:pPr>
    </w:p>
    <w:p xmlns:wp14="http://schemas.microsoft.com/office/word/2010/wordml" w:rsidP="1A0CFE79" wp14:paraId="1206DA3E" wp14:textId="7E96C674">
      <w:pPr>
        <w:pStyle w:val="Normal"/>
        <w:spacing w:before="240" w:beforeAutospacing="off" w:after="240" w:afterAutospacing="off" w:line="360" w:lineRule="auto"/>
        <w:rPr>
          <w:rFonts w:ascii="Arial Nova" w:hAnsi="Arial Nova" w:eastAsia="Arial Nova" w:cs="Arial Nova"/>
          <w:b w:val="1"/>
          <w:bCs w:val="1"/>
          <w:noProof w:val="0"/>
          <w:sz w:val="28"/>
          <w:szCs w:val="28"/>
          <w:lang w:val="en-GB"/>
        </w:rPr>
      </w:pPr>
      <w:r w:rsidRPr="1A0CFE79" w:rsidR="0A4CE352">
        <w:rPr>
          <w:rFonts w:ascii="Arial Nova" w:hAnsi="Arial Nova" w:eastAsia="Arial Nova" w:cs="Arial Nova"/>
          <w:b w:val="1"/>
          <w:bCs w:val="1"/>
          <w:noProof w:val="0"/>
          <w:sz w:val="28"/>
          <w:szCs w:val="28"/>
          <w:lang w:val="en-GB"/>
        </w:rPr>
        <w:t xml:space="preserve"> </w:t>
      </w:r>
    </w:p>
    <w:p xmlns:wp14="http://schemas.microsoft.com/office/word/2010/wordml" w:rsidP="1A0CFE79" wp14:paraId="51FFD584" wp14:textId="6E380E42">
      <w:pPr>
        <w:pStyle w:val="Normal"/>
        <w:spacing w:before="240" w:beforeAutospacing="off" w:after="240" w:afterAutospacing="off" w:line="360" w:lineRule="auto"/>
        <w:rPr>
          <w:rFonts w:ascii="Arial Nova" w:hAnsi="Arial Nova" w:eastAsia="Arial Nova" w:cs="Arial Nova"/>
          <w:b w:val="1"/>
          <w:bCs w:val="1"/>
          <w:noProof w:val="0"/>
          <w:sz w:val="28"/>
          <w:szCs w:val="28"/>
          <w:lang w:val="en-GB"/>
        </w:rPr>
      </w:pPr>
      <w:r w:rsidRPr="1A0CFE79" w:rsidR="0A4CE352">
        <w:rPr>
          <w:rFonts w:ascii="Arial Nova" w:hAnsi="Arial Nova" w:eastAsia="Arial Nova" w:cs="Arial Nova"/>
          <w:b w:val="1"/>
          <w:bCs w:val="1"/>
          <w:noProof w:val="0"/>
          <w:sz w:val="28"/>
          <w:szCs w:val="28"/>
          <w:lang w:val="en-GB"/>
        </w:rPr>
        <w:t xml:space="preserve"> </w:t>
      </w:r>
    </w:p>
    <w:p xmlns:wp14="http://schemas.microsoft.com/office/word/2010/wordml" w:rsidP="1A0CFE79" wp14:paraId="15AE5559" wp14:textId="03BA1F85">
      <w:pPr>
        <w:pStyle w:val="Normal"/>
        <w:spacing w:before="240" w:beforeAutospacing="off" w:after="240" w:afterAutospacing="off" w:line="360" w:lineRule="auto"/>
        <w:rPr>
          <w:rFonts w:ascii="Arial Nova" w:hAnsi="Arial Nova" w:eastAsia="Arial Nova" w:cs="Arial Nova"/>
          <w:noProof w:val="0"/>
          <w:sz w:val="28"/>
          <w:szCs w:val="28"/>
          <w:lang w:val="en-GB"/>
        </w:rPr>
      </w:pPr>
      <w:r w:rsidRPr="1A0CFE79" w:rsidR="5FE72093">
        <w:rPr>
          <w:rFonts w:ascii="Arial Nova" w:hAnsi="Arial Nova" w:eastAsia="Arial Nova" w:cs="Arial Nova"/>
          <w:noProof w:val="0"/>
          <w:sz w:val="28"/>
          <w:szCs w:val="28"/>
          <w:lang w:val="en-GB"/>
        </w:rPr>
        <w:t xml:space="preserve">  </w:t>
      </w:r>
    </w:p>
    <w:p xmlns:wp14="http://schemas.microsoft.com/office/word/2010/wordml" w:rsidP="1A0CFE79" wp14:paraId="5E5787A5" wp14:textId="6281797F">
      <w:pPr>
        <w:pStyle w:val="Normal"/>
        <w:rPr>
          <w:rFonts w:ascii="Arial Nova" w:hAnsi="Arial Nova" w:eastAsia="Arial Nova" w:cs="Arial Nova"/>
          <w:b w:val="0"/>
          <w:bCs w:val="0"/>
          <w:sz w:val="28"/>
          <w:szCs w:val="28"/>
        </w:rPr>
      </w:pPr>
      <w:r w:rsidRPr="1A0CFE79" w:rsidR="5FE72093">
        <w:rPr>
          <w:rFonts w:ascii="Arial Nova" w:hAnsi="Arial Nova" w:eastAsia="Arial Nova" w:cs="Arial Nova"/>
          <w:b w:val="0"/>
          <w:bCs w:val="0"/>
          <w:sz w:val="28"/>
          <w:szCs w:val="28"/>
        </w:rPr>
        <w:t xml:space="preserve"> </w:t>
      </w:r>
      <w:r w:rsidRPr="1A0CFE79" w:rsidR="2B9EB828">
        <w:rPr>
          <w:rFonts w:ascii="Arial Nova" w:hAnsi="Arial Nova" w:eastAsia="Arial Nova" w:cs="Arial Nova"/>
          <w:b w:val="0"/>
          <w:bCs w:val="0"/>
          <w:sz w:val="28"/>
          <w:szCs w:val="28"/>
        </w:rPr>
        <w:t xml:space="preserve">   </w:t>
      </w:r>
    </w:p>
    <w:p w:rsidR="1A0CFE79" w:rsidP="1A0CFE79" w:rsidRDefault="1A0CFE79" w14:paraId="531F956E" w14:textId="2C73FE92">
      <w:pPr>
        <w:rPr>
          <w:rFonts w:ascii="Arial Nova" w:hAnsi="Arial Nova" w:eastAsia="Arial Nova" w:cs="Arial Nova"/>
          <w:b w:val="0"/>
          <w:bCs w:val="0"/>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TZ7TXhHMSfEj2" int2:id="poTTWm0X">
      <int2:state int2:type="spell" int2:value="Rejected"/>
    </int2:textHash>
    <int2:textHash int2:hashCode="JKFzPKi7CuRaP/" int2:id="o9JbFJzx">
      <int2:state int2:type="spell" int2:value="Rejected"/>
    </int2:textHash>
    <int2:textHash int2:hashCode="5mIvB7MS8/NBkP" int2:id="7GGARhkd">
      <int2:state int2:type="spell" int2:value="Rejected"/>
    </int2:textHash>
    <int2:textHash int2:hashCode="axdY4Aj1dy9Cgq" int2:id="tsYT7olD">
      <int2:state int2:type="spell" int2:value="Rejected"/>
    </int2:textHash>
    <int2:textHash int2:hashCode="dw5l8HUdR1aQr2" int2:id="kgo1DQtz">
      <int2:state int2:type="spell" int2:value="Rejected"/>
    </int2:textHash>
    <int2:textHash int2:hashCode="2+xuoKt4xH2oYK" int2:id="mJcZZndp">
      <int2:state int2:type="spell" int2:value="Rejected"/>
    </int2:textHash>
    <int2:textHash int2:hashCode="90UUnkpF1cy2lF" int2:id="ym8hBFYp">
      <int2:state int2:type="spell" int2:value="Rejected"/>
    </int2:textHash>
    <int2:textHash int2:hashCode="HyS32yk6P3Z64P" int2:id="Pr1BBHNG">
      <int2:state int2:type="spell" int2:value="Rejected"/>
    </int2:textHash>
    <int2:textHash int2:hashCode="Y7rxyEYEGk+h8X" int2:id="AP39npgd">
      <int2:state int2:type="spell" int2:value="Rejected"/>
    </int2:textHash>
    <int2:textHash int2:hashCode="55x5aRM1CJbkFC" int2:id="So8DzUG1">
      <int2:state int2:type="spell" int2:value="Rejected"/>
    </int2:textHash>
    <int2:textHash int2:hashCode="mZp3ibvHHOinNH" int2:id="GelckMH0">
      <int2:state int2:type="spell" int2:value="Rejected"/>
    </int2:textHash>
    <int2:textHash int2:hashCode="hJQn2qI4Wcb+2p" int2:id="8lbcSn1Z">
      <int2:state int2:type="spell" int2:value="Rejected"/>
    </int2:textHash>
    <int2:textHash int2:hashCode="i4dLdwOP3YboVX" int2:id="KhE8bWCK">
      <int2:state int2:type="spell" int2:value="Rejected"/>
    </int2:textHash>
    <int2:textHash int2:hashCode="K4XK1KF0dluZZQ" int2:id="4S6emB1r">
      <int2:state int2:type="spell" int2:value="Rejected"/>
    </int2:textHash>
    <int2:textHash int2:hashCode="BCRcWhdSi6s23/" int2:id="t3Tr4EXp">
      <int2:state int2:type="spell" int2:value="Rejected"/>
    </int2:textHash>
    <int2:textHash int2:hashCode="Yq3ZitOQ3uMKno" int2:id="fBBtFmeg">
      <int2:state int2:type="spell" int2:value="Rejected"/>
    </int2:textHash>
    <int2:textHash int2:hashCode="ASHUZFBFipKY/W" int2:id="eMX3rppK">
      <int2:state int2:type="spell" int2:value="Rejected"/>
    </int2:textHash>
    <int2:textHash int2:hashCode="cESwNsGaVqwfJi" int2:id="uqaWHnq9">
      <int2:state int2:type="spell" int2:value="Rejected"/>
    </int2:textHash>
    <int2:textHash int2:hashCode="gf0EeB/4+z+tzf" int2:id="HhlORPlj">
      <int2:state int2:type="spell" int2:value="Rejected"/>
    </int2:textHash>
    <int2:textHash int2:hashCode="YQnbWsf0YHpLIQ" int2:id="1pxUkTZ5">
      <int2:state int2:type="spell" int2:value="Rejected"/>
    </int2:textHash>
    <int2:textHash int2:hashCode="AakEUhkK1ClCUQ" int2:id="T8I9wjUl">
      <int2:state int2:type="spell" int2:value="Rejected"/>
    </int2:textHash>
    <int2:textHash int2:hashCode="gBlXnc71dxv5tY" int2:id="SrPZzF9P">
      <int2:state int2:type="spell" int2:value="Rejected"/>
    </int2:textHash>
    <int2:textHash int2:hashCode="ZC417jpavcGrSC" int2:id="MZzwnFKq">
      <int2:state int2:type="spell" int2:value="Rejected"/>
    </int2:textHash>
    <int2:textHash int2:hashCode="iZF3TTaDsZYjiz" int2:id="ho72TkD8">
      <int2:state int2:type="spell" int2:value="Rejected"/>
    </int2:textHash>
    <int2:bookmark int2:bookmarkName="_Int_NCL2nsON" int2:invalidationBookmarkName="" int2:hashCode="RnEb28u/SDQE/C" int2:id="8Du9WK5U">
      <int2:state int2:type="style" int2:value="Rejected"/>
    </int2:bookmark>
    <int2:bookmark int2:bookmarkName="_Int_g1fnqUXb" int2:invalidationBookmarkName="" int2:hashCode="1wvXvcZNNvM3vk" int2:id="NidwEfE3">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CF96A4"/>
    <w:rsid w:val="001E21D5"/>
    <w:rsid w:val="008B5BBF"/>
    <w:rsid w:val="00C44909"/>
    <w:rsid w:val="018EC0BF"/>
    <w:rsid w:val="02D0BBA3"/>
    <w:rsid w:val="03E0949B"/>
    <w:rsid w:val="03EF0F49"/>
    <w:rsid w:val="041891FC"/>
    <w:rsid w:val="047E7A6F"/>
    <w:rsid w:val="06B3F41A"/>
    <w:rsid w:val="09064153"/>
    <w:rsid w:val="0A3EA3A7"/>
    <w:rsid w:val="0A4CE352"/>
    <w:rsid w:val="0AD0D3D3"/>
    <w:rsid w:val="0C808316"/>
    <w:rsid w:val="0D1C0103"/>
    <w:rsid w:val="0E53C06C"/>
    <w:rsid w:val="0F25E102"/>
    <w:rsid w:val="0F43F3D9"/>
    <w:rsid w:val="107A55E9"/>
    <w:rsid w:val="110DFEAE"/>
    <w:rsid w:val="159A5B1F"/>
    <w:rsid w:val="16658DA7"/>
    <w:rsid w:val="172B18F0"/>
    <w:rsid w:val="188A074D"/>
    <w:rsid w:val="193F4D49"/>
    <w:rsid w:val="19BEA7DF"/>
    <w:rsid w:val="1A0CFE79"/>
    <w:rsid w:val="1D28AEBE"/>
    <w:rsid w:val="1DB06CB0"/>
    <w:rsid w:val="203CE860"/>
    <w:rsid w:val="2086CB6C"/>
    <w:rsid w:val="20A7D3C5"/>
    <w:rsid w:val="2113E80D"/>
    <w:rsid w:val="2242DFD8"/>
    <w:rsid w:val="2259EB77"/>
    <w:rsid w:val="23B28132"/>
    <w:rsid w:val="253EBC68"/>
    <w:rsid w:val="25746F7A"/>
    <w:rsid w:val="25B03200"/>
    <w:rsid w:val="2654E668"/>
    <w:rsid w:val="289B42E7"/>
    <w:rsid w:val="298FCF80"/>
    <w:rsid w:val="2990B008"/>
    <w:rsid w:val="2A3A320C"/>
    <w:rsid w:val="2A8EECF6"/>
    <w:rsid w:val="2AEBFD81"/>
    <w:rsid w:val="2B9EB828"/>
    <w:rsid w:val="2BB92C86"/>
    <w:rsid w:val="2BFE4FBB"/>
    <w:rsid w:val="2CAB67AB"/>
    <w:rsid w:val="2DC566D0"/>
    <w:rsid w:val="2E1E916C"/>
    <w:rsid w:val="2E4DC824"/>
    <w:rsid w:val="2ED480B3"/>
    <w:rsid w:val="2EE0DE87"/>
    <w:rsid w:val="30CF96A4"/>
    <w:rsid w:val="32FE8766"/>
    <w:rsid w:val="34A54948"/>
    <w:rsid w:val="367EA657"/>
    <w:rsid w:val="370F3F77"/>
    <w:rsid w:val="3711CD33"/>
    <w:rsid w:val="3AEF0298"/>
    <w:rsid w:val="3CCEDF8D"/>
    <w:rsid w:val="3E44ADC6"/>
    <w:rsid w:val="3EE6DFAF"/>
    <w:rsid w:val="3F5FA117"/>
    <w:rsid w:val="3FB7B716"/>
    <w:rsid w:val="413C0955"/>
    <w:rsid w:val="42CD99E2"/>
    <w:rsid w:val="4336E690"/>
    <w:rsid w:val="43487992"/>
    <w:rsid w:val="4360C62A"/>
    <w:rsid w:val="44B3A21B"/>
    <w:rsid w:val="49075E34"/>
    <w:rsid w:val="49130270"/>
    <w:rsid w:val="4A421115"/>
    <w:rsid w:val="4A94713C"/>
    <w:rsid w:val="4C126861"/>
    <w:rsid w:val="4C1A502B"/>
    <w:rsid w:val="4CB2B41B"/>
    <w:rsid w:val="4DFEC978"/>
    <w:rsid w:val="4E880037"/>
    <w:rsid w:val="4EC67DDE"/>
    <w:rsid w:val="4F93F6E3"/>
    <w:rsid w:val="4F9C873B"/>
    <w:rsid w:val="503FF493"/>
    <w:rsid w:val="509C00E3"/>
    <w:rsid w:val="509FF6A6"/>
    <w:rsid w:val="515A5688"/>
    <w:rsid w:val="5351556B"/>
    <w:rsid w:val="53F1CD82"/>
    <w:rsid w:val="556F3A84"/>
    <w:rsid w:val="5682C1D5"/>
    <w:rsid w:val="583A8C88"/>
    <w:rsid w:val="5B5B69FF"/>
    <w:rsid w:val="5D22C816"/>
    <w:rsid w:val="5D8FDE08"/>
    <w:rsid w:val="5DAA95F4"/>
    <w:rsid w:val="5FBD7FFC"/>
    <w:rsid w:val="5FE72093"/>
    <w:rsid w:val="603AB84C"/>
    <w:rsid w:val="614CDC28"/>
    <w:rsid w:val="61A6F269"/>
    <w:rsid w:val="61D6E7B1"/>
    <w:rsid w:val="62174908"/>
    <w:rsid w:val="63911F44"/>
    <w:rsid w:val="64871BE1"/>
    <w:rsid w:val="64CA86CE"/>
    <w:rsid w:val="654F7105"/>
    <w:rsid w:val="675E81D3"/>
    <w:rsid w:val="67634DDB"/>
    <w:rsid w:val="6873DD0E"/>
    <w:rsid w:val="68B573E8"/>
    <w:rsid w:val="69C019E9"/>
    <w:rsid w:val="6A51FA64"/>
    <w:rsid w:val="6B0055F4"/>
    <w:rsid w:val="6B9432AC"/>
    <w:rsid w:val="6BFD818F"/>
    <w:rsid w:val="6CD84342"/>
    <w:rsid w:val="6DD31FE0"/>
    <w:rsid w:val="706045B5"/>
    <w:rsid w:val="7191E77A"/>
    <w:rsid w:val="72DB7140"/>
    <w:rsid w:val="73619A54"/>
    <w:rsid w:val="73E09E3B"/>
    <w:rsid w:val="73E73D0B"/>
    <w:rsid w:val="74D51D42"/>
    <w:rsid w:val="75880216"/>
    <w:rsid w:val="76D40C3A"/>
    <w:rsid w:val="77C66ED3"/>
    <w:rsid w:val="78BB4DA6"/>
    <w:rsid w:val="7960EDA4"/>
    <w:rsid w:val="79930262"/>
    <w:rsid w:val="7B0F2E4B"/>
    <w:rsid w:val="7B84BE14"/>
    <w:rsid w:val="7BF0F4AC"/>
    <w:rsid w:val="7C66C657"/>
    <w:rsid w:val="7CD313DE"/>
    <w:rsid w:val="7DD16941"/>
    <w:rsid w:val="7EF9F574"/>
    <w:rsid w:val="7FA98314"/>
    <w:rsid w:val="7FC6336C"/>
    <w:rsid w:val="7FD23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F96A4"/>
  <w15:chartTrackingRefBased/>
  <w15:docId w15:val="{48BAA31B-D87C-4392-864D-BB49D2D375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1A0CFE7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1A0CFE7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1A0CFE7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iabetesjournals.org/care" TargetMode="External" Id="R7cc9ff36d71f47cc" /><Relationship Type="http://schemas.openxmlformats.org/officeDocument/2006/relationships/hyperlink" Target="https://www.diabetes.org.uk/" TargetMode="External" Id="R07a2552ea6ec4232" /><Relationship Type="http://schemas.openxmlformats.org/officeDocument/2006/relationships/hyperlink" Target="https://www.nice.org.uk/guidance/ng28?utm_source=chatgpt.com" TargetMode="External" Id="R1ebb5bfbd52f4b85" /><Relationship Type="http://schemas.openxmlformats.org/officeDocument/2006/relationships/hyperlink" Target="https://www.nhs.uk/apps-library/" TargetMode="External" Id="R5cd1c9a905cd48e5" /><Relationship Type="http://schemas.openxmlformats.org/officeDocument/2006/relationships/hyperlink" Target="https://www.gov.uk/government/publications/health-matters-preventing-type-2-diabetes" TargetMode="External" Id="R980171813d4c4c61" /><Relationship Type="http://schemas.openxmlformats.org/officeDocument/2006/relationships/hyperlink" Target="https://www.who.int/publications/i/item/9789240015128" TargetMode="External" Id="R70378ab41b9f4e88" /><Relationship Type="http://schemas.microsoft.com/office/2020/10/relationships/intelligence" Target="/word/intelligence2.xml" Id="Ra2ec1bb7b65f43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Naema Shabir (2406615)</dc:creator>
  <keywords/>
  <dc:description/>
  <lastModifiedBy>Naema Shabir (2406615)</lastModifiedBy>
  <revision>2</revision>
  <dcterms:created xsi:type="dcterms:W3CDTF">2025-11-03T18:30:02.3451222Z</dcterms:created>
  <dcterms:modified xsi:type="dcterms:W3CDTF">2025-11-03T20:27:27.7737046Z</dcterms:modified>
</coreProperties>
</file>