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156E" w:rsidRDefault="00C6156E"/>
    <w:p w:rsidR="00C6156E" w:rsidRDefault="00C6156E"/>
    <w:p w:rsidR="00C6156E" w:rsidRDefault="00C6156E"/>
    <w:p w:rsidR="00C6156E" w:rsidRDefault="00C6156E"/>
    <w:p w:rsidR="00C6156E" w:rsidRDefault="00C6156E"/>
    <w:p w:rsidR="00C6156E" w:rsidRDefault="00C6156E" w:rsidP="00C6156E">
      <w:pPr>
        <w:jc w:val="center"/>
        <w:rPr>
          <w:sz w:val="40"/>
        </w:rPr>
      </w:pPr>
      <w:r>
        <w:rPr>
          <w:sz w:val="40"/>
        </w:rPr>
        <w:t>1803328</w:t>
      </w:r>
    </w:p>
    <w:p w:rsidR="00C6156E" w:rsidRDefault="00C6156E" w:rsidP="00C6156E">
      <w:pPr>
        <w:jc w:val="center"/>
        <w:rPr>
          <w:sz w:val="40"/>
        </w:rPr>
      </w:pPr>
      <w:r>
        <w:rPr>
          <w:sz w:val="40"/>
        </w:rPr>
        <w:t>The Enquiring Teacher: Level 7</w:t>
      </w:r>
    </w:p>
    <w:p w:rsidR="00C6156E" w:rsidRDefault="00C6156E" w:rsidP="00C6156E">
      <w:pPr>
        <w:jc w:val="center"/>
        <w:rPr>
          <w:sz w:val="40"/>
        </w:rPr>
      </w:pPr>
      <w:r>
        <w:rPr>
          <w:sz w:val="40"/>
        </w:rPr>
        <w:t>‘</w:t>
      </w:r>
      <w:r w:rsidRPr="00C6156E">
        <w:rPr>
          <w:sz w:val="40"/>
        </w:rPr>
        <w:t>What is the impact of a structured musical input on engagement in a Foundation Phase session?</w:t>
      </w:r>
      <w:r>
        <w:rPr>
          <w:sz w:val="40"/>
        </w:rPr>
        <w:t>’</w:t>
      </w:r>
    </w:p>
    <w:p w:rsidR="00E01195" w:rsidRDefault="00E01195" w:rsidP="00C6156E">
      <w:pPr>
        <w:jc w:val="center"/>
        <w:rPr>
          <w:sz w:val="40"/>
        </w:rPr>
      </w:pPr>
    </w:p>
    <w:p w:rsidR="00E01195" w:rsidRDefault="00E01195" w:rsidP="00C6156E">
      <w:pPr>
        <w:jc w:val="center"/>
        <w:rPr>
          <w:sz w:val="40"/>
        </w:rPr>
      </w:pPr>
    </w:p>
    <w:p w:rsidR="00E01195" w:rsidRPr="00E01195" w:rsidRDefault="00E01195" w:rsidP="00C6156E">
      <w:pPr>
        <w:jc w:val="center"/>
        <w:rPr>
          <w:sz w:val="32"/>
          <w:szCs w:val="32"/>
        </w:rPr>
      </w:pPr>
      <w:r>
        <w:rPr>
          <w:sz w:val="32"/>
          <w:szCs w:val="32"/>
        </w:rPr>
        <w:t>Word Count: 6,589</w:t>
      </w:r>
    </w:p>
    <w:p w:rsidR="00C6156E" w:rsidRDefault="00C6156E" w:rsidP="00C6156E">
      <w:pPr>
        <w:jc w:val="center"/>
        <w:rPr>
          <w:sz w:val="40"/>
        </w:rPr>
      </w:pPr>
    </w:p>
    <w:p w:rsidR="00C6156E" w:rsidRDefault="00C6156E" w:rsidP="00C6156E">
      <w:pPr>
        <w:jc w:val="center"/>
        <w:rPr>
          <w:sz w:val="40"/>
        </w:rPr>
      </w:pPr>
    </w:p>
    <w:p w:rsidR="00C6156E" w:rsidRDefault="00C6156E" w:rsidP="00C6156E">
      <w:pPr>
        <w:jc w:val="center"/>
        <w:rPr>
          <w:sz w:val="40"/>
        </w:rPr>
      </w:pPr>
    </w:p>
    <w:p w:rsidR="00C6156E" w:rsidRDefault="00C6156E" w:rsidP="00C6156E">
      <w:pPr>
        <w:jc w:val="center"/>
        <w:rPr>
          <w:sz w:val="40"/>
        </w:rPr>
      </w:pPr>
    </w:p>
    <w:p w:rsidR="00C6156E" w:rsidRDefault="00C6156E" w:rsidP="00C6156E">
      <w:pPr>
        <w:jc w:val="center"/>
        <w:rPr>
          <w:sz w:val="40"/>
        </w:rPr>
      </w:pPr>
    </w:p>
    <w:p w:rsidR="00C6156E" w:rsidRDefault="00C6156E" w:rsidP="00C6156E">
      <w:pPr>
        <w:jc w:val="center"/>
        <w:rPr>
          <w:sz w:val="40"/>
        </w:rPr>
      </w:pPr>
    </w:p>
    <w:p w:rsidR="00C6156E" w:rsidRDefault="00C6156E" w:rsidP="00C6156E">
      <w:pPr>
        <w:jc w:val="center"/>
        <w:rPr>
          <w:sz w:val="40"/>
        </w:rPr>
      </w:pPr>
    </w:p>
    <w:p w:rsidR="00C6156E" w:rsidRDefault="00C6156E" w:rsidP="00C6156E">
      <w:pPr>
        <w:jc w:val="center"/>
        <w:rPr>
          <w:sz w:val="40"/>
        </w:rPr>
      </w:pPr>
    </w:p>
    <w:p w:rsidR="00C6156E" w:rsidRDefault="00C6156E" w:rsidP="00C6156E">
      <w:pPr>
        <w:jc w:val="center"/>
        <w:rPr>
          <w:sz w:val="40"/>
        </w:rPr>
      </w:pPr>
    </w:p>
    <w:p w:rsidR="00E01195" w:rsidRDefault="00E01195" w:rsidP="00C6156E">
      <w:pPr>
        <w:rPr>
          <w:sz w:val="40"/>
        </w:rPr>
      </w:pPr>
    </w:p>
    <w:p w:rsidR="002F111E" w:rsidRDefault="002F111E" w:rsidP="002F111E">
      <w:pPr>
        <w:spacing w:line="360" w:lineRule="auto"/>
        <w:rPr>
          <w:sz w:val="40"/>
        </w:rPr>
      </w:pPr>
    </w:p>
    <w:p w:rsidR="00C6156E" w:rsidRPr="00322D82" w:rsidRDefault="00322D82" w:rsidP="002F111E">
      <w:pPr>
        <w:spacing w:line="360" w:lineRule="auto"/>
        <w:rPr>
          <w:b/>
          <w:sz w:val="24"/>
        </w:rPr>
      </w:pPr>
      <w:r w:rsidRPr="00322D82">
        <w:rPr>
          <w:b/>
          <w:sz w:val="24"/>
        </w:rPr>
        <w:t>Introduction</w:t>
      </w:r>
    </w:p>
    <w:p w:rsidR="00C6156E" w:rsidRPr="00322D82" w:rsidRDefault="00C6156E" w:rsidP="002F111E">
      <w:pPr>
        <w:spacing w:line="360" w:lineRule="auto"/>
        <w:rPr>
          <w:b/>
          <w:sz w:val="24"/>
        </w:rPr>
      </w:pPr>
      <w:r w:rsidRPr="00322D82">
        <w:rPr>
          <w:b/>
          <w:sz w:val="24"/>
        </w:rPr>
        <w:t xml:space="preserve">Aim, focus and purpose of the research </w:t>
      </w:r>
    </w:p>
    <w:p w:rsidR="00C6156E" w:rsidRDefault="00C6156E" w:rsidP="002F111E">
      <w:pPr>
        <w:spacing w:line="360" w:lineRule="auto"/>
        <w:ind w:left="720"/>
      </w:pPr>
      <w:r>
        <w:t>“Music is such an important part of all human life and clearly has a strong motivating effect on all of us, including children, that using music across the curriculum can only have a positive effect on the quality of education.” (Pound and Harrison, 2003, p. 69 – 70)</w:t>
      </w:r>
    </w:p>
    <w:p w:rsidR="00C6156E" w:rsidRDefault="00C6156E" w:rsidP="002F111E">
      <w:pPr>
        <w:spacing w:line="360" w:lineRule="auto"/>
      </w:pPr>
      <w:r>
        <w:t>It is whether music does truly have that “motivating effect</w:t>
      </w:r>
      <w:r w:rsidR="00BE0735">
        <w:t>” that concerns us in</w:t>
      </w:r>
      <w:r>
        <w:t xml:space="preserve"> this research project. The aim of this research project was to analyse the possible impact that a</w:t>
      </w:r>
      <w:r w:rsidRPr="008A7A8F">
        <w:t xml:space="preserve"> structured musical input </w:t>
      </w:r>
      <w:r>
        <w:t xml:space="preserve">can have the </w:t>
      </w:r>
      <w:r w:rsidRPr="008A7A8F">
        <w:t>on engagement</w:t>
      </w:r>
      <w:r>
        <w:t xml:space="preserve"> of children</w:t>
      </w:r>
      <w:r w:rsidRPr="008A7A8F">
        <w:t xml:space="preserve"> in a Foundation Phase session</w:t>
      </w:r>
      <w:r>
        <w:t>. Both my research partner and I have a strong interest in music, and as such were intrigued by the possible effects that a structured musical input could have on pupil’s engagement levels.</w:t>
      </w:r>
      <w:r w:rsidR="00A0525F">
        <w:t xml:space="preserve"> As we are both guitarists and vocalists, this musical input would centre around us playing guitar and singing during structured intervals in a lesson.</w:t>
      </w:r>
    </w:p>
    <w:p w:rsidR="00C6156E" w:rsidRDefault="00C6156E" w:rsidP="002F111E">
      <w:pPr>
        <w:spacing w:line="360" w:lineRule="auto"/>
      </w:pPr>
      <w:r w:rsidRPr="003F4AD1">
        <w:t>For</w:t>
      </w:r>
      <w:r w:rsidR="00BE0735">
        <w:t xml:space="preserve"> this research study </w:t>
      </w:r>
      <w:r w:rsidRPr="003F4AD1">
        <w:t>my research partner</w:t>
      </w:r>
      <w:r w:rsidR="00BE0735">
        <w:t xml:space="preserve"> and I</w:t>
      </w:r>
      <w:r w:rsidRPr="003F4AD1">
        <w:t xml:space="preserve"> were both placed in the early years of Foundation Phase (</w:t>
      </w:r>
      <w:r w:rsidR="00B94638">
        <w:t>Nursery and Reception</w:t>
      </w:r>
      <w:r w:rsidRPr="003F4AD1">
        <w:t xml:space="preserve">, respectively), where music already plays a part in learning (such as Nursery rhymes). Indeed, being able to listen to, repeat and recite songs and rhymes is </w:t>
      </w:r>
      <w:r w:rsidR="00B94638">
        <w:t>found in</w:t>
      </w:r>
      <w:r w:rsidRPr="003F4AD1">
        <w:t xml:space="preserve"> the current</w:t>
      </w:r>
      <w:r w:rsidR="009361B7">
        <w:t xml:space="preserve"> National</w:t>
      </w:r>
      <w:r w:rsidRPr="003F4AD1">
        <w:t xml:space="preserve"> Literacy</w:t>
      </w:r>
      <w:r w:rsidR="009361B7">
        <w:t xml:space="preserve"> and</w:t>
      </w:r>
      <w:r w:rsidRPr="003F4AD1">
        <w:t xml:space="preserve"> Numeracy Framework (</w:t>
      </w:r>
      <w:r w:rsidR="009361B7">
        <w:t>LNF, 2014</w:t>
      </w:r>
      <w:r w:rsidRPr="003F4AD1">
        <w:t>) for Reception.</w:t>
      </w:r>
      <w:r>
        <w:t xml:space="preserve"> </w:t>
      </w:r>
      <w:r w:rsidR="00B94638">
        <w:t xml:space="preserve">Music will also feature in the ‘Expressive arts’ Areas of Learning and Experience in the upcoming curriculum (Donaldson, 2015). </w:t>
      </w:r>
      <w:r>
        <w:t xml:space="preserve">With </w:t>
      </w:r>
      <w:r w:rsidR="00B94638">
        <w:t>all this</w:t>
      </w:r>
      <w:r>
        <w:t xml:space="preserve"> taken into consideration we began reading relevant and current literature to fine-tune our research question. In this assignment I will first review the relevant literature, then discuss the methodology used to carry out our lesson study, and finally provide our findings.</w:t>
      </w:r>
    </w:p>
    <w:p w:rsidR="00C6156E" w:rsidRDefault="00C6156E" w:rsidP="002F111E">
      <w:pPr>
        <w:spacing w:line="360" w:lineRule="auto"/>
      </w:pPr>
    </w:p>
    <w:p w:rsidR="00C6156E" w:rsidRPr="00322D82" w:rsidRDefault="00C6156E" w:rsidP="002F111E">
      <w:pPr>
        <w:spacing w:line="360" w:lineRule="auto"/>
        <w:rPr>
          <w:b/>
          <w:sz w:val="24"/>
        </w:rPr>
      </w:pPr>
      <w:r w:rsidRPr="00322D82">
        <w:rPr>
          <w:b/>
          <w:sz w:val="24"/>
        </w:rPr>
        <w:t>Research context</w:t>
      </w:r>
    </w:p>
    <w:p w:rsidR="00C6156E" w:rsidRDefault="00C6156E" w:rsidP="002F111E">
      <w:pPr>
        <w:spacing w:line="360" w:lineRule="auto"/>
      </w:pPr>
      <w:r>
        <w:t>For this research study we have abided by both BERA (2018) regulations and the UWTSD Research Ethics &amp; Integrity Code of Practice (2017). The study took place in a seaside primary school in South Wales. There are around 440 pupils on roll, aged between three and eleven, including 45 in the two nursery classes. This study took place over two lessons in two different year groups in the same school. My class was a Reception class that consisted of 29 pupils. My research partner</w:t>
      </w:r>
      <w:r w:rsidR="00BE0735">
        <w:t xml:space="preserve"> was in</w:t>
      </w:r>
      <w:r>
        <w:t xml:space="preserve"> a </w:t>
      </w:r>
      <w:r w:rsidR="003130A2">
        <w:t>Nursery class that consisted of 20 pupils.</w:t>
      </w:r>
    </w:p>
    <w:p w:rsidR="00C6156E" w:rsidRDefault="00C6156E" w:rsidP="002F111E">
      <w:pPr>
        <w:spacing w:line="360" w:lineRule="auto"/>
      </w:pPr>
      <w:r>
        <w:lastRenderedPageBreak/>
        <w:t xml:space="preserve">As our research project was centred around a lesson study (more on lesson studies later) there were a number of ethical considerations and implications. </w:t>
      </w:r>
      <w:r w:rsidR="00E85C93">
        <w:t>These ethical considerations will be discussed in depth in the body of my essay.</w:t>
      </w:r>
    </w:p>
    <w:p w:rsidR="002F111E" w:rsidRDefault="002F111E" w:rsidP="002F111E">
      <w:pPr>
        <w:spacing w:line="360" w:lineRule="auto"/>
      </w:pPr>
    </w:p>
    <w:p w:rsidR="00C6156E" w:rsidRPr="00322D82" w:rsidRDefault="00C6156E" w:rsidP="002F111E">
      <w:pPr>
        <w:spacing w:line="360" w:lineRule="auto"/>
        <w:rPr>
          <w:b/>
          <w:sz w:val="24"/>
        </w:rPr>
      </w:pPr>
      <w:r w:rsidRPr="00322D82">
        <w:rPr>
          <w:b/>
          <w:sz w:val="24"/>
        </w:rPr>
        <w:t>Literature Review</w:t>
      </w:r>
    </w:p>
    <w:p w:rsidR="00C6156E" w:rsidRDefault="00C6156E" w:rsidP="002F111E">
      <w:pPr>
        <w:spacing w:line="360" w:lineRule="auto"/>
      </w:pPr>
      <w:r>
        <w:t>To give us a greater understanding of our research study me and my partner began to read relevant literature, journal articles and other online material. We quickly discovered that the structured use of music as a tool for engagement had very li</w:t>
      </w:r>
      <w:r w:rsidR="00A0525F">
        <w:t>ttle written on it. M</w:t>
      </w:r>
      <w:r>
        <w:t>y research partner</w:t>
      </w:r>
      <w:r w:rsidR="00A0525F">
        <w:t xml:space="preserve"> and I</w:t>
      </w:r>
      <w:r>
        <w:t xml:space="preserve"> saw this gap in research as a perfect opportunity to begin our lesson study and analyse the effects of our chosen field.</w:t>
      </w:r>
    </w:p>
    <w:p w:rsidR="00C6156E" w:rsidRPr="00C6156E" w:rsidRDefault="00C6156E" w:rsidP="002F111E">
      <w:pPr>
        <w:spacing w:line="360" w:lineRule="auto"/>
      </w:pPr>
      <w:r>
        <w:t xml:space="preserve">Davis et al. (2012) stress that </w:t>
      </w:r>
      <w:r w:rsidRPr="00C6156E">
        <w:t>school engagement is complex, with a number of different levels or “theoretical dimensions” (p. 21). Earlier writings on engagement in the classroom argued that there were two dimensions: behavioural and emotional engagement (Finn &amp; Voelkl, 1993; Skinner &amp; Belmont, 1993), whereas later it was argued there were three dimensions of engagement: behavioural, emotional, and also cognitive (Fredricks et al., 2004; Ladd et al., 2009). Through our reading we saw parallels between these three dimensions of engagement and the positive effects that music can have in a classroom. If relevant literature on music could support these dimensions of engagement, then surely music could be used as a tool to enhance engagement.</w:t>
      </w:r>
    </w:p>
    <w:p w:rsidR="00C6156E" w:rsidRDefault="00C6156E" w:rsidP="002F111E">
      <w:pPr>
        <w:spacing w:line="360" w:lineRule="auto"/>
      </w:pPr>
      <w:r>
        <w:t xml:space="preserve">Marzano and Pickering (2011) describe engagement as the “core of effective schooling” (p. 1). They suggest that without engagement there is little chance of children actually learning what is being addressed. This opinion is supported by Bryson and Hand (2007), who concluded through their </w:t>
      </w:r>
      <w:r w:rsidRPr="007C5A87">
        <w:t xml:space="preserve">research that engagement is </w:t>
      </w:r>
      <w:r w:rsidR="00384A88">
        <w:t>an absolutely integral part of the learning process</w:t>
      </w:r>
      <w:r>
        <w:t xml:space="preserve">. Influential education expert Ferre Laevers </w:t>
      </w:r>
      <w:r w:rsidR="0077372C">
        <w:t xml:space="preserve">and Heylen </w:t>
      </w:r>
      <w:r>
        <w:t>(2003) suggests that without involvement or engagement, you cannot have truly “deep-level-learning” (p. 15).</w:t>
      </w:r>
      <w:r w:rsidR="001C522F">
        <w:t xml:space="preserve"> </w:t>
      </w:r>
      <w:r>
        <w:t xml:space="preserve">Skinner et al. (2009) </w:t>
      </w:r>
      <w:r w:rsidR="001C522F">
        <w:t xml:space="preserve">argue that </w:t>
      </w:r>
      <w:r>
        <w:t>there is no “correct definition of engagement” (p. 224), noting a number of overlaps in meaning and use. They point towards a plethora of other words such as motivation, involvement, attention, interest and enthusiasm. As such, these words will be viewed synonymously, all living under the overall arch of “engagement”.</w:t>
      </w:r>
    </w:p>
    <w:p w:rsidR="00C6156E" w:rsidRDefault="00C6156E" w:rsidP="002F111E">
      <w:pPr>
        <w:spacing w:line="360" w:lineRule="auto"/>
      </w:pPr>
      <w:r>
        <w:t>Emotional engagement is seen to play a massive part in the effectiveness of teaching. As Marz</w:t>
      </w:r>
      <w:r w:rsidR="001C522F">
        <w:t>ano and Pickering (2011) put it;</w:t>
      </w:r>
      <w:r>
        <w:t xml:space="preserve"> positive emotions “set the stage” for positive engagement.</w:t>
      </w:r>
      <w:r w:rsidRPr="00E474B8">
        <w:t xml:space="preserve"> </w:t>
      </w:r>
      <w:r>
        <w:t xml:space="preserve">Pekrun et al. (2017) have done extensive research and studies on the effects that positive emotions can have on engagement and learning, finding a direct correlation. They suggest that emotional engagement </w:t>
      </w:r>
      <w:r>
        <w:lastRenderedPageBreak/>
        <w:t>facilitates “deep learning” (p. 7) and implore educators to enhance efforts to strengthen positive emotional engagement. These findings are echoed through numerous s</w:t>
      </w:r>
      <w:r w:rsidR="0077372C">
        <w:t>tudies (Hall and Goetz, 2013; Pekrun and</w:t>
      </w:r>
      <w:r>
        <w:t xml:space="preserve"> Linnenb</w:t>
      </w:r>
      <w:r w:rsidR="0077372C">
        <w:t>rink-Garcia, 2014</w:t>
      </w:r>
      <w:r>
        <w:t xml:space="preserve">). This emotional engagement is supported when children feel a sense of acceptance, both from peers and teachers (Marzano and Pickering, 2011). Without this acceptance, it is highly unlikely children will engage with classroom activities. A study by Ladd </w:t>
      </w:r>
      <w:r w:rsidR="0077372C">
        <w:t>and Dinella</w:t>
      </w:r>
      <w:r>
        <w:t xml:space="preserve"> (2009) noted that children were much more emotionally engaged when they felt accepted by their peers, and that this could also facilitate school achievement (Davis et al., 2012). </w:t>
      </w:r>
    </w:p>
    <w:p w:rsidR="00C6156E" w:rsidRPr="002F10EC" w:rsidRDefault="00C6156E" w:rsidP="002F111E">
      <w:pPr>
        <w:spacing w:line="360" w:lineRule="auto"/>
      </w:pPr>
      <w:r>
        <w:t>If emotional engagement is as integral as these studies suggest, then music can help to facilitate that. Various scholars note the vital role music can play in children’s emotional development throughout the early ye</w:t>
      </w:r>
      <w:r w:rsidR="0077372C">
        <w:t>ars (Mills, 2009</w:t>
      </w:r>
      <w:r>
        <w:t xml:space="preserve">). As discussed earlier, emotional engagement is supported when children feel accepted or part of a group. Pound and Harrison (2003) propose that using music in a class “gives a sense of social cohesion, supporting relationships between peers” (p. 72). </w:t>
      </w:r>
      <w:r w:rsidRPr="00EF42DF">
        <w:t xml:space="preserve">This </w:t>
      </w:r>
      <w:r>
        <w:t xml:space="preserve">cohesion is seen to be </w:t>
      </w:r>
      <w:r w:rsidRPr="00EF42DF">
        <w:t xml:space="preserve">vitally important </w:t>
      </w:r>
      <w:r>
        <w:t>to giving leaners</w:t>
      </w:r>
      <w:r w:rsidRPr="00EF42DF">
        <w:t xml:space="preserve"> a sense of connectedness to teachers and peers,</w:t>
      </w:r>
      <w:r>
        <w:t xml:space="preserve"> which in turn</w:t>
      </w:r>
      <w:r w:rsidRPr="00EF42DF">
        <w:t xml:space="preserve"> report</w:t>
      </w:r>
      <w:r>
        <w:t>s</w:t>
      </w:r>
      <w:r w:rsidRPr="00EF42DF">
        <w:t xml:space="preserve"> </w:t>
      </w:r>
      <w:r>
        <w:t xml:space="preserve">a </w:t>
      </w:r>
      <w:r w:rsidRPr="00EF42DF">
        <w:t>more positive engagement in learning (Furrer and Skinner, 2003).</w:t>
      </w:r>
      <w:r>
        <w:t xml:space="preserve"> Gardner (1993) goes one step further to suggest that music alone is of little use without the social awareness of a classroom. This social cohesion is something we hoped to achieve in our lesson study, as it was a whole class activity.</w:t>
      </w:r>
      <w:r w:rsidR="00F25663">
        <w:t xml:space="preserve"> Skinner et al. (2009) propose</w:t>
      </w:r>
      <w:r w:rsidRPr="006A6EF7">
        <w:t xml:space="preserve"> that if someone’s emotions are negative in that moment then it could significantly affect their engagement</w:t>
      </w:r>
      <w:r w:rsidR="00F25663">
        <w:t xml:space="preserve"> both with peers and the learning material</w:t>
      </w:r>
      <w:r w:rsidRPr="006A6EF7">
        <w:t>.</w:t>
      </w:r>
    </w:p>
    <w:p w:rsidR="00C6156E" w:rsidRPr="00554A2C" w:rsidRDefault="00C6156E" w:rsidP="002F111E">
      <w:pPr>
        <w:spacing w:line="360" w:lineRule="auto"/>
      </w:pPr>
      <w:r>
        <w:t>Davis et al. (2012) stress an importance of cognitive engagement as it establishes how engaged a child truly is in a task or lesson. They believe that if a child is fully engaged they will be focused on understanding and mastery of the task or lesson matter. Cognitive engagement is an integral dimension of engagement as r</w:t>
      </w:r>
      <w:r w:rsidRPr="00554A2C">
        <w:t xml:space="preserve">esearch </w:t>
      </w:r>
      <w:r>
        <w:t xml:space="preserve">has suggested </w:t>
      </w:r>
      <w:r w:rsidRPr="00554A2C">
        <w:t xml:space="preserve">that we only </w:t>
      </w:r>
      <w:r>
        <w:t xml:space="preserve">truly </w:t>
      </w:r>
      <w:r w:rsidRPr="00554A2C">
        <w:t>re</w:t>
      </w:r>
      <w:r>
        <w:t>member what we think about (</w:t>
      </w:r>
      <w:r w:rsidRPr="00554A2C">
        <w:t>Almarode &amp; Miller, 2017).</w:t>
      </w:r>
      <w:r w:rsidR="00322D82">
        <w:t xml:space="preserve"> </w:t>
      </w:r>
    </w:p>
    <w:p w:rsidR="0062237B" w:rsidRDefault="00C6156E" w:rsidP="002F111E">
      <w:pPr>
        <w:spacing w:line="360" w:lineRule="auto"/>
      </w:pPr>
      <w:r>
        <w:t xml:space="preserve">Odam (1995) believed it was scientifically proven that music could improve both cognitive engagement and development, as thinking and learning are enhanced when both the left and right hemispheres of the brain are stimulated. He argued that the words of a song stimulate the left hemisphere of the brain, and the tune stimulates the right, coming together to form a “unique schooling” (p. 19). </w:t>
      </w:r>
      <w:r w:rsidR="003130A2">
        <w:t xml:space="preserve">Research undertaken by Habermeyer (1999) supports the positive effect that music can have on memory and listening skills. </w:t>
      </w:r>
      <w:r>
        <w:t xml:space="preserve">Hallam (2001) argues that, in many cases, </w:t>
      </w:r>
      <w:r w:rsidR="003130A2">
        <w:t>there is not sufficient enough proof on</w:t>
      </w:r>
      <w:r>
        <w:t xml:space="preserve"> whether music can truly have a positive effect on intellectual skills (p. 16).</w:t>
      </w:r>
      <w:r w:rsidR="003130A2">
        <w:t xml:space="preserve"> </w:t>
      </w:r>
    </w:p>
    <w:p w:rsidR="00C6156E" w:rsidRPr="00773227" w:rsidRDefault="00C6156E" w:rsidP="002F111E">
      <w:pPr>
        <w:spacing w:line="360" w:lineRule="auto"/>
      </w:pPr>
      <w:r w:rsidRPr="009405D5">
        <w:t xml:space="preserve">A case study ran by Schellenberg et al. (2007) in which Japanese 5-year olds listened to either classical music or children’s music, found that children were more creative, more engaged in tasks </w:t>
      </w:r>
      <w:r w:rsidRPr="009405D5">
        <w:lastRenderedPageBreak/>
        <w:t>and engaged for longer when listening to children friendly music. The same case study also found that children were more engaged when they were able to sing along to the music.</w:t>
      </w:r>
      <w:r w:rsidR="003130A2">
        <w:t xml:space="preserve"> This informed our decision to have the children singing the songs along with us as part of the lesson.</w:t>
      </w:r>
      <w:r w:rsidR="00384A88" w:rsidRPr="00384A88">
        <w:t xml:space="preserve"> </w:t>
      </w:r>
      <w:r w:rsidR="00384A88">
        <w:t xml:space="preserve">Repetition in music can be used to further support cognitive engagement. </w:t>
      </w:r>
      <w:r w:rsidR="0077372C">
        <w:t>McPherson and Welch</w:t>
      </w:r>
      <w:r w:rsidR="00384A88" w:rsidRPr="00BA6F9E">
        <w:t xml:space="preserve"> (2018) </w:t>
      </w:r>
      <w:r w:rsidR="00384A88">
        <w:t>stress that</w:t>
      </w:r>
      <w:r w:rsidR="00384A88" w:rsidRPr="00BA6F9E">
        <w:t xml:space="preserve"> “Repetition and variation are fundamental features of children’s early… engagement with music” (p. 89).</w:t>
      </w:r>
      <w:r w:rsidR="00F25663">
        <w:t xml:space="preserve"> We decided that t</w:t>
      </w:r>
      <w:r w:rsidR="00384A88">
        <w:t xml:space="preserve">his would play a large part in our </w:t>
      </w:r>
      <w:r w:rsidR="00A0525F">
        <w:t>Lesson Study, as both</w:t>
      </w:r>
      <w:r w:rsidR="00384A88">
        <w:t xml:space="preserve"> my research partn</w:t>
      </w:r>
      <w:r w:rsidR="00F25663">
        <w:t xml:space="preserve">er </w:t>
      </w:r>
      <w:r w:rsidR="00A0525F">
        <w:t xml:space="preserve">and I </w:t>
      </w:r>
      <w:r w:rsidR="00F25663">
        <w:t>agreed</w:t>
      </w:r>
      <w:r w:rsidR="00384A88">
        <w:t xml:space="preserve"> that repetition of the songs would help to engage our children.</w:t>
      </w:r>
    </w:p>
    <w:p w:rsidR="00C6156E" w:rsidRDefault="00C6156E" w:rsidP="002F111E">
      <w:pPr>
        <w:spacing w:line="360" w:lineRule="auto"/>
      </w:pPr>
      <w:r>
        <w:t>Finally, behavioural engagement is defined by Wu et al. (2018) as the “positive academic and social conduct” (p. 233) in any particular learning activity. This need to behave in positive norms is an important dimension of positive engagement (Finn, 1993).</w:t>
      </w:r>
      <w:r w:rsidR="003130A2">
        <w:t xml:space="preserve"> </w:t>
      </w:r>
      <w:r>
        <w:t xml:space="preserve">Pound and Harrison (2003) support a notion of music encouraging behavioural engagement, suggesting that it teaches children to take turns, listen to others, and work as a group. They also believe it encourages a positive attitude to learning. A study </w:t>
      </w:r>
      <w:r w:rsidR="0077372C">
        <w:t>undertaken by Welch et al. (2012</w:t>
      </w:r>
      <w:r>
        <w:t>) shows clear evidence that “a programme of sustained singing in education can have a positive benefit on behaviour and development” (p. 83).</w:t>
      </w:r>
    </w:p>
    <w:p w:rsidR="00C6156E" w:rsidRDefault="00C6156E" w:rsidP="002F111E">
      <w:pPr>
        <w:spacing w:line="360" w:lineRule="auto"/>
      </w:pPr>
      <w:r w:rsidRPr="006A6EF7">
        <w:t xml:space="preserve">Mills (2009) argues her case for music to not only be taught in music specific lessons, but taught in a cross-curricular sense. She argues that music can be “organised as flexibly as any other subject” (p.131). </w:t>
      </w:r>
      <w:r>
        <w:t xml:space="preserve">Pound and Harrison </w:t>
      </w:r>
      <w:r w:rsidR="0062237B">
        <w:t xml:space="preserve">(2003) </w:t>
      </w:r>
      <w:r>
        <w:t>also insist that music can play an important part in helping to make links or connections across different areas of learning. As Mills puts it:</w:t>
      </w:r>
    </w:p>
    <w:p w:rsidR="00C6156E" w:rsidRDefault="00C6156E" w:rsidP="002F111E">
      <w:pPr>
        <w:spacing w:line="360" w:lineRule="auto"/>
        <w:ind w:left="720"/>
      </w:pPr>
      <w:r w:rsidRPr="006A6EF7">
        <w:t>“There are many situations in which music may be used as a learning medium, not just as an end to itself. Counting songs can be used to reinfo</w:t>
      </w:r>
      <w:r>
        <w:t>rce number concepts.” (p. 139).</w:t>
      </w:r>
    </w:p>
    <w:p w:rsidR="00C6156E" w:rsidRDefault="00C6156E" w:rsidP="002F111E">
      <w:pPr>
        <w:spacing w:line="360" w:lineRule="auto"/>
      </w:pPr>
      <w:r w:rsidRPr="006A6EF7">
        <w:t>This gave me the idea to teach a Maths based lesson through the medium of music.</w:t>
      </w:r>
    </w:p>
    <w:p w:rsidR="00C6156E" w:rsidRDefault="00C6156E" w:rsidP="002F111E">
      <w:pPr>
        <w:spacing w:line="360" w:lineRule="auto"/>
      </w:pPr>
    </w:p>
    <w:p w:rsidR="00C6156E" w:rsidRDefault="00C6156E" w:rsidP="002F111E">
      <w:pPr>
        <w:spacing w:line="360" w:lineRule="auto"/>
      </w:pPr>
    </w:p>
    <w:p w:rsidR="00C6156E" w:rsidRPr="00322D82" w:rsidRDefault="00C6156E" w:rsidP="002F111E">
      <w:pPr>
        <w:spacing w:line="360" w:lineRule="auto"/>
        <w:rPr>
          <w:b/>
          <w:sz w:val="24"/>
        </w:rPr>
      </w:pPr>
      <w:r w:rsidRPr="00322D82">
        <w:rPr>
          <w:b/>
          <w:sz w:val="24"/>
        </w:rPr>
        <w:t>Lesson Study</w:t>
      </w:r>
      <w:r w:rsidR="00322D82">
        <w:rPr>
          <w:b/>
          <w:sz w:val="24"/>
        </w:rPr>
        <w:t xml:space="preserve"> Design</w:t>
      </w:r>
    </w:p>
    <w:p w:rsidR="00C6156E" w:rsidRDefault="00A0525F" w:rsidP="002F111E">
      <w:pPr>
        <w:spacing w:line="360" w:lineRule="auto"/>
      </w:pPr>
      <w:r>
        <w:t>Once</w:t>
      </w:r>
      <w:r w:rsidR="00C6156E">
        <w:t xml:space="preserve"> my research partner </w:t>
      </w:r>
      <w:r>
        <w:t xml:space="preserve">and I </w:t>
      </w:r>
      <w:r w:rsidR="00C6156E">
        <w:t xml:space="preserve">had completed our review of the relevant literature and fine-tuned our research question, we needed to turn our attention to our proposed methodology that would be used to carry </w:t>
      </w:r>
      <w:r w:rsidR="00C6156E" w:rsidRPr="00E01195">
        <w:t>out</w:t>
      </w:r>
      <w:r w:rsidR="00C6156E">
        <w:t xml:space="preserve"> the research. The key methodology in question was a Lesson Study approach.</w:t>
      </w:r>
    </w:p>
    <w:p w:rsidR="00C6156E" w:rsidRDefault="00C6156E" w:rsidP="002F111E">
      <w:pPr>
        <w:spacing w:line="360" w:lineRule="auto"/>
      </w:pPr>
      <w:r>
        <w:t>The Department for Education (2009) defines lesson study as “a model of professional development where a group of teachers collaboratively plan, deliver, observe and discuss lessons that have a particular pedagogic focus” (p. 3). Lesson Study has been in use in Japan since the 19</w:t>
      </w:r>
      <w:r w:rsidRPr="00107C01">
        <w:rPr>
          <w:vertAlign w:val="superscript"/>
        </w:rPr>
        <w:t>th</w:t>
      </w:r>
      <w:r>
        <w:t xml:space="preserve"> Century, but was first successfully integrated in the UK by Peter Dudley in 2001. Dudley (2014) highlights </w:t>
      </w:r>
      <w:r>
        <w:lastRenderedPageBreak/>
        <w:t>numerous positives that teachers, schools, and pupils can get through joint planning, observation and analysis. He emphasises that through working in a group you will see aspects of learning through the eyes of others, which makes teachers become “</w:t>
      </w:r>
      <w:r w:rsidRPr="001B0611">
        <w:t>conscious of things we would normally not be conscious</w:t>
      </w:r>
      <w:r>
        <w:t xml:space="preserve"> of” (p. 4). </w:t>
      </w:r>
      <w:r w:rsidR="00AE7143">
        <w:t xml:space="preserve">Avalos (2011) stress that it is not only for the professional development of the teacher, but also for “the benefit of their students’ growth” (p. 10). </w:t>
      </w:r>
      <w:r>
        <w:t>It was clear that this would be an effective way to carry out the research study, not just for our own practice but also for our pupils.</w:t>
      </w:r>
      <w:r w:rsidR="008F20A3" w:rsidRPr="008F20A3">
        <w:t xml:space="preserve"> </w:t>
      </w:r>
    </w:p>
    <w:p w:rsidR="00C6156E" w:rsidRDefault="00C6156E" w:rsidP="002F111E">
      <w:pPr>
        <w:spacing w:line="360" w:lineRule="auto"/>
      </w:pPr>
      <w:r>
        <w:t>An important factor in Lesson Study is the use of case pupils. These pupils are the children that will be observed during the Lesson Study; although the rest of the class will be present for the lesson, they will not be taken into account. In the case of UK Lesson Study there are three focus pupils, however Lesson Studies templates in other countries are less strict on the amount of case pupils used. For our Lesson Study we decided to use four case pupils, as we felt this would give us a slightly broader overview of research. We chose our four case pupils at random as random samples and are “</w:t>
      </w:r>
      <w:r w:rsidRPr="00994E57">
        <w:t>unbiased samples because they tend to be representative of the populations from which they come”</w:t>
      </w:r>
      <w:r>
        <w:t xml:space="preserve"> </w:t>
      </w:r>
      <w:r w:rsidRPr="00994E57">
        <w:t>(Johnson and Christensen,</w:t>
      </w:r>
      <w:r>
        <w:t xml:space="preserve"> 2014,</w:t>
      </w:r>
      <w:r w:rsidRPr="00994E57">
        <w:t xml:space="preserve"> p. 217)</w:t>
      </w:r>
      <w:r>
        <w:t>. We wanted our case pupils to be fully representative of our classes.</w:t>
      </w:r>
    </w:p>
    <w:p w:rsidR="00C6156E" w:rsidRDefault="00C6156E" w:rsidP="002F111E">
      <w:pPr>
        <w:spacing w:line="360" w:lineRule="auto"/>
      </w:pPr>
      <w:r>
        <w:t>The methods of data collection used for this Lesson Study are: observation, focus group interviews, and reflection.</w:t>
      </w:r>
    </w:p>
    <w:p w:rsidR="00C6156E" w:rsidRDefault="00C6156E" w:rsidP="002F111E">
      <w:pPr>
        <w:spacing w:line="360" w:lineRule="auto"/>
        <w:rPr>
          <w:b/>
        </w:rPr>
      </w:pPr>
      <w:r w:rsidRPr="00322D82">
        <w:rPr>
          <w:b/>
          <w:sz w:val="24"/>
        </w:rPr>
        <w:t>Observation</w:t>
      </w:r>
    </w:p>
    <w:p w:rsidR="00C6156E" w:rsidRDefault="00C6156E" w:rsidP="002F111E">
      <w:pPr>
        <w:spacing w:line="360" w:lineRule="auto"/>
      </w:pPr>
      <w:r>
        <w:t>For our observations we used a rating scale to assist us. The rating scale used was</w:t>
      </w:r>
      <w:r w:rsidR="0077372C">
        <w:t xml:space="preserve"> the Leuven scale (Laevers, 1994</w:t>
      </w:r>
      <w:r>
        <w:t>), which was effective in our Lesson Study as we were measuring engagement (or “involvement”, as he puts it). This scale has five different levels of involvement, and is also tailor made for ea</w:t>
      </w:r>
      <w:r w:rsidR="00A04009">
        <w:t xml:space="preserve">rly childhood (see Appendix A </w:t>
      </w:r>
      <w:r>
        <w:t xml:space="preserve">for the five different levels). Laevers (2003) suggests that for a child to be truly mentally engaged with an activity, they should be scoring either a 4 or 5 on the scale. </w:t>
      </w:r>
      <w:r w:rsidRPr="00611124">
        <w:t>Palaiologou</w:t>
      </w:r>
      <w:r>
        <w:t xml:space="preserve"> (2012) notes that for rating scales to be truly representative of the children you are observing, the observer should know the children very well and be able to “interpret” (p. 113) their behaviours. Although the case pupils and their usual behaviours were discussed prior to the lesson study, it cannot truly be argued that we knew the children in our respective classes that well.</w:t>
      </w:r>
      <w:r w:rsidRPr="00A43278">
        <w:t xml:space="preserve"> </w:t>
      </w:r>
      <w:r>
        <w:t>Another opinion that could be considered is that of Skinner et al. (2009), who suggested that if someone’s emotions are negative in that moment then it could significantly affect their engagement. This would not necessarily have anything to do with the lesson. This is another reason the Leuven scale could be called into question when looking for reliable results.</w:t>
      </w:r>
    </w:p>
    <w:p w:rsidR="00C6156E" w:rsidRPr="001D1767" w:rsidRDefault="00C6156E" w:rsidP="002F111E">
      <w:pPr>
        <w:spacing w:line="360" w:lineRule="auto"/>
      </w:pPr>
      <w:r>
        <w:lastRenderedPageBreak/>
        <w:t>For both lessons we attempted to use an “observation point” strategy (Chesterfield, 2008, p. 8), in which a researcher finds a point from which the whole classroom is visible. This helped when using the Leuven scale, as we could quickly visually sweep the room to take our observations. We discussed using a “piece of the furniture” observational study, but decided it was best to acknowledge that there was a new person in the room. Cox (2000) noted that a particular problem with observation is the potential of the “observer effect” (or Hawthorne effect), where a participant’s behaviour may be affected by the very fact an observer is in the room.</w:t>
      </w:r>
      <w:r w:rsidR="00A0525F">
        <w:t xml:space="preserve"> My </w:t>
      </w:r>
      <w:r>
        <w:t>research partner</w:t>
      </w:r>
      <w:r w:rsidR="00A0525F">
        <w:t xml:space="preserve"> and I</w:t>
      </w:r>
      <w:r>
        <w:t xml:space="preserve"> were aware of this effect and its implications. On one hand we knew this could not be avoided, but also we felt that due to the age range of our children (3 to 5) they would probably not see my research partner as an “observer”. This was helped by the fact that we were both placed in the same school, so our partner’s classes were slightly accustomed to us. </w:t>
      </w:r>
    </w:p>
    <w:p w:rsidR="00C6156E" w:rsidRPr="00322D82" w:rsidRDefault="00C6156E" w:rsidP="002F111E">
      <w:pPr>
        <w:spacing w:line="360" w:lineRule="auto"/>
        <w:rPr>
          <w:b/>
          <w:sz w:val="24"/>
        </w:rPr>
      </w:pPr>
      <w:r w:rsidRPr="00322D82">
        <w:rPr>
          <w:b/>
          <w:sz w:val="24"/>
        </w:rPr>
        <w:t>Interview Focus Group</w:t>
      </w:r>
    </w:p>
    <w:p w:rsidR="00C6156E" w:rsidRDefault="00C6156E" w:rsidP="002F111E">
      <w:pPr>
        <w:spacing w:line="360" w:lineRule="auto"/>
      </w:pPr>
      <w:r>
        <w:t>Interviews with the case pupils are an integral component of UK Lesson Study. Dudley (2014) suggests that these interviews can take place individually or in a group. We initially decided to use focus-group discussions as opposed to one-to-one interviews for a variety of different reasons. The advantages</w:t>
      </w:r>
      <w:r w:rsidR="0077372C">
        <w:t xml:space="preserve"> of focus groups have been noted (</w:t>
      </w:r>
      <w:r>
        <w:t xml:space="preserve">Breen, 2006). Breen puts forward a table summarising the advantages of focus groups, namely that they provide a social environment in which children can articulate their opinions. Breen does, however, put forward an argument against focus group discussion is that reflection “could be distorted if social pressure were placed on the individual” (p. 466). There are ultimately negatives and positives to both, and we struggled at first with </w:t>
      </w:r>
      <w:r w:rsidR="004010B9">
        <w:t>the</w:t>
      </w:r>
      <w:r>
        <w:t xml:space="preserve"> way in which we should interview</w:t>
      </w:r>
      <w:r w:rsidR="004010B9">
        <w:t>.</w:t>
      </w:r>
      <w:r>
        <w:t xml:space="preserve"> </w:t>
      </w:r>
    </w:p>
    <w:p w:rsidR="00C6156E" w:rsidRDefault="004010B9" w:rsidP="002F111E">
      <w:pPr>
        <w:spacing w:line="360" w:lineRule="auto"/>
      </w:pPr>
      <w:r>
        <w:t>The interviews</w:t>
      </w:r>
      <w:r w:rsidR="00C6156E" w:rsidRPr="003B1C46">
        <w:t xml:space="preserve"> will provide </w:t>
      </w:r>
      <w:r>
        <w:t xml:space="preserve">us with </w:t>
      </w:r>
      <w:r w:rsidR="00C6156E" w:rsidRPr="003B1C46">
        <w:t>qualitative information, as opposed to quantitative. Mack et al. (2005) suggest that the key difference of qualitative data is that it is more flexible. Questions will be more open-ended, and therefore participants are free to respond in their own words. As we were working with children between the ages of 3 to 5, we were aware that answers would not necessarily be complex, but we wanted to give children the freedom</w:t>
      </w:r>
      <w:r>
        <w:t xml:space="preserve"> to answer however they wanted.</w:t>
      </w:r>
      <w:r w:rsidR="0025027A">
        <w:t xml:space="preserve"> Our research also informed us that due to the age of our children we needed to ask questions in a carefully considered and non-leading way (O’Reilly and Dogra, 2017). </w:t>
      </w:r>
    </w:p>
    <w:p w:rsidR="00C6156E" w:rsidRPr="00322D82" w:rsidRDefault="00C6156E" w:rsidP="002F111E">
      <w:pPr>
        <w:spacing w:line="360" w:lineRule="auto"/>
        <w:rPr>
          <w:b/>
          <w:sz w:val="24"/>
        </w:rPr>
      </w:pPr>
      <w:r w:rsidRPr="00322D82">
        <w:rPr>
          <w:b/>
          <w:sz w:val="24"/>
        </w:rPr>
        <w:t>Reflective notes</w:t>
      </w:r>
    </w:p>
    <w:p w:rsidR="00A50279" w:rsidRDefault="00C6156E" w:rsidP="002F111E">
      <w:pPr>
        <w:spacing w:line="360" w:lineRule="auto"/>
      </w:pPr>
      <w:r>
        <w:t>For the critical reflection of our lessons,</w:t>
      </w:r>
      <w:r w:rsidR="00A50279">
        <w:t xml:space="preserve"> following much deliberation,</w:t>
      </w:r>
      <w:r>
        <w:t xml:space="preserve"> we d</w:t>
      </w:r>
      <w:r w:rsidR="0077372C">
        <w:t>ecided to use Brookfield’s (2017</w:t>
      </w:r>
      <w:r>
        <w:t xml:space="preserve">) Four Lenses. These Four Lenses is question are four different perspectives with which you can reflect: our own perspective, our partner’s perspective, our learners’ perspective, and the </w:t>
      </w:r>
      <w:r>
        <w:lastRenderedPageBreak/>
        <w:t>perspective of relevant literature. Using this model as opposed to a self-reflective model is integral to Brookfield, suggesting that it allows us to “teach more responsively” (p. 35). We agreed with Brookfield’s outlook, believing that using four different perspectives for our reflections would help to improve the validity of our judgements</w:t>
      </w:r>
      <w:r w:rsidR="00A50279">
        <w:t>, especially when comparing our reflecti</w:t>
      </w:r>
      <w:r w:rsidR="0077372C">
        <w:t>ons to the relevant literature.</w:t>
      </w:r>
    </w:p>
    <w:p w:rsidR="00C6156E" w:rsidRDefault="00C6156E" w:rsidP="002F111E">
      <w:pPr>
        <w:spacing w:line="360" w:lineRule="auto"/>
      </w:pPr>
      <w:r>
        <w:t xml:space="preserve">Our reflections will be discussed in more depth during the evaluation of our lesson study, in which Brookfield’s Four Lenses helped us to improve our second </w:t>
      </w:r>
      <w:r w:rsidR="00E85C93">
        <w:t>lesson</w:t>
      </w:r>
      <w:r>
        <w:t>.</w:t>
      </w:r>
    </w:p>
    <w:p w:rsidR="00C6156E" w:rsidRDefault="00C6156E" w:rsidP="002F111E">
      <w:pPr>
        <w:spacing w:line="360" w:lineRule="auto"/>
      </w:pPr>
    </w:p>
    <w:p w:rsidR="00C6156E" w:rsidRPr="00322D82" w:rsidRDefault="00C6156E" w:rsidP="002F111E">
      <w:pPr>
        <w:spacing w:line="360" w:lineRule="auto"/>
        <w:rPr>
          <w:b/>
          <w:sz w:val="24"/>
        </w:rPr>
      </w:pPr>
      <w:r w:rsidRPr="00322D82">
        <w:rPr>
          <w:b/>
          <w:sz w:val="24"/>
        </w:rPr>
        <w:t>Ethical Considerations</w:t>
      </w:r>
    </w:p>
    <w:p w:rsidR="00C6156E" w:rsidRDefault="00C6156E" w:rsidP="002F111E">
      <w:pPr>
        <w:spacing w:line="360" w:lineRule="auto"/>
      </w:pPr>
      <w:r>
        <w:t>Due to the nature of our research there were a number of ethical considerations to consider and address. Two guidelines were followed throughout the whole Lesson Study process, from conception to completion: The British Educational Research Association (BERA, 2018) regulations and the University of Wales Trinity Saint David Research Ethics &amp; Integrity Code of Practice (2017). We were aware of the importance of adhering to these ethical regulations throughout our research, a point emphasised by BERA: “ethical decision-making becomes an actively deliberative, ongoing and iterative process of assessing and reassessing the situation and issues as they arise” (p. 2).</w:t>
      </w:r>
    </w:p>
    <w:p w:rsidR="00C6156E" w:rsidRDefault="00C6156E" w:rsidP="002F111E">
      <w:pPr>
        <w:spacing w:line="360" w:lineRule="auto"/>
      </w:pPr>
      <w:r>
        <w:t>Prior to conducting any research or planning for the lesson study a form for ethical approval was co</w:t>
      </w:r>
      <w:r w:rsidR="00A0525F">
        <w:t>mpleted and signed by</w:t>
      </w:r>
      <w:r>
        <w:t xml:space="preserve"> my research partner</w:t>
      </w:r>
      <w:r w:rsidR="00A0525F">
        <w:t xml:space="preserve"> and me</w:t>
      </w:r>
      <w:r>
        <w:t>. This was then sent off, analysed by the University, and signed.</w:t>
      </w:r>
    </w:p>
    <w:p w:rsidR="00C6156E" w:rsidRDefault="00C6156E" w:rsidP="002F111E">
      <w:pPr>
        <w:spacing w:line="360" w:lineRule="auto"/>
      </w:pPr>
      <w:r>
        <w:t>The ethical considerations to be made for our Lesson Study were mainly through consequence of the use of case pupils. These children</w:t>
      </w:r>
      <w:r w:rsidRPr="00FB3A39">
        <w:t xml:space="preserve"> would be observed, notes would be made regarding these observations, and certain children would take part in semi-structured interviews</w:t>
      </w:r>
      <w:r>
        <w:t>, and we had to gain consent to do this. To combat this, consent forms</w:t>
      </w:r>
      <w:r w:rsidR="00A04009">
        <w:t xml:space="preserve"> (Appendix B) and information sheets </w:t>
      </w:r>
      <w:r>
        <w:t>were sent out for parental/guardian consent. These consent forms ensured confidentiality and anonymity. To ensure anonymity, pupils participating were referred to using their initials.</w:t>
      </w:r>
    </w:p>
    <w:p w:rsidR="00C6156E" w:rsidRDefault="00C6156E" w:rsidP="002F111E">
      <w:pPr>
        <w:spacing w:line="360" w:lineRule="auto"/>
      </w:pPr>
      <w:r>
        <w:t>Throughout our research, the school and any and all affiliates also remained anonymous.</w:t>
      </w:r>
    </w:p>
    <w:p w:rsidR="00C6156E" w:rsidRPr="0081390B" w:rsidRDefault="00C6156E" w:rsidP="002F111E">
      <w:pPr>
        <w:spacing w:line="360" w:lineRule="auto"/>
      </w:pPr>
    </w:p>
    <w:p w:rsidR="00C6156E" w:rsidRPr="00322D82" w:rsidRDefault="00C6156E" w:rsidP="002F111E">
      <w:pPr>
        <w:spacing w:line="360" w:lineRule="auto"/>
        <w:rPr>
          <w:b/>
          <w:sz w:val="24"/>
        </w:rPr>
      </w:pPr>
      <w:r w:rsidRPr="00322D82">
        <w:rPr>
          <w:b/>
          <w:sz w:val="24"/>
        </w:rPr>
        <w:t>Lesson Study 1 Results and Analysis</w:t>
      </w:r>
    </w:p>
    <w:p w:rsidR="00322D82" w:rsidRDefault="00322D82" w:rsidP="002F111E">
      <w:pPr>
        <w:spacing w:line="360" w:lineRule="auto"/>
      </w:pPr>
      <w:r>
        <w:t>Throughout my results and analysis, I will refer back to the relevant literature where appropriate. I will then provide a brief summary of our findings in relation to the relevant literature and research.</w:t>
      </w:r>
    </w:p>
    <w:p w:rsidR="00C6156E" w:rsidRDefault="00C6156E" w:rsidP="002F111E">
      <w:pPr>
        <w:spacing w:line="360" w:lineRule="auto"/>
      </w:pPr>
      <w:r>
        <w:lastRenderedPageBreak/>
        <w:t>We began our Lesson Study in my Reception class.</w:t>
      </w:r>
      <w:r w:rsidRPr="00042152">
        <w:t xml:space="preserve"> </w:t>
      </w:r>
      <w:r>
        <w:t>I decided to use maths as the focus of my lesson as I had found in my literature review that music can be at its most engaging when it is used</w:t>
      </w:r>
      <w:r w:rsidR="0077372C">
        <w:t xml:space="preserve"> for cross-curricular purposes. </w:t>
      </w:r>
      <w:r>
        <w:t>For my lesson the learning objective was to understand sequencing and order (first, second, third etc.) and to use this understanding to sequence instructions. The instructions in this particular case would be sequenced for the children to make thei</w:t>
      </w:r>
      <w:r w:rsidR="00F25663">
        <w:t xml:space="preserve">r own bird feeders (see </w:t>
      </w:r>
      <w:r>
        <w:t>PowerPoint slides;</w:t>
      </w:r>
      <w:r w:rsidR="00F25663">
        <w:t xml:space="preserve"> Appendix C</w:t>
      </w:r>
      <w:r>
        <w:t>). In order for my lesson to work I needed to write songs that could</w:t>
      </w:r>
      <w:r w:rsidR="00A04009">
        <w:t xml:space="preserve"> engage my class. </w:t>
      </w:r>
      <w:r>
        <w:t>The first of these two songs described the importance of a sequence, the second song then made this sequence information relevant to the making of the bird feeders.</w:t>
      </w:r>
      <w:r w:rsidRPr="00A01379">
        <w:t xml:space="preserve"> The role of music in helping to aid mathematical development is one that has been supported and discussed in length (Pound and Harrison, 2003; Egan, 1991), suggesting that learning to count is strongly supported by the use of number rhymes and songs.</w:t>
      </w:r>
      <w:r>
        <w:t xml:space="preserve"> During both songs, I would play the guitar as I sung.</w:t>
      </w:r>
    </w:p>
    <w:p w:rsidR="00C6156E" w:rsidRDefault="00C6156E" w:rsidP="002F111E">
      <w:pPr>
        <w:spacing w:line="360" w:lineRule="auto"/>
      </w:pPr>
      <w:r>
        <w:t>Prior to the lesson, I handed my research partner the observation schedule. We then discussed the details of the lesson and once again discussed the pupils that my research partner would be observing. I reemphasised the appearance of the children, and also discussed some of their personality traits. Although this did not give my research partner a truly deep understanding of my case pupils, I felt that it could aid my research partner and improve the effectiveness of the rating scale (</w:t>
      </w:r>
      <w:r w:rsidRPr="00611124">
        <w:t>Palaiologou</w:t>
      </w:r>
      <w:r>
        <w:t xml:space="preserve">, 2012). My research partner then positioned himself at the “observation point” (Chesterfield, 2008), ready for the class to return from play time. This observation point was to the side of the carpet, where we believed observation would be at its most effective. The children were seated around the edge of the carpet in a large square. The session was a thirty-minute session, taking place after first place and before lunch (11.00 – 11.30). </w:t>
      </w:r>
    </w:p>
    <w:p w:rsidR="00C6156E" w:rsidRDefault="00C6156E" w:rsidP="002F111E">
      <w:pPr>
        <w:spacing w:line="360" w:lineRule="auto"/>
      </w:pPr>
      <w:r>
        <w:t>In order for the songs to be at their most engaging, I got the children to repeat the lyrics I was singing. By the last time we had sung as a class, many of the children were singing lyrics without prompting. Pound and Harrison (2003) encourage repetition as “[c]hildren enjoy frequent repetition of the same song” (p. 29). As the pupils became more confident with the lyrics/sequence of instructions, they also became more engaged. I also got the children to put the corresponding fingers up when singing the numbers of a sequence (index finger for ‘first’ and so on). Ramachandran and Blakeslee (1999) suggest that the way in which music supports memory is further enhanced when actions using fingers are added, suggesting that the use of fingers and counting are concerned with the same area of the brain.</w:t>
      </w:r>
    </w:p>
    <w:p w:rsidR="00C6156E" w:rsidRDefault="00C6156E" w:rsidP="002F111E">
      <w:pPr>
        <w:spacing w:line="360" w:lineRule="auto"/>
      </w:pPr>
      <w:r>
        <w:lastRenderedPageBreak/>
        <w:t>The lesson was a success i</w:t>
      </w:r>
      <w:r w:rsidR="00E85C93">
        <w:t>n a number of ways. Prior to my</w:t>
      </w:r>
      <w:r>
        <w:t xml:space="preserve"> music</w:t>
      </w:r>
      <w:r w:rsidR="00E85C93">
        <w:t>al inputs, the</w:t>
      </w:r>
      <w:r>
        <w:t xml:space="preserve"> pupils were engaged with the PowerPoint. The behaviour throughout the lesson was also good, children were attentive throughout. This helped me to transition between moments of no music and music more effectively. </w:t>
      </w:r>
    </w:p>
    <w:p w:rsidR="00C6156E" w:rsidRDefault="00C6156E" w:rsidP="002F111E">
      <w:pPr>
        <w:spacing w:line="360" w:lineRule="auto"/>
      </w:pPr>
      <w:r>
        <w:t>The first song was well received by the pupils. Although they had no prior knowledge of the song, they attempted to sing along and enjoyed repeating the song (see above). As show</w:t>
      </w:r>
      <w:r w:rsidR="00A04009">
        <w:t>n in the observation schedule (A</w:t>
      </w:r>
      <w:r>
        <w:t>ppendix</w:t>
      </w:r>
      <w:r w:rsidR="00A04009">
        <w:t xml:space="preserve"> D</w:t>
      </w:r>
      <w:r>
        <w:t>), the pupil’s engagement did increase during the listening and singing of the song. On the Leuven scale all four of our case pupils scored a ‘4’ for engagement when the music was playing, as opposed to a ‘3’ prior to the music. This suggests that whilst the guitar was being played, moments of “intense mental activity” (Laevers, 2003, p. 16) were occurring. Their engagement increased particularly when they were encouraged to sing along. My research partner also noted that the use of actions in the song appeared to further engage my pupils.</w:t>
      </w:r>
    </w:p>
    <w:p w:rsidR="00C6156E" w:rsidRDefault="00C6156E" w:rsidP="002F111E">
      <w:pPr>
        <w:spacing w:line="360" w:lineRule="auto"/>
      </w:pPr>
      <w:r>
        <w:t>After a short break from music where we discussed the ingredients of a “pinecone bird feeder” (pinecone, fruit, lard, seeds, and string), where engagement levels of all four children again dropped back down to a ‘3’. We spent a few minutes discussing the sequence in which the ingredients would be used, and I then introduced the second song. The song took the theme of sequencing from the first song, but applied it to the building of the bird feeder. By linking the first and second song, I hoped to engage the children and help to develop a coherent understandi</w:t>
      </w:r>
      <w:r w:rsidR="00E85C93">
        <w:t>ng of the concept of sequencing</w:t>
      </w:r>
      <w:r>
        <w:t>. The song differed from the last in that it encouraged a ‘call and response’ from the pupils in hope that it would help to even further engage the pupils. My research partner noted that engagement again increased back up to a ‘4’ on the Leuven scale for all four of the case pupils. My research partner also observed an improvement in behaviour whilst I was playing the guitar. This supported the beliefs of Pound and Harrison (2003) that by teaching children to listen, music can encourage a positive attitude to learning.</w:t>
      </w:r>
    </w:p>
    <w:p w:rsidR="00C6156E" w:rsidRDefault="00C6156E" w:rsidP="002F111E">
      <w:pPr>
        <w:spacing w:line="360" w:lineRule="auto"/>
      </w:pPr>
      <w:r>
        <w:t>The first thing we agreed that would need to be changed from the first lesson was the seating plan. Due to the children sitting around the edge of the carpet, fa</w:t>
      </w:r>
      <w:r w:rsidR="00A0525F">
        <w:t>cing me, my research partner had</w:t>
      </w:r>
      <w:r>
        <w:t xml:space="preserve"> a limited view of two of the children he was meant to be observing. As we were using the Leuven scale it was integral that my research partner could see the faces of the pupils, as it would have helped to indicate their engagement levels. For the next lesson the seating plan and my observation point would need to be changed. One positive we did note of my research partner’s observation point was that it was less intrusive and may have minimised the observer effect (Cox, 2000). The Leuven scale was effective but my research partner suggested that it could be improved. This was due to the fact that my research partner was unsure as to whether it was the guitar or the singing that was most engaging the pupils. He proposed a new observation schedule in which there were more layers to </w:t>
      </w:r>
      <w:r>
        <w:lastRenderedPageBreak/>
        <w:t xml:space="preserve">the music being used, including sections where singing was used without guitar and also a section where a different format of music was used alongside singing (YouTube audio of the song). As he suggested this to me I saw one of the benefits of the Lesson Study in action, in which I was made aware of something that I would probably not have normally consider (Dudley, 2014). </w:t>
      </w:r>
    </w:p>
    <w:p w:rsidR="00C6156E" w:rsidRDefault="00C6156E" w:rsidP="002F111E">
      <w:pPr>
        <w:spacing w:line="360" w:lineRule="auto"/>
      </w:pPr>
      <w:r>
        <w:t>After the lesson, we conducted our interviews. I suggested that it was better to ask the children our focus questions individually. The questions were fairly open, as discussed in our Lesson Study design (see Appendix</w:t>
      </w:r>
      <w:r w:rsidR="00A04009">
        <w:t xml:space="preserve"> E</w:t>
      </w:r>
      <w:r>
        <w:t>). I was wary of pulling the children away from play time so the questions were asked during play. This did, however, seem to affect the engagement during the questions. One of our concerns when designing the Lesson Study was that there may be limited responses to the questions due to their age. This proved to be the case as a number of the answers were of very few words. Despite the questions being open-ended, leaving room for extended answers, a number of the answers were “yes” or “no”. These responses helped to shape our next lesson, as we decided that a focus-group interview could generate better responses. We also inferred that it would be better to have audio evidence. We discussed the use of voice recordings with our senior mentor and were able to gain permission in compliance with BERA (2018) regulations.</w:t>
      </w:r>
    </w:p>
    <w:p w:rsidR="00A50279" w:rsidRDefault="00A50279" w:rsidP="002F111E">
      <w:pPr>
        <w:spacing w:line="360" w:lineRule="auto"/>
      </w:pPr>
      <w:r>
        <w:t xml:space="preserve">Following on from our Lesson Study we immediately discussed and filled in our reflection. As discussed in our Lesson Study design, we used Brookfield’s Four Lenses. Thanks to our interview with our case pupils we were able to complete </w:t>
      </w:r>
      <w:r w:rsidR="000778A0">
        <w:t>three of the four perspectives, including our learners. We would relate these to relevant literature at a later date.</w:t>
      </w:r>
    </w:p>
    <w:p w:rsidR="00C6156E" w:rsidRDefault="00C6156E" w:rsidP="002F111E">
      <w:pPr>
        <w:spacing w:line="360" w:lineRule="auto"/>
      </w:pPr>
      <w:r>
        <w:t>Once the lesson study had been completed, I continued to use the song as a point of reference for the order of instructions to build the bird feeders. The following day I was working with a group of my less able learners. They struggled to recall the order in which the bird feeders were built until I started singing the song. The children then began reciting the lyrics and remembered the order. This proved to me that even outside of the lesson study itself, engagement in the music could be high.</w:t>
      </w:r>
    </w:p>
    <w:p w:rsidR="00C6156E" w:rsidRDefault="00C6156E" w:rsidP="002F111E">
      <w:pPr>
        <w:spacing w:line="360" w:lineRule="auto"/>
      </w:pPr>
    </w:p>
    <w:p w:rsidR="00C6156E" w:rsidRPr="00322D82" w:rsidRDefault="00C6156E" w:rsidP="002F111E">
      <w:pPr>
        <w:spacing w:line="360" w:lineRule="auto"/>
        <w:rPr>
          <w:b/>
          <w:sz w:val="24"/>
        </w:rPr>
      </w:pPr>
      <w:r w:rsidRPr="00322D82">
        <w:rPr>
          <w:b/>
          <w:sz w:val="24"/>
        </w:rPr>
        <w:t>Lesson Study 2 results and analysis</w:t>
      </w:r>
    </w:p>
    <w:p w:rsidR="00C6156E" w:rsidRDefault="00C6156E" w:rsidP="002F111E">
      <w:pPr>
        <w:spacing w:line="360" w:lineRule="auto"/>
      </w:pPr>
      <w:r>
        <w:t xml:space="preserve">The second lesson took place in my research partners Nursery class. After thorough discussion, my research partner developed his lesson that would use </w:t>
      </w:r>
      <w:r w:rsidRPr="0071524B">
        <w:rPr>
          <w:i/>
        </w:rPr>
        <w:t xml:space="preserve">different </w:t>
      </w:r>
      <w:r>
        <w:t xml:space="preserve">approaches to structured musical input, such as recordings. I agreed that it could be beneficial in giving us an idea of the type of structured musical input that could be best. Pound and Harrison (2003) suggest that a disadvantage of pre-recorded music is that children are unable to see how the sounds are produced. We knew </w:t>
      </w:r>
      <w:r>
        <w:lastRenderedPageBreak/>
        <w:t>that playing the guitar and singing along with and prompting the children would still play a massive part in the second lesson study, but thought that it could be interesting to add new elements.</w:t>
      </w:r>
    </w:p>
    <w:p w:rsidR="00C6156E" w:rsidRDefault="00C6156E" w:rsidP="002F111E">
      <w:pPr>
        <w:spacing w:line="360" w:lineRule="auto"/>
      </w:pPr>
      <w:r>
        <w:t>His lesson was an oracy lesson centred around the nursery rhyme “Bingo Was His Name”. The aim of his lesson was for his pupils to follow his instruction, and to be able to repeat the words of the song. One focus of his lesson was to encourage children to understand the beat of the music, in particular during the chorus. Pound and Harrison (2003) suggest that beat can be understood by even young children because music is “felt”. To support the children’s understanding of the beat, clapping along was encouraged. As discussed following my lesson, my observation point was at the front of the class. Prior to the lesson I was given descriptions and names of the children I would observe and my observation schedule</w:t>
      </w:r>
      <w:r w:rsidR="00F25663">
        <w:t xml:space="preserve"> (see Appendix</w:t>
      </w:r>
      <w:r w:rsidR="00A04009">
        <w:t xml:space="preserve"> F</w:t>
      </w:r>
      <w:r w:rsidR="00F25663">
        <w:t>)</w:t>
      </w:r>
      <w:r>
        <w:t xml:space="preserve">. He informed me that one of the case pupils (Child C) had not been diagnosed with any learning difficulties, but did struggle with engagement during all lessons. I was introduced as a visitor who wanted to see how well the class could sing. By chance, there was a vast difference in the ability levels of the children I was observing. This gave us a wider range of pupils of differing abilities. </w:t>
      </w:r>
    </w:p>
    <w:p w:rsidR="00C6156E" w:rsidRDefault="00C6156E" w:rsidP="002F111E">
      <w:pPr>
        <w:spacing w:line="360" w:lineRule="auto"/>
      </w:pPr>
      <w:r>
        <w:t>The lesson took place for exactly the same length as mine, and at the same time in the day: 11:00 – 11:30. We did this as we wanted our Leuven scale results to be more fairly comparable. Had we taken both Lesson Studies at different times in the day, children may have had different energy levels, and energy levels can play a large part in emotional engagement (Marzano and Pickering, 2011).</w:t>
      </w:r>
    </w:p>
    <w:p w:rsidR="00C6156E" w:rsidRDefault="00C6156E" w:rsidP="002F111E">
      <w:pPr>
        <w:spacing w:line="360" w:lineRule="auto"/>
      </w:pPr>
      <w:r>
        <w:t xml:space="preserve">My research partner began his lesson with an introduction recapping how his class had been learning about different animals on the farm. He then went on to explain about a dog on the farm named ‘Bingo’, and that he had learnt a song about the dog. As discussed following my lesson, the structured use of music had changed from my lesson. Firstly, my research partner sang the lyrics to the song through with no musical accompaniment. He repeated this twice more, encouraging the children to sing along and supporting them. With all case children, engagement levels for the singing with no musical accompaniment were at their lowest throughout the lesson (Child A and Child D scoring ‘3’, Child B scoring ‘4’, and Child C scoring just ‘1’). He then moved onto singing whilst playing the guitar. This caused an increase in the engagement levels of all four children (Child A, Child B and Child D were now all scoring ‘4’ for engagement levels, whereas Child C scored a ‘2’). This was followed by the music being played on a YouTube video, with the children again encouraged to sing along. This was the most engaging musical input, with both Child A and Child B at peak engagement and reaching ‘5’ on the Leuven scale, although this may have been due to the fact the children were becoming more accustomed to the song. </w:t>
      </w:r>
      <w:r w:rsidR="001C522F">
        <w:t xml:space="preserve">This </w:t>
      </w:r>
      <w:r w:rsidR="00F25663">
        <w:t>supported</w:t>
      </w:r>
      <w:r w:rsidR="001C522F">
        <w:t xml:space="preserve"> </w:t>
      </w:r>
      <w:r>
        <w:t xml:space="preserve">McPherson </w:t>
      </w:r>
      <w:r w:rsidR="0077372C">
        <w:t xml:space="preserve">and Welch’s </w:t>
      </w:r>
      <w:r>
        <w:t xml:space="preserve">(2018) </w:t>
      </w:r>
      <w:r w:rsidR="001C522F">
        <w:t xml:space="preserve">views on </w:t>
      </w:r>
      <w:r w:rsidR="001C522F">
        <w:lastRenderedPageBreak/>
        <w:t>the relationship between repetition and engagement with music.</w:t>
      </w:r>
      <w:r>
        <w:t xml:space="preserve"> Child D stayed at a level ‘4’ and Child D stayed at level ‘2’. Finally, my research partner put on an instrumental version of the song with no guide vocal. With no guide vocal and little support from my research partner the children’s engagement levels again dropped, with Child A and B again dropping down to a ‘4’.</w:t>
      </w:r>
    </w:p>
    <w:p w:rsidR="00C6156E" w:rsidRDefault="00C6156E" w:rsidP="002F111E">
      <w:pPr>
        <w:spacing w:line="360" w:lineRule="auto"/>
      </w:pPr>
      <w:r>
        <w:t>As with our first Lesson Study, children appeared more engaged with a musical input than when my research partner was speaking. Of our focus children, three were engaged with all musical inputs. The only child that struggled to engage (Child C) was the child that my research partner believed could have struggled.</w:t>
      </w:r>
    </w:p>
    <w:p w:rsidR="00C6156E" w:rsidRDefault="00C6156E" w:rsidP="002F111E">
      <w:pPr>
        <w:spacing w:line="360" w:lineRule="auto"/>
      </w:pPr>
      <w:r>
        <w:t>We felt that our second Lesson Study definitely improved upon the first. We felt better prepared, and had fine-tuned our lesson. The first thing that had notably improved was our observation point. Being sat at the front of the class, with all pupils completely visible meant that the Leuven scale could be more effective. I could observe all body language and facial expression and this helped me to give a more accurate rating against the Leuven scale. My research partner’s idea to redesign the observation schedule to include more musical inputs also appeared to help. It gave us a deeper insight into exactly what was engaging the case pupils. Our case pupil interviews worked much better as a focus group interview as opposed to interviewing the children separately. As research had suggested, it helped the children to articulate their opinions (Breen, 2006) and they bounced off each other. Despite this class being younger than the first class, they actually gave more articulate answers. Using audio recordings to gather our information also helped as it was easier to evaluate our evidence following the questions, it also made the interview process quicker (see Appendix</w:t>
      </w:r>
      <w:r w:rsidR="00A04009">
        <w:t xml:space="preserve"> G</w:t>
      </w:r>
      <w:r>
        <w:t xml:space="preserve"> for Transcription). </w:t>
      </w:r>
      <w:r w:rsidR="00A04009">
        <w:t>We noted our improvements in our reflection sheets (see Appendix H and I)</w:t>
      </w:r>
      <w:r w:rsidR="0099141D">
        <w:t xml:space="preserve">. </w:t>
      </w:r>
      <w:bookmarkStart w:id="0" w:name="_GoBack"/>
      <w:bookmarkEnd w:id="0"/>
      <w:r>
        <w:t>All of these improvements further proved the positives of a Lesson Study approach, where analysis of the first lesson helped to modify and improve our second lesson.</w:t>
      </w:r>
      <w:r w:rsidR="00D61687">
        <w:t xml:space="preserve"> </w:t>
      </w:r>
    </w:p>
    <w:p w:rsidR="00C6156E" w:rsidRDefault="00C6156E" w:rsidP="002F111E">
      <w:pPr>
        <w:spacing w:line="360" w:lineRule="auto"/>
      </w:pPr>
    </w:p>
    <w:p w:rsidR="00C6156E" w:rsidRPr="00BE2A28" w:rsidRDefault="00C6156E" w:rsidP="002F111E">
      <w:pPr>
        <w:spacing w:line="360" w:lineRule="auto"/>
        <w:rPr>
          <w:b/>
        </w:rPr>
      </w:pPr>
      <w:r>
        <w:rPr>
          <w:b/>
        </w:rPr>
        <w:t>Relation to Relevant Literature</w:t>
      </w:r>
    </w:p>
    <w:p w:rsidR="00F25663" w:rsidRDefault="00C6156E" w:rsidP="002F111E">
      <w:pPr>
        <w:spacing w:line="360" w:lineRule="auto"/>
      </w:pPr>
      <w:r>
        <w:t xml:space="preserve">Our observations and findings appeared to </w:t>
      </w:r>
      <w:r w:rsidR="008347B5">
        <w:t>underpin</w:t>
      </w:r>
      <w:r>
        <w:t xml:space="preserve"> a lot of what we had f</w:t>
      </w:r>
      <w:r w:rsidR="00F25663">
        <w:t>ound in the relevant literature</w:t>
      </w:r>
      <w:r w:rsidR="00F76D72">
        <w:t>, namely</w:t>
      </w:r>
      <w:r w:rsidR="00F25663">
        <w:t>:</w:t>
      </w:r>
    </w:p>
    <w:p w:rsidR="00C6156E" w:rsidRPr="00BA6F9E" w:rsidRDefault="00C6156E" w:rsidP="002F111E">
      <w:pPr>
        <w:pStyle w:val="ListParagraph"/>
        <w:numPr>
          <w:ilvl w:val="0"/>
          <w:numId w:val="1"/>
        </w:numPr>
        <w:spacing w:line="360" w:lineRule="auto"/>
      </w:pPr>
      <w:r w:rsidRPr="00BA6F9E">
        <w:t xml:space="preserve">McPherson </w:t>
      </w:r>
      <w:r w:rsidR="0077372C">
        <w:t>and Welch’s</w:t>
      </w:r>
      <w:r w:rsidRPr="00BA6F9E">
        <w:t xml:space="preserve"> (2018) </w:t>
      </w:r>
      <w:r w:rsidR="002F35E8">
        <w:t>emphasis on repetition and variation as</w:t>
      </w:r>
      <w:r w:rsidRPr="00BA6F9E">
        <w:t xml:space="preserve"> </w:t>
      </w:r>
      <w:r w:rsidR="002F35E8">
        <w:t>“</w:t>
      </w:r>
      <w:r w:rsidRPr="00BA6F9E">
        <w:t>fundamental features</w:t>
      </w:r>
      <w:r w:rsidR="002F35E8">
        <w:t>” (p. 89)</w:t>
      </w:r>
      <w:r w:rsidRPr="00BA6F9E">
        <w:t xml:space="preserve"> </w:t>
      </w:r>
      <w:r w:rsidR="002F35E8">
        <w:t xml:space="preserve">that help to engage children in music was certainly </w:t>
      </w:r>
      <w:r w:rsidR="00F25663">
        <w:t>reinforced</w:t>
      </w:r>
      <w:r w:rsidR="002F35E8">
        <w:t xml:space="preserve"> by our findings.</w:t>
      </w:r>
      <w:r>
        <w:t xml:space="preserve"> </w:t>
      </w:r>
      <w:r w:rsidR="002F35E8">
        <w:t>Both of our lessons encouraged</w:t>
      </w:r>
      <w:r>
        <w:t xml:space="preserve"> repetition and variation, and engagement visibly increased. </w:t>
      </w:r>
    </w:p>
    <w:p w:rsidR="00C6156E" w:rsidRDefault="002F35E8" w:rsidP="002F111E">
      <w:pPr>
        <w:pStyle w:val="ListParagraph"/>
        <w:numPr>
          <w:ilvl w:val="0"/>
          <w:numId w:val="1"/>
        </w:numPr>
        <w:spacing w:line="360" w:lineRule="auto"/>
      </w:pPr>
      <w:r>
        <w:lastRenderedPageBreak/>
        <w:t>Our observations that during both lessons children were even more engaged when they themselves were singing, as opposed to just listening, mirrored the findings of Schellenberg et al. (2007). In this case study involving Japanese five year olds and engagement, they found that children were at their highest engagement when they were allowed to sing along.</w:t>
      </w:r>
    </w:p>
    <w:p w:rsidR="00F25663" w:rsidRDefault="00F25663" w:rsidP="002F111E">
      <w:pPr>
        <w:pStyle w:val="ListParagraph"/>
        <w:numPr>
          <w:ilvl w:val="0"/>
          <w:numId w:val="1"/>
        </w:numPr>
        <w:spacing w:line="360" w:lineRule="auto"/>
      </w:pPr>
      <w:r>
        <w:t>Pound and Harrison’s (2003) suggestion that music can have a positive effect on behaviour also seemed to be supported, especially during Lesson 1.</w:t>
      </w:r>
    </w:p>
    <w:p w:rsidR="00F25663" w:rsidRDefault="00F25663" w:rsidP="002F111E">
      <w:pPr>
        <w:pStyle w:val="ListParagraph"/>
        <w:numPr>
          <w:ilvl w:val="0"/>
          <w:numId w:val="1"/>
        </w:numPr>
        <w:spacing w:line="360" w:lineRule="auto"/>
      </w:pPr>
      <w:r>
        <w:t>Our readings on “observation point”</w:t>
      </w:r>
      <w:r w:rsidR="004010B9">
        <w:t xml:space="preserve"> strategies</w:t>
      </w:r>
      <w:r>
        <w:t xml:space="preserve"> (</w:t>
      </w:r>
      <w:r w:rsidR="004010B9">
        <w:t>Chesterfield, 2008) certainly helped to inform our positioning when observing. This was of prior importance following Lesson 1, in which our observation point could have been improved.</w:t>
      </w:r>
    </w:p>
    <w:p w:rsidR="004010B9" w:rsidRDefault="004010B9" w:rsidP="002F111E">
      <w:pPr>
        <w:pStyle w:val="ListParagraph"/>
        <w:numPr>
          <w:ilvl w:val="0"/>
          <w:numId w:val="1"/>
        </w:numPr>
        <w:spacing w:line="360" w:lineRule="auto"/>
      </w:pPr>
      <w:r>
        <w:t>Breen’s (2006) writings on the positives and negatives of ‘individual’ and ‘focus group’ interviews definitely affected both Lesson 1 and Lesson 2. Initially beginning with individual interviews to avoid “social pressure” (p. 466)</w:t>
      </w:r>
      <w:r w:rsidR="008347B5">
        <w:t xml:space="preserve">, we ultimately decided that </w:t>
      </w:r>
      <w:r w:rsidR="00E74493">
        <w:t>a focus group would more effective. This proved to be the case.</w:t>
      </w:r>
    </w:p>
    <w:p w:rsidR="000778A0" w:rsidRDefault="000778A0" w:rsidP="002F111E">
      <w:pPr>
        <w:spacing w:line="360" w:lineRule="auto"/>
      </w:pPr>
    </w:p>
    <w:p w:rsidR="000778A0" w:rsidRDefault="00401EE7" w:rsidP="002F111E">
      <w:pPr>
        <w:spacing w:line="360" w:lineRule="auto"/>
        <w:rPr>
          <w:b/>
        </w:rPr>
      </w:pPr>
      <w:r>
        <w:rPr>
          <w:b/>
        </w:rPr>
        <w:t>Conclusion</w:t>
      </w:r>
    </w:p>
    <w:p w:rsidR="00401EE7" w:rsidRDefault="00401EE7" w:rsidP="002F111E">
      <w:pPr>
        <w:spacing w:line="360" w:lineRule="auto"/>
        <w:rPr>
          <w:b/>
        </w:rPr>
      </w:pPr>
    </w:p>
    <w:p w:rsidR="000778A0" w:rsidRDefault="000778A0" w:rsidP="002F111E">
      <w:pPr>
        <w:spacing w:line="360" w:lineRule="auto"/>
      </w:pPr>
      <w:r>
        <w:t xml:space="preserve">Following on from our Lesson </w:t>
      </w:r>
      <w:r w:rsidR="00A0525F">
        <w:t xml:space="preserve">Study, my research </w:t>
      </w:r>
      <w:r>
        <w:t xml:space="preserve">partner </w:t>
      </w:r>
      <w:r w:rsidR="00A0525F">
        <w:t xml:space="preserve">and I </w:t>
      </w:r>
      <w:r>
        <w:t xml:space="preserve">agreed </w:t>
      </w:r>
      <w:r w:rsidR="00A0525F">
        <w:t xml:space="preserve">that </w:t>
      </w:r>
      <w:r>
        <w:t>there were a number</w:t>
      </w:r>
      <w:r w:rsidR="008E1BEB">
        <w:t xml:space="preserve"> of strengths, but also </w:t>
      </w:r>
      <w:r w:rsidR="00D12FDB">
        <w:t>limitations</w:t>
      </w:r>
      <w:r w:rsidR="008E1BEB">
        <w:t>,</w:t>
      </w:r>
      <w:r w:rsidR="00D12FDB">
        <w:t xml:space="preserve"> to our chosen</w:t>
      </w:r>
      <w:r w:rsidR="00700C63">
        <w:t xml:space="preserve"> m</w:t>
      </w:r>
      <w:r w:rsidR="00AE7143">
        <w:t xml:space="preserve">ethods. We were both in complete agreement that Lesson Study </w:t>
      </w:r>
      <w:r w:rsidR="00700C63">
        <w:t xml:space="preserve">is certainly an effective </w:t>
      </w:r>
      <w:r>
        <w:t>tool for professional development</w:t>
      </w:r>
      <w:r w:rsidR="00700C63">
        <w:t xml:space="preserve"> (</w:t>
      </w:r>
      <w:r w:rsidR="00992491">
        <w:t>Dudley, 2014</w:t>
      </w:r>
      <w:r w:rsidR="008F20A3">
        <w:t>)</w:t>
      </w:r>
      <w:r w:rsidR="00992491">
        <w:t>. Throughout the whole process</w:t>
      </w:r>
      <w:r>
        <w:t xml:space="preserve"> we were made </w:t>
      </w:r>
      <w:r w:rsidR="00992491">
        <w:t xml:space="preserve">more </w:t>
      </w:r>
      <w:r>
        <w:t xml:space="preserve">aware </w:t>
      </w:r>
      <w:r w:rsidR="00992491">
        <w:t xml:space="preserve">of </w:t>
      </w:r>
      <w:r w:rsidR="00335CE6">
        <w:t xml:space="preserve">both </w:t>
      </w:r>
      <w:r w:rsidR="00B214F2">
        <w:t>the learning of the</w:t>
      </w:r>
      <w:r w:rsidR="00992491">
        <w:t xml:space="preserve"> children, and our own teaching methods (Avalos, 2011).</w:t>
      </w:r>
      <w:r w:rsidR="00335CE6">
        <w:t xml:space="preserve"> There are of course detractors to the Lesson Study approach. </w:t>
      </w:r>
      <w:r w:rsidR="00F76D72">
        <w:t>Chokshi and Fernandez (2004) accept that it is time consuming, whilst also accepting that some teachers may by “too nervous” (p. 521) to open their classrooms to peers.</w:t>
      </w:r>
    </w:p>
    <w:p w:rsidR="000778A0" w:rsidRDefault="000778A0" w:rsidP="002F111E">
      <w:pPr>
        <w:spacing w:line="360" w:lineRule="auto"/>
      </w:pPr>
      <w:r>
        <w:t>The limitations of our methods probably stemmed from our lack of experience in</w:t>
      </w:r>
      <w:r w:rsidR="00992491">
        <w:t xml:space="preserve"> Lesson Study.</w:t>
      </w:r>
      <w:r w:rsidR="00700C63">
        <w:t xml:space="preserve"> </w:t>
      </w:r>
      <w:r w:rsidR="008F20A3">
        <w:t>The Dep</w:t>
      </w:r>
      <w:r w:rsidR="00992491">
        <w:t>artment of Education (2009)</w:t>
      </w:r>
      <w:r w:rsidR="008F20A3">
        <w:t xml:space="preserve"> state</w:t>
      </w:r>
      <w:r w:rsidR="00700C63">
        <w:t xml:space="preserve"> that </w:t>
      </w:r>
      <w:r w:rsidR="008F20A3">
        <w:t xml:space="preserve">for </w:t>
      </w:r>
      <w:r w:rsidR="00335CE6">
        <w:t>a Lesson Study</w:t>
      </w:r>
      <w:r w:rsidR="008F20A3">
        <w:t xml:space="preserve"> to be at </w:t>
      </w:r>
      <w:r w:rsidR="00335CE6">
        <w:t>its</w:t>
      </w:r>
      <w:r w:rsidR="008F20A3">
        <w:t xml:space="preserve"> most effective</w:t>
      </w:r>
      <w:r w:rsidR="00335CE6">
        <w:t xml:space="preserve"> it</w:t>
      </w:r>
      <w:r w:rsidR="008F20A3">
        <w:t xml:space="preserve"> should be conducted by teachers with a range of different teaching experience, including a member of a department’s leadership team. A more experienced teacher could have acted as a faci</w:t>
      </w:r>
      <w:r w:rsidR="00A0525F">
        <w:t>litator and supported</w:t>
      </w:r>
      <w:r w:rsidR="008F20A3">
        <w:t xml:space="preserve"> my research partner</w:t>
      </w:r>
      <w:r w:rsidR="00A0525F">
        <w:t xml:space="preserve"> and me</w:t>
      </w:r>
      <w:r w:rsidR="00AE7143">
        <w:t>. Some believe that knowledgeable facilitators are integral to effective lesson study (Vaughn, 2012)</w:t>
      </w:r>
      <w:r w:rsidR="008F20A3">
        <w:t>.</w:t>
      </w:r>
      <w:r w:rsidR="00992491" w:rsidRPr="00992491">
        <w:t xml:space="preserve"> </w:t>
      </w:r>
      <w:r w:rsidR="00F76D72">
        <w:t>In Japan particularly, a number of teachers are involved in the Lesson Study. With more teachers involved in analysis, we could have potentially had more accurate and more meaningful findings.</w:t>
      </w:r>
    </w:p>
    <w:p w:rsidR="000778A0" w:rsidRDefault="00D12FDB" w:rsidP="002F111E">
      <w:pPr>
        <w:spacing w:line="360" w:lineRule="auto"/>
      </w:pPr>
      <w:r>
        <w:lastRenderedPageBreak/>
        <w:t>Reflecting</w:t>
      </w:r>
      <w:r w:rsidR="000778A0">
        <w:t xml:space="preserve"> back</w:t>
      </w:r>
      <w:r>
        <w:t xml:space="preserve"> on our Lesson Study</w:t>
      </w:r>
      <w:r w:rsidR="000778A0">
        <w:t>, we should have</w:t>
      </w:r>
      <w:r>
        <w:t xml:space="preserve"> undoubtedly</w:t>
      </w:r>
      <w:r w:rsidR="000778A0">
        <w:t xml:space="preserve"> piloted our use of the Leuven scale. We could have done this by observing as our</w:t>
      </w:r>
      <w:r>
        <w:t xml:space="preserve"> class</w:t>
      </w:r>
      <w:r w:rsidR="000778A0">
        <w:t xml:space="preserve"> </w:t>
      </w:r>
      <w:r>
        <w:t>mentors</w:t>
      </w:r>
      <w:r w:rsidR="000778A0">
        <w:t xml:space="preserve"> led a less</w:t>
      </w:r>
      <w:r>
        <w:t>on, observing our case pupils in the process</w:t>
      </w:r>
      <w:r w:rsidR="000778A0">
        <w:t xml:space="preserve">. </w:t>
      </w:r>
      <w:r>
        <w:t xml:space="preserve">This could have potentially made the Leuven scale more effective, efficient, and accurate. </w:t>
      </w:r>
      <w:r w:rsidR="000778A0">
        <w:t xml:space="preserve">This would have made us more comfortable using it. This could have also helped us with our observation strategies, helping us to find the perfect </w:t>
      </w:r>
      <w:r>
        <w:t>“</w:t>
      </w:r>
      <w:r w:rsidR="000778A0">
        <w:t>observation point</w:t>
      </w:r>
      <w:r>
        <w:t>”</w:t>
      </w:r>
      <w:r w:rsidR="00DD53A3">
        <w:t xml:space="preserve"> (Chesterfield, 2008)</w:t>
      </w:r>
      <w:r w:rsidR="00F76D72">
        <w:t>.</w:t>
      </w:r>
    </w:p>
    <w:p w:rsidR="000778A0" w:rsidRDefault="000778A0" w:rsidP="002F111E">
      <w:pPr>
        <w:spacing w:line="360" w:lineRule="auto"/>
      </w:pPr>
      <w:r>
        <w:t xml:space="preserve">I feel that using the focus group interview in the second lesson was fairly </w:t>
      </w:r>
      <w:r w:rsidR="00F8275B">
        <w:t>successful, but ultimately both interviews did not help much in our reflective process.</w:t>
      </w:r>
      <w:r>
        <w:t xml:space="preserve"> The main limitation to our inte</w:t>
      </w:r>
      <w:r w:rsidR="0025027A">
        <w:t>rview methods was the age group</w:t>
      </w:r>
      <w:r>
        <w:t>.</w:t>
      </w:r>
      <w:r w:rsidR="0025027A">
        <w:t xml:space="preserve"> Olson (2016) states that this challenge is mainly down to “limited language skills” (p. 30), which my research partner </w:t>
      </w:r>
      <w:r w:rsidR="00A0525F">
        <w:t xml:space="preserve">and I </w:t>
      </w:r>
      <w:r w:rsidR="0025027A">
        <w:t>definitely found to be the case.</w:t>
      </w:r>
    </w:p>
    <w:p w:rsidR="008347B5" w:rsidRDefault="001903AE" w:rsidP="002F111E">
      <w:pPr>
        <w:spacing w:line="360" w:lineRule="auto"/>
      </w:pPr>
      <w:r>
        <w:t xml:space="preserve">We definitely found </w:t>
      </w:r>
      <w:r w:rsidR="008347B5">
        <w:t>Brookfield’</w:t>
      </w:r>
      <w:r>
        <w:t>s (</w:t>
      </w:r>
      <w:r w:rsidR="00A7116F">
        <w:t>2017</w:t>
      </w:r>
      <w:r>
        <w:t xml:space="preserve">) Four Lenses the best approach to reflective writing. Although more time consuming, it gave us a deeper understanding </w:t>
      </w:r>
      <w:r w:rsidR="00BE0735">
        <w:t>of wha</w:t>
      </w:r>
      <w:r w:rsidR="00DD53A3">
        <w:t>t we had learnt in both lessons.</w:t>
      </w:r>
    </w:p>
    <w:p w:rsidR="005314C4" w:rsidRDefault="00F8275B" w:rsidP="002F111E">
      <w:pPr>
        <w:spacing w:line="360" w:lineRule="auto"/>
      </w:pPr>
      <w:r>
        <w:t xml:space="preserve">Ultimately, </w:t>
      </w:r>
      <w:r w:rsidR="005314C4">
        <w:t>our research</w:t>
      </w:r>
      <w:r w:rsidR="00335CE6">
        <w:t>, reflections, and</w:t>
      </w:r>
      <w:r w:rsidR="00E74493">
        <w:t xml:space="preserve"> subsequent findings</w:t>
      </w:r>
      <w:r w:rsidR="005314C4">
        <w:t xml:space="preserve"> led us to</w:t>
      </w:r>
      <w:r w:rsidR="00E74493">
        <w:t xml:space="preserve"> these significant conclusions</w:t>
      </w:r>
      <w:r w:rsidR="005314C4">
        <w:t>:</w:t>
      </w:r>
    </w:p>
    <w:p w:rsidR="005314C4" w:rsidRDefault="005314C4" w:rsidP="002F111E">
      <w:pPr>
        <w:pStyle w:val="ListParagraph"/>
        <w:numPr>
          <w:ilvl w:val="0"/>
          <w:numId w:val="2"/>
        </w:numPr>
        <w:spacing w:line="360" w:lineRule="auto"/>
      </w:pPr>
      <w:r>
        <w:t xml:space="preserve">Children were more engaged </w:t>
      </w:r>
      <w:r w:rsidR="00335CE6">
        <w:t>during</w:t>
      </w:r>
      <w:r>
        <w:t xml:space="preserve"> music</w:t>
      </w:r>
      <w:r w:rsidR="00335CE6">
        <w:t>al inputs.</w:t>
      </w:r>
    </w:p>
    <w:p w:rsidR="00F8275B" w:rsidRDefault="005314C4" w:rsidP="002F111E">
      <w:pPr>
        <w:pStyle w:val="ListParagraph"/>
        <w:numPr>
          <w:ilvl w:val="0"/>
          <w:numId w:val="2"/>
        </w:numPr>
        <w:spacing w:line="360" w:lineRule="auto"/>
      </w:pPr>
      <w:r>
        <w:t xml:space="preserve">Children were less engaged when </w:t>
      </w:r>
      <w:r w:rsidR="00335CE6">
        <w:t>there was no musical input</w:t>
      </w:r>
      <w:r>
        <w:t>, such as during the introductions or between songs.</w:t>
      </w:r>
    </w:p>
    <w:p w:rsidR="005314C4" w:rsidRDefault="005314C4" w:rsidP="002F111E">
      <w:pPr>
        <w:pStyle w:val="ListParagraph"/>
        <w:numPr>
          <w:ilvl w:val="0"/>
          <w:numId w:val="2"/>
        </w:numPr>
        <w:spacing w:line="360" w:lineRule="auto"/>
      </w:pPr>
      <w:r>
        <w:t xml:space="preserve">Children were at their most engaged when they themselves were encouraged to join in with the </w:t>
      </w:r>
      <w:r w:rsidR="00335CE6">
        <w:t xml:space="preserve">musical inputs through </w:t>
      </w:r>
      <w:r>
        <w:t>singing, as opposed to</w:t>
      </w:r>
      <w:r w:rsidR="008347B5">
        <w:t xml:space="preserve"> just</w:t>
      </w:r>
      <w:r>
        <w:t xml:space="preserve"> listening to </w:t>
      </w:r>
      <w:r w:rsidR="008347B5">
        <w:t>the teacher/person leading the activity.</w:t>
      </w:r>
    </w:p>
    <w:p w:rsidR="008347B5" w:rsidRDefault="00E74493" w:rsidP="002F111E">
      <w:pPr>
        <w:pStyle w:val="ListParagraph"/>
        <w:numPr>
          <w:ilvl w:val="0"/>
          <w:numId w:val="2"/>
        </w:numPr>
        <w:spacing w:line="360" w:lineRule="auto"/>
      </w:pPr>
      <w:r>
        <w:t>All structured musical inputs had a positive impact on engagement, but music coming from the speakers appeared to have the most positive impact.</w:t>
      </w:r>
    </w:p>
    <w:p w:rsidR="00D12FDB" w:rsidRPr="00244814" w:rsidRDefault="00DD53A3" w:rsidP="002F111E">
      <w:pPr>
        <w:spacing w:line="360" w:lineRule="auto"/>
      </w:pPr>
      <w:r>
        <w:t xml:space="preserve">These conclusions appear to categorically support that structured musical inputs have a </w:t>
      </w:r>
      <w:r w:rsidRPr="00DD53A3">
        <w:rPr>
          <w:i/>
        </w:rPr>
        <w:t>positive</w:t>
      </w:r>
      <w:r>
        <w:t xml:space="preserve"> impact on engagement in the Foundation Phase. </w:t>
      </w:r>
      <w:r w:rsidR="00580EEF">
        <w:t>The implications of this on future practice will be discussed in my Recommendations.</w:t>
      </w:r>
    </w:p>
    <w:p w:rsidR="000778A0" w:rsidRDefault="000778A0" w:rsidP="002F111E">
      <w:pPr>
        <w:spacing w:line="360" w:lineRule="auto"/>
        <w:rPr>
          <w:b/>
        </w:rPr>
      </w:pPr>
      <w:r>
        <w:rPr>
          <w:b/>
        </w:rPr>
        <w:t>Recommendations</w:t>
      </w:r>
    </w:p>
    <w:p w:rsidR="000778A0" w:rsidRDefault="008E1BEB" w:rsidP="002F111E">
      <w:pPr>
        <w:spacing w:line="360" w:lineRule="auto"/>
      </w:pPr>
      <w:r>
        <w:t>As put forward in my conclusion, i</w:t>
      </w:r>
      <w:r w:rsidR="00D12FDB">
        <w:t xml:space="preserve">f I were to take part </w:t>
      </w:r>
      <w:r w:rsidR="00580EEF">
        <w:t>in a Lesson Study in the future</w:t>
      </w:r>
      <w:r w:rsidR="00D12FDB">
        <w:t xml:space="preserve"> I would definitely</w:t>
      </w:r>
      <w:r w:rsidR="00580EEF">
        <w:t xml:space="preserve"> encourage the use of a facilitator, encourage</w:t>
      </w:r>
      <w:r w:rsidR="00D12FDB">
        <w:t xml:space="preserve"> </w:t>
      </w:r>
      <w:r w:rsidR="00B214F2">
        <w:t>more planning, and pilot the</w:t>
      </w:r>
      <w:r w:rsidR="00580EEF">
        <w:t xml:space="preserve"> rating scales used</w:t>
      </w:r>
      <w:r w:rsidR="00B214F2">
        <w:t xml:space="preserve"> in my own practice</w:t>
      </w:r>
      <w:r w:rsidR="00580EEF">
        <w:t>. I would</w:t>
      </w:r>
      <w:r w:rsidR="00B214F2">
        <w:t xml:space="preserve"> also</w:t>
      </w:r>
      <w:r w:rsidR="00580EEF">
        <w:t xml:space="preserve"> urge other</w:t>
      </w:r>
      <w:r w:rsidR="00000895">
        <w:t>s</w:t>
      </w:r>
      <w:r w:rsidR="00580EEF">
        <w:t xml:space="preserve"> to follow such advice.</w:t>
      </w:r>
    </w:p>
    <w:p w:rsidR="000778A0" w:rsidRDefault="000778A0" w:rsidP="002F111E">
      <w:pPr>
        <w:spacing w:line="360" w:lineRule="auto"/>
      </w:pPr>
      <w:r>
        <w:t>Despite our limitations, we agreed that our Lesson Study was a valuable experience</w:t>
      </w:r>
      <w:r w:rsidR="00580EEF">
        <w:t xml:space="preserve"> for both us and our pupils</w:t>
      </w:r>
      <w:r>
        <w:t xml:space="preserve">. We believe that our findings </w:t>
      </w:r>
      <w:r w:rsidR="00580EEF">
        <w:t>definitely prove that there i</w:t>
      </w:r>
      <w:r>
        <w:t>s a positive relationship betwe</w:t>
      </w:r>
      <w:r w:rsidR="00580EEF">
        <w:t xml:space="preserve">en </w:t>
      </w:r>
      <w:r w:rsidR="00580EEF">
        <w:lastRenderedPageBreak/>
        <w:t>musical input and engagement</w:t>
      </w:r>
      <w:r>
        <w:t xml:space="preserve">. Through the </w:t>
      </w:r>
      <w:r w:rsidR="00580EEF">
        <w:t xml:space="preserve">structured </w:t>
      </w:r>
      <w:r w:rsidR="00000895">
        <w:t>use of</w:t>
      </w:r>
      <w:r w:rsidR="00580EEF">
        <w:t xml:space="preserve"> guitar</w:t>
      </w:r>
      <w:r w:rsidR="00000895">
        <w:t xml:space="preserve"> and singing</w:t>
      </w:r>
      <w:r w:rsidR="00580EEF">
        <w:t>, we were able to engage children in learning materials that may have</w:t>
      </w:r>
      <w:r w:rsidR="00000895">
        <w:t xml:space="preserve"> otherwise not interested them.</w:t>
      </w:r>
    </w:p>
    <w:p w:rsidR="008E1BEB" w:rsidRPr="00244814" w:rsidRDefault="008E1BEB" w:rsidP="002F111E">
      <w:pPr>
        <w:spacing w:line="360" w:lineRule="auto"/>
      </w:pPr>
      <w:r>
        <w:t>If I were to take part in a similar Lesson Study in the future, I would like to see what the impact of a structured musical input on engagement in a Key Stage 2 setting.</w:t>
      </w:r>
      <w:r w:rsidR="00700C63">
        <w:t xml:space="preserve"> Another addition that was initially deliberated could be instruments that the children themselves could play during the lesson</w:t>
      </w:r>
      <w:r w:rsidR="00B214F2">
        <w:t>, as encouraged by Connors (2017</w:t>
      </w:r>
      <w:r w:rsidR="00000895">
        <w:t>)</w:t>
      </w:r>
      <w:r w:rsidR="00700C63">
        <w:t xml:space="preserve">. We felt that given our lessons were only 30 minutes each, this could have proved problematic. But with more planning it could definitely be another musical input that could have furthered engagement. </w:t>
      </w:r>
      <w:r w:rsidR="00000895">
        <w:t xml:space="preserve">As discussed in my lesson study analysis of Lesson 1, in the days following the lesson, pupils remembered the sequence of instructions through singing the ‘Pinecone Birdfeeder’ song. A future Lesson Study could explore the relationship between music and cognitive engagement, in particular ‘recall’. </w:t>
      </w:r>
    </w:p>
    <w:p w:rsidR="00AF2FEA" w:rsidRDefault="00415B1F" w:rsidP="002F111E">
      <w:pPr>
        <w:spacing w:line="360" w:lineRule="auto"/>
      </w:pPr>
      <w:r>
        <w:t>I would certainly encourage</w:t>
      </w:r>
      <w:r w:rsidR="00556A92">
        <w:t xml:space="preserve"> current and future</w:t>
      </w:r>
      <w:r>
        <w:t xml:space="preserve"> </w:t>
      </w:r>
      <w:r w:rsidR="00DD53A3">
        <w:t>practitioners</w:t>
      </w:r>
      <w:r>
        <w:t xml:space="preserve"> to use structured musical input more frequently </w:t>
      </w:r>
      <w:r w:rsidR="00556A92">
        <w:t>in lessons. As demonstrated in this lesson study</w:t>
      </w:r>
      <w:r>
        <w:t xml:space="preserve">, </w:t>
      </w:r>
      <w:r w:rsidR="00556A92">
        <w:t xml:space="preserve">musical input can be used not only in music lessons </w:t>
      </w:r>
      <w:r>
        <w:t xml:space="preserve">but </w:t>
      </w:r>
      <w:r w:rsidR="00401EE7">
        <w:t xml:space="preserve">also </w:t>
      </w:r>
      <w:r>
        <w:t>as a cross-curricular learning</w:t>
      </w:r>
      <w:r w:rsidR="00401EE7">
        <w:t xml:space="preserve"> tool. </w:t>
      </w:r>
      <w:r w:rsidR="00F34DF6" w:rsidRPr="00F34DF6">
        <w:t xml:space="preserve">As discussed in our analysis, the most engaging musical input was YouTube audio and as such the musical ability of a teacher would not be an issue. </w:t>
      </w:r>
      <w:r w:rsidR="00AF2FEA">
        <w:t>More music in the classroom would also support at least two of the new curriculum’s ‘Four Purposes’: children being ambitious, capable learner, and children being enterprising, creative contributors</w:t>
      </w:r>
      <w:r w:rsidR="00B94638">
        <w:t xml:space="preserve"> (Donaldson, 2015</w:t>
      </w:r>
      <w:r w:rsidR="00F34DF6">
        <w:t>).</w:t>
      </w:r>
    </w:p>
    <w:p w:rsidR="00D12FDB" w:rsidRDefault="00F34DF6" w:rsidP="002F111E">
      <w:pPr>
        <w:spacing w:line="360" w:lineRule="auto"/>
      </w:pPr>
      <w:r>
        <w:t xml:space="preserve">In echoing the words of Pound and Harrison (2003) that </w:t>
      </w:r>
      <w:r w:rsidR="00E01195">
        <w:t>opened</w:t>
      </w:r>
      <w:r>
        <w:t xml:space="preserve"> this essay, I truly do believe </w:t>
      </w:r>
      <w:r w:rsidR="008E1BEB">
        <w:t>that “</w:t>
      </w:r>
      <w:r w:rsidR="008E1BEB" w:rsidRPr="008E1BEB">
        <w:t>using music across the curriculum can only have a positive effect</w:t>
      </w:r>
      <w:r>
        <w:t xml:space="preserve"> on the quality of education” (p. </w:t>
      </w:r>
      <w:r w:rsidR="008E1BEB" w:rsidRPr="008E1BEB">
        <w:t>70)</w:t>
      </w:r>
      <w:r>
        <w:t>. We have shown</w:t>
      </w:r>
      <w:r w:rsidR="00E01195">
        <w:t xml:space="preserve"> in this research study</w:t>
      </w:r>
      <w:r>
        <w:t xml:space="preserve"> that structured musical input can positively impact engagement, and therefore pos</w:t>
      </w:r>
      <w:r w:rsidR="00E01195">
        <w:t>itively impact on this</w:t>
      </w:r>
      <w:r>
        <w:t xml:space="preserve"> “quality of education”.</w:t>
      </w:r>
    </w:p>
    <w:p w:rsidR="002F111E" w:rsidRDefault="002F111E" w:rsidP="002F111E">
      <w:pPr>
        <w:spacing w:line="360" w:lineRule="auto"/>
      </w:pPr>
    </w:p>
    <w:p w:rsidR="002F111E" w:rsidRDefault="002F111E" w:rsidP="002F111E">
      <w:pPr>
        <w:spacing w:line="360" w:lineRule="auto"/>
      </w:pPr>
    </w:p>
    <w:p w:rsidR="002F111E" w:rsidRDefault="002F111E" w:rsidP="002F111E">
      <w:pPr>
        <w:spacing w:line="360" w:lineRule="auto"/>
      </w:pPr>
    </w:p>
    <w:p w:rsidR="002F111E" w:rsidRDefault="002F111E" w:rsidP="002F111E">
      <w:pPr>
        <w:spacing w:line="360" w:lineRule="auto"/>
      </w:pPr>
    </w:p>
    <w:p w:rsidR="002F111E" w:rsidRDefault="002F111E" w:rsidP="002F111E">
      <w:pPr>
        <w:spacing w:line="360" w:lineRule="auto"/>
      </w:pPr>
    </w:p>
    <w:p w:rsidR="002F111E" w:rsidRDefault="002F111E" w:rsidP="002F111E">
      <w:pPr>
        <w:spacing w:line="360" w:lineRule="auto"/>
      </w:pPr>
    </w:p>
    <w:p w:rsidR="002F111E" w:rsidRDefault="002F111E" w:rsidP="002F111E">
      <w:pPr>
        <w:spacing w:line="360" w:lineRule="auto"/>
      </w:pPr>
    </w:p>
    <w:p w:rsidR="002F111E" w:rsidRDefault="002F111E" w:rsidP="002F111E">
      <w:pPr>
        <w:spacing w:line="360" w:lineRule="auto"/>
      </w:pPr>
    </w:p>
    <w:p w:rsidR="002F111E" w:rsidRDefault="002F111E" w:rsidP="002F111E">
      <w:pPr>
        <w:spacing w:line="360" w:lineRule="auto"/>
      </w:pPr>
    </w:p>
    <w:p w:rsidR="002F111E" w:rsidRDefault="002F111E" w:rsidP="002F111E">
      <w:pPr>
        <w:spacing w:line="360" w:lineRule="auto"/>
      </w:pPr>
    </w:p>
    <w:p w:rsidR="00E01195" w:rsidRPr="002F111E" w:rsidRDefault="00E01195" w:rsidP="002F111E">
      <w:pPr>
        <w:spacing w:line="360" w:lineRule="auto"/>
        <w:rPr>
          <w:b/>
          <w:u w:val="single"/>
        </w:rPr>
      </w:pPr>
      <w:r w:rsidRPr="002F111E">
        <w:rPr>
          <w:b/>
          <w:u w:val="single"/>
        </w:rPr>
        <w:t>References</w:t>
      </w:r>
    </w:p>
    <w:p w:rsidR="002F111E" w:rsidRPr="00862411" w:rsidRDefault="002F111E" w:rsidP="002F111E">
      <w:pPr>
        <w:spacing w:line="360" w:lineRule="auto"/>
        <w:rPr>
          <w:rFonts w:cstheme="minorHAnsi"/>
        </w:rPr>
      </w:pPr>
      <w:r w:rsidRPr="00862411">
        <w:rPr>
          <w:rFonts w:cstheme="minorHAnsi"/>
        </w:rPr>
        <w:t xml:space="preserve">Almarode, J. T., &amp; Miller, A. (2017). </w:t>
      </w:r>
      <w:r w:rsidRPr="00862411">
        <w:rPr>
          <w:rFonts w:cstheme="minorHAnsi"/>
          <w:i/>
        </w:rPr>
        <w:t>From snorkelers to scuba divers: Making the elementary science classroom a place of engagement and deep learning</w:t>
      </w:r>
      <w:r w:rsidRPr="00862411">
        <w:rPr>
          <w:rFonts w:cstheme="minorHAnsi"/>
        </w:rPr>
        <w:t>. Thousand Oaks, CA: Corwin Press, pp. 1 – 13.</w:t>
      </w:r>
    </w:p>
    <w:p w:rsidR="002F111E" w:rsidRPr="00862411" w:rsidRDefault="002F111E" w:rsidP="002F111E">
      <w:pPr>
        <w:spacing w:line="360" w:lineRule="auto"/>
        <w:rPr>
          <w:rFonts w:cstheme="minorHAnsi"/>
        </w:rPr>
      </w:pPr>
      <w:r w:rsidRPr="00862411">
        <w:rPr>
          <w:rFonts w:cstheme="minorHAnsi"/>
        </w:rPr>
        <w:t>Avalos, B. (2011). Teacher professional development in Teaching and Teacher Education over ten years. </w:t>
      </w:r>
      <w:r w:rsidRPr="00862411">
        <w:rPr>
          <w:rFonts w:cstheme="minorHAnsi"/>
          <w:i/>
          <w:iCs/>
        </w:rPr>
        <w:t>Teaching and Teacher Education</w:t>
      </w:r>
      <w:r w:rsidRPr="00862411">
        <w:rPr>
          <w:rFonts w:cstheme="minorHAnsi"/>
        </w:rPr>
        <w:t>, 27(1), pp. 10 – 20.</w:t>
      </w:r>
    </w:p>
    <w:p w:rsidR="002F111E" w:rsidRPr="00862411" w:rsidRDefault="002F111E" w:rsidP="002F111E">
      <w:pPr>
        <w:spacing w:line="360" w:lineRule="auto"/>
        <w:rPr>
          <w:rFonts w:cstheme="minorHAnsi"/>
        </w:rPr>
      </w:pPr>
      <w:r w:rsidRPr="00862411">
        <w:rPr>
          <w:rFonts w:cstheme="minorHAnsi"/>
        </w:rPr>
        <w:t>Breen, R. (2006). A Practical Guide to Focus-Group Research. </w:t>
      </w:r>
      <w:r w:rsidRPr="00862411">
        <w:rPr>
          <w:rFonts w:cstheme="minorHAnsi"/>
          <w:i/>
          <w:iCs/>
        </w:rPr>
        <w:t>Journal of Geography in Higher Education</w:t>
      </w:r>
      <w:r w:rsidRPr="00862411">
        <w:rPr>
          <w:rFonts w:cstheme="minorHAnsi"/>
        </w:rPr>
        <w:t>, 30(3), pp. 463 - 475.</w:t>
      </w:r>
    </w:p>
    <w:p w:rsidR="002F111E" w:rsidRPr="00862411" w:rsidRDefault="002F111E" w:rsidP="002F111E">
      <w:pPr>
        <w:spacing w:after="336" w:line="360" w:lineRule="auto"/>
        <w:rPr>
          <w:rFonts w:cstheme="minorHAnsi"/>
        </w:rPr>
      </w:pPr>
      <w:r w:rsidRPr="00862411">
        <w:rPr>
          <w:rFonts w:cstheme="minorHAnsi"/>
        </w:rPr>
        <w:t xml:space="preserve">British Educational Research Association (2018). </w:t>
      </w:r>
      <w:r w:rsidRPr="00862411">
        <w:rPr>
          <w:rFonts w:cstheme="minorHAnsi"/>
          <w:i/>
        </w:rPr>
        <w:t>Ethical Guidelines for Educational Research, Fourth ed.</w:t>
      </w:r>
      <w:r w:rsidRPr="00862411">
        <w:rPr>
          <w:rFonts w:cstheme="minorHAnsi"/>
        </w:rPr>
        <w:t>. London: BERA.</w:t>
      </w:r>
    </w:p>
    <w:p w:rsidR="002F111E" w:rsidRPr="00862411" w:rsidRDefault="002F111E" w:rsidP="002F111E">
      <w:pPr>
        <w:spacing w:after="336" w:line="360" w:lineRule="auto"/>
        <w:rPr>
          <w:rFonts w:cstheme="minorHAnsi"/>
        </w:rPr>
      </w:pPr>
      <w:r w:rsidRPr="00862411">
        <w:rPr>
          <w:rFonts w:cstheme="minorHAnsi"/>
        </w:rPr>
        <w:t xml:space="preserve">British Educational Research Association. (2018). </w:t>
      </w:r>
      <w:r w:rsidRPr="00862411">
        <w:rPr>
          <w:rFonts w:cstheme="minorHAnsi"/>
          <w:i/>
        </w:rPr>
        <w:t>Ethical Guidelines for Educational Research.</w:t>
      </w:r>
      <w:r w:rsidRPr="00862411">
        <w:rPr>
          <w:rFonts w:cstheme="minorHAnsi"/>
        </w:rPr>
        <w:t xml:space="preserve"> 4</w:t>
      </w:r>
      <w:r w:rsidRPr="00862411">
        <w:rPr>
          <w:rFonts w:cstheme="minorHAnsi"/>
          <w:vertAlign w:val="superscript"/>
        </w:rPr>
        <w:t>th</w:t>
      </w:r>
      <w:r w:rsidRPr="00862411">
        <w:rPr>
          <w:rFonts w:cstheme="minorHAnsi"/>
        </w:rPr>
        <w:t xml:space="preserve"> Ed. British Educational Research Association, pp. 1 – 36.</w:t>
      </w:r>
    </w:p>
    <w:p w:rsidR="002F111E" w:rsidRPr="00862411" w:rsidRDefault="002F111E" w:rsidP="002F111E">
      <w:pPr>
        <w:spacing w:line="360" w:lineRule="auto"/>
        <w:rPr>
          <w:rFonts w:cstheme="minorHAnsi"/>
        </w:rPr>
      </w:pPr>
      <w:r w:rsidRPr="00862411">
        <w:rPr>
          <w:rFonts w:cstheme="minorHAnsi"/>
        </w:rPr>
        <w:t xml:space="preserve">Brookfield, S. (2017). </w:t>
      </w:r>
      <w:r w:rsidRPr="00862411">
        <w:rPr>
          <w:rFonts w:cstheme="minorHAnsi"/>
          <w:i/>
        </w:rPr>
        <w:t>Becoming a Critically Reflective Teacher</w:t>
      </w:r>
      <w:r w:rsidRPr="00862411">
        <w:rPr>
          <w:rFonts w:cstheme="minorHAnsi"/>
        </w:rPr>
        <w:t>. 2nd ed. San Francisco: John Wiley &amp; Sons, p.61.</w:t>
      </w:r>
    </w:p>
    <w:p w:rsidR="002F111E" w:rsidRPr="00862411" w:rsidRDefault="002F111E" w:rsidP="002F111E">
      <w:pPr>
        <w:spacing w:line="360" w:lineRule="auto"/>
        <w:rPr>
          <w:rFonts w:cstheme="minorHAnsi"/>
        </w:rPr>
      </w:pPr>
      <w:r w:rsidRPr="00862411">
        <w:rPr>
          <w:rFonts w:cstheme="minorHAnsi"/>
        </w:rPr>
        <w:t>Bryson, C. and Hand, L. (2007). The role of engagement in inspiring teaching and learning. </w:t>
      </w:r>
      <w:r w:rsidRPr="00862411">
        <w:rPr>
          <w:rFonts w:cstheme="minorHAnsi"/>
          <w:i/>
          <w:iCs/>
        </w:rPr>
        <w:t>Innovations in Education and Teaching International</w:t>
      </w:r>
      <w:r w:rsidRPr="00862411">
        <w:rPr>
          <w:rFonts w:cstheme="minorHAnsi"/>
        </w:rPr>
        <w:t>, 44(4), pp.349-362.</w:t>
      </w:r>
    </w:p>
    <w:p w:rsidR="002F111E" w:rsidRPr="00862411" w:rsidRDefault="002F111E" w:rsidP="002F111E">
      <w:pPr>
        <w:spacing w:line="360" w:lineRule="auto"/>
        <w:rPr>
          <w:rFonts w:cstheme="minorHAnsi"/>
        </w:rPr>
      </w:pPr>
      <w:r w:rsidRPr="00862411">
        <w:rPr>
          <w:rFonts w:cstheme="minorHAnsi"/>
        </w:rPr>
        <w:t xml:space="preserve">Chesterfield, R. (2008). </w:t>
      </w:r>
      <w:r w:rsidRPr="00862411">
        <w:rPr>
          <w:rFonts w:cstheme="minorHAnsi"/>
          <w:i/>
        </w:rPr>
        <w:t>Classroom Observation Tools.</w:t>
      </w:r>
      <w:r w:rsidRPr="00862411">
        <w:rPr>
          <w:rFonts w:cstheme="minorHAnsi"/>
        </w:rPr>
        <w:t xml:space="preserve"> Institute for International Research/Improving Educational Quality Project, pp. 8 – 9.</w:t>
      </w:r>
    </w:p>
    <w:p w:rsidR="002F111E" w:rsidRPr="00862411" w:rsidRDefault="002F111E" w:rsidP="002F111E">
      <w:pPr>
        <w:spacing w:line="360" w:lineRule="auto"/>
        <w:rPr>
          <w:rFonts w:cstheme="minorHAnsi"/>
          <w:shd w:val="clear" w:color="auto" w:fill="FFFFFF"/>
        </w:rPr>
      </w:pPr>
      <w:r w:rsidRPr="00862411">
        <w:rPr>
          <w:rFonts w:cstheme="minorHAnsi"/>
          <w:shd w:val="clear" w:color="auto" w:fill="FFFFFF"/>
        </w:rPr>
        <w:t>Chokshi, S. and Fernandez, C. (2004) ‘Challenges to Importing Japanese Lesson Study: Concerns, Misconceptions, and Nuances’, </w:t>
      </w:r>
      <w:r w:rsidRPr="00862411">
        <w:rPr>
          <w:rFonts w:cstheme="minorHAnsi"/>
          <w:i/>
          <w:iCs/>
          <w:shd w:val="clear" w:color="auto" w:fill="FFFFFF"/>
        </w:rPr>
        <w:t>Phi Delta Kappan</w:t>
      </w:r>
      <w:r w:rsidRPr="00862411">
        <w:rPr>
          <w:rFonts w:cstheme="minorHAnsi"/>
          <w:shd w:val="clear" w:color="auto" w:fill="FFFFFF"/>
        </w:rPr>
        <w:t>, 85(7), pp. 520–525. </w:t>
      </w:r>
    </w:p>
    <w:p w:rsidR="002F111E" w:rsidRPr="00862411" w:rsidRDefault="002F111E" w:rsidP="002F111E">
      <w:pPr>
        <w:spacing w:line="360" w:lineRule="auto"/>
        <w:rPr>
          <w:rFonts w:cstheme="minorHAnsi"/>
          <w:color w:val="000000" w:themeColor="text1"/>
          <w:shd w:val="clear" w:color="auto" w:fill="FFFFFF"/>
        </w:rPr>
      </w:pPr>
      <w:r w:rsidRPr="00862411">
        <w:rPr>
          <w:rFonts w:cstheme="minorHAnsi"/>
          <w:color w:val="000000" w:themeColor="text1"/>
          <w:shd w:val="clear" w:color="auto" w:fill="FFFFFF"/>
        </w:rPr>
        <w:t xml:space="preserve">Connors, A. F. (2017) </w:t>
      </w:r>
      <w:r w:rsidRPr="00862411">
        <w:rPr>
          <w:rFonts w:cstheme="minorHAnsi"/>
          <w:i/>
          <w:color w:val="000000" w:themeColor="text1"/>
          <w:shd w:val="clear" w:color="auto" w:fill="FFFFFF"/>
        </w:rPr>
        <w:t>101 Rhythm Instrument Activities for Young Children.</w:t>
      </w:r>
      <w:r w:rsidRPr="00862411">
        <w:rPr>
          <w:rFonts w:cstheme="minorHAnsi"/>
          <w:color w:val="000000" w:themeColor="text1"/>
          <w:shd w:val="clear" w:color="auto" w:fill="FFFFFF"/>
        </w:rPr>
        <w:t xml:space="preserve"> Gryphon House Inc: Beltsville. pp.7-9</w:t>
      </w:r>
    </w:p>
    <w:p w:rsidR="002F111E" w:rsidRPr="00862411" w:rsidRDefault="002F111E" w:rsidP="002F111E">
      <w:pPr>
        <w:spacing w:line="360" w:lineRule="auto"/>
        <w:rPr>
          <w:rFonts w:cstheme="minorHAnsi"/>
        </w:rPr>
      </w:pPr>
      <w:r w:rsidRPr="00862411">
        <w:rPr>
          <w:rFonts w:cstheme="minorHAnsi"/>
        </w:rPr>
        <w:t>Davis, H., Summers, J. and Miller, L. (2012). </w:t>
      </w:r>
      <w:r w:rsidRPr="00862411">
        <w:rPr>
          <w:rFonts w:cstheme="minorHAnsi"/>
          <w:i/>
          <w:iCs/>
        </w:rPr>
        <w:t>An Interpersonal Approach to Classroom Management</w:t>
      </w:r>
      <w:r w:rsidRPr="00862411">
        <w:rPr>
          <w:rFonts w:cstheme="minorHAnsi"/>
        </w:rPr>
        <w:t xml:space="preserve">. California: Corwin Press/A Joint Publication, pp. 21 – 31. </w:t>
      </w:r>
    </w:p>
    <w:p w:rsidR="002F111E" w:rsidRPr="00862411" w:rsidRDefault="002F111E" w:rsidP="002F111E">
      <w:pPr>
        <w:spacing w:line="360" w:lineRule="auto"/>
        <w:rPr>
          <w:rFonts w:cstheme="minorHAnsi"/>
        </w:rPr>
      </w:pPr>
      <w:r w:rsidRPr="00862411">
        <w:rPr>
          <w:rFonts w:cstheme="minorHAnsi"/>
        </w:rPr>
        <w:t xml:space="preserve">Department of Education (2009). </w:t>
      </w:r>
      <w:r w:rsidRPr="00862411">
        <w:rPr>
          <w:rFonts w:cstheme="minorHAnsi"/>
          <w:i/>
        </w:rPr>
        <w:t xml:space="preserve">Improving subject pedagogy through Lesson Study. </w:t>
      </w:r>
      <w:r w:rsidRPr="00862411">
        <w:rPr>
          <w:rFonts w:cstheme="minorHAnsi"/>
        </w:rPr>
        <w:t>Department of Education, p .3.</w:t>
      </w:r>
    </w:p>
    <w:p w:rsidR="002F111E" w:rsidRPr="00862411" w:rsidRDefault="002F111E" w:rsidP="002F111E">
      <w:pPr>
        <w:spacing w:line="360" w:lineRule="auto"/>
        <w:rPr>
          <w:rFonts w:cstheme="minorHAnsi"/>
        </w:rPr>
      </w:pPr>
      <w:r w:rsidRPr="00862411">
        <w:rPr>
          <w:rFonts w:cstheme="minorHAnsi"/>
        </w:rPr>
        <w:lastRenderedPageBreak/>
        <w:t xml:space="preserve">Donaldson, G. (2015). </w:t>
      </w:r>
      <w:r w:rsidRPr="00862411">
        <w:rPr>
          <w:rFonts w:cstheme="minorHAnsi"/>
          <w:i/>
        </w:rPr>
        <w:t>Successful Futures: Independent Review of Curriculum and Assessment Arrangements in Wales.</w:t>
      </w:r>
      <w:r w:rsidRPr="00862411">
        <w:rPr>
          <w:rFonts w:cstheme="minorHAnsi"/>
        </w:rPr>
        <w:t xml:space="preserve"> Welsh Government, pp. 21 – 88.</w:t>
      </w:r>
    </w:p>
    <w:p w:rsidR="002F111E" w:rsidRPr="00862411" w:rsidRDefault="002F111E" w:rsidP="002F111E">
      <w:pPr>
        <w:spacing w:line="360" w:lineRule="auto"/>
        <w:rPr>
          <w:rFonts w:cstheme="minorHAnsi"/>
        </w:rPr>
      </w:pPr>
      <w:r w:rsidRPr="00862411">
        <w:rPr>
          <w:rFonts w:cstheme="minorHAnsi"/>
          <w:color w:val="000000"/>
          <w:shd w:val="clear" w:color="auto" w:fill="FFFFFF"/>
        </w:rPr>
        <w:t>Dudley, P. (2014). </w:t>
      </w:r>
      <w:r w:rsidRPr="00862411">
        <w:rPr>
          <w:rFonts w:cstheme="minorHAnsi"/>
          <w:i/>
          <w:iCs/>
          <w:color w:val="000000"/>
          <w:shd w:val="clear" w:color="auto" w:fill="FFFFFF"/>
        </w:rPr>
        <w:t>Lesson Study: Professional Learning for our Time</w:t>
      </w:r>
      <w:r w:rsidRPr="00862411">
        <w:rPr>
          <w:rFonts w:cstheme="minorHAnsi"/>
          <w:color w:val="000000"/>
          <w:shd w:val="clear" w:color="auto" w:fill="FFFFFF"/>
        </w:rPr>
        <w:t>. London: Routledge, pp.1-38</w:t>
      </w:r>
    </w:p>
    <w:p w:rsidR="002F111E" w:rsidRPr="00862411" w:rsidRDefault="002F111E" w:rsidP="002F111E">
      <w:pPr>
        <w:spacing w:line="360" w:lineRule="auto"/>
        <w:rPr>
          <w:rFonts w:cstheme="minorHAnsi"/>
        </w:rPr>
      </w:pPr>
      <w:r w:rsidRPr="00862411">
        <w:rPr>
          <w:rFonts w:cstheme="minorHAnsi"/>
        </w:rPr>
        <w:t>Egan, K. (1991) Education and the Mental Life of Young Children. </w:t>
      </w:r>
      <w:r w:rsidRPr="00862411">
        <w:rPr>
          <w:rFonts w:cstheme="minorHAnsi"/>
          <w:i/>
          <w:iCs/>
        </w:rPr>
        <w:t>Australian Journal of Education</w:t>
      </w:r>
      <w:r w:rsidRPr="00862411">
        <w:rPr>
          <w:rFonts w:cstheme="minorHAnsi"/>
        </w:rPr>
        <w:t>, 35(1), pp. 60–74. </w:t>
      </w:r>
    </w:p>
    <w:p w:rsidR="002F111E" w:rsidRPr="00862411" w:rsidRDefault="002F111E" w:rsidP="002F111E">
      <w:pPr>
        <w:spacing w:line="360" w:lineRule="auto"/>
        <w:rPr>
          <w:rFonts w:cstheme="minorHAnsi"/>
        </w:rPr>
      </w:pPr>
      <w:r w:rsidRPr="00862411">
        <w:rPr>
          <w:rFonts w:cstheme="minorHAnsi"/>
        </w:rPr>
        <w:t>Finn, J. and Voelkl, K. (1993). School Characteristics Related to Student Engagement. </w:t>
      </w:r>
      <w:r w:rsidRPr="00862411">
        <w:rPr>
          <w:rFonts w:cstheme="minorHAnsi"/>
          <w:i/>
          <w:iCs/>
        </w:rPr>
        <w:t>The Journal of Negro Education</w:t>
      </w:r>
      <w:r w:rsidRPr="00862411">
        <w:rPr>
          <w:rFonts w:cstheme="minorHAnsi"/>
        </w:rPr>
        <w:t>, 62(3), p. 249.</w:t>
      </w:r>
    </w:p>
    <w:p w:rsidR="002F111E" w:rsidRPr="00862411" w:rsidRDefault="002F111E" w:rsidP="002F111E">
      <w:pPr>
        <w:spacing w:line="360" w:lineRule="auto"/>
        <w:rPr>
          <w:rFonts w:cstheme="minorHAnsi"/>
        </w:rPr>
      </w:pPr>
      <w:r w:rsidRPr="00862411">
        <w:rPr>
          <w:rFonts w:cstheme="minorHAnsi"/>
        </w:rPr>
        <w:t>Fredricks, J., Blumenfeld, P. and Paris, A. (2004). School Engagement: Potential of the Concept, State of the Evidence. </w:t>
      </w:r>
      <w:r w:rsidRPr="00862411">
        <w:rPr>
          <w:rFonts w:cstheme="minorHAnsi"/>
          <w:i/>
          <w:iCs/>
        </w:rPr>
        <w:t>Review of Educational Research</w:t>
      </w:r>
      <w:r w:rsidRPr="00862411">
        <w:rPr>
          <w:rFonts w:cstheme="minorHAnsi"/>
        </w:rPr>
        <w:t>, 74(1), pp. 59 – 109.</w:t>
      </w:r>
    </w:p>
    <w:p w:rsidR="002F111E" w:rsidRPr="00862411" w:rsidRDefault="002F111E" w:rsidP="002F111E">
      <w:pPr>
        <w:spacing w:line="360" w:lineRule="auto"/>
        <w:rPr>
          <w:rFonts w:cstheme="minorHAnsi"/>
        </w:rPr>
      </w:pPr>
      <w:r w:rsidRPr="00862411">
        <w:rPr>
          <w:rFonts w:cstheme="minorHAnsi"/>
        </w:rPr>
        <w:t>Furrer, C. and Skinner, E. (2003). Sense of relatedness as a factor in children's academic engagement and performance. </w:t>
      </w:r>
      <w:r w:rsidRPr="00862411">
        <w:rPr>
          <w:rFonts w:cstheme="minorHAnsi"/>
          <w:i/>
          <w:iCs/>
        </w:rPr>
        <w:t>Journal of Educational Psychology</w:t>
      </w:r>
      <w:r w:rsidRPr="00862411">
        <w:rPr>
          <w:rFonts w:cstheme="minorHAnsi"/>
        </w:rPr>
        <w:t>, 95(1), pp. 148 – 162.</w:t>
      </w:r>
    </w:p>
    <w:p w:rsidR="002F111E" w:rsidRPr="00862411" w:rsidRDefault="002F111E" w:rsidP="002F111E">
      <w:pPr>
        <w:spacing w:line="360" w:lineRule="auto"/>
        <w:rPr>
          <w:rFonts w:cstheme="minorHAnsi"/>
        </w:rPr>
      </w:pPr>
      <w:r w:rsidRPr="00862411">
        <w:rPr>
          <w:rFonts w:cstheme="minorHAnsi"/>
        </w:rPr>
        <w:t xml:space="preserve">Gardner, H. (1993) </w:t>
      </w:r>
      <w:r w:rsidRPr="00862411">
        <w:rPr>
          <w:rFonts w:cstheme="minorHAnsi"/>
          <w:i/>
        </w:rPr>
        <w:t>Frame of Mind</w:t>
      </w:r>
      <w:r w:rsidRPr="00862411">
        <w:rPr>
          <w:rFonts w:cstheme="minorHAnsi"/>
        </w:rPr>
        <w:t>, 2</w:t>
      </w:r>
      <w:r w:rsidRPr="00862411">
        <w:rPr>
          <w:rFonts w:cstheme="minorHAnsi"/>
          <w:vertAlign w:val="superscript"/>
        </w:rPr>
        <w:t>nd</w:t>
      </w:r>
      <w:r w:rsidRPr="00862411">
        <w:rPr>
          <w:rFonts w:cstheme="minorHAnsi"/>
        </w:rPr>
        <w:t xml:space="preserve"> Ed. London: Harper Collins, pp. 1 – 23.</w:t>
      </w:r>
    </w:p>
    <w:p w:rsidR="002F111E" w:rsidRPr="00862411" w:rsidRDefault="002F111E" w:rsidP="002F111E">
      <w:pPr>
        <w:spacing w:line="360" w:lineRule="auto"/>
        <w:rPr>
          <w:rFonts w:cstheme="minorHAnsi"/>
          <w:bCs/>
          <w:i/>
        </w:rPr>
      </w:pPr>
      <w:r w:rsidRPr="00862411">
        <w:rPr>
          <w:rFonts w:cstheme="minorHAnsi"/>
        </w:rPr>
        <w:t xml:space="preserve">Habermeyer, S. (1999). </w:t>
      </w:r>
      <w:r w:rsidRPr="00862411">
        <w:rPr>
          <w:rFonts w:cstheme="minorHAnsi"/>
          <w:bCs/>
          <w:i/>
        </w:rPr>
        <w:t xml:space="preserve">Good Music, Brighter Children: Simple and Practical Ideas to Help Transform Your Child's Life Through the Power of Music. </w:t>
      </w:r>
      <w:r w:rsidRPr="00862411">
        <w:rPr>
          <w:rFonts w:cstheme="minorHAnsi"/>
          <w:bCs/>
        </w:rPr>
        <w:t xml:space="preserve">London: Prima, </w:t>
      </w:r>
      <w:r w:rsidRPr="00862411">
        <w:rPr>
          <w:rFonts w:cstheme="minorHAnsi"/>
        </w:rPr>
        <w:t>p. 43</w:t>
      </w:r>
    </w:p>
    <w:p w:rsidR="002F111E" w:rsidRPr="00862411" w:rsidRDefault="002F111E" w:rsidP="002F111E">
      <w:pPr>
        <w:spacing w:line="360" w:lineRule="auto"/>
        <w:rPr>
          <w:rFonts w:cstheme="minorHAnsi"/>
        </w:rPr>
      </w:pPr>
      <w:r w:rsidRPr="00862411">
        <w:rPr>
          <w:rFonts w:cstheme="minorHAnsi"/>
        </w:rPr>
        <w:t xml:space="preserve">Hall, N. C., Goetz, T. (2013) </w:t>
      </w:r>
      <w:r w:rsidRPr="00862411">
        <w:rPr>
          <w:rFonts w:cstheme="minorHAnsi"/>
          <w:i/>
        </w:rPr>
        <w:t>Emotion, motivation, and self-regulation: A Handbook for Teachers.</w:t>
      </w:r>
      <w:r w:rsidRPr="00862411">
        <w:rPr>
          <w:rFonts w:cstheme="minorHAnsi"/>
        </w:rPr>
        <w:t xml:space="preserve"> Bingley: Emerald, pp. 1 – 31.</w:t>
      </w:r>
    </w:p>
    <w:p w:rsidR="002F111E" w:rsidRPr="00862411" w:rsidRDefault="002F111E" w:rsidP="002F111E">
      <w:pPr>
        <w:spacing w:line="360" w:lineRule="auto"/>
        <w:rPr>
          <w:rFonts w:cstheme="minorHAnsi"/>
        </w:rPr>
      </w:pPr>
      <w:r w:rsidRPr="00862411">
        <w:rPr>
          <w:rFonts w:cstheme="minorHAnsi"/>
        </w:rPr>
        <w:t xml:space="preserve">Hallam, S. (2001). </w:t>
      </w:r>
      <w:r w:rsidRPr="00862411">
        <w:rPr>
          <w:rFonts w:cstheme="minorHAnsi"/>
          <w:i/>
        </w:rPr>
        <w:t>The Power of Music</w:t>
      </w:r>
      <w:r w:rsidRPr="00862411">
        <w:rPr>
          <w:rFonts w:cstheme="minorHAnsi"/>
        </w:rPr>
        <w:t>. London: Performing Rights Society, p. 16.</w:t>
      </w:r>
    </w:p>
    <w:p w:rsidR="002F111E" w:rsidRPr="00862411" w:rsidRDefault="002F111E" w:rsidP="002F111E">
      <w:pPr>
        <w:spacing w:line="360" w:lineRule="auto"/>
        <w:rPr>
          <w:rFonts w:cstheme="minorHAnsi"/>
        </w:rPr>
      </w:pPr>
      <w:r w:rsidRPr="00862411">
        <w:rPr>
          <w:rFonts w:cstheme="minorHAnsi"/>
        </w:rPr>
        <w:t xml:space="preserve">Johnson, R. B., Christensen, L. (2014). </w:t>
      </w:r>
      <w:r w:rsidRPr="00862411">
        <w:rPr>
          <w:rFonts w:cstheme="minorHAnsi"/>
          <w:i/>
        </w:rPr>
        <w:t>Educational Research: Quantitative, Qualitative, and Mixed Approaches.</w:t>
      </w:r>
      <w:r w:rsidRPr="00862411">
        <w:rPr>
          <w:rFonts w:cstheme="minorHAnsi"/>
        </w:rPr>
        <w:t xml:space="preserve"> 5</w:t>
      </w:r>
      <w:r w:rsidRPr="00862411">
        <w:rPr>
          <w:rFonts w:cstheme="minorHAnsi"/>
          <w:vertAlign w:val="superscript"/>
        </w:rPr>
        <w:t>th</w:t>
      </w:r>
      <w:r w:rsidRPr="00862411">
        <w:rPr>
          <w:rFonts w:cstheme="minorHAnsi"/>
        </w:rPr>
        <w:t xml:space="preserve"> Ed. New York: SAGE, pp. 215 – 217.</w:t>
      </w:r>
    </w:p>
    <w:p w:rsidR="002F111E" w:rsidRPr="00862411" w:rsidRDefault="002F111E" w:rsidP="002F111E">
      <w:pPr>
        <w:spacing w:line="360" w:lineRule="auto"/>
        <w:rPr>
          <w:rFonts w:cstheme="minorHAnsi"/>
        </w:rPr>
      </w:pPr>
      <w:r w:rsidRPr="00862411">
        <w:rPr>
          <w:rFonts w:cstheme="minorHAnsi"/>
        </w:rPr>
        <w:t>Ladd, G. and Dinella, L. (2009). Continuity and Change in Early School Engagement: Predictive of Children's Achievement Trajectories from First to Eighth Grade?. </w:t>
      </w:r>
      <w:r w:rsidRPr="00862411">
        <w:rPr>
          <w:rFonts w:cstheme="minorHAnsi"/>
          <w:i/>
          <w:iCs/>
        </w:rPr>
        <w:t>Journal of Educational Psychology</w:t>
      </w:r>
      <w:r w:rsidRPr="00862411">
        <w:rPr>
          <w:rFonts w:cstheme="minorHAnsi"/>
        </w:rPr>
        <w:t>, 101(1), pp. 190 – 206.</w:t>
      </w:r>
    </w:p>
    <w:p w:rsidR="002F111E" w:rsidRPr="00862411" w:rsidRDefault="002F111E" w:rsidP="002F111E">
      <w:pPr>
        <w:spacing w:line="360" w:lineRule="auto"/>
        <w:rPr>
          <w:rFonts w:cstheme="minorHAnsi"/>
          <w:b/>
          <w:bCs/>
        </w:rPr>
      </w:pPr>
      <w:r w:rsidRPr="00862411">
        <w:rPr>
          <w:rFonts w:cstheme="minorHAnsi"/>
        </w:rPr>
        <w:t xml:space="preserve">Laevers, F. (1994). </w:t>
      </w:r>
      <w:r w:rsidRPr="00862411">
        <w:rPr>
          <w:rFonts w:cstheme="minorHAnsi"/>
          <w:bCs/>
        </w:rPr>
        <w:t xml:space="preserve">The Leuven Involvement Scale for Young Children LIS-YC. </w:t>
      </w:r>
      <w:r w:rsidRPr="00862411">
        <w:rPr>
          <w:rFonts w:cstheme="minorHAnsi"/>
          <w:bCs/>
          <w:i/>
        </w:rPr>
        <w:t xml:space="preserve">Experimental Education Series, </w:t>
      </w:r>
      <w:r w:rsidRPr="00862411">
        <w:rPr>
          <w:rFonts w:cstheme="minorHAnsi"/>
          <w:bCs/>
        </w:rPr>
        <w:t>(1), pp. 1 – 37.</w:t>
      </w:r>
    </w:p>
    <w:p w:rsidR="002F111E" w:rsidRPr="00862411" w:rsidRDefault="002F111E" w:rsidP="002F111E">
      <w:pPr>
        <w:spacing w:line="360" w:lineRule="auto"/>
        <w:rPr>
          <w:rFonts w:cstheme="minorHAnsi"/>
        </w:rPr>
      </w:pPr>
      <w:r w:rsidRPr="00862411">
        <w:rPr>
          <w:rFonts w:cstheme="minorHAnsi"/>
        </w:rPr>
        <w:t>Laevers, F. and Heylen, L. (2003). </w:t>
      </w:r>
      <w:r w:rsidRPr="00862411">
        <w:rPr>
          <w:rFonts w:cstheme="minorHAnsi"/>
          <w:i/>
          <w:iCs/>
        </w:rPr>
        <w:t>Involvement of Children and Teacher Style</w:t>
      </w:r>
      <w:r w:rsidRPr="00862411">
        <w:rPr>
          <w:rFonts w:cstheme="minorHAnsi"/>
        </w:rPr>
        <w:t>. Leuven: Leuven University Press, pp. 15 – 16.</w:t>
      </w:r>
    </w:p>
    <w:p w:rsidR="002F111E" w:rsidRPr="00862411" w:rsidRDefault="002F111E" w:rsidP="002F111E">
      <w:pPr>
        <w:spacing w:line="360" w:lineRule="auto"/>
        <w:rPr>
          <w:rFonts w:cstheme="minorHAnsi"/>
        </w:rPr>
      </w:pPr>
      <w:r w:rsidRPr="00862411">
        <w:rPr>
          <w:rFonts w:cstheme="minorHAnsi"/>
        </w:rPr>
        <w:t>Marzano, R. and Pickering, D. (2011). </w:t>
      </w:r>
      <w:r w:rsidRPr="00862411">
        <w:rPr>
          <w:rFonts w:cstheme="minorHAnsi"/>
          <w:i/>
          <w:iCs/>
        </w:rPr>
        <w:t>The Highly Engaged Classroom</w:t>
      </w:r>
      <w:r w:rsidRPr="00862411">
        <w:rPr>
          <w:rFonts w:cstheme="minorHAnsi"/>
        </w:rPr>
        <w:t>. Bloomington, IN: Marzano Research Laboratory, pp. 1 – 13.</w:t>
      </w:r>
    </w:p>
    <w:p w:rsidR="002F111E" w:rsidRPr="00862411" w:rsidRDefault="002F111E" w:rsidP="002F111E">
      <w:pPr>
        <w:spacing w:line="360" w:lineRule="auto"/>
        <w:rPr>
          <w:rFonts w:cstheme="minorHAnsi"/>
        </w:rPr>
      </w:pPr>
      <w:r w:rsidRPr="00862411">
        <w:rPr>
          <w:rFonts w:cstheme="minorHAnsi"/>
        </w:rPr>
        <w:lastRenderedPageBreak/>
        <w:t>McPherson, G. and Welch, G. (n.d.). </w:t>
      </w:r>
      <w:r w:rsidRPr="00862411">
        <w:rPr>
          <w:rFonts w:cstheme="minorHAnsi"/>
          <w:i/>
          <w:iCs/>
        </w:rPr>
        <w:t>Music learning and teaching in infancy, childhood, and adolescence</w:t>
      </w:r>
      <w:r w:rsidRPr="00862411">
        <w:rPr>
          <w:rFonts w:cstheme="minorHAnsi"/>
        </w:rPr>
        <w:t>. New York: Oxford University Press, p. 89.</w:t>
      </w:r>
    </w:p>
    <w:p w:rsidR="002F111E" w:rsidRPr="00862411" w:rsidRDefault="002F111E" w:rsidP="002F111E">
      <w:pPr>
        <w:spacing w:line="360" w:lineRule="auto"/>
        <w:rPr>
          <w:rFonts w:cstheme="minorHAnsi"/>
        </w:rPr>
      </w:pPr>
      <w:r w:rsidRPr="00862411">
        <w:rPr>
          <w:rFonts w:cstheme="minorHAnsi"/>
        </w:rPr>
        <w:t xml:space="preserve">Mills, J. (2009). </w:t>
      </w:r>
      <w:r w:rsidRPr="00862411">
        <w:rPr>
          <w:rFonts w:cstheme="minorHAnsi"/>
          <w:i/>
        </w:rPr>
        <w:t>Music in the Primary School.</w:t>
      </w:r>
      <w:r w:rsidRPr="00862411">
        <w:rPr>
          <w:rFonts w:cstheme="minorHAnsi"/>
        </w:rPr>
        <w:t xml:space="preserve"> Oxford: University Press, pp. 87 – 139.</w:t>
      </w:r>
    </w:p>
    <w:p w:rsidR="002F111E" w:rsidRPr="00862411" w:rsidRDefault="002F111E" w:rsidP="002F111E">
      <w:pPr>
        <w:spacing w:line="360" w:lineRule="auto"/>
        <w:rPr>
          <w:rFonts w:cstheme="minorHAnsi"/>
        </w:rPr>
      </w:pPr>
      <w:r w:rsidRPr="00862411">
        <w:rPr>
          <w:rFonts w:cstheme="minorHAnsi"/>
        </w:rPr>
        <w:t xml:space="preserve">Odam, G. (1995). </w:t>
      </w:r>
      <w:r w:rsidRPr="00862411">
        <w:rPr>
          <w:rFonts w:cstheme="minorHAnsi"/>
          <w:i/>
        </w:rPr>
        <w:t>The Sounding Symbol.</w:t>
      </w:r>
      <w:r w:rsidRPr="00862411">
        <w:rPr>
          <w:rFonts w:cstheme="minorHAnsi"/>
        </w:rPr>
        <w:t xml:space="preserve"> Cheltenham: Standley Thornes, pp. 1 – 19.</w:t>
      </w:r>
    </w:p>
    <w:p w:rsidR="002F111E" w:rsidRPr="00862411" w:rsidRDefault="002F111E" w:rsidP="002F111E">
      <w:pPr>
        <w:spacing w:line="360" w:lineRule="auto"/>
        <w:rPr>
          <w:rFonts w:cstheme="minorHAnsi"/>
          <w:color w:val="000000" w:themeColor="text1"/>
          <w:shd w:val="clear" w:color="auto" w:fill="FFFFFF"/>
        </w:rPr>
      </w:pPr>
      <w:r w:rsidRPr="00862411">
        <w:rPr>
          <w:rFonts w:cstheme="minorHAnsi"/>
          <w:color w:val="000000" w:themeColor="text1"/>
          <w:shd w:val="clear" w:color="auto" w:fill="FFFFFF"/>
        </w:rPr>
        <w:t>Olsen, K. (2016) Essentials of Qualitative Interviewing. Routledge, New York. pp. 29-30</w:t>
      </w:r>
    </w:p>
    <w:p w:rsidR="002F111E" w:rsidRPr="00862411" w:rsidRDefault="002F111E" w:rsidP="002F111E">
      <w:pPr>
        <w:spacing w:line="360" w:lineRule="auto"/>
        <w:rPr>
          <w:rFonts w:cstheme="minorHAnsi"/>
        </w:rPr>
      </w:pPr>
      <w:r w:rsidRPr="00862411">
        <w:rPr>
          <w:rFonts w:cstheme="minorHAnsi"/>
        </w:rPr>
        <w:t>O’Reilly, M., and Dogra, N. (2017). </w:t>
      </w:r>
      <w:r w:rsidRPr="00862411">
        <w:rPr>
          <w:rFonts w:cstheme="minorHAnsi"/>
          <w:i/>
          <w:iCs/>
        </w:rPr>
        <w:t>Interviewing children and young people for research</w:t>
      </w:r>
      <w:r w:rsidRPr="00862411">
        <w:rPr>
          <w:rFonts w:cstheme="minorHAnsi"/>
        </w:rPr>
        <w:t>. London: SAGE Publications, pp. 1 – 17.</w:t>
      </w:r>
    </w:p>
    <w:p w:rsidR="002F111E" w:rsidRPr="00862411" w:rsidRDefault="002F111E" w:rsidP="002F111E">
      <w:pPr>
        <w:spacing w:line="360" w:lineRule="auto"/>
        <w:rPr>
          <w:rFonts w:cstheme="minorHAnsi"/>
          <w:bCs/>
        </w:rPr>
      </w:pPr>
      <w:r w:rsidRPr="00862411">
        <w:rPr>
          <w:rFonts w:cstheme="minorHAnsi"/>
        </w:rPr>
        <w:t xml:space="preserve">Palaiologou, I. (2012). </w:t>
      </w:r>
      <w:r w:rsidRPr="00862411">
        <w:rPr>
          <w:rFonts w:cstheme="minorHAnsi"/>
          <w:bCs/>
          <w:i/>
        </w:rPr>
        <w:t xml:space="preserve">Ethical Practice in Early Childhood. </w:t>
      </w:r>
      <w:r w:rsidRPr="00862411">
        <w:rPr>
          <w:rFonts w:cstheme="minorHAnsi"/>
          <w:bCs/>
        </w:rPr>
        <w:t>London: Sage, pp. 111 – 113.</w:t>
      </w:r>
    </w:p>
    <w:p w:rsidR="002F111E" w:rsidRPr="00862411" w:rsidRDefault="002F111E" w:rsidP="002F111E">
      <w:pPr>
        <w:spacing w:line="360" w:lineRule="auto"/>
        <w:rPr>
          <w:rFonts w:cstheme="minorHAnsi"/>
        </w:rPr>
      </w:pPr>
      <w:r w:rsidRPr="00862411">
        <w:rPr>
          <w:rFonts w:cstheme="minorHAnsi"/>
        </w:rPr>
        <w:t>Pekrun, R., Lichtenfeld, S., Marsh, H., W., Murayama, K. and Goetz, T. (2017) Achievement emotions and academic performance: longitudinal models of reciprocal effects. </w:t>
      </w:r>
      <w:r w:rsidRPr="00862411">
        <w:rPr>
          <w:rFonts w:cstheme="minorHAnsi"/>
          <w:i/>
        </w:rPr>
        <w:t>Child Development</w:t>
      </w:r>
      <w:r w:rsidRPr="00862411">
        <w:rPr>
          <w:rFonts w:cstheme="minorHAnsi"/>
        </w:rPr>
        <w:t>, 88 (5), pp. 1653</w:t>
      </w:r>
      <w:r w:rsidRPr="00862411">
        <w:rPr>
          <w:rFonts w:cstheme="minorHAnsi"/>
        </w:rPr>
        <w:softHyphen/>
        <w:t xml:space="preserve"> – 1670.</w:t>
      </w:r>
    </w:p>
    <w:p w:rsidR="002F111E" w:rsidRPr="00862411" w:rsidRDefault="002F111E" w:rsidP="002F111E">
      <w:pPr>
        <w:spacing w:line="360" w:lineRule="auto"/>
        <w:rPr>
          <w:rFonts w:cstheme="minorHAnsi"/>
        </w:rPr>
      </w:pPr>
      <w:r w:rsidRPr="00862411">
        <w:rPr>
          <w:rFonts w:cstheme="minorHAnsi"/>
        </w:rPr>
        <w:t xml:space="preserve">Pekrun, R., &amp; Linnenbrink-Garcia, L. (2014). </w:t>
      </w:r>
      <w:r w:rsidRPr="00862411">
        <w:rPr>
          <w:rFonts w:cstheme="minorHAnsi"/>
          <w:i/>
        </w:rPr>
        <w:t xml:space="preserve">International Handbook of Emotion in Education. </w:t>
      </w:r>
      <w:r w:rsidRPr="00862411">
        <w:rPr>
          <w:rFonts w:cstheme="minorHAnsi"/>
        </w:rPr>
        <w:t>New York: Routledge.</w:t>
      </w:r>
    </w:p>
    <w:p w:rsidR="002F111E" w:rsidRPr="00862411" w:rsidRDefault="002F111E" w:rsidP="002F111E">
      <w:pPr>
        <w:spacing w:line="360" w:lineRule="auto"/>
        <w:rPr>
          <w:rFonts w:cstheme="minorHAnsi"/>
        </w:rPr>
      </w:pPr>
      <w:r w:rsidRPr="00862411">
        <w:rPr>
          <w:rFonts w:cstheme="minorHAnsi"/>
        </w:rPr>
        <w:t xml:space="preserve">Pound, L. and Harrison, C. (2003). </w:t>
      </w:r>
      <w:r w:rsidRPr="00862411">
        <w:rPr>
          <w:rFonts w:cstheme="minorHAnsi"/>
          <w:i/>
        </w:rPr>
        <w:t>Supporting Musical Development in the Early Years</w:t>
      </w:r>
      <w:r w:rsidRPr="00862411">
        <w:rPr>
          <w:rFonts w:cstheme="minorHAnsi"/>
        </w:rPr>
        <w:t>. Buckingham: Open University Press, pp. 10 - 91.</w:t>
      </w:r>
    </w:p>
    <w:p w:rsidR="002F111E" w:rsidRPr="00862411" w:rsidRDefault="002F111E" w:rsidP="002F111E">
      <w:pPr>
        <w:spacing w:line="360" w:lineRule="auto"/>
        <w:rPr>
          <w:rFonts w:cstheme="minorHAnsi"/>
        </w:rPr>
      </w:pPr>
      <w:r w:rsidRPr="00862411">
        <w:rPr>
          <w:rFonts w:cstheme="minorHAnsi"/>
        </w:rPr>
        <w:t xml:space="preserve">Ramachandran, V. S., Blakeslee, S. (1999) </w:t>
      </w:r>
      <w:r w:rsidRPr="00862411">
        <w:rPr>
          <w:rFonts w:cstheme="minorHAnsi"/>
          <w:i/>
        </w:rPr>
        <w:t>Phantoms in the Brain.</w:t>
      </w:r>
      <w:r w:rsidRPr="00862411">
        <w:rPr>
          <w:rFonts w:cstheme="minorHAnsi"/>
        </w:rPr>
        <w:t xml:space="preserve"> London: Fourth Estate.</w:t>
      </w:r>
    </w:p>
    <w:p w:rsidR="002F111E" w:rsidRPr="00862411" w:rsidRDefault="002F111E" w:rsidP="002F111E">
      <w:pPr>
        <w:spacing w:line="360" w:lineRule="auto"/>
        <w:rPr>
          <w:rFonts w:cstheme="minorHAnsi"/>
        </w:rPr>
      </w:pPr>
      <w:r w:rsidRPr="00862411">
        <w:rPr>
          <w:rFonts w:cstheme="minorHAnsi"/>
        </w:rPr>
        <w:t>Schellenberg, E., Nakata, T., Hunter, P. and Tamoto, S. (2007</w:t>
      </w:r>
      <w:r w:rsidRPr="00862411">
        <w:rPr>
          <w:rFonts w:cstheme="minorHAnsi"/>
          <w:i/>
        </w:rPr>
        <w:t>). Exposure to music and cognitive performance: tests of children and adults</w:t>
      </w:r>
      <w:r w:rsidRPr="00862411">
        <w:rPr>
          <w:rFonts w:cstheme="minorHAnsi"/>
        </w:rPr>
        <w:t>. Psychology of Music, 35(1), pp. 5 - 16.</w:t>
      </w:r>
    </w:p>
    <w:p w:rsidR="002F111E" w:rsidRPr="00862411" w:rsidRDefault="002F111E" w:rsidP="002F111E">
      <w:pPr>
        <w:spacing w:line="360" w:lineRule="auto"/>
        <w:rPr>
          <w:rFonts w:cstheme="minorHAnsi"/>
        </w:rPr>
      </w:pPr>
      <w:r w:rsidRPr="00862411">
        <w:rPr>
          <w:rFonts w:cstheme="minorHAnsi"/>
        </w:rPr>
        <w:t xml:space="preserve">Skinner, E., Kindermann, T., Connell, J. P., Wellborn, J. (2009). Engagement and Disaffection as Organizational Constructs in the Dynamics of Motivational Development. </w:t>
      </w:r>
      <w:r w:rsidRPr="00862411">
        <w:rPr>
          <w:rFonts w:cstheme="minorHAnsi"/>
          <w:i/>
        </w:rPr>
        <w:t>Handbook of Motivation in School.</w:t>
      </w:r>
      <w:r w:rsidRPr="00862411">
        <w:rPr>
          <w:rFonts w:cstheme="minorHAnsi"/>
        </w:rPr>
        <w:t xml:space="preserve"> pp. 224 – 227.</w:t>
      </w:r>
    </w:p>
    <w:p w:rsidR="002F111E" w:rsidRPr="00862411" w:rsidRDefault="002F111E" w:rsidP="002F111E">
      <w:pPr>
        <w:spacing w:line="360" w:lineRule="auto"/>
        <w:rPr>
          <w:rFonts w:cstheme="minorHAnsi"/>
        </w:rPr>
      </w:pPr>
      <w:r w:rsidRPr="00862411">
        <w:rPr>
          <w:rFonts w:cstheme="minorHAnsi"/>
        </w:rPr>
        <w:t>Skinner, E. A., &amp; Belmont, M. J. (1993). Motivation in the Classroom: Reciprocal Effects of Teacher Behaviour and Student Engagement Across the School Year. </w:t>
      </w:r>
      <w:r w:rsidRPr="00862411">
        <w:rPr>
          <w:rFonts w:cstheme="minorHAnsi"/>
          <w:i/>
          <w:iCs/>
        </w:rPr>
        <w:t>Journal of Educational Psychology, 85</w:t>
      </w:r>
      <w:r w:rsidRPr="00862411">
        <w:rPr>
          <w:rFonts w:cstheme="minorHAnsi"/>
        </w:rPr>
        <w:t>(4), pp. 571 – 581.</w:t>
      </w:r>
    </w:p>
    <w:p w:rsidR="002F111E" w:rsidRPr="00862411" w:rsidRDefault="002F111E" w:rsidP="002F111E">
      <w:pPr>
        <w:spacing w:line="360" w:lineRule="auto"/>
        <w:rPr>
          <w:rFonts w:cstheme="minorHAnsi"/>
        </w:rPr>
      </w:pPr>
      <w:r w:rsidRPr="00862411">
        <w:rPr>
          <w:rFonts w:cstheme="minorHAnsi"/>
        </w:rPr>
        <w:t xml:space="preserve">Skinner, E. A., Kindermann, T., Connell, J. P., Wellborn, J. (2009). Engagement and Disaffection as Organizational Constructs in the Dynamics of Motivational Development. </w:t>
      </w:r>
      <w:r w:rsidRPr="00862411">
        <w:rPr>
          <w:rFonts w:cstheme="minorHAnsi"/>
          <w:i/>
        </w:rPr>
        <w:t>Handbook of Motivation in School.</w:t>
      </w:r>
      <w:r w:rsidRPr="00862411">
        <w:rPr>
          <w:rFonts w:cstheme="minorHAnsi"/>
        </w:rPr>
        <w:t xml:space="preserve"> Portland State University, pp. 224 – 227.</w:t>
      </w:r>
    </w:p>
    <w:p w:rsidR="002F111E" w:rsidRPr="00862411" w:rsidRDefault="002F111E" w:rsidP="002F111E">
      <w:pPr>
        <w:spacing w:line="360" w:lineRule="auto"/>
        <w:rPr>
          <w:rFonts w:cstheme="minorHAnsi"/>
        </w:rPr>
      </w:pPr>
      <w:r w:rsidRPr="00862411">
        <w:rPr>
          <w:rFonts w:cstheme="minorHAnsi"/>
        </w:rPr>
        <w:t xml:space="preserve">University of Wales Trinity Saint David. (2017). </w:t>
      </w:r>
      <w:r w:rsidRPr="00862411">
        <w:rPr>
          <w:rFonts w:cstheme="minorHAnsi"/>
          <w:i/>
        </w:rPr>
        <w:t>Research Ethics &amp; Integrity Code of Practice.</w:t>
      </w:r>
      <w:r w:rsidRPr="00862411">
        <w:rPr>
          <w:rFonts w:cstheme="minorHAnsi"/>
        </w:rPr>
        <w:t xml:space="preserve"> University of Wales Trinity Saint David, pp. 1 – 19.</w:t>
      </w:r>
    </w:p>
    <w:p w:rsidR="002F111E" w:rsidRPr="00862411" w:rsidRDefault="002F111E" w:rsidP="002F111E">
      <w:pPr>
        <w:pStyle w:val="Heading1"/>
        <w:shd w:val="clear" w:color="auto" w:fill="FFFFFF"/>
        <w:spacing w:before="0" w:after="315" w:line="360" w:lineRule="auto"/>
        <w:rPr>
          <w:rFonts w:asciiTheme="minorHAnsi" w:eastAsia="Times New Roman" w:hAnsiTheme="minorHAnsi" w:cstheme="minorHAnsi"/>
          <w:bCs/>
          <w:color w:val="000000" w:themeColor="text1"/>
          <w:kern w:val="36"/>
          <w:sz w:val="22"/>
          <w:szCs w:val="22"/>
          <w:lang w:eastAsia="en-GB"/>
        </w:rPr>
      </w:pPr>
      <w:r w:rsidRPr="00862411">
        <w:rPr>
          <w:rFonts w:asciiTheme="minorHAnsi" w:hAnsiTheme="minorHAnsi" w:cstheme="minorHAnsi"/>
          <w:color w:val="000000" w:themeColor="text1"/>
          <w:sz w:val="22"/>
          <w:szCs w:val="22"/>
        </w:rPr>
        <w:lastRenderedPageBreak/>
        <w:t xml:space="preserve">Vaughn, S.M. (2011) </w:t>
      </w:r>
      <w:r w:rsidRPr="00862411">
        <w:rPr>
          <w:rFonts w:asciiTheme="minorHAnsi" w:eastAsia="Times New Roman" w:hAnsiTheme="minorHAnsi" w:cstheme="minorHAnsi"/>
          <w:bCs/>
          <w:i/>
          <w:color w:val="000000" w:themeColor="text1"/>
          <w:kern w:val="36"/>
          <w:sz w:val="22"/>
          <w:szCs w:val="22"/>
          <w:lang w:eastAsia="en-GB"/>
        </w:rPr>
        <w:t xml:space="preserve">Investigating the Facilitator's Role During the Lesson Study Process in High Schools </w:t>
      </w:r>
      <w:r w:rsidRPr="00862411">
        <w:rPr>
          <w:rFonts w:asciiTheme="minorHAnsi" w:eastAsia="Times New Roman" w:hAnsiTheme="minorHAnsi" w:cstheme="minorHAnsi"/>
          <w:bCs/>
          <w:color w:val="000000" w:themeColor="text1"/>
          <w:kern w:val="36"/>
          <w:sz w:val="22"/>
          <w:szCs w:val="22"/>
          <w:lang w:eastAsia="en-GB"/>
        </w:rPr>
        <w:t>Florida: The University of West Florida. pp.40-44</w:t>
      </w:r>
    </w:p>
    <w:p w:rsidR="002F111E" w:rsidRPr="00862411" w:rsidRDefault="002F111E" w:rsidP="002F111E">
      <w:pPr>
        <w:spacing w:line="360" w:lineRule="auto"/>
        <w:rPr>
          <w:rFonts w:cstheme="minorHAnsi"/>
        </w:rPr>
      </w:pPr>
      <w:r w:rsidRPr="00862411">
        <w:rPr>
          <w:rFonts w:cstheme="minorHAnsi"/>
        </w:rPr>
        <w:t xml:space="preserve">Welch, G. F., Himonides, E., Saunders, J., Papageorgi, I., Rinta, T., Preti, C., et al. (2012). Researching the first year of the national singing programme in England: an initial impact evaluation. </w:t>
      </w:r>
      <w:r w:rsidRPr="00862411">
        <w:rPr>
          <w:rFonts w:cstheme="minorHAnsi"/>
          <w:i/>
        </w:rPr>
        <w:t xml:space="preserve">Psychomusicol, Music Mind Brain, </w:t>
      </w:r>
      <w:r w:rsidRPr="00862411">
        <w:rPr>
          <w:rFonts w:cstheme="minorHAnsi"/>
        </w:rPr>
        <w:t>21, pp. 83 – 97.</w:t>
      </w:r>
    </w:p>
    <w:p w:rsidR="002F111E" w:rsidRPr="00862411" w:rsidRDefault="002F111E" w:rsidP="002F111E">
      <w:pPr>
        <w:spacing w:line="360" w:lineRule="auto"/>
        <w:rPr>
          <w:rFonts w:cstheme="minorHAnsi"/>
        </w:rPr>
      </w:pPr>
      <w:r w:rsidRPr="00862411">
        <w:rPr>
          <w:rFonts w:cstheme="minorHAnsi"/>
        </w:rPr>
        <w:t xml:space="preserve">Welsh Government. (2014). </w:t>
      </w:r>
      <w:r w:rsidRPr="00862411">
        <w:rPr>
          <w:rFonts w:cstheme="minorHAnsi"/>
          <w:i/>
        </w:rPr>
        <w:t>National Literacy and Numeracy Framework.</w:t>
      </w:r>
      <w:r w:rsidRPr="00862411">
        <w:rPr>
          <w:rFonts w:cstheme="minorHAnsi"/>
        </w:rPr>
        <w:t xml:space="preserve"> [online] learning.gov.wales. Available at: https://learning.gov.wales/resources/browse-all/nlnf/?lang=en [Accessed 1 Mar. 2019].</w:t>
      </w:r>
    </w:p>
    <w:p w:rsidR="002F111E" w:rsidRPr="00862411" w:rsidRDefault="002F111E" w:rsidP="002F111E">
      <w:pPr>
        <w:spacing w:line="360" w:lineRule="auto"/>
        <w:rPr>
          <w:rFonts w:cstheme="minorHAnsi"/>
        </w:rPr>
      </w:pPr>
      <w:r w:rsidRPr="00862411">
        <w:rPr>
          <w:rFonts w:cstheme="minorHAnsi"/>
        </w:rPr>
        <w:t>Wu C. H., Deng H., Li Y. (2018). Enhancing a sense of competence at work by engaging in proactive behavior: the role of proactive personality. </w:t>
      </w:r>
      <w:r w:rsidRPr="00862411">
        <w:rPr>
          <w:rFonts w:cstheme="minorHAnsi"/>
          <w:i/>
          <w:iCs/>
        </w:rPr>
        <w:t xml:space="preserve">J. Happiness Stud, </w:t>
      </w:r>
      <w:r w:rsidRPr="00862411">
        <w:rPr>
          <w:rFonts w:cstheme="minorHAnsi"/>
        </w:rPr>
        <w:t>19, pp. 233.</w:t>
      </w:r>
    </w:p>
    <w:p w:rsidR="002F111E" w:rsidRDefault="002F111E" w:rsidP="002F111E">
      <w:pPr>
        <w:spacing w:line="360" w:lineRule="auto"/>
        <w:rPr>
          <w:b/>
        </w:rPr>
      </w:pPr>
    </w:p>
    <w:p w:rsidR="00E01195" w:rsidRPr="00E01195" w:rsidRDefault="00E01195" w:rsidP="00E01195"/>
    <w:sectPr w:rsidR="00E01195" w:rsidRPr="00E011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1C16" w:rsidRDefault="00601C16" w:rsidP="00E01195">
      <w:pPr>
        <w:spacing w:after="0" w:line="240" w:lineRule="auto"/>
      </w:pPr>
      <w:r>
        <w:separator/>
      </w:r>
    </w:p>
  </w:endnote>
  <w:endnote w:type="continuationSeparator" w:id="0">
    <w:p w:rsidR="00601C16" w:rsidRDefault="00601C16" w:rsidP="00E01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1C16" w:rsidRDefault="00601C16" w:rsidP="00E01195">
      <w:pPr>
        <w:spacing w:after="0" w:line="240" w:lineRule="auto"/>
      </w:pPr>
      <w:r>
        <w:separator/>
      </w:r>
    </w:p>
  </w:footnote>
  <w:footnote w:type="continuationSeparator" w:id="0">
    <w:p w:rsidR="00601C16" w:rsidRDefault="00601C16" w:rsidP="00E011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1641A5"/>
    <w:multiLevelType w:val="hybridMultilevel"/>
    <w:tmpl w:val="341EB2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B47FB4"/>
    <w:multiLevelType w:val="hybridMultilevel"/>
    <w:tmpl w:val="1DF2162C"/>
    <w:lvl w:ilvl="0" w:tplc="AA68DC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156E"/>
    <w:rsid w:val="00000895"/>
    <w:rsid w:val="000778A0"/>
    <w:rsid w:val="001903AE"/>
    <w:rsid w:val="001A5307"/>
    <w:rsid w:val="001C522F"/>
    <w:rsid w:val="0025027A"/>
    <w:rsid w:val="002F111E"/>
    <w:rsid w:val="002F35E8"/>
    <w:rsid w:val="003130A2"/>
    <w:rsid w:val="00322D82"/>
    <w:rsid w:val="00335CE6"/>
    <w:rsid w:val="00384A88"/>
    <w:rsid w:val="004010B9"/>
    <w:rsid w:val="00401EE7"/>
    <w:rsid w:val="004149AC"/>
    <w:rsid w:val="00415B1F"/>
    <w:rsid w:val="005314C4"/>
    <w:rsid w:val="00556A92"/>
    <w:rsid w:val="00580EEF"/>
    <w:rsid w:val="00601C16"/>
    <w:rsid w:val="0062237B"/>
    <w:rsid w:val="00700C63"/>
    <w:rsid w:val="0077372C"/>
    <w:rsid w:val="008347B5"/>
    <w:rsid w:val="00842CC5"/>
    <w:rsid w:val="008C17B9"/>
    <w:rsid w:val="008E1BEB"/>
    <w:rsid w:val="008F20A3"/>
    <w:rsid w:val="009361B7"/>
    <w:rsid w:val="0099141D"/>
    <w:rsid w:val="00992491"/>
    <w:rsid w:val="00A04009"/>
    <w:rsid w:val="00A0525F"/>
    <w:rsid w:val="00A145B2"/>
    <w:rsid w:val="00A50279"/>
    <w:rsid w:val="00A7116F"/>
    <w:rsid w:val="00AE7143"/>
    <w:rsid w:val="00AF2FEA"/>
    <w:rsid w:val="00B214F2"/>
    <w:rsid w:val="00B94638"/>
    <w:rsid w:val="00BE0735"/>
    <w:rsid w:val="00C6156E"/>
    <w:rsid w:val="00D12FDB"/>
    <w:rsid w:val="00D61687"/>
    <w:rsid w:val="00DD53A3"/>
    <w:rsid w:val="00E01195"/>
    <w:rsid w:val="00E74493"/>
    <w:rsid w:val="00E85C93"/>
    <w:rsid w:val="00F25663"/>
    <w:rsid w:val="00F34DF6"/>
    <w:rsid w:val="00F76D72"/>
    <w:rsid w:val="00F82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B5F3D"/>
  <w15:chartTrackingRefBased/>
  <w15:docId w15:val="{CDB699CE-5B3D-4795-9759-571214E98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11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5663"/>
    <w:pPr>
      <w:ind w:left="720"/>
      <w:contextualSpacing/>
    </w:pPr>
  </w:style>
  <w:style w:type="paragraph" w:styleId="Header">
    <w:name w:val="header"/>
    <w:basedOn w:val="Normal"/>
    <w:link w:val="HeaderChar"/>
    <w:uiPriority w:val="99"/>
    <w:unhideWhenUsed/>
    <w:rsid w:val="00E01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195"/>
  </w:style>
  <w:style w:type="paragraph" w:styleId="Footer">
    <w:name w:val="footer"/>
    <w:basedOn w:val="Normal"/>
    <w:link w:val="FooterChar"/>
    <w:uiPriority w:val="99"/>
    <w:unhideWhenUsed/>
    <w:rsid w:val="00E01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195"/>
  </w:style>
  <w:style w:type="character" w:customStyle="1" w:styleId="Heading1Char">
    <w:name w:val="Heading 1 Char"/>
    <w:basedOn w:val="DefaultParagraphFont"/>
    <w:link w:val="Heading1"/>
    <w:uiPriority w:val="9"/>
    <w:rsid w:val="002F111E"/>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7006</Words>
  <Characters>39937</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dcterms:created xsi:type="dcterms:W3CDTF">2019-03-04T23:43:00Z</dcterms:created>
  <dcterms:modified xsi:type="dcterms:W3CDTF">2019-03-04T23:43:00Z</dcterms:modified>
</cp:coreProperties>
</file>