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3B3947" w14:textId="77777777" w:rsidR="005A3B15" w:rsidRDefault="005A3B15" w:rsidP="005A3B15">
      <w:pPr>
        <w:jc w:val="center"/>
      </w:pPr>
    </w:p>
    <w:p w14:paraId="216EDDF1" w14:textId="77777777" w:rsidR="005A3B15" w:rsidRDefault="005A3B15" w:rsidP="005A3B15">
      <w:pPr>
        <w:jc w:val="center"/>
      </w:pPr>
    </w:p>
    <w:p w14:paraId="3B6B1D85" w14:textId="77777777" w:rsidR="005A3B15" w:rsidRDefault="005A3B15" w:rsidP="005A3B15">
      <w:pPr>
        <w:jc w:val="center"/>
      </w:pPr>
    </w:p>
    <w:p w14:paraId="7B0068B9" w14:textId="77777777" w:rsidR="005A3B15" w:rsidRDefault="005A3B15" w:rsidP="005A3B15">
      <w:pPr>
        <w:jc w:val="center"/>
        <w:rPr>
          <w:b/>
          <w:bCs/>
          <w:sz w:val="52"/>
          <w:szCs w:val="52"/>
        </w:rPr>
      </w:pPr>
    </w:p>
    <w:p w14:paraId="78E833F6" w14:textId="77777777" w:rsidR="005A3B15" w:rsidRDefault="005A3B15" w:rsidP="005A3B15">
      <w:pPr>
        <w:jc w:val="center"/>
        <w:rPr>
          <w:b/>
          <w:bCs/>
          <w:sz w:val="52"/>
          <w:szCs w:val="52"/>
        </w:rPr>
      </w:pPr>
    </w:p>
    <w:p w14:paraId="232C2A78" w14:textId="7F1E4DB6" w:rsidR="005A3B15" w:rsidRPr="005A3B15" w:rsidRDefault="005A3B15" w:rsidP="005A3B15">
      <w:pPr>
        <w:jc w:val="center"/>
        <w:rPr>
          <w:b/>
          <w:bCs/>
          <w:sz w:val="52"/>
          <w:szCs w:val="52"/>
        </w:rPr>
      </w:pPr>
      <w:r w:rsidRPr="005A3B15">
        <w:rPr>
          <w:b/>
          <w:bCs/>
          <w:sz w:val="52"/>
          <w:szCs w:val="52"/>
        </w:rPr>
        <w:t>BMHP6029: PSYCHOLOGICAL CLASSIFICATIONS AND PROVISIONS</w:t>
      </w:r>
    </w:p>
    <w:p w14:paraId="6BE36BC9" w14:textId="305E5371" w:rsidR="005A3B15" w:rsidRPr="005A3B15" w:rsidRDefault="005A3B15" w:rsidP="005A3B15">
      <w:pPr>
        <w:jc w:val="center"/>
        <w:rPr>
          <w:b/>
          <w:bCs/>
          <w:sz w:val="52"/>
          <w:szCs w:val="52"/>
        </w:rPr>
      </w:pPr>
      <w:r w:rsidRPr="005A3B15">
        <w:rPr>
          <w:b/>
          <w:bCs/>
          <w:sz w:val="52"/>
          <w:szCs w:val="52"/>
        </w:rPr>
        <w:t>COMPONENT 2: WRITTEN ASSIGNMENT REPORT</w:t>
      </w:r>
    </w:p>
    <w:p w14:paraId="6AEFD088" w14:textId="4BFB8ADA" w:rsidR="005A3B15" w:rsidRPr="005A3B15" w:rsidRDefault="005A3B15" w:rsidP="005A3B15">
      <w:pPr>
        <w:jc w:val="center"/>
        <w:rPr>
          <w:b/>
          <w:bCs/>
          <w:sz w:val="52"/>
          <w:szCs w:val="52"/>
        </w:rPr>
      </w:pPr>
      <w:r w:rsidRPr="005A3B15">
        <w:rPr>
          <w:b/>
          <w:bCs/>
          <w:sz w:val="52"/>
          <w:szCs w:val="52"/>
        </w:rPr>
        <w:t>WORD COUNT: 2000</w:t>
      </w:r>
    </w:p>
    <w:p w14:paraId="0DABAD7B" w14:textId="3CC1F15B" w:rsidR="005A3B15" w:rsidRDefault="005A3B15" w:rsidP="005A3B15">
      <w:pPr>
        <w:jc w:val="center"/>
        <w:rPr>
          <w:b/>
          <w:bCs/>
          <w:sz w:val="52"/>
          <w:szCs w:val="52"/>
        </w:rPr>
      </w:pPr>
      <w:r w:rsidRPr="005A3B15">
        <w:rPr>
          <w:b/>
          <w:bCs/>
          <w:sz w:val="52"/>
          <w:szCs w:val="52"/>
        </w:rPr>
        <w:t>SID:</w:t>
      </w:r>
    </w:p>
    <w:p w14:paraId="3B516843" w14:textId="77777777" w:rsidR="005A3B15" w:rsidRDefault="005A3B15" w:rsidP="005A3B15">
      <w:pPr>
        <w:jc w:val="center"/>
        <w:rPr>
          <w:b/>
          <w:bCs/>
          <w:sz w:val="52"/>
          <w:szCs w:val="52"/>
        </w:rPr>
      </w:pPr>
    </w:p>
    <w:p w14:paraId="1A4E90A6" w14:textId="77777777" w:rsidR="005A3B15" w:rsidRDefault="005A3B15" w:rsidP="005A3B15">
      <w:pPr>
        <w:jc w:val="center"/>
        <w:rPr>
          <w:b/>
          <w:bCs/>
          <w:sz w:val="52"/>
          <w:szCs w:val="52"/>
        </w:rPr>
      </w:pPr>
    </w:p>
    <w:p w14:paraId="245A390E" w14:textId="77777777" w:rsidR="005A3B15" w:rsidRDefault="005A3B15" w:rsidP="005A3B15">
      <w:pPr>
        <w:jc w:val="center"/>
        <w:rPr>
          <w:b/>
          <w:bCs/>
          <w:sz w:val="52"/>
          <w:szCs w:val="52"/>
        </w:rPr>
      </w:pPr>
    </w:p>
    <w:p w14:paraId="505CFB7C" w14:textId="77777777" w:rsidR="005A3B15" w:rsidRDefault="005A3B15" w:rsidP="005A3B15">
      <w:pPr>
        <w:jc w:val="center"/>
        <w:rPr>
          <w:b/>
          <w:bCs/>
          <w:sz w:val="52"/>
          <w:szCs w:val="52"/>
        </w:rPr>
      </w:pPr>
    </w:p>
    <w:p w14:paraId="21D96F2D" w14:textId="77777777" w:rsidR="005A3B15" w:rsidRDefault="005A3B15" w:rsidP="005A3B15">
      <w:pPr>
        <w:jc w:val="center"/>
        <w:rPr>
          <w:b/>
          <w:bCs/>
          <w:sz w:val="52"/>
          <w:szCs w:val="52"/>
        </w:rPr>
      </w:pPr>
    </w:p>
    <w:p w14:paraId="4173CFE4" w14:textId="77777777" w:rsidR="005A3B15" w:rsidRDefault="005A3B15" w:rsidP="005A3B15">
      <w:pPr>
        <w:jc w:val="center"/>
        <w:rPr>
          <w:b/>
          <w:bCs/>
          <w:sz w:val="52"/>
          <w:szCs w:val="52"/>
        </w:rPr>
      </w:pPr>
    </w:p>
    <w:p w14:paraId="713C29A3" w14:textId="7B5EFB0F" w:rsidR="005A3B15" w:rsidRDefault="005A3B15" w:rsidP="005A3B15">
      <w:pPr>
        <w:spacing w:line="360" w:lineRule="auto"/>
        <w:rPr>
          <w:rFonts w:ascii="Arial" w:hAnsi="Arial" w:cs="Arial"/>
          <w:sz w:val="22"/>
          <w:szCs w:val="22"/>
        </w:rPr>
      </w:pPr>
      <w:r w:rsidRPr="005A3B15">
        <w:rPr>
          <w:rFonts w:ascii="Arial" w:hAnsi="Arial" w:cs="Arial"/>
          <w:b/>
          <w:bCs/>
          <w:sz w:val="22"/>
          <w:szCs w:val="22"/>
          <w:u w:val="single"/>
        </w:rPr>
        <w:lastRenderedPageBreak/>
        <w:t>Introduction</w:t>
      </w:r>
      <w:r>
        <w:rPr>
          <w:rFonts w:ascii="Arial" w:hAnsi="Arial" w:cs="Arial"/>
          <w:sz w:val="22"/>
          <w:szCs w:val="22"/>
        </w:rPr>
        <w:t xml:space="preserve">: </w:t>
      </w:r>
    </w:p>
    <w:p w14:paraId="62352306" w14:textId="2A6CFE34" w:rsidR="005A3B15" w:rsidRDefault="005A3B15" w:rsidP="005A3B15">
      <w:pPr>
        <w:spacing w:line="360" w:lineRule="auto"/>
        <w:rPr>
          <w:rFonts w:ascii="Arial" w:hAnsi="Arial" w:cs="Arial"/>
          <w:sz w:val="22"/>
          <w:szCs w:val="22"/>
        </w:rPr>
      </w:pPr>
      <w:r>
        <w:rPr>
          <w:rFonts w:ascii="Arial" w:hAnsi="Arial" w:cs="Arial"/>
          <w:sz w:val="22"/>
          <w:szCs w:val="22"/>
        </w:rPr>
        <w:t xml:space="preserve">Post Traumatic Stress </w:t>
      </w:r>
      <w:r w:rsidRPr="005A3B15">
        <w:rPr>
          <w:rFonts w:ascii="Arial" w:hAnsi="Arial" w:cs="Arial"/>
          <w:sz w:val="22"/>
          <w:szCs w:val="22"/>
        </w:rPr>
        <w:t xml:space="preserve"> has become recognised as a major public health concern across many countries, largely because of its </w:t>
      </w:r>
      <w:r w:rsidR="00BF0704" w:rsidRPr="005A3B15">
        <w:rPr>
          <w:rFonts w:ascii="Arial" w:hAnsi="Arial" w:cs="Arial"/>
          <w:sz w:val="22"/>
          <w:szCs w:val="22"/>
        </w:rPr>
        <w:t>long</w:t>
      </w:r>
      <w:r w:rsidR="00BF0704">
        <w:rPr>
          <w:rFonts w:ascii="Arial" w:hAnsi="Arial" w:cs="Arial"/>
          <w:sz w:val="22"/>
          <w:szCs w:val="22"/>
        </w:rPr>
        <w:t>-term</w:t>
      </w:r>
      <w:r w:rsidRPr="005A3B15">
        <w:rPr>
          <w:rFonts w:ascii="Arial" w:hAnsi="Arial" w:cs="Arial"/>
          <w:sz w:val="22"/>
          <w:szCs w:val="22"/>
        </w:rPr>
        <w:t xml:space="preserve"> impact on emotional wellbeing, daily functioning and social participation.</w:t>
      </w:r>
      <w:r>
        <w:rPr>
          <w:rFonts w:ascii="Arial" w:hAnsi="Arial" w:cs="Arial"/>
          <w:sz w:val="22"/>
          <w:szCs w:val="22"/>
        </w:rPr>
        <w:t xml:space="preserve"> </w:t>
      </w:r>
      <w:r w:rsidR="00BF0704" w:rsidRPr="00BF0704">
        <w:rPr>
          <w:rFonts w:ascii="Arial" w:hAnsi="Arial" w:cs="Arial"/>
          <w:sz w:val="22"/>
          <w:szCs w:val="22"/>
        </w:rPr>
        <w:t>Even though exposure to trauma is somewhat widespread, only a small percentage of people go on to acquire PTSD, and for those who do, it can have a profoundly negative impact on their lives.</w:t>
      </w:r>
      <w:r w:rsidR="00BF0704">
        <w:rPr>
          <w:rFonts w:ascii="Arial" w:hAnsi="Arial" w:cs="Arial"/>
          <w:sz w:val="22"/>
          <w:szCs w:val="22"/>
        </w:rPr>
        <w:t xml:space="preserve"> </w:t>
      </w:r>
      <w:r w:rsidR="00BF0704" w:rsidRPr="00BF0704">
        <w:rPr>
          <w:rFonts w:ascii="Arial" w:hAnsi="Arial" w:cs="Arial"/>
          <w:sz w:val="22"/>
          <w:szCs w:val="22"/>
        </w:rPr>
        <w:t xml:space="preserve">Population studies consistently show that a significant percentage of adults have PTSD at some </w:t>
      </w:r>
      <w:r w:rsidR="00BF0704" w:rsidRPr="00BF0704">
        <w:rPr>
          <w:rFonts w:ascii="Arial" w:hAnsi="Arial" w:cs="Arial"/>
          <w:sz w:val="22"/>
          <w:szCs w:val="22"/>
        </w:rPr>
        <w:t>point but</w:t>
      </w:r>
      <w:r w:rsidR="00BF0704" w:rsidRPr="00BF0704">
        <w:rPr>
          <w:rFonts w:ascii="Arial" w:hAnsi="Arial" w:cs="Arial"/>
          <w:sz w:val="22"/>
          <w:szCs w:val="22"/>
        </w:rPr>
        <w:t xml:space="preserve"> estimates from around the world suggesting that lifetime incidence rates vary greatly (Koenen et al., 2017). Clinicians, researchers, and politicians have been interested in the disease for a long time since it has been recorded among survivors of a variety of events, such as accidents, interpersonal violence, conflict, and catastrophes.</w:t>
      </w:r>
    </w:p>
    <w:p w14:paraId="750B6D10" w14:textId="70DE1DB2" w:rsidR="005A3B15" w:rsidRDefault="00BF0704" w:rsidP="005A3B15">
      <w:pPr>
        <w:spacing w:line="360" w:lineRule="auto"/>
        <w:rPr>
          <w:rFonts w:ascii="Arial" w:hAnsi="Arial" w:cs="Arial"/>
          <w:sz w:val="22"/>
          <w:szCs w:val="22"/>
        </w:rPr>
      </w:pPr>
      <w:r w:rsidRPr="00BF0704">
        <w:rPr>
          <w:rFonts w:ascii="Arial" w:hAnsi="Arial" w:cs="Arial"/>
          <w:sz w:val="22"/>
          <w:szCs w:val="22"/>
        </w:rPr>
        <w:t xml:space="preserve">The current international framework for identifying and diagnosing PTSD is provided by the World Health </w:t>
      </w:r>
      <w:r>
        <w:rPr>
          <w:rFonts w:ascii="Arial" w:hAnsi="Arial" w:cs="Arial"/>
          <w:sz w:val="22"/>
          <w:szCs w:val="22"/>
        </w:rPr>
        <w:t>Organisation</w:t>
      </w:r>
      <w:r w:rsidRPr="00BF0704">
        <w:rPr>
          <w:rFonts w:ascii="Arial" w:hAnsi="Arial" w:cs="Arial"/>
          <w:sz w:val="22"/>
          <w:szCs w:val="22"/>
        </w:rPr>
        <w:t xml:space="preserve"> International Classification of Diseases, 11th Revision (ICD-11).</w:t>
      </w:r>
      <w:r>
        <w:rPr>
          <w:rFonts w:ascii="Arial" w:hAnsi="Arial" w:cs="Arial"/>
          <w:sz w:val="22"/>
          <w:szCs w:val="22"/>
        </w:rPr>
        <w:t xml:space="preserve"> </w:t>
      </w:r>
      <w:r w:rsidRPr="00BF0704">
        <w:rPr>
          <w:rFonts w:ascii="Arial" w:hAnsi="Arial" w:cs="Arial"/>
          <w:sz w:val="22"/>
          <w:szCs w:val="22"/>
        </w:rPr>
        <w:t>In order to improve diagnostic consistency across various cultural and clinical contexts, the ICD-11 methodology offers a simpler and more succinct set of criteria than earlier editions (World Health Organisation, 2019). Three basic symptom groups</w:t>
      </w:r>
      <w:r>
        <w:rPr>
          <w:rFonts w:ascii="Arial" w:hAnsi="Arial" w:cs="Arial"/>
          <w:sz w:val="22"/>
          <w:szCs w:val="22"/>
        </w:rPr>
        <w:t xml:space="preserve">: </w:t>
      </w:r>
      <w:r w:rsidRPr="00BF0704">
        <w:rPr>
          <w:rFonts w:ascii="Arial" w:hAnsi="Arial" w:cs="Arial"/>
          <w:sz w:val="22"/>
          <w:szCs w:val="22"/>
        </w:rPr>
        <w:t>re-experiencing, avoidance, and a persistent sense of threat</w:t>
      </w:r>
      <w:r>
        <w:rPr>
          <w:rFonts w:ascii="Arial" w:hAnsi="Arial" w:cs="Arial"/>
          <w:sz w:val="22"/>
          <w:szCs w:val="22"/>
        </w:rPr>
        <w:t xml:space="preserve"> </w:t>
      </w:r>
      <w:r w:rsidRPr="00BF0704">
        <w:rPr>
          <w:rFonts w:ascii="Arial" w:hAnsi="Arial" w:cs="Arial"/>
          <w:sz w:val="22"/>
          <w:szCs w:val="22"/>
        </w:rPr>
        <w:t>are used to characterise PTSD in this classification. These groupings represent current research on trauma reactions and are intended to minimise overlap with other mental health illnesses. Another significant development is the choice to differentiate between PTSD and Complex PTSD, which has sparked continuous debate in the industry about its applicability and accuracy (Brewin, 2020).</w:t>
      </w:r>
    </w:p>
    <w:p w14:paraId="1646F5EB" w14:textId="61BB6A84" w:rsidR="00BF0704" w:rsidRDefault="00BF0704" w:rsidP="005A3B15">
      <w:pPr>
        <w:spacing w:line="360" w:lineRule="auto"/>
        <w:rPr>
          <w:rFonts w:ascii="Arial" w:hAnsi="Arial" w:cs="Arial"/>
          <w:sz w:val="22"/>
          <w:szCs w:val="22"/>
        </w:rPr>
      </w:pPr>
      <w:r w:rsidRPr="00BF0704">
        <w:rPr>
          <w:rFonts w:ascii="Arial" w:hAnsi="Arial" w:cs="Arial"/>
          <w:sz w:val="22"/>
          <w:szCs w:val="22"/>
        </w:rPr>
        <w:t xml:space="preserve">The ICD-11 classification, diagnostic procedures, and typical clinical presentation of PTSD are the main topics of this report's analysis. It also </w:t>
      </w:r>
      <w:r w:rsidRPr="00BF0704">
        <w:rPr>
          <w:rFonts w:ascii="Arial" w:hAnsi="Arial" w:cs="Arial"/>
          <w:sz w:val="22"/>
          <w:szCs w:val="22"/>
        </w:rPr>
        <w:t>considers</w:t>
      </w:r>
      <w:r w:rsidRPr="00BF0704">
        <w:rPr>
          <w:rFonts w:ascii="Arial" w:hAnsi="Arial" w:cs="Arial"/>
          <w:sz w:val="22"/>
          <w:szCs w:val="22"/>
        </w:rPr>
        <w:t xml:space="preserve"> the primary methods of therapy and rehabilitation that are being employed in practice, such as pharmaceutical and psychological therapies. The report also examines a number of significant PTSD-related disputes, including issues with diagnostic boundaries, the cultural applicability of current criteria, and broader worries about the medicalisation of trauma. Recommendations for improving future classification, evaluation, and treatment routes are made at the end of the debate.</w:t>
      </w:r>
    </w:p>
    <w:p w14:paraId="7E11ABE1" w14:textId="77777777" w:rsidR="00BF0704" w:rsidRDefault="00BF0704" w:rsidP="005A3B15">
      <w:pPr>
        <w:spacing w:line="360" w:lineRule="auto"/>
        <w:rPr>
          <w:rFonts w:ascii="Arial" w:hAnsi="Arial" w:cs="Arial"/>
          <w:sz w:val="22"/>
          <w:szCs w:val="22"/>
        </w:rPr>
      </w:pPr>
    </w:p>
    <w:p w14:paraId="12407F56" w14:textId="7BF64647" w:rsidR="007456DC" w:rsidRDefault="007456DC" w:rsidP="005A3B15">
      <w:pPr>
        <w:spacing w:line="360" w:lineRule="auto"/>
        <w:rPr>
          <w:rFonts w:ascii="Arial" w:hAnsi="Arial" w:cs="Arial"/>
          <w:sz w:val="22"/>
          <w:szCs w:val="22"/>
        </w:rPr>
      </w:pPr>
      <w:r w:rsidRPr="007456DC">
        <w:rPr>
          <w:rFonts w:ascii="Arial" w:hAnsi="Arial" w:cs="Arial"/>
          <w:b/>
          <w:bCs/>
          <w:sz w:val="22"/>
          <w:szCs w:val="22"/>
          <w:u w:val="single"/>
        </w:rPr>
        <w:t>ICD-11 Classification of PTSD</w:t>
      </w:r>
      <w:r>
        <w:rPr>
          <w:rFonts w:ascii="Arial" w:hAnsi="Arial" w:cs="Arial"/>
          <w:sz w:val="22"/>
          <w:szCs w:val="22"/>
        </w:rPr>
        <w:t>:</w:t>
      </w:r>
    </w:p>
    <w:p w14:paraId="23CEB171" w14:textId="6D596200" w:rsidR="00F50871" w:rsidRDefault="007456DC" w:rsidP="00F50871">
      <w:pPr>
        <w:spacing w:line="360" w:lineRule="auto"/>
        <w:rPr>
          <w:rFonts w:ascii="Arial" w:hAnsi="Arial" w:cs="Arial"/>
          <w:sz w:val="22"/>
          <w:szCs w:val="22"/>
        </w:rPr>
      </w:pPr>
      <w:r w:rsidRPr="007456DC">
        <w:rPr>
          <w:rFonts w:ascii="Arial" w:hAnsi="Arial" w:cs="Arial"/>
          <w:sz w:val="22"/>
          <w:szCs w:val="22"/>
        </w:rPr>
        <w:t xml:space="preserve">Post-Traumatic Stress Disorder (PTSD) is particularly listed under the category of illnesses related to stress in the ICD-11 chapter on Mental, Behavioural, and Neurodevelopmental </w:t>
      </w:r>
      <w:r w:rsidRPr="007456DC">
        <w:rPr>
          <w:rFonts w:ascii="Arial" w:hAnsi="Arial" w:cs="Arial"/>
          <w:sz w:val="22"/>
          <w:szCs w:val="22"/>
        </w:rPr>
        <w:lastRenderedPageBreak/>
        <w:t>illnesses (World Health Organisation, 2019). One of the biggest changes from ICD-10 to ICD-11 is the modification of PTSD, which reflects an attempt to streamline the diagnosis and guarantee that the category is concentrated on a few key symptoms that are frequently seen in various populations. Concerns that previous iterations of the diagnostic included too many symptoms, increasing overlap with other diseases such depression, anxiety disorders, and personality disorders, influenced the shift towards a more simplified definition (Brewin, 2020).</w:t>
      </w:r>
      <w:r w:rsidR="00F50871">
        <w:rPr>
          <w:rFonts w:ascii="Arial" w:hAnsi="Arial" w:cs="Arial"/>
          <w:sz w:val="22"/>
          <w:szCs w:val="22"/>
        </w:rPr>
        <w:t xml:space="preserve"> </w:t>
      </w:r>
      <w:r w:rsidR="00F50871" w:rsidRPr="00F50871">
        <w:rPr>
          <w:rFonts w:ascii="Arial" w:hAnsi="Arial" w:cs="Arial"/>
          <w:sz w:val="22"/>
          <w:szCs w:val="22"/>
        </w:rPr>
        <w:t>Three central symptom clusters are used by ICD-11 to describe PTSD. The first is intrusive re-experiencing of the traumatic incident, which can manifest as nightmares, vivid memories, or flashbacks with a strong sense of reliving the event. Deliberately avoiding reminders of the event, including both internal (like thoughts or feelings) and exterior (like people, events, or locations) signals, is what defines the second cluster. The third characteristic is an ongoing sense of increased danger, which is frequently manifested as hypervigilance or an exacerbated startle reaction. Symptoms must occur after being exposed to an extremely dangerous or horrifying incident and must significantly impede functioning in order for a diagnosis to be made (WHO, 2019).</w:t>
      </w:r>
    </w:p>
    <w:p w14:paraId="1081B856" w14:textId="44FE7CC5" w:rsidR="00F50871" w:rsidRDefault="00F50871" w:rsidP="00F50871">
      <w:pPr>
        <w:spacing w:line="360" w:lineRule="auto"/>
        <w:rPr>
          <w:rFonts w:ascii="Arial" w:hAnsi="Arial" w:cs="Arial"/>
          <w:sz w:val="22"/>
          <w:szCs w:val="22"/>
        </w:rPr>
      </w:pPr>
      <w:r w:rsidRPr="00F50871">
        <w:rPr>
          <w:rFonts w:ascii="Arial" w:hAnsi="Arial" w:cs="Arial"/>
          <w:sz w:val="22"/>
          <w:szCs w:val="22"/>
        </w:rPr>
        <w:t>The precise distinction between PTSD and Complex PTSD in ICD-11 is a significant advancement. While exposure to traumatic experiences is the root cause of both diseases, Complex PTSD encompasses a wider range of challenges, such as issues with self-organization, emotion regulation, and interpersonal relationships. A large body of empirical research indicates that the more severe and long-lasting effects of protracted trauma differ significantly from the symptom profile of PTSD, which is why two separate diagnoses were created (</w:t>
      </w:r>
      <w:proofErr w:type="spellStart"/>
      <w:r w:rsidRPr="00F50871">
        <w:rPr>
          <w:rFonts w:ascii="Arial" w:hAnsi="Arial" w:cs="Arial"/>
          <w:sz w:val="22"/>
          <w:szCs w:val="22"/>
        </w:rPr>
        <w:t>Cloitre</w:t>
      </w:r>
      <w:proofErr w:type="spellEnd"/>
      <w:r w:rsidRPr="00F50871">
        <w:rPr>
          <w:rFonts w:ascii="Arial" w:hAnsi="Arial" w:cs="Arial"/>
          <w:sz w:val="22"/>
          <w:szCs w:val="22"/>
        </w:rPr>
        <w:t xml:space="preserve"> et al., 2019). The distinction is still up for question, though, with some academics contending that diagnostic clarity may still be difficult in practice and that clinical presentation frequently overlaps.</w:t>
      </w:r>
      <w:r w:rsidRPr="00F50871">
        <w:rPr>
          <w:rFonts w:ascii="Times New Roman" w:eastAsia="Times New Roman" w:hAnsi="Times New Roman" w:cs="Times New Roman"/>
          <w:kern w:val="0"/>
          <w:lang w:eastAsia="en-GB"/>
          <w14:ligatures w14:val="none"/>
        </w:rPr>
        <w:t xml:space="preserve"> </w:t>
      </w:r>
      <w:r w:rsidRPr="00F50871">
        <w:rPr>
          <w:rFonts w:ascii="Arial" w:hAnsi="Arial" w:cs="Arial"/>
          <w:sz w:val="22"/>
          <w:szCs w:val="22"/>
        </w:rPr>
        <w:t>The goal of ensuring that the criteria may be applied uniformly across various cultural contexts is another important change in ICD-11. The Western bias of earlier diagnostic systems was challenged for failing to accurately represent how trauma-related suffering manifests in many cultural groups. Although discussions about the classification's cultural sensitivity persist, the ICD-11 approach seeks to promote global applicability by concentrating on a more manageable and widely recognised set of symptoms (Hinton and Lewis-Fernández, 2011).</w:t>
      </w:r>
    </w:p>
    <w:p w14:paraId="5F27E27F" w14:textId="77777777" w:rsidR="00310F30" w:rsidRDefault="00310F30" w:rsidP="00F50871">
      <w:pPr>
        <w:spacing w:line="360" w:lineRule="auto"/>
        <w:rPr>
          <w:rFonts w:ascii="Arial" w:hAnsi="Arial" w:cs="Arial"/>
          <w:sz w:val="22"/>
          <w:szCs w:val="22"/>
        </w:rPr>
      </w:pPr>
    </w:p>
    <w:p w14:paraId="7ADB2F03" w14:textId="26E2C95F" w:rsidR="00310F30" w:rsidRDefault="00310F30" w:rsidP="00F50871">
      <w:pPr>
        <w:spacing w:line="360" w:lineRule="auto"/>
        <w:rPr>
          <w:rFonts w:ascii="Arial" w:hAnsi="Arial" w:cs="Arial"/>
          <w:sz w:val="22"/>
          <w:szCs w:val="22"/>
        </w:rPr>
      </w:pPr>
      <w:r w:rsidRPr="00310F30">
        <w:rPr>
          <w:rFonts w:ascii="Arial" w:hAnsi="Arial" w:cs="Arial"/>
          <w:b/>
          <w:bCs/>
          <w:sz w:val="22"/>
          <w:szCs w:val="22"/>
          <w:u w:val="single"/>
        </w:rPr>
        <w:t>Diagnosis and Assessment</w:t>
      </w:r>
      <w:r>
        <w:rPr>
          <w:rFonts w:ascii="Arial" w:hAnsi="Arial" w:cs="Arial"/>
          <w:sz w:val="22"/>
          <w:szCs w:val="22"/>
        </w:rPr>
        <w:t>:</w:t>
      </w:r>
    </w:p>
    <w:p w14:paraId="48E5F8B9" w14:textId="59E885D6" w:rsidR="00875462" w:rsidRDefault="00875462" w:rsidP="00875462">
      <w:pPr>
        <w:spacing w:line="360" w:lineRule="auto"/>
        <w:rPr>
          <w:rFonts w:ascii="Arial" w:hAnsi="Arial" w:cs="Arial"/>
          <w:sz w:val="22"/>
          <w:szCs w:val="22"/>
        </w:rPr>
      </w:pPr>
      <w:r w:rsidRPr="00875462">
        <w:rPr>
          <w:rFonts w:ascii="Arial" w:hAnsi="Arial" w:cs="Arial"/>
          <w:sz w:val="22"/>
          <w:szCs w:val="22"/>
        </w:rPr>
        <w:t xml:space="preserve">In order to increase clarity and decrease symptom overlap with other mental health conditions, the ICD-11 diagnosis of Post-Traumatic Stress Disorder (PTSD) is based on a specific set of criteria. ICD-11 states that exposure to an event of "extremely threatening or </w:t>
      </w:r>
      <w:r w:rsidRPr="00875462">
        <w:rPr>
          <w:rFonts w:ascii="Arial" w:hAnsi="Arial" w:cs="Arial"/>
          <w:sz w:val="22"/>
          <w:szCs w:val="22"/>
        </w:rPr>
        <w:lastRenderedPageBreak/>
        <w:t>horrific nature" is the necessary gateway condition for the disease, and only then may a diagnosis be made (World Health Organisation, 2019). This criterion highlights the direct connection between PTSD and a particular traumatic event or sequence of events and sets it apart from other stress-related or anxiety disorders that could result from more widespread stresses or life stressors.</w:t>
      </w:r>
      <w:r>
        <w:rPr>
          <w:rFonts w:ascii="Arial" w:hAnsi="Arial" w:cs="Arial"/>
          <w:sz w:val="22"/>
          <w:szCs w:val="22"/>
        </w:rPr>
        <w:t xml:space="preserve"> </w:t>
      </w:r>
      <w:r w:rsidRPr="00875462">
        <w:rPr>
          <w:rFonts w:ascii="Arial" w:hAnsi="Arial" w:cs="Arial"/>
          <w:sz w:val="22"/>
          <w:szCs w:val="22"/>
        </w:rPr>
        <w:t>In clinical practice, assessment typically begins with a structured or semi-structured interview to determine whether the individual meets the three core ICD-11 symptom clusters: re-experiencing, avoidance and a persistent sense of threat.</w:t>
      </w:r>
      <w:r>
        <w:rPr>
          <w:rFonts w:ascii="Arial" w:hAnsi="Arial" w:cs="Arial"/>
          <w:sz w:val="22"/>
          <w:szCs w:val="22"/>
        </w:rPr>
        <w:t xml:space="preserve"> </w:t>
      </w:r>
      <w:r w:rsidRPr="00875462">
        <w:rPr>
          <w:rFonts w:ascii="Arial" w:hAnsi="Arial" w:cs="Arial"/>
          <w:sz w:val="22"/>
          <w:szCs w:val="22"/>
        </w:rPr>
        <w:t>Clinicians will look at avoidance tendencies, assess symptoms of hypervigilance or heightened startle reactions, and investigate the type and frequency of intrusive memories or flashbacks. Symptoms must be directly related to the traumatic incident and clearly hinder functioning in order to be classified as PTSD (WHO, 2019). A key component of ICD-11 is its emphasis on functional impact, which parallels broader trends in psychiatric classification towards integrating the lived consequences of mental diseases into diagnostic procedures.</w:t>
      </w:r>
    </w:p>
    <w:p w14:paraId="77C4051D" w14:textId="77777777" w:rsidR="00875462" w:rsidRDefault="00875462" w:rsidP="00875462">
      <w:pPr>
        <w:spacing w:line="360" w:lineRule="auto"/>
        <w:rPr>
          <w:rFonts w:ascii="Arial" w:hAnsi="Arial" w:cs="Arial"/>
          <w:sz w:val="22"/>
          <w:szCs w:val="22"/>
        </w:rPr>
      </w:pPr>
      <w:r w:rsidRPr="00875462">
        <w:rPr>
          <w:rFonts w:ascii="Arial" w:hAnsi="Arial" w:cs="Arial"/>
          <w:sz w:val="22"/>
          <w:szCs w:val="22"/>
        </w:rPr>
        <w:t>Although the majority of commonly used measures were initially created in connection with DSM-5, a variety of standardised assessment instruments may aid in the diagnosis process. Due to their robust psychometric qualities and extensive clinical use, tools like the PTSD Checklist for DSM-5 (PCL-5) and the Clinician-Administered PTSD Scale (CAPS-5) are still frequently used in practice (Weathers et al., 2018). As long as doctors interpret the data in conjunction with ICD-11 diagnostic standards, these tools are nevertheless helpful in determining important areas of difficulty and evaluating the intensity of symptoms, even though they are not explicitly matched with ICD-11 criteria. The potential of more recent ICD-11-specific instruments, like the International Trauma Questionnaire (ITQ), to evaluate both PTSD and Complex PTSD in accordance with the updated diagnostic system is becoming more widely acknowledged (</w:t>
      </w:r>
      <w:proofErr w:type="spellStart"/>
      <w:r w:rsidRPr="00875462">
        <w:rPr>
          <w:rFonts w:ascii="Arial" w:hAnsi="Arial" w:cs="Arial"/>
          <w:sz w:val="22"/>
          <w:szCs w:val="22"/>
        </w:rPr>
        <w:t>Cloitre</w:t>
      </w:r>
      <w:proofErr w:type="spellEnd"/>
      <w:r w:rsidRPr="00875462">
        <w:rPr>
          <w:rFonts w:ascii="Arial" w:hAnsi="Arial" w:cs="Arial"/>
          <w:sz w:val="22"/>
          <w:szCs w:val="22"/>
        </w:rPr>
        <w:t xml:space="preserve"> et al., 2018).</w:t>
      </w:r>
    </w:p>
    <w:p w14:paraId="33DF8142" w14:textId="37463B1C" w:rsidR="00CC0D1D" w:rsidRDefault="00CC0D1D" w:rsidP="00CC0D1D">
      <w:pPr>
        <w:spacing w:line="360" w:lineRule="auto"/>
        <w:rPr>
          <w:rFonts w:ascii="Arial" w:hAnsi="Arial" w:cs="Arial"/>
          <w:sz w:val="22"/>
          <w:szCs w:val="22"/>
        </w:rPr>
      </w:pPr>
      <w:r w:rsidRPr="00CC0D1D">
        <w:rPr>
          <w:rFonts w:ascii="Arial" w:hAnsi="Arial" w:cs="Arial"/>
          <w:sz w:val="22"/>
          <w:szCs w:val="22"/>
        </w:rPr>
        <w:t xml:space="preserve">The high occurrence of comorbidity is a crucial problem in PTSD assessment. PTSD frequently co-occurs with depression, generalised anxiety disorder, substance use disorders, and chronic pain issues, which complicates identification and raises the possibility of incorrect diagnosis (Gill et al., 2021). In order to distinguish PTSD from other trauma-related reactions like adjustment disorder or extended mourning disorder, clinicians must use a comprehensive approach that </w:t>
      </w:r>
      <w:r w:rsidRPr="00CC0D1D">
        <w:rPr>
          <w:rFonts w:ascii="Arial" w:hAnsi="Arial" w:cs="Arial"/>
          <w:sz w:val="22"/>
          <w:szCs w:val="22"/>
        </w:rPr>
        <w:t>considers</w:t>
      </w:r>
      <w:r w:rsidRPr="00CC0D1D">
        <w:rPr>
          <w:rFonts w:ascii="Arial" w:hAnsi="Arial" w:cs="Arial"/>
          <w:sz w:val="22"/>
          <w:szCs w:val="22"/>
        </w:rPr>
        <w:t xml:space="preserve"> overlapping symptoms. Cultural variations in the expression of distress present another difficulty. Clinicians must exercise caution to avoid interpreting culturally appropriate expressions of distress as pathological, as research shows that trauma reactions can differ dramatically across cultural contexts (Hinton and Lewis-Fernández, 2011).</w:t>
      </w:r>
      <w:r w:rsidR="00C379B7">
        <w:rPr>
          <w:rFonts w:ascii="Arial" w:hAnsi="Arial" w:cs="Arial"/>
          <w:sz w:val="22"/>
          <w:szCs w:val="22"/>
        </w:rPr>
        <w:t xml:space="preserve"> </w:t>
      </w:r>
      <w:r w:rsidR="00C379B7" w:rsidRPr="00C379B7">
        <w:rPr>
          <w:rFonts w:ascii="Arial" w:hAnsi="Arial" w:cs="Arial"/>
          <w:sz w:val="22"/>
          <w:szCs w:val="22"/>
        </w:rPr>
        <w:t xml:space="preserve">In general, careful clinical judgement, knowledgeable use of assessment instruments, and an understanding of the larger social and cultural elements that influence trauma responses are necessary for the diagnosis and evaluation of PTSD under ICD-11. </w:t>
      </w:r>
      <w:r w:rsidR="00C379B7" w:rsidRPr="00C379B7">
        <w:rPr>
          <w:rFonts w:ascii="Arial" w:hAnsi="Arial" w:cs="Arial"/>
          <w:sz w:val="22"/>
          <w:szCs w:val="22"/>
        </w:rPr>
        <w:lastRenderedPageBreak/>
        <w:t xml:space="preserve">Effective evaluation still greatly depends on the clinician's capacity to </w:t>
      </w:r>
      <w:proofErr w:type="gramStart"/>
      <w:r w:rsidR="00C379B7" w:rsidRPr="00C379B7">
        <w:rPr>
          <w:rFonts w:ascii="Arial" w:hAnsi="Arial" w:cs="Arial"/>
          <w:sz w:val="22"/>
          <w:szCs w:val="22"/>
        </w:rPr>
        <w:t>take into account</w:t>
      </w:r>
      <w:proofErr w:type="gramEnd"/>
      <w:r w:rsidR="00C379B7" w:rsidRPr="00C379B7">
        <w:rPr>
          <w:rFonts w:ascii="Arial" w:hAnsi="Arial" w:cs="Arial"/>
          <w:sz w:val="22"/>
          <w:szCs w:val="22"/>
        </w:rPr>
        <w:t xml:space="preserve"> the patient's history, context, and the complexity of trauma-related symptoms, even if the ICD-11 framework provides a clearer structure than earlier iterations.</w:t>
      </w:r>
    </w:p>
    <w:p w14:paraId="39757965" w14:textId="77777777" w:rsidR="008F68B5" w:rsidRDefault="008F68B5" w:rsidP="00CC0D1D">
      <w:pPr>
        <w:spacing w:line="360" w:lineRule="auto"/>
        <w:rPr>
          <w:rFonts w:ascii="Arial" w:hAnsi="Arial" w:cs="Arial"/>
          <w:sz w:val="22"/>
          <w:szCs w:val="22"/>
        </w:rPr>
      </w:pPr>
    </w:p>
    <w:p w14:paraId="3BB1CFA7" w14:textId="17E891C6" w:rsidR="008F68B5" w:rsidRDefault="008F68B5" w:rsidP="00CC0D1D">
      <w:pPr>
        <w:spacing w:line="360" w:lineRule="auto"/>
        <w:rPr>
          <w:rFonts w:ascii="Arial" w:hAnsi="Arial" w:cs="Arial"/>
          <w:sz w:val="22"/>
          <w:szCs w:val="22"/>
        </w:rPr>
      </w:pPr>
      <w:r w:rsidRPr="008F68B5">
        <w:rPr>
          <w:rFonts w:ascii="Arial" w:hAnsi="Arial" w:cs="Arial"/>
          <w:b/>
          <w:bCs/>
          <w:sz w:val="22"/>
          <w:szCs w:val="22"/>
          <w:u w:val="single"/>
        </w:rPr>
        <w:t>Treatment and Rehabilitation</w:t>
      </w:r>
      <w:r>
        <w:rPr>
          <w:rFonts w:ascii="Arial" w:hAnsi="Arial" w:cs="Arial"/>
          <w:sz w:val="22"/>
          <w:szCs w:val="22"/>
        </w:rPr>
        <w:t>:</w:t>
      </w:r>
    </w:p>
    <w:p w14:paraId="4AAFC0A9" w14:textId="4B26C2D2" w:rsidR="008F68B5" w:rsidRDefault="008F68B5" w:rsidP="008F68B5">
      <w:pPr>
        <w:spacing w:line="360" w:lineRule="auto"/>
        <w:rPr>
          <w:rFonts w:ascii="Arial" w:hAnsi="Arial" w:cs="Arial"/>
          <w:sz w:val="22"/>
          <w:szCs w:val="22"/>
        </w:rPr>
      </w:pPr>
      <w:r w:rsidRPr="008F68B5">
        <w:rPr>
          <w:rFonts w:ascii="Arial" w:hAnsi="Arial" w:cs="Arial"/>
          <w:sz w:val="22"/>
          <w:szCs w:val="22"/>
        </w:rPr>
        <w:t>Over the past few decades, there has been a significant advancement in the treatment of post-traumatic stress disorder (PTSD), with a rising focus on trauma-focused psychological therapy as the most successful and scientifically supported methods. Strong empirical support for therapies that directly address traumatic experiences and related cognitive and emotional processes is reflected in the tendency of clinical guidelines around the world to prioritise psychological interventions over medication (National Institute for Health and Care Excellence, 2018). The majority of treatment options focus on assisting people in processing traumatic memories, reducing avoidance, and managing the ongoing sense of threat that characterises the illness, however methods may differ between services and nations.</w:t>
      </w:r>
      <w:r>
        <w:rPr>
          <w:rFonts w:ascii="Arial" w:hAnsi="Arial" w:cs="Arial"/>
          <w:sz w:val="22"/>
          <w:szCs w:val="22"/>
        </w:rPr>
        <w:t xml:space="preserve"> </w:t>
      </w:r>
      <w:r w:rsidRPr="008F68B5">
        <w:rPr>
          <w:rFonts w:ascii="Arial" w:hAnsi="Arial" w:cs="Arial"/>
          <w:sz w:val="22"/>
          <w:szCs w:val="22"/>
        </w:rPr>
        <w:t>Many people consider trauma-focused cognitive behavioural therapy (TF-CBT) to be a first-line solution. This method usually entails exposing traumatic memories gradually in addition to cognitive restructuring intended to refute maladaptive ideas about the incident and its aftermath (Ehlers et al., 2014). Research continuously shows that CBT is beneficial in lowering PTSD symptoms and enhancing general functioning, but participation may be difficult for people who have trouble re-experiencing or who feel overpowered by trauma-related emotions. Another important therapy approach is Eye Movement Desensitisation and Reprocessing (EMDR). EMDR entails using bilateral sensory stimulation techniques, including tapping or eye movements, while recalling distressing imagery. Multiple studies have shown EMDR to be as effective as TF-CBT, with some individuals finding it less emotionally demanding due to its reduced emphasis on detailed verbal recounting of the trauma (Shapiro, 2018).</w:t>
      </w:r>
    </w:p>
    <w:p w14:paraId="0E440A48" w14:textId="155B23D1" w:rsidR="005D09BD" w:rsidRDefault="005D09BD" w:rsidP="005D09BD">
      <w:pPr>
        <w:spacing w:line="360" w:lineRule="auto"/>
        <w:rPr>
          <w:rFonts w:ascii="Arial" w:hAnsi="Arial" w:cs="Arial"/>
          <w:sz w:val="22"/>
          <w:szCs w:val="22"/>
        </w:rPr>
      </w:pPr>
      <w:r w:rsidRPr="005D09BD">
        <w:rPr>
          <w:rFonts w:ascii="Arial" w:hAnsi="Arial" w:cs="Arial"/>
          <w:sz w:val="22"/>
          <w:szCs w:val="22"/>
        </w:rPr>
        <w:t>Although pharmacological treatment is typically regarded as secondary to psychological therapies, it may be crucial for people who cannot access therapy, who would rather take medicine, or who have significant comorbid symptoms. The most often prescribed drugs are selective serotonin reuptake inhibitors (SSRIs), such as paroxetine and sertraline, which have shown modest advantages in lowering PTSD symptoms (Hoskins et al., 2015). Prazosin and other medications have also been studied for trauma-related nightmares, but the results have been mixed and there is ongoing discussion about their efficacy (Raskind et al., 2018). In general, trauma-focused psychotherapy is typically viewed as a supplement to medicine rather than a substitute.</w:t>
      </w:r>
      <w:r>
        <w:rPr>
          <w:rFonts w:ascii="Arial" w:hAnsi="Arial" w:cs="Arial"/>
          <w:sz w:val="22"/>
          <w:szCs w:val="22"/>
        </w:rPr>
        <w:t xml:space="preserve"> </w:t>
      </w:r>
    </w:p>
    <w:p w14:paraId="46BD2EFF" w14:textId="77777777" w:rsidR="005D09BD" w:rsidRPr="005D09BD" w:rsidRDefault="005D09BD" w:rsidP="005D09BD">
      <w:pPr>
        <w:spacing w:line="360" w:lineRule="auto"/>
        <w:rPr>
          <w:rFonts w:ascii="Arial" w:hAnsi="Arial" w:cs="Arial"/>
          <w:sz w:val="22"/>
          <w:szCs w:val="22"/>
        </w:rPr>
      </w:pPr>
      <w:r w:rsidRPr="005D09BD">
        <w:rPr>
          <w:rFonts w:ascii="Arial" w:hAnsi="Arial" w:cs="Arial"/>
          <w:sz w:val="22"/>
          <w:szCs w:val="22"/>
        </w:rPr>
        <w:lastRenderedPageBreak/>
        <w:t>Rehabilitation is essential to helping people recover, especially those with chronic or longer-term PTSD. Although ICD-11 does not specifically identify rehabilitation as a separate need, in practice it refers to a variety of social, psychological, and occupational interventions meant to assist people in regaining stability, meaningful connections, and involvement in daily activities. Given the significant influence that trauma may have on trust and interpersonal functioning, many agencies take a trauma-informed approach that promotes safety, choice, and empowerment (Sweeney et al., 2018). Depending on the needs of the client, multidisciplinary rehabilitation may involve social workers, occupational therapists, psychologists, psychiatrists, and peer support workers.</w:t>
      </w:r>
      <w:r>
        <w:rPr>
          <w:rFonts w:ascii="Arial" w:hAnsi="Arial" w:cs="Arial"/>
          <w:sz w:val="22"/>
          <w:szCs w:val="22"/>
        </w:rPr>
        <w:t xml:space="preserve"> </w:t>
      </w:r>
      <w:r w:rsidRPr="005D09BD">
        <w:rPr>
          <w:rFonts w:ascii="Arial" w:hAnsi="Arial" w:cs="Arial"/>
          <w:sz w:val="22"/>
          <w:szCs w:val="22"/>
        </w:rPr>
        <w:t>For those whose trauma is connected to social adversity, displacement, or interpersonal abuse, community-based therapies may be especially crucial. It has been repeatedly demonstrated that social support, whether from professionals, family, or community networks, improves outcomes and lowers the risk of persistent PTSD (</w:t>
      </w:r>
      <w:proofErr w:type="spellStart"/>
      <w:r w:rsidRPr="005D09BD">
        <w:rPr>
          <w:rFonts w:ascii="Arial" w:hAnsi="Arial" w:cs="Arial"/>
          <w:sz w:val="22"/>
          <w:szCs w:val="22"/>
        </w:rPr>
        <w:t>Purgato</w:t>
      </w:r>
      <w:proofErr w:type="spellEnd"/>
      <w:r w:rsidRPr="005D09BD">
        <w:rPr>
          <w:rFonts w:ascii="Arial" w:hAnsi="Arial" w:cs="Arial"/>
          <w:sz w:val="22"/>
          <w:szCs w:val="22"/>
        </w:rPr>
        <w:t xml:space="preserve"> et al., 2018). Vocational rehabilitation may also be essential for those who have trouble going back to work or school because of chronic symptoms like hypervigilance or concentration issues. In cases where trauma is associated with broader social disadvantage, holistic approaches that address housing, financial instability, and physical health can also greatly improve recovery.</w:t>
      </w:r>
    </w:p>
    <w:p w14:paraId="73C32E24" w14:textId="25FF95AB" w:rsidR="005D09BD" w:rsidRPr="005D09BD" w:rsidRDefault="005D09BD" w:rsidP="005D09BD">
      <w:pPr>
        <w:spacing w:line="360" w:lineRule="auto"/>
        <w:rPr>
          <w:rFonts w:ascii="Arial" w:hAnsi="Arial" w:cs="Arial"/>
          <w:sz w:val="22"/>
          <w:szCs w:val="22"/>
        </w:rPr>
      </w:pPr>
      <w:r w:rsidRPr="005D09BD">
        <w:rPr>
          <w:rFonts w:ascii="Arial" w:hAnsi="Arial" w:cs="Arial"/>
          <w:sz w:val="22"/>
          <w:szCs w:val="22"/>
        </w:rPr>
        <w:t xml:space="preserve">Despite the existence and overall efficacy of evidence-based treatments, there are still significant drawbacks. Trauma-focused therapy may not always be available, particularly in overburdened or underfunded healthcare systems. </w:t>
      </w:r>
      <w:r w:rsidRPr="005D09BD">
        <w:rPr>
          <w:rFonts w:ascii="Arial" w:hAnsi="Arial" w:cs="Arial"/>
          <w:sz w:val="22"/>
          <w:szCs w:val="22"/>
        </w:rPr>
        <w:t>Since</w:t>
      </w:r>
      <w:r w:rsidRPr="005D09BD">
        <w:rPr>
          <w:rFonts w:ascii="Arial" w:hAnsi="Arial" w:cs="Arial"/>
          <w:sz w:val="22"/>
          <w:szCs w:val="22"/>
        </w:rPr>
        <w:t xml:space="preserve"> reliving painful events can be unbearable, some people find it difficult to participate in trauma-focused therapy. Others could not react to first-line therapies or continue to have functioning issues even after their symptoms have subsided. These difficulties demonstrate the necessity for adaptable, person-centred rehabilitation frameworks that target long-term recovery, social stability, and overall welfare in addition to symptom control.</w:t>
      </w:r>
    </w:p>
    <w:p w14:paraId="51B0B804" w14:textId="62C0C4AD" w:rsidR="005D09BD" w:rsidRPr="005D09BD" w:rsidRDefault="005D09BD" w:rsidP="005D09BD">
      <w:pPr>
        <w:spacing w:line="360" w:lineRule="auto"/>
        <w:rPr>
          <w:rFonts w:ascii="Arial" w:hAnsi="Arial" w:cs="Arial"/>
          <w:sz w:val="22"/>
          <w:szCs w:val="22"/>
        </w:rPr>
      </w:pPr>
    </w:p>
    <w:p w14:paraId="2D3D8D17" w14:textId="77777777" w:rsidR="005D09BD" w:rsidRPr="005D09BD" w:rsidRDefault="005D09BD" w:rsidP="005D09BD">
      <w:pPr>
        <w:spacing w:line="360" w:lineRule="auto"/>
        <w:rPr>
          <w:rFonts w:ascii="Arial" w:hAnsi="Arial" w:cs="Arial"/>
          <w:sz w:val="22"/>
          <w:szCs w:val="22"/>
        </w:rPr>
      </w:pPr>
    </w:p>
    <w:p w14:paraId="47064B45" w14:textId="77777777" w:rsidR="008F68B5" w:rsidRPr="008F68B5" w:rsidRDefault="008F68B5" w:rsidP="008F68B5">
      <w:pPr>
        <w:spacing w:line="360" w:lineRule="auto"/>
        <w:rPr>
          <w:rFonts w:ascii="Arial" w:hAnsi="Arial" w:cs="Arial"/>
          <w:sz w:val="22"/>
          <w:szCs w:val="22"/>
        </w:rPr>
      </w:pPr>
    </w:p>
    <w:p w14:paraId="55F5CDBE" w14:textId="537EE896" w:rsidR="008F68B5" w:rsidRDefault="008F68B5" w:rsidP="008F68B5">
      <w:pPr>
        <w:spacing w:line="360" w:lineRule="auto"/>
        <w:rPr>
          <w:rFonts w:ascii="Arial" w:hAnsi="Arial" w:cs="Arial"/>
          <w:sz w:val="22"/>
          <w:szCs w:val="22"/>
        </w:rPr>
      </w:pPr>
    </w:p>
    <w:p w14:paraId="3F13A969" w14:textId="77777777" w:rsidR="008F68B5" w:rsidRPr="008F68B5" w:rsidRDefault="008F68B5" w:rsidP="008F68B5">
      <w:pPr>
        <w:spacing w:line="360" w:lineRule="auto"/>
        <w:rPr>
          <w:rFonts w:ascii="Arial" w:hAnsi="Arial" w:cs="Arial"/>
          <w:sz w:val="22"/>
          <w:szCs w:val="22"/>
        </w:rPr>
      </w:pPr>
    </w:p>
    <w:p w14:paraId="6E2A41F5" w14:textId="77777777" w:rsidR="008F68B5" w:rsidRPr="00CC0D1D" w:rsidRDefault="008F68B5" w:rsidP="00CC0D1D">
      <w:pPr>
        <w:spacing w:line="360" w:lineRule="auto"/>
        <w:rPr>
          <w:rFonts w:ascii="Arial" w:hAnsi="Arial" w:cs="Arial"/>
          <w:sz w:val="22"/>
          <w:szCs w:val="22"/>
        </w:rPr>
      </w:pPr>
    </w:p>
    <w:p w14:paraId="398B52A3" w14:textId="77777777" w:rsidR="00CC0D1D" w:rsidRPr="00875462" w:rsidRDefault="00CC0D1D" w:rsidP="00875462">
      <w:pPr>
        <w:spacing w:line="360" w:lineRule="auto"/>
        <w:rPr>
          <w:rFonts w:ascii="Arial" w:hAnsi="Arial" w:cs="Arial"/>
          <w:sz w:val="22"/>
          <w:szCs w:val="22"/>
        </w:rPr>
      </w:pPr>
    </w:p>
    <w:p w14:paraId="2595E995" w14:textId="77777777" w:rsidR="00875462" w:rsidRPr="00875462" w:rsidRDefault="00875462" w:rsidP="00875462">
      <w:pPr>
        <w:spacing w:line="360" w:lineRule="auto"/>
        <w:rPr>
          <w:rFonts w:ascii="Arial" w:hAnsi="Arial" w:cs="Arial"/>
          <w:sz w:val="22"/>
          <w:szCs w:val="22"/>
        </w:rPr>
      </w:pPr>
    </w:p>
    <w:p w14:paraId="65512CE2" w14:textId="77777777" w:rsidR="00310F30" w:rsidRPr="00F50871" w:rsidRDefault="00310F30" w:rsidP="00F50871">
      <w:pPr>
        <w:spacing w:line="360" w:lineRule="auto"/>
        <w:rPr>
          <w:rFonts w:ascii="Arial" w:hAnsi="Arial" w:cs="Arial"/>
          <w:sz w:val="22"/>
          <w:szCs w:val="22"/>
        </w:rPr>
      </w:pPr>
    </w:p>
    <w:p w14:paraId="02CEE908" w14:textId="5B897FF3" w:rsidR="00F50871" w:rsidRPr="00F50871" w:rsidRDefault="00F50871" w:rsidP="00F50871">
      <w:pPr>
        <w:spacing w:line="360" w:lineRule="auto"/>
        <w:rPr>
          <w:rFonts w:ascii="Arial" w:hAnsi="Arial" w:cs="Arial"/>
          <w:sz w:val="22"/>
          <w:szCs w:val="22"/>
        </w:rPr>
      </w:pPr>
    </w:p>
    <w:p w14:paraId="53FF2715" w14:textId="77777777" w:rsidR="00F50871" w:rsidRPr="00F50871" w:rsidRDefault="00F50871" w:rsidP="00F50871">
      <w:pPr>
        <w:spacing w:line="360" w:lineRule="auto"/>
        <w:rPr>
          <w:rFonts w:ascii="Arial" w:hAnsi="Arial" w:cs="Arial"/>
          <w:sz w:val="22"/>
          <w:szCs w:val="22"/>
        </w:rPr>
      </w:pPr>
    </w:p>
    <w:p w14:paraId="36CB3BAE" w14:textId="77777777" w:rsidR="00F50871" w:rsidRDefault="00F50871" w:rsidP="005A3B15">
      <w:pPr>
        <w:spacing w:line="360" w:lineRule="auto"/>
        <w:rPr>
          <w:rFonts w:ascii="Arial" w:hAnsi="Arial" w:cs="Arial"/>
          <w:sz w:val="22"/>
          <w:szCs w:val="22"/>
        </w:rPr>
      </w:pPr>
    </w:p>
    <w:p w14:paraId="05DC3407" w14:textId="77777777" w:rsidR="00BF0704" w:rsidRDefault="00BF0704" w:rsidP="005A3B15">
      <w:pPr>
        <w:spacing w:line="360" w:lineRule="auto"/>
        <w:rPr>
          <w:rFonts w:ascii="Arial" w:hAnsi="Arial" w:cs="Arial"/>
          <w:sz w:val="22"/>
          <w:szCs w:val="22"/>
        </w:rPr>
      </w:pPr>
    </w:p>
    <w:p w14:paraId="706DD5A7" w14:textId="77777777" w:rsidR="00BF0704" w:rsidRDefault="00BF0704" w:rsidP="005A3B15">
      <w:pPr>
        <w:spacing w:line="360" w:lineRule="auto"/>
        <w:rPr>
          <w:rFonts w:ascii="Arial" w:hAnsi="Arial" w:cs="Arial"/>
          <w:sz w:val="22"/>
          <w:szCs w:val="22"/>
        </w:rPr>
      </w:pPr>
    </w:p>
    <w:p w14:paraId="61070E4C" w14:textId="77777777" w:rsidR="00BF0704" w:rsidRDefault="00BF0704" w:rsidP="005A3B15">
      <w:pPr>
        <w:spacing w:line="360" w:lineRule="auto"/>
        <w:rPr>
          <w:rFonts w:ascii="Arial" w:hAnsi="Arial" w:cs="Arial"/>
          <w:sz w:val="22"/>
          <w:szCs w:val="22"/>
        </w:rPr>
      </w:pPr>
    </w:p>
    <w:p w14:paraId="62E5886C" w14:textId="77777777" w:rsidR="00BF0704" w:rsidRDefault="00BF0704" w:rsidP="005A3B15">
      <w:pPr>
        <w:spacing w:line="360" w:lineRule="auto"/>
        <w:rPr>
          <w:rFonts w:ascii="Arial" w:hAnsi="Arial" w:cs="Arial"/>
          <w:sz w:val="22"/>
          <w:szCs w:val="22"/>
        </w:rPr>
      </w:pPr>
    </w:p>
    <w:p w14:paraId="578ED7B4" w14:textId="77777777" w:rsidR="00BF0704" w:rsidRDefault="00BF0704" w:rsidP="005A3B15">
      <w:pPr>
        <w:spacing w:line="360" w:lineRule="auto"/>
        <w:rPr>
          <w:rFonts w:ascii="Arial" w:hAnsi="Arial" w:cs="Arial"/>
          <w:sz w:val="22"/>
          <w:szCs w:val="22"/>
        </w:rPr>
      </w:pPr>
    </w:p>
    <w:p w14:paraId="7F4DF8C4" w14:textId="77777777" w:rsidR="00BF0704" w:rsidRDefault="00BF0704" w:rsidP="005A3B15">
      <w:pPr>
        <w:spacing w:line="360" w:lineRule="auto"/>
        <w:rPr>
          <w:rFonts w:ascii="Arial" w:hAnsi="Arial" w:cs="Arial"/>
          <w:sz w:val="22"/>
          <w:szCs w:val="22"/>
        </w:rPr>
      </w:pPr>
    </w:p>
    <w:p w14:paraId="4E5554D6" w14:textId="77777777" w:rsidR="00BF0704" w:rsidRDefault="00BF0704" w:rsidP="005A3B15">
      <w:pPr>
        <w:spacing w:line="360" w:lineRule="auto"/>
        <w:rPr>
          <w:rFonts w:ascii="Arial" w:hAnsi="Arial" w:cs="Arial"/>
          <w:sz w:val="22"/>
          <w:szCs w:val="22"/>
        </w:rPr>
      </w:pPr>
    </w:p>
    <w:p w14:paraId="543957B1" w14:textId="77777777" w:rsidR="00BF0704" w:rsidRDefault="00BF0704" w:rsidP="005A3B15">
      <w:pPr>
        <w:spacing w:line="360" w:lineRule="auto"/>
        <w:rPr>
          <w:rFonts w:ascii="Arial" w:hAnsi="Arial" w:cs="Arial"/>
          <w:sz w:val="22"/>
          <w:szCs w:val="22"/>
        </w:rPr>
      </w:pPr>
    </w:p>
    <w:p w14:paraId="32AF056B" w14:textId="77777777" w:rsidR="00BF0704" w:rsidRDefault="00BF0704" w:rsidP="005A3B15">
      <w:pPr>
        <w:spacing w:line="360" w:lineRule="auto"/>
        <w:rPr>
          <w:rFonts w:ascii="Arial" w:hAnsi="Arial" w:cs="Arial"/>
          <w:sz w:val="22"/>
          <w:szCs w:val="22"/>
        </w:rPr>
      </w:pPr>
    </w:p>
    <w:p w14:paraId="7C1195FE" w14:textId="77777777" w:rsidR="00BF0704" w:rsidRDefault="00BF0704" w:rsidP="005A3B15">
      <w:pPr>
        <w:spacing w:line="360" w:lineRule="auto"/>
        <w:rPr>
          <w:rFonts w:ascii="Arial" w:hAnsi="Arial" w:cs="Arial"/>
          <w:sz w:val="22"/>
          <w:szCs w:val="22"/>
        </w:rPr>
      </w:pPr>
    </w:p>
    <w:p w14:paraId="1F0EFBC3" w14:textId="77777777" w:rsidR="00BF0704" w:rsidRDefault="00BF0704" w:rsidP="005A3B15">
      <w:pPr>
        <w:spacing w:line="360" w:lineRule="auto"/>
        <w:rPr>
          <w:rFonts w:ascii="Arial" w:hAnsi="Arial" w:cs="Arial"/>
          <w:sz w:val="22"/>
          <w:szCs w:val="22"/>
        </w:rPr>
      </w:pPr>
    </w:p>
    <w:p w14:paraId="6B7BCC6E" w14:textId="77777777" w:rsidR="00BF0704" w:rsidRDefault="00BF0704" w:rsidP="005A3B15">
      <w:pPr>
        <w:spacing w:line="360" w:lineRule="auto"/>
        <w:rPr>
          <w:rFonts w:ascii="Arial" w:hAnsi="Arial" w:cs="Arial"/>
          <w:sz w:val="22"/>
          <w:szCs w:val="22"/>
        </w:rPr>
      </w:pPr>
    </w:p>
    <w:p w14:paraId="4F26614A" w14:textId="77777777" w:rsidR="00BF0704" w:rsidRDefault="00BF0704" w:rsidP="005A3B15">
      <w:pPr>
        <w:spacing w:line="360" w:lineRule="auto"/>
        <w:rPr>
          <w:rFonts w:ascii="Arial" w:hAnsi="Arial" w:cs="Arial"/>
          <w:sz w:val="22"/>
          <w:szCs w:val="22"/>
        </w:rPr>
      </w:pPr>
    </w:p>
    <w:p w14:paraId="59458EDF" w14:textId="77777777" w:rsidR="00BF0704" w:rsidRDefault="00BF0704" w:rsidP="005A3B15">
      <w:pPr>
        <w:spacing w:line="360" w:lineRule="auto"/>
        <w:rPr>
          <w:rFonts w:ascii="Arial" w:hAnsi="Arial" w:cs="Arial"/>
          <w:sz w:val="22"/>
          <w:szCs w:val="22"/>
        </w:rPr>
      </w:pPr>
    </w:p>
    <w:p w14:paraId="3D3606FB" w14:textId="77777777" w:rsidR="00BF0704" w:rsidRDefault="00BF0704" w:rsidP="005A3B15">
      <w:pPr>
        <w:spacing w:line="360" w:lineRule="auto"/>
        <w:rPr>
          <w:rFonts w:ascii="Arial" w:hAnsi="Arial" w:cs="Arial"/>
          <w:sz w:val="22"/>
          <w:szCs w:val="22"/>
        </w:rPr>
      </w:pPr>
    </w:p>
    <w:p w14:paraId="62A6EE3A" w14:textId="77777777" w:rsidR="00BF0704" w:rsidRDefault="00BF0704" w:rsidP="005A3B15">
      <w:pPr>
        <w:spacing w:line="360" w:lineRule="auto"/>
        <w:rPr>
          <w:rFonts w:ascii="Arial" w:hAnsi="Arial" w:cs="Arial"/>
          <w:sz w:val="22"/>
          <w:szCs w:val="22"/>
        </w:rPr>
      </w:pPr>
    </w:p>
    <w:p w14:paraId="69769A1E" w14:textId="77777777" w:rsidR="00BF0704" w:rsidRDefault="00BF0704" w:rsidP="005A3B15">
      <w:pPr>
        <w:spacing w:line="360" w:lineRule="auto"/>
        <w:rPr>
          <w:rFonts w:ascii="Arial" w:hAnsi="Arial" w:cs="Arial"/>
          <w:sz w:val="22"/>
          <w:szCs w:val="22"/>
        </w:rPr>
      </w:pPr>
    </w:p>
    <w:p w14:paraId="48459B99" w14:textId="77777777" w:rsidR="00BF0704" w:rsidRDefault="00BF0704" w:rsidP="005A3B15">
      <w:pPr>
        <w:spacing w:line="360" w:lineRule="auto"/>
        <w:rPr>
          <w:rFonts w:ascii="Arial" w:hAnsi="Arial" w:cs="Arial"/>
          <w:sz w:val="22"/>
          <w:szCs w:val="22"/>
        </w:rPr>
      </w:pPr>
    </w:p>
    <w:p w14:paraId="0E265A20" w14:textId="77777777" w:rsidR="00BF0704" w:rsidRDefault="00BF0704" w:rsidP="005A3B15">
      <w:pPr>
        <w:spacing w:line="360" w:lineRule="auto"/>
        <w:rPr>
          <w:rFonts w:ascii="Arial" w:hAnsi="Arial" w:cs="Arial"/>
          <w:sz w:val="22"/>
          <w:szCs w:val="22"/>
        </w:rPr>
      </w:pPr>
    </w:p>
    <w:p w14:paraId="1BE8A337" w14:textId="77777777" w:rsidR="00BF0704" w:rsidRDefault="00BF0704" w:rsidP="005A3B15">
      <w:pPr>
        <w:spacing w:line="360" w:lineRule="auto"/>
        <w:rPr>
          <w:rFonts w:ascii="Arial" w:hAnsi="Arial" w:cs="Arial"/>
          <w:sz w:val="22"/>
          <w:szCs w:val="22"/>
        </w:rPr>
      </w:pPr>
    </w:p>
    <w:p w14:paraId="55DD9266" w14:textId="77777777" w:rsidR="00BF0704" w:rsidRDefault="00BF0704" w:rsidP="005A3B15">
      <w:pPr>
        <w:spacing w:line="360" w:lineRule="auto"/>
        <w:rPr>
          <w:rFonts w:ascii="Arial" w:hAnsi="Arial" w:cs="Arial"/>
          <w:sz w:val="22"/>
          <w:szCs w:val="22"/>
        </w:rPr>
      </w:pPr>
    </w:p>
    <w:p w14:paraId="0E88A6A0" w14:textId="77777777" w:rsidR="00BF0704" w:rsidRDefault="00BF0704" w:rsidP="005A3B15">
      <w:pPr>
        <w:spacing w:line="360" w:lineRule="auto"/>
        <w:rPr>
          <w:rFonts w:ascii="Arial" w:hAnsi="Arial" w:cs="Arial"/>
          <w:sz w:val="22"/>
          <w:szCs w:val="22"/>
        </w:rPr>
      </w:pPr>
    </w:p>
    <w:p w14:paraId="117B37E9" w14:textId="77777777" w:rsidR="00BF0704" w:rsidRDefault="00BF0704" w:rsidP="005A3B15">
      <w:pPr>
        <w:spacing w:line="360" w:lineRule="auto"/>
        <w:rPr>
          <w:rFonts w:ascii="Arial" w:hAnsi="Arial" w:cs="Arial"/>
          <w:sz w:val="22"/>
          <w:szCs w:val="22"/>
        </w:rPr>
      </w:pPr>
    </w:p>
    <w:p w14:paraId="47FA029F" w14:textId="77777777" w:rsidR="00BF0704" w:rsidRDefault="00BF0704" w:rsidP="005A3B15">
      <w:pPr>
        <w:spacing w:line="360" w:lineRule="auto"/>
        <w:rPr>
          <w:rFonts w:ascii="Arial" w:hAnsi="Arial" w:cs="Arial"/>
          <w:sz w:val="22"/>
          <w:szCs w:val="22"/>
        </w:rPr>
      </w:pPr>
    </w:p>
    <w:p w14:paraId="7F5FFFCD" w14:textId="77777777" w:rsidR="00BF0704" w:rsidRDefault="00BF0704" w:rsidP="005A3B15">
      <w:pPr>
        <w:spacing w:line="360" w:lineRule="auto"/>
        <w:rPr>
          <w:rFonts w:ascii="Arial" w:hAnsi="Arial" w:cs="Arial"/>
          <w:sz w:val="22"/>
          <w:szCs w:val="22"/>
        </w:rPr>
      </w:pPr>
    </w:p>
    <w:p w14:paraId="1A1D4C0C" w14:textId="77777777" w:rsidR="00BF0704" w:rsidRDefault="00BF0704" w:rsidP="005A3B15">
      <w:pPr>
        <w:spacing w:line="360" w:lineRule="auto"/>
        <w:rPr>
          <w:rFonts w:ascii="Arial" w:hAnsi="Arial" w:cs="Arial"/>
          <w:sz w:val="22"/>
          <w:szCs w:val="22"/>
        </w:rPr>
      </w:pPr>
    </w:p>
    <w:p w14:paraId="6BB85A4D" w14:textId="77777777" w:rsidR="00BF0704" w:rsidRDefault="00BF0704" w:rsidP="005A3B15">
      <w:pPr>
        <w:spacing w:line="360" w:lineRule="auto"/>
        <w:rPr>
          <w:rFonts w:ascii="Arial" w:hAnsi="Arial" w:cs="Arial"/>
          <w:sz w:val="22"/>
          <w:szCs w:val="22"/>
        </w:rPr>
      </w:pPr>
    </w:p>
    <w:p w14:paraId="6909BA5B" w14:textId="77777777" w:rsidR="00BF0704" w:rsidRDefault="00BF0704" w:rsidP="005A3B15">
      <w:pPr>
        <w:spacing w:line="360" w:lineRule="auto"/>
        <w:rPr>
          <w:rFonts w:ascii="Arial" w:hAnsi="Arial" w:cs="Arial"/>
          <w:sz w:val="22"/>
          <w:szCs w:val="22"/>
        </w:rPr>
      </w:pPr>
    </w:p>
    <w:p w14:paraId="029EBD68" w14:textId="77777777" w:rsidR="00BF0704" w:rsidRDefault="00BF0704" w:rsidP="005A3B15">
      <w:pPr>
        <w:spacing w:line="360" w:lineRule="auto"/>
        <w:rPr>
          <w:rFonts w:ascii="Arial" w:hAnsi="Arial" w:cs="Arial"/>
          <w:sz w:val="22"/>
          <w:szCs w:val="22"/>
        </w:rPr>
      </w:pPr>
    </w:p>
    <w:p w14:paraId="6B55D487" w14:textId="78E0CF74" w:rsidR="00BF0704" w:rsidRDefault="00BF0704" w:rsidP="005A3B15">
      <w:pPr>
        <w:spacing w:line="360" w:lineRule="auto"/>
        <w:rPr>
          <w:rFonts w:ascii="Arial" w:hAnsi="Arial" w:cs="Arial"/>
          <w:sz w:val="22"/>
          <w:szCs w:val="22"/>
        </w:rPr>
      </w:pPr>
      <w:r>
        <w:rPr>
          <w:rFonts w:ascii="Arial" w:hAnsi="Arial" w:cs="Arial"/>
          <w:sz w:val="22"/>
          <w:szCs w:val="22"/>
        </w:rPr>
        <w:t>References:</w:t>
      </w:r>
    </w:p>
    <w:p w14:paraId="625E2FD3" w14:textId="77777777" w:rsidR="00BF0704" w:rsidRPr="00310F30" w:rsidRDefault="00BF0704" w:rsidP="00310F30">
      <w:pPr>
        <w:pStyle w:val="ListParagraph"/>
        <w:numPr>
          <w:ilvl w:val="0"/>
          <w:numId w:val="1"/>
        </w:numPr>
        <w:spacing w:line="360" w:lineRule="auto"/>
        <w:rPr>
          <w:rFonts w:ascii="Arial" w:hAnsi="Arial" w:cs="Arial"/>
          <w:sz w:val="22"/>
          <w:szCs w:val="22"/>
        </w:rPr>
      </w:pPr>
      <w:r w:rsidRPr="00310F30">
        <w:rPr>
          <w:rFonts w:ascii="Arial" w:hAnsi="Arial" w:cs="Arial"/>
          <w:sz w:val="22"/>
          <w:szCs w:val="22"/>
        </w:rPr>
        <w:t xml:space="preserve">American Psychiatric Association (2013) </w:t>
      </w:r>
      <w:r w:rsidRPr="00310F30">
        <w:rPr>
          <w:rFonts w:ascii="Arial" w:hAnsi="Arial" w:cs="Arial"/>
          <w:i/>
          <w:iCs/>
          <w:sz w:val="22"/>
          <w:szCs w:val="22"/>
        </w:rPr>
        <w:t>Diagnostic and Statistical Manual of Mental Disorders</w:t>
      </w:r>
      <w:r w:rsidRPr="00310F30">
        <w:rPr>
          <w:rFonts w:ascii="Arial" w:hAnsi="Arial" w:cs="Arial"/>
          <w:sz w:val="22"/>
          <w:szCs w:val="22"/>
        </w:rPr>
        <w:t xml:space="preserve">. 5th </w:t>
      </w:r>
      <w:proofErr w:type="spellStart"/>
      <w:r w:rsidRPr="00310F30">
        <w:rPr>
          <w:rFonts w:ascii="Arial" w:hAnsi="Arial" w:cs="Arial"/>
          <w:sz w:val="22"/>
          <w:szCs w:val="22"/>
        </w:rPr>
        <w:t>edn</w:t>
      </w:r>
      <w:proofErr w:type="spellEnd"/>
      <w:r w:rsidRPr="00310F30">
        <w:rPr>
          <w:rFonts w:ascii="Arial" w:hAnsi="Arial" w:cs="Arial"/>
          <w:sz w:val="22"/>
          <w:szCs w:val="22"/>
        </w:rPr>
        <w:t>. Washington, DC: APA.</w:t>
      </w:r>
    </w:p>
    <w:p w14:paraId="525D930F" w14:textId="77777777" w:rsidR="00BF0704" w:rsidRPr="00310F30" w:rsidRDefault="00BF0704" w:rsidP="00310F30">
      <w:pPr>
        <w:pStyle w:val="ListParagraph"/>
        <w:numPr>
          <w:ilvl w:val="0"/>
          <w:numId w:val="1"/>
        </w:numPr>
        <w:spacing w:line="360" w:lineRule="auto"/>
        <w:rPr>
          <w:rFonts w:ascii="Arial" w:hAnsi="Arial" w:cs="Arial"/>
          <w:sz w:val="22"/>
          <w:szCs w:val="22"/>
        </w:rPr>
      </w:pPr>
      <w:r w:rsidRPr="00310F30">
        <w:rPr>
          <w:rFonts w:ascii="Arial" w:hAnsi="Arial" w:cs="Arial"/>
          <w:sz w:val="22"/>
          <w:szCs w:val="22"/>
        </w:rPr>
        <w:t xml:space="preserve">Brewin, C.R. (2020) ‘Analysis of ICD-11 PTSD and Complex PTSD’, </w:t>
      </w:r>
      <w:r w:rsidRPr="00310F30">
        <w:rPr>
          <w:rFonts w:ascii="Arial" w:hAnsi="Arial" w:cs="Arial"/>
          <w:i/>
          <w:iCs/>
          <w:sz w:val="22"/>
          <w:szCs w:val="22"/>
        </w:rPr>
        <w:t xml:space="preserve">European Journal of </w:t>
      </w:r>
      <w:proofErr w:type="spellStart"/>
      <w:r w:rsidRPr="00310F30">
        <w:rPr>
          <w:rFonts w:ascii="Arial" w:hAnsi="Arial" w:cs="Arial"/>
          <w:i/>
          <w:iCs/>
          <w:sz w:val="22"/>
          <w:szCs w:val="22"/>
        </w:rPr>
        <w:t>Psychotraumatology</w:t>
      </w:r>
      <w:proofErr w:type="spellEnd"/>
      <w:r w:rsidRPr="00310F30">
        <w:rPr>
          <w:rFonts w:ascii="Arial" w:hAnsi="Arial" w:cs="Arial"/>
          <w:sz w:val="22"/>
          <w:szCs w:val="22"/>
        </w:rPr>
        <w:t>, 11(1), pp. 1–7.</w:t>
      </w:r>
    </w:p>
    <w:p w14:paraId="6ADF8562" w14:textId="77777777" w:rsidR="00BF0704" w:rsidRPr="00310F30" w:rsidRDefault="00BF0704" w:rsidP="00310F30">
      <w:pPr>
        <w:pStyle w:val="ListParagraph"/>
        <w:numPr>
          <w:ilvl w:val="0"/>
          <w:numId w:val="1"/>
        </w:numPr>
        <w:spacing w:line="360" w:lineRule="auto"/>
        <w:rPr>
          <w:rFonts w:ascii="Arial" w:hAnsi="Arial" w:cs="Arial"/>
          <w:sz w:val="22"/>
          <w:szCs w:val="22"/>
        </w:rPr>
      </w:pPr>
      <w:r w:rsidRPr="00310F30">
        <w:rPr>
          <w:rFonts w:ascii="Arial" w:hAnsi="Arial" w:cs="Arial"/>
          <w:sz w:val="22"/>
          <w:szCs w:val="22"/>
        </w:rPr>
        <w:t>Koenen, K.C. et al. (2017) ‘</w:t>
      </w:r>
      <w:proofErr w:type="gramStart"/>
      <w:r w:rsidRPr="00310F30">
        <w:rPr>
          <w:rFonts w:ascii="Arial" w:hAnsi="Arial" w:cs="Arial"/>
          <w:sz w:val="22"/>
          <w:szCs w:val="22"/>
        </w:rPr>
        <w:t>Post-traumatic</w:t>
      </w:r>
      <w:proofErr w:type="gramEnd"/>
      <w:r w:rsidRPr="00310F30">
        <w:rPr>
          <w:rFonts w:ascii="Arial" w:hAnsi="Arial" w:cs="Arial"/>
          <w:sz w:val="22"/>
          <w:szCs w:val="22"/>
        </w:rPr>
        <w:t xml:space="preserve"> stress disorder in the World Mental Health Surveys’, </w:t>
      </w:r>
      <w:r w:rsidRPr="00310F30">
        <w:rPr>
          <w:rFonts w:ascii="Arial" w:hAnsi="Arial" w:cs="Arial"/>
          <w:i/>
          <w:iCs/>
          <w:sz w:val="22"/>
          <w:szCs w:val="22"/>
        </w:rPr>
        <w:t>Psychological Medicine</w:t>
      </w:r>
      <w:r w:rsidRPr="00310F30">
        <w:rPr>
          <w:rFonts w:ascii="Arial" w:hAnsi="Arial" w:cs="Arial"/>
          <w:sz w:val="22"/>
          <w:szCs w:val="22"/>
        </w:rPr>
        <w:t>, 47(13), pp. 2260–2274.</w:t>
      </w:r>
    </w:p>
    <w:p w14:paraId="1C0CDFC3" w14:textId="6C68B62C" w:rsidR="00BF0704" w:rsidRPr="00310F30" w:rsidRDefault="00BF0704" w:rsidP="00310F30">
      <w:pPr>
        <w:pStyle w:val="ListParagraph"/>
        <w:numPr>
          <w:ilvl w:val="0"/>
          <w:numId w:val="1"/>
        </w:numPr>
        <w:spacing w:line="360" w:lineRule="auto"/>
        <w:rPr>
          <w:rFonts w:ascii="Arial" w:hAnsi="Arial" w:cs="Arial"/>
          <w:sz w:val="22"/>
          <w:szCs w:val="22"/>
        </w:rPr>
      </w:pPr>
      <w:r w:rsidRPr="00310F30">
        <w:rPr>
          <w:rFonts w:ascii="Arial" w:hAnsi="Arial" w:cs="Arial"/>
          <w:sz w:val="22"/>
          <w:szCs w:val="22"/>
        </w:rPr>
        <w:t>World Health Organi</w:t>
      </w:r>
      <w:r w:rsidR="00310F30" w:rsidRPr="00310F30">
        <w:rPr>
          <w:rFonts w:ascii="Arial" w:hAnsi="Arial" w:cs="Arial"/>
          <w:sz w:val="22"/>
          <w:szCs w:val="22"/>
        </w:rPr>
        <w:t>s</w:t>
      </w:r>
      <w:r w:rsidRPr="00310F30">
        <w:rPr>
          <w:rFonts w:ascii="Arial" w:hAnsi="Arial" w:cs="Arial"/>
          <w:sz w:val="22"/>
          <w:szCs w:val="22"/>
        </w:rPr>
        <w:t xml:space="preserve">ation (2019) </w:t>
      </w:r>
      <w:r w:rsidRPr="00310F30">
        <w:rPr>
          <w:rFonts w:ascii="Arial" w:hAnsi="Arial" w:cs="Arial"/>
          <w:i/>
          <w:iCs/>
          <w:sz w:val="22"/>
          <w:szCs w:val="22"/>
        </w:rPr>
        <w:t>International Classification of Diseases for Mortality and Morbidity Statistics (11th Revision)</w:t>
      </w:r>
      <w:r w:rsidRPr="00310F30">
        <w:rPr>
          <w:rFonts w:ascii="Arial" w:hAnsi="Arial" w:cs="Arial"/>
          <w:sz w:val="22"/>
          <w:szCs w:val="22"/>
        </w:rPr>
        <w:t>. Geneva: WHO.</w:t>
      </w:r>
    </w:p>
    <w:p w14:paraId="34F109B1" w14:textId="0C12D255" w:rsidR="00BF0704" w:rsidRPr="00310F30" w:rsidRDefault="00BF0704" w:rsidP="00310F30">
      <w:pPr>
        <w:pStyle w:val="ListParagraph"/>
        <w:numPr>
          <w:ilvl w:val="0"/>
          <w:numId w:val="1"/>
        </w:numPr>
        <w:spacing w:line="360" w:lineRule="auto"/>
        <w:rPr>
          <w:rFonts w:ascii="Arial" w:hAnsi="Arial" w:cs="Arial"/>
          <w:sz w:val="22"/>
          <w:szCs w:val="22"/>
        </w:rPr>
      </w:pPr>
      <w:r w:rsidRPr="00310F30">
        <w:rPr>
          <w:rFonts w:ascii="Arial" w:hAnsi="Arial" w:cs="Arial"/>
          <w:sz w:val="22"/>
          <w:szCs w:val="22"/>
        </w:rPr>
        <w:t>World Health Organi</w:t>
      </w:r>
      <w:r w:rsidR="00310F30" w:rsidRPr="00310F30">
        <w:rPr>
          <w:rFonts w:ascii="Arial" w:hAnsi="Arial" w:cs="Arial"/>
          <w:sz w:val="22"/>
          <w:szCs w:val="22"/>
        </w:rPr>
        <w:t>s</w:t>
      </w:r>
      <w:r w:rsidRPr="00310F30">
        <w:rPr>
          <w:rFonts w:ascii="Arial" w:hAnsi="Arial" w:cs="Arial"/>
          <w:sz w:val="22"/>
          <w:szCs w:val="22"/>
        </w:rPr>
        <w:t xml:space="preserve">ation (2022) </w:t>
      </w:r>
      <w:r w:rsidRPr="00310F30">
        <w:rPr>
          <w:rFonts w:ascii="Arial" w:hAnsi="Arial" w:cs="Arial"/>
          <w:i/>
          <w:iCs/>
          <w:sz w:val="22"/>
          <w:szCs w:val="22"/>
        </w:rPr>
        <w:t>Mental Health Atlas</w:t>
      </w:r>
      <w:r w:rsidRPr="00310F30">
        <w:rPr>
          <w:rFonts w:ascii="Arial" w:hAnsi="Arial" w:cs="Arial"/>
          <w:sz w:val="22"/>
          <w:szCs w:val="22"/>
        </w:rPr>
        <w:t>. Geneva: WHO.</w:t>
      </w:r>
    </w:p>
    <w:p w14:paraId="6B66D73C" w14:textId="77777777" w:rsidR="00F50871" w:rsidRPr="00310F30" w:rsidRDefault="00F50871" w:rsidP="00310F30">
      <w:pPr>
        <w:pStyle w:val="ListParagraph"/>
        <w:numPr>
          <w:ilvl w:val="0"/>
          <w:numId w:val="1"/>
        </w:numPr>
        <w:spacing w:line="360" w:lineRule="auto"/>
        <w:rPr>
          <w:rFonts w:ascii="Arial" w:hAnsi="Arial" w:cs="Arial"/>
          <w:sz w:val="22"/>
          <w:szCs w:val="22"/>
        </w:rPr>
      </w:pPr>
      <w:proofErr w:type="spellStart"/>
      <w:r w:rsidRPr="00310F30">
        <w:rPr>
          <w:rFonts w:ascii="Arial" w:hAnsi="Arial" w:cs="Arial"/>
          <w:sz w:val="22"/>
          <w:szCs w:val="22"/>
        </w:rPr>
        <w:t>Cloitre</w:t>
      </w:r>
      <w:proofErr w:type="spellEnd"/>
      <w:r w:rsidRPr="00310F30">
        <w:rPr>
          <w:rFonts w:ascii="Arial" w:hAnsi="Arial" w:cs="Arial"/>
          <w:sz w:val="22"/>
          <w:szCs w:val="22"/>
        </w:rPr>
        <w:t xml:space="preserve">, M. et al. (2019) ‘Evidence for ICD-11 Complex PTSD: A systematic review and meta-analysis’, </w:t>
      </w:r>
      <w:r w:rsidRPr="00310F30">
        <w:rPr>
          <w:rFonts w:ascii="Arial" w:hAnsi="Arial" w:cs="Arial"/>
          <w:i/>
          <w:iCs/>
          <w:sz w:val="22"/>
          <w:szCs w:val="22"/>
        </w:rPr>
        <w:t>The Lancet Psychiatry</w:t>
      </w:r>
      <w:r w:rsidRPr="00310F30">
        <w:rPr>
          <w:rFonts w:ascii="Arial" w:hAnsi="Arial" w:cs="Arial"/>
          <w:sz w:val="22"/>
          <w:szCs w:val="22"/>
        </w:rPr>
        <w:t>, 6(2), pp. 291–300.</w:t>
      </w:r>
    </w:p>
    <w:p w14:paraId="635C1C25" w14:textId="77777777" w:rsidR="00F50871" w:rsidRDefault="00F50871" w:rsidP="00310F30">
      <w:pPr>
        <w:pStyle w:val="ListParagraph"/>
        <w:numPr>
          <w:ilvl w:val="0"/>
          <w:numId w:val="1"/>
        </w:numPr>
        <w:spacing w:line="360" w:lineRule="auto"/>
        <w:rPr>
          <w:rFonts w:ascii="Arial" w:hAnsi="Arial" w:cs="Arial"/>
          <w:sz w:val="22"/>
          <w:szCs w:val="22"/>
        </w:rPr>
      </w:pPr>
      <w:r w:rsidRPr="00310F30">
        <w:rPr>
          <w:rFonts w:ascii="Arial" w:hAnsi="Arial" w:cs="Arial"/>
          <w:sz w:val="22"/>
          <w:szCs w:val="22"/>
        </w:rPr>
        <w:t xml:space="preserve">Hinton, D.E. and Lewis-Fernández, R. (2011) ‘The cross-cultural validity of posttraumatic stress disorder: implications for DSM-5’, </w:t>
      </w:r>
      <w:r w:rsidRPr="00310F30">
        <w:rPr>
          <w:rFonts w:ascii="Arial" w:hAnsi="Arial" w:cs="Arial"/>
          <w:i/>
          <w:iCs/>
          <w:sz w:val="22"/>
          <w:szCs w:val="22"/>
        </w:rPr>
        <w:t>Depression and Anxiety</w:t>
      </w:r>
      <w:r w:rsidRPr="00310F30">
        <w:rPr>
          <w:rFonts w:ascii="Arial" w:hAnsi="Arial" w:cs="Arial"/>
          <w:sz w:val="22"/>
          <w:szCs w:val="22"/>
        </w:rPr>
        <w:t>, 28(9), pp. 783–801.</w:t>
      </w:r>
    </w:p>
    <w:p w14:paraId="2489F277" w14:textId="674B0EDD" w:rsidR="00C379B7" w:rsidRDefault="00C379B7" w:rsidP="00310F30">
      <w:pPr>
        <w:pStyle w:val="ListParagraph"/>
        <w:numPr>
          <w:ilvl w:val="0"/>
          <w:numId w:val="1"/>
        </w:numPr>
        <w:spacing w:line="360" w:lineRule="auto"/>
        <w:rPr>
          <w:rFonts w:ascii="Arial" w:hAnsi="Arial" w:cs="Arial"/>
          <w:sz w:val="22"/>
          <w:szCs w:val="22"/>
        </w:rPr>
      </w:pPr>
      <w:r w:rsidRPr="00C379B7">
        <w:rPr>
          <w:rFonts w:ascii="Arial" w:hAnsi="Arial" w:cs="Arial"/>
          <w:sz w:val="22"/>
          <w:szCs w:val="22"/>
        </w:rPr>
        <w:t xml:space="preserve">Gill, J.M. et al. (2021) ‘Comorbidity and complexity in post-traumatic stress disorder: a biopsychosocial perspective’, </w:t>
      </w:r>
      <w:r w:rsidRPr="00C379B7">
        <w:rPr>
          <w:rFonts w:ascii="Arial" w:hAnsi="Arial" w:cs="Arial"/>
          <w:i/>
          <w:iCs/>
          <w:sz w:val="22"/>
          <w:szCs w:val="22"/>
        </w:rPr>
        <w:t>Current Opinion in Psychology</w:t>
      </w:r>
      <w:r w:rsidRPr="00C379B7">
        <w:rPr>
          <w:rFonts w:ascii="Arial" w:hAnsi="Arial" w:cs="Arial"/>
          <w:sz w:val="22"/>
          <w:szCs w:val="22"/>
        </w:rPr>
        <w:t>, 37, pp. 49–55.</w:t>
      </w:r>
    </w:p>
    <w:p w14:paraId="493A6583" w14:textId="4410C813" w:rsidR="00C379B7" w:rsidRDefault="00C379B7" w:rsidP="00310F30">
      <w:pPr>
        <w:pStyle w:val="ListParagraph"/>
        <w:numPr>
          <w:ilvl w:val="0"/>
          <w:numId w:val="1"/>
        </w:numPr>
        <w:spacing w:line="360" w:lineRule="auto"/>
        <w:rPr>
          <w:rFonts w:ascii="Arial" w:hAnsi="Arial" w:cs="Arial"/>
          <w:sz w:val="22"/>
          <w:szCs w:val="22"/>
        </w:rPr>
      </w:pPr>
      <w:r w:rsidRPr="00C379B7">
        <w:rPr>
          <w:rFonts w:ascii="Arial" w:hAnsi="Arial" w:cs="Arial"/>
          <w:sz w:val="22"/>
          <w:szCs w:val="22"/>
        </w:rPr>
        <w:t xml:space="preserve">Gill, J.M. et al. (2021) ‘Comorbidity and complexity in post-traumatic stress disorder: a biopsychosocial perspective’, </w:t>
      </w:r>
      <w:r w:rsidRPr="00C379B7">
        <w:rPr>
          <w:rFonts w:ascii="Arial" w:hAnsi="Arial" w:cs="Arial"/>
          <w:i/>
          <w:iCs/>
          <w:sz w:val="22"/>
          <w:szCs w:val="22"/>
        </w:rPr>
        <w:t>Current Opinion in Psychology</w:t>
      </w:r>
      <w:r w:rsidRPr="00C379B7">
        <w:rPr>
          <w:rFonts w:ascii="Arial" w:hAnsi="Arial" w:cs="Arial"/>
          <w:sz w:val="22"/>
          <w:szCs w:val="22"/>
        </w:rPr>
        <w:t>, 37, pp. 49–55.</w:t>
      </w:r>
    </w:p>
    <w:p w14:paraId="048F336C" w14:textId="3DB41A46" w:rsidR="00C379B7" w:rsidRDefault="00C379B7" w:rsidP="00310F30">
      <w:pPr>
        <w:pStyle w:val="ListParagraph"/>
        <w:numPr>
          <w:ilvl w:val="0"/>
          <w:numId w:val="1"/>
        </w:numPr>
        <w:spacing w:line="360" w:lineRule="auto"/>
        <w:rPr>
          <w:rFonts w:ascii="Arial" w:hAnsi="Arial" w:cs="Arial"/>
          <w:sz w:val="22"/>
          <w:szCs w:val="22"/>
        </w:rPr>
      </w:pPr>
      <w:r w:rsidRPr="00C379B7">
        <w:rPr>
          <w:rFonts w:ascii="Arial" w:hAnsi="Arial" w:cs="Arial"/>
          <w:sz w:val="22"/>
          <w:szCs w:val="22"/>
        </w:rPr>
        <w:t xml:space="preserve">Weathers, F.W. et al. (2018) ‘The Clinician-Administered PTSD Scale for DSM-5 (CAPS-5)’, </w:t>
      </w:r>
      <w:r w:rsidRPr="00C379B7">
        <w:rPr>
          <w:rFonts w:ascii="Arial" w:hAnsi="Arial" w:cs="Arial"/>
          <w:i/>
          <w:iCs/>
          <w:sz w:val="22"/>
          <w:szCs w:val="22"/>
        </w:rPr>
        <w:t>Assessment</w:t>
      </w:r>
      <w:r w:rsidRPr="00C379B7">
        <w:rPr>
          <w:rFonts w:ascii="Arial" w:hAnsi="Arial" w:cs="Arial"/>
          <w:sz w:val="22"/>
          <w:szCs w:val="22"/>
        </w:rPr>
        <w:t>, 26(1), pp. 1–13.</w:t>
      </w:r>
    </w:p>
    <w:p w14:paraId="089439EC" w14:textId="77777777" w:rsidR="00C379B7" w:rsidRPr="00310F30" w:rsidRDefault="00C379B7" w:rsidP="00310F30">
      <w:pPr>
        <w:pStyle w:val="ListParagraph"/>
        <w:numPr>
          <w:ilvl w:val="0"/>
          <w:numId w:val="1"/>
        </w:numPr>
        <w:spacing w:line="360" w:lineRule="auto"/>
        <w:rPr>
          <w:rFonts w:ascii="Arial" w:hAnsi="Arial" w:cs="Arial"/>
          <w:sz w:val="22"/>
          <w:szCs w:val="22"/>
        </w:rPr>
      </w:pPr>
    </w:p>
    <w:p w14:paraId="5CFDCF85" w14:textId="77777777" w:rsidR="00F50871" w:rsidRPr="00BF0704" w:rsidRDefault="00F50871" w:rsidP="00BF0704">
      <w:pPr>
        <w:spacing w:line="360" w:lineRule="auto"/>
        <w:rPr>
          <w:rFonts w:ascii="Arial" w:hAnsi="Arial" w:cs="Arial"/>
          <w:sz w:val="22"/>
          <w:szCs w:val="22"/>
        </w:rPr>
      </w:pPr>
    </w:p>
    <w:p w14:paraId="4910CDC8" w14:textId="77777777" w:rsidR="00BF0704" w:rsidRPr="005A3B15" w:rsidRDefault="00BF0704" w:rsidP="005A3B15">
      <w:pPr>
        <w:spacing w:line="360" w:lineRule="auto"/>
        <w:rPr>
          <w:rFonts w:ascii="Arial" w:hAnsi="Arial" w:cs="Arial"/>
          <w:sz w:val="22"/>
          <w:szCs w:val="22"/>
        </w:rPr>
      </w:pPr>
    </w:p>
    <w:sectPr w:rsidR="00BF0704" w:rsidRPr="005A3B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34B50"/>
    <w:multiLevelType w:val="hybridMultilevel"/>
    <w:tmpl w:val="066E01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5748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B15"/>
    <w:rsid w:val="00310F30"/>
    <w:rsid w:val="005A3B15"/>
    <w:rsid w:val="005D09BD"/>
    <w:rsid w:val="007456DC"/>
    <w:rsid w:val="00875462"/>
    <w:rsid w:val="008F68B5"/>
    <w:rsid w:val="00A746BE"/>
    <w:rsid w:val="00BF0704"/>
    <w:rsid w:val="00C379B7"/>
    <w:rsid w:val="00CC0D1D"/>
    <w:rsid w:val="00F508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97BA4"/>
  <w15:chartTrackingRefBased/>
  <w15:docId w15:val="{04FE0166-3334-4038-A807-F14D23BD1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3B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3B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3B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3B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3B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3B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3B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3B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3B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B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3B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3B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3B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3B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3B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3B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3B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3B15"/>
    <w:rPr>
      <w:rFonts w:eastAsiaTheme="majorEastAsia" w:cstheme="majorBidi"/>
      <w:color w:val="272727" w:themeColor="text1" w:themeTint="D8"/>
    </w:rPr>
  </w:style>
  <w:style w:type="paragraph" w:styleId="Title">
    <w:name w:val="Title"/>
    <w:basedOn w:val="Normal"/>
    <w:next w:val="Normal"/>
    <w:link w:val="TitleChar"/>
    <w:uiPriority w:val="10"/>
    <w:qFormat/>
    <w:rsid w:val="005A3B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3B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3B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3B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3B15"/>
    <w:pPr>
      <w:spacing w:before="160"/>
      <w:jc w:val="center"/>
    </w:pPr>
    <w:rPr>
      <w:i/>
      <w:iCs/>
      <w:color w:val="404040" w:themeColor="text1" w:themeTint="BF"/>
    </w:rPr>
  </w:style>
  <w:style w:type="character" w:customStyle="1" w:styleId="QuoteChar">
    <w:name w:val="Quote Char"/>
    <w:basedOn w:val="DefaultParagraphFont"/>
    <w:link w:val="Quote"/>
    <w:uiPriority w:val="29"/>
    <w:rsid w:val="005A3B15"/>
    <w:rPr>
      <w:i/>
      <w:iCs/>
      <w:color w:val="404040" w:themeColor="text1" w:themeTint="BF"/>
    </w:rPr>
  </w:style>
  <w:style w:type="paragraph" w:styleId="ListParagraph">
    <w:name w:val="List Paragraph"/>
    <w:basedOn w:val="Normal"/>
    <w:uiPriority w:val="34"/>
    <w:qFormat/>
    <w:rsid w:val="005A3B15"/>
    <w:pPr>
      <w:ind w:left="720"/>
      <w:contextualSpacing/>
    </w:pPr>
  </w:style>
  <w:style w:type="character" w:styleId="IntenseEmphasis">
    <w:name w:val="Intense Emphasis"/>
    <w:basedOn w:val="DefaultParagraphFont"/>
    <w:uiPriority w:val="21"/>
    <w:qFormat/>
    <w:rsid w:val="005A3B15"/>
    <w:rPr>
      <w:i/>
      <w:iCs/>
      <w:color w:val="0F4761" w:themeColor="accent1" w:themeShade="BF"/>
    </w:rPr>
  </w:style>
  <w:style w:type="paragraph" w:styleId="IntenseQuote">
    <w:name w:val="Intense Quote"/>
    <w:basedOn w:val="Normal"/>
    <w:next w:val="Normal"/>
    <w:link w:val="IntenseQuoteChar"/>
    <w:uiPriority w:val="30"/>
    <w:qFormat/>
    <w:rsid w:val="005A3B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3B15"/>
    <w:rPr>
      <w:i/>
      <w:iCs/>
      <w:color w:val="0F4761" w:themeColor="accent1" w:themeShade="BF"/>
    </w:rPr>
  </w:style>
  <w:style w:type="character" w:styleId="IntenseReference">
    <w:name w:val="Intense Reference"/>
    <w:basedOn w:val="DefaultParagraphFont"/>
    <w:uiPriority w:val="32"/>
    <w:qFormat/>
    <w:rsid w:val="005A3B1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101</TotalTime>
  <Pages>8</Pages>
  <Words>2273</Words>
  <Characters>12961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K</dc:creator>
  <cp:keywords/>
  <dc:description/>
  <cp:lastModifiedBy>Louise K</cp:lastModifiedBy>
  <cp:revision>1</cp:revision>
  <dcterms:created xsi:type="dcterms:W3CDTF">2025-11-23T21:55:00Z</dcterms:created>
  <dcterms:modified xsi:type="dcterms:W3CDTF">2025-11-23T23:36:00Z</dcterms:modified>
</cp:coreProperties>
</file>