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23134520"/>
        <w:docPartObj>
          <w:docPartGallery w:val="Cover Pages"/>
          <w:docPartUnique/>
        </w:docPartObj>
      </w:sdtPr>
      <w:sdtEndPr>
        <w:rPr>
          <w:rFonts w:ascii="Arial Black" w:hAnsi="Arial Black" w:cs="Arial"/>
          <w:sz w:val="24"/>
          <w:szCs w:val="24"/>
        </w:rPr>
      </w:sdtEndPr>
      <w:sdtContent>
        <w:p w14:paraId="1305E5AB" w14:textId="6292D142" w:rsidR="002B3E03" w:rsidRDefault="002B3E03">
          <w:r>
            <w:rPr>
              <w:noProof/>
            </w:rPr>
            <w:drawing>
              <wp:inline distT="0" distB="0" distL="0" distR="0" wp14:anchorId="03E11BB8" wp14:editId="071242A1">
                <wp:extent cx="2430780" cy="800100"/>
                <wp:effectExtent l="0" t="0" r="7620" b="0"/>
                <wp:docPr id="1095316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30780" cy="800100"/>
                        </a:xfrm>
                        <a:prstGeom prst="rect">
                          <a:avLst/>
                        </a:prstGeom>
                        <a:noFill/>
                        <a:ln>
                          <a:noFill/>
                        </a:ln>
                      </pic:spPr>
                    </pic:pic>
                  </a:graphicData>
                </a:graphic>
              </wp:inline>
            </w:drawing>
          </w: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2B3E03" w14:paraId="50C568B4" w14:textId="77777777">
            <w:tc>
              <w:tcPr>
                <w:tcW w:w="7672" w:type="dxa"/>
                <w:tcMar>
                  <w:top w:w="216" w:type="dxa"/>
                  <w:left w:w="115" w:type="dxa"/>
                  <w:bottom w:w="216" w:type="dxa"/>
                  <w:right w:w="115" w:type="dxa"/>
                </w:tcMar>
              </w:tcPr>
              <w:p w14:paraId="64489D3F" w14:textId="79062D70" w:rsidR="002B3E03" w:rsidRDefault="002B3E03">
                <w:pPr>
                  <w:pStyle w:val="NoSpacing"/>
                  <w:rPr>
                    <w:color w:val="0F4761" w:themeColor="accent1" w:themeShade="BF"/>
                    <w:sz w:val="24"/>
                  </w:rPr>
                </w:pPr>
              </w:p>
            </w:tc>
          </w:tr>
          <w:tr w:rsidR="002B3E03" w14:paraId="265D6D4D" w14:textId="77777777">
            <w:tc>
              <w:tcPr>
                <w:tcW w:w="7672" w:type="dxa"/>
              </w:tcPr>
              <w:sdt>
                <w:sdtPr>
                  <w:rPr>
                    <w:rFonts w:ascii="Arial Black" w:eastAsiaTheme="majorEastAsia" w:hAnsi="Arial Black" w:cstheme="majorBidi"/>
                    <w:color w:val="156082" w:themeColor="accent1"/>
                    <w:sz w:val="88"/>
                    <w:szCs w:val="88"/>
                  </w:rPr>
                  <w:alias w:val="Title"/>
                  <w:id w:val="13406919"/>
                  <w:placeholder>
                    <w:docPart w:val="490A8AD5FCBE4DE8B13BB19867C7FE1C"/>
                  </w:placeholder>
                  <w:dataBinding w:prefixMappings="xmlns:ns0='http://schemas.openxmlformats.org/package/2006/metadata/core-properties' xmlns:ns1='http://purl.org/dc/elements/1.1/'" w:xpath="/ns0:coreProperties[1]/ns1:title[1]" w:storeItemID="{6C3C8BC8-F283-45AE-878A-BAB7291924A1}"/>
                  <w:text/>
                </w:sdtPr>
                <w:sdtContent>
                  <w:p w14:paraId="404EB408" w14:textId="2CD2C56A" w:rsidR="002B3E03" w:rsidRPr="002B3E03" w:rsidRDefault="002B3E03" w:rsidP="002B3E03">
                    <w:pPr>
                      <w:pStyle w:val="NoSpacing"/>
                      <w:spacing w:line="216" w:lineRule="auto"/>
                      <w:rPr>
                        <w:rFonts w:ascii="Arial Black" w:eastAsiaTheme="majorEastAsia" w:hAnsi="Arial Black" w:cstheme="majorBidi"/>
                        <w:color w:val="156082" w:themeColor="accent1"/>
                        <w:sz w:val="88"/>
                        <w:szCs w:val="88"/>
                      </w:rPr>
                    </w:pPr>
                    <w:r w:rsidRPr="002B3E03">
                      <w:rPr>
                        <w:rFonts w:ascii="Arial Black" w:eastAsiaTheme="majorEastAsia" w:hAnsi="Arial Black" w:cstheme="majorBidi"/>
                        <w:color w:val="156082" w:themeColor="accent1"/>
                        <w:sz w:val="88"/>
                        <w:szCs w:val="88"/>
                      </w:rPr>
                      <w:t>Budgeting Principles and</w:t>
                    </w:r>
                    <w:r>
                      <w:rPr>
                        <w:rFonts w:ascii="Arial Black" w:eastAsiaTheme="majorEastAsia" w:hAnsi="Arial Black" w:cstheme="majorBidi"/>
                        <w:color w:val="156082" w:themeColor="accent1"/>
                        <w:sz w:val="88"/>
                        <w:szCs w:val="88"/>
                      </w:rPr>
                      <w:t xml:space="preserve"> </w:t>
                    </w:r>
                    <w:r w:rsidRPr="002B3E03">
                      <w:rPr>
                        <w:rFonts w:ascii="Arial Black" w:eastAsiaTheme="majorEastAsia" w:hAnsi="Arial Black" w:cstheme="majorBidi"/>
                        <w:color w:val="156082" w:themeColor="accent1"/>
                        <w:sz w:val="88"/>
                        <w:szCs w:val="88"/>
                      </w:rPr>
                      <w:t>Approaches</w:t>
                    </w:r>
                  </w:p>
                </w:sdtContent>
              </w:sdt>
            </w:tc>
          </w:tr>
          <w:tr w:rsidR="002B3E03" w14:paraId="7A490EDD" w14:textId="77777777">
            <w:tc>
              <w:tcPr>
                <w:tcW w:w="7672" w:type="dxa"/>
                <w:tcMar>
                  <w:top w:w="216" w:type="dxa"/>
                  <w:left w:w="115" w:type="dxa"/>
                  <w:bottom w:w="216" w:type="dxa"/>
                  <w:right w:w="115" w:type="dxa"/>
                </w:tcMar>
              </w:tcPr>
              <w:p w14:paraId="6936E701" w14:textId="46AAAB85" w:rsidR="002B3E03" w:rsidRDefault="002B3E03">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2B3E03" w14:paraId="5C9B8793" w14:textId="77777777">
            <w:tc>
              <w:tcPr>
                <w:tcW w:w="7221" w:type="dxa"/>
                <w:tcMar>
                  <w:top w:w="216" w:type="dxa"/>
                  <w:left w:w="115" w:type="dxa"/>
                  <w:bottom w:w="216" w:type="dxa"/>
                  <w:right w:w="115" w:type="dxa"/>
                </w:tcMar>
              </w:tcPr>
              <w:p w14:paraId="5FCC3E00" w14:textId="40C7E1D8" w:rsidR="002B3E03" w:rsidRPr="002B3E03" w:rsidRDefault="002B3E03">
                <w:pPr>
                  <w:pStyle w:val="NoSpacing"/>
                  <w:rPr>
                    <w:rFonts w:ascii="Arial Black" w:hAnsi="Arial Black"/>
                    <w:color w:val="156082" w:themeColor="accent1"/>
                    <w:sz w:val="36"/>
                    <w:szCs w:val="36"/>
                  </w:rPr>
                </w:pPr>
                <w:sdt>
                  <w:sdtPr>
                    <w:rPr>
                      <w:rFonts w:ascii="Arial Black" w:eastAsiaTheme="minorHAnsi" w:hAnsi="Arial Black"/>
                      <w:color w:val="156082" w:themeColor="accent1"/>
                      <w:kern w:val="2"/>
                      <w:sz w:val="36"/>
                      <w:szCs w:val="36"/>
                      <w:lang w:val="en-GB"/>
                      <w14:ligatures w14:val="standardContextual"/>
                    </w:rPr>
                    <w:alias w:val="Author"/>
                    <w:id w:val="13406928"/>
                    <w:placeholder>
                      <w:docPart w:val="6B0EECF2B2CD46FD97F8CBB6C756AE87"/>
                    </w:placeholder>
                    <w:dataBinding w:prefixMappings="xmlns:ns0='http://schemas.openxmlformats.org/package/2006/metadata/core-properties' xmlns:ns1='http://purl.org/dc/elements/1.1/'" w:xpath="/ns0:coreProperties[1]/ns1:creator[1]" w:storeItemID="{6C3C8BC8-F283-45AE-878A-BAB7291924A1}"/>
                    <w:text/>
                  </w:sdtPr>
                  <w:sdtContent>
                    <w:r w:rsidRPr="002B3E03">
                      <w:rPr>
                        <w:rFonts w:ascii="Arial Black" w:eastAsiaTheme="minorHAnsi" w:hAnsi="Arial Black"/>
                        <w:color w:val="156082" w:themeColor="accent1"/>
                        <w:kern w:val="2"/>
                        <w:sz w:val="36"/>
                        <w:szCs w:val="36"/>
                        <w:lang w:val="en-GB"/>
                        <w14:ligatures w14:val="standardContextual"/>
                      </w:rPr>
                      <w:t>Ioana Lupu (</w:t>
                    </w:r>
                  </w:sdtContent>
                </w:sdt>
                <w:r w:rsidRPr="002B3E03">
                  <w:rPr>
                    <w:rFonts w:ascii="Arial Black" w:hAnsi="Arial Black"/>
                    <w:color w:val="156082" w:themeColor="accent1"/>
                    <w:sz w:val="36"/>
                    <w:szCs w:val="36"/>
                    <w:lang w:val="en-GB"/>
                  </w:rPr>
                  <w:t>2024878)</w:t>
                </w:r>
              </w:p>
              <w:p w14:paraId="397380CF" w14:textId="234741B5" w:rsidR="002B3E03" w:rsidRPr="002B3E03" w:rsidRDefault="002B3E03">
                <w:pPr>
                  <w:pStyle w:val="NoSpacing"/>
                  <w:rPr>
                    <w:rFonts w:ascii="Arial Black" w:hAnsi="Arial Black"/>
                    <w:color w:val="156082" w:themeColor="accent1"/>
                    <w:sz w:val="32"/>
                    <w:szCs w:val="32"/>
                  </w:rPr>
                </w:pPr>
                <w:r w:rsidRPr="002B3E03">
                  <w:rPr>
                    <w:rFonts w:ascii="Arial Black" w:hAnsi="Arial Black"/>
                    <w:color w:val="156082" w:themeColor="accent1"/>
                    <w:sz w:val="32"/>
                    <w:szCs w:val="32"/>
                  </w:rPr>
                  <w:t>University of Wales Trinity Saint David</w:t>
                </w:r>
              </w:p>
              <w:p w14:paraId="1F2153E0" w14:textId="77777777" w:rsidR="002B3E03" w:rsidRDefault="002B3E03">
                <w:pPr>
                  <w:pStyle w:val="NoSpacing"/>
                  <w:rPr>
                    <w:color w:val="156082" w:themeColor="accent1"/>
                  </w:rPr>
                </w:pPr>
              </w:p>
            </w:tc>
          </w:tr>
        </w:tbl>
        <w:p w14:paraId="47C2B0D0" w14:textId="0F675900" w:rsidR="002B3E03" w:rsidRDefault="002B3E03">
          <w:pPr>
            <w:rPr>
              <w:rFonts w:ascii="Arial Black" w:hAnsi="Arial Black" w:cs="Arial"/>
              <w:sz w:val="24"/>
              <w:szCs w:val="24"/>
            </w:rPr>
          </w:pPr>
          <w:r>
            <w:rPr>
              <w:rFonts w:ascii="Arial Black" w:hAnsi="Arial Black" w:cs="Arial"/>
              <w:sz w:val="24"/>
              <w:szCs w:val="24"/>
            </w:rPr>
            <w:br w:type="page"/>
          </w:r>
        </w:p>
      </w:sdtContent>
    </w:sdt>
    <w:p w14:paraId="66C70AD6" w14:textId="7F112A99" w:rsidR="002B3E03" w:rsidRDefault="002B3E03" w:rsidP="00D91FCF">
      <w:pPr>
        <w:spacing w:line="480" w:lineRule="auto"/>
        <w:rPr>
          <w:rFonts w:ascii="Arial Black" w:hAnsi="Arial Black" w:cs="Arial"/>
          <w:sz w:val="24"/>
          <w:szCs w:val="24"/>
        </w:rPr>
      </w:pPr>
      <w:r>
        <w:rPr>
          <w:rFonts w:ascii="Arial Black" w:hAnsi="Arial Black" w:cs="Arial"/>
          <w:sz w:val="24"/>
          <w:szCs w:val="24"/>
        </w:rPr>
        <w:lastRenderedPageBreak/>
        <w:t>Table of Contents</w:t>
      </w:r>
    </w:p>
    <w:p w14:paraId="111058B8" w14:textId="650EEC0C" w:rsidR="002B3E03" w:rsidRPr="00170DC5" w:rsidRDefault="002B3E03" w:rsidP="00170DC5">
      <w:pPr>
        <w:spacing w:line="240" w:lineRule="auto"/>
        <w:rPr>
          <w:rFonts w:ascii="Arial" w:hAnsi="Arial" w:cs="Arial"/>
          <w:color w:val="156082" w:themeColor="accent1"/>
          <w:sz w:val="24"/>
          <w:szCs w:val="24"/>
        </w:rPr>
      </w:pPr>
      <w:r w:rsidRPr="00170DC5">
        <w:rPr>
          <w:rFonts w:ascii="Arial" w:hAnsi="Arial" w:cs="Arial"/>
          <w:color w:val="156082" w:themeColor="accent1"/>
          <w:sz w:val="24"/>
          <w:szCs w:val="24"/>
        </w:rPr>
        <w:t>Executive Summary………………………………………………………………</w:t>
      </w:r>
      <w:r w:rsidR="00170DC5" w:rsidRPr="00170DC5">
        <w:rPr>
          <w:rFonts w:ascii="Arial" w:hAnsi="Arial" w:cs="Arial"/>
          <w:color w:val="156082" w:themeColor="accent1"/>
          <w:sz w:val="24"/>
          <w:szCs w:val="24"/>
        </w:rPr>
        <w:t>….</w:t>
      </w:r>
      <w:r w:rsidR="00170DC5">
        <w:rPr>
          <w:rFonts w:ascii="Arial" w:hAnsi="Arial" w:cs="Arial"/>
          <w:color w:val="156082" w:themeColor="accent1"/>
          <w:sz w:val="24"/>
          <w:szCs w:val="24"/>
        </w:rPr>
        <w:t>..</w:t>
      </w:r>
      <w:r w:rsidR="00170DC5" w:rsidRPr="00170DC5">
        <w:rPr>
          <w:rFonts w:ascii="Arial" w:hAnsi="Arial" w:cs="Arial"/>
          <w:color w:val="156082" w:themeColor="accent1"/>
          <w:sz w:val="24"/>
          <w:szCs w:val="24"/>
        </w:rPr>
        <w:t>2</w:t>
      </w:r>
    </w:p>
    <w:p w14:paraId="389B38BA" w14:textId="08827994" w:rsidR="002B3E03" w:rsidRPr="00170DC5" w:rsidRDefault="002B3E03" w:rsidP="00170DC5">
      <w:pPr>
        <w:spacing w:line="240" w:lineRule="auto"/>
        <w:rPr>
          <w:rFonts w:ascii="Arial" w:hAnsi="Arial" w:cs="Arial"/>
          <w:color w:val="156082" w:themeColor="accent1"/>
          <w:sz w:val="24"/>
          <w:szCs w:val="24"/>
        </w:rPr>
      </w:pPr>
      <w:r w:rsidRPr="00170DC5">
        <w:rPr>
          <w:rFonts w:ascii="Arial" w:hAnsi="Arial" w:cs="Arial"/>
          <w:color w:val="156082" w:themeColor="accent1"/>
          <w:sz w:val="24"/>
          <w:szCs w:val="24"/>
        </w:rPr>
        <w:t>Introduction……………………………………………………………………………</w:t>
      </w:r>
      <w:r w:rsidR="00170DC5">
        <w:rPr>
          <w:rFonts w:ascii="Arial" w:hAnsi="Arial" w:cs="Arial"/>
          <w:color w:val="156082" w:themeColor="accent1"/>
          <w:sz w:val="24"/>
          <w:szCs w:val="24"/>
        </w:rPr>
        <w:t>..</w:t>
      </w:r>
      <w:r w:rsidR="00170DC5" w:rsidRPr="00170DC5">
        <w:rPr>
          <w:rFonts w:ascii="Arial" w:hAnsi="Arial" w:cs="Arial"/>
          <w:color w:val="156082" w:themeColor="accent1"/>
          <w:sz w:val="24"/>
          <w:szCs w:val="24"/>
        </w:rPr>
        <w:t>4</w:t>
      </w:r>
    </w:p>
    <w:p w14:paraId="72768CD8" w14:textId="107EE7DA" w:rsidR="002B3E03" w:rsidRPr="00170DC5" w:rsidRDefault="002B3E03" w:rsidP="00170DC5">
      <w:pPr>
        <w:spacing w:line="240" w:lineRule="auto"/>
        <w:rPr>
          <w:rFonts w:ascii="Arial" w:hAnsi="Arial" w:cs="Arial"/>
          <w:color w:val="156082" w:themeColor="accent1"/>
          <w:sz w:val="24"/>
          <w:szCs w:val="24"/>
        </w:rPr>
      </w:pPr>
      <w:r w:rsidRPr="00170DC5">
        <w:rPr>
          <w:rFonts w:ascii="Arial" w:hAnsi="Arial" w:cs="Arial"/>
          <w:color w:val="156082" w:themeColor="accent1"/>
          <w:sz w:val="24"/>
          <w:szCs w:val="24"/>
        </w:rPr>
        <w:t>Stock Budget, Cash Budget, and Budgeted Profit &amp; Loss Account</w:t>
      </w:r>
      <w:r w:rsidRPr="00170DC5">
        <w:rPr>
          <w:rFonts w:ascii="Arial" w:hAnsi="Arial" w:cs="Arial"/>
          <w:color w:val="156082" w:themeColor="accent1"/>
          <w:sz w:val="24"/>
          <w:szCs w:val="24"/>
        </w:rPr>
        <w:t>………………………………………………………………………………</w:t>
      </w:r>
      <w:r w:rsidR="00170DC5">
        <w:rPr>
          <w:rFonts w:ascii="Arial" w:hAnsi="Arial" w:cs="Arial"/>
          <w:color w:val="156082" w:themeColor="accent1"/>
          <w:sz w:val="24"/>
          <w:szCs w:val="24"/>
        </w:rPr>
        <w:t>….</w:t>
      </w:r>
      <w:r w:rsidR="00170DC5" w:rsidRPr="00170DC5">
        <w:rPr>
          <w:rFonts w:ascii="Arial" w:hAnsi="Arial" w:cs="Arial"/>
          <w:color w:val="156082" w:themeColor="accent1"/>
          <w:sz w:val="24"/>
          <w:szCs w:val="24"/>
        </w:rPr>
        <w:t>5</w:t>
      </w:r>
    </w:p>
    <w:p w14:paraId="1F419A91" w14:textId="34188682" w:rsidR="002B3E03" w:rsidRPr="00170DC5" w:rsidRDefault="002B3E03" w:rsidP="00170DC5">
      <w:pPr>
        <w:spacing w:line="240" w:lineRule="auto"/>
        <w:rPr>
          <w:rFonts w:ascii="Arial" w:hAnsi="Arial" w:cs="Arial"/>
          <w:color w:val="156082" w:themeColor="accent1"/>
          <w:sz w:val="24"/>
          <w:szCs w:val="24"/>
        </w:rPr>
      </w:pPr>
      <w:r w:rsidRPr="00170DC5">
        <w:rPr>
          <w:rFonts w:ascii="Arial" w:hAnsi="Arial" w:cs="Arial"/>
          <w:color w:val="156082" w:themeColor="accent1"/>
          <w:sz w:val="24"/>
          <w:szCs w:val="24"/>
        </w:rPr>
        <w:t>Issues Identified and Management Actions</w:t>
      </w:r>
      <w:r w:rsidRPr="00170DC5">
        <w:rPr>
          <w:rFonts w:ascii="Arial" w:hAnsi="Arial" w:cs="Arial"/>
          <w:color w:val="156082" w:themeColor="accent1"/>
          <w:sz w:val="24"/>
          <w:szCs w:val="24"/>
        </w:rPr>
        <w:t>…………………………………</w:t>
      </w:r>
      <w:r w:rsidR="00170DC5">
        <w:rPr>
          <w:rFonts w:ascii="Arial" w:hAnsi="Arial" w:cs="Arial"/>
          <w:color w:val="156082" w:themeColor="accent1"/>
          <w:sz w:val="24"/>
          <w:szCs w:val="24"/>
        </w:rPr>
        <w:t>………</w:t>
      </w:r>
      <w:r w:rsidR="00170DC5" w:rsidRPr="00170DC5">
        <w:rPr>
          <w:rFonts w:ascii="Arial" w:hAnsi="Arial" w:cs="Arial"/>
          <w:color w:val="156082" w:themeColor="accent1"/>
          <w:sz w:val="24"/>
          <w:szCs w:val="24"/>
        </w:rPr>
        <w:t>9</w:t>
      </w:r>
    </w:p>
    <w:p w14:paraId="12607FE1" w14:textId="6F915BCD" w:rsidR="00170DC5" w:rsidRPr="00170DC5" w:rsidRDefault="00170DC5" w:rsidP="00170DC5">
      <w:pPr>
        <w:spacing w:line="240" w:lineRule="auto"/>
        <w:rPr>
          <w:rFonts w:ascii="Arial" w:hAnsi="Arial" w:cs="Arial"/>
          <w:color w:val="156082" w:themeColor="accent1"/>
          <w:sz w:val="24"/>
          <w:szCs w:val="24"/>
        </w:rPr>
      </w:pPr>
      <w:r w:rsidRPr="00170DC5">
        <w:rPr>
          <w:rFonts w:ascii="Arial" w:hAnsi="Arial" w:cs="Arial"/>
          <w:color w:val="156082" w:themeColor="accent1"/>
          <w:sz w:val="24"/>
          <w:szCs w:val="24"/>
        </w:rPr>
        <w:t>Conditions for Ultimately Getting Budgets and the Behavioural Implications</w:t>
      </w:r>
      <w:r w:rsidRPr="00170DC5">
        <w:rPr>
          <w:rFonts w:ascii="Arial" w:hAnsi="Arial" w:cs="Arial"/>
          <w:color w:val="156082" w:themeColor="accent1"/>
          <w:sz w:val="24"/>
          <w:szCs w:val="24"/>
        </w:rPr>
        <w:t>……………………………………………………………………………</w:t>
      </w:r>
      <w:r>
        <w:rPr>
          <w:rFonts w:ascii="Arial" w:hAnsi="Arial" w:cs="Arial"/>
          <w:color w:val="156082" w:themeColor="accent1"/>
          <w:sz w:val="24"/>
          <w:szCs w:val="24"/>
        </w:rPr>
        <w:t>.</w:t>
      </w:r>
      <w:r w:rsidRPr="00170DC5">
        <w:rPr>
          <w:rFonts w:ascii="Arial" w:hAnsi="Arial" w:cs="Arial"/>
          <w:color w:val="156082" w:themeColor="accent1"/>
          <w:sz w:val="24"/>
          <w:szCs w:val="24"/>
        </w:rPr>
        <w:t>13</w:t>
      </w:r>
    </w:p>
    <w:p w14:paraId="53781649" w14:textId="15666612" w:rsidR="00170DC5" w:rsidRPr="00170DC5" w:rsidRDefault="00170DC5" w:rsidP="00170DC5">
      <w:pPr>
        <w:spacing w:line="240" w:lineRule="auto"/>
        <w:rPr>
          <w:rFonts w:ascii="Arial" w:hAnsi="Arial" w:cs="Arial"/>
          <w:color w:val="156082" w:themeColor="accent1"/>
          <w:sz w:val="24"/>
          <w:szCs w:val="24"/>
        </w:rPr>
      </w:pPr>
      <w:r w:rsidRPr="00170DC5">
        <w:rPr>
          <w:rFonts w:ascii="Arial" w:hAnsi="Arial" w:cs="Arial"/>
          <w:color w:val="156082" w:themeColor="accent1"/>
          <w:sz w:val="24"/>
          <w:szCs w:val="24"/>
        </w:rPr>
        <w:t>Critical Assessment of Traditional Budgeting in a Rapidly Changing Environment</w:t>
      </w:r>
      <w:r w:rsidRPr="00170DC5">
        <w:rPr>
          <w:rFonts w:ascii="Arial" w:hAnsi="Arial" w:cs="Arial"/>
          <w:color w:val="156082" w:themeColor="accent1"/>
          <w:sz w:val="24"/>
          <w:szCs w:val="24"/>
        </w:rPr>
        <w:t>……………………………………………………………………………17</w:t>
      </w:r>
    </w:p>
    <w:p w14:paraId="16C80F71" w14:textId="69BE508F" w:rsidR="00170DC5" w:rsidRPr="00170DC5" w:rsidRDefault="00170DC5" w:rsidP="00170DC5">
      <w:pPr>
        <w:spacing w:line="240" w:lineRule="auto"/>
        <w:rPr>
          <w:rFonts w:ascii="Arial" w:hAnsi="Arial" w:cs="Arial"/>
          <w:color w:val="156082" w:themeColor="accent1"/>
          <w:sz w:val="24"/>
          <w:szCs w:val="24"/>
        </w:rPr>
      </w:pPr>
      <w:r w:rsidRPr="00170DC5">
        <w:rPr>
          <w:rFonts w:ascii="Arial" w:hAnsi="Arial" w:cs="Arial"/>
          <w:color w:val="156082" w:themeColor="accent1"/>
          <w:sz w:val="24"/>
          <w:szCs w:val="24"/>
        </w:rPr>
        <w:t>Conclusion……………………………………………………………………………</w:t>
      </w:r>
      <w:r>
        <w:rPr>
          <w:rFonts w:ascii="Arial" w:hAnsi="Arial" w:cs="Arial"/>
          <w:color w:val="156082" w:themeColor="accent1"/>
          <w:sz w:val="24"/>
          <w:szCs w:val="24"/>
        </w:rPr>
        <w:t>…</w:t>
      </w:r>
      <w:r w:rsidRPr="00170DC5">
        <w:rPr>
          <w:rFonts w:ascii="Arial" w:hAnsi="Arial" w:cs="Arial"/>
          <w:color w:val="156082" w:themeColor="accent1"/>
          <w:sz w:val="24"/>
          <w:szCs w:val="24"/>
        </w:rPr>
        <w:t>20</w:t>
      </w:r>
    </w:p>
    <w:p w14:paraId="29FF7483" w14:textId="39DB0067" w:rsidR="00170DC5" w:rsidRPr="00170DC5" w:rsidRDefault="00170DC5" w:rsidP="00170DC5">
      <w:pPr>
        <w:spacing w:line="240" w:lineRule="auto"/>
        <w:rPr>
          <w:rFonts w:ascii="Arial" w:hAnsi="Arial" w:cs="Arial"/>
          <w:color w:val="156082" w:themeColor="accent1"/>
          <w:sz w:val="24"/>
          <w:szCs w:val="24"/>
        </w:rPr>
      </w:pPr>
      <w:r w:rsidRPr="00170DC5">
        <w:rPr>
          <w:rFonts w:ascii="Arial" w:hAnsi="Arial" w:cs="Arial"/>
          <w:color w:val="156082" w:themeColor="accent1"/>
          <w:sz w:val="24"/>
          <w:szCs w:val="24"/>
        </w:rPr>
        <w:t>Bibliography…………………………………………………………………………….22</w:t>
      </w:r>
    </w:p>
    <w:p w14:paraId="4BE5DE11" w14:textId="77777777" w:rsidR="00170DC5" w:rsidRDefault="00170DC5" w:rsidP="00D91FCF">
      <w:pPr>
        <w:spacing w:line="480" w:lineRule="auto"/>
        <w:rPr>
          <w:rFonts w:ascii="Arial Black" w:hAnsi="Arial Black" w:cs="Arial"/>
          <w:sz w:val="24"/>
          <w:szCs w:val="24"/>
        </w:rPr>
      </w:pPr>
    </w:p>
    <w:p w14:paraId="4035FC58" w14:textId="77777777" w:rsidR="002B3E03" w:rsidRDefault="002B3E03" w:rsidP="00D91FCF">
      <w:pPr>
        <w:spacing w:line="480" w:lineRule="auto"/>
        <w:rPr>
          <w:rFonts w:ascii="Arial Black" w:hAnsi="Arial Black" w:cs="Arial"/>
          <w:sz w:val="24"/>
          <w:szCs w:val="24"/>
        </w:rPr>
      </w:pPr>
    </w:p>
    <w:p w14:paraId="1A1B3B3C" w14:textId="77777777" w:rsidR="002B3E03" w:rsidRDefault="002B3E03" w:rsidP="00D91FCF">
      <w:pPr>
        <w:spacing w:line="480" w:lineRule="auto"/>
        <w:rPr>
          <w:rFonts w:ascii="Arial Black" w:hAnsi="Arial Black" w:cs="Arial"/>
          <w:sz w:val="24"/>
          <w:szCs w:val="24"/>
        </w:rPr>
      </w:pPr>
    </w:p>
    <w:p w14:paraId="4DACBB5F" w14:textId="77777777" w:rsidR="002B3E03" w:rsidRDefault="002B3E03" w:rsidP="00D91FCF">
      <w:pPr>
        <w:spacing w:line="480" w:lineRule="auto"/>
        <w:rPr>
          <w:rFonts w:ascii="Arial Black" w:hAnsi="Arial Black" w:cs="Arial"/>
          <w:sz w:val="24"/>
          <w:szCs w:val="24"/>
        </w:rPr>
      </w:pPr>
    </w:p>
    <w:p w14:paraId="1338F682" w14:textId="77777777" w:rsidR="00170DC5" w:rsidRDefault="00170DC5" w:rsidP="00D91FCF">
      <w:pPr>
        <w:spacing w:line="480" w:lineRule="auto"/>
        <w:rPr>
          <w:rFonts w:ascii="Arial Black" w:hAnsi="Arial Black" w:cs="Arial"/>
          <w:sz w:val="24"/>
          <w:szCs w:val="24"/>
        </w:rPr>
      </w:pPr>
    </w:p>
    <w:p w14:paraId="2BD7CD6A" w14:textId="77777777" w:rsidR="00170DC5" w:rsidRDefault="00170DC5" w:rsidP="00D91FCF">
      <w:pPr>
        <w:spacing w:line="480" w:lineRule="auto"/>
        <w:rPr>
          <w:rFonts w:ascii="Arial Black" w:hAnsi="Arial Black" w:cs="Arial"/>
          <w:sz w:val="24"/>
          <w:szCs w:val="24"/>
        </w:rPr>
      </w:pPr>
    </w:p>
    <w:p w14:paraId="6A91A51F" w14:textId="77777777" w:rsidR="00170DC5" w:rsidRDefault="00170DC5" w:rsidP="00D91FCF">
      <w:pPr>
        <w:spacing w:line="480" w:lineRule="auto"/>
        <w:rPr>
          <w:rFonts w:ascii="Arial Black" w:hAnsi="Arial Black" w:cs="Arial"/>
          <w:sz w:val="24"/>
          <w:szCs w:val="24"/>
        </w:rPr>
      </w:pPr>
    </w:p>
    <w:p w14:paraId="5BD8346C" w14:textId="77777777" w:rsidR="00170DC5" w:rsidRDefault="00170DC5" w:rsidP="00D91FCF">
      <w:pPr>
        <w:spacing w:line="480" w:lineRule="auto"/>
        <w:rPr>
          <w:rFonts w:ascii="Arial Black" w:hAnsi="Arial Black" w:cs="Arial"/>
          <w:sz w:val="24"/>
          <w:szCs w:val="24"/>
        </w:rPr>
      </w:pPr>
    </w:p>
    <w:p w14:paraId="4A6A4B55" w14:textId="77777777" w:rsidR="00170DC5" w:rsidRDefault="00170DC5" w:rsidP="00D91FCF">
      <w:pPr>
        <w:spacing w:line="480" w:lineRule="auto"/>
        <w:rPr>
          <w:rFonts w:ascii="Arial Black" w:hAnsi="Arial Black" w:cs="Arial"/>
          <w:sz w:val="24"/>
          <w:szCs w:val="24"/>
        </w:rPr>
      </w:pPr>
    </w:p>
    <w:p w14:paraId="1E09E8CF" w14:textId="77777777" w:rsidR="00170DC5" w:rsidRDefault="00170DC5" w:rsidP="00D91FCF">
      <w:pPr>
        <w:spacing w:line="480" w:lineRule="auto"/>
        <w:rPr>
          <w:rFonts w:ascii="Arial Black" w:hAnsi="Arial Black" w:cs="Arial"/>
          <w:sz w:val="24"/>
          <w:szCs w:val="24"/>
        </w:rPr>
      </w:pPr>
    </w:p>
    <w:p w14:paraId="68247CB9" w14:textId="77777777" w:rsidR="00170DC5" w:rsidRDefault="00170DC5" w:rsidP="00D91FCF">
      <w:pPr>
        <w:spacing w:line="480" w:lineRule="auto"/>
        <w:rPr>
          <w:rFonts w:ascii="Arial Black" w:hAnsi="Arial Black" w:cs="Arial"/>
          <w:sz w:val="24"/>
          <w:szCs w:val="24"/>
        </w:rPr>
      </w:pPr>
    </w:p>
    <w:p w14:paraId="55133EAC" w14:textId="09CBBD29" w:rsidR="00D91FCF" w:rsidRPr="00391087" w:rsidRDefault="00D91FCF" w:rsidP="00D91FCF">
      <w:pPr>
        <w:spacing w:line="480" w:lineRule="auto"/>
        <w:rPr>
          <w:rFonts w:ascii="Arial Black" w:hAnsi="Arial Black" w:cs="Arial"/>
          <w:sz w:val="24"/>
          <w:szCs w:val="24"/>
        </w:rPr>
      </w:pPr>
      <w:r w:rsidRPr="00391087">
        <w:rPr>
          <w:rFonts w:ascii="Arial Black" w:hAnsi="Arial Black" w:cs="Arial"/>
          <w:sz w:val="24"/>
          <w:szCs w:val="24"/>
        </w:rPr>
        <w:lastRenderedPageBreak/>
        <w:t>Executive Summary</w:t>
      </w:r>
    </w:p>
    <w:p w14:paraId="77E282E3" w14:textId="5215E99E"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The objective of this report is to assess the financial planning and budgets of Green Threads Ltd and its </w:t>
      </w:r>
      <w:r w:rsidR="006163A5">
        <w:rPr>
          <w:rFonts w:ascii="Arial" w:hAnsi="Arial" w:cs="Arial"/>
          <w:sz w:val="24"/>
          <w:szCs w:val="24"/>
        </w:rPr>
        <w:t>12</w:t>
      </w:r>
      <w:r w:rsidRPr="00D91FCF">
        <w:rPr>
          <w:rFonts w:ascii="Arial" w:hAnsi="Arial" w:cs="Arial"/>
          <w:sz w:val="24"/>
          <w:szCs w:val="24"/>
        </w:rPr>
        <w:t xml:space="preserve"> clothing stores</w:t>
      </w:r>
      <w:r w:rsidR="00CA06CB">
        <w:rPr>
          <w:rFonts w:ascii="Arial" w:hAnsi="Arial" w:cs="Arial"/>
          <w:sz w:val="24"/>
          <w:szCs w:val="24"/>
        </w:rPr>
        <w:t>,</w:t>
      </w:r>
      <w:r w:rsidRPr="00D91FCF">
        <w:rPr>
          <w:rFonts w:ascii="Arial" w:hAnsi="Arial" w:cs="Arial"/>
          <w:sz w:val="24"/>
          <w:szCs w:val="24"/>
        </w:rPr>
        <w:t xml:space="preserve"> which sell premium clothing. The company started June with a £30,000 overdraft (the bank has asked the overdraft </w:t>
      </w:r>
      <w:r w:rsidRPr="00D91FCF">
        <w:rPr>
          <w:rFonts w:ascii="Arial" w:hAnsi="Arial" w:cs="Arial"/>
          <w:sz w:val="24"/>
          <w:szCs w:val="24"/>
        </w:rPr>
        <w:t>to be</w:t>
      </w:r>
      <w:r w:rsidRPr="00D91FCF">
        <w:rPr>
          <w:rFonts w:ascii="Arial" w:hAnsi="Arial" w:cs="Arial"/>
          <w:sz w:val="24"/>
          <w:szCs w:val="24"/>
        </w:rPr>
        <w:t xml:space="preserve"> cleared by the end of November). To investigate the future performance, concerns</w:t>
      </w:r>
      <w:r w:rsidR="006163A5">
        <w:rPr>
          <w:rFonts w:ascii="Arial" w:hAnsi="Arial" w:cs="Arial"/>
          <w:sz w:val="24"/>
          <w:szCs w:val="24"/>
        </w:rPr>
        <w:t>,</w:t>
      </w:r>
      <w:r w:rsidRPr="00D91FCF">
        <w:rPr>
          <w:rFonts w:ascii="Arial" w:hAnsi="Arial" w:cs="Arial"/>
          <w:sz w:val="24"/>
          <w:szCs w:val="24"/>
        </w:rPr>
        <w:t xml:space="preserve"> and the ability of the company to meet its obligations, the report used the stock, cash</w:t>
      </w:r>
      <w:r w:rsidR="006163A5">
        <w:rPr>
          <w:rFonts w:ascii="Arial" w:hAnsi="Arial" w:cs="Arial"/>
          <w:sz w:val="24"/>
          <w:szCs w:val="24"/>
        </w:rPr>
        <w:t>,</w:t>
      </w:r>
      <w:r w:rsidRPr="00D91FCF">
        <w:rPr>
          <w:rFonts w:ascii="Arial" w:hAnsi="Arial" w:cs="Arial"/>
          <w:sz w:val="24"/>
          <w:szCs w:val="24"/>
        </w:rPr>
        <w:t xml:space="preserve"> and profit and loss budgets. </w:t>
      </w:r>
    </w:p>
    <w:p w14:paraId="500F2792" w14:textId="3D156AE3"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The stock budget confirmed that the company could keep to its minimum stock policy while meeting sales targets, even though cash tied up in stock must be managed very tightly. The cash budget highlighted a serious concern. In June</w:t>
      </w:r>
      <w:r w:rsidR="00CA06CB">
        <w:rPr>
          <w:rFonts w:ascii="Arial" w:hAnsi="Arial" w:cs="Arial"/>
          <w:sz w:val="24"/>
          <w:szCs w:val="24"/>
        </w:rPr>
        <w:t>,</w:t>
      </w:r>
      <w:r w:rsidRPr="00D91FCF">
        <w:rPr>
          <w:rFonts w:ascii="Arial" w:hAnsi="Arial" w:cs="Arial"/>
          <w:sz w:val="24"/>
          <w:szCs w:val="24"/>
        </w:rPr>
        <w:t xml:space="preserve"> the overdraft </w:t>
      </w:r>
      <w:r w:rsidR="00CA06CB">
        <w:rPr>
          <w:rFonts w:ascii="Arial" w:hAnsi="Arial" w:cs="Arial"/>
          <w:sz w:val="24"/>
          <w:szCs w:val="24"/>
        </w:rPr>
        <w:t>worsened</w:t>
      </w:r>
      <w:r w:rsidRPr="00D91FCF">
        <w:rPr>
          <w:rFonts w:ascii="Arial" w:hAnsi="Arial" w:cs="Arial"/>
          <w:sz w:val="24"/>
          <w:szCs w:val="24"/>
        </w:rPr>
        <w:t xml:space="preserve"> before recovering strongly</w:t>
      </w:r>
      <w:r w:rsidR="00CA06CB">
        <w:rPr>
          <w:rFonts w:ascii="Arial" w:hAnsi="Arial" w:cs="Arial"/>
          <w:sz w:val="24"/>
          <w:szCs w:val="24"/>
        </w:rPr>
        <w:t>,</w:t>
      </w:r>
      <w:r w:rsidRPr="00D91FCF">
        <w:rPr>
          <w:rFonts w:ascii="Arial" w:hAnsi="Arial" w:cs="Arial"/>
          <w:sz w:val="24"/>
          <w:szCs w:val="24"/>
        </w:rPr>
        <w:t xml:space="preserve"> with the expectation that a balance of £247,000 will be reached by November. The profit and loss account confirmed the company had £250,000 after tax profits, which was important to show the profitability of the business overall. </w:t>
      </w:r>
    </w:p>
    <w:p w14:paraId="6783B7B6" w14:textId="77777777" w:rsidR="006163A5" w:rsidRDefault="00D91FCF" w:rsidP="00D91FCF">
      <w:pPr>
        <w:spacing w:line="480" w:lineRule="auto"/>
        <w:rPr>
          <w:rFonts w:ascii="Arial" w:hAnsi="Arial" w:cs="Arial"/>
          <w:sz w:val="24"/>
          <w:szCs w:val="24"/>
        </w:rPr>
      </w:pPr>
      <w:r w:rsidRPr="00D91FCF">
        <w:rPr>
          <w:rFonts w:ascii="Arial" w:hAnsi="Arial" w:cs="Arial"/>
          <w:sz w:val="24"/>
          <w:szCs w:val="24"/>
        </w:rPr>
        <w:t xml:space="preserve">The Environment is also not without </w:t>
      </w:r>
      <w:r w:rsidR="006163A5" w:rsidRPr="00D91FCF">
        <w:rPr>
          <w:rFonts w:ascii="Arial" w:hAnsi="Arial" w:cs="Arial"/>
          <w:sz w:val="24"/>
          <w:szCs w:val="24"/>
        </w:rPr>
        <w:t>risk,</w:t>
      </w:r>
      <w:r w:rsidRPr="00D91FCF">
        <w:rPr>
          <w:rFonts w:ascii="Arial" w:hAnsi="Arial" w:cs="Arial"/>
          <w:sz w:val="24"/>
          <w:szCs w:val="24"/>
        </w:rPr>
        <w:t xml:space="preserve"> </w:t>
      </w:r>
      <w:r w:rsidR="006163A5">
        <w:rPr>
          <w:rFonts w:ascii="Arial" w:hAnsi="Arial" w:cs="Arial"/>
          <w:sz w:val="24"/>
          <w:szCs w:val="24"/>
        </w:rPr>
        <w:t>short-term</w:t>
      </w:r>
      <w:r w:rsidRPr="00D91FCF">
        <w:rPr>
          <w:rFonts w:ascii="Arial" w:hAnsi="Arial" w:cs="Arial"/>
          <w:sz w:val="24"/>
          <w:szCs w:val="24"/>
        </w:rPr>
        <w:t xml:space="preserve"> liquidity pressures, </w:t>
      </w:r>
      <w:r w:rsidR="006163A5">
        <w:rPr>
          <w:rFonts w:ascii="Arial" w:hAnsi="Arial" w:cs="Arial"/>
          <w:sz w:val="24"/>
          <w:szCs w:val="24"/>
        </w:rPr>
        <w:t>common</w:t>
      </w:r>
      <w:r w:rsidRPr="00D91FCF">
        <w:rPr>
          <w:rFonts w:ascii="Arial" w:hAnsi="Arial" w:cs="Arial"/>
          <w:sz w:val="24"/>
          <w:szCs w:val="24"/>
        </w:rPr>
        <w:t xml:space="preserve"> high fixed overheads, credit card fees, refurbishment </w:t>
      </w:r>
      <w:r w:rsidR="006163A5">
        <w:rPr>
          <w:rFonts w:ascii="Arial" w:hAnsi="Arial" w:cs="Arial"/>
          <w:sz w:val="24"/>
          <w:szCs w:val="24"/>
        </w:rPr>
        <w:t>costs</w:t>
      </w:r>
      <w:r w:rsidRPr="00D91FCF">
        <w:rPr>
          <w:rFonts w:ascii="Arial" w:hAnsi="Arial" w:cs="Arial"/>
          <w:sz w:val="24"/>
          <w:szCs w:val="24"/>
        </w:rPr>
        <w:t xml:space="preserve">, and the fixed loan and tax expenditure. Action </w:t>
      </w:r>
      <w:r w:rsidR="006163A5" w:rsidRPr="00D91FCF">
        <w:rPr>
          <w:rFonts w:ascii="Arial" w:hAnsi="Arial" w:cs="Arial"/>
          <w:sz w:val="24"/>
          <w:szCs w:val="24"/>
        </w:rPr>
        <w:t>was</w:t>
      </w:r>
      <w:r w:rsidRPr="00D91FCF">
        <w:rPr>
          <w:rFonts w:ascii="Arial" w:hAnsi="Arial" w:cs="Arial"/>
          <w:sz w:val="24"/>
          <w:szCs w:val="24"/>
        </w:rPr>
        <w:t xml:space="preserve"> recommended to overcome and mitigate these risks</w:t>
      </w:r>
      <w:r w:rsidR="006163A5">
        <w:rPr>
          <w:rFonts w:ascii="Arial" w:hAnsi="Arial" w:cs="Arial"/>
          <w:sz w:val="24"/>
          <w:szCs w:val="24"/>
        </w:rPr>
        <w:t>:</w:t>
      </w:r>
      <w:r w:rsidRPr="00D91FCF">
        <w:rPr>
          <w:rFonts w:ascii="Arial" w:hAnsi="Arial" w:cs="Arial"/>
          <w:sz w:val="24"/>
          <w:szCs w:val="24"/>
        </w:rPr>
        <w:t xml:space="preserve"> defer expenditure, obtain financing on better terms and manage working capital better.</w:t>
      </w:r>
    </w:p>
    <w:p w14:paraId="184232C4" w14:textId="06B3A0F5"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The report also looked at organisational and people conditions for budgets to be successful</w:t>
      </w:r>
      <w:r w:rsidR="00CA06CB">
        <w:rPr>
          <w:rFonts w:ascii="Arial" w:hAnsi="Arial" w:cs="Arial"/>
          <w:sz w:val="24"/>
          <w:szCs w:val="24"/>
        </w:rPr>
        <w:t>:</w:t>
      </w:r>
      <w:r w:rsidRPr="00D91FCF">
        <w:rPr>
          <w:rFonts w:ascii="Arial" w:hAnsi="Arial" w:cs="Arial"/>
          <w:sz w:val="24"/>
          <w:szCs w:val="24"/>
        </w:rPr>
        <w:t xml:space="preserve"> participation, accountability and communication. Finally, the report's critique of traditional budgeting illustrated how it tends to be too rigid in a rapidly changing environment, although it gives control and discipline</w:t>
      </w:r>
      <w:r w:rsidR="006163A5">
        <w:rPr>
          <w:rFonts w:ascii="Arial" w:hAnsi="Arial" w:cs="Arial"/>
          <w:sz w:val="24"/>
          <w:szCs w:val="24"/>
        </w:rPr>
        <w:t xml:space="preserve">. </w:t>
      </w:r>
      <w:r w:rsidRPr="00D91FCF">
        <w:rPr>
          <w:rFonts w:ascii="Arial" w:hAnsi="Arial" w:cs="Arial"/>
          <w:sz w:val="24"/>
          <w:szCs w:val="24"/>
        </w:rPr>
        <w:t xml:space="preserve">Accordingly, a mixed </w:t>
      </w:r>
      <w:r w:rsidRPr="00D91FCF">
        <w:rPr>
          <w:rFonts w:ascii="Arial" w:hAnsi="Arial" w:cs="Arial"/>
          <w:sz w:val="24"/>
          <w:szCs w:val="24"/>
        </w:rPr>
        <w:lastRenderedPageBreak/>
        <w:t xml:space="preserve">funding model of traditional budgets, rolling forecasts and KPI constraints </w:t>
      </w:r>
      <w:r w:rsidR="00CA06CB">
        <w:rPr>
          <w:rFonts w:ascii="Arial" w:hAnsi="Arial" w:cs="Arial"/>
          <w:sz w:val="24"/>
          <w:szCs w:val="24"/>
        </w:rPr>
        <w:t>was</w:t>
      </w:r>
      <w:r w:rsidRPr="00D91FCF">
        <w:rPr>
          <w:rFonts w:ascii="Arial" w:hAnsi="Arial" w:cs="Arial"/>
          <w:sz w:val="24"/>
          <w:szCs w:val="24"/>
        </w:rPr>
        <w:t xml:space="preserve"> recommended for Green Threads </w:t>
      </w:r>
      <w:r w:rsidR="00CA06CB">
        <w:rPr>
          <w:rFonts w:ascii="Arial" w:hAnsi="Arial" w:cs="Arial"/>
          <w:sz w:val="24"/>
          <w:szCs w:val="24"/>
        </w:rPr>
        <w:t>Ltd.’s</w:t>
      </w:r>
      <w:r w:rsidRPr="00D91FCF">
        <w:rPr>
          <w:rFonts w:ascii="Arial" w:hAnsi="Arial" w:cs="Arial"/>
          <w:sz w:val="24"/>
          <w:szCs w:val="24"/>
        </w:rPr>
        <w:t xml:space="preserve"> consideration.</w:t>
      </w:r>
    </w:p>
    <w:p w14:paraId="3EA25734" w14:textId="77777777" w:rsidR="00D91FCF" w:rsidRPr="00D91FCF" w:rsidRDefault="00D91FCF" w:rsidP="00D91FCF">
      <w:pPr>
        <w:spacing w:line="480" w:lineRule="auto"/>
        <w:rPr>
          <w:rFonts w:ascii="Arial" w:hAnsi="Arial" w:cs="Arial"/>
          <w:sz w:val="24"/>
          <w:szCs w:val="24"/>
        </w:rPr>
      </w:pPr>
    </w:p>
    <w:p w14:paraId="74F84319" w14:textId="77777777" w:rsidR="00D91FCF" w:rsidRPr="00D91FCF" w:rsidRDefault="00D91FCF" w:rsidP="00D91FCF">
      <w:pPr>
        <w:spacing w:line="480" w:lineRule="auto"/>
        <w:rPr>
          <w:rFonts w:ascii="Arial" w:hAnsi="Arial" w:cs="Arial"/>
          <w:sz w:val="24"/>
          <w:szCs w:val="24"/>
        </w:rPr>
      </w:pPr>
    </w:p>
    <w:p w14:paraId="78FDFF11" w14:textId="77777777" w:rsidR="006163A5" w:rsidRDefault="006163A5" w:rsidP="00D91FCF">
      <w:pPr>
        <w:spacing w:line="480" w:lineRule="auto"/>
        <w:rPr>
          <w:rFonts w:ascii="Arial" w:hAnsi="Arial" w:cs="Arial"/>
          <w:sz w:val="24"/>
          <w:szCs w:val="24"/>
        </w:rPr>
      </w:pPr>
    </w:p>
    <w:p w14:paraId="0447CD44" w14:textId="77777777" w:rsidR="006163A5" w:rsidRDefault="006163A5" w:rsidP="00D91FCF">
      <w:pPr>
        <w:spacing w:line="480" w:lineRule="auto"/>
        <w:rPr>
          <w:rFonts w:ascii="Arial" w:hAnsi="Arial" w:cs="Arial"/>
          <w:sz w:val="24"/>
          <w:szCs w:val="24"/>
        </w:rPr>
      </w:pPr>
    </w:p>
    <w:p w14:paraId="2C8D8183" w14:textId="77777777" w:rsidR="006163A5" w:rsidRDefault="006163A5" w:rsidP="00D91FCF">
      <w:pPr>
        <w:spacing w:line="480" w:lineRule="auto"/>
        <w:rPr>
          <w:rFonts w:ascii="Arial" w:hAnsi="Arial" w:cs="Arial"/>
          <w:sz w:val="24"/>
          <w:szCs w:val="24"/>
        </w:rPr>
      </w:pPr>
    </w:p>
    <w:p w14:paraId="75C35C56" w14:textId="77777777" w:rsidR="006163A5" w:rsidRDefault="006163A5" w:rsidP="00D91FCF">
      <w:pPr>
        <w:spacing w:line="480" w:lineRule="auto"/>
        <w:rPr>
          <w:rFonts w:ascii="Arial" w:hAnsi="Arial" w:cs="Arial"/>
          <w:sz w:val="24"/>
          <w:szCs w:val="24"/>
        </w:rPr>
      </w:pPr>
    </w:p>
    <w:p w14:paraId="1D3C6021" w14:textId="77777777" w:rsidR="006163A5" w:rsidRDefault="006163A5" w:rsidP="00D91FCF">
      <w:pPr>
        <w:spacing w:line="480" w:lineRule="auto"/>
        <w:rPr>
          <w:rFonts w:ascii="Arial" w:hAnsi="Arial" w:cs="Arial"/>
          <w:sz w:val="24"/>
          <w:szCs w:val="24"/>
        </w:rPr>
      </w:pPr>
    </w:p>
    <w:p w14:paraId="3B0CE133" w14:textId="77777777" w:rsidR="006163A5" w:rsidRDefault="006163A5" w:rsidP="00D91FCF">
      <w:pPr>
        <w:spacing w:line="480" w:lineRule="auto"/>
        <w:rPr>
          <w:rFonts w:ascii="Arial" w:hAnsi="Arial" w:cs="Arial"/>
          <w:sz w:val="24"/>
          <w:szCs w:val="24"/>
        </w:rPr>
      </w:pPr>
    </w:p>
    <w:p w14:paraId="37E254B2" w14:textId="77777777" w:rsidR="006163A5" w:rsidRDefault="006163A5" w:rsidP="00D91FCF">
      <w:pPr>
        <w:spacing w:line="480" w:lineRule="auto"/>
        <w:rPr>
          <w:rFonts w:ascii="Arial" w:hAnsi="Arial" w:cs="Arial"/>
          <w:sz w:val="24"/>
          <w:szCs w:val="24"/>
        </w:rPr>
      </w:pPr>
    </w:p>
    <w:p w14:paraId="79F85577" w14:textId="77777777" w:rsidR="006163A5" w:rsidRDefault="006163A5" w:rsidP="00D91FCF">
      <w:pPr>
        <w:spacing w:line="480" w:lineRule="auto"/>
        <w:rPr>
          <w:rFonts w:ascii="Arial" w:hAnsi="Arial" w:cs="Arial"/>
          <w:sz w:val="24"/>
          <w:szCs w:val="24"/>
        </w:rPr>
      </w:pPr>
    </w:p>
    <w:p w14:paraId="0D1DEF76" w14:textId="77777777" w:rsidR="006163A5" w:rsidRDefault="006163A5" w:rsidP="00D91FCF">
      <w:pPr>
        <w:spacing w:line="480" w:lineRule="auto"/>
        <w:rPr>
          <w:rFonts w:ascii="Arial" w:hAnsi="Arial" w:cs="Arial"/>
          <w:sz w:val="24"/>
          <w:szCs w:val="24"/>
        </w:rPr>
      </w:pPr>
    </w:p>
    <w:p w14:paraId="2E7264D7" w14:textId="77777777" w:rsidR="006163A5" w:rsidRDefault="006163A5" w:rsidP="00D91FCF">
      <w:pPr>
        <w:spacing w:line="480" w:lineRule="auto"/>
        <w:rPr>
          <w:rFonts w:ascii="Arial" w:hAnsi="Arial" w:cs="Arial"/>
          <w:sz w:val="24"/>
          <w:szCs w:val="24"/>
        </w:rPr>
      </w:pPr>
    </w:p>
    <w:p w14:paraId="31A9B2E0" w14:textId="77777777" w:rsidR="006163A5" w:rsidRDefault="006163A5" w:rsidP="00D91FCF">
      <w:pPr>
        <w:spacing w:line="480" w:lineRule="auto"/>
        <w:rPr>
          <w:rFonts w:ascii="Arial" w:hAnsi="Arial" w:cs="Arial"/>
          <w:sz w:val="24"/>
          <w:szCs w:val="24"/>
        </w:rPr>
      </w:pPr>
    </w:p>
    <w:p w14:paraId="6EDA65EF" w14:textId="77777777" w:rsidR="006163A5" w:rsidRDefault="006163A5" w:rsidP="00D91FCF">
      <w:pPr>
        <w:spacing w:line="480" w:lineRule="auto"/>
        <w:rPr>
          <w:rFonts w:ascii="Arial" w:hAnsi="Arial" w:cs="Arial"/>
          <w:sz w:val="24"/>
          <w:szCs w:val="24"/>
        </w:rPr>
      </w:pPr>
    </w:p>
    <w:p w14:paraId="57848A35" w14:textId="77777777" w:rsidR="006163A5" w:rsidRDefault="006163A5" w:rsidP="00D91FCF">
      <w:pPr>
        <w:spacing w:line="480" w:lineRule="auto"/>
        <w:rPr>
          <w:rFonts w:ascii="Arial" w:hAnsi="Arial" w:cs="Arial"/>
          <w:sz w:val="24"/>
          <w:szCs w:val="24"/>
        </w:rPr>
      </w:pPr>
    </w:p>
    <w:p w14:paraId="1258B95D" w14:textId="77777777" w:rsidR="006163A5" w:rsidRDefault="006163A5" w:rsidP="00D91FCF">
      <w:pPr>
        <w:spacing w:line="480" w:lineRule="auto"/>
        <w:rPr>
          <w:rFonts w:ascii="Arial" w:hAnsi="Arial" w:cs="Arial"/>
          <w:sz w:val="24"/>
          <w:szCs w:val="24"/>
        </w:rPr>
      </w:pPr>
    </w:p>
    <w:p w14:paraId="57A46EF8" w14:textId="77777777" w:rsidR="006163A5" w:rsidRDefault="006163A5" w:rsidP="00D91FCF">
      <w:pPr>
        <w:spacing w:line="480" w:lineRule="auto"/>
        <w:rPr>
          <w:rFonts w:ascii="Arial" w:hAnsi="Arial" w:cs="Arial"/>
          <w:sz w:val="24"/>
          <w:szCs w:val="24"/>
        </w:rPr>
      </w:pPr>
    </w:p>
    <w:p w14:paraId="16AF32D0" w14:textId="77777777" w:rsidR="006163A5" w:rsidRDefault="006163A5" w:rsidP="00D91FCF">
      <w:pPr>
        <w:spacing w:line="480" w:lineRule="auto"/>
        <w:rPr>
          <w:rFonts w:ascii="Arial" w:hAnsi="Arial" w:cs="Arial"/>
          <w:sz w:val="24"/>
          <w:szCs w:val="24"/>
        </w:rPr>
      </w:pPr>
    </w:p>
    <w:p w14:paraId="733314C8" w14:textId="550AB42E" w:rsidR="00D91FCF" w:rsidRPr="00CA06CB" w:rsidRDefault="00D91FCF" w:rsidP="00D91FCF">
      <w:pPr>
        <w:spacing w:line="480" w:lineRule="auto"/>
        <w:rPr>
          <w:rFonts w:ascii="Arial Black" w:hAnsi="Arial Black" w:cs="Arial"/>
          <w:sz w:val="24"/>
          <w:szCs w:val="24"/>
        </w:rPr>
      </w:pPr>
      <w:r w:rsidRPr="00CA06CB">
        <w:rPr>
          <w:rFonts w:ascii="Arial Black" w:hAnsi="Arial Black" w:cs="Arial"/>
          <w:sz w:val="24"/>
          <w:szCs w:val="24"/>
        </w:rPr>
        <w:lastRenderedPageBreak/>
        <w:t>Introduction</w:t>
      </w:r>
    </w:p>
    <w:p w14:paraId="1358BB37" w14:textId="067B96D9" w:rsidR="006163A5" w:rsidRDefault="00D91FCF" w:rsidP="00D91FCF">
      <w:pPr>
        <w:spacing w:line="480" w:lineRule="auto"/>
        <w:rPr>
          <w:rFonts w:ascii="Arial" w:hAnsi="Arial" w:cs="Arial"/>
          <w:sz w:val="24"/>
          <w:szCs w:val="24"/>
        </w:rPr>
      </w:pPr>
      <w:r w:rsidRPr="00D91FCF">
        <w:rPr>
          <w:rFonts w:ascii="Arial" w:hAnsi="Arial" w:cs="Arial"/>
          <w:sz w:val="24"/>
          <w:szCs w:val="24"/>
        </w:rPr>
        <w:t>In management accounting</w:t>
      </w:r>
      <w:r w:rsidR="00CA06CB">
        <w:rPr>
          <w:rFonts w:ascii="Arial" w:hAnsi="Arial" w:cs="Arial"/>
          <w:sz w:val="24"/>
          <w:szCs w:val="24"/>
        </w:rPr>
        <w:t>,</w:t>
      </w:r>
      <w:r w:rsidRPr="00D91FCF">
        <w:rPr>
          <w:rFonts w:ascii="Arial" w:hAnsi="Arial" w:cs="Arial"/>
          <w:sz w:val="24"/>
          <w:szCs w:val="24"/>
        </w:rPr>
        <w:t xml:space="preserve"> budgeting is very important, </w:t>
      </w:r>
      <w:r w:rsidR="006163A5">
        <w:rPr>
          <w:rFonts w:ascii="Arial" w:hAnsi="Arial" w:cs="Arial"/>
          <w:sz w:val="24"/>
          <w:szCs w:val="24"/>
        </w:rPr>
        <w:t xml:space="preserve">as </w:t>
      </w:r>
      <w:r w:rsidRPr="00D91FCF">
        <w:rPr>
          <w:rFonts w:ascii="Arial" w:hAnsi="Arial" w:cs="Arial"/>
          <w:sz w:val="24"/>
          <w:szCs w:val="24"/>
        </w:rPr>
        <w:t xml:space="preserve">it </w:t>
      </w:r>
      <w:r w:rsidR="006163A5">
        <w:rPr>
          <w:rFonts w:ascii="Arial" w:hAnsi="Arial" w:cs="Arial"/>
          <w:sz w:val="24"/>
          <w:szCs w:val="24"/>
        </w:rPr>
        <w:t>organises</w:t>
      </w:r>
      <w:r w:rsidRPr="00D91FCF">
        <w:rPr>
          <w:rFonts w:ascii="Arial" w:hAnsi="Arial" w:cs="Arial"/>
          <w:sz w:val="24"/>
          <w:szCs w:val="24"/>
        </w:rPr>
        <w:t xml:space="preserve"> the organi</w:t>
      </w:r>
      <w:r w:rsidR="006163A5">
        <w:rPr>
          <w:rFonts w:ascii="Arial" w:hAnsi="Arial" w:cs="Arial"/>
          <w:sz w:val="24"/>
          <w:szCs w:val="24"/>
        </w:rPr>
        <w:t>s</w:t>
      </w:r>
      <w:r w:rsidRPr="00D91FCF">
        <w:rPr>
          <w:rFonts w:ascii="Arial" w:hAnsi="Arial" w:cs="Arial"/>
          <w:sz w:val="24"/>
          <w:szCs w:val="24"/>
        </w:rPr>
        <w:t xml:space="preserve">ation’s financial and operational framework for long and </w:t>
      </w:r>
      <w:r w:rsidR="006163A5">
        <w:rPr>
          <w:rFonts w:ascii="Arial" w:hAnsi="Arial" w:cs="Arial"/>
          <w:sz w:val="24"/>
          <w:szCs w:val="24"/>
        </w:rPr>
        <w:t>short-range</w:t>
      </w:r>
      <w:r w:rsidRPr="00D91FCF">
        <w:rPr>
          <w:rFonts w:ascii="Arial" w:hAnsi="Arial" w:cs="Arial"/>
          <w:sz w:val="24"/>
          <w:szCs w:val="24"/>
        </w:rPr>
        <w:t xml:space="preserve"> planning, budgeting, and management. Budgeting is not numerical</w:t>
      </w:r>
      <w:r w:rsidR="00CA06CB">
        <w:rPr>
          <w:rFonts w:ascii="Arial" w:hAnsi="Arial" w:cs="Arial"/>
          <w:sz w:val="24"/>
          <w:szCs w:val="24"/>
        </w:rPr>
        <w:t>;</w:t>
      </w:r>
      <w:r w:rsidRPr="00D91FCF">
        <w:rPr>
          <w:rFonts w:ascii="Arial" w:hAnsi="Arial" w:cs="Arial"/>
          <w:sz w:val="24"/>
          <w:szCs w:val="24"/>
        </w:rPr>
        <w:t xml:space="preserve"> it is </w:t>
      </w:r>
      <w:r w:rsidR="00CA06CB">
        <w:rPr>
          <w:rFonts w:ascii="Arial" w:hAnsi="Arial" w:cs="Arial"/>
          <w:sz w:val="24"/>
          <w:szCs w:val="24"/>
        </w:rPr>
        <w:t xml:space="preserve">a </w:t>
      </w:r>
      <w:r w:rsidRPr="00D91FCF">
        <w:rPr>
          <w:rFonts w:ascii="Arial" w:hAnsi="Arial" w:cs="Arial"/>
          <w:sz w:val="24"/>
          <w:szCs w:val="24"/>
        </w:rPr>
        <w:t xml:space="preserve">management process that helps shape strategic direction, operational effectiveness and financial sustainability (Drury 2021). Because of the operational risk facing Green Threads Ltd. as it runs an overdraft accounting at the beginning of June with a minimum of £30,000, in preparing its budget it need to make its best effort in developing a straight forward process </w:t>
      </w:r>
      <w:r w:rsidR="006163A5" w:rsidRPr="00D91FCF">
        <w:rPr>
          <w:rFonts w:ascii="Arial" w:hAnsi="Arial" w:cs="Arial"/>
          <w:sz w:val="24"/>
          <w:szCs w:val="24"/>
        </w:rPr>
        <w:t>establish</w:t>
      </w:r>
      <w:r w:rsidRPr="00D91FCF">
        <w:rPr>
          <w:rFonts w:ascii="Arial" w:hAnsi="Arial" w:cs="Arial"/>
          <w:sz w:val="24"/>
          <w:szCs w:val="24"/>
        </w:rPr>
        <w:t xml:space="preserve"> a detailed budget from June through to the end of November to address the bank’s requirement that it eliminate the overdraft account by the end of the November accounting period. </w:t>
      </w:r>
    </w:p>
    <w:p w14:paraId="1898DFD9" w14:textId="14D75F56"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The fashion retail industry is a </w:t>
      </w:r>
      <w:r w:rsidR="006163A5">
        <w:rPr>
          <w:rFonts w:ascii="Arial" w:hAnsi="Arial" w:cs="Arial"/>
          <w:sz w:val="24"/>
          <w:szCs w:val="24"/>
        </w:rPr>
        <w:t>high-risk</w:t>
      </w:r>
      <w:r w:rsidRPr="00D91FCF">
        <w:rPr>
          <w:rFonts w:ascii="Arial" w:hAnsi="Arial" w:cs="Arial"/>
          <w:sz w:val="24"/>
          <w:szCs w:val="24"/>
        </w:rPr>
        <w:t xml:space="preserve"> business, characteri</w:t>
      </w:r>
      <w:r w:rsidR="006163A5">
        <w:rPr>
          <w:rFonts w:ascii="Arial" w:hAnsi="Arial" w:cs="Arial"/>
          <w:sz w:val="24"/>
          <w:szCs w:val="24"/>
        </w:rPr>
        <w:t>s</w:t>
      </w:r>
      <w:r w:rsidRPr="00D91FCF">
        <w:rPr>
          <w:rFonts w:ascii="Arial" w:hAnsi="Arial" w:cs="Arial"/>
          <w:sz w:val="24"/>
          <w:szCs w:val="24"/>
        </w:rPr>
        <w:t xml:space="preserve">ed by high volatility and rapid changes in consumer </w:t>
      </w:r>
      <w:r w:rsidR="006163A5">
        <w:rPr>
          <w:rFonts w:ascii="Arial" w:hAnsi="Arial" w:cs="Arial"/>
          <w:sz w:val="24"/>
          <w:szCs w:val="24"/>
        </w:rPr>
        <w:t xml:space="preserve">demand </w:t>
      </w:r>
      <w:r w:rsidRPr="00D91FCF">
        <w:rPr>
          <w:rFonts w:ascii="Arial" w:hAnsi="Arial" w:cs="Arial"/>
          <w:sz w:val="24"/>
          <w:szCs w:val="24"/>
        </w:rPr>
        <w:t>with seasons, as well as high competition</w:t>
      </w:r>
      <w:r w:rsidR="006163A5">
        <w:rPr>
          <w:rFonts w:ascii="Arial" w:hAnsi="Arial" w:cs="Arial"/>
          <w:sz w:val="24"/>
          <w:szCs w:val="24"/>
        </w:rPr>
        <w:t xml:space="preserve"> (</w:t>
      </w:r>
      <w:r w:rsidRPr="00D91FCF">
        <w:rPr>
          <w:rFonts w:ascii="Arial" w:hAnsi="Arial" w:cs="Arial"/>
          <w:sz w:val="24"/>
          <w:szCs w:val="24"/>
        </w:rPr>
        <w:t>Seal, Garrison, and Noreen</w:t>
      </w:r>
      <w:r w:rsidR="006163A5">
        <w:rPr>
          <w:rFonts w:ascii="Arial" w:hAnsi="Arial" w:cs="Arial"/>
          <w:sz w:val="24"/>
          <w:szCs w:val="24"/>
        </w:rPr>
        <w:t xml:space="preserve">, </w:t>
      </w:r>
      <w:r w:rsidRPr="00D91FCF">
        <w:rPr>
          <w:rFonts w:ascii="Arial" w:hAnsi="Arial" w:cs="Arial"/>
          <w:sz w:val="24"/>
          <w:szCs w:val="24"/>
        </w:rPr>
        <w:t>2018)</w:t>
      </w:r>
      <w:r w:rsidR="006163A5">
        <w:rPr>
          <w:rFonts w:ascii="Arial" w:hAnsi="Arial" w:cs="Arial"/>
          <w:sz w:val="24"/>
          <w:szCs w:val="24"/>
        </w:rPr>
        <w:t>.</w:t>
      </w:r>
      <w:r w:rsidRPr="00D91FCF">
        <w:rPr>
          <w:rFonts w:ascii="Arial" w:hAnsi="Arial" w:cs="Arial"/>
          <w:sz w:val="24"/>
          <w:szCs w:val="24"/>
        </w:rPr>
        <w:t xml:space="preserve"> For Green Threads Ltd.</w:t>
      </w:r>
      <w:r w:rsidR="006163A5">
        <w:rPr>
          <w:rFonts w:ascii="Arial" w:hAnsi="Arial" w:cs="Arial"/>
          <w:sz w:val="24"/>
          <w:szCs w:val="24"/>
        </w:rPr>
        <w:t>,</w:t>
      </w:r>
      <w:r w:rsidRPr="00D91FCF">
        <w:rPr>
          <w:rFonts w:ascii="Arial" w:hAnsi="Arial" w:cs="Arial"/>
          <w:sz w:val="24"/>
          <w:szCs w:val="24"/>
        </w:rPr>
        <w:t xml:space="preserve"> planning and budget considerations include not only a profit budget</w:t>
      </w:r>
      <w:r w:rsidR="006163A5">
        <w:rPr>
          <w:rFonts w:ascii="Arial" w:hAnsi="Arial" w:cs="Arial"/>
          <w:sz w:val="24"/>
          <w:szCs w:val="24"/>
        </w:rPr>
        <w:t xml:space="preserve"> and</w:t>
      </w:r>
      <w:r w:rsidRPr="00D91FCF">
        <w:rPr>
          <w:rFonts w:ascii="Arial" w:hAnsi="Arial" w:cs="Arial"/>
          <w:sz w:val="24"/>
          <w:szCs w:val="24"/>
        </w:rPr>
        <w:t xml:space="preserve">, cash budget, but a stock budget. As noted above, the focus may be </w:t>
      </w:r>
      <w:r w:rsidR="006163A5">
        <w:rPr>
          <w:rFonts w:ascii="Arial" w:hAnsi="Arial" w:cs="Arial"/>
          <w:sz w:val="24"/>
          <w:szCs w:val="24"/>
        </w:rPr>
        <w:t xml:space="preserve">on </w:t>
      </w:r>
      <w:r w:rsidRPr="00D91FCF">
        <w:rPr>
          <w:rFonts w:ascii="Arial" w:hAnsi="Arial" w:cs="Arial"/>
          <w:sz w:val="24"/>
          <w:szCs w:val="24"/>
        </w:rPr>
        <w:t xml:space="preserve">risk management as it pertains to working capital and liquidity. </w:t>
      </w:r>
    </w:p>
    <w:p w14:paraId="74B1D331" w14:textId="77777777" w:rsidR="006163A5" w:rsidRDefault="00D91FCF" w:rsidP="00D91FCF">
      <w:pPr>
        <w:spacing w:line="480" w:lineRule="auto"/>
        <w:rPr>
          <w:rFonts w:ascii="Arial" w:hAnsi="Arial" w:cs="Arial"/>
          <w:sz w:val="24"/>
          <w:szCs w:val="24"/>
        </w:rPr>
      </w:pPr>
      <w:r w:rsidRPr="00D91FCF">
        <w:rPr>
          <w:rFonts w:ascii="Arial" w:hAnsi="Arial" w:cs="Arial"/>
          <w:sz w:val="24"/>
          <w:szCs w:val="24"/>
        </w:rPr>
        <w:t xml:space="preserve">The report provides a detailed analysis of the financial position of the company throughout the reporting period of six months. Section (a) details the efforts at developing a stock budget, cash budget, profit and loss account, which show as best estimates </w:t>
      </w:r>
      <w:r w:rsidR="006163A5">
        <w:rPr>
          <w:rFonts w:ascii="Arial" w:hAnsi="Arial" w:cs="Arial"/>
          <w:sz w:val="24"/>
          <w:szCs w:val="24"/>
        </w:rPr>
        <w:t>of</w:t>
      </w:r>
      <w:r w:rsidRPr="00D91FCF">
        <w:rPr>
          <w:rFonts w:ascii="Arial" w:hAnsi="Arial" w:cs="Arial"/>
          <w:sz w:val="24"/>
          <w:szCs w:val="24"/>
        </w:rPr>
        <w:t xml:space="preserve"> forecasted performance. Section (b) identifies key financial issues with management recommendations based on academic literature on liquidity, risk management, and </w:t>
      </w:r>
      <w:r w:rsidR="006163A5" w:rsidRPr="00D91FCF">
        <w:rPr>
          <w:rFonts w:ascii="Arial" w:hAnsi="Arial" w:cs="Arial"/>
          <w:sz w:val="24"/>
          <w:szCs w:val="24"/>
        </w:rPr>
        <w:t>leverage. Section</w:t>
      </w:r>
      <w:r w:rsidRPr="00D91FCF">
        <w:rPr>
          <w:rFonts w:ascii="Arial" w:hAnsi="Arial" w:cs="Arial"/>
          <w:sz w:val="24"/>
          <w:szCs w:val="24"/>
        </w:rPr>
        <w:t xml:space="preserve"> (c) explores the organisational and behavioural conditions necessary for a successful budgeting process. The section emphasizes </w:t>
      </w:r>
      <w:r w:rsidRPr="00D91FCF">
        <w:rPr>
          <w:rFonts w:ascii="Arial" w:hAnsi="Arial" w:cs="Arial"/>
          <w:sz w:val="24"/>
          <w:szCs w:val="24"/>
        </w:rPr>
        <w:lastRenderedPageBreak/>
        <w:t>the importance of participation, accountability</w:t>
      </w:r>
      <w:r w:rsidR="006163A5">
        <w:rPr>
          <w:rFonts w:ascii="Arial" w:hAnsi="Arial" w:cs="Arial"/>
          <w:sz w:val="24"/>
          <w:szCs w:val="24"/>
        </w:rPr>
        <w:t>,</w:t>
      </w:r>
      <w:r w:rsidRPr="00D91FCF">
        <w:rPr>
          <w:rFonts w:ascii="Arial" w:hAnsi="Arial" w:cs="Arial"/>
          <w:sz w:val="24"/>
          <w:szCs w:val="24"/>
        </w:rPr>
        <w:t xml:space="preserve"> and communication. Section (d) assesses the implications of new forms of uncertainty and change, critically examining the limitations of the traditional approach to budgeting and organisation, and considers alternatives such as rolling forecasts, zero-based budgeting, and beyond budgeting.</w:t>
      </w:r>
    </w:p>
    <w:p w14:paraId="6128D4EA" w14:textId="6CF7ACEC"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By discussing the theory and practice, the report shows that budgeting can give a business not only financial control but also strategic information. In the case of Green Threads Ltd, we see both the advantages and limitations of the budget as a management tool, highlighting the need for systems that are appropriate for the context, adaptable, and informed by behaviour (Caulfield, 2024; Bhimani, 2006).</w:t>
      </w:r>
    </w:p>
    <w:p w14:paraId="373C0EF2" w14:textId="571E5802" w:rsidR="00D91FCF" w:rsidRPr="00CA06CB" w:rsidRDefault="00D91FCF" w:rsidP="00CA06CB">
      <w:pPr>
        <w:pStyle w:val="ListParagraph"/>
        <w:numPr>
          <w:ilvl w:val="0"/>
          <w:numId w:val="16"/>
        </w:numPr>
        <w:spacing w:line="480" w:lineRule="auto"/>
        <w:rPr>
          <w:rFonts w:ascii="Arial Black" w:hAnsi="Arial Black" w:cs="Arial"/>
          <w:sz w:val="24"/>
          <w:szCs w:val="24"/>
        </w:rPr>
      </w:pPr>
      <w:r w:rsidRPr="00CA06CB">
        <w:rPr>
          <w:rFonts w:ascii="Arial Black" w:hAnsi="Arial Black" w:cs="Arial"/>
          <w:sz w:val="24"/>
          <w:szCs w:val="24"/>
        </w:rPr>
        <w:t>Stock Budget, Cash Budget</w:t>
      </w:r>
      <w:r w:rsidR="006163A5" w:rsidRPr="00CA06CB">
        <w:rPr>
          <w:rFonts w:ascii="Arial Black" w:hAnsi="Arial Black" w:cs="Arial"/>
          <w:sz w:val="24"/>
          <w:szCs w:val="24"/>
        </w:rPr>
        <w:t>,</w:t>
      </w:r>
      <w:r w:rsidRPr="00CA06CB">
        <w:rPr>
          <w:rFonts w:ascii="Arial Black" w:hAnsi="Arial Black" w:cs="Arial"/>
          <w:sz w:val="24"/>
          <w:szCs w:val="24"/>
        </w:rPr>
        <w:t xml:space="preserve"> and Budgeted Profit &amp; Loss Account</w:t>
      </w:r>
    </w:p>
    <w:p w14:paraId="6BFD4E18" w14:textId="2B4C29A9"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Budgeting is an important element of management accounting, providing a written plan of expected activities and resource requirements over a specified timeframe (Drury, 2021). In the case of Green Threads Ltd, a premium clothing retailer, it was essential to produce adequate budgets, as this retailer had an overdraft position of £30,000 at the beginning of June, which the bank required to be cleared by the end of November. </w:t>
      </w:r>
      <w:r w:rsidR="00616551">
        <w:rPr>
          <w:rFonts w:ascii="Arial" w:hAnsi="Arial" w:cs="Arial"/>
          <w:sz w:val="24"/>
          <w:szCs w:val="24"/>
        </w:rPr>
        <w:t>T</w:t>
      </w:r>
      <w:r w:rsidRPr="00D91FCF">
        <w:rPr>
          <w:rFonts w:ascii="Arial" w:hAnsi="Arial" w:cs="Arial"/>
          <w:sz w:val="24"/>
          <w:szCs w:val="24"/>
        </w:rPr>
        <w:t>his section</w:t>
      </w:r>
      <w:r w:rsidR="00616551">
        <w:rPr>
          <w:rFonts w:ascii="Arial" w:hAnsi="Arial" w:cs="Arial"/>
          <w:sz w:val="24"/>
          <w:szCs w:val="24"/>
        </w:rPr>
        <w:t xml:space="preserve"> </w:t>
      </w:r>
      <w:r w:rsidRPr="00D91FCF">
        <w:rPr>
          <w:rFonts w:ascii="Arial" w:hAnsi="Arial" w:cs="Arial"/>
          <w:sz w:val="24"/>
          <w:szCs w:val="24"/>
        </w:rPr>
        <w:t>will provide the stock budget, cash budget</w:t>
      </w:r>
      <w:r w:rsidR="00616551">
        <w:rPr>
          <w:rFonts w:ascii="Arial" w:hAnsi="Arial" w:cs="Arial"/>
          <w:sz w:val="24"/>
          <w:szCs w:val="24"/>
        </w:rPr>
        <w:t>,</w:t>
      </w:r>
      <w:r w:rsidRPr="00D91FCF">
        <w:rPr>
          <w:rFonts w:ascii="Arial" w:hAnsi="Arial" w:cs="Arial"/>
          <w:sz w:val="24"/>
          <w:szCs w:val="24"/>
        </w:rPr>
        <w:t xml:space="preserve"> and budgeted profit and loss account for the 6-month period ending </w:t>
      </w:r>
      <w:r w:rsidR="00616551" w:rsidRPr="00D91FCF">
        <w:rPr>
          <w:rFonts w:ascii="Arial" w:hAnsi="Arial" w:cs="Arial"/>
          <w:sz w:val="24"/>
          <w:szCs w:val="24"/>
        </w:rPr>
        <w:t>30 November and</w:t>
      </w:r>
      <w:r w:rsidRPr="00D91FCF">
        <w:rPr>
          <w:rFonts w:ascii="Arial" w:hAnsi="Arial" w:cs="Arial"/>
          <w:sz w:val="24"/>
          <w:szCs w:val="24"/>
        </w:rPr>
        <w:t xml:space="preserve"> explain what these mean for the business.</w:t>
      </w:r>
    </w:p>
    <w:p w14:paraId="63A777D8" w14:textId="77777777" w:rsidR="00D91FCF" w:rsidRPr="00CA06CB" w:rsidRDefault="00D91FCF" w:rsidP="00CA06CB">
      <w:pPr>
        <w:pStyle w:val="ListParagraph"/>
        <w:numPr>
          <w:ilvl w:val="0"/>
          <w:numId w:val="17"/>
        </w:numPr>
        <w:spacing w:line="480" w:lineRule="auto"/>
        <w:rPr>
          <w:rFonts w:ascii="Arial Black" w:hAnsi="Arial Black" w:cs="Arial"/>
          <w:sz w:val="24"/>
          <w:szCs w:val="24"/>
        </w:rPr>
      </w:pPr>
      <w:r w:rsidRPr="00CA06CB">
        <w:rPr>
          <w:rFonts w:ascii="Arial Black" w:hAnsi="Arial Black" w:cs="Arial"/>
          <w:sz w:val="24"/>
          <w:szCs w:val="24"/>
        </w:rPr>
        <w:t>Stock Budget</w:t>
      </w:r>
    </w:p>
    <w:p w14:paraId="5DA0132D" w14:textId="4D54A1D1"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The stock budget sets out the purchases of stock </w:t>
      </w:r>
      <w:r w:rsidR="00616551">
        <w:rPr>
          <w:rFonts w:ascii="Arial" w:hAnsi="Arial" w:cs="Arial"/>
          <w:sz w:val="24"/>
          <w:szCs w:val="24"/>
        </w:rPr>
        <w:t>required</w:t>
      </w:r>
      <w:r w:rsidRPr="00D91FCF">
        <w:rPr>
          <w:rFonts w:ascii="Arial" w:hAnsi="Arial" w:cs="Arial"/>
          <w:sz w:val="24"/>
          <w:szCs w:val="24"/>
        </w:rPr>
        <w:t xml:space="preserve"> each month to meet the forecast sales, while maintaining the minimum level of stock required by </w:t>
      </w:r>
      <w:r w:rsidRPr="00D91FCF">
        <w:rPr>
          <w:rFonts w:ascii="Arial" w:hAnsi="Arial" w:cs="Arial"/>
          <w:sz w:val="24"/>
          <w:szCs w:val="24"/>
        </w:rPr>
        <w:lastRenderedPageBreak/>
        <w:t>management at £</w:t>
      </w:r>
      <w:r w:rsidR="00616551" w:rsidRPr="00D91FCF">
        <w:rPr>
          <w:rFonts w:ascii="Arial" w:hAnsi="Arial" w:cs="Arial"/>
          <w:sz w:val="24"/>
          <w:szCs w:val="24"/>
        </w:rPr>
        <w:t>45,000. This</w:t>
      </w:r>
      <w:r w:rsidRPr="00D91FCF">
        <w:rPr>
          <w:rFonts w:ascii="Arial" w:hAnsi="Arial" w:cs="Arial"/>
          <w:sz w:val="24"/>
          <w:szCs w:val="24"/>
        </w:rPr>
        <w:t xml:space="preserve"> working example illustrates the interrelationship between sales, cost of goods sold (COGS)</w:t>
      </w:r>
      <w:r w:rsidR="00616551">
        <w:rPr>
          <w:rFonts w:ascii="Arial" w:hAnsi="Arial" w:cs="Arial"/>
          <w:sz w:val="24"/>
          <w:szCs w:val="24"/>
        </w:rPr>
        <w:t>,</w:t>
      </w:r>
      <w:r w:rsidRPr="00D91FCF">
        <w:rPr>
          <w:rFonts w:ascii="Arial" w:hAnsi="Arial" w:cs="Arial"/>
          <w:sz w:val="24"/>
          <w:szCs w:val="24"/>
        </w:rPr>
        <w:t xml:space="preserve"> and stock holdings. With a gross profit margin of 36%, COGS is 64% of sales</w:t>
      </w:r>
      <w:r w:rsidR="00616551">
        <w:rPr>
          <w:rFonts w:ascii="Arial" w:hAnsi="Arial" w:cs="Arial"/>
          <w:sz w:val="24"/>
          <w:szCs w:val="24"/>
        </w:rPr>
        <w:t>,</w:t>
      </w:r>
      <w:r w:rsidRPr="00D91FCF">
        <w:rPr>
          <w:rFonts w:ascii="Arial" w:hAnsi="Arial" w:cs="Arial"/>
          <w:sz w:val="24"/>
          <w:szCs w:val="24"/>
        </w:rPr>
        <w:t xml:space="preserve"> meaning that for every £100 of revenue, £64 is the cost of stock sold.</w:t>
      </w:r>
    </w:p>
    <w:p w14:paraId="5FABA1A2" w14:textId="6EFF75E1"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Opening stock was worth £100,000 at the beginning of June. </w:t>
      </w:r>
      <w:r w:rsidR="00616551">
        <w:rPr>
          <w:rFonts w:ascii="Arial" w:hAnsi="Arial" w:cs="Arial"/>
          <w:sz w:val="24"/>
          <w:szCs w:val="24"/>
        </w:rPr>
        <w:t>To</w:t>
      </w:r>
      <w:r w:rsidRPr="00D91FCF">
        <w:rPr>
          <w:rFonts w:ascii="Arial" w:hAnsi="Arial" w:cs="Arial"/>
          <w:sz w:val="24"/>
          <w:szCs w:val="24"/>
        </w:rPr>
        <w:t xml:space="preserve"> calculate purchases</w:t>
      </w:r>
      <w:r w:rsidR="00616551">
        <w:rPr>
          <w:rFonts w:ascii="Arial" w:hAnsi="Arial" w:cs="Arial"/>
          <w:sz w:val="24"/>
          <w:szCs w:val="24"/>
        </w:rPr>
        <w:t>, it</w:t>
      </w:r>
      <w:r w:rsidRPr="00D91FCF">
        <w:rPr>
          <w:rFonts w:ascii="Arial" w:hAnsi="Arial" w:cs="Arial"/>
          <w:sz w:val="24"/>
          <w:szCs w:val="24"/>
        </w:rPr>
        <w:t xml:space="preserve"> can </w:t>
      </w:r>
      <w:r w:rsidR="00616551">
        <w:rPr>
          <w:rFonts w:ascii="Arial" w:hAnsi="Arial" w:cs="Arial"/>
          <w:sz w:val="24"/>
          <w:szCs w:val="24"/>
        </w:rPr>
        <w:t>be used</w:t>
      </w:r>
      <w:r w:rsidRPr="00D91FCF">
        <w:rPr>
          <w:rFonts w:ascii="Arial" w:hAnsi="Arial" w:cs="Arial"/>
          <w:sz w:val="24"/>
          <w:szCs w:val="24"/>
        </w:rPr>
        <w:t xml:space="preserve"> the formula:</w:t>
      </w:r>
    </w:p>
    <w:p w14:paraId="38AD0BD2" w14:textId="29788A01" w:rsidR="00D91FCF" w:rsidRPr="00616551" w:rsidRDefault="00D91FCF" w:rsidP="00616551">
      <w:pPr>
        <w:spacing w:line="480" w:lineRule="auto"/>
        <w:jc w:val="center"/>
        <w:rPr>
          <w:rFonts w:ascii="Arial" w:hAnsi="Arial" w:cs="Arial"/>
          <w:b/>
          <w:bCs/>
          <w:sz w:val="24"/>
          <w:szCs w:val="24"/>
        </w:rPr>
      </w:pPr>
      <w:r w:rsidRPr="00616551">
        <w:rPr>
          <w:rFonts w:ascii="Arial" w:hAnsi="Arial" w:cs="Arial"/>
          <w:b/>
          <w:bCs/>
          <w:sz w:val="24"/>
          <w:szCs w:val="24"/>
        </w:rPr>
        <w:t>Purchases</w:t>
      </w:r>
      <w:r w:rsidR="00616551" w:rsidRPr="00616551">
        <w:rPr>
          <w:rFonts w:ascii="Arial" w:hAnsi="Arial" w:cs="Arial"/>
          <w:b/>
          <w:bCs/>
          <w:sz w:val="24"/>
          <w:szCs w:val="24"/>
        </w:rPr>
        <w:t xml:space="preserve"> </w:t>
      </w:r>
      <w:r w:rsidRPr="00616551">
        <w:rPr>
          <w:rFonts w:ascii="Arial" w:hAnsi="Arial" w:cs="Arial"/>
          <w:b/>
          <w:bCs/>
          <w:sz w:val="24"/>
          <w:szCs w:val="24"/>
        </w:rPr>
        <w:t>=</w:t>
      </w:r>
      <w:r w:rsidR="00616551" w:rsidRPr="00616551">
        <w:rPr>
          <w:rFonts w:ascii="Arial" w:hAnsi="Arial" w:cs="Arial"/>
          <w:b/>
          <w:bCs/>
          <w:sz w:val="24"/>
          <w:szCs w:val="24"/>
        </w:rPr>
        <w:t xml:space="preserve"> </w:t>
      </w:r>
      <w:r w:rsidRPr="00616551">
        <w:rPr>
          <w:rFonts w:ascii="Arial" w:hAnsi="Arial" w:cs="Arial"/>
          <w:b/>
          <w:bCs/>
          <w:sz w:val="24"/>
          <w:szCs w:val="24"/>
        </w:rPr>
        <w:t>COGS</w:t>
      </w:r>
      <w:r w:rsidR="00616551" w:rsidRPr="00616551">
        <w:rPr>
          <w:rFonts w:ascii="Arial" w:hAnsi="Arial" w:cs="Arial"/>
          <w:b/>
          <w:bCs/>
          <w:sz w:val="24"/>
          <w:szCs w:val="24"/>
        </w:rPr>
        <w:t xml:space="preserve"> </w:t>
      </w:r>
      <w:r w:rsidRPr="00616551">
        <w:rPr>
          <w:rFonts w:ascii="Arial" w:hAnsi="Arial" w:cs="Arial"/>
          <w:b/>
          <w:bCs/>
          <w:sz w:val="24"/>
          <w:szCs w:val="24"/>
        </w:rPr>
        <w:t>+</w:t>
      </w:r>
      <w:r w:rsidR="00616551" w:rsidRPr="00616551">
        <w:rPr>
          <w:rFonts w:ascii="Arial" w:hAnsi="Arial" w:cs="Arial"/>
          <w:b/>
          <w:bCs/>
          <w:sz w:val="24"/>
          <w:szCs w:val="24"/>
        </w:rPr>
        <w:t xml:space="preserve"> </w:t>
      </w:r>
      <w:r w:rsidRPr="00616551">
        <w:rPr>
          <w:rFonts w:ascii="Arial" w:hAnsi="Arial" w:cs="Arial"/>
          <w:b/>
          <w:bCs/>
          <w:sz w:val="24"/>
          <w:szCs w:val="24"/>
        </w:rPr>
        <w:t>Closing Stock</w:t>
      </w:r>
      <w:r w:rsidR="00616551" w:rsidRPr="00616551">
        <w:rPr>
          <w:rFonts w:ascii="Arial" w:hAnsi="Arial" w:cs="Arial"/>
          <w:b/>
          <w:bCs/>
          <w:sz w:val="24"/>
          <w:szCs w:val="24"/>
        </w:rPr>
        <w:t xml:space="preserve"> </w:t>
      </w:r>
      <w:r w:rsidRPr="00616551">
        <w:rPr>
          <w:rFonts w:ascii="Arial" w:hAnsi="Arial" w:cs="Arial"/>
          <w:b/>
          <w:bCs/>
          <w:sz w:val="24"/>
          <w:szCs w:val="24"/>
        </w:rPr>
        <w:t>−</w:t>
      </w:r>
      <w:r w:rsidR="00616551" w:rsidRPr="00616551">
        <w:rPr>
          <w:rFonts w:ascii="Arial" w:hAnsi="Arial" w:cs="Arial"/>
          <w:b/>
          <w:bCs/>
          <w:sz w:val="24"/>
          <w:szCs w:val="24"/>
        </w:rPr>
        <w:t xml:space="preserve"> </w:t>
      </w:r>
      <w:r w:rsidRPr="00616551">
        <w:rPr>
          <w:rFonts w:ascii="Arial" w:hAnsi="Arial" w:cs="Arial"/>
          <w:b/>
          <w:bCs/>
          <w:sz w:val="24"/>
          <w:szCs w:val="24"/>
        </w:rPr>
        <w:t>Opening Stock</w:t>
      </w:r>
    </w:p>
    <w:tbl>
      <w:tblPr>
        <w:tblpPr w:leftFromText="180" w:rightFromText="180" w:vertAnchor="page" w:horzAnchor="margin" w:tblpXSpec="center" w:tblpY="6025"/>
        <w:tblW w:w="0" w:type="auto"/>
        <w:tblCellSpacing w:w="15"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15" w:type="dxa"/>
          <w:left w:w="15" w:type="dxa"/>
          <w:bottom w:w="15" w:type="dxa"/>
          <w:right w:w="15" w:type="dxa"/>
        </w:tblCellMar>
        <w:tblLook w:val="04A0" w:firstRow="1" w:lastRow="0" w:firstColumn="1" w:lastColumn="0" w:noHBand="0" w:noVBand="1"/>
      </w:tblPr>
      <w:tblGrid>
        <w:gridCol w:w="3275"/>
        <w:gridCol w:w="851"/>
        <w:gridCol w:w="651"/>
        <w:gridCol w:w="851"/>
        <w:gridCol w:w="851"/>
        <w:gridCol w:w="851"/>
        <w:gridCol w:w="1362"/>
      </w:tblGrid>
      <w:tr w:rsidR="00CA06CB" w:rsidRPr="00616551" w14:paraId="46D6E058" w14:textId="77777777" w:rsidTr="00CA06CB">
        <w:trPr>
          <w:tblHeader/>
          <w:tblCellSpacing w:w="15" w:type="dxa"/>
        </w:trPr>
        <w:tc>
          <w:tcPr>
            <w:tcW w:w="3230" w:type="dxa"/>
            <w:shd w:val="clear" w:color="auto" w:fill="83CAEB" w:themeFill="accent1" w:themeFillTint="66"/>
            <w:vAlign w:val="center"/>
            <w:hideMark/>
          </w:tcPr>
          <w:p w14:paraId="27642101" w14:textId="77777777" w:rsidR="00CA06CB" w:rsidRPr="00616551" w:rsidRDefault="00CA06CB" w:rsidP="00CA06CB">
            <w:pPr>
              <w:spacing w:after="0" w:line="240" w:lineRule="auto"/>
              <w:jc w:val="center"/>
              <w:rPr>
                <w:rFonts w:ascii="Arial" w:eastAsia="Times New Roman" w:hAnsi="Arial" w:cs="Arial"/>
                <w:b/>
                <w:bCs/>
                <w:kern w:val="0"/>
                <w:sz w:val="24"/>
                <w:szCs w:val="24"/>
                <w:lang w:eastAsia="en-GB"/>
                <w14:ligatures w14:val="none"/>
              </w:rPr>
            </w:pPr>
            <w:r w:rsidRPr="00616551">
              <w:rPr>
                <w:rFonts w:ascii="Arial" w:eastAsia="Times New Roman" w:hAnsi="Arial" w:cs="Arial"/>
                <w:b/>
                <w:bCs/>
                <w:kern w:val="0"/>
                <w:sz w:val="24"/>
                <w:szCs w:val="24"/>
                <w:lang w:eastAsia="en-GB"/>
                <w14:ligatures w14:val="none"/>
              </w:rPr>
              <w:t>£000</w:t>
            </w:r>
          </w:p>
        </w:tc>
        <w:tc>
          <w:tcPr>
            <w:tcW w:w="0" w:type="auto"/>
            <w:shd w:val="clear" w:color="auto" w:fill="83CAEB" w:themeFill="accent1" w:themeFillTint="66"/>
            <w:vAlign w:val="center"/>
            <w:hideMark/>
          </w:tcPr>
          <w:p w14:paraId="4752ECB8" w14:textId="77777777" w:rsidR="00CA06CB" w:rsidRPr="00616551" w:rsidRDefault="00CA06CB" w:rsidP="00CA06CB">
            <w:pPr>
              <w:spacing w:after="0" w:line="240" w:lineRule="auto"/>
              <w:jc w:val="center"/>
              <w:rPr>
                <w:rFonts w:ascii="Arial" w:eastAsia="Times New Roman" w:hAnsi="Arial" w:cs="Arial"/>
                <w:b/>
                <w:bCs/>
                <w:kern w:val="0"/>
                <w:sz w:val="24"/>
                <w:szCs w:val="24"/>
                <w:lang w:eastAsia="en-GB"/>
                <w14:ligatures w14:val="none"/>
              </w:rPr>
            </w:pPr>
            <w:r w:rsidRPr="00616551">
              <w:rPr>
                <w:rFonts w:ascii="Arial" w:eastAsia="Times New Roman" w:hAnsi="Arial" w:cs="Arial"/>
                <w:b/>
                <w:bCs/>
                <w:kern w:val="0"/>
                <w:sz w:val="24"/>
                <w:szCs w:val="24"/>
                <w:lang w:eastAsia="en-GB"/>
                <w14:ligatures w14:val="none"/>
              </w:rPr>
              <w:t>Jun</w:t>
            </w:r>
          </w:p>
        </w:tc>
        <w:tc>
          <w:tcPr>
            <w:tcW w:w="0" w:type="auto"/>
            <w:shd w:val="clear" w:color="auto" w:fill="83CAEB" w:themeFill="accent1" w:themeFillTint="66"/>
            <w:vAlign w:val="center"/>
            <w:hideMark/>
          </w:tcPr>
          <w:p w14:paraId="53502203" w14:textId="77777777" w:rsidR="00CA06CB" w:rsidRPr="00616551" w:rsidRDefault="00CA06CB" w:rsidP="00CA06CB">
            <w:pPr>
              <w:spacing w:after="0" w:line="240" w:lineRule="auto"/>
              <w:jc w:val="center"/>
              <w:rPr>
                <w:rFonts w:ascii="Arial" w:eastAsia="Times New Roman" w:hAnsi="Arial" w:cs="Arial"/>
                <w:b/>
                <w:bCs/>
                <w:kern w:val="0"/>
                <w:sz w:val="24"/>
                <w:szCs w:val="24"/>
                <w:lang w:eastAsia="en-GB"/>
                <w14:ligatures w14:val="none"/>
              </w:rPr>
            </w:pPr>
            <w:r w:rsidRPr="00616551">
              <w:rPr>
                <w:rFonts w:ascii="Arial" w:eastAsia="Times New Roman" w:hAnsi="Arial" w:cs="Arial"/>
                <w:b/>
                <w:bCs/>
                <w:kern w:val="0"/>
                <w:sz w:val="24"/>
                <w:szCs w:val="24"/>
                <w:lang w:eastAsia="en-GB"/>
                <w14:ligatures w14:val="none"/>
              </w:rPr>
              <w:t>Jul</w:t>
            </w:r>
          </w:p>
        </w:tc>
        <w:tc>
          <w:tcPr>
            <w:tcW w:w="0" w:type="auto"/>
            <w:shd w:val="clear" w:color="auto" w:fill="83CAEB" w:themeFill="accent1" w:themeFillTint="66"/>
            <w:vAlign w:val="center"/>
            <w:hideMark/>
          </w:tcPr>
          <w:p w14:paraId="4435BEC2" w14:textId="77777777" w:rsidR="00CA06CB" w:rsidRPr="00616551" w:rsidRDefault="00CA06CB" w:rsidP="00CA06CB">
            <w:pPr>
              <w:spacing w:after="0" w:line="240" w:lineRule="auto"/>
              <w:jc w:val="center"/>
              <w:rPr>
                <w:rFonts w:ascii="Arial" w:eastAsia="Times New Roman" w:hAnsi="Arial" w:cs="Arial"/>
                <w:b/>
                <w:bCs/>
                <w:kern w:val="0"/>
                <w:sz w:val="24"/>
                <w:szCs w:val="24"/>
                <w:lang w:eastAsia="en-GB"/>
                <w14:ligatures w14:val="none"/>
              </w:rPr>
            </w:pPr>
            <w:r w:rsidRPr="00616551">
              <w:rPr>
                <w:rFonts w:ascii="Arial" w:eastAsia="Times New Roman" w:hAnsi="Arial" w:cs="Arial"/>
                <w:b/>
                <w:bCs/>
                <w:kern w:val="0"/>
                <w:sz w:val="24"/>
                <w:szCs w:val="24"/>
                <w:lang w:eastAsia="en-GB"/>
                <w14:ligatures w14:val="none"/>
              </w:rPr>
              <w:t>Aug</w:t>
            </w:r>
          </w:p>
        </w:tc>
        <w:tc>
          <w:tcPr>
            <w:tcW w:w="0" w:type="auto"/>
            <w:shd w:val="clear" w:color="auto" w:fill="83CAEB" w:themeFill="accent1" w:themeFillTint="66"/>
            <w:vAlign w:val="center"/>
            <w:hideMark/>
          </w:tcPr>
          <w:p w14:paraId="5CE3E101" w14:textId="77777777" w:rsidR="00CA06CB" w:rsidRPr="00616551" w:rsidRDefault="00CA06CB" w:rsidP="00CA06CB">
            <w:pPr>
              <w:spacing w:after="0" w:line="240" w:lineRule="auto"/>
              <w:jc w:val="center"/>
              <w:rPr>
                <w:rFonts w:ascii="Arial" w:eastAsia="Times New Roman" w:hAnsi="Arial" w:cs="Arial"/>
                <w:b/>
                <w:bCs/>
                <w:kern w:val="0"/>
                <w:sz w:val="24"/>
                <w:szCs w:val="24"/>
                <w:lang w:eastAsia="en-GB"/>
                <w14:ligatures w14:val="none"/>
              </w:rPr>
            </w:pPr>
            <w:r w:rsidRPr="00616551">
              <w:rPr>
                <w:rFonts w:ascii="Arial" w:eastAsia="Times New Roman" w:hAnsi="Arial" w:cs="Arial"/>
                <w:b/>
                <w:bCs/>
                <w:kern w:val="0"/>
                <w:sz w:val="24"/>
                <w:szCs w:val="24"/>
                <w:lang w:eastAsia="en-GB"/>
                <w14:ligatures w14:val="none"/>
              </w:rPr>
              <w:t>Sept</w:t>
            </w:r>
          </w:p>
        </w:tc>
        <w:tc>
          <w:tcPr>
            <w:tcW w:w="0" w:type="auto"/>
            <w:shd w:val="clear" w:color="auto" w:fill="83CAEB" w:themeFill="accent1" w:themeFillTint="66"/>
            <w:vAlign w:val="center"/>
            <w:hideMark/>
          </w:tcPr>
          <w:p w14:paraId="2D3BDCF9" w14:textId="77777777" w:rsidR="00CA06CB" w:rsidRPr="00616551" w:rsidRDefault="00CA06CB" w:rsidP="00CA06CB">
            <w:pPr>
              <w:spacing w:after="0" w:line="240" w:lineRule="auto"/>
              <w:jc w:val="center"/>
              <w:rPr>
                <w:rFonts w:ascii="Arial" w:eastAsia="Times New Roman" w:hAnsi="Arial" w:cs="Arial"/>
                <w:b/>
                <w:bCs/>
                <w:kern w:val="0"/>
                <w:sz w:val="24"/>
                <w:szCs w:val="24"/>
                <w:lang w:eastAsia="en-GB"/>
                <w14:ligatures w14:val="none"/>
              </w:rPr>
            </w:pPr>
            <w:r w:rsidRPr="00616551">
              <w:rPr>
                <w:rFonts w:ascii="Arial" w:eastAsia="Times New Roman" w:hAnsi="Arial" w:cs="Arial"/>
                <w:b/>
                <w:bCs/>
                <w:kern w:val="0"/>
                <w:sz w:val="24"/>
                <w:szCs w:val="24"/>
                <w:lang w:eastAsia="en-GB"/>
                <w14:ligatures w14:val="none"/>
              </w:rPr>
              <w:t>Oct</w:t>
            </w:r>
          </w:p>
        </w:tc>
        <w:tc>
          <w:tcPr>
            <w:tcW w:w="1317" w:type="dxa"/>
            <w:shd w:val="clear" w:color="auto" w:fill="83CAEB" w:themeFill="accent1" w:themeFillTint="66"/>
            <w:vAlign w:val="center"/>
            <w:hideMark/>
          </w:tcPr>
          <w:p w14:paraId="6C990EBA" w14:textId="77777777" w:rsidR="00CA06CB" w:rsidRPr="00616551" w:rsidRDefault="00CA06CB" w:rsidP="00CA06CB">
            <w:pPr>
              <w:spacing w:after="0" w:line="240" w:lineRule="auto"/>
              <w:jc w:val="center"/>
              <w:rPr>
                <w:rFonts w:ascii="Arial" w:eastAsia="Times New Roman" w:hAnsi="Arial" w:cs="Arial"/>
                <w:b/>
                <w:bCs/>
                <w:kern w:val="0"/>
                <w:sz w:val="24"/>
                <w:szCs w:val="24"/>
                <w:lang w:eastAsia="en-GB"/>
                <w14:ligatures w14:val="none"/>
              </w:rPr>
            </w:pPr>
            <w:r w:rsidRPr="00616551">
              <w:rPr>
                <w:rFonts w:ascii="Arial" w:eastAsia="Times New Roman" w:hAnsi="Arial" w:cs="Arial"/>
                <w:b/>
                <w:bCs/>
                <w:kern w:val="0"/>
                <w:sz w:val="24"/>
                <w:szCs w:val="24"/>
                <w:lang w:eastAsia="en-GB"/>
                <w14:ligatures w14:val="none"/>
              </w:rPr>
              <w:t>Nov</w:t>
            </w:r>
          </w:p>
        </w:tc>
      </w:tr>
      <w:tr w:rsidR="00CA06CB" w:rsidRPr="00616551" w14:paraId="59B758C4" w14:textId="77777777" w:rsidTr="00CA06CB">
        <w:trPr>
          <w:tblCellSpacing w:w="15" w:type="dxa"/>
        </w:trPr>
        <w:tc>
          <w:tcPr>
            <w:tcW w:w="3230" w:type="dxa"/>
            <w:vAlign w:val="center"/>
            <w:hideMark/>
          </w:tcPr>
          <w:p w14:paraId="3C6963AA"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Opening stock</w:t>
            </w:r>
          </w:p>
        </w:tc>
        <w:tc>
          <w:tcPr>
            <w:tcW w:w="0" w:type="auto"/>
            <w:vAlign w:val="center"/>
            <w:hideMark/>
          </w:tcPr>
          <w:p w14:paraId="3221467A"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100</w:t>
            </w:r>
          </w:p>
        </w:tc>
        <w:tc>
          <w:tcPr>
            <w:tcW w:w="0" w:type="auto"/>
            <w:vAlign w:val="center"/>
            <w:hideMark/>
          </w:tcPr>
          <w:p w14:paraId="4199885E"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45</w:t>
            </w:r>
          </w:p>
        </w:tc>
        <w:tc>
          <w:tcPr>
            <w:tcW w:w="0" w:type="auto"/>
            <w:vAlign w:val="center"/>
            <w:hideMark/>
          </w:tcPr>
          <w:p w14:paraId="3A115404"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45</w:t>
            </w:r>
          </w:p>
        </w:tc>
        <w:tc>
          <w:tcPr>
            <w:tcW w:w="0" w:type="auto"/>
            <w:vAlign w:val="center"/>
            <w:hideMark/>
          </w:tcPr>
          <w:p w14:paraId="45D0FD70"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45</w:t>
            </w:r>
          </w:p>
        </w:tc>
        <w:tc>
          <w:tcPr>
            <w:tcW w:w="0" w:type="auto"/>
            <w:vAlign w:val="center"/>
            <w:hideMark/>
          </w:tcPr>
          <w:p w14:paraId="7D977F4F"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45</w:t>
            </w:r>
          </w:p>
        </w:tc>
        <w:tc>
          <w:tcPr>
            <w:tcW w:w="1317" w:type="dxa"/>
            <w:vAlign w:val="center"/>
            <w:hideMark/>
          </w:tcPr>
          <w:p w14:paraId="37FC00CC"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45</w:t>
            </w:r>
          </w:p>
        </w:tc>
      </w:tr>
      <w:tr w:rsidR="00CA06CB" w:rsidRPr="00616551" w14:paraId="385C3435" w14:textId="77777777" w:rsidTr="00CA06CB">
        <w:trPr>
          <w:tblCellSpacing w:w="15" w:type="dxa"/>
        </w:trPr>
        <w:tc>
          <w:tcPr>
            <w:tcW w:w="3230" w:type="dxa"/>
            <w:vAlign w:val="center"/>
            <w:hideMark/>
          </w:tcPr>
          <w:p w14:paraId="69D53C0E"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Purchases</w:t>
            </w:r>
          </w:p>
        </w:tc>
        <w:tc>
          <w:tcPr>
            <w:tcW w:w="0" w:type="auto"/>
            <w:vAlign w:val="center"/>
            <w:hideMark/>
          </w:tcPr>
          <w:p w14:paraId="346DD1A8"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79.4</w:t>
            </w:r>
          </w:p>
        </w:tc>
        <w:tc>
          <w:tcPr>
            <w:tcW w:w="0" w:type="auto"/>
            <w:vAlign w:val="center"/>
            <w:hideMark/>
          </w:tcPr>
          <w:p w14:paraId="7410FB6F"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160</w:t>
            </w:r>
          </w:p>
        </w:tc>
        <w:tc>
          <w:tcPr>
            <w:tcW w:w="0" w:type="auto"/>
            <w:vAlign w:val="center"/>
            <w:hideMark/>
          </w:tcPr>
          <w:p w14:paraId="4A8AD69F"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140.8</w:t>
            </w:r>
          </w:p>
        </w:tc>
        <w:tc>
          <w:tcPr>
            <w:tcW w:w="0" w:type="auto"/>
            <w:vAlign w:val="center"/>
            <w:hideMark/>
          </w:tcPr>
          <w:p w14:paraId="4B5870FF"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147.2</w:t>
            </w:r>
          </w:p>
        </w:tc>
        <w:tc>
          <w:tcPr>
            <w:tcW w:w="0" w:type="auto"/>
            <w:vAlign w:val="center"/>
            <w:hideMark/>
          </w:tcPr>
          <w:p w14:paraId="1AF3BB4F"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153.6</w:t>
            </w:r>
          </w:p>
        </w:tc>
        <w:tc>
          <w:tcPr>
            <w:tcW w:w="1317" w:type="dxa"/>
            <w:vAlign w:val="center"/>
            <w:hideMark/>
          </w:tcPr>
          <w:p w14:paraId="136582EB"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166.4</w:t>
            </w:r>
          </w:p>
        </w:tc>
      </w:tr>
      <w:tr w:rsidR="00CA06CB" w:rsidRPr="00616551" w14:paraId="37EA0D74" w14:textId="77777777" w:rsidTr="00CA06CB">
        <w:trPr>
          <w:tblCellSpacing w:w="15" w:type="dxa"/>
        </w:trPr>
        <w:tc>
          <w:tcPr>
            <w:tcW w:w="3230" w:type="dxa"/>
            <w:vAlign w:val="center"/>
            <w:hideMark/>
          </w:tcPr>
          <w:p w14:paraId="444BAFFE"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COGS (64% sales)</w:t>
            </w:r>
          </w:p>
        </w:tc>
        <w:tc>
          <w:tcPr>
            <w:tcW w:w="0" w:type="auto"/>
            <w:vAlign w:val="center"/>
            <w:hideMark/>
          </w:tcPr>
          <w:p w14:paraId="26AB7BD7"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(134.4)</w:t>
            </w:r>
          </w:p>
        </w:tc>
        <w:tc>
          <w:tcPr>
            <w:tcW w:w="0" w:type="auto"/>
            <w:vAlign w:val="center"/>
            <w:hideMark/>
          </w:tcPr>
          <w:p w14:paraId="1BBAB568"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(160)</w:t>
            </w:r>
          </w:p>
        </w:tc>
        <w:tc>
          <w:tcPr>
            <w:tcW w:w="0" w:type="auto"/>
            <w:vAlign w:val="center"/>
            <w:hideMark/>
          </w:tcPr>
          <w:p w14:paraId="64CE2980"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(140.8)</w:t>
            </w:r>
          </w:p>
        </w:tc>
        <w:tc>
          <w:tcPr>
            <w:tcW w:w="0" w:type="auto"/>
            <w:vAlign w:val="center"/>
            <w:hideMark/>
          </w:tcPr>
          <w:p w14:paraId="541B01B8"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(147.2)</w:t>
            </w:r>
          </w:p>
        </w:tc>
        <w:tc>
          <w:tcPr>
            <w:tcW w:w="0" w:type="auto"/>
            <w:vAlign w:val="center"/>
            <w:hideMark/>
          </w:tcPr>
          <w:p w14:paraId="2B1DD11A"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(153.6)</w:t>
            </w:r>
          </w:p>
        </w:tc>
        <w:tc>
          <w:tcPr>
            <w:tcW w:w="1317" w:type="dxa"/>
            <w:vAlign w:val="center"/>
            <w:hideMark/>
          </w:tcPr>
          <w:p w14:paraId="31EBA372"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(166.4)</w:t>
            </w:r>
          </w:p>
        </w:tc>
      </w:tr>
      <w:tr w:rsidR="00CA06CB" w:rsidRPr="00616551" w14:paraId="54154BF6" w14:textId="77777777" w:rsidTr="00CA06CB">
        <w:trPr>
          <w:tblCellSpacing w:w="15" w:type="dxa"/>
        </w:trPr>
        <w:tc>
          <w:tcPr>
            <w:tcW w:w="3230" w:type="dxa"/>
            <w:vAlign w:val="center"/>
            <w:hideMark/>
          </w:tcPr>
          <w:p w14:paraId="2912E818"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Closing stock</w:t>
            </w:r>
          </w:p>
        </w:tc>
        <w:tc>
          <w:tcPr>
            <w:tcW w:w="0" w:type="auto"/>
            <w:vAlign w:val="center"/>
            <w:hideMark/>
          </w:tcPr>
          <w:p w14:paraId="555EA919"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45</w:t>
            </w:r>
          </w:p>
        </w:tc>
        <w:tc>
          <w:tcPr>
            <w:tcW w:w="0" w:type="auto"/>
            <w:vAlign w:val="center"/>
            <w:hideMark/>
          </w:tcPr>
          <w:p w14:paraId="2B8A0FC1"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45</w:t>
            </w:r>
          </w:p>
        </w:tc>
        <w:tc>
          <w:tcPr>
            <w:tcW w:w="0" w:type="auto"/>
            <w:vAlign w:val="center"/>
            <w:hideMark/>
          </w:tcPr>
          <w:p w14:paraId="6A8B39A0"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45</w:t>
            </w:r>
          </w:p>
        </w:tc>
        <w:tc>
          <w:tcPr>
            <w:tcW w:w="0" w:type="auto"/>
            <w:vAlign w:val="center"/>
            <w:hideMark/>
          </w:tcPr>
          <w:p w14:paraId="7A2E9925"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45</w:t>
            </w:r>
          </w:p>
        </w:tc>
        <w:tc>
          <w:tcPr>
            <w:tcW w:w="0" w:type="auto"/>
            <w:vAlign w:val="center"/>
            <w:hideMark/>
          </w:tcPr>
          <w:p w14:paraId="68B62177"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45</w:t>
            </w:r>
          </w:p>
        </w:tc>
        <w:tc>
          <w:tcPr>
            <w:tcW w:w="1317" w:type="dxa"/>
            <w:vAlign w:val="center"/>
            <w:hideMark/>
          </w:tcPr>
          <w:p w14:paraId="2E2ECA58" w14:textId="77777777" w:rsidR="00CA06CB" w:rsidRPr="00616551" w:rsidRDefault="00CA06CB" w:rsidP="00CA06CB">
            <w:pPr>
              <w:spacing w:after="0" w:line="240" w:lineRule="auto"/>
              <w:rPr>
                <w:rFonts w:ascii="Arial" w:eastAsia="Times New Roman" w:hAnsi="Arial" w:cs="Arial"/>
                <w:kern w:val="0"/>
                <w:sz w:val="24"/>
                <w:szCs w:val="24"/>
                <w:lang w:eastAsia="en-GB"/>
                <w14:ligatures w14:val="none"/>
              </w:rPr>
            </w:pPr>
            <w:r w:rsidRPr="00616551">
              <w:rPr>
                <w:rFonts w:ascii="Arial" w:eastAsia="Times New Roman" w:hAnsi="Arial" w:cs="Arial"/>
                <w:kern w:val="0"/>
                <w:sz w:val="24"/>
                <w:szCs w:val="24"/>
                <w:lang w:eastAsia="en-GB"/>
                <w14:ligatures w14:val="none"/>
              </w:rPr>
              <w:t>45</w:t>
            </w:r>
          </w:p>
        </w:tc>
      </w:tr>
    </w:tbl>
    <w:p w14:paraId="6FFDA76B" w14:textId="77777777" w:rsidR="00D91FCF" w:rsidRPr="00D91FCF" w:rsidRDefault="00D91FCF" w:rsidP="00D91FCF">
      <w:pPr>
        <w:spacing w:line="480" w:lineRule="auto"/>
        <w:rPr>
          <w:rFonts w:ascii="Arial" w:hAnsi="Arial" w:cs="Arial"/>
          <w:sz w:val="24"/>
          <w:szCs w:val="24"/>
        </w:rPr>
      </w:pPr>
    </w:p>
    <w:p w14:paraId="5A189410" w14:textId="659FDF93"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The budget indicates that after June the business will restock at the end of each month but only to effectively maintain the cost of sales for the month and the closing stock position of £45,000. </w:t>
      </w:r>
      <w:r w:rsidR="00616551" w:rsidRPr="00D91FCF">
        <w:rPr>
          <w:rFonts w:ascii="Arial" w:hAnsi="Arial" w:cs="Arial"/>
          <w:sz w:val="24"/>
          <w:szCs w:val="24"/>
        </w:rPr>
        <w:t>Thus,</w:t>
      </w:r>
      <w:r w:rsidRPr="00D91FCF">
        <w:rPr>
          <w:rFonts w:ascii="Arial" w:hAnsi="Arial" w:cs="Arial"/>
          <w:sz w:val="24"/>
          <w:szCs w:val="24"/>
        </w:rPr>
        <w:t xml:space="preserve"> the business can keep cash locked not in stock. This is an operational strategy which promotes effective working capital management. The opportunity cost of stock was highlighted by Gallagher (2022) because cash could be used in other areas of the business rather than hanging as a </w:t>
      </w:r>
      <w:r w:rsidR="00616551" w:rsidRPr="00D91FCF">
        <w:rPr>
          <w:rFonts w:ascii="Arial" w:hAnsi="Arial" w:cs="Arial"/>
          <w:sz w:val="24"/>
          <w:szCs w:val="24"/>
        </w:rPr>
        <w:t>left-over</w:t>
      </w:r>
      <w:r w:rsidRPr="00D91FCF">
        <w:rPr>
          <w:rFonts w:ascii="Arial" w:hAnsi="Arial" w:cs="Arial"/>
          <w:sz w:val="24"/>
          <w:szCs w:val="24"/>
        </w:rPr>
        <w:t xml:space="preserve"> </w:t>
      </w:r>
      <w:r w:rsidR="00616551" w:rsidRPr="00D91FCF">
        <w:rPr>
          <w:rFonts w:ascii="Arial" w:hAnsi="Arial" w:cs="Arial"/>
          <w:sz w:val="24"/>
          <w:szCs w:val="24"/>
        </w:rPr>
        <w:t>stockpile</w:t>
      </w:r>
      <w:r w:rsidR="00616551">
        <w:rPr>
          <w:rFonts w:ascii="Arial" w:hAnsi="Arial" w:cs="Arial"/>
          <w:sz w:val="24"/>
          <w:szCs w:val="24"/>
        </w:rPr>
        <w:t xml:space="preserve"> (</w:t>
      </w:r>
      <w:r w:rsidRPr="00D91FCF">
        <w:rPr>
          <w:rFonts w:ascii="Arial" w:hAnsi="Arial" w:cs="Arial"/>
          <w:sz w:val="24"/>
          <w:szCs w:val="24"/>
        </w:rPr>
        <w:t>Dahlquist and Knight</w:t>
      </w:r>
      <w:r w:rsidR="00616551">
        <w:rPr>
          <w:rFonts w:ascii="Arial" w:hAnsi="Arial" w:cs="Arial"/>
          <w:sz w:val="24"/>
          <w:szCs w:val="24"/>
        </w:rPr>
        <w:t xml:space="preserve">, </w:t>
      </w:r>
      <w:r w:rsidRPr="00D91FCF">
        <w:rPr>
          <w:rFonts w:ascii="Arial" w:hAnsi="Arial" w:cs="Arial"/>
          <w:sz w:val="24"/>
          <w:szCs w:val="24"/>
        </w:rPr>
        <w:t>2022).</w:t>
      </w:r>
    </w:p>
    <w:p w14:paraId="621FA49D" w14:textId="77777777" w:rsidR="00D91FCF" w:rsidRPr="00CA06CB" w:rsidRDefault="00D91FCF" w:rsidP="00CA06CB">
      <w:pPr>
        <w:pStyle w:val="ListParagraph"/>
        <w:numPr>
          <w:ilvl w:val="0"/>
          <w:numId w:val="17"/>
        </w:numPr>
        <w:spacing w:line="480" w:lineRule="auto"/>
        <w:rPr>
          <w:rFonts w:ascii="Arial Black" w:hAnsi="Arial Black" w:cs="Arial"/>
          <w:sz w:val="24"/>
          <w:szCs w:val="24"/>
        </w:rPr>
      </w:pPr>
      <w:r w:rsidRPr="00CA06CB">
        <w:rPr>
          <w:rFonts w:ascii="Arial Black" w:hAnsi="Arial Black" w:cs="Arial"/>
          <w:sz w:val="24"/>
          <w:szCs w:val="24"/>
        </w:rPr>
        <w:t>Cash Budget</w:t>
      </w:r>
    </w:p>
    <w:p w14:paraId="6AE41DD8" w14:textId="14EA4A8C" w:rsidR="00616551" w:rsidRDefault="00D91FCF" w:rsidP="00D91FCF">
      <w:pPr>
        <w:spacing w:line="480" w:lineRule="auto"/>
        <w:rPr>
          <w:rFonts w:ascii="Arial" w:hAnsi="Arial" w:cs="Arial"/>
          <w:sz w:val="24"/>
          <w:szCs w:val="24"/>
        </w:rPr>
      </w:pPr>
      <w:r w:rsidRPr="00D91FCF">
        <w:rPr>
          <w:rFonts w:ascii="Arial" w:hAnsi="Arial" w:cs="Arial"/>
          <w:sz w:val="24"/>
          <w:szCs w:val="24"/>
        </w:rPr>
        <w:t xml:space="preserve">The stock budget will allow the business to restock based on </w:t>
      </w:r>
      <w:r w:rsidR="00616551" w:rsidRPr="00D91FCF">
        <w:rPr>
          <w:rFonts w:ascii="Arial" w:hAnsi="Arial" w:cs="Arial"/>
          <w:sz w:val="24"/>
          <w:szCs w:val="24"/>
        </w:rPr>
        <w:t>sales</w:t>
      </w:r>
      <w:r w:rsidR="00616551">
        <w:rPr>
          <w:rFonts w:ascii="Arial" w:hAnsi="Arial" w:cs="Arial"/>
          <w:sz w:val="24"/>
          <w:szCs w:val="24"/>
        </w:rPr>
        <w:t>.</w:t>
      </w:r>
    </w:p>
    <w:p w14:paraId="0B65C87F" w14:textId="6CBEB2F4" w:rsidR="00D91FCF" w:rsidRPr="00CA06CB" w:rsidRDefault="00D91FCF" w:rsidP="00D91FCF">
      <w:pPr>
        <w:spacing w:line="480" w:lineRule="auto"/>
        <w:rPr>
          <w:rFonts w:ascii="Arial" w:hAnsi="Arial" w:cs="Arial"/>
          <w:b/>
          <w:bCs/>
          <w:sz w:val="24"/>
          <w:szCs w:val="24"/>
        </w:rPr>
      </w:pPr>
      <w:r w:rsidRPr="00CA06CB">
        <w:rPr>
          <w:rFonts w:ascii="Arial" w:hAnsi="Arial" w:cs="Arial"/>
          <w:b/>
          <w:bCs/>
          <w:sz w:val="24"/>
          <w:szCs w:val="24"/>
        </w:rPr>
        <w:t>Cash Inflows</w:t>
      </w:r>
    </w:p>
    <w:p w14:paraId="5AC9736C" w14:textId="77777777" w:rsidR="00D91FCF" w:rsidRPr="00616551" w:rsidRDefault="00D91FCF" w:rsidP="00616551">
      <w:pPr>
        <w:pStyle w:val="ListParagraph"/>
        <w:numPr>
          <w:ilvl w:val="0"/>
          <w:numId w:val="1"/>
        </w:numPr>
        <w:spacing w:line="480" w:lineRule="auto"/>
        <w:rPr>
          <w:rFonts w:ascii="Arial" w:hAnsi="Arial" w:cs="Arial"/>
          <w:sz w:val="24"/>
          <w:szCs w:val="24"/>
        </w:rPr>
      </w:pPr>
      <w:r w:rsidRPr="00616551">
        <w:rPr>
          <w:rFonts w:ascii="Arial" w:hAnsi="Arial" w:cs="Arial"/>
          <w:sz w:val="24"/>
          <w:szCs w:val="24"/>
        </w:rPr>
        <w:t xml:space="preserve">All sales are received in the month of sale. </w:t>
      </w:r>
    </w:p>
    <w:p w14:paraId="7D5DD46A" w14:textId="4DDF736C" w:rsidR="00D91FCF" w:rsidRPr="00616551" w:rsidRDefault="00D91FCF" w:rsidP="00616551">
      <w:pPr>
        <w:pStyle w:val="ListParagraph"/>
        <w:numPr>
          <w:ilvl w:val="0"/>
          <w:numId w:val="1"/>
        </w:numPr>
        <w:spacing w:line="480" w:lineRule="auto"/>
        <w:rPr>
          <w:rFonts w:ascii="Arial" w:hAnsi="Arial" w:cs="Arial"/>
          <w:sz w:val="24"/>
          <w:szCs w:val="24"/>
        </w:rPr>
      </w:pPr>
      <w:r w:rsidRPr="00616551">
        <w:rPr>
          <w:rFonts w:ascii="Arial" w:hAnsi="Arial" w:cs="Arial"/>
          <w:sz w:val="24"/>
          <w:szCs w:val="24"/>
        </w:rPr>
        <w:lastRenderedPageBreak/>
        <w:t xml:space="preserve">70% of this is in cash </w:t>
      </w:r>
      <w:r w:rsidR="00616551" w:rsidRPr="00616551">
        <w:rPr>
          <w:rFonts w:ascii="Arial" w:hAnsi="Arial" w:cs="Arial"/>
          <w:sz w:val="24"/>
          <w:szCs w:val="24"/>
        </w:rPr>
        <w:t>and is</w:t>
      </w:r>
      <w:r w:rsidRPr="00616551">
        <w:rPr>
          <w:rFonts w:ascii="Arial" w:hAnsi="Arial" w:cs="Arial"/>
          <w:sz w:val="24"/>
          <w:szCs w:val="24"/>
        </w:rPr>
        <w:t xml:space="preserve"> receive</w:t>
      </w:r>
      <w:r w:rsidR="00616551" w:rsidRPr="00616551">
        <w:rPr>
          <w:rFonts w:ascii="Arial" w:hAnsi="Arial" w:cs="Arial"/>
          <w:sz w:val="24"/>
          <w:szCs w:val="24"/>
        </w:rPr>
        <w:t>d</w:t>
      </w:r>
      <w:r w:rsidRPr="00616551">
        <w:rPr>
          <w:rFonts w:ascii="Arial" w:hAnsi="Arial" w:cs="Arial"/>
          <w:sz w:val="24"/>
          <w:szCs w:val="24"/>
        </w:rPr>
        <w:t xml:space="preserve"> immediately. </w:t>
      </w:r>
    </w:p>
    <w:p w14:paraId="13AAF314" w14:textId="66E83DA3" w:rsidR="00D91FCF" w:rsidRPr="00616551" w:rsidRDefault="00D91FCF" w:rsidP="00616551">
      <w:pPr>
        <w:pStyle w:val="ListParagraph"/>
        <w:numPr>
          <w:ilvl w:val="0"/>
          <w:numId w:val="1"/>
        </w:numPr>
        <w:spacing w:line="480" w:lineRule="auto"/>
        <w:rPr>
          <w:rFonts w:ascii="Arial" w:hAnsi="Arial" w:cs="Arial"/>
          <w:sz w:val="24"/>
          <w:szCs w:val="24"/>
        </w:rPr>
      </w:pPr>
      <w:r w:rsidRPr="00616551">
        <w:rPr>
          <w:rFonts w:ascii="Arial" w:hAnsi="Arial" w:cs="Arial"/>
          <w:sz w:val="24"/>
          <w:szCs w:val="24"/>
        </w:rPr>
        <w:t>30% of sales are via credit card receipts, remitted in the same month</w:t>
      </w:r>
      <w:r w:rsidR="00616551" w:rsidRPr="00616551">
        <w:rPr>
          <w:rFonts w:ascii="Arial" w:hAnsi="Arial" w:cs="Arial"/>
          <w:sz w:val="24"/>
          <w:szCs w:val="24"/>
        </w:rPr>
        <w:t>,</w:t>
      </w:r>
      <w:r w:rsidRPr="00616551">
        <w:rPr>
          <w:rFonts w:ascii="Arial" w:hAnsi="Arial" w:cs="Arial"/>
          <w:sz w:val="24"/>
          <w:szCs w:val="24"/>
        </w:rPr>
        <w:t xml:space="preserve"> less a 3% transaction charge. </w:t>
      </w:r>
    </w:p>
    <w:p w14:paraId="203BF074" w14:textId="4CAC66A4"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This means that total receipts are 99.1% of sales </w:t>
      </w:r>
      <w:r w:rsidR="00EB0D8A" w:rsidRPr="00D91FCF">
        <w:rPr>
          <w:rFonts w:ascii="Arial" w:hAnsi="Arial" w:cs="Arial"/>
          <w:sz w:val="24"/>
          <w:szCs w:val="24"/>
        </w:rPr>
        <w:t>(70</w:t>
      </w:r>
      <w:r w:rsidRPr="00D91FCF">
        <w:rPr>
          <w:rFonts w:ascii="Arial" w:hAnsi="Arial" w:cs="Arial"/>
          <w:sz w:val="24"/>
          <w:szCs w:val="24"/>
        </w:rPr>
        <w:t xml:space="preserve">% + 30% x 0.97). </w:t>
      </w:r>
    </w:p>
    <w:p w14:paraId="0CF39E9D" w14:textId="77777777" w:rsidR="00D91FCF" w:rsidRPr="00CA06CB" w:rsidRDefault="00D91FCF" w:rsidP="00D91FCF">
      <w:pPr>
        <w:spacing w:line="480" w:lineRule="auto"/>
        <w:rPr>
          <w:rFonts w:ascii="Arial" w:hAnsi="Arial" w:cs="Arial"/>
          <w:b/>
          <w:bCs/>
          <w:sz w:val="24"/>
          <w:szCs w:val="24"/>
        </w:rPr>
      </w:pPr>
      <w:r w:rsidRPr="00CA06CB">
        <w:rPr>
          <w:rFonts w:ascii="Arial" w:hAnsi="Arial" w:cs="Arial"/>
          <w:b/>
          <w:bCs/>
          <w:sz w:val="24"/>
          <w:szCs w:val="24"/>
        </w:rPr>
        <w:t>Cash Outflows</w:t>
      </w:r>
    </w:p>
    <w:p w14:paraId="7918B32A" w14:textId="77777777" w:rsidR="00D91FCF" w:rsidRPr="00EB0D8A" w:rsidRDefault="00D91FCF" w:rsidP="00EB0D8A">
      <w:pPr>
        <w:pStyle w:val="ListParagraph"/>
        <w:numPr>
          <w:ilvl w:val="0"/>
          <w:numId w:val="2"/>
        </w:numPr>
        <w:spacing w:line="480" w:lineRule="auto"/>
        <w:rPr>
          <w:rFonts w:ascii="Arial" w:hAnsi="Arial" w:cs="Arial"/>
          <w:sz w:val="24"/>
          <w:szCs w:val="24"/>
        </w:rPr>
      </w:pPr>
      <w:r w:rsidRPr="00EB0D8A">
        <w:rPr>
          <w:rFonts w:ascii="Arial" w:hAnsi="Arial" w:cs="Arial"/>
          <w:sz w:val="24"/>
          <w:szCs w:val="24"/>
        </w:rPr>
        <w:t xml:space="preserve">Stock purchases (payable one month after purchase). </w:t>
      </w:r>
    </w:p>
    <w:p w14:paraId="439E530F" w14:textId="77777777" w:rsidR="00D91FCF" w:rsidRPr="00EB0D8A" w:rsidRDefault="00D91FCF" w:rsidP="00EB0D8A">
      <w:pPr>
        <w:pStyle w:val="ListParagraph"/>
        <w:numPr>
          <w:ilvl w:val="0"/>
          <w:numId w:val="2"/>
        </w:numPr>
        <w:spacing w:line="480" w:lineRule="auto"/>
        <w:rPr>
          <w:rFonts w:ascii="Arial" w:hAnsi="Arial" w:cs="Arial"/>
          <w:sz w:val="24"/>
          <w:szCs w:val="24"/>
        </w:rPr>
      </w:pPr>
      <w:r w:rsidRPr="00EB0D8A">
        <w:rPr>
          <w:rFonts w:ascii="Arial" w:hAnsi="Arial" w:cs="Arial"/>
          <w:sz w:val="24"/>
          <w:szCs w:val="24"/>
        </w:rPr>
        <w:t xml:space="preserve">Administration (excluding depreciation, as this is non-cash). </w:t>
      </w:r>
    </w:p>
    <w:p w14:paraId="2BE54995" w14:textId="77777777" w:rsidR="00D91FCF" w:rsidRPr="00EB0D8A" w:rsidRDefault="00D91FCF" w:rsidP="00EB0D8A">
      <w:pPr>
        <w:pStyle w:val="ListParagraph"/>
        <w:numPr>
          <w:ilvl w:val="0"/>
          <w:numId w:val="2"/>
        </w:numPr>
        <w:spacing w:line="480" w:lineRule="auto"/>
        <w:rPr>
          <w:rFonts w:ascii="Arial" w:hAnsi="Arial" w:cs="Arial"/>
          <w:sz w:val="24"/>
          <w:szCs w:val="24"/>
        </w:rPr>
      </w:pPr>
      <w:r w:rsidRPr="00EB0D8A">
        <w:rPr>
          <w:rFonts w:ascii="Arial" w:hAnsi="Arial" w:cs="Arial"/>
          <w:sz w:val="24"/>
          <w:szCs w:val="24"/>
        </w:rPr>
        <w:t xml:space="preserve">Selling expenses (that are paid a month in arrears). </w:t>
      </w:r>
    </w:p>
    <w:p w14:paraId="16449885" w14:textId="77777777" w:rsidR="00D91FCF" w:rsidRPr="00EB0D8A" w:rsidRDefault="00D91FCF" w:rsidP="00EB0D8A">
      <w:pPr>
        <w:pStyle w:val="ListParagraph"/>
        <w:numPr>
          <w:ilvl w:val="0"/>
          <w:numId w:val="2"/>
        </w:numPr>
        <w:spacing w:line="480" w:lineRule="auto"/>
        <w:rPr>
          <w:rFonts w:ascii="Arial" w:hAnsi="Arial" w:cs="Arial"/>
          <w:sz w:val="24"/>
          <w:szCs w:val="24"/>
        </w:rPr>
      </w:pPr>
      <w:r w:rsidRPr="00EB0D8A">
        <w:rPr>
          <w:rFonts w:ascii="Arial" w:hAnsi="Arial" w:cs="Arial"/>
          <w:sz w:val="24"/>
          <w:szCs w:val="24"/>
        </w:rPr>
        <w:t xml:space="preserve">Loan repayments of £4,500 per month (both capital and interest). </w:t>
      </w:r>
    </w:p>
    <w:p w14:paraId="609BF36A" w14:textId="77777777" w:rsidR="00D91FCF" w:rsidRPr="00EB0D8A" w:rsidRDefault="00D91FCF" w:rsidP="00EB0D8A">
      <w:pPr>
        <w:pStyle w:val="ListParagraph"/>
        <w:numPr>
          <w:ilvl w:val="0"/>
          <w:numId w:val="2"/>
        </w:numPr>
        <w:spacing w:line="480" w:lineRule="auto"/>
        <w:rPr>
          <w:rFonts w:ascii="Arial" w:hAnsi="Arial" w:cs="Arial"/>
          <w:sz w:val="24"/>
          <w:szCs w:val="24"/>
        </w:rPr>
      </w:pPr>
      <w:r w:rsidRPr="00EB0D8A">
        <w:rPr>
          <w:rFonts w:ascii="Arial" w:hAnsi="Arial" w:cs="Arial"/>
          <w:sz w:val="24"/>
          <w:szCs w:val="24"/>
        </w:rPr>
        <w:t xml:space="preserve">Refurbishment costs as scheduled. </w:t>
      </w:r>
    </w:p>
    <w:p w14:paraId="59D62630" w14:textId="77777777" w:rsidR="00D91FCF" w:rsidRPr="00EB0D8A" w:rsidRDefault="00D91FCF" w:rsidP="00EB0D8A">
      <w:pPr>
        <w:pStyle w:val="ListParagraph"/>
        <w:numPr>
          <w:ilvl w:val="0"/>
          <w:numId w:val="2"/>
        </w:numPr>
        <w:spacing w:line="480" w:lineRule="auto"/>
        <w:rPr>
          <w:rFonts w:ascii="Arial" w:hAnsi="Arial" w:cs="Arial"/>
          <w:sz w:val="24"/>
          <w:szCs w:val="24"/>
        </w:rPr>
      </w:pPr>
      <w:r w:rsidRPr="00EB0D8A">
        <w:rPr>
          <w:rFonts w:ascii="Arial" w:hAnsi="Arial" w:cs="Arial"/>
          <w:sz w:val="24"/>
          <w:szCs w:val="24"/>
        </w:rPr>
        <w:t>One-off taxes - a monthly tax payment of £18,000 in August.</w:t>
      </w:r>
    </w:p>
    <w:tbl>
      <w:tblPr>
        <w:tblW w:w="9110" w:type="dxa"/>
        <w:tblCellSpacing w:w="15"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15" w:type="dxa"/>
          <w:left w:w="15" w:type="dxa"/>
          <w:bottom w:w="15" w:type="dxa"/>
          <w:right w:w="15" w:type="dxa"/>
        </w:tblCellMar>
        <w:tblLook w:val="04A0" w:firstRow="1" w:lastRow="0" w:firstColumn="1" w:lastColumn="0" w:noHBand="0" w:noVBand="1"/>
      </w:tblPr>
      <w:tblGrid>
        <w:gridCol w:w="3311"/>
        <w:gridCol w:w="881"/>
        <w:gridCol w:w="881"/>
        <w:gridCol w:w="881"/>
        <w:gridCol w:w="1047"/>
        <w:gridCol w:w="1047"/>
        <w:gridCol w:w="1062"/>
      </w:tblGrid>
      <w:tr w:rsidR="00CA06CB" w:rsidRPr="00EB0D8A" w14:paraId="347CF85B" w14:textId="77777777" w:rsidTr="00CA06CB">
        <w:trPr>
          <w:trHeight w:val="298"/>
          <w:tblHeader/>
          <w:tblCellSpacing w:w="15" w:type="dxa"/>
        </w:trPr>
        <w:tc>
          <w:tcPr>
            <w:tcW w:w="0" w:type="auto"/>
            <w:shd w:val="clear" w:color="auto" w:fill="83CAEB" w:themeFill="accent1" w:themeFillTint="66"/>
            <w:vAlign w:val="center"/>
            <w:hideMark/>
          </w:tcPr>
          <w:p w14:paraId="1744D59E" w14:textId="77777777" w:rsidR="00EB0D8A" w:rsidRPr="00EB0D8A" w:rsidRDefault="00EB0D8A" w:rsidP="00EB0D8A">
            <w:pPr>
              <w:spacing w:after="0" w:line="240" w:lineRule="auto"/>
              <w:jc w:val="center"/>
              <w:rPr>
                <w:rFonts w:ascii="Arial" w:eastAsia="Times New Roman" w:hAnsi="Arial" w:cs="Arial"/>
                <w:b/>
                <w:bCs/>
                <w:kern w:val="0"/>
                <w:sz w:val="24"/>
                <w:szCs w:val="24"/>
                <w:lang w:eastAsia="en-GB"/>
                <w14:ligatures w14:val="none"/>
              </w:rPr>
            </w:pPr>
            <w:r w:rsidRPr="00EB0D8A">
              <w:rPr>
                <w:rFonts w:ascii="Arial" w:eastAsia="Times New Roman" w:hAnsi="Arial" w:cs="Arial"/>
                <w:b/>
                <w:bCs/>
                <w:kern w:val="0"/>
                <w:sz w:val="24"/>
                <w:szCs w:val="24"/>
                <w:lang w:eastAsia="en-GB"/>
                <w14:ligatures w14:val="none"/>
              </w:rPr>
              <w:t>£000</w:t>
            </w:r>
          </w:p>
        </w:tc>
        <w:tc>
          <w:tcPr>
            <w:tcW w:w="0" w:type="auto"/>
            <w:shd w:val="clear" w:color="auto" w:fill="83CAEB" w:themeFill="accent1" w:themeFillTint="66"/>
            <w:vAlign w:val="center"/>
            <w:hideMark/>
          </w:tcPr>
          <w:p w14:paraId="46C3C279" w14:textId="77777777" w:rsidR="00EB0D8A" w:rsidRPr="00EB0D8A" w:rsidRDefault="00EB0D8A" w:rsidP="00EB0D8A">
            <w:pPr>
              <w:spacing w:after="0" w:line="240" w:lineRule="auto"/>
              <w:jc w:val="center"/>
              <w:rPr>
                <w:rFonts w:ascii="Arial" w:eastAsia="Times New Roman" w:hAnsi="Arial" w:cs="Arial"/>
                <w:b/>
                <w:bCs/>
                <w:kern w:val="0"/>
                <w:sz w:val="24"/>
                <w:szCs w:val="24"/>
                <w:lang w:eastAsia="en-GB"/>
                <w14:ligatures w14:val="none"/>
              </w:rPr>
            </w:pPr>
            <w:r w:rsidRPr="00EB0D8A">
              <w:rPr>
                <w:rFonts w:ascii="Arial" w:eastAsia="Times New Roman" w:hAnsi="Arial" w:cs="Arial"/>
                <w:b/>
                <w:bCs/>
                <w:kern w:val="0"/>
                <w:sz w:val="24"/>
                <w:szCs w:val="24"/>
                <w:lang w:eastAsia="en-GB"/>
                <w14:ligatures w14:val="none"/>
              </w:rPr>
              <w:t>Jun</w:t>
            </w:r>
          </w:p>
        </w:tc>
        <w:tc>
          <w:tcPr>
            <w:tcW w:w="0" w:type="auto"/>
            <w:shd w:val="clear" w:color="auto" w:fill="83CAEB" w:themeFill="accent1" w:themeFillTint="66"/>
            <w:vAlign w:val="center"/>
            <w:hideMark/>
          </w:tcPr>
          <w:p w14:paraId="5F087F03" w14:textId="77777777" w:rsidR="00EB0D8A" w:rsidRPr="00EB0D8A" w:rsidRDefault="00EB0D8A" w:rsidP="00EB0D8A">
            <w:pPr>
              <w:spacing w:after="0" w:line="240" w:lineRule="auto"/>
              <w:jc w:val="center"/>
              <w:rPr>
                <w:rFonts w:ascii="Arial" w:eastAsia="Times New Roman" w:hAnsi="Arial" w:cs="Arial"/>
                <w:b/>
                <w:bCs/>
                <w:kern w:val="0"/>
                <w:sz w:val="24"/>
                <w:szCs w:val="24"/>
                <w:lang w:eastAsia="en-GB"/>
                <w14:ligatures w14:val="none"/>
              </w:rPr>
            </w:pPr>
            <w:r w:rsidRPr="00EB0D8A">
              <w:rPr>
                <w:rFonts w:ascii="Arial" w:eastAsia="Times New Roman" w:hAnsi="Arial" w:cs="Arial"/>
                <w:b/>
                <w:bCs/>
                <w:kern w:val="0"/>
                <w:sz w:val="24"/>
                <w:szCs w:val="24"/>
                <w:lang w:eastAsia="en-GB"/>
                <w14:ligatures w14:val="none"/>
              </w:rPr>
              <w:t>Jul</w:t>
            </w:r>
          </w:p>
        </w:tc>
        <w:tc>
          <w:tcPr>
            <w:tcW w:w="0" w:type="auto"/>
            <w:shd w:val="clear" w:color="auto" w:fill="83CAEB" w:themeFill="accent1" w:themeFillTint="66"/>
            <w:vAlign w:val="center"/>
            <w:hideMark/>
          </w:tcPr>
          <w:p w14:paraId="63FD74DF" w14:textId="77777777" w:rsidR="00EB0D8A" w:rsidRPr="00EB0D8A" w:rsidRDefault="00EB0D8A" w:rsidP="00EB0D8A">
            <w:pPr>
              <w:spacing w:after="0" w:line="240" w:lineRule="auto"/>
              <w:jc w:val="center"/>
              <w:rPr>
                <w:rFonts w:ascii="Arial" w:eastAsia="Times New Roman" w:hAnsi="Arial" w:cs="Arial"/>
                <w:b/>
                <w:bCs/>
                <w:kern w:val="0"/>
                <w:sz w:val="24"/>
                <w:szCs w:val="24"/>
                <w:lang w:eastAsia="en-GB"/>
                <w14:ligatures w14:val="none"/>
              </w:rPr>
            </w:pPr>
            <w:r w:rsidRPr="00EB0D8A">
              <w:rPr>
                <w:rFonts w:ascii="Arial" w:eastAsia="Times New Roman" w:hAnsi="Arial" w:cs="Arial"/>
                <w:b/>
                <w:bCs/>
                <w:kern w:val="0"/>
                <w:sz w:val="24"/>
                <w:szCs w:val="24"/>
                <w:lang w:eastAsia="en-GB"/>
                <w14:ligatures w14:val="none"/>
              </w:rPr>
              <w:t>Aug</w:t>
            </w:r>
          </w:p>
        </w:tc>
        <w:tc>
          <w:tcPr>
            <w:tcW w:w="0" w:type="auto"/>
            <w:shd w:val="clear" w:color="auto" w:fill="83CAEB" w:themeFill="accent1" w:themeFillTint="66"/>
            <w:vAlign w:val="center"/>
            <w:hideMark/>
          </w:tcPr>
          <w:p w14:paraId="0D79869A" w14:textId="77777777" w:rsidR="00EB0D8A" w:rsidRPr="00EB0D8A" w:rsidRDefault="00EB0D8A" w:rsidP="00EB0D8A">
            <w:pPr>
              <w:spacing w:after="0" w:line="240" w:lineRule="auto"/>
              <w:jc w:val="center"/>
              <w:rPr>
                <w:rFonts w:ascii="Arial" w:eastAsia="Times New Roman" w:hAnsi="Arial" w:cs="Arial"/>
                <w:b/>
                <w:bCs/>
                <w:kern w:val="0"/>
                <w:sz w:val="24"/>
                <w:szCs w:val="24"/>
                <w:lang w:eastAsia="en-GB"/>
                <w14:ligatures w14:val="none"/>
              </w:rPr>
            </w:pPr>
            <w:r w:rsidRPr="00EB0D8A">
              <w:rPr>
                <w:rFonts w:ascii="Arial" w:eastAsia="Times New Roman" w:hAnsi="Arial" w:cs="Arial"/>
                <w:b/>
                <w:bCs/>
                <w:kern w:val="0"/>
                <w:sz w:val="24"/>
                <w:szCs w:val="24"/>
                <w:lang w:eastAsia="en-GB"/>
                <w14:ligatures w14:val="none"/>
              </w:rPr>
              <w:t>Sept</w:t>
            </w:r>
          </w:p>
        </w:tc>
        <w:tc>
          <w:tcPr>
            <w:tcW w:w="0" w:type="auto"/>
            <w:shd w:val="clear" w:color="auto" w:fill="83CAEB" w:themeFill="accent1" w:themeFillTint="66"/>
            <w:vAlign w:val="center"/>
            <w:hideMark/>
          </w:tcPr>
          <w:p w14:paraId="0A2D7187" w14:textId="77777777" w:rsidR="00EB0D8A" w:rsidRPr="00EB0D8A" w:rsidRDefault="00EB0D8A" w:rsidP="00EB0D8A">
            <w:pPr>
              <w:spacing w:after="0" w:line="240" w:lineRule="auto"/>
              <w:jc w:val="center"/>
              <w:rPr>
                <w:rFonts w:ascii="Arial" w:eastAsia="Times New Roman" w:hAnsi="Arial" w:cs="Arial"/>
                <w:b/>
                <w:bCs/>
                <w:kern w:val="0"/>
                <w:sz w:val="24"/>
                <w:szCs w:val="24"/>
                <w:lang w:eastAsia="en-GB"/>
                <w14:ligatures w14:val="none"/>
              </w:rPr>
            </w:pPr>
            <w:r w:rsidRPr="00EB0D8A">
              <w:rPr>
                <w:rFonts w:ascii="Arial" w:eastAsia="Times New Roman" w:hAnsi="Arial" w:cs="Arial"/>
                <w:b/>
                <w:bCs/>
                <w:kern w:val="0"/>
                <w:sz w:val="24"/>
                <w:szCs w:val="24"/>
                <w:lang w:eastAsia="en-GB"/>
                <w14:ligatures w14:val="none"/>
              </w:rPr>
              <w:t>Oct</w:t>
            </w:r>
          </w:p>
        </w:tc>
        <w:tc>
          <w:tcPr>
            <w:tcW w:w="0" w:type="auto"/>
            <w:shd w:val="clear" w:color="auto" w:fill="83CAEB" w:themeFill="accent1" w:themeFillTint="66"/>
            <w:vAlign w:val="center"/>
            <w:hideMark/>
          </w:tcPr>
          <w:p w14:paraId="0C6908A2" w14:textId="77777777" w:rsidR="00EB0D8A" w:rsidRPr="00EB0D8A" w:rsidRDefault="00EB0D8A" w:rsidP="00EB0D8A">
            <w:pPr>
              <w:spacing w:after="0" w:line="240" w:lineRule="auto"/>
              <w:jc w:val="center"/>
              <w:rPr>
                <w:rFonts w:ascii="Arial" w:eastAsia="Times New Roman" w:hAnsi="Arial" w:cs="Arial"/>
                <w:b/>
                <w:bCs/>
                <w:kern w:val="0"/>
                <w:sz w:val="24"/>
                <w:szCs w:val="24"/>
                <w:lang w:eastAsia="en-GB"/>
                <w14:ligatures w14:val="none"/>
              </w:rPr>
            </w:pPr>
            <w:r w:rsidRPr="00EB0D8A">
              <w:rPr>
                <w:rFonts w:ascii="Arial" w:eastAsia="Times New Roman" w:hAnsi="Arial" w:cs="Arial"/>
                <w:b/>
                <w:bCs/>
                <w:kern w:val="0"/>
                <w:sz w:val="24"/>
                <w:szCs w:val="24"/>
                <w:lang w:eastAsia="en-GB"/>
                <w14:ligatures w14:val="none"/>
              </w:rPr>
              <w:t>Nov</w:t>
            </w:r>
          </w:p>
        </w:tc>
      </w:tr>
      <w:tr w:rsidR="00CA06CB" w:rsidRPr="00EB0D8A" w14:paraId="2572C3B0" w14:textId="77777777" w:rsidTr="00CA06CB">
        <w:trPr>
          <w:trHeight w:val="285"/>
          <w:tblCellSpacing w:w="15" w:type="dxa"/>
        </w:trPr>
        <w:tc>
          <w:tcPr>
            <w:tcW w:w="0" w:type="auto"/>
            <w:vAlign w:val="center"/>
            <w:hideMark/>
          </w:tcPr>
          <w:p w14:paraId="39509C2B"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b/>
                <w:bCs/>
                <w:kern w:val="0"/>
                <w:sz w:val="24"/>
                <w:szCs w:val="24"/>
                <w:lang w:eastAsia="en-GB"/>
                <w14:ligatures w14:val="none"/>
              </w:rPr>
              <w:t>Receipts (99.1% sales)</w:t>
            </w:r>
          </w:p>
        </w:tc>
        <w:tc>
          <w:tcPr>
            <w:tcW w:w="0" w:type="auto"/>
            <w:vAlign w:val="center"/>
            <w:hideMark/>
          </w:tcPr>
          <w:p w14:paraId="6483E0AE"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208.1</w:t>
            </w:r>
          </w:p>
        </w:tc>
        <w:tc>
          <w:tcPr>
            <w:tcW w:w="0" w:type="auto"/>
            <w:vAlign w:val="center"/>
            <w:hideMark/>
          </w:tcPr>
          <w:p w14:paraId="324F62DB"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247.8</w:t>
            </w:r>
          </w:p>
        </w:tc>
        <w:tc>
          <w:tcPr>
            <w:tcW w:w="0" w:type="auto"/>
            <w:vAlign w:val="center"/>
            <w:hideMark/>
          </w:tcPr>
          <w:p w14:paraId="2A9037C3"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217.0</w:t>
            </w:r>
          </w:p>
        </w:tc>
        <w:tc>
          <w:tcPr>
            <w:tcW w:w="0" w:type="auto"/>
            <w:vAlign w:val="center"/>
            <w:hideMark/>
          </w:tcPr>
          <w:p w14:paraId="79B80343"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228.0</w:t>
            </w:r>
          </w:p>
        </w:tc>
        <w:tc>
          <w:tcPr>
            <w:tcW w:w="0" w:type="auto"/>
            <w:vAlign w:val="center"/>
            <w:hideMark/>
          </w:tcPr>
          <w:p w14:paraId="23620FDC"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237.8</w:t>
            </w:r>
          </w:p>
        </w:tc>
        <w:tc>
          <w:tcPr>
            <w:tcW w:w="0" w:type="auto"/>
            <w:vAlign w:val="center"/>
            <w:hideMark/>
          </w:tcPr>
          <w:p w14:paraId="040741C5"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257.7</w:t>
            </w:r>
          </w:p>
        </w:tc>
      </w:tr>
      <w:tr w:rsidR="00CA06CB" w:rsidRPr="00EB0D8A" w14:paraId="4DC7BCE0" w14:textId="77777777" w:rsidTr="00CA06CB">
        <w:trPr>
          <w:trHeight w:val="298"/>
          <w:tblCellSpacing w:w="15" w:type="dxa"/>
        </w:trPr>
        <w:tc>
          <w:tcPr>
            <w:tcW w:w="0" w:type="auto"/>
            <w:vAlign w:val="center"/>
            <w:hideMark/>
          </w:tcPr>
          <w:p w14:paraId="3EC9F55A"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b/>
                <w:bCs/>
                <w:kern w:val="0"/>
                <w:sz w:val="24"/>
                <w:szCs w:val="24"/>
                <w:lang w:eastAsia="en-GB"/>
                <w14:ligatures w14:val="none"/>
              </w:rPr>
              <w:t>Payments</w:t>
            </w:r>
          </w:p>
        </w:tc>
        <w:tc>
          <w:tcPr>
            <w:tcW w:w="0" w:type="auto"/>
            <w:vAlign w:val="center"/>
            <w:hideMark/>
          </w:tcPr>
          <w:p w14:paraId="64D6634C"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p>
        </w:tc>
        <w:tc>
          <w:tcPr>
            <w:tcW w:w="0" w:type="auto"/>
            <w:vAlign w:val="center"/>
            <w:hideMark/>
          </w:tcPr>
          <w:p w14:paraId="0FAC4024"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p>
        </w:tc>
        <w:tc>
          <w:tcPr>
            <w:tcW w:w="0" w:type="auto"/>
            <w:vAlign w:val="center"/>
            <w:hideMark/>
          </w:tcPr>
          <w:p w14:paraId="5E255D46"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p>
        </w:tc>
        <w:tc>
          <w:tcPr>
            <w:tcW w:w="0" w:type="auto"/>
            <w:vAlign w:val="center"/>
            <w:hideMark/>
          </w:tcPr>
          <w:p w14:paraId="5A78291C"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p>
        </w:tc>
        <w:tc>
          <w:tcPr>
            <w:tcW w:w="0" w:type="auto"/>
            <w:vAlign w:val="center"/>
            <w:hideMark/>
          </w:tcPr>
          <w:p w14:paraId="4ECDF97A"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p>
        </w:tc>
        <w:tc>
          <w:tcPr>
            <w:tcW w:w="0" w:type="auto"/>
            <w:vAlign w:val="center"/>
            <w:hideMark/>
          </w:tcPr>
          <w:p w14:paraId="4EE8A326"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p>
        </w:tc>
      </w:tr>
      <w:tr w:rsidR="00CA06CB" w:rsidRPr="00EB0D8A" w14:paraId="2A359BAE" w14:textId="77777777" w:rsidTr="00CA06CB">
        <w:trPr>
          <w:trHeight w:val="298"/>
          <w:tblCellSpacing w:w="15" w:type="dxa"/>
        </w:trPr>
        <w:tc>
          <w:tcPr>
            <w:tcW w:w="0" w:type="auto"/>
            <w:vAlign w:val="center"/>
            <w:hideMark/>
          </w:tcPr>
          <w:p w14:paraId="02A5AF93"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Administration</w:t>
            </w:r>
          </w:p>
        </w:tc>
        <w:tc>
          <w:tcPr>
            <w:tcW w:w="0" w:type="auto"/>
            <w:vAlign w:val="center"/>
            <w:hideMark/>
          </w:tcPr>
          <w:p w14:paraId="294D57D8"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(19)</w:t>
            </w:r>
          </w:p>
        </w:tc>
        <w:tc>
          <w:tcPr>
            <w:tcW w:w="0" w:type="auto"/>
            <w:vAlign w:val="center"/>
            <w:hideMark/>
          </w:tcPr>
          <w:p w14:paraId="172FD137"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(20)</w:t>
            </w:r>
          </w:p>
        </w:tc>
        <w:tc>
          <w:tcPr>
            <w:tcW w:w="0" w:type="auto"/>
            <w:vAlign w:val="center"/>
            <w:hideMark/>
          </w:tcPr>
          <w:p w14:paraId="2079E9FF"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(21)</w:t>
            </w:r>
          </w:p>
        </w:tc>
        <w:tc>
          <w:tcPr>
            <w:tcW w:w="0" w:type="auto"/>
            <w:vAlign w:val="center"/>
            <w:hideMark/>
          </w:tcPr>
          <w:p w14:paraId="0012AC44"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(22)</w:t>
            </w:r>
          </w:p>
        </w:tc>
        <w:tc>
          <w:tcPr>
            <w:tcW w:w="0" w:type="auto"/>
            <w:vAlign w:val="center"/>
            <w:hideMark/>
          </w:tcPr>
          <w:p w14:paraId="67674AE6"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(23)</w:t>
            </w:r>
          </w:p>
        </w:tc>
        <w:tc>
          <w:tcPr>
            <w:tcW w:w="0" w:type="auto"/>
            <w:vAlign w:val="center"/>
            <w:hideMark/>
          </w:tcPr>
          <w:p w14:paraId="00B13B1E"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(24)</w:t>
            </w:r>
          </w:p>
        </w:tc>
      </w:tr>
      <w:tr w:rsidR="00CA06CB" w:rsidRPr="00EB0D8A" w14:paraId="29DE6254" w14:textId="77777777" w:rsidTr="00CA06CB">
        <w:trPr>
          <w:trHeight w:val="285"/>
          <w:tblCellSpacing w:w="15" w:type="dxa"/>
        </w:trPr>
        <w:tc>
          <w:tcPr>
            <w:tcW w:w="0" w:type="auto"/>
            <w:vAlign w:val="center"/>
            <w:hideMark/>
          </w:tcPr>
          <w:p w14:paraId="65A23B60"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Stock purchases</w:t>
            </w:r>
          </w:p>
        </w:tc>
        <w:tc>
          <w:tcPr>
            <w:tcW w:w="0" w:type="auto"/>
            <w:vAlign w:val="center"/>
            <w:hideMark/>
          </w:tcPr>
          <w:p w14:paraId="1BCCBD10"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(175)</w:t>
            </w:r>
          </w:p>
        </w:tc>
        <w:tc>
          <w:tcPr>
            <w:tcW w:w="0" w:type="auto"/>
            <w:vAlign w:val="center"/>
            <w:hideMark/>
          </w:tcPr>
          <w:p w14:paraId="187DCF4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(79.4)</w:t>
            </w:r>
          </w:p>
        </w:tc>
        <w:tc>
          <w:tcPr>
            <w:tcW w:w="0" w:type="auto"/>
            <w:vAlign w:val="center"/>
            <w:hideMark/>
          </w:tcPr>
          <w:p w14:paraId="2D84AC2F"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(160)</w:t>
            </w:r>
          </w:p>
        </w:tc>
        <w:tc>
          <w:tcPr>
            <w:tcW w:w="0" w:type="auto"/>
            <w:vAlign w:val="center"/>
            <w:hideMark/>
          </w:tcPr>
          <w:p w14:paraId="55CE4A0F"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(140.8)</w:t>
            </w:r>
          </w:p>
        </w:tc>
        <w:tc>
          <w:tcPr>
            <w:tcW w:w="0" w:type="auto"/>
            <w:vAlign w:val="center"/>
            <w:hideMark/>
          </w:tcPr>
          <w:p w14:paraId="65FC0A1F"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(147.2)</w:t>
            </w:r>
          </w:p>
        </w:tc>
        <w:tc>
          <w:tcPr>
            <w:tcW w:w="0" w:type="auto"/>
            <w:vAlign w:val="center"/>
            <w:hideMark/>
          </w:tcPr>
          <w:p w14:paraId="111D3DF4"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(153.6)</w:t>
            </w:r>
          </w:p>
        </w:tc>
      </w:tr>
      <w:tr w:rsidR="00CA06CB" w:rsidRPr="00EB0D8A" w14:paraId="4C2B7167" w14:textId="77777777" w:rsidTr="00CA06CB">
        <w:trPr>
          <w:trHeight w:val="298"/>
          <w:tblCellSpacing w:w="15" w:type="dxa"/>
        </w:trPr>
        <w:tc>
          <w:tcPr>
            <w:tcW w:w="0" w:type="auto"/>
            <w:vAlign w:val="center"/>
            <w:hideMark/>
          </w:tcPr>
          <w:p w14:paraId="536EFC3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Loan repayments</w:t>
            </w:r>
          </w:p>
        </w:tc>
        <w:tc>
          <w:tcPr>
            <w:tcW w:w="0" w:type="auto"/>
            <w:vAlign w:val="center"/>
            <w:hideMark/>
          </w:tcPr>
          <w:p w14:paraId="63CDCF2C"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(4.5)</w:t>
            </w:r>
          </w:p>
        </w:tc>
        <w:tc>
          <w:tcPr>
            <w:tcW w:w="0" w:type="auto"/>
            <w:vAlign w:val="center"/>
            <w:hideMark/>
          </w:tcPr>
          <w:p w14:paraId="6991AFFC"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(4.5)</w:t>
            </w:r>
          </w:p>
        </w:tc>
        <w:tc>
          <w:tcPr>
            <w:tcW w:w="0" w:type="auto"/>
            <w:vAlign w:val="center"/>
            <w:hideMark/>
          </w:tcPr>
          <w:p w14:paraId="1519510F"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(4.5)</w:t>
            </w:r>
          </w:p>
        </w:tc>
        <w:tc>
          <w:tcPr>
            <w:tcW w:w="0" w:type="auto"/>
            <w:vAlign w:val="center"/>
            <w:hideMark/>
          </w:tcPr>
          <w:p w14:paraId="07475F4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(4.5)</w:t>
            </w:r>
          </w:p>
        </w:tc>
        <w:tc>
          <w:tcPr>
            <w:tcW w:w="0" w:type="auto"/>
            <w:vAlign w:val="center"/>
            <w:hideMark/>
          </w:tcPr>
          <w:p w14:paraId="581DF9EF"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(4.5)</w:t>
            </w:r>
          </w:p>
        </w:tc>
        <w:tc>
          <w:tcPr>
            <w:tcW w:w="0" w:type="auto"/>
            <w:vAlign w:val="center"/>
            <w:hideMark/>
          </w:tcPr>
          <w:p w14:paraId="110A1DF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(4.5)</w:t>
            </w:r>
          </w:p>
        </w:tc>
      </w:tr>
      <w:tr w:rsidR="00CA06CB" w:rsidRPr="00EB0D8A" w14:paraId="3FEE3B9F" w14:textId="77777777" w:rsidTr="00CA06CB">
        <w:trPr>
          <w:trHeight w:val="298"/>
          <w:tblCellSpacing w:w="15" w:type="dxa"/>
        </w:trPr>
        <w:tc>
          <w:tcPr>
            <w:tcW w:w="0" w:type="auto"/>
            <w:vAlign w:val="center"/>
            <w:hideMark/>
          </w:tcPr>
          <w:p w14:paraId="39AA67DE"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Selling expenses</w:t>
            </w:r>
          </w:p>
        </w:tc>
        <w:tc>
          <w:tcPr>
            <w:tcW w:w="0" w:type="auto"/>
            <w:vAlign w:val="center"/>
            <w:hideMark/>
          </w:tcPr>
          <w:p w14:paraId="595F754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(6)</w:t>
            </w:r>
          </w:p>
        </w:tc>
        <w:tc>
          <w:tcPr>
            <w:tcW w:w="0" w:type="auto"/>
            <w:vAlign w:val="center"/>
            <w:hideMark/>
          </w:tcPr>
          <w:p w14:paraId="3E223500"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(7)</w:t>
            </w:r>
          </w:p>
        </w:tc>
        <w:tc>
          <w:tcPr>
            <w:tcW w:w="0" w:type="auto"/>
            <w:vAlign w:val="center"/>
            <w:hideMark/>
          </w:tcPr>
          <w:p w14:paraId="41581A8A"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(8)</w:t>
            </w:r>
          </w:p>
        </w:tc>
        <w:tc>
          <w:tcPr>
            <w:tcW w:w="0" w:type="auto"/>
            <w:vAlign w:val="center"/>
            <w:hideMark/>
          </w:tcPr>
          <w:p w14:paraId="6BFEFC4B"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(9)</w:t>
            </w:r>
          </w:p>
        </w:tc>
        <w:tc>
          <w:tcPr>
            <w:tcW w:w="0" w:type="auto"/>
            <w:vAlign w:val="center"/>
            <w:hideMark/>
          </w:tcPr>
          <w:p w14:paraId="3021B31F"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(10)</w:t>
            </w:r>
          </w:p>
        </w:tc>
        <w:tc>
          <w:tcPr>
            <w:tcW w:w="0" w:type="auto"/>
            <w:vAlign w:val="center"/>
            <w:hideMark/>
          </w:tcPr>
          <w:p w14:paraId="17E1791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(7)</w:t>
            </w:r>
          </w:p>
        </w:tc>
      </w:tr>
      <w:tr w:rsidR="00CA06CB" w:rsidRPr="00EB0D8A" w14:paraId="06B8FBE5" w14:textId="77777777" w:rsidTr="00CA06CB">
        <w:trPr>
          <w:trHeight w:val="285"/>
          <w:tblCellSpacing w:w="15" w:type="dxa"/>
        </w:trPr>
        <w:tc>
          <w:tcPr>
            <w:tcW w:w="0" w:type="auto"/>
            <w:vAlign w:val="center"/>
            <w:hideMark/>
          </w:tcPr>
          <w:p w14:paraId="31721050"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Taxation</w:t>
            </w:r>
          </w:p>
        </w:tc>
        <w:tc>
          <w:tcPr>
            <w:tcW w:w="0" w:type="auto"/>
            <w:vAlign w:val="center"/>
            <w:hideMark/>
          </w:tcPr>
          <w:p w14:paraId="7FE8A6D3"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w:t>
            </w:r>
          </w:p>
        </w:tc>
        <w:tc>
          <w:tcPr>
            <w:tcW w:w="0" w:type="auto"/>
            <w:vAlign w:val="center"/>
            <w:hideMark/>
          </w:tcPr>
          <w:p w14:paraId="1B54DDB9"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w:t>
            </w:r>
          </w:p>
        </w:tc>
        <w:tc>
          <w:tcPr>
            <w:tcW w:w="0" w:type="auto"/>
            <w:vAlign w:val="center"/>
            <w:hideMark/>
          </w:tcPr>
          <w:p w14:paraId="21CAB96E"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(18)</w:t>
            </w:r>
          </w:p>
        </w:tc>
        <w:tc>
          <w:tcPr>
            <w:tcW w:w="0" w:type="auto"/>
            <w:vAlign w:val="center"/>
            <w:hideMark/>
          </w:tcPr>
          <w:p w14:paraId="793885C7"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w:t>
            </w:r>
          </w:p>
        </w:tc>
        <w:tc>
          <w:tcPr>
            <w:tcW w:w="0" w:type="auto"/>
            <w:vAlign w:val="center"/>
            <w:hideMark/>
          </w:tcPr>
          <w:p w14:paraId="087114D0"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w:t>
            </w:r>
          </w:p>
        </w:tc>
        <w:tc>
          <w:tcPr>
            <w:tcW w:w="0" w:type="auto"/>
            <w:vAlign w:val="center"/>
            <w:hideMark/>
          </w:tcPr>
          <w:p w14:paraId="75382A3A"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w:t>
            </w:r>
          </w:p>
        </w:tc>
      </w:tr>
      <w:tr w:rsidR="00CA06CB" w:rsidRPr="00EB0D8A" w14:paraId="44408B39" w14:textId="77777777" w:rsidTr="00CA06CB">
        <w:trPr>
          <w:trHeight w:val="298"/>
          <w:tblCellSpacing w:w="15" w:type="dxa"/>
        </w:trPr>
        <w:tc>
          <w:tcPr>
            <w:tcW w:w="0" w:type="auto"/>
            <w:vAlign w:val="center"/>
            <w:hideMark/>
          </w:tcPr>
          <w:p w14:paraId="01A42762"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Refurbishment</w:t>
            </w:r>
          </w:p>
        </w:tc>
        <w:tc>
          <w:tcPr>
            <w:tcW w:w="0" w:type="auto"/>
            <w:vAlign w:val="center"/>
            <w:hideMark/>
          </w:tcPr>
          <w:p w14:paraId="11878E0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(14)</w:t>
            </w:r>
          </w:p>
        </w:tc>
        <w:tc>
          <w:tcPr>
            <w:tcW w:w="0" w:type="auto"/>
            <w:vAlign w:val="center"/>
            <w:hideMark/>
          </w:tcPr>
          <w:p w14:paraId="185F8712"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(12)</w:t>
            </w:r>
          </w:p>
        </w:tc>
        <w:tc>
          <w:tcPr>
            <w:tcW w:w="0" w:type="auto"/>
            <w:vAlign w:val="center"/>
            <w:hideMark/>
          </w:tcPr>
          <w:p w14:paraId="23CD803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(16)</w:t>
            </w:r>
          </w:p>
        </w:tc>
        <w:tc>
          <w:tcPr>
            <w:tcW w:w="0" w:type="auto"/>
            <w:vAlign w:val="center"/>
            <w:hideMark/>
          </w:tcPr>
          <w:p w14:paraId="1DBB8DF0"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w:t>
            </w:r>
          </w:p>
        </w:tc>
        <w:tc>
          <w:tcPr>
            <w:tcW w:w="0" w:type="auto"/>
            <w:vAlign w:val="center"/>
            <w:hideMark/>
          </w:tcPr>
          <w:p w14:paraId="3F40FFE0"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w:t>
            </w:r>
          </w:p>
        </w:tc>
        <w:tc>
          <w:tcPr>
            <w:tcW w:w="0" w:type="auto"/>
            <w:vAlign w:val="center"/>
            <w:hideMark/>
          </w:tcPr>
          <w:p w14:paraId="3BA501BD"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w:t>
            </w:r>
          </w:p>
        </w:tc>
      </w:tr>
      <w:tr w:rsidR="00CA06CB" w:rsidRPr="00EB0D8A" w14:paraId="4C7DE346" w14:textId="77777777" w:rsidTr="00CA06CB">
        <w:trPr>
          <w:trHeight w:val="298"/>
          <w:tblCellSpacing w:w="15" w:type="dxa"/>
        </w:trPr>
        <w:tc>
          <w:tcPr>
            <w:tcW w:w="0" w:type="auto"/>
            <w:vAlign w:val="center"/>
            <w:hideMark/>
          </w:tcPr>
          <w:p w14:paraId="7B29E232"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b/>
                <w:bCs/>
                <w:kern w:val="0"/>
                <w:sz w:val="24"/>
                <w:szCs w:val="24"/>
                <w:lang w:eastAsia="en-GB"/>
                <w14:ligatures w14:val="none"/>
              </w:rPr>
              <w:t>Net cash flow</w:t>
            </w:r>
          </w:p>
        </w:tc>
        <w:tc>
          <w:tcPr>
            <w:tcW w:w="0" w:type="auto"/>
            <w:vAlign w:val="center"/>
            <w:hideMark/>
          </w:tcPr>
          <w:p w14:paraId="10D785DD"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(10.9)</w:t>
            </w:r>
          </w:p>
        </w:tc>
        <w:tc>
          <w:tcPr>
            <w:tcW w:w="0" w:type="auto"/>
            <w:vAlign w:val="center"/>
            <w:hideMark/>
          </w:tcPr>
          <w:p w14:paraId="37371FC4"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124.9</w:t>
            </w:r>
          </w:p>
        </w:tc>
        <w:tc>
          <w:tcPr>
            <w:tcW w:w="0" w:type="auto"/>
            <w:vAlign w:val="center"/>
            <w:hideMark/>
          </w:tcPr>
          <w:p w14:paraId="58CA69AF"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(10.5)</w:t>
            </w:r>
          </w:p>
        </w:tc>
        <w:tc>
          <w:tcPr>
            <w:tcW w:w="0" w:type="auto"/>
            <w:vAlign w:val="center"/>
            <w:hideMark/>
          </w:tcPr>
          <w:p w14:paraId="6845435A"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51.7</w:t>
            </w:r>
          </w:p>
        </w:tc>
        <w:tc>
          <w:tcPr>
            <w:tcW w:w="0" w:type="auto"/>
            <w:vAlign w:val="center"/>
            <w:hideMark/>
          </w:tcPr>
          <w:p w14:paraId="4435B94C"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53.1</w:t>
            </w:r>
          </w:p>
        </w:tc>
        <w:tc>
          <w:tcPr>
            <w:tcW w:w="0" w:type="auto"/>
            <w:vAlign w:val="center"/>
            <w:hideMark/>
          </w:tcPr>
          <w:p w14:paraId="5C127E23"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68.6</w:t>
            </w:r>
          </w:p>
        </w:tc>
      </w:tr>
      <w:tr w:rsidR="00CA06CB" w:rsidRPr="00EB0D8A" w14:paraId="4D361911" w14:textId="77777777" w:rsidTr="00CA06CB">
        <w:trPr>
          <w:trHeight w:val="285"/>
          <w:tblCellSpacing w:w="15" w:type="dxa"/>
        </w:trPr>
        <w:tc>
          <w:tcPr>
            <w:tcW w:w="0" w:type="auto"/>
            <w:vAlign w:val="center"/>
            <w:hideMark/>
          </w:tcPr>
          <w:p w14:paraId="1484D71D"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Opening balance</w:t>
            </w:r>
          </w:p>
        </w:tc>
        <w:tc>
          <w:tcPr>
            <w:tcW w:w="0" w:type="auto"/>
            <w:vAlign w:val="center"/>
            <w:hideMark/>
          </w:tcPr>
          <w:p w14:paraId="473D2F7A"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(30.0)</w:t>
            </w:r>
          </w:p>
        </w:tc>
        <w:tc>
          <w:tcPr>
            <w:tcW w:w="0" w:type="auto"/>
            <w:vAlign w:val="center"/>
            <w:hideMark/>
          </w:tcPr>
          <w:p w14:paraId="11534127"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(40.9)</w:t>
            </w:r>
          </w:p>
        </w:tc>
        <w:tc>
          <w:tcPr>
            <w:tcW w:w="0" w:type="auto"/>
            <w:vAlign w:val="center"/>
            <w:hideMark/>
          </w:tcPr>
          <w:p w14:paraId="41F722E0"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84.0</w:t>
            </w:r>
          </w:p>
        </w:tc>
        <w:tc>
          <w:tcPr>
            <w:tcW w:w="0" w:type="auto"/>
            <w:vAlign w:val="center"/>
            <w:hideMark/>
          </w:tcPr>
          <w:p w14:paraId="4101BD92"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73.5</w:t>
            </w:r>
          </w:p>
        </w:tc>
        <w:tc>
          <w:tcPr>
            <w:tcW w:w="0" w:type="auto"/>
            <w:vAlign w:val="center"/>
            <w:hideMark/>
          </w:tcPr>
          <w:p w14:paraId="7AD26DD7"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125.2</w:t>
            </w:r>
          </w:p>
        </w:tc>
        <w:tc>
          <w:tcPr>
            <w:tcW w:w="0" w:type="auto"/>
            <w:vAlign w:val="center"/>
            <w:hideMark/>
          </w:tcPr>
          <w:p w14:paraId="75CCCF35"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178.3</w:t>
            </w:r>
          </w:p>
        </w:tc>
      </w:tr>
      <w:tr w:rsidR="00CA06CB" w:rsidRPr="00EB0D8A" w14:paraId="5E0F7D07" w14:textId="77777777" w:rsidTr="00CA06CB">
        <w:trPr>
          <w:trHeight w:val="298"/>
          <w:tblCellSpacing w:w="15" w:type="dxa"/>
        </w:trPr>
        <w:tc>
          <w:tcPr>
            <w:tcW w:w="0" w:type="auto"/>
            <w:vAlign w:val="center"/>
            <w:hideMark/>
          </w:tcPr>
          <w:p w14:paraId="2F6C81E9"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b/>
                <w:bCs/>
                <w:kern w:val="0"/>
                <w:sz w:val="24"/>
                <w:szCs w:val="24"/>
                <w:lang w:eastAsia="en-GB"/>
                <w14:ligatures w14:val="none"/>
              </w:rPr>
              <w:t>Closing balance</w:t>
            </w:r>
          </w:p>
        </w:tc>
        <w:tc>
          <w:tcPr>
            <w:tcW w:w="0" w:type="auto"/>
            <w:vAlign w:val="center"/>
            <w:hideMark/>
          </w:tcPr>
          <w:p w14:paraId="70C08E39"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(40.9)</w:t>
            </w:r>
          </w:p>
        </w:tc>
        <w:tc>
          <w:tcPr>
            <w:tcW w:w="0" w:type="auto"/>
            <w:vAlign w:val="center"/>
            <w:hideMark/>
          </w:tcPr>
          <w:p w14:paraId="261D24F5"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84.0</w:t>
            </w:r>
          </w:p>
        </w:tc>
        <w:tc>
          <w:tcPr>
            <w:tcW w:w="0" w:type="auto"/>
            <w:vAlign w:val="center"/>
            <w:hideMark/>
          </w:tcPr>
          <w:p w14:paraId="471F9568"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73.5</w:t>
            </w:r>
          </w:p>
        </w:tc>
        <w:tc>
          <w:tcPr>
            <w:tcW w:w="0" w:type="auto"/>
            <w:vAlign w:val="center"/>
            <w:hideMark/>
          </w:tcPr>
          <w:p w14:paraId="21B39EC9"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125.2</w:t>
            </w:r>
          </w:p>
        </w:tc>
        <w:tc>
          <w:tcPr>
            <w:tcW w:w="0" w:type="auto"/>
            <w:vAlign w:val="center"/>
            <w:hideMark/>
          </w:tcPr>
          <w:p w14:paraId="02DF3CFF"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178.3</w:t>
            </w:r>
          </w:p>
        </w:tc>
        <w:tc>
          <w:tcPr>
            <w:tcW w:w="0" w:type="auto"/>
            <w:vAlign w:val="center"/>
            <w:hideMark/>
          </w:tcPr>
          <w:p w14:paraId="4933AA0C"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246.9</w:t>
            </w:r>
          </w:p>
        </w:tc>
      </w:tr>
    </w:tbl>
    <w:p w14:paraId="0783E2DF" w14:textId="77777777" w:rsidR="00D91FCF" w:rsidRPr="00D91FCF" w:rsidRDefault="00D91FCF" w:rsidP="00D91FCF">
      <w:pPr>
        <w:spacing w:line="480" w:lineRule="auto"/>
        <w:rPr>
          <w:rFonts w:ascii="Arial" w:hAnsi="Arial" w:cs="Arial"/>
          <w:sz w:val="24"/>
          <w:szCs w:val="24"/>
        </w:rPr>
      </w:pPr>
    </w:p>
    <w:p w14:paraId="419D170E" w14:textId="3D81860E" w:rsidR="00D91FCF" w:rsidRDefault="00D91FCF" w:rsidP="00EB0D8A">
      <w:pPr>
        <w:spacing w:line="480" w:lineRule="auto"/>
        <w:ind w:left="720"/>
        <w:rPr>
          <w:rFonts w:ascii="Arial" w:hAnsi="Arial" w:cs="Arial"/>
          <w:sz w:val="24"/>
          <w:szCs w:val="24"/>
        </w:rPr>
      </w:pPr>
    </w:p>
    <w:p w14:paraId="25D6D3A1" w14:textId="77777777" w:rsidR="00EB0D8A" w:rsidRDefault="00EB0D8A" w:rsidP="00EB0D8A">
      <w:pPr>
        <w:spacing w:line="480" w:lineRule="auto"/>
        <w:rPr>
          <w:rFonts w:ascii="Arial" w:hAnsi="Arial" w:cs="Arial"/>
          <w:sz w:val="24"/>
          <w:szCs w:val="24"/>
        </w:rPr>
      </w:pPr>
    </w:p>
    <w:p w14:paraId="0A44ABA1" w14:textId="77777777" w:rsidR="00EB0D8A" w:rsidRDefault="00EB0D8A" w:rsidP="00EB0D8A">
      <w:pPr>
        <w:spacing w:line="480" w:lineRule="auto"/>
        <w:rPr>
          <w:rFonts w:ascii="Arial" w:hAnsi="Arial" w:cs="Arial"/>
          <w:sz w:val="24"/>
          <w:szCs w:val="24"/>
        </w:rPr>
      </w:pPr>
    </w:p>
    <w:p w14:paraId="0E3D87F8" w14:textId="6995FDD9" w:rsidR="00EB0D8A" w:rsidRDefault="00D91FCF" w:rsidP="00D91FCF">
      <w:pPr>
        <w:spacing w:line="480" w:lineRule="auto"/>
        <w:rPr>
          <w:rFonts w:ascii="Arial" w:hAnsi="Arial" w:cs="Arial"/>
          <w:sz w:val="24"/>
          <w:szCs w:val="24"/>
        </w:rPr>
      </w:pPr>
      <w:r w:rsidRPr="00D91FCF">
        <w:rPr>
          <w:rFonts w:ascii="Arial" w:hAnsi="Arial" w:cs="Arial"/>
          <w:sz w:val="24"/>
          <w:szCs w:val="24"/>
        </w:rPr>
        <w:lastRenderedPageBreak/>
        <w:t xml:space="preserve">The budget clearly indicates that June is the </w:t>
      </w:r>
      <w:r w:rsidR="00EB0D8A">
        <w:rPr>
          <w:rFonts w:ascii="Arial" w:hAnsi="Arial" w:cs="Arial"/>
          <w:sz w:val="24"/>
          <w:szCs w:val="24"/>
        </w:rPr>
        <w:t>rough</w:t>
      </w:r>
      <w:r w:rsidRPr="00D91FCF">
        <w:rPr>
          <w:rFonts w:ascii="Arial" w:hAnsi="Arial" w:cs="Arial"/>
          <w:sz w:val="24"/>
          <w:szCs w:val="24"/>
        </w:rPr>
        <w:t xml:space="preserve"> month, and it takes £40,900 of the overdraft to pull through </w:t>
      </w:r>
      <w:r w:rsidR="00EB0D8A">
        <w:rPr>
          <w:rFonts w:ascii="Arial" w:hAnsi="Arial" w:cs="Arial"/>
          <w:sz w:val="24"/>
          <w:szCs w:val="24"/>
        </w:rPr>
        <w:t>before</w:t>
      </w:r>
      <w:r w:rsidRPr="00D91FCF">
        <w:rPr>
          <w:rFonts w:ascii="Arial" w:hAnsi="Arial" w:cs="Arial"/>
          <w:sz w:val="24"/>
          <w:szCs w:val="24"/>
        </w:rPr>
        <w:t xml:space="preserve"> </w:t>
      </w:r>
      <w:r w:rsidR="00EB0D8A">
        <w:rPr>
          <w:rFonts w:ascii="Arial" w:hAnsi="Arial" w:cs="Arial"/>
          <w:sz w:val="24"/>
          <w:szCs w:val="24"/>
        </w:rPr>
        <w:t>getting</w:t>
      </w:r>
      <w:r w:rsidRPr="00D91FCF">
        <w:rPr>
          <w:rFonts w:ascii="Arial" w:hAnsi="Arial" w:cs="Arial"/>
          <w:sz w:val="24"/>
          <w:szCs w:val="24"/>
        </w:rPr>
        <w:t xml:space="preserve"> a strong recovery in July. To reiterate,</w:t>
      </w:r>
      <w:r w:rsidR="00EB0D8A">
        <w:rPr>
          <w:rFonts w:ascii="Arial" w:hAnsi="Arial" w:cs="Arial"/>
          <w:sz w:val="24"/>
          <w:szCs w:val="24"/>
        </w:rPr>
        <w:t xml:space="preserve"> one </w:t>
      </w:r>
      <w:r w:rsidRPr="00D91FCF">
        <w:rPr>
          <w:rFonts w:ascii="Arial" w:hAnsi="Arial" w:cs="Arial"/>
          <w:sz w:val="24"/>
          <w:szCs w:val="24"/>
        </w:rPr>
        <w:t>should be thinking about liquidity needs as this deterioration is temporary</w:t>
      </w:r>
      <w:r w:rsidR="00EB0D8A">
        <w:rPr>
          <w:rFonts w:ascii="Arial" w:hAnsi="Arial" w:cs="Arial"/>
          <w:sz w:val="24"/>
          <w:szCs w:val="24"/>
        </w:rPr>
        <w:t xml:space="preserve"> (</w:t>
      </w:r>
      <w:r w:rsidRPr="00D91FCF">
        <w:rPr>
          <w:rFonts w:ascii="Arial" w:hAnsi="Arial" w:cs="Arial"/>
          <w:sz w:val="24"/>
          <w:szCs w:val="24"/>
        </w:rPr>
        <w:t>Okeke, Bakare</w:t>
      </w:r>
      <w:r w:rsidR="00EB0D8A">
        <w:rPr>
          <w:rFonts w:ascii="Arial" w:hAnsi="Arial" w:cs="Arial"/>
          <w:sz w:val="24"/>
          <w:szCs w:val="24"/>
        </w:rPr>
        <w:t>,</w:t>
      </w:r>
      <w:r w:rsidRPr="00D91FCF">
        <w:rPr>
          <w:rFonts w:ascii="Arial" w:hAnsi="Arial" w:cs="Arial"/>
          <w:sz w:val="24"/>
          <w:szCs w:val="24"/>
        </w:rPr>
        <w:t xml:space="preserve"> and </w:t>
      </w:r>
      <w:proofErr w:type="spellStart"/>
      <w:r w:rsidRPr="00D91FCF">
        <w:rPr>
          <w:rFonts w:ascii="Arial" w:hAnsi="Arial" w:cs="Arial"/>
          <w:sz w:val="24"/>
          <w:szCs w:val="24"/>
        </w:rPr>
        <w:t>Achumie</w:t>
      </w:r>
      <w:proofErr w:type="spellEnd"/>
      <w:r w:rsidR="00EB0D8A">
        <w:rPr>
          <w:rFonts w:ascii="Arial" w:hAnsi="Arial" w:cs="Arial"/>
          <w:sz w:val="24"/>
          <w:szCs w:val="24"/>
        </w:rPr>
        <w:t xml:space="preserve">, </w:t>
      </w:r>
      <w:r w:rsidRPr="00D91FCF">
        <w:rPr>
          <w:rFonts w:ascii="Arial" w:hAnsi="Arial" w:cs="Arial"/>
          <w:sz w:val="24"/>
          <w:szCs w:val="24"/>
        </w:rPr>
        <w:t>2024).</w:t>
      </w:r>
    </w:p>
    <w:p w14:paraId="428A495B" w14:textId="74AC3A17" w:rsidR="00D91FCF" w:rsidRPr="00741194" w:rsidRDefault="00D91FCF" w:rsidP="00741194">
      <w:pPr>
        <w:pStyle w:val="ListParagraph"/>
        <w:numPr>
          <w:ilvl w:val="0"/>
          <w:numId w:val="17"/>
        </w:numPr>
        <w:spacing w:line="480" w:lineRule="auto"/>
        <w:rPr>
          <w:rFonts w:ascii="Arial Black" w:hAnsi="Arial Black" w:cs="Arial"/>
          <w:sz w:val="24"/>
          <w:szCs w:val="24"/>
        </w:rPr>
      </w:pPr>
      <w:r w:rsidRPr="00741194">
        <w:rPr>
          <w:rFonts w:ascii="Arial Black" w:hAnsi="Arial Black" w:cs="Arial"/>
          <w:sz w:val="24"/>
          <w:szCs w:val="24"/>
        </w:rPr>
        <w:t>Budgeted Profit &amp; Loss Account</w:t>
      </w:r>
    </w:p>
    <w:p w14:paraId="2DFF79A0" w14:textId="6B305CA1"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The profit and loss account differs from the cash budget in that it recogni</w:t>
      </w:r>
      <w:r w:rsidR="00EB0D8A">
        <w:rPr>
          <w:rFonts w:ascii="Arial" w:hAnsi="Arial" w:cs="Arial"/>
          <w:sz w:val="24"/>
          <w:szCs w:val="24"/>
        </w:rPr>
        <w:t>s</w:t>
      </w:r>
      <w:r w:rsidRPr="00D91FCF">
        <w:rPr>
          <w:rFonts w:ascii="Arial" w:hAnsi="Arial" w:cs="Arial"/>
          <w:sz w:val="24"/>
          <w:szCs w:val="24"/>
        </w:rPr>
        <w:t>es income and expenses on an accrued basis. This is significant, as the company will record healthy profits, but sometimes the cash position may be strained (Schroeder, Clark</w:t>
      </w:r>
      <w:r w:rsidR="00EB0D8A">
        <w:rPr>
          <w:rFonts w:ascii="Arial" w:hAnsi="Arial" w:cs="Arial"/>
          <w:sz w:val="24"/>
          <w:szCs w:val="24"/>
        </w:rPr>
        <w:t>,</w:t>
      </w:r>
      <w:r w:rsidRPr="00D91FCF">
        <w:rPr>
          <w:rFonts w:ascii="Arial" w:hAnsi="Arial" w:cs="Arial"/>
          <w:sz w:val="24"/>
          <w:szCs w:val="24"/>
        </w:rPr>
        <w:t xml:space="preserve"> and Cathey, 2022) because profits do not equal cash.</w:t>
      </w:r>
    </w:p>
    <w:tbl>
      <w:tblPr>
        <w:tblW w:w="9013" w:type="dxa"/>
        <w:tblCellSpacing w:w="15"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15" w:type="dxa"/>
          <w:left w:w="15" w:type="dxa"/>
          <w:bottom w:w="15" w:type="dxa"/>
          <w:right w:w="15" w:type="dxa"/>
        </w:tblCellMar>
        <w:tblLook w:val="04A0" w:firstRow="1" w:lastRow="0" w:firstColumn="1" w:lastColumn="0" w:noHBand="0" w:noVBand="1"/>
      </w:tblPr>
      <w:tblGrid>
        <w:gridCol w:w="4007"/>
        <w:gridCol w:w="3529"/>
        <w:gridCol w:w="1477"/>
      </w:tblGrid>
      <w:tr w:rsidR="00EB0D8A" w:rsidRPr="00EB0D8A" w14:paraId="56B13C0F" w14:textId="77777777" w:rsidTr="00741194">
        <w:trPr>
          <w:trHeight w:val="325"/>
          <w:tblHeader/>
          <w:tblCellSpacing w:w="15" w:type="dxa"/>
        </w:trPr>
        <w:tc>
          <w:tcPr>
            <w:tcW w:w="0" w:type="auto"/>
            <w:shd w:val="clear" w:color="auto" w:fill="83CAEB" w:themeFill="accent1" w:themeFillTint="66"/>
            <w:vAlign w:val="center"/>
            <w:hideMark/>
          </w:tcPr>
          <w:p w14:paraId="0A5E1213" w14:textId="77777777" w:rsidR="00EB0D8A" w:rsidRPr="00EB0D8A" w:rsidRDefault="00EB0D8A" w:rsidP="00EB0D8A">
            <w:pPr>
              <w:spacing w:after="0" w:line="240" w:lineRule="auto"/>
              <w:jc w:val="center"/>
              <w:rPr>
                <w:rFonts w:ascii="Arial" w:eastAsia="Times New Roman" w:hAnsi="Arial" w:cs="Arial"/>
                <w:b/>
                <w:bCs/>
                <w:kern w:val="0"/>
                <w:sz w:val="24"/>
                <w:szCs w:val="24"/>
                <w:lang w:eastAsia="en-GB"/>
                <w14:ligatures w14:val="none"/>
              </w:rPr>
            </w:pPr>
            <w:r w:rsidRPr="00EB0D8A">
              <w:rPr>
                <w:rFonts w:ascii="Arial" w:eastAsia="Times New Roman" w:hAnsi="Arial" w:cs="Arial"/>
                <w:b/>
                <w:bCs/>
                <w:kern w:val="0"/>
                <w:sz w:val="24"/>
                <w:szCs w:val="24"/>
                <w:lang w:eastAsia="en-GB"/>
                <w14:ligatures w14:val="none"/>
              </w:rPr>
              <w:t>£000</w:t>
            </w:r>
          </w:p>
        </w:tc>
        <w:tc>
          <w:tcPr>
            <w:tcW w:w="0" w:type="auto"/>
            <w:shd w:val="clear" w:color="auto" w:fill="83CAEB" w:themeFill="accent1" w:themeFillTint="66"/>
            <w:vAlign w:val="center"/>
            <w:hideMark/>
          </w:tcPr>
          <w:p w14:paraId="55E80E23" w14:textId="77777777" w:rsidR="00EB0D8A" w:rsidRPr="00EB0D8A" w:rsidRDefault="00EB0D8A" w:rsidP="00EB0D8A">
            <w:pPr>
              <w:spacing w:after="0" w:line="240" w:lineRule="auto"/>
              <w:jc w:val="center"/>
              <w:rPr>
                <w:rFonts w:ascii="Arial" w:eastAsia="Times New Roman" w:hAnsi="Arial" w:cs="Arial"/>
                <w:b/>
                <w:bCs/>
                <w:kern w:val="0"/>
                <w:sz w:val="24"/>
                <w:szCs w:val="24"/>
                <w:lang w:eastAsia="en-GB"/>
                <w14:ligatures w14:val="none"/>
              </w:rPr>
            </w:pPr>
            <w:r w:rsidRPr="00EB0D8A">
              <w:rPr>
                <w:rFonts w:ascii="Arial" w:eastAsia="Times New Roman" w:hAnsi="Arial" w:cs="Arial"/>
                <w:b/>
                <w:bCs/>
                <w:kern w:val="0"/>
                <w:sz w:val="24"/>
                <w:szCs w:val="24"/>
                <w:lang w:eastAsia="en-GB"/>
                <w14:ligatures w14:val="none"/>
              </w:rPr>
              <w:t>Calculation</w:t>
            </w:r>
          </w:p>
        </w:tc>
        <w:tc>
          <w:tcPr>
            <w:tcW w:w="0" w:type="auto"/>
            <w:shd w:val="clear" w:color="auto" w:fill="83CAEB" w:themeFill="accent1" w:themeFillTint="66"/>
            <w:vAlign w:val="center"/>
            <w:hideMark/>
          </w:tcPr>
          <w:p w14:paraId="42732723" w14:textId="77777777" w:rsidR="00EB0D8A" w:rsidRPr="00EB0D8A" w:rsidRDefault="00EB0D8A" w:rsidP="00EB0D8A">
            <w:pPr>
              <w:spacing w:after="0" w:line="240" w:lineRule="auto"/>
              <w:jc w:val="center"/>
              <w:rPr>
                <w:rFonts w:ascii="Arial" w:eastAsia="Times New Roman" w:hAnsi="Arial" w:cs="Arial"/>
                <w:b/>
                <w:bCs/>
                <w:kern w:val="0"/>
                <w:sz w:val="24"/>
                <w:szCs w:val="24"/>
                <w:lang w:eastAsia="en-GB"/>
                <w14:ligatures w14:val="none"/>
              </w:rPr>
            </w:pPr>
            <w:r w:rsidRPr="00EB0D8A">
              <w:rPr>
                <w:rFonts w:ascii="Arial" w:eastAsia="Times New Roman" w:hAnsi="Arial" w:cs="Arial"/>
                <w:b/>
                <w:bCs/>
                <w:kern w:val="0"/>
                <w:sz w:val="24"/>
                <w:szCs w:val="24"/>
                <w:lang w:eastAsia="en-GB"/>
                <w14:ligatures w14:val="none"/>
              </w:rPr>
              <w:t>Amount</w:t>
            </w:r>
          </w:p>
        </w:tc>
      </w:tr>
      <w:tr w:rsidR="00EB0D8A" w:rsidRPr="00EB0D8A" w14:paraId="2B2676BB" w14:textId="77777777" w:rsidTr="00741194">
        <w:trPr>
          <w:trHeight w:val="312"/>
          <w:tblCellSpacing w:w="15" w:type="dxa"/>
        </w:trPr>
        <w:tc>
          <w:tcPr>
            <w:tcW w:w="0" w:type="auto"/>
            <w:vAlign w:val="center"/>
            <w:hideMark/>
          </w:tcPr>
          <w:p w14:paraId="6859FD30"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Sales</w:t>
            </w:r>
          </w:p>
        </w:tc>
        <w:tc>
          <w:tcPr>
            <w:tcW w:w="0" w:type="auto"/>
            <w:vAlign w:val="center"/>
            <w:hideMark/>
          </w:tcPr>
          <w:p w14:paraId="5F53104C"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Given</w:t>
            </w:r>
          </w:p>
        </w:tc>
        <w:tc>
          <w:tcPr>
            <w:tcW w:w="0" w:type="auto"/>
            <w:vAlign w:val="center"/>
            <w:hideMark/>
          </w:tcPr>
          <w:p w14:paraId="10A5291A"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1,410</w:t>
            </w:r>
          </w:p>
        </w:tc>
      </w:tr>
      <w:tr w:rsidR="00EB0D8A" w:rsidRPr="00EB0D8A" w14:paraId="2E9D2CD1" w14:textId="77777777" w:rsidTr="00741194">
        <w:trPr>
          <w:trHeight w:val="325"/>
          <w:tblCellSpacing w:w="15" w:type="dxa"/>
        </w:trPr>
        <w:tc>
          <w:tcPr>
            <w:tcW w:w="0" w:type="auto"/>
            <w:vAlign w:val="center"/>
            <w:hideMark/>
          </w:tcPr>
          <w:p w14:paraId="7DA5A4D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COGS</w:t>
            </w:r>
          </w:p>
        </w:tc>
        <w:tc>
          <w:tcPr>
            <w:tcW w:w="0" w:type="auto"/>
            <w:vAlign w:val="center"/>
            <w:hideMark/>
          </w:tcPr>
          <w:p w14:paraId="56B0F1AA"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64% × 1,410</w:t>
            </w:r>
          </w:p>
        </w:tc>
        <w:tc>
          <w:tcPr>
            <w:tcW w:w="0" w:type="auto"/>
            <w:vAlign w:val="center"/>
            <w:hideMark/>
          </w:tcPr>
          <w:p w14:paraId="5D33FDD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(902.4)</w:t>
            </w:r>
          </w:p>
        </w:tc>
      </w:tr>
      <w:tr w:rsidR="00EB0D8A" w:rsidRPr="00EB0D8A" w14:paraId="0C1B2C2A" w14:textId="77777777" w:rsidTr="00741194">
        <w:trPr>
          <w:trHeight w:val="325"/>
          <w:tblCellSpacing w:w="15" w:type="dxa"/>
        </w:trPr>
        <w:tc>
          <w:tcPr>
            <w:tcW w:w="0" w:type="auto"/>
            <w:vAlign w:val="center"/>
            <w:hideMark/>
          </w:tcPr>
          <w:p w14:paraId="5ECD2B5C"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b/>
                <w:bCs/>
                <w:kern w:val="0"/>
                <w:sz w:val="24"/>
                <w:szCs w:val="24"/>
                <w:lang w:eastAsia="en-GB"/>
                <w14:ligatures w14:val="none"/>
              </w:rPr>
              <w:t>Gross profit</w:t>
            </w:r>
          </w:p>
        </w:tc>
        <w:tc>
          <w:tcPr>
            <w:tcW w:w="0" w:type="auto"/>
            <w:vAlign w:val="center"/>
            <w:hideMark/>
          </w:tcPr>
          <w:p w14:paraId="000555AC"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p>
        </w:tc>
        <w:tc>
          <w:tcPr>
            <w:tcW w:w="0" w:type="auto"/>
            <w:vAlign w:val="center"/>
            <w:hideMark/>
          </w:tcPr>
          <w:p w14:paraId="67B45484"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507.6</w:t>
            </w:r>
          </w:p>
        </w:tc>
      </w:tr>
      <w:tr w:rsidR="00EB0D8A" w:rsidRPr="00EB0D8A" w14:paraId="2B204E4E" w14:textId="77777777" w:rsidTr="00741194">
        <w:trPr>
          <w:trHeight w:val="312"/>
          <w:tblCellSpacing w:w="15" w:type="dxa"/>
        </w:trPr>
        <w:tc>
          <w:tcPr>
            <w:tcW w:w="0" w:type="auto"/>
            <w:vAlign w:val="center"/>
            <w:hideMark/>
          </w:tcPr>
          <w:p w14:paraId="097A114A"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Selling expenses</w:t>
            </w:r>
          </w:p>
        </w:tc>
        <w:tc>
          <w:tcPr>
            <w:tcW w:w="0" w:type="auto"/>
            <w:vAlign w:val="center"/>
            <w:hideMark/>
          </w:tcPr>
          <w:p w14:paraId="2AF6090B"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As given</w:t>
            </w:r>
          </w:p>
        </w:tc>
        <w:tc>
          <w:tcPr>
            <w:tcW w:w="0" w:type="auto"/>
            <w:vAlign w:val="center"/>
            <w:hideMark/>
          </w:tcPr>
          <w:p w14:paraId="3BC5B793"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(55)</w:t>
            </w:r>
          </w:p>
        </w:tc>
      </w:tr>
      <w:tr w:rsidR="00EB0D8A" w:rsidRPr="00EB0D8A" w14:paraId="00C014D6" w14:textId="77777777" w:rsidTr="00741194">
        <w:trPr>
          <w:trHeight w:val="325"/>
          <w:tblCellSpacing w:w="15" w:type="dxa"/>
        </w:trPr>
        <w:tc>
          <w:tcPr>
            <w:tcW w:w="0" w:type="auto"/>
            <w:vAlign w:val="center"/>
            <w:hideMark/>
          </w:tcPr>
          <w:p w14:paraId="1168E04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Administration expenses</w:t>
            </w:r>
          </w:p>
        </w:tc>
        <w:tc>
          <w:tcPr>
            <w:tcW w:w="0" w:type="auto"/>
            <w:vAlign w:val="center"/>
            <w:hideMark/>
          </w:tcPr>
          <w:p w14:paraId="7F6FCFE3"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25+26+27+28+29+30</w:t>
            </w:r>
          </w:p>
        </w:tc>
        <w:tc>
          <w:tcPr>
            <w:tcW w:w="0" w:type="auto"/>
            <w:vAlign w:val="center"/>
            <w:hideMark/>
          </w:tcPr>
          <w:p w14:paraId="7F873318"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(165)</w:t>
            </w:r>
          </w:p>
        </w:tc>
      </w:tr>
      <w:tr w:rsidR="00EB0D8A" w:rsidRPr="00EB0D8A" w14:paraId="4D8DEC53" w14:textId="77777777" w:rsidTr="00741194">
        <w:trPr>
          <w:trHeight w:val="325"/>
          <w:tblCellSpacing w:w="15" w:type="dxa"/>
        </w:trPr>
        <w:tc>
          <w:tcPr>
            <w:tcW w:w="0" w:type="auto"/>
            <w:vAlign w:val="center"/>
            <w:hideMark/>
          </w:tcPr>
          <w:p w14:paraId="63EC059F"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Credit card charges</w:t>
            </w:r>
          </w:p>
        </w:tc>
        <w:tc>
          <w:tcPr>
            <w:tcW w:w="0" w:type="auto"/>
            <w:vAlign w:val="center"/>
            <w:hideMark/>
          </w:tcPr>
          <w:p w14:paraId="70A08139"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0.9% × 1,410</w:t>
            </w:r>
          </w:p>
        </w:tc>
        <w:tc>
          <w:tcPr>
            <w:tcW w:w="0" w:type="auto"/>
            <w:vAlign w:val="center"/>
            <w:hideMark/>
          </w:tcPr>
          <w:p w14:paraId="588A528E"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(12.7)</w:t>
            </w:r>
          </w:p>
        </w:tc>
      </w:tr>
      <w:tr w:rsidR="00EB0D8A" w:rsidRPr="00EB0D8A" w14:paraId="3694761D" w14:textId="77777777" w:rsidTr="00741194">
        <w:trPr>
          <w:trHeight w:val="312"/>
          <w:tblCellSpacing w:w="15" w:type="dxa"/>
        </w:trPr>
        <w:tc>
          <w:tcPr>
            <w:tcW w:w="0" w:type="auto"/>
            <w:vAlign w:val="center"/>
            <w:hideMark/>
          </w:tcPr>
          <w:p w14:paraId="58B004B7"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b/>
                <w:bCs/>
                <w:kern w:val="0"/>
                <w:sz w:val="24"/>
                <w:szCs w:val="24"/>
                <w:lang w:eastAsia="en-GB"/>
                <w14:ligatures w14:val="none"/>
              </w:rPr>
              <w:t>Operating profit</w:t>
            </w:r>
          </w:p>
        </w:tc>
        <w:tc>
          <w:tcPr>
            <w:tcW w:w="0" w:type="auto"/>
            <w:vAlign w:val="center"/>
            <w:hideMark/>
          </w:tcPr>
          <w:p w14:paraId="73B1D524"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p>
        </w:tc>
        <w:tc>
          <w:tcPr>
            <w:tcW w:w="0" w:type="auto"/>
            <w:vAlign w:val="center"/>
            <w:hideMark/>
          </w:tcPr>
          <w:p w14:paraId="084ABF2A"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274.9</w:t>
            </w:r>
          </w:p>
        </w:tc>
      </w:tr>
      <w:tr w:rsidR="00EB0D8A" w:rsidRPr="00EB0D8A" w14:paraId="2332717F" w14:textId="77777777" w:rsidTr="00741194">
        <w:trPr>
          <w:trHeight w:val="325"/>
          <w:tblCellSpacing w:w="15" w:type="dxa"/>
        </w:trPr>
        <w:tc>
          <w:tcPr>
            <w:tcW w:w="0" w:type="auto"/>
            <w:vAlign w:val="center"/>
            <w:hideMark/>
          </w:tcPr>
          <w:p w14:paraId="788417CA"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Interest on loan</w:t>
            </w:r>
          </w:p>
        </w:tc>
        <w:tc>
          <w:tcPr>
            <w:tcW w:w="0" w:type="auto"/>
            <w:vAlign w:val="center"/>
            <w:hideMark/>
          </w:tcPr>
          <w:p w14:paraId="7E9197BD"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25% × 4.5 × 6</w:t>
            </w:r>
          </w:p>
        </w:tc>
        <w:tc>
          <w:tcPr>
            <w:tcW w:w="0" w:type="auto"/>
            <w:vAlign w:val="center"/>
            <w:hideMark/>
          </w:tcPr>
          <w:p w14:paraId="32773B80"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(6.8)</w:t>
            </w:r>
          </w:p>
        </w:tc>
      </w:tr>
      <w:tr w:rsidR="00EB0D8A" w:rsidRPr="00EB0D8A" w14:paraId="63EA1EF1" w14:textId="77777777" w:rsidTr="00741194">
        <w:trPr>
          <w:trHeight w:val="325"/>
          <w:tblCellSpacing w:w="15" w:type="dxa"/>
        </w:trPr>
        <w:tc>
          <w:tcPr>
            <w:tcW w:w="0" w:type="auto"/>
            <w:vAlign w:val="center"/>
            <w:hideMark/>
          </w:tcPr>
          <w:p w14:paraId="6138E05D"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b/>
                <w:bCs/>
                <w:kern w:val="0"/>
                <w:sz w:val="24"/>
                <w:szCs w:val="24"/>
                <w:lang w:eastAsia="en-GB"/>
                <w14:ligatures w14:val="none"/>
              </w:rPr>
              <w:t>Profit before tax</w:t>
            </w:r>
          </w:p>
        </w:tc>
        <w:tc>
          <w:tcPr>
            <w:tcW w:w="0" w:type="auto"/>
            <w:vAlign w:val="center"/>
            <w:hideMark/>
          </w:tcPr>
          <w:p w14:paraId="5E0437B6"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p>
        </w:tc>
        <w:tc>
          <w:tcPr>
            <w:tcW w:w="0" w:type="auto"/>
            <w:vAlign w:val="center"/>
            <w:hideMark/>
          </w:tcPr>
          <w:p w14:paraId="62DA187B"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268.1</w:t>
            </w:r>
          </w:p>
        </w:tc>
      </w:tr>
      <w:tr w:rsidR="00EB0D8A" w:rsidRPr="00EB0D8A" w14:paraId="3F6A360F" w14:textId="77777777" w:rsidTr="00741194">
        <w:trPr>
          <w:trHeight w:val="312"/>
          <w:tblCellSpacing w:w="15" w:type="dxa"/>
        </w:trPr>
        <w:tc>
          <w:tcPr>
            <w:tcW w:w="0" w:type="auto"/>
            <w:vAlign w:val="center"/>
            <w:hideMark/>
          </w:tcPr>
          <w:p w14:paraId="27B1F1D9"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Taxation</w:t>
            </w:r>
          </w:p>
        </w:tc>
        <w:tc>
          <w:tcPr>
            <w:tcW w:w="0" w:type="auto"/>
            <w:vAlign w:val="center"/>
            <w:hideMark/>
          </w:tcPr>
          <w:p w14:paraId="7097D3B1"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As planned</w:t>
            </w:r>
          </w:p>
        </w:tc>
        <w:tc>
          <w:tcPr>
            <w:tcW w:w="0" w:type="auto"/>
            <w:vAlign w:val="center"/>
            <w:hideMark/>
          </w:tcPr>
          <w:p w14:paraId="0BA1208B"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(18)</w:t>
            </w:r>
          </w:p>
        </w:tc>
      </w:tr>
      <w:tr w:rsidR="00EB0D8A" w:rsidRPr="00EB0D8A" w14:paraId="4DD2495B" w14:textId="77777777" w:rsidTr="00741194">
        <w:trPr>
          <w:trHeight w:val="325"/>
          <w:tblCellSpacing w:w="15" w:type="dxa"/>
        </w:trPr>
        <w:tc>
          <w:tcPr>
            <w:tcW w:w="0" w:type="auto"/>
            <w:vAlign w:val="center"/>
            <w:hideMark/>
          </w:tcPr>
          <w:p w14:paraId="68A8B4D0"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b/>
                <w:bCs/>
                <w:kern w:val="0"/>
                <w:sz w:val="24"/>
                <w:szCs w:val="24"/>
                <w:lang w:eastAsia="en-GB"/>
                <w14:ligatures w14:val="none"/>
              </w:rPr>
              <w:t>Profit after tax</w:t>
            </w:r>
          </w:p>
        </w:tc>
        <w:tc>
          <w:tcPr>
            <w:tcW w:w="0" w:type="auto"/>
            <w:vAlign w:val="center"/>
            <w:hideMark/>
          </w:tcPr>
          <w:p w14:paraId="2B2D87D3"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p>
        </w:tc>
        <w:tc>
          <w:tcPr>
            <w:tcW w:w="0" w:type="auto"/>
            <w:vAlign w:val="center"/>
            <w:hideMark/>
          </w:tcPr>
          <w:p w14:paraId="0CC07196" w14:textId="77777777" w:rsidR="00EB0D8A" w:rsidRPr="00EB0D8A" w:rsidRDefault="00EB0D8A" w:rsidP="00EB0D8A">
            <w:pPr>
              <w:spacing w:after="0" w:line="240" w:lineRule="auto"/>
              <w:rPr>
                <w:rFonts w:ascii="Arial" w:eastAsia="Times New Roman" w:hAnsi="Arial" w:cs="Arial"/>
                <w:kern w:val="0"/>
                <w:sz w:val="24"/>
                <w:szCs w:val="24"/>
                <w:lang w:eastAsia="en-GB"/>
                <w14:ligatures w14:val="none"/>
              </w:rPr>
            </w:pPr>
            <w:r w:rsidRPr="00EB0D8A">
              <w:rPr>
                <w:rFonts w:ascii="Arial" w:eastAsia="Times New Roman" w:hAnsi="Arial" w:cs="Arial"/>
                <w:kern w:val="0"/>
                <w:sz w:val="24"/>
                <w:szCs w:val="24"/>
                <w:lang w:eastAsia="en-GB"/>
                <w14:ligatures w14:val="none"/>
              </w:rPr>
              <w:t>250.1</w:t>
            </w:r>
          </w:p>
        </w:tc>
      </w:tr>
    </w:tbl>
    <w:p w14:paraId="3CE9CCDC" w14:textId="77777777" w:rsidR="00D91FCF" w:rsidRPr="00741194" w:rsidRDefault="00D91FCF" w:rsidP="00D91FCF">
      <w:pPr>
        <w:spacing w:line="480" w:lineRule="auto"/>
        <w:rPr>
          <w:rFonts w:ascii="Arial" w:hAnsi="Arial" w:cs="Arial"/>
          <w:sz w:val="24"/>
          <w:szCs w:val="24"/>
        </w:rPr>
      </w:pPr>
    </w:p>
    <w:p w14:paraId="586045B3" w14:textId="77777777" w:rsidR="00D91FCF" w:rsidRDefault="00D91FCF" w:rsidP="00D91FCF">
      <w:pPr>
        <w:spacing w:line="480" w:lineRule="auto"/>
        <w:rPr>
          <w:rFonts w:ascii="Arial" w:hAnsi="Arial" w:cs="Arial"/>
          <w:sz w:val="24"/>
          <w:szCs w:val="24"/>
        </w:rPr>
      </w:pPr>
    </w:p>
    <w:p w14:paraId="0364845F" w14:textId="77777777" w:rsidR="00EB0D8A" w:rsidRDefault="00EB0D8A" w:rsidP="00D91FCF">
      <w:pPr>
        <w:spacing w:line="480" w:lineRule="auto"/>
        <w:rPr>
          <w:rFonts w:ascii="Arial" w:hAnsi="Arial" w:cs="Arial"/>
          <w:sz w:val="24"/>
          <w:szCs w:val="24"/>
        </w:rPr>
      </w:pPr>
    </w:p>
    <w:p w14:paraId="4DDDFDB4" w14:textId="77777777" w:rsidR="00EB0D8A" w:rsidRDefault="00EB0D8A" w:rsidP="00D91FCF">
      <w:pPr>
        <w:spacing w:line="480" w:lineRule="auto"/>
        <w:rPr>
          <w:rFonts w:ascii="Arial" w:hAnsi="Arial" w:cs="Arial"/>
          <w:sz w:val="24"/>
          <w:szCs w:val="24"/>
        </w:rPr>
      </w:pPr>
    </w:p>
    <w:p w14:paraId="2D41661B" w14:textId="77777777" w:rsidR="00EB0D8A" w:rsidRPr="00D91FCF" w:rsidRDefault="00EB0D8A" w:rsidP="00D91FCF">
      <w:pPr>
        <w:spacing w:line="480" w:lineRule="auto"/>
        <w:rPr>
          <w:rFonts w:ascii="Arial" w:hAnsi="Arial" w:cs="Arial"/>
          <w:sz w:val="24"/>
          <w:szCs w:val="24"/>
        </w:rPr>
      </w:pPr>
    </w:p>
    <w:p w14:paraId="51A8F126" w14:textId="03DA888A"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lastRenderedPageBreak/>
        <w:t xml:space="preserve">The business reports an after-tax profit of approximately £250,000 over the six months. </w:t>
      </w:r>
    </w:p>
    <w:p w14:paraId="00BFE04E" w14:textId="77777777" w:rsidR="00EB0D8A" w:rsidRPr="00741194" w:rsidRDefault="00D91FCF" w:rsidP="00D91FCF">
      <w:pPr>
        <w:spacing w:line="480" w:lineRule="auto"/>
        <w:rPr>
          <w:rFonts w:ascii="Arial Black" w:hAnsi="Arial Black" w:cs="Arial"/>
          <w:sz w:val="24"/>
          <w:szCs w:val="24"/>
        </w:rPr>
      </w:pPr>
      <w:r w:rsidRPr="00741194">
        <w:rPr>
          <w:rFonts w:ascii="Arial Black" w:hAnsi="Arial Black" w:cs="Arial"/>
          <w:sz w:val="24"/>
          <w:szCs w:val="24"/>
        </w:rPr>
        <w:t>Interpretation</w:t>
      </w:r>
    </w:p>
    <w:p w14:paraId="71E434DE" w14:textId="77777777" w:rsidR="00EB0D8A" w:rsidRDefault="00D91FCF" w:rsidP="00D91FCF">
      <w:pPr>
        <w:spacing w:line="480" w:lineRule="auto"/>
        <w:rPr>
          <w:rFonts w:ascii="Arial" w:hAnsi="Arial" w:cs="Arial"/>
          <w:sz w:val="24"/>
          <w:szCs w:val="24"/>
        </w:rPr>
      </w:pPr>
      <w:r w:rsidRPr="00D91FCF">
        <w:rPr>
          <w:rFonts w:ascii="Arial" w:hAnsi="Arial" w:cs="Arial"/>
          <w:sz w:val="24"/>
          <w:szCs w:val="24"/>
        </w:rPr>
        <w:t>Overall, the three budgets suggest that Green Threads Ltd will be profitable and have a positive cash position at the end of November. That said, there is a danger zone in June, with an overdraft increasing further before it recovers, thereby indicating no cash and a timing mismatch. This situation</w:t>
      </w:r>
      <w:r w:rsidR="00EB0D8A">
        <w:rPr>
          <w:rFonts w:ascii="Arial" w:hAnsi="Arial" w:cs="Arial"/>
          <w:sz w:val="24"/>
          <w:szCs w:val="24"/>
        </w:rPr>
        <w:t xml:space="preserve">, </w:t>
      </w:r>
      <w:r w:rsidRPr="00D91FCF">
        <w:rPr>
          <w:rFonts w:ascii="Arial" w:hAnsi="Arial" w:cs="Arial"/>
          <w:sz w:val="24"/>
          <w:szCs w:val="24"/>
        </w:rPr>
        <w:t>where profitability occurs coupled with a liquidity shortfall</w:t>
      </w:r>
      <w:r w:rsidR="00EB0D8A">
        <w:rPr>
          <w:rFonts w:ascii="Arial" w:hAnsi="Arial" w:cs="Arial"/>
          <w:sz w:val="24"/>
          <w:szCs w:val="24"/>
        </w:rPr>
        <w:t>,</w:t>
      </w:r>
      <w:r w:rsidRPr="00D91FCF">
        <w:rPr>
          <w:rFonts w:ascii="Arial" w:hAnsi="Arial" w:cs="Arial"/>
          <w:sz w:val="24"/>
          <w:szCs w:val="24"/>
        </w:rPr>
        <w:t xml:space="preserve"> is common within retail SMEs</w:t>
      </w:r>
      <w:r w:rsidR="00EB0D8A">
        <w:rPr>
          <w:rFonts w:ascii="Arial" w:hAnsi="Arial" w:cs="Arial"/>
          <w:sz w:val="24"/>
          <w:szCs w:val="24"/>
        </w:rPr>
        <w:t xml:space="preserve"> (</w:t>
      </w:r>
      <w:proofErr w:type="spellStart"/>
      <w:r w:rsidRPr="00D91FCF">
        <w:rPr>
          <w:rFonts w:ascii="Arial" w:hAnsi="Arial" w:cs="Arial"/>
          <w:sz w:val="24"/>
          <w:szCs w:val="24"/>
        </w:rPr>
        <w:t>Alabdullah</w:t>
      </w:r>
      <w:proofErr w:type="spellEnd"/>
      <w:r w:rsidR="00EB0D8A">
        <w:rPr>
          <w:rFonts w:ascii="Arial" w:hAnsi="Arial" w:cs="Arial"/>
          <w:sz w:val="24"/>
          <w:szCs w:val="24"/>
        </w:rPr>
        <w:t xml:space="preserve">, </w:t>
      </w:r>
      <w:r w:rsidRPr="00D91FCF">
        <w:rPr>
          <w:rFonts w:ascii="Arial" w:hAnsi="Arial" w:cs="Arial"/>
          <w:sz w:val="24"/>
          <w:szCs w:val="24"/>
        </w:rPr>
        <w:t>2022)</w:t>
      </w:r>
      <w:r w:rsidR="00EB0D8A">
        <w:rPr>
          <w:rFonts w:ascii="Arial" w:hAnsi="Arial" w:cs="Arial"/>
          <w:sz w:val="24"/>
          <w:szCs w:val="24"/>
        </w:rPr>
        <w:t>.</w:t>
      </w:r>
    </w:p>
    <w:p w14:paraId="58DA10FF" w14:textId="1E89D673" w:rsidR="00D91FCF" w:rsidRPr="00D91FCF" w:rsidRDefault="00EB0D8A" w:rsidP="00D91FCF">
      <w:pPr>
        <w:spacing w:line="480" w:lineRule="auto"/>
        <w:rPr>
          <w:rFonts w:ascii="Arial" w:hAnsi="Arial" w:cs="Arial"/>
          <w:sz w:val="24"/>
          <w:szCs w:val="24"/>
        </w:rPr>
      </w:pPr>
      <w:r>
        <w:rPr>
          <w:rFonts w:ascii="Arial" w:hAnsi="Arial" w:cs="Arial"/>
          <w:sz w:val="24"/>
          <w:szCs w:val="24"/>
        </w:rPr>
        <w:t xml:space="preserve">It </w:t>
      </w:r>
      <w:r w:rsidR="00D91FCF" w:rsidRPr="00D91FCF">
        <w:rPr>
          <w:rFonts w:ascii="Arial" w:hAnsi="Arial" w:cs="Arial"/>
          <w:sz w:val="24"/>
          <w:szCs w:val="24"/>
        </w:rPr>
        <w:t xml:space="preserve">can </w:t>
      </w:r>
      <w:r>
        <w:rPr>
          <w:rFonts w:ascii="Arial" w:hAnsi="Arial" w:cs="Arial"/>
          <w:sz w:val="24"/>
          <w:szCs w:val="24"/>
        </w:rPr>
        <w:t xml:space="preserve">be </w:t>
      </w:r>
      <w:r w:rsidR="00D91FCF" w:rsidRPr="00D91FCF">
        <w:rPr>
          <w:rFonts w:ascii="Arial" w:hAnsi="Arial" w:cs="Arial"/>
          <w:sz w:val="24"/>
          <w:szCs w:val="24"/>
        </w:rPr>
        <w:t>sa</w:t>
      </w:r>
      <w:r>
        <w:rPr>
          <w:rFonts w:ascii="Arial" w:hAnsi="Arial" w:cs="Arial"/>
          <w:sz w:val="24"/>
          <w:szCs w:val="24"/>
        </w:rPr>
        <w:t>id</w:t>
      </w:r>
      <w:r w:rsidR="00D91FCF" w:rsidRPr="00D91FCF">
        <w:rPr>
          <w:rFonts w:ascii="Arial" w:hAnsi="Arial" w:cs="Arial"/>
          <w:sz w:val="24"/>
          <w:szCs w:val="24"/>
        </w:rPr>
        <w:t xml:space="preserve"> that the stock budget ensures operational viability, the cash budget assures solvency, and the profit and loss account </w:t>
      </w:r>
      <w:r w:rsidR="0057470D">
        <w:rPr>
          <w:rFonts w:ascii="Arial" w:hAnsi="Arial" w:cs="Arial"/>
          <w:sz w:val="24"/>
          <w:szCs w:val="24"/>
        </w:rPr>
        <w:t>shows</w:t>
      </w:r>
      <w:r w:rsidR="00D91FCF" w:rsidRPr="00D91FCF">
        <w:rPr>
          <w:rFonts w:ascii="Arial" w:hAnsi="Arial" w:cs="Arial"/>
          <w:sz w:val="24"/>
          <w:szCs w:val="24"/>
        </w:rPr>
        <w:t xml:space="preserve"> </w:t>
      </w:r>
      <w:r w:rsidR="0057470D" w:rsidRPr="00D91FCF">
        <w:rPr>
          <w:rFonts w:ascii="Arial" w:hAnsi="Arial" w:cs="Arial"/>
          <w:sz w:val="24"/>
          <w:szCs w:val="24"/>
        </w:rPr>
        <w:t>profitability</w:t>
      </w:r>
      <w:r w:rsidR="0057470D">
        <w:rPr>
          <w:rFonts w:ascii="Arial" w:hAnsi="Arial" w:cs="Arial"/>
          <w:sz w:val="24"/>
          <w:szCs w:val="24"/>
        </w:rPr>
        <w:t xml:space="preserve"> </w:t>
      </w:r>
      <w:r w:rsidR="00D91FCF" w:rsidRPr="00D91FCF">
        <w:rPr>
          <w:rFonts w:ascii="Arial" w:hAnsi="Arial" w:cs="Arial"/>
          <w:sz w:val="24"/>
          <w:szCs w:val="24"/>
        </w:rPr>
        <w:t>(Winfield, Graham</w:t>
      </w:r>
      <w:r w:rsidR="0057470D">
        <w:rPr>
          <w:rFonts w:ascii="Arial" w:hAnsi="Arial" w:cs="Arial"/>
          <w:sz w:val="24"/>
          <w:szCs w:val="24"/>
        </w:rPr>
        <w:t>,</w:t>
      </w:r>
      <w:r w:rsidR="00D91FCF" w:rsidRPr="00D91FCF">
        <w:rPr>
          <w:rFonts w:ascii="Arial" w:hAnsi="Arial" w:cs="Arial"/>
          <w:sz w:val="24"/>
          <w:szCs w:val="24"/>
        </w:rPr>
        <w:t xml:space="preserve"> and Miller, 2021).</w:t>
      </w:r>
    </w:p>
    <w:p w14:paraId="444020E7" w14:textId="4390FC82" w:rsidR="00D91FCF" w:rsidRPr="00741194" w:rsidRDefault="00D91FCF" w:rsidP="00741194">
      <w:pPr>
        <w:pStyle w:val="ListParagraph"/>
        <w:numPr>
          <w:ilvl w:val="0"/>
          <w:numId w:val="16"/>
        </w:numPr>
        <w:spacing w:line="480" w:lineRule="auto"/>
        <w:rPr>
          <w:rFonts w:ascii="Arial Black" w:hAnsi="Arial Black" w:cs="Arial"/>
          <w:sz w:val="24"/>
          <w:szCs w:val="24"/>
        </w:rPr>
      </w:pPr>
      <w:bookmarkStart w:id="0" w:name="_Hlk207223950"/>
      <w:r w:rsidRPr="00741194">
        <w:rPr>
          <w:rFonts w:ascii="Arial Black" w:hAnsi="Arial Black" w:cs="Arial"/>
          <w:sz w:val="24"/>
          <w:szCs w:val="24"/>
        </w:rPr>
        <w:t>Issues Identified and Management Actions</w:t>
      </w:r>
    </w:p>
    <w:bookmarkEnd w:id="0"/>
    <w:p w14:paraId="55E5B552" w14:textId="16DD3344"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The budgets provided for Green Threads Ltd are useful in identifying the company’s operational and financial performance. While overall the company’s position as </w:t>
      </w:r>
      <w:r w:rsidR="0057470D">
        <w:rPr>
          <w:rFonts w:ascii="Arial" w:hAnsi="Arial" w:cs="Arial"/>
          <w:sz w:val="24"/>
          <w:szCs w:val="24"/>
        </w:rPr>
        <w:t>of</w:t>
      </w:r>
      <w:r w:rsidRPr="00D91FCF">
        <w:rPr>
          <w:rFonts w:ascii="Arial" w:hAnsi="Arial" w:cs="Arial"/>
          <w:sz w:val="24"/>
          <w:szCs w:val="24"/>
        </w:rPr>
        <w:t xml:space="preserve"> November looks good, the analysis of the issues shows that there are a number of significant issues, which could impact the company’s ability to meet its commitments, particularly in the short term. </w:t>
      </w:r>
      <w:r w:rsidR="0057470D">
        <w:rPr>
          <w:rFonts w:ascii="Arial" w:hAnsi="Arial" w:cs="Arial"/>
          <w:sz w:val="24"/>
          <w:szCs w:val="24"/>
        </w:rPr>
        <w:t>T</w:t>
      </w:r>
      <w:r w:rsidRPr="00D91FCF">
        <w:rPr>
          <w:rFonts w:ascii="Arial" w:hAnsi="Arial" w:cs="Arial"/>
          <w:sz w:val="24"/>
          <w:szCs w:val="24"/>
        </w:rPr>
        <w:t>his section w</w:t>
      </w:r>
      <w:r w:rsidR="0057470D">
        <w:rPr>
          <w:rFonts w:ascii="Arial" w:hAnsi="Arial" w:cs="Arial"/>
          <w:sz w:val="24"/>
          <w:szCs w:val="24"/>
        </w:rPr>
        <w:t>ill</w:t>
      </w:r>
      <w:r w:rsidRPr="00D91FCF">
        <w:rPr>
          <w:rFonts w:ascii="Arial" w:hAnsi="Arial" w:cs="Arial"/>
          <w:sz w:val="24"/>
          <w:szCs w:val="24"/>
        </w:rPr>
        <w:t xml:space="preserve"> identify the issues and suggest potential management actions with reference to academic literature on budgeting, financial management</w:t>
      </w:r>
      <w:r w:rsidR="0057470D">
        <w:rPr>
          <w:rFonts w:ascii="Arial" w:hAnsi="Arial" w:cs="Arial"/>
          <w:sz w:val="24"/>
          <w:szCs w:val="24"/>
        </w:rPr>
        <w:t>,</w:t>
      </w:r>
      <w:r w:rsidRPr="00D91FCF">
        <w:rPr>
          <w:rFonts w:ascii="Arial" w:hAnsi="Arial" w:cs="Arial"/>
          <w:sz w:val="24"/>
          <w:szCs w:val="24"/>
        </w:rPr>
        <w:t xml:space="preserve"> and risk management.</w:t>
      </w:r>
    </w:p>
    <w:p w14:paraId="4077D18B" w14:textId="77777777" w:rsidR="00D91FCF" w:rsidRPr="00741194" w:rsidRDefault="00D91FCF" w:rsidP="00741194">
      <w:pPr>
        <w:pStyle w:val="ListParagraph"/>
        <w:numPr>
          <w:ilvl w:val="0"/>
          <w:numId w:val="17"/>
        </w:numPr>
        <w:spacing w:line="480" w:lineRule="auto"/>
        <w:rPr>
          <w:rFonts w:ascii="Arial Black" w:hAnsi="Arial Black" w:cs="Arial"/>
          <w:sz w:val="24"/>
          <w:szCs w:val="24"/>
        </w:rPr>
      </w:pPr>
      <w:r w:rsidRPr="00741194">
        <w:rPr>
          <w:rFonts w:ascii="Arial Black" w:hAnsi="Arial Black" w:cs="Arial"/>
          <w:sz w:val="24"/>
          <w:szCs w:val="24"/>
        </w:rPr>
        <w:t>Liquidity challenges in June</w:t>
      </w:r>
    </w:p>
    <w:p w14:paraId="7553E8E6" w14:textId="241D7F2A"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In terms of urgency, the most pressing challenge is the deterioration of the company’s overdraft in June, which increased from £30,000 to almost £41,000, before returning to £26,000 in July. Liquidity pressures are a well-known primary </w:t>
      </w:r>
      <w:r w:rsidRPr="00D91FCF">
        <w:rPr>
          <w:rFonts w:ascii="Arial" w:hAnsi="Arial" w:cs="Arial"/>
          <w:sz w:val="24"/>
          <w:szCs w:val="24"/>
        </w:rPr>
        <w:lastRenderedPageBreak/>
        <w:t xml:space="preserve">reason for small business failure and can </w:t>
      </w:r>
      <w:r w:rsidR="0057470D">
        <w:rPr>
          <w:rFonts w:ascii="Arial" w:hAnsi="Arial" w:cs="Arial"/>
          <w:sz w:val="24"/>
          <w:szCs w:val="24"/>
        </w:rPr>
        <w:t>often be</w:t>
      </w:r>
      <w:r w:rsidRPr="00D91FCF">
        <w:rPr>
          <w:rFonts w:ascii="Arial" w:hAnsi="Arial" w:cs="Arial"/>
          <w:sz w:val="24"/>
          <w:szCs w:val="24"/>
        </w:rPr>
        <w:t xml:space="preserve"> more important than long-term profits (Pratt, 2010). In relation to contingency theory, Caulfield (2024) has argued that management accounting systems need to fit the needs of </w:t>
      </w:r>
      <w:r w:rsidR="0057470D">
        <w:rPr>
          <w:rFonts w:ascii="Arial" w:hAnsi="Arial" w:cs="Arial"/>
          <w:sz w:val="24"/>
          <w:szCs w:val="24"/>
        </w:rPr>
        <w:t xml:space="preserve">a </w:t>
      </w:r>
      <w:r w:rsidRPr="00D91FCF">
        <w:rPr>
          <w:rFonts w:ascii="Arial" w:hAnsi="Arial" w:cs="Arial"/>
          <w:sz w:val="24"/>
          <w:szCs w:val="24"/>
        </w:rPr>
        <w:t>specific context - in this case, a retail company with seasonality and immediate cash outflows to suppliers and refurbishment.</w:t>
      </w:r>
    </w:p>
    <w:p w14:paraId="2E91DA5D" w14:textId="77777777"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Potential actions might include:</w:t>
      </w:r>
    </w:p>
    <w:p w14:paraId="2C72FE40" w14:textId="70833FDB" w:rsidR="00D91FCF" w:rsidRPr="0057470D" w:rsidRDefault="0057470D" w:rsidP="0057470D">
      <w:pPr>
        <w:pStyle w:val="ListParagraph"/>
        <w:numPr>
          <w:ilvl w:val="0"/>
          <w:numId w:val="5"/>
        </w:numPr>
        <w:spacing w:line="480" w:lineRule="auto"/>
        <w:rPr>
          <w:rFonts w:ascii="Arial" w:hAnsi="Arial" w:cs="Arial"/>
          <w:sz w:val="24"/>
          <w:szCs w:val="24"/>
        </w:rPr>
      </w:pPr>
      <w:r w:rsidRPr="0057470D">
        <w:rPr>
          <w:rFonts w:ascii="Arial" w:hAnsi="Arial" w:cs="Arial"/>
          <w:sz w:val="24"/>
          <w:szCs w:val="24"/>
        </w:rPr>
        <w:t>Temporarily</w:t>
      </w:r>
      <w:r w:rsidR="00D91FCF" w:rsidRPr="0057470D">
        <w:rPr>
          <w:rFonts w:ascii="Arial" w:hAnsi="Arial" w:cs="Arial"/>
          <w:sz w:val="24"/>
          <w:szCs w:val="24"/>
        </w:rPr>
        <w:t>, negotiating an extension to the overdraft from the bank. Banks can be much more amenable to this if they see a credible forecast showing a swift and robust return (Gallagher, 2022</w:t>
      </w:r>
      <w:r>
        <w:rPr>
          <w:rFonts w:ascii="Arial" w:hAnsi="Arial" w:cs="Arial"/>
          <w:sz w:val="24"/>
          <w:szCs w:val="24"/>
        </w:rPr>
        <w:t>).</w:t>
      </w:r>
    </w:p>
    <w:p w14:paraId="52909645" w14:textId="184260F1" w:rsidR="00D91FCF" w:rsidRPr="0057470D" w:rsidRDefault="0057470D" w:rsidP="0057470D">
      <w:pPr>
        <w:pStyle w:val="ListParagraph"/>
        <w:numPr>
          <w:ilvl w:val="0"/>
          <w:numId w:val="5"/>
        </w:numPr>
        <w:spacing w:line="480" w:lineRule="auto"/>
        <w:rPr>
          <w:rFonts w:ascii="Arial" w:hAnsi="Arial" w:cs="Arial"/>
          <w:sz w:val="24"/>
          <w:szCs w:val="24"/>
        </w:rPr>
      </w:pPr>
      <w:r>
        <w:rPr>
          <w:rFonts w:ascii="Arial" w:hAnsi="Arial" w:cs="Arial"/>
          <w:sz w:val="24"/>
          <w:szCs w:val="24"/>
        </w:rPr>
        <w:t>They are</w:t>
      </w:r>
      <w:r w:rsidR="00D91FCF" w:rsidRPr="0057470D">
        <w:rPr>
          <w:rFonts w:ascii="Arial" w:hAnsi="Arial" w:cs="Arial"/>
          <w:sz w:val="24"/>
          <w:szCs w:val="24"/>
        </w:rPr>
        <w:t xml:space="preserve"> potentially delaying refurbishment outlays from June into the months where cash surpluses arise</w:t>
      </w:r>
      <w:r w:rsidRPr="0057470D">
        <w:rPr>
          <w:rFonts w:ascii="Arial" w:hAnsi="Arial" w:cs="Arial"/>
          <w:sz w:val="24"/>
          <w:szCs w:val="24"/>
        </w:rPr>
        <w:t>.</w:t>
      </w:r>
    </w:p>
    <w:p w14:paraId="61501CD2" w14:textId="3E363DF8" w:rsidR="00D91FCF" w:rsidRPr="0057470D" w:rsidRDefault="00D91FCF" w:rsidP="0057470D">
      <w:pPr>
        <w:pStyle w:val="ListParagraph"/>
        <w:numPr>
          <w:ilvl w:val="0"/>
          <w:numId w:val="5"/>
        </w:numPr>
        <w:spacing w:line="480" w:lineRule="auto"/>
        <w:rPr>
          <w:rFonts w:ascii="Arial" w:hAnsi="Arial" w:cs="Arial"/>
          <w:sz w:val="24"/>
          <w:szCs w:val="24"/>
        </w:rPr>
      </w:pPr>
      <w:r w:rsidRPr="0057470D">
        <w:rPr>
          <w:rFonts w:ascii="Arial" w:hAnsi="Arial" w:cs="Arial"/>
          <w:sz w:val="24"/>
          <w:szCs w:val="24"/>
        </w:rPr>
        <w:t xml:space="preserve">Tightening working capital management </w:t>
      </w:r>
    </w:p>
    <w:p w14:paraId="596E8E3D" w14:textId="77777777" w:rsidR="00D91FCF" w:rsidRPr="00741194" w:rsidRDefault="00D91FCF" w:rsidP="00741194">
      <w:pPr>
        <w:pStyle w:val="ListParagraph"/>
        <w:numPr>
          <w:ilvl w:val="0"/>
          <w:numId w:val="17"/>
        </w:numPr>
        <w:spacing w:line="480" w:lineRule="auto"/>
        <w:rPr>
          <w:rFonts w:ascii="Arial Black" w:hAnsi="Arial Black" w:cs="Arial"/>
          <w:sz w:val="24"/>
          <w:szCs w:val="24"/>
        </w:rPr>
      </w:pPr>
      <w:r w:rsidRPr="00741194">
        <w:rPr>
          <w:rFonts w:ascii="Arial Black" w:hAnsi="Arial Black" w:cs="Arial"/>
          <w:sz w:val="24"/>
          <w:szCs w:val="24"/>
        </w:rPr>
        <w:t>High Overheads</w:t>
      </w:r>
    </w:p>
    <w:p w14:paraId="7D75E046" w14:textId="4DAE3710"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Server costs averaged £27,500/month, of which a significant amount (£6,000) </w:t>
      </w:r>
      <w:r w:rsidR="0057470D">
        <w:rPr>
          <w:rFonts w:ascii="Arial" w:hAnsi="Arial" w:cs="Arial"/>
          <w:sz w:val="24"/>
          <w:szCs w:val="24"/>
        </w:rPr>
        <w:t xml:space="preserve">is </w:t>
      </w:r>
      <w:r w:rsidRPr="00D91FCF">
        <w:rPr>
          <w:rFonts w:ascii="Arial" w:hAnsi="Arial" w:cs="Arial"/>
          <w:sz w:val="24"/>
          <w:szCs w:val="24"/>
        </w:rPr>
        <w:t xml:space="preserve">related to the depreciation amounts. Depreciation amounts are non-cash </w:t>
      </w:r>
      <w:r w:rsidR="0057470D" w:rsidRPr="00D91FCF">
        <w:rPr>
          <w:rFonts w:ascii="Arial" w:hAnsi="Arial" w:cs="Arial"/>
          <w:sz w:val="24"/>
          <w:szCs w:val="24"/>
        </w:rPr>
        <w:t>costs;</w:t>
      </w:r>
      <w:r w:rsidRPr="00D91FCF">
        <w:rPr>
          <w:rFonts w:ascii="Arial" w:hAnsi="Arial" w:cs="Arial"/>
          <w:sz w:val="24"/>
          <w:szCs w:val="24"/>
        </w:rPr>
        <w:t xml:space="preserve"> however, higher overheads lead to less flexibility and a higher breakeven point. Companies carrying significant fixed costs are extremely susceptible to downturns in sales, as costs do not drop </w:t>
      </w:r>
      <w:r w:rsidR="0057470D">
        <w:rPr>
          <w:rFonts w:ascii="Arial" w:hAnsi="Arial" w:cs="Arial"/>
          <w:sz w:val="24"/>
          <w:szCs w:val="24"/>
        </w:rPr>
        <w:t>in line</w:t>
      </w:r>
      <w:r w:rsidRPr="00D91FCF">
        <w:rPr>
          <w:rFonts w:ascii="Arial" w:hAnsi="Arial" w:cs="Arial"/>
          <w:sz w:val="24"/>
          <w:szCs w:val="24"/>
        </w:rPr>
        <w:t xml:space="preserve"> with sales (Horner, 2020).  </w:t>
      </w:r>
    </w:p>
    <w:p w14:paraId="15FD7A97" w14:textId="2F834405"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In this area</w:t>
      </w:r>
      <w:r w:rsidR="0057470D">
        <w:rPr>
          <w:rFonts w:ascii="Arial" w:hAnsi="Arial" w:cs="Arial"/>
          <w:sz w:val="24"/>
          <w:szCs w:val="24"/>
        </w:rPr>
        <w:t>,</w:t>
      </w:r>
      <w:r w:rsidRPr="00D91FCF">
        <w:rPr>
          <w:rFonts w:ascii="Arial" w:hAnsi="Arial" w:cs="Arial"/>
          <w:sz w:val="24"/>
          <w:szCs w:val="24"/>
        </w:rPr>
        <w:t xml:space="preserve"> management may want to:</w:t>
      </w:r>
    </w:p>
    <w:p w14:paraId="3459BD7C" w14:textId="5D58C742" w:rsidR="0057470D" w:rsidRPr="0057470D" w:rsidRDefault="00D91FCF" w:rsidP="0057470D">
      <w:pPr>
        <w:pStyle w:val="ListParagraph"/>
        <w:numPr>
          <w:ilvl w:val="0"/>
          <w:numId w:val="8"/>
        </w:numPr>
        <w:spacing w:line="480" w:lineRule="auto"/>
        <w:rPr>
          <w:rFonts w:ascii="Arial" w:hAnsi="Arial" w:cs="Arial"/>
          <w:sz w:val="24"/>
          <w:szCs w:val="24"/>
        </w:rPr>
      </w:pPr>
      <w:r w:rsidRPr="0057470D">
        <w:rPr>
          <w:rFonts w:ascii="Arial" w:hAnsi="Arial" w:cs="Arial"/>
          <w:sz w:val="24"/>
          <w:szCs w:val="24"/>
        </w:rPr>
        <w:t xml:space="preserve">Re-evaluate management administration costs. Consider areas for outsourcing, or transitioning processes to digital workflows automate </w:t>
      </w:r>
      <w:r w:rsidR="0057470D" w:rsidRPr="0057470D">
        <w:rPr>
          <w:rFonts w:ascii="Arial" w:hAnsi="Arial" w:cs="Arial"/>
          <w:sz w:val="24"/>
          <w:szCs w:val="24"/>
        </w:rPr>
        <w:t>low-value</w:t>
      </w:r>
      <w:r w:rsidRPr="0057470D">
        <w:rPr>
          <w:rFonts w:ascii="Arial" w:hAnsi="Arial" w:cs="Arial"/>
          <w:sz w:val="24"/>
          <w:szCs w:val="24"/>
        </w:rPr>
        <w:t xml:space="preserve"> administrative tasks.</w:t>
      </w:r>
    </w:p>
    <w:p w14:paraId="2BCB7F03" w14:textId="34A8C0AF" w:rsidR="00D91FCF" w:rsidRPr="0057470D" w:rsidRDefault="00D91FCF" w:rsidP="0057470D">
      <w:pPr>
        <w:pStyle w:val="ListParagraph"/>
        <w:numPr>
          <w:ilvl w:val="0"/>
          <w:numId w:val="8"/>
        </w:numPr>
        <w:spacing w:line="480" w:lineRule="auto"/>
        <w:rPr>
          <w:rFonts w:ascii="Arial" w:hAnsi="Arial" w:cs="Arial"/>
          <w:sz w:val="24"/>
          <w:szCs w:val="24"/>
        </w:rPr>
      </w:pPr>
      <w:r w:rsidRPr="0057470D">
        <w:rPr>
          <w:rFonts w:ascii="Arial" w:hAnsi="Arial" w:cs="Arial"/>
          <w:sz w:val="24"/>
          <w:szCs w:val="24"/>
        </w:rPr>
        <w:lastRenderedPageBreak/>
        <w:t>Benchmark their overhead ratios against their industry contemporaries. The Code of Accounts and key management ratios could be used to review OH efficiency (Walsh, 2008; Lubis, 2023).</w:t>
      </w:r>
    </w:p>
    <w:p w14:paraId="38D453E8" w14:textId="23DEB8E7" w:rsidR="00D91FCF" w:rsidRPr="0057470D" w:rsidRDefault="00D91FCF" w:rsidP="0057470D">
      <w:pPr>
        <w:pStyle w:val="ListParagraph"/>
        <w:numPr>
          <w:ilvl w:val="0"/>
          <w:numId w:val="8"/>
        </w:numPr>
        <w:spacing w:line="480" w:lineRule="auto"/>
        <w:rPr>
          <w:rFonts w:ascii="Arial" w:hAnsi="Arial" w:cs="Arial"/>
          <w:sz w:val="24"/>
          <w:szCs w:val="24"/>
        </w:rPr>
      </w:pPr>
      <w:r w:rsidRPr="0057470D">
        <w:rPr>
          <w:rFonts w:ascii="Arial" w:hAnsi="Arial" w:cs="Arial"/>
          <w:sz w:val="24"/>
          <w:szCs w:val="24"/>
        </w:rPr>
        <w:t>Consider if refurbishment costs can be capitalised, allowing depreciation time to smooth reported overheads (</w:t>
      </w:r>
      <w:proofErr w:type="spellStart"/>
      <w:r w:rsidRPr="0057470D">
        <w:rPr>
          <w:rFonts w:ascii="Arial" w:hAnsi="Arial" w:cs="Arial"/>
          <w:sz w:val="24"/>
          <w:szCs w:val="24"/>
        </w:rPr>
        <w:t>Jaijairam</w:t>
      </w:r>
      <w:proofErr w:type="spellEnd"/>
      <w:r w:rsidRPr="0057470D">
        <w:rPr>
          <w:rFonts w:ascii="Arial" w:hAnsi="Arial" w:cs="Arial"/>
          <w:sz w:val="24"/>
          <w:szCs w:val="24"/>
        </w:rPr>
        <w:t>, 2013).</w:t>
      </w:r>
    </w:p>
    <w:p w14:paraId="58F671A2" w14:textId="77777777"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From a strategy perspective, decreasing internal overhead rigidity would align with Dyson's (2020) idea that management accounting could produce adaptive organisations to manage changing contingencies.  </w:t>
      </w:r>
    </w:p>
    <w:p w14:paraId="1491CE00" w14:textId="77777777" w:rsidR="00D91FCF" w:rsidRPr="00741194" w:rsidRDefault="00D91FCF" w:rsidP="00741194">
      <w:pPr>
        <w:pStyle w:val="ListParagraph"/>
        <w:numPr>
          <w:ilvl w:val="0"/>
          <w:numId w:val="17"/>
        </w:numPr>
        <w:spacing w:line="480" w:lineRule="auto"/>
        <w:rPr>
          <w:rFonts w:ascii="Arial Black" w:hAnsi="Arial Black" w:cs="Arial"/>
          <w:sz w:val="24"/>
          <w:szCs w:val="24"/>
        </w:rPr>
      </w:pPr>
      <w:r w:rsidRPr="00741194">
        <w:rPr>
          <w:rFonts w:ascii="Arial Black" w:hAnsi="Arial Black" w:cs="Arial"/>
          <w:sz w:val="24"/>
          <w:szCs w:val="24"/>
        </w:rPr>
        <w:t>Credit Card Fees</w:t>
      </w:r>
    </w:p>
    <w:p w14:paraId="51D8A839" w14:textId="22F5B663"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It was calculated that the business paid £12,700 in credit card transaction fees throughout the six months of depressed sales. Even </w:t>
      </w:r>
      <w:r w:rsidR="0057470D">
        <w:rPr>
          <w:rFonts w:ascii="Arial" w:hAnsi="Arial" w:cs="Arial"/>
          <w:sz w:val="24"/>
          <w:szCs w:val="24"/>
        </w:rPr>
        <w:t>though</w:t>
      </w:r>
      <w:r w:rsidRPr="00D91FCF">
        <w:rPr>
          <w:rFonts w:ascii="Arial" w:hAnsi="Arial" w:cs="Arial"/>
          <w:sz w:val="24"/>
          <w:szCs w:val="24"/>
        </w:rPr>
        <w:t xml:space="preserve"> these fees may seem small based on sales, </w:t>
      </w:r>
      <w:r w:rsidR="0057470D">
        <w:rPr>
          <w:rFonts w:ascii="Arial" w:hAnsi="Arial" w:cs="Arial"/>
          <w:sz w:val="24"/>
          <w:szCs w:val="24"/>
        </w:rPr>
        <w:t>they</w:t>
      </w:r>
      <w:r w:rsidRPr="00D91FCF">
        <w:rPr>
          <w:rFonts w:ascii="Arial" w:hAnsi="Arial" w:cs="Arial"/>
          <w:sz w:val="24"/>
          <w:szCs w:val="24"/>
        </w:rPr>
        <w:t xml:space="preserve"> </w:t>
      </w:r>
      <w:r w:rsidR="0057470D">
        <w:rPr>
          <w:rFonts w:ascii="Arial" w:hAnsi="Arial" w:cs="Arial"/>
          <w:sz w:val="24"/>
          <w:szCs w:val="24"/>
        </w:rPr>
        <w:t>expose</w:t>
      </w:r>
      <w:r w:rsidRPr="00D91FCF">
        <w:rPr>
          <w:rFonts w:ascii="Arial" w:hAnsi="Arial" w:cs="Arial"/>
          <w:sz w:val="24"/>
          <w:szCs w:val="24"/>
        </w:rPr>
        <w:t xml:space="preserve"> a continual erosion of gross margin</w:t>
      </w:r>
      <w:r w:rsidR="0057470D">
        <w:rPr>
          <w:rFonts w:ascii="Arial" w:hAnsi="Arial" w:cs="Arial"/>
          <w:sz w:val="24"/>
          <w:szCs w:val="24"/>
        </w:rPr>
        <w:t xml:space="preserve"> (</w:t>
      </w:r>
      <w:r w:rsidRPr="00D91FCF">
        <w:rPr>
          <w:rFonts w:ascii="Arial" w:hAnsi="Arial" w:cs="Arial"/>
          <w:sz w:val="24"/>
          <w:szCs w:val="24"/>
        </w:rPr>
        <w:t>Winfield, Graham</w:t>
      </w:r>
      <w:r w:rsidR="0057470D">
        <w:rPr>
          <w:rFonts w:ascii="Arial" w:hAnsi="Arial" w:cs="Arial"/>
          <w:sz w:val="24"/>
          <w:szCs w:val="24"/>
        </w:rPr>
        <w:t>,</w:t>
      </w:r>
      <w:r w:rsidRPr="00D91FCF">
        <w:rPr>
          <w:rFonts w:ascii="Arial" w:hAnsi="Arial" w:cs="Arial"/>
          <w:sz w:val="24"/>
          <w:szCs w:val="24"/>
        </w:rPr>
        <w:t xml:space="preserve"> and Miller</w:t>
      </w:r>
      <w:r w:rsidR="0057470D">
        <w:rPr>
          <w:rFonts w:ascii="Arial" w:hAnsi="Arial" w:cs="Arial"/>
          <w:sz w:val="24"/>
          <w:szCs w:val="24"/>
        </w:rPr>
        <w:t xml:space="preserve">, </w:t>
      </w:r>
      <w:r w:rsidRPr="00D91FCF">
        <w:rPr>
          <w:rFonts w:ascii="Arial" w:hAnsi="Arial" w:cs="Arial"/>
          <w:sz w:val="24"/>
          <w:szCs w:val="24"/>
        </w:rPr>
        <w:t>2021</w:t>
      </w:r>
      <w:r w:rsidR="0057470D">
        <w:rPr>
          <w:rFonts w:ascii="Arial" w:hAnsi="Arial" w:cs="Arial"/>
          <w:sz w:val="24"/>
          <w:szCs w:val="24"/>
        </w:rPr>
        <w:t>).</w:t>
      </w:r>
    </w:p>
    <w:p w14:paraId="2D562EDF" w14:textId="77777777"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Management could consider:</w:t>
      </w:r>
    </w:p>
    <w:p w14:paraId="5F6A4045" w14:textId="067A15D4" w:rsidR="00D91FCF" w:rsidRPr="0042323C" w:rsidRDefault="00D91FCF" w:rsidP="0042323C">
      <w:pPr>
        <w:pStyle w:val="ListParagraph"/>
        <w:numPr>
          <w:ilvl w:val="0"/>
          <w:numId w:val="9"/>
        </w:numPr>
        <w:spacing w:line="480" w:lineRule="auto"/>
        <w:rPr>
          <w:rFonts w:ascii="Arial" w:hAnsi="Arial" w:cs="Arial"/>
          <w:sz w:val="24"/>
          <w:szCs w:val="24"/>
        </w:rPr>
      </w:pPr>
      <w:r w:rsidRPr="0042323C">
        <w:rPr>
          <w:rFonts w:ascii="Arial" w:hAnsi="Arial" w:cs="Arial"/>
          <w:sz w:val="24"/>
          <w:szCs w:val="24"/>
        </w:rPr>
        <w:t>Trying to negotiate the transaction costs with providers. Firms with large turnover often can negotiate with service providers.</w:t>
      </w:r>
    </w:p>
    <w:p w14:paraId="0A3071CF" w14:textId="61036DCF" w:rsidR="00D91FCF" w:rsidRPr="0042323C" w:rsidRDefault="00D91FCF" w:rsidP="0042323C">
      <w:pPr>
        <w:pStyle w:val="ListParagraph"/>
        <w:numPr>
          <w:ilvl w:val="0"/>
          <w:numId w:val="9"/>
        </w:numPr>
        <w:spacing w:line="480" w:lineRule="auto"/>
        <w:rPr>
          <w:rFonts w:ascii="Arial" w:hAnsi="Arial" w:cs="Arial"/>
          <w:sz w:val="24"/>
          <w:szCs w:val="24"/>
        </w:rPr>
      </w:pPr>
      <w:r w:rsidRPr="0042323C">
        <w:rPr>
          <w:rFonts w:ascii="Arial" w:hAnsi="Arial" w:cs="Arial"/>
          <w:sz w:val="24"/>
          <w:szCs w:val="24"/>
        </w:rPr>
        <w:t xml:space="preserve">Offering customers a financial incentive for suggesting </w:t>
      </w:r>
      <w:r w:rsidR="0057470D" w:rsidRPr="0042323C">
        <w:rPr>
          <w:rFonts w:ascii="Arial" w:hAnsi="Arial" w:cs="Arial"/>
          <w:sz w:val="24"/>
          <w:szCs w:val="24"/>
        </w:rPr>
        <w:t>paying</w:t>
      </w:r>
      <w:r w:rsidRPr="0042323C">
        <w:rPr>
          <w:rFonts w:ascii="Arial" w:hAnsi="Arial" w:cs="Arial"/>
          <w:sz w:val="24"/>
          <w:szCs w:val="24"/>
        </w:rPr>
        <w:t xml:space="preserve"> using an alternative currency, e.g., offering discounts for bank transfers. Keeping track of the net benefit of different types of credit card acceptance</w:t>
      </w:r>
      <w:r w:rsidR="0042323C" w:rsidRPr="0042323C">
        <w:rPr>
          <w:rFonts w:ascii="Arial" w:hAnsi="Arial" w:cs="Arial"/>
          <w:sz w:val="24"/>
          <w:szCs w:val="24"/>
        </w:rPr>
        <w:t>,</w:t>
      </w:r>
      <w:r w:rsidRPr="0042323C">
        <w:rPr>
          <w:rFonts w:ascii="Arial" w:hAnsi="Arial" w:cs="Arial"/>
          <w:sz w:val="24"/>
          <w:szCs w:val="24"/>
        </w:rPr>
        <w:t xml:space="preserve"> if their charges exceed a </w:t>
      </w:r>
      <w:r w:rsidR="0042323C" w:rsidRPr="0042323C">
        <w:rPr>
          <w:rFonts w:ascii="Arial" w:hAnsi="Arial" w:cs="Arial"/>
          <w:sz w:val="24"/>
          <w:szCs w:val="24"/>
        </w:rPr>
        <w:t>customer's</w:t>
      </w:r>
      <w:r w:rsidRPr="0042323C">
        <w:rPr>
          <w:rFonts w:ascii="Arial" w:hAnsi="Arial" w:cs="Arial"/>
          <w:sz w:val="24"/>
          <w:szCs w:val="24"/>
        </w:rPr>
        <w:t xml:space="preserve"> benefit. </w:t>
      </w:r>
    </w:p>
    <w:p w14:paraId="782072A3" w14:textId="77777777" w:rsidR="00D91FCF" w:rsidRPr="00D91FCF" w:rsidRDefault="00D91FCF" w:rsidP="00D91FCF">
      <w:pPr>
        <w:spacing w:line="480" w:lineRule="auto"/>
        <w:rPr>
          <w:rFonts w:ascii="Arial" w:hAnsi="Arial" w:cs="Arial"/>
          <w:sz w:val="24"/>
          <w:szCs w:val="24"/>
        </w:rPr>
      </w:pPr>
    </w:p>
    <w:p w14:paraId="075B3606" w14:textId="77777777" w:rsidR="0042323C" w:rsidRDefault="0042323C" w:rsidP="00D91FCF">
      <w:pPr>
        <w:spacing w:line="480" w:lineRule="auto"/>
        <w:rPr>
          <w:rFonts w:ascii="Arial" w:hAnsi="Arial" w:cs="Arial"/>
          <w:sz w:val="24"/>
          <w:szCs w:val="24"/>
        </w:rPr>
      </w:pPr>
    </w:p>
    <w:p w14:paraId="5A8A423D" w14:textId="77777777" w:rsidR="0042323C" w:rsidRDefault="0042323C" w:rsidP="00D91FCF">
      <w:pPr>
        <w:spacing w:line="480" w:lineRule="auto"/>
        <w:rPr>
          <w:rFonts w:ascii="Arial" w:hAnsi="Arial" w:cs="Arial"/>
          <w:sz w:val="24"/>
          <w:szCs w:val="24"/>
        </w:rPr>
      </w:pPr>
    </w:p>
    <w:p w14:paraId="0FDACC68" w14:textId="513432B6" w:rsidR="00D91FCF" w:rsidRPr="00741194" w:rsidRDefault="00D91FCF" w:rsidP="00741194">
      <w:pPr>
        <w:pStyle w:val="ListParagraph"/>
        <w:numPr>
          <w:ilvl w:val="0"/>
          <w:numId w:val="17"/>
        </w:numPr>
        <w:spacing w:line="480" w:lineRule="auto"/>
        <w:rPr>
          <w:rFonts w:ascii="Arial Black" w:hAnsi="Arial Black" w:cs="Arial"/>
          <w:sz w:val="24"/>
          <w:szCs w:val="24"/>
        </w:rPr>
      </w:pPr>
      <w:r w:rsidRPr="00741194">
        <w:rPr>
          <w:rFonts w:ascii="Arial Black" w:hAnsi="Arial Black" w:cs="Arial"/>
          <w:sz w:val="24"/>
          <w:szCs w:val="24"/>
        </w:rPr>
        <w:lastRenderedPageBreak/>
        <w:t xml:space="preserve">Timing of Capital Expenditure </w:t>
      </w:r>
    </w:p>
    <w:p w14:paraId="4A1DFAE2" w14:textId="4006225A"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Planned refurbishments costing £14,000, £12,000</w:t>
      </w:r>
      <w:r w:rsidR="0042323C">
        <w:rPr>
          <w:rFonts w:ascii="Arial" w:hAnsi="Arial" w:cs="Arial"/>
          <w:sz w:val="24"/>
          <w:szCs w:val="24"/>
        </w:rPr>
        <w:t>,</w:t>
      </w:r>
      <w:r w:rsidRPr="00D91FCF">
        <w:rPr>
          <w:rFonts w:ascii="Arial" w:hAnsi="Arial" w:cs="Arial"/>
          <w:sz w:val="24"/>
          <w:szCs w:val="24"/>
        </w:rPr>
        <w:t xml:space="preserve"> and £16,000 respectively</w:t>
      </w:r>
      <w:r w:rsidR="0042323C">
        <w:rPr>
          <w:rFonts w:ascii="Arial" w:hAnsi="Arial" w:cs="Arial"/>
          <w:sz w:val="24"/>
          <w:szCs w:val="24"/>
        </w:rPr>
        <w:t>,</w:t>
      </w:r>
      <w:r w:rsidRPr="00D91FCF">
        <w:rPr>
          <w:rFonts w:ascii="Arial" w:hAnsi="Arial" w:cs="Arial"/>
          <w:sz w:val="24"/>
          <w:szCs w:val="24"/>
        </w:rPr>
        <w:t xml:space="preserve"> when undertaken in the months of June, July</w:t>
      </w:r>
      <w:r w:rsidR="0042323C">
        <w:rPr>
          <w:rFonts w:ascii="Arial" w:hAnsi="Arial" w:cs="Arial"/>
          <w:sz w:val="24"/>
          <w:szCs w:val="24"/>
        </w:rPr>
        <w:t>,</w:t>
      </w:r>
      <w:r w:rsidRPr="00D91FCF">
        <w:rPr>
          <w:rFonts w:ascii="Arial" w:hAnsi="Arial" w:cs="Arial"/>
          <w:sz w:val="24"/>
          <w:szCs w:val="24"/>
        </w:rPr>
        <w:t xml:space="preserve"> and August</w:t>
      </w:r>
      <w:r w:rsidR="0042323C">
        <w:rPr>
          <w:rFonts w:ascii="Arial" w:hAnsi="Arial" w:cs="Arial"/>
          <w:sz w:val="24"/>
          <w:szCs w:val="24"/>
        </w:rPr>
        <w:t>,</w:t>
      </w:r>
      <w:r w:rsidRPr="00D91FCF">
        <w:rPr>
          <w:rFonts w:ascii="Arial" w:hAnsi="Arial" w:cs="Arial"/>
          <w:sz w:val="24"/>
          <w:szCs w:val="24"/>
        </w:rPr>
        <w:t xml:space="preserve"> offer little solution to the cash flow issues in the early months since outgoing payments are expected for each of these refurbishments in each of these months respectively. The costs of refurbishing stores with a view to attracting long-term competitive advantage </w:t>
      </w:r>
      <w:r w:rsidR="0042323C">
        <w:rPr>
          <w:rFonts w:ascii="Arial" w:hAnsi="Arial" w:cs="Arial"/>
          <w:sz w:val="24"/>
          <w:szCs w:val="24"/>
        </w:rPr>
        <w:t>are</w:t>
      </w:r>
      <w:r w:rsidRPr="00D91FCF">
        <w:rPr>
          <w:rFonts w:ascii="Arial" w:hAnsi="Arial" w:cs="Arial"/>
          <w:sz w:val="24"/>
          <w:szCs w:val="24"/>
        </w:rPr>
        <w:t xml:space="preserve"> important; except</w:t>
      </w:r>
      <w:r w:rsidR="0042323C">
        <w:rPr>
          <w:rFonts w:ascii="Arial" w:hAnsi="Arial" w:cs="Arial"/>
          <w:sz w:val="24"/>
          <w:szCs w:val="24"/>
        </w:rPr>
        <w:t>,</w:t>
      </w:r>
      <w:r w:rsidRPr="00D91FCF">
        <w:rPr>
          <w:rFonts w:ascii="Arial" w:hAnsi="Arial" w:cs="Arial"/>
          <w:sz w:val="24"/>
          <w:szCs w:val="24"/>
        </w:rPr>
        <w:t xml:space="preserve"> timing refurbishments at a time when there will be no additional financial stress will reduce the risks associated with committing cash repayments</w:t>
      </w:r>
      <w:r w:rsidR="0042323C">
        <w:rPr>
          <w:rFonts w:ascii="Arial" w:hAnsi="Arial" w:cs="Arial"/>
          <w:sz w:val="24"/>
          <w:szCs w:val="24"/>
        </w:rPr>
        <w:t xml:space="preserve"> (</w:t>
      </w:r>
      <w:r w:rsidRPr="00D91FCF">
        <w:rPr>
          <w:rFonts w:ascii="Arial" w:hAnsi="Arial" w:cs="Arial"/>
          <w:sz w:val="24"/>
          <w:szCs w:val="24"/>
        </w:rPr>
        <w:t>Bhimani</w:t>
      </w:r>
      <w:r w:rsidR="0042323C">
        <w:rPr>
          <w:rFonts w:ascii="Arial" w:hAnsi="Arial" w:cs="Arial"/>
          <w:sz w:val="24"/>
          <w:szCs w:val="24"/>
        </w:rPr>
        <w:t xml:space="preserve">, </w:t>
      </w:r>
      <w:r w:rsidRPr="00D91FCF">
        <w:rPr>
          <w:rFonts w:ascii="Arial" w:hAnsi="Arial" w:cs="Arial"/>
          <w:sz w:val="24"/>
          <w:szCs w:val="24"/>
        </w:rPr>
        <w:t>2006)</w:t>
      </w:r>
      <w:r w:rsidR="0042323C">
        <w:rPr>
          <w:rFonts w:ascii="Arial" w:hAnsi="Arial" w:cs="Arial"/>
          <w:sz w:val="24"/>
          <w:szCs w:val="24"/>
        </w:rPr>
        <w:t>.</w:t>
      </w:r>
    </w:p>
    <w:p w14:paraId="7B2E8ECF" w14:textId="77777777"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Possible options: </w:t>
      </w:r>
    </w:p>
    <w:p w14:paraId="08E5AB11" w14:textId="09DA2474" w:rsidR="00D91FCF" w:rsidRPr="0042323C" w:rsidRDefault="0042323C" w:rsidP="0042323C">
      <w:pPr>
        <w:pStyle w:val="ListParagraph"/>
        <w:numPr>
          <w:ilvl w:val="0"/>
          <w:numId w:val="12"/>
        </w:numPr>
        <w:spacing w:line="480" w:lineRule="auto"/>
        <w:rPr>
          <w:rFonts w:ascii="Arial" w:hAnsi="Arial" w:cs="Arial"/>
          <w:sz w:val="24"/>
          <w:szCs w:val="24"/>
        </w:rPr>
      </w:pPr>
      <w:r w:rsidRPr="0042323C">
        <w:rPr>
          <w:rFonts w:ascii="Arial" w:hAnsi="Arial" w:cs="Arial"/>
          <w:sz w:val="24"/>
          <w:szCs w:val="24"/>
        </w:rPr>
        <w:t>Postpone</w:t>
      </w:r>
      <w:r w:rsidR="00D91FCF" w:rsidRPr="0042323C">
        <w:rPr>
          <w:rFonts w:ascii="Arial" w:hAnsi="Arial" w:cs="Arial"/>
          <w:sz w:val="24"/>
          <w:szCs w:val="24"/>
        </w:rPr>
        <w:t xml:space="preserve"> planned refurbishments for </w:t>
      </w:r>
      <w:r w:rsidRPr="0042323C">
        <w:rPr>
          <w:rFonts w:ascii="Arial" w:hAnsi="Arial" w:cs="Arial"/>
          <w:sz w:val="24"/>
          <w:szCs w:val="24"/>
        </w:rPr>
        <w:t xml:space="preserve">the </w:t>
      </w:r>
      <w:r w:rsidR="00D91FCF" w:rsidRPr="0042323C">
        <w:rPr>
          <w:rFonts w:ascii="Arial" w:hAnsi="Arial" w:cs="Arial"/>
          <w:sz w:val="24"/>
          <w:szCs w:val="24"/>
        </w:rPr>
        <w:t xml:space="preserve">late months when cash surpluses are expected. </w:t>
      </w:r>
    </w:p>
    <w:p w14:paraId="568FFC53" w14:textId="77777777" w:rsidR="00D91FCF" w:rsidRPr="0042323C" w:rsidRDefault="00D91FCF" w:rsidP="0042323C">
      <w:pPr>
        <w:pStyle w:val="ListParagraph"/>
        <w:numPr>
          <w:ilvl w:val="0"/>
          <w:numId w:val="12"/>
        </w:numPr>
        <w:spacing w:line="480" w:lineRule="auto"/>
        <w:rPr>
          <w:rFonts w:ascii="Arial" w:hAnsi="Arial" w:cs="Arial"/>
          <w:sz w:val="24"/>
          <w:szCs w:val="24"/>
        </w:rPr>
      </w:pPr>
      <w:r w:rsidRPr="0042323C">
        <w:rPr>
          <w:rFonts w:ascii="Arial" w:hAnsi="Arial" w:cs="Arial"/>
          <w:sz w:val="24"/>
          <w:szCs w:val="24"/>
        </w:rPr>
        <w:t xml:space="preserve">Consider leasing or financing refurbishments, so the cash flow is also smoothed out over the refurbishment period. </w:t>
      </w:r>
    </w:p>
    <w:p w14:paraId="008FD210" w14:textId="77777777" w:rsidR="00D91FCF" w:rsidRPr="0042323C" w:rsidRDefault="00D91FCF" w:rsidP="0042323C">
      <w:pPr>
        <w:pStyle w:val="ListParagraph"/>
        <w:numPr>
          <w:ilvl w:val="0"/>
          <w:numId w:val="12"/>
        </w:numPr>
        <w:spacing w:line="480" w:lineRule="auto"/>
        <w:rPr>
          <w:rFonts w:ascii="Arial" w:hAnsi="Arial" w:cs="Arial"/>
          <w:sz w:val="24"/>
          <w:szCs w:val="24"/>
        </w:rPr>
      </w:pPr>
      <w:r w:rsidRPr="0042323C">
        <w:rPr>
          <w:rFonts w:ascii="Arial" w:hAnsi="Arial" w:cs="Arial"/>
          <w:sz w:val="24"/>
          <w:szCs w:val="24"/>
        </w:rPr>
        <w:t xml:space="preserve">Consider the potential return on investment for each planned refurbishment so the management team can focus on the refurbishments if they believe will contribute most to enhancing sales. </w:t>
      </w:r>
    </w:p>
    <w:p w14:paraId="1447A00D" w14:textId="77777777" w:rsidR="00D91FCF" w:rsidRPr="00741194" w:rsidRDefault="00D91FCF" w:rsidP="00741194">
      <w:pPr>
        <w:pStyle w:val="ListParagraph"/>
        <w:numPr>
          <w:ilvl w:val="0"/>
          <w:numId w:val="18"/>
        </w:numPr>
        <w:spacing w:line="480" w:lineRule="auto"/>
        <w:rPr>
          <w:rFonts w:ascii="Arial Black" w:hAnsi="Arial Black" w:cs="Arial"/>
          <w:sz w:val="24"/>
          <w:szCs w:val="24"/>
        </w:rPr>
      </w:pPr>
      <w:r w:rsidRPr="00741194">
        <w:rPr>
          <w:rFonts w:ascii="Arial Black" w:hAnsi="Arial Black" w:cs="Arial"/>
          <w:sz w:val="24"/>
          <w:szCs w:val="24"/>
        </w:rPr>
        <w:t xml:space="preserve">Loan and tax payments </w:t>
      </w:r>
    </w:p>
    <w:p w14:paraId="3F2EB03C" w14:textId="77777777" w:rsidR="0042323C" w:rsidRDefault="00D91FCF" w:rsidP="00D91FCF">
      <w:pPr>
        <w:spacing w:line="480" w:lineRule="auto"/>
        <w:rPr>
          <w:rFonts w:ascii="Arial" w:hAnsi="Arial" w:cs="Arial"/>
          <w:sz w:val="24"/>
          <w:szCs w:val="24"/>
        </w:rPr>
      </w:pPr>
      <w:r w:rsidRPr="00D91FCF">
        <w:rPr>
          <w:rFonts w:ascii="Arial" w:hAnsi="Arial" w:cs="Arial"/>
          <w:sz w:val="24"/>
          <w:szCs w:val="24"/>
        </w:rPr>
        <w:t>The £4,500 monthly loan repayments and the lump sum tax payment of £18,000 in August will also increase cash flow pressure as fixed repayment obligations can restrict managers</w:t>
      </w:r>
      <w:r w:rsidR="0042323C">
        <w:rPr>
          <w:rFonts w:ascii="Arial" w:hAnsi="Arial" w:cs="Arial"/>
          <w:sz w:val="24"/>
          <w:szCs w:val="24"/>
        </w:rPr>
        <w:t xml:space="preserve"> (</w:t>
      </w:r>
      <w:r w:rsidRPr="00D91FCF">
        <w:rPr>
          <w:rFonts w:ascii="Arial" w:hAnsi="Arial" w:cs="Arial"/>
          <w:sz w:val="24"/>
          <w:szCs w:val="24"/>
        </w:rPr>
        <w:t xml:space="preserve">Okeke, Bakare, and </w:t>
      </w:r>
      <w:proofErr w:type="spellStart"/>
      <w:r w:rsidRPr="00D91FCF">
        <w:rPr>
          <w:rFonts w:ascii="Arial" w:hAnsi="Arial" w:cs="Arial"/>
          <w:sz w:val="24"/>
          <w:szCs w:val="24"/>
        </w:rPr>
        <w:t>Achumie</w:t>
      </w:r>
      <w:proofErr w:type="spellEnd"/>
      <w:r w:rsidR="0042323C">
        <w:rPr>
          <w:rFonts w:ascii="Arial" w:hAnsi="Arial" w:cs="Arial"/>
          <w:sz w:val="24"/>
          <w:szCs w:val="24"/>
        </w:rPr>
        <w:t xml:space="preserve">, </w:t>
      </w:r>
      <w:r w:rsidRPr="00D91FCF">
        <w:rPr>
          <w:rFonts w:ascii="Arial" w:hAnsi="Arial" w:cs="Arial"/>
          <w:sz w:val="24"/>
          <w:szCs w:val="24"/>
        </w:rPr>
        <w:t>2024)</w:t>
      </w:r>
      <w:r w:rsidR="0042323C">
        <w:rPr>
          <w:rFonts w:ascii="Arial" w:hAnsi="Arial" w:cs="Arial"/>
          <w:sz w:val="24"/>
          <w:szCs w:val="24"/>
        </w:rPr>
        <w:t>.</w:t>
      </w:r>
    </w:p>
    <w:p w14:paraId="71D0D6CE" w14:textId="77777777" w:rsidR="0042323C" w:rsidRDefault="0042323C" w:rsidP="00D91FCF">
      <w:pPr>
        <w:spacing w:line="480" w:lineRule="auto"/>
        <w:rPr>
          <w:rFonts w:ascii="Arial" w:hAnsi="Arial" w:cs="Arial"/>
          <w:sz w:val="24"/>
          <w:szCs w:val="24"/>
        </w:rPr>
      </w:pPr>
    </w:p>
    <w:p w14:paraId="2FA4561C" w14:textId="77777777" w:rsidR="0042323C" w:rsidRDefault="0042323C" w:rsidP="00D91FCF">
      <w:pPr>
        <w:spacing w:line="480" w:lineRule="auto"/>
        <w:rPr>
          <w:rFonts w:ascii="Arial" w:hAnsi="Arial" w:cs="Arial"/>
          <w:sz w:val="24"/>
          <w:szCs w:val="24"/>
        </w:rPr>
      </w:pPr>
    </w:p>
    <w:p w14:paraId="62581E40" w14:textId="73CD8CED" w:rsidR="0042323C" w:rsidRDefault="00D91FCF" w:rsidP="00D91FCF">
      <w:pPr>
        <w:spacing w:line="480" w:lineRule="auto"/>
        <w:rPr>
          <w:rFonts w:ascii="Arial" w:hAnsi="Arial" w:cs="Arial"/>
          <w:sz w:val="24"/>
          <w:szCs w:val="24"/>
        </w:rPr>
      </w:pPr>
      <w:r w:rsidRPr="00D91FCF">
        <w:rPr>
          <w:rFonts w:ascii="Arial" w:hAnsi="Arial" w:cs="Arial"/>
          <w:sz w:val="24"/>
          <w:szCs w:val="24"/>
        </w:rPr>
        <w:lastRenderedPageBreak/>
        <w:t xml:space="preserve">Management might: </w:t>
      </w:r>
    </w:p>
    <w:p w14:paraId="40E4F462" w14:textId="77777777" w:rsidR="0042323C" w:rsidRPr="0042323C" w:rsidRDefault="00D91FCF" w:rsidP="0042323C">
      <w:pPr>
        <w:pStyle w:val="ListParagraph"/>
        <w:numPr>
          <w:ilvl w:val="0"/>
          <w:numId w:val="13"/>
        </w:numPr>
        <w:spacing w:line="480" w:lineRule="auto"/>
        <w:rPr>
          <w:rFonts w:ascii="Arial" w:hAnsi="Arial" w:cs="Arial"/>
          <w:sz w:val="24"/>
          <w:szCs w:val="24"/>
        </w:rPr>
      </w:pPr>
      <w:r w:rsidRPr="0042323C">
        <w:rPr>
          <w:rFonts w:ascii="Arial" w:hAnsi="Arial" w:cs="Arial"/>
          <w:sz w:val="24"/>
          <w:szCs w:val="24"/>
        </w:rPr>
        <w:t xml:space="preserve">Set aside a portion of cash surpluses monthly into a dedicated sinking fund to cover loan repayments and tax </w:t>
      </w:r>
      <w:r w:rsidR="0042323C" w:rsidRPr="0042323C">
        <w:rPr>
          <w:rFonts w:ascii="Arial" w:hAnsi="Arial" w:cs="Arial"/>
          <w:sz w:val="24"/>
          <w:szCs w:val="24"/>
        </w:rPr>
        <w:t xml:space="preserve">repayments. </w:t>
      </w:r>
    </w:p>
    <w:p w14:paraId="09B6DFD4" w14:textId="1264B956" w:rsidR="00D91FCF" w:rsidRPr="0042323C" w:rsidRDefault="0042323C" w:rsidP="0042323C">
      <w:pPr>
        <w:pStyle w:val="ListParagraph"/>
        <w:numPr>
          <w:ilvl w:val="0"/>
          <w:numId w:val="13"/>
        </w:numPr>
        <w:spacing w:line="480" w:lineRule="auto"/>
        <w:rPr>
          <w:rFonts w:ascii="Arial" w:hAnsi="Arial" w:cs="Arial"/>
          <w:sz w:val="24"/>
          <w:szCs w:val="24"/>
        </w:rPr>
      </w:pPr>
      <w:r w:rsidRPr="0042323C">
        <w:rPr>
          <w:rFonts w:ascii="Arial" w:hAnsi="Arial" w:cs="Arial"/>
          <w:sz w:val="24"/>
          <w:szCs w:val="24"/>
        </w:rPr>
        <w:t>Engage</w:t>
      </w:r>
      <w:r w:rsidR="00D91FCF" w:rsidRPr="0042323C">
        <w:rPr>
          <w:rFonts w:ascii="Arial" w:hAnsi="Arial" w:cs="Arial"/>
          <w:sz w:val="24"/>
          <w:szCs w:val="24"/>
        </w:rPr>
        <w:t xml:space="preserve"> with the tax authorities to discover whether any facilities exist to spread the payments into </w:t>
      </w:r>
      <w:r w:rsidRPr="0042323C">
        <w:rPr>
          <w:rFonts w:ascii="Arial" w:hAnsi="Arial" w:cs="Arial"/>
          <w:sz w:val="24"/>
          <w:szCs w:val="24"/>
        </w:rPr>
        <w:t>instalments</w:t>
      </w:r>
      <w:r w:rsidR="00D91FCF" w:rsidRPr="0042323C">
        <w:rPr>
          <w:rFonts w:ascii="Arial" w:hAnsi="Arial" w:cs="Arial"/>
          <w:sz w:val="24"/>
          <w:szCs w:val="24"/>
        </w:rPr>
        <w:t>.</w:t>
      </w:r>
    </w:p>
    <w:p w14:paraId="504C226D" w14:textId="77777777" w:rsidR="00D91FCF" w:rsidRPr="0042323C" w:rsidRDefault="00D91FCF" w:rsidP="0042323C">
      <w:pPr>
        <w:pStyle w:val="ListParagraph"/>
        <w:numPr>
          <w:ilvl w:val="0"/>
          <w:numId w:val="13"/>
        </w:numPr>
        <w:spacing w:line="480" w:lineRule="auto"/>
        <w:rPr>
          <w:rFonts w:ascii="Arial" w:hAnsi="Arial" w:cs="Arial"/>
          <w:sz w:val="24"/>
          <w:szCs w:val="24"/>
        </w:rPr>
      </w:pPr>
      <w:r w:rsidRPr="0042323C">
        <w:rPr>
          <w:rFonts w:ascii="Arial" w:hAnsi="Arial" w:cs="Arial"/>
          <w:sz w:val="24"/>
          <w:szCs w:val="24"/>
        </w:rPr>
        <w:t>If possible, refinance the loan to ease monthly repayments through a longer loan term.</w:t>
      </w:r>
    </w:p>
    <w:p w14:paraId="783EC074" w14:textId="77777777" w:rsidR="00D91FCF" w:rsidRPr="00741194" w:rsidRDefault="00D91FCF" w:rsidP="00741194">
      <w:pPr>
        <w:pStyle w:val="ListParagraph"/>
        <w:numPr>
          <w:ilvl w:val="0"/>
          <w:numId w:val="19"/>
        </w:numPr>
        <w:spacing w:line="480" w:lineRule="auto"/>
        <w:rPr>
          <w:rFonts w:ascii="Arial Black" w:hAnsi="Arial Black" w:cs="Arial"/>
          <w:sz w:val="24"/>
          <w:szCs w:val="24"/>
        </w:rPr>
      </w:pPr>
      <w:r w:rsidRPr="00741194">
        <w:rPr>
          <w:rFonts w:ascii="Arial Black" w:hAnsi="Arial Black" w:cs="Arial"/>
          <w:sz w:val="24"/>
          <w:szCs w:val="24"/>
        </w:rPr>
        <w:t>Overall Assessment</w:t>
      </w:r>
    </w:p>
    <w:p w14:paraId="229FF263" w14:textId="55EF7D49"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Overall, the budgets demonstrate the organisation is profitable</w:t>
      </w:r>
      <w:r w:rsidR="0042323C">
        <w:rPr>
          <w:rFonts w:ascii="Arial" w:hAnsi="Arial" w:cs="Arial"/>
          <w:sz w:val="24"/>
          <w:szCs w:val="24"/>
        </w:rPr>
        <w:t>,</w:t>
      </w:r>
      <w:r w:rsidRPr="00D91FCF">
        <w:rPr>
          <w:rFonts w:ascii="Arial" w:hAnsi="Arial" w:cs="Arial"/>
          <w:sz w:val="24"/>
          <w:szCs w:val="24"/>
        </w:rPr>
        <w:t xml:space="preserve"> but under cash flow timing mismatch risk. This aligns with the view of Schroeder, Clark and Cathey (2022) that cash flow risks have a disguise of respectable profit on an accrual accounting basis. Management must properly focus on liquidity planning and budgeting for flexibility instead of only concentrating on reporting headline profit.</w:t>
      </w:r>
    </w:p>
    <w:p w14:paraId="4F3865E0" w14:textId="2E92D92B"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In the case of Green Threads Ltd, effective management of its cash flows, overheads and borrowing obligations will be essential for continuing successfully to the end of the first six-month period. </w:t>
      </w:r>
    </w:p>
    <w:p w14:paraId="3E31424A" w14:textId="5D09F831" w:rsidR="00D91FCF" w:rsidRPr="00741194" w:rsidRDefault="00D91FCF" w:rsidP="00741194">
      <w:pPr>
        <w:pStyle w:val="ListParagraph"/>
        <w:numPr>
          <w:ilvl w:val="0"/>
          <w:numId w:val="16"/>
        </w:numPr>
        <w:spacing w:line="480" w:lineRule="auto"/>
        <w:rPr>
          <w:rFonts w:ascii="Arial Black" w:hAnsi="Arial Black" w:cs="Arial"/>
          <w:sz w:val="24"/>
          <w:szCs w:val="24"/>
        </w:rPr>
      </w:pPr>
      <w:bookmarkStart w:id="1" w:name="_Hlk207224001"/>
      <w:r w:rsidRPr="00741194">
        <w:rPr>
          <w:rFonts w:ascii="Arial Black" w:hAnsi="Arial Black" w:cs="Arial"/>
          <w:sz w:val="24"/>
          <w:szCs w:val="24"/>
        </w:rPr>
        <w:t>Conditions for Ultimately Getting Budgets and the Behavioural Implications</w:t>
      </w:r>
    </w:p>
    <w:bookmarkEnd w:id="1"/>
    <w:p w14:paraId="43AFD83F" w14:textId="05513894"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Green Threads Ltd will find compiling its stock, cash and profit budgets provides learning about the operational and risk management of its financial situation. However, budgeting embodies more than just forecasting accuracy</w:t>
      </w:r>
      <w:r w:rsidR="0042323C">
        <w:rPr>
          <w:rFonts w:ascii="Arial" w:hAnsi="Arial" w:cs="Arial"/>
          <w:sz w:val="24"/>
          <w:szCs w:val="24"/>
        </w:rPr>
        <w:t>;</w:t>
      </w:r>
      <w:r w:rsidRPr="00D91FCF">
        <w:rPr>
          <w:rFonts w:ascii="Arial" w:hAnsi="Arial" w:cs="Arial"/>
          <w:sz w:val="24"/>
          <w:szCs w:val="24"/>
        </w:rPr>
        <w:t xml:space="preserve"> it centres on the conditions within the organisation for budgeting and budgetary control. Drury (2021) s</w:t>
      </w:r>
      <w:r w:rsidR="0042323C">
        <w:rPr>
          <w:rFonts w:ascii="Arial" w:hAnsi="Arial" w:cs="Arial"/>
          <w:sz w:val="24"/>
          <w:szCs w:val="24"/>
        </w:rPr>
        <w:t>tates</w:t>
      </w:r>
      <w:r w:rsidRPr="00D91FCF">
        <w:rPr>
          <w:rFonts w:ascii="Arial" w:hAnsi="Arial" w:cs="Arial"/>
          <w:sz w:val="24"/>
          <w:szCs w:val="24"/>
        </w:rPr>
        <w:t xml:space="preserve"> that budgeting systems can only succeed when they take place within a </w:t>
      </w:r>
      <w:r w:rsidRPr="00D91FCF">
        <w:rPr>
          <w:rFonts w:ascii="Arial" w:hAnsi="Arial" w:cs="Arial"/>
          <w:sz w:val="24"/>
          <w:szCs w:val="24"/>
        </w:rPr>
        <w:lastRenderedPageBreak/>
        <w:t>structured management environment that provides some level of assured responsibility, flexibility and 'buy-in' from the participants.</w:t>
      </w:r>
      <w:r w:rsidR="0042323C">
        <w:rPr>
          <w:rFonts w:ascii="Arial" w:hAnsi="Arial" w:cs="Arial"/>
          <w:sz w:val="24"/>
          <w:szCs w:val="24"/>
        </w:rPr>
        <w:t xml:space="preserve"> </w:t>
      </w:r>
      <w:r w:rsidRPr="00D91FCF">
        <w:rPr>
          <w:rFonts w:ascii="Arial" w:hAnsi="Arial" w:cs="Arial"/>
          <w:sz w:val="24"/>
          <w:szCs w:val="24"/>
        </w:rPr>
        <w:t xml:space="preserve">This section describes the </w:t>
      </w:r>
      <w:r w:rsidR="0042323C">
        <w:rPr>
          <w:rFonts w:ascii="Arial" w:hAnsi="Arial" w:cs="Arial"/>
          <w:sz w:val="24"/>
          <w:szCs w:val="24"/>
        </w:rPr>
        <w:t>organisational</w:t>
      </w:r>
      <w:r w:rsidRPr="00D91FCF">
        <w:rPr>
          <w:rFonts w:ascii="Arial" w:hAnsi="Arial" w:cs="Arial"/>
          <w:sz w:val="24"/>
          <w:szCs w:val="24"/>
        </w:rPr>
        <w:t xml:space="preserve"> pr</w:t>
      </w:r>
      <w:r w:rsidR="00C118BF">
        <w:rPr>
          <w:rFonts w:ascii="Arial" w:hAnsi="Arial" w:cs="Arial"/>
          <w:sz w:val="24"/>
          <w:szCs w:val="24"/>
        </w:rPr>
        <w:t>econdition</w:t>
      </w:r>
      <w:r w:rsidRPr="00D91FCF">
        <w:rPr>
          <w:rFonts w:ascii="Arial" w:hAnsi="Arial" w:cs="Arial"/>
          <w:sz w:val="24"/>
          <w:szCs w:val="24"/>
        </w:rPr>
        <w:t xml:space="preserve"> of successful budgeting and discusses factors associated with </w:t>
      </w:r>
      <w:r w:rsidR="00C118BF">
        <w:rPr>
          <w:rFonts w:ascii="Arial" w:hAnsi="Arial" w:cs="Arial"/>
          <w:sz w:val="24"/>
          <w:szCs w:val="24"/>
        </w:rPr>
        <w:t>behaviour</w:t>
      </w:r>
      <w:r w:rsidRPr="00D91FCF">
        <w:rPr>
          <w:rFonts w:ascii="Arial" w:hAnsi="Arial" w:cs="Arial"/>
          <w:sz w:val="24"/>
          <w:szCs w:val="24"/>
        </w:rPr>
        <w:t xml:space="preserve"> that contribute to a budgeting system's success or failure.</w:t>
      </w:r>
    </w:p>
    <w:p w14:paraId="1BDB49EA" w14:textId="5398BBFE" w:rsidR="00D91FCF" w:rsidRPr="00741194" w:rsidRDefault="00D91FCF" w:rsidP="00D91FCF">
      <w:pPr>
        <w:spacing w:line="480" w:lineRule="auto"/>
        <w:rPr>
          <w:rFonts w:ascii="Arial Black" w:hAnsi="Arial Black" w:cs="Arial"/>
          <w:sz w:val="24"/>
          <w:szCs w:val="24"/>
        </w:rPr>
      </w:pPr>
      <w:r w:rsidRPr="00741194">
        <w:rPr>
          <w:rFonts w:ascii="Arial Black" w:hAnsi="Arial Black" w:cs="Arial"/>
          <w:sz w:val="24"/>
          <w:szCs w:val="24"/>
        </w:rPr>
        <w:t>Organi</w:t>
      </w:r>
      <w:r w:rsidR="00C118BF" w:rsidRPr="00741194">
        <w:rPr>
          <w:rFonts w:ascii="Arial Black" w:hAnsi="Arial Black" w:cs="Arial"/>
          <w:sz w:val="24"/>
          <w:szCs w:val="24"/>
        </w:rPr>
        <w:t>s</w:t>
      </w:r>
      <w:r w:rsidRPr="00741194">
        <w:rPr>
          <w:rFonts w:ascii="Arial Black" w:hAnsi="Arial Black" w:cs="Arial"/>
          <w:sz w:val="24"/>
          <w:szCs w:val="24"/>
        </w:rPr>
        <w:t>ational Conditions</w:t>
      </w:r>
    </w:p>
    <w:p w14:paraId="6E67192F" w14:textId="6595759B" w:rsidR="00D91FCF" w:rsidRPr="00741194" w:rsidRDefault="00D91FCF" w:rsidP="00741194">
      <w:pPr>
        <w:pStyle w:val="ListParagraph"/>
        <w:numPr>
          <w:ilvl w:val="0"/>
          <w:numId w:val="20"/>
        </w:numPr>
        <w:spacing w:line="480" w:lineRule="auto"/>
        <w:rPr>
          <w:rFonts w:ascii="Arial" w:hAnsi="Arial" w:cs="Arial"/>
          <w:b/>
          <w:bCs/>
          <w:sz w:val="24"/>
          <w:szCs w:val="24"/>
        </w:rPr>
      </w:pPr>
      <w:r w:rsidRPr="00741194">
        <w:rPr>
          <w:rFonts w:ascii="Arial" w:hAnsi="Arial" w:cs="Arial"/>
          <w:b/>
          <w:bCs/>
          <w:sz w:val="24"/>
          <w:szCs w:val="24"/>
        </w:rPr>
        <w:t>Clear Strategic Objectives</w:t>
      </w:r>
    </w:p>
    <w:p w14:paraId="043E2287" w14:textId="3AA0D021"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Budgets must be similar to the overall strategy of the </w:t>
      </w:r>
      <w:r w:rsidR="00C118BF">
        <w:rPr>
          <w:rFonts w:ascii="Arial" w:hAnsi="Arial" w:cs="Arial"/>
          <w:sz w:val="24"/>
          <w:szCs w:val="24"/>
        </w:rPr>
        <w:t>organisation</w:t>
      </w:r>
      <w:r w:rsidRPr="00D91FCF">
        <w:rPr>
          <w:rFonts w:ascii="Arial" w:hAnsi="Arial" w:cs="Arial"/>
          <w:sz w:val="24"/>
          <w:szCs w:val="24"/>
        </w:rPr>
        <w:t xml:space="preserve">. Seal, Garrison, and Noreen (2018) explain that if budgetary processes do not have a meaningful conceptual connection with strategic reasons, then budgeting is likely to devolve into a financial exercise rather than a tool to guide decisions affecting the longer term. For example, although Green Threads </w:t>
      </w:r>
      <w:r w:rsidR="00C118BF" w:rsidRPr="00D91FCF">
        <w:rPr>
          <w:rFonts w:ascii="Arial" w:hAnsi="Arial" w:cs="Arial"/>
          <w:sz w:val="24"/>
          <w:szCs w:val="24"/>
        </w:rPr>
        <w:t>Ltd.’s</w:t>
      </w:r>
      <w:r w:rsidRPr="00D91FCF">
        <w:rPr>
          <w:rFonts w:ascii="Arial" w:hAnsi="Arial" w:cs="Arial"/>
          <w:sz w:val="24"/>
          <w:szCs w:val="24"/>
        </w:rPr>
        <w:t xml:space="preserve"> budgets would include settling the overdraft, they would also need consideration of the company's preferred positioning in the premium clothing market.</w:t>
      </w:r>
    </w:p>
    <w:p w14:paraId="345824F6" w14:textId="240A535F" w:rsidR="00D91FCF" w:rsidRPr="00741194" w:rsidRDefault="00D91FCF" w:rsidP="00741194">
      <w:pPr>
        <w:pStyle w:val="ListParagraph"/>
        <w:numPr>
          <w:ilvl w:val="0"/>
          <w:numId w:val="20"/>
        </w:numPr>
        <w:spacing w:line="480" w:lineRule="auto"/>
        <w:rPr>
          <w:rFonts w:ascii="Arial" w:hAnsi="Arial" w:cs="Arial"/>
          <w:b/>
          <w:bCs/>
          <w:sz w:val="24"/>
          <w:szCs w:val="24"/>
        </w:rPr>
      </w:pPr>
      <w:r w:rsidRPr="00741194">
        <w:rPr>
          <w:rFonts w:ascii="Arial" w:hAnsi="Arial" w:cs="Arial"/>
          <w:b/>
          <w:bCs/>
          <w:sz w:val="24"/>
          <w:szCs w:val="24"/>
        </w:rPr>
        <w:t>Accurate and Timely Information Systems</w:t>
      </w:r>
    </w:p>
    <w:p w14:paraId="68F4194D" w14:textId="77777777" w:rsidR="00C118BF" w:rsidRDefault="00D91FCF" w:rsidP="00D91FCF">
      <w:pPr>
        <w:spacing w:line="480" w:lineRule="auto"/>
        <w:rPr>
          <w:rFonts w:ascii="Arial" w:hAnsi="Arial" w:cs="Arial"/>
          <w:sz w:val="24"/>
          <w:szCs w:val="24"/>
        </w:rPr>
      </w:pPr>
      <w:r w:rsidRPr="00D91FCF">
        <w:rPr>
          <w:rFonts w:ascii="Arial" w:hAnsi="Arial" w:cs="Arial"/>
          <w:sz w:val="24"/>
          <w:szCs w:val="24"/>
        </w:rPr>
        <w:t>Accurate data are fundamental to budget preparation and monitoring. The costs associated with making decisions based on inaccurate forecasts can result in misallocations of resources and lost managerial credibility (Dyson 2020). If Green Threads Ltd, for example, understates overhead such as credit card charges or refurbishment</w:t>
      </w:r>
      <w:r w:rsidR="00C118BF">
        <w:rPr>
          <w:rFonts w:ascii="Arial" w:hAnsi="Arial" w:cs="Arial"/>
          <w:sz w:val="24"/>
          <w:szCs w:val="24"/>
        </w:rPr>
        <w:t>,</w:t>
      </w:r>
      <w:r w:rsidRPr="00D91FCF">
        <w:rPr>
          <w:rFonts w:ascii="Arial" w:hAnsi="Arial" w:cs="Arial"/>
          <w:sz w:val="24"/>
          <w:szCs w:val="24"/>
        </w:rPr>
        <w:t xml:space="preserve"> then management choices are based on the wrong assumptions, influencing the longer-term performance of the </w:t>
      </w:r>
      <w:r w:rsidR="00C118BF">
        <w:rPr>
          <w:rFonts w:ascii="Arial" w:hAnsi="Arial" w:cs="Arial"/>
          <w:sz w:val="24"/>
          <w:szCs w:val="24"/>
        </w:rPr>
        <w:t>organisation</w:t>
      </w:r>
      <w:r w:rsidRPr="00D91FCF">
        <w:rPr>
          <w:rFonts w:ascii="Arial" w:hAnsi="Arial" w:cs="Arial"/>
          <w:sz w:val="24"/>
          <w:szCs w:val="24"/>
        </w:rPr>
        <w:t>.</w:t>
      </w:r>
    </w:p>
    <w:p w14:paraId="2BB61048" w14:textId="77CBD899" w:rsidR="00D91FCF" w:rsidRPr="00741194" w:rsidRDefault="00D91FCF" w:rsidP="00741194">
      <w:pPr>
        <w:pStyle w:val="ListParagraph"/>
        <w:numPr>
          <w:ilvl w:val="0"/>
          <w:numId w:val="20"/>
        </w:numPr>
        <w:spacing w:line="480" w:lineRule="auto"/>
        <w:rPr>
          <w:rFonts w:ascii="Arial" w:hAnsi="Arial" w:cs="Arial"/>
          <w:b/>
          <w:bCs/>
          <w:sz w:val="24"/>
          <w:szCs w:val="24"/>
        </w:rPr>
      </w:pPr>
      <w:r w:rsidRPr="00741194">
        <w:rPr>
          <w:rFonts w:ascii="Arial" w:hAnsi="Arial" w:cs="Arial"/>
          <w:b/>
          <w:bCs/>
          <w:sz w:val="24"/>
          <w:szCs w:val="24"/>
        </w:rPr>
        <w:t>Responsibility Centres and Accountability</w:t>
      </w:r>
    </w:p>
    <w:p w14:paraId="07FC5961" w14:textId="77777777" w:rsidR="00C118BF" w:rsidRDefault="00D91FCF" w:rsidP="00D91FCF">
      <w:pPr>
        <w:spacing w:line="480" w:lineRule="auto"/>
        <w:rPr>
          <w:rFonts w:ascii="Arial" w:hAnsi="Arial" w:cs="Arial"/>
          <w:sz w:val="24"/>
          <w:szCs w:val="24"/>
        </w:rPr>
      </w:pPr>
      <w:r w:rsidRPr="00D91FCF">
        <w:rPr>
          <w:rFonts w:ascii="Arial" w:hAnsi="Arial" w:cs="Arial"/>
          <w:sz w:val="24"/>
          <w:szCs w:val="24"/>
        </w:rPr>
        <w:t>Budgets must reflect responsibility centres with responsibility for performance. Management can assign budgets to different levels of responsibility</w:t>
      </w:r>
      <w:r w:rsidR="00C118BF">
        <w:rPr>
          <w:rFonts w:ascii="Arial" w:hAnsi="Arial" w:cs="Arial"/>
          <w:sz w:val="24"/>
          <w:szCs w:val="24"/>
        </w:rPr>
        <w:t>,</w:t>
      </w:r>
      <w:r w:rsidRPr="00D91FCF">
        <w:rPr>
          <w:rFonts w:ascii="Arial" w:hAnsi="Arial" w:cs="Arial"/>
          <w:sz w:val="24"/>
          <w:szCs w:val="24"/>
        </w:rPr>
        <w:t xml:space="preserve"> such as </w:t>
      </w:r>
      <w:r w:rsidRPr="00D91FCF">
        <w:rPr>
          <w:rFonts w:ascii="Arial" w:hAnsi="Arial" w:cs="Arial"/>
          <w:sz w:val="24"/>
          <w:szCs w:val="24"/>
        </w:rPr>
        <w:lastRenderedPageBreak/>
        <w:t>divisional and store managers. This allows management to exercise decentralisation where managers own the results and can take corrective actions (Horner 2020).</w:t>
      </w:r>
    </w:p>
    <w:p w14:paraId="666E7710" w14:textId="58CFAEC3" w:rsidR="00D91FCF" w:rsidRPr="00741194" w:rsidRDefault="00D91FCF" w:rsidP="00741194">
      <w:pPr>
        <w:pStyle w:val="ListParagraph"/>
        <w:numPr>
          <w:ilvl w:val="0"/>
          <w:numId w:val="20"/>
        </w:numPr>
        <w:spacing w:line="480" w:lineRule="auto"/>
        <w:rPr>
          <w:rFonts w:ascii="Arial" w:hAnsi="Arial" w:cs="Arial"/>
          <w:sz w:val="24"/>
          <w:szCs w:val="24"/>
        </w:rPr>
      </w:pPr>
      <w:r w:rsidRPr="00741194">
        <w:rPr>
          <w:rFonts w:ascii="Arial" w:hAnsi="Arial" w:cs="Arial"/>
          <w:b/>
          <w:bCs/>
          <w:sz w:val="24"/>
          <w:szCs w:val="24"/>
        </w:rPr>
        <w:t>Flexibility and Adaptability</w:t>
      </w:r>
    </w:p>
    <w:p w14:paraId="76E2475D" w14:textId="1147DAE1"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The one-dimensional traditional </w:t>
      </w:r>
      <w:r w:rsidR="00C118BF">
        <w:rPr>
          <w:rFonts w:ascii="Arial" w:hAnsi="Arial" w:cs="Arial"/>
          <w:sz w:val="24"/>
          <w:szCs w:val="24"/>
        </w:rPr>
        <w:t>budget</w:t>
      </w:r>
      <w:r w:rsidRPr="00D91FCF">
        <w:rPr>
          <w:rFonts w:ascii="Arial" w:hAnsi="Arial" w:cs="Arial"/>
          <w:sz w:val="24"/>
          <w:szCs w:val="24"/>
        </w:rPr>
        <w:t>, or fixed annual budgeting</w:t>
      </w:r>
      <w:r w:rsidR="00C118BF">
        <w:rPr>
          <w:rFonts w:ascii="Arial" w:hAnsi="Arial" w:cs="Arial"/>
          <w:sz w:val="24"/>
          <w:szCs w:val="24"/>
        </w:rPr>
        <w:t>,</w:t>
      </w:r>
      <w:r w:rsidRPr="00D91FCF">
        <w:rPr>
          <w:rFonts w:ascii="Arial" w:hAnsi="Arial" w:cs="Arial"/>
          <w:sz w:val="24"/>
          <w:szCs w:val="24"/>
        </w:rPr>
        <w:t xml:space="preserve"> has drawn heavy criticism across industries because of high volatility in the external environment</w:t>
      </w:r>
      <w:r w:rsidR="00C118BF">
        <w:rPr>
          <w:rFonts w:ascii="Arial" w:hAnsi="Arial" w:cs="Arial"/>
          <w:sz w:val="24"/>
          <w:szCs w:val="24"/>
        </w:rPr>
        <w:t xml:space="preserve"> (</w:t>
      </w:r>
      <w:r w:rsidRPr="00D91FCF">
        <w:rPr>
          <w:rFonts w:ascii="Arial" w:hAnsi="Arial" w:cs="Arial"/>
          <w:sz w:val="24"/>
          <w:szCs w:val="24"/>
        </w:rPr>
        <w:t xml:space="preserve">Bukh, Ringgaard and </w:t>
      </w:r>
      <w:proofErr w:type="spellStart"/>
      <w:r w:rsidRPr="00D91FCF">
        <w:rPr>
          <w:rFonts w:ascii="Arial" w:hAnsi="Arial" w:cs="Arial"/>
          <w:sz w:val="24"/>
          <w:szCs w:val="24"/>
        </w:rPr>
        <w:t>Sandalgaard</w:t>
      </w:r>
      <w:proofErr w:type="spellEnd"/>
      <w:r w:rsidR="00C118BF">
        <w:rPr>
          <w:rFonts w:ascii="Arial" w:hAnsi="Arial" w:cs="Arial"/>
          <w:sz w:val="24"/>
          <w:szCs w:val="24"/>
        </w:rPr>
        <w:t xml:space="preserve">, </w:t>
      </w:r>
      <w:r w:rsidRPr="00D91FCF">
        <w:rPr>
          <w:rFonts w:ascii="Arial" w:hAnsi="Arial" w:cs="Arial"/>
          <w:sz w:val="24"/>
          <w:szCs w:val="24"/>
        </w:rPr>
        <w:t>2025)</w:t>
      </w:r>
      <w:r w:rsidR="00C118BF">
        <w:rPr>
          <w:rFonts w:ascii="Arial" w:hAnsi="Arial" w:cs="Arial"/>
          <w:sz w:val="24"/>
          <w:szCs w:val="24"/>
        </w:rPr>
        <w:t xml:space="preserve">. </w:t>
      </w:r>
      <w:r w:rsidRPr="00D91FCF">
        <w:rPr>
          <w:rFonts w:ascii="Arial" w:hAnsi="Arial" w:cs="Arial"/>
          <w:sz w:val="24"/>
          <w:szCs w:val="24"/>
        </w:rPr>
        <w:t>For Green Threads Ltd, fashion trends and consumer behaviour can change at a rapid pace</w:t>
      </w:r>
      <w:r w:rsidR="00C118BF">
        <w:rPr>
          <w:rFonts w:ascii="Arial" w:hAnsi="Arial" w:cs="Arial"/>
          <w:sz w:val="24"/>
          <w:szCs w:val="24"/>
        </w:rPr>
        <w:t>,</w:t>
      </w:r>
      <w:r w:rsidRPr="00D91FCF">
        <w:rPr>
          <w:rFonts w:ascii="Arial" w:hAnsi="Arial" w:cs="Arial"/>
          <w:sz w:val="24"/>
          <w:szCs w:val="24"/>
        </w:rPr>
        <w:t xml:space="preserve"> and flexibility is a requirement, not a choice.  </w:t>
      </w:r>
    </w:p>
    <w:p w14:paraId="61D8A87A" w14:textId="25B52731" w:rsidR="00D91FCF" w:rsidRPr="00741194" w:rsidRDefault="00D91FCF" w:rsidP="00741194">
      <w:pPr>
        <w:pStyle w:val="ListParagraph"/>
        <w:numPr>
          <w:ilvl w:val="0"/>
          <w:numId w:val="20"/>
        </w:numPr>
        <w:spacing w:line="480" w:lineRule="auto"/>
        <w:rPr>
          <w:rFonts w:ascii="Arial" w:hAnsi="Arial" w:cs="Arial"/>
          <w:sz w:val="24"/>
          <w:szCs w:val="24"/>
        </w:rPr>
      </w:pPr>
      <w:r w:rsidRPr="00741194">
        <w:rPr>
          <w:rFonts w:ascii="Arial" w:hAnsi="Arial" w:cs="Arial"/>
          <w:b/>
          <w:bCs/>
          <w:sz w:val="24"/>
          <w:szCs w:val="24"/>
        </w:rPr>
        <w:t>Senior Management Commitment</w:t>
      </w:r>
    </w:p>
    <w:p w14:paraId="4FC44D86" w14:textId="5DF8ECC6"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Budgets will only be effective if there is visible commitment and leadership from Senior Management. Drury (2021) points out that budgetary control needs to be supported by frequent review meetings at </w:t>
      </w:r>
      <w:r w:rsidR="00C118BF">
        <w:rPr>
          <w:rFonts w:ascii="Arial" w:hAnsi="Arial" w:cs="Arial"/>
          <w:sz w:val="24"/>
          <w:szCs w:val="24"/>
        </w:rPr>
        <w:t xml:space="preserve">the </w:t>
      </w:r>
      <w:r w:rsidRPr="00D91FCF">
        <w:rPr>
          <w:rFonts w:ascii="Arial" w:hAnsi="Arial" w:cs="Arial"/>
          <w:sz w:val="24"/>
          <w:szCs w:val="24"/>
        </w:rPr>
        <w:t>senior level to analyse and discuss variances.</w:t>
      </w:r>
    </w:p>
    <w:p w14:paraId="38DEFB86" w14:textId="77777777" w:rsidR="00D91FCF" w:rsidRPr="00741194" w:rsidRDefault="00D91FCF" w:rsidP="00D91FCF">
      <w:pPr>
        <w:spacing w:line="480" w:lineRule="auto"/>
        <w:rPr>
          <w:rFonts w:ascii="Arial Black" w:hAnsi="Arial Black" w:cs="Arial"/>
          <w:sz w:val="24"/>
          <w:szCs w:val="24"/>
        </w:rPr>
      </w:pPr>
      <w:r w:rsidRPr="00741194">
        <w:rPr>
          <w:rFonts w:ascii="Arial Black" w:hAnsi="Arial Black" w:cs="Arial"/>
          <w:sz w:val="24"/>
          <w:szCs w:val="24"/>
        </w:rPr>
        <w:t>Behavioural Considerations</w:t>
      </w:r>
    </w:p>
    <w:p w14:paraId="5D642875" w14:textId="3A8A4C17"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There are external structural conditions, but ultimately, it is people </w:t>
      </w:r>
      <w:r w:rsidR="00C118BF">
        <w:rPr>
          <w:rFonts w:ascii="Arial" w:hAnsi="Arial" w:cs="Arial"/>
          <w:sz w:val="24"/>
          <w:szCs w:val="24"/>
        </w:rPr>
        <w:t>who</w:t>
      </w:r>
      <w:r w:rsidRPr="00D91FCF">
        <w:rPr>
          <w:rFonts w:ascii="Arial" w:hAnsi="Arial" w:cs="Arial"/>
          <w:sz w:val="24"/>
          <w:szCs w:val="24"/>
        </w:rPr>
        <w:t xml:space="preserve"> will decide if a budget performs its intended function</w:t>
      </w:r>
      <w:r w:rsidR="00C118BF">
        <w:rPr>
          <w:rFonts w:ascii="Arial" w:hAnsi="Arial" w:cs="Arial"/>
          <w:sz w:val="24"/>
          <w:szCs w:val="24"/>
        </w:rPr>
        <w:t xml:space="preserve"> (</w:t>
      </w:r>
      <w:r w:rsidRPr="00D91FCF">
        <w:rPr>
          <w:rFonts w:ascii="Arial" w:hAnsi="Arial" w:cs="Arial"/>
          <w:sz w:val="24"/>
          <w:szCs w:val="24"/>
        </w:rPr>
        <w:t>Bhimani</w:t>
      </w:r>
      <w:r w:rsidR="00C118BF">
        <w:rPr>
          <w:rFonts w:ascii="Arial" w:hAnsi="Arial" w:cs="Arial"/>
          <w:sz w:val="24"/>
          <w:szCs w:val="24"/>
        </w:rPr>
        <w:t xml:space="preserve">, </w:t>
      </w:r>
      <w:r w:rsidRPr="00D91FCF">
        <w:rPr>
          <w:rFonts w:ascii="Arial" w:hAnsi="Arial" w:cs="Arial"/>
          <w:sz w:val="24"/>
          <w:szCs w:val="24"/>
        </w:rPr>
        <w:t>2006 and Schroeder, Clark and Cathey</w:t>
      </w:r>
      <w:r w:rsidR="00C118BF">
        <w:rPr>
          <w:rFonts w:ascii="Arial" w:hAnsi="Arial" w:cs="Arial"/>
          <w:sz w:val="24"/>
          <w:szCs w:val="24"/>
        </w:rPr>
        <w:t xml:space="preserve">, </w:t>
      </w:r>
      <w:r w:rsidRPr="00D91FCF">
        <w:rPr>
          <w:rFonts w:ascii="Arial" w:hAnsi="Arial" w:cs="Arial"/>
          <w:sz w:val="24"/>
          <w:szCs w:val="24"/>
        </w:rPr>
        <w:t xml:space="preserve">2022). </w:t>
      </w:r>
      <w:r w:rsidR="00C118BF">
        <w:rPr>
          <w:rFonts w:ascii="Arial" w:hAnsi="Arial" w:cs="Arial"/>
          <w:sz w:val="24"/>
          <w:szCs w:val="24"/>
        </w:rPr>
        <w:t>Four behavioural influences involve</w:t>
      </w:r>
      <w:r w:rsidRPr="00D91FCF">
        <w:rPr>
          <w:rFonts w:ascii="Arial" w:hAnsi="Arial" w:cs="Arial"/>
          <w:sz w:val="24"/>
          <w:szCs w:val="24"/>
        </w:rPr>
        <w:t xml:space="preserve"> some extra consideration:</w:t>
      </w:r>
    </w:p>
    <w:p w14:paraId="6670F61B" w14:textId="25E9059E" w:rsidR="00D91FCF" w:rsidRPr="00741194" w:rsidRDefault="00D91FCF" w:rsidP="00741194">
      <w:pPr>
        <w:pStyle w:val="ListParagraph"/>
        <w:numPr>
          <w:ilvl w:val="0"/>
          <w:numId w:val="21"/>
        </w:numPr>
        <w:spacing w:line="480" w:lineRule="auto"/>
        <w:rPr>
          <w:rFonts w:ascii="Arial" w:hAnsi="Arial" w:cs="Arial"/>
          <w:sz w:val="24"/>
          <w:szCs w:val="24"/>
        </w:rPr>
      </w:pPr>
      <w:r w:rsidRPr="00741194">
        <w:rPr>
          <w:rFonts w:ascii="Arial" w:hAnsi="Arial" w:cs="Arial"/>
          <w:b/>
          <w:bCs/>
          <w:sz w:val="24"/>
          <w:szCs w:val="24"/>
        </w:rPr>
        <w:t>Participation</w:t>
      </w:r>
      <w:r w:rsidRPr="00741194">
        <w:rPr>
          <w:rFonts w:ascii="Arial" w:hAnsi="Arial" w:cs="Arial"/>
          <w:sz w:val="24"/>
          <w:szCs w:val="24"/>
        </w:rPr>
        <w:t xml:space="preserve"> </w:t>
      </w:r>
    </w:p>
    <w:p w14:paraId="6CE461C6" w14:textId="77777777" w:rsidR="00741194" w:rsidRDefault="00D91FCF" w:rsidP="00741194">
      <w:pPr>
        <w:spacing w:line="480" w:lineRule="auto"/>
        <w:rPr>
          <w:rFonts w:ascii="Arial" w:hAnsi="Arial" w:cs="Arial"/>
          <w:sz w:val="24"/>
          <w:szCs w:val="24"/>
        </w:rPr>
      </w:pPr>
      <w:r w:rsidRPr="00D91FCF">
        <w:rPr>
          <w:rFonts w:ascii="Arial" w:hAnsi="Arial" w:cs="Arial"/>
          <w:sz w:val="24"/>
          <w:szCs w:val="24"/>
        </w:rPr>
        <w:t>Budgets produced without input from staff members are likely to be viewed as imposed targets</w:t>
      </w:r>
      <w:r w:rsidR="00C118BF">
        <w:rPr>
          <w:rFonts w:ascii="Arial" w:hAnsi="Arial" w:cs="Arial"/>
          <w:sz w:val="24"/>
          <w:szCs w:val="24"/>
        </w:rPr>
        <w:t xml:space="preserve"> (</w:t>
      </w:r>
      <w:proofErr w:type="spellStart"/>
      <w:r w:rsidRPr="00D91FCF">
        <w:rPr>
          <w:rFonts w:ascii="Arial" w:hAnsi="Arial" w:cs="Arial"/>
          <w:sz w:val="24"/>
          <w:szCs w:val="24"/>
        </w:rPr>
        <w:t>Atrill</w:t>
      </w:r>
      <w:proofErr w:type="spellEnd"/>
      <w:r w:rsidRPr="00D91FCF">
        <w:rPr>
          <w:rFonts w:ascii="Arial" w:hAnsi="Arial" w:cs="Arial"/>
          <w:sz w:val="24"/>
          <w:szCs w:val="24"/>
        </w:rPr>
        <w:t xml:space="preserve"> and McLaney</w:t>
      </w:r>
      <w:r w:rsidR="00C118BF">
        <w:rPr>
          <w:rFonts w:ascii="Arial" w:hAnsi="Arial" w:cs="Arial"/>
          <w:sz w:val="24"/>
          <w:szCs w:val="24"/>
        </w:rPr>
        <w:t xml:space="preserve">, </w:t>
      </w:r>
      <w:r w:rsidRPr="00D91FCF">
        <w:rPr>
          <w:rFonts w:ascii="Arial" w:hAnsi="Arial" w:cs="Arial"/>
          <w:sz w:val="24"/>
          <w:szCs w:val="24"/>
        </w:rPr>
        <w:t>2021)</w:t>
      </w:r>
      <w:r w:rsidR="00C118BF">
        <w:rPr>
          <w:rFonts w:ascii="Arial" w:hAnsi="Arial" w:cs="Arial"/>
          <w:sz w:val="24"/>
          <w:szCs w:val="24"/>
        </w:rPr>
        <w:t>.</w:t>
      </w:r>
    </w:p>
    <w:p w14:paraId="007E4949" w14:textId="77777777" w:rsidR="00741194" w:rsidRDefault="00741194" w:rsidP="00741194">
      <w:pPr>
        <w:spacing w:line="480" w:lineRule="auto"/>
        <w:rPr>
          <w:rFonts w:ascii="Arial" w:hAnsi="Arial" w:cs="Arial"/>
          <w:sz w:val="24"/>
          <w:szCs w:val="24"/>
        </w:rPr>
      </w:pPr>
    </w:p>
    <w:p w14:paraId="07C5F5D1" w14:textId="77777777" w:rsidR="00741194" w:rsidRDefault="00741194" w:rsidP="00741194">
      <w:pPr>
        <w:spacing w:line="480" w:lineRule="auto"/>
        <w:rPr>
          <w:rFonts w:ascii="Arial" w:hAnsi="Arial" w:cs="Arial"/>
          <w:sz w:val="24"/>
          <w:szCs w:val="24"/>
        </w:rPr>
      </w:pPr>
    </w:p>
    <w:p w14:paraId="525674CD" w14:textId="7CC58EFA" w:rsidR="00D91FCF" w:rsidRPr="00741194" w:rsidRDefault="00D91FCF" w:rsidP="00741194">
      <w:pPr>
        <w:pStyle w:val="ListParagraph"/>
        <w:numPr>
          <w:ilvl w:val="0"/>
          <w:numId w:val="21"/>
        </w:numPr>
        <w:spacing w:line="480" w:lineRule="auto"/>
        <w:rPr>
          <w:rFonts w:ascii="Arial" w:hAnsi="Arial" w:cs="Arial"/>
          <w:sz w:val="24"/>
          <w:szCs w:val="24"/>
        </w:rPr>
      </w:pPr>
      <w:r w:rsidRPr="00741194">
        <w:rPr>
          <w:rFonts w:ascii="Arial" w:hAnsi="Arial" w:cs="Arial"/>
          <w:b/>
          <w:bCs/>
          <w:sz w:val="24"/>
          <w:szCs w:val="24"/>
        </w:rPr>
        <w:lastRenderedPageBreak/>
        <w:t>Goal Congruence</w:t>
      </w:r>
      <w:r w:rsidRPr="00741194">
        <w:rPr>
          <w:rFonts w:ascii="Arial" w:hAnsi="Arial" w:cs="Arial"/>
          <w:sz w:val="24"/>
          <w:szCs w:val="24"/>
        </w:rPr>
        <w:t xml:space="preserve"> </w:t>
      </w:r>
    </w:p>
    <w:p w14:paraId="59CBBF27" w14:textId="318790CB"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Individual incentives should align with the overall aims of the organisation within the budget process. If managers are incentivised based solely on budgetary objectives, there is a tendency for the opportunity to create budgetary slack or understate capacity. Budgets that factor in key profitability and customer service performance objectives will ensure that dedicated operational efforts remain consistent with strategy. </w:t>
      </w:r>
    </w:p>
    <w:p w14:paraId="78711D79" w14:textId="71FFD77F" w:rsidR="00D91FCF" w:rsidRPr="00741194" w:rsidRDefault="00D91FCF" w:rsidP="00741194">
      <w:pPr>
        <w:pStyle w:val="ListParagraph"/>
        <w:numPr>
          <w:ilvl w:val="0"/>
          <w:numId w:val="21"/>
        </w:numPr>
        <w:spacing w:line="480" w:lineRule="auto"/>
        <w:rPr>
          <w:rFonts w:ascii="Arial" w:hAnsi="Arial" w:cs="Arial"/>
          <w:sz w:val="24"/>
          <w:szCs w:val="24"/>
        </w:rPr>
      </w:pPr>
      <w:r w:rsidRPr="00741194">
        <w:rPr>
          <w:rFonts w:ascii="Arial" w:hAnsi="Arial" w:cs="Arial"/>
          <w:b/>
          <w:bCs/>
          <w:sz w:val="24"/>
          <w:szCs w:val="24"/>
        </w:rPr>
        <w:t>Motivation and Realism</w:t>
      </w:r>
    </w:p>
    <w:p w14:paraId="268490C9" w14:textId="77777777"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Budgets must strike an appropriate balance between motivational and attainable. Seal et al. (2018) suggest that budgets that are not ambitious cannot motivate staff, whereas budgets that are too ambitious cannot motivate staff either; budgets that do not stimulate the budgeteer’s performance standards will become slack experiences with no accountability. Individual store sales and expense variables should be modelled so that each store and Manager can learn their motivation and accountability at the same time.</w:t>
      </w:r>
    </w:p>
    <w:p w14:paraId="46B3432A" w14:textId="5B2B92FC" w:rsidR="00D91FCF" w:rsidRPr="00741194" w:rsidRDefault="00D91FCF" w:rsidP="00741194">
      <w:pPr>
        <w:pStyle w:val="ListParagraph"/>
        <w:numPr>
          <w:ilvl w:val="0"/>
          <w:numId w:val="21"/>
        </w:numPr>
        <w:spacing w:line="480" w:lineRule="auto"/>
        <w:rPr>
          <w:rFonts w:ascii="Arial" w:hAnsi="Arial" w:cs="Arial"/>
          <w:sz w:val="24"/>
          <w:szCs w:val="24"/>
        </w:rPr>
      </w:pPr>
      <w:r w:rsidRPr="00741194">
        <w:rPr>
          <w:rFonts w:ascii="Arial" w:hAnsi="Arial" w:cs="Arial"/>
          <w:b/>
          <w:bCs/>
          <w:sz w:val="24"/>
          <w:szCs w:val="24"/>
        </w:rPr>
        <w:t>Communication and Feedback</w:t>
      </w:r>
    </w:p>
    <w:p w14:paraId="66247B6C" w14:textId="77777777"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Such control needs to involve effective communication and constructive feedback from Managers. Bhimani (2006) states that variance analysis needs to be considered a learning experience, and not a blame assignment exercise.  If Green Threads Ltd had monthly performance meetings to include quarterly variance reviews and budget accountability, useful and continuous improvement feedback should be able to occur. </w:t>
      </w:r>
    </w:p>
    <w:p w14:paraId="209FBDEC" w14:textId="77777777"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Interpretation </w:t>
      </w:r>
    </w:p>
    <w:p w14:paraId="37F460AE" w14:textId="77777777" w:rsidR="00F37BC5" w:rsidRDefault="00D91FCF" w:rsidP="00D91FCF">
      <w:pPr>
        <w:spacing w:line="480" w:lineRule="auto"/>
        <w:rPr>
          <w:rFonts w:ascii="Arial" w:hAnsi="Arial" w:cs="Arial"/>
          <w:sz w:val="24"/>
          <w:szCs w:val="24"/>
        </w:rPr>
      </w:pPr>
      <w:r w:rsidRPr="00D91FCF">
        <w:rPr>
          <w:rFonts w:ascii="Arial" w:hAnsi="Arial" w:cs="Arial"/>
          <w:sz w:val="24"/>
          <w:szCs w:val="24"/>
        </w:rPr>
        <w:lastRenderedPageBreak/>
        <w:t xml:space="preserve">Taking the conditions and </w:t>
      </w:r>
      <w:r w:rsidR="00FA4235">
        <w:rPr>
          <w:rFonts w:ascii="Arial" w:hAnsi="Arial" w:cs="Arial"/>
          <w:sz w:val="24"/>
          <w:szCs w:val="24"/>
        </w:rPr>
        <w:t xml:space="preserve">behaviour into consideration demonstrates that budgeting is not only a technical undertaking, but also a socio-technical one, which is influenced by the organisational culture in place, its style of management, and the </w:t>
      </w:r>
    </w:p>
    <w:p w14:paraId="5867AD94" w14:textId="47B9A4CE" w:rsidR="003A2F4E" w:rsidRDefault="00D91FCF" w:rsidP="00D91FCF">
      <w:pPr>
        <w:spacing w:line="480" w:lineRule="auto"/>
        <w:rPr>
          <w:rFonts w:ascii="Arial" w:hAnsi="Arial" w:cs="Arial"/>
          <w:sz w:val="24"/>
          <w:szCs w:val="24"/>
        </w:rPr>
      </w:pPr>
      <w:r w:rsidRPr="00D91FCF">
        <w:rPr>
          <w:rFonts w:ascii="Arial" w:hAnsi="Arial" w:cs="Arial"/>
          <w:sz w:val="24"/>
          <w:szCs w:val="24"/>
        </w:rPr>
        <w:t>behaviours demonstrated by staff</w:t>
      </w:r>
      <w:r w:rsidR="00FA4235">
        <w:rPr>
          <w:rFonts w:ascii="Arial" w:hAnsi="Arial" w:cs="Arial"/>
          <w:sz w:val="24"/>
          <w:szCs w:val="24"/>
        </w:rPr>
        <w:t xml:space="preserve"> (</w:t>
      </w:r>
      <w:r w:rsidRPr="00D91FCF">
        <w:rPr>
          <w:rFonts w:ascii="Arial" w:hAnsi="Arial" w:cs="Arial"/>
          <w:sz w:val="24"/>
          <w:szCs w:val="24"/>
        </w:rPr>
        <w:t>Caulfield</w:t>
      </w:r>
      <w:r w:rsidR="00FA4235">
        <w:rPr>
          <w:rFonts w:ascii="Arial" w:hAnsi="Arial" w:cs="Arial"/>
          <w:sz w:val="24"/>
          <w:szCs w:val="24"/>
        </w:rPr>
        <w:t xml:space="preserve">, </w:t>
      </w:r>
      <w:r w:rsidRPr="00D91FCF">
        <w:rPr>
          <w:rFonts w:ascii="Arial" w:hAnsi="Arial" w:cs="Arial"/>
          <w:sz w:val="24"/>
          <w:szCs w:val="24"/>
        </w:rPr>
        <w:t>2024)</w:t>
      </w:r>
      <w:r w:rsidR="00FA4235">
        <w:rPr>
          <w:rFonts w:ascii="Arial" w:hAnsi="Arial" w:cs="Arial"/>
          <w:sz w:val="24"/>
          <w:szCs w:val="24"/>
        </w:rPr>
        <w:t>.</w:t>
      </w:r>
      <w:r w:rsidRPr="00D91FCF">
        <w:rPr>
          <w:rFonts w:ascii="Arial" w:hAnsi="Arial" w:cs="Arial"/>
          <w:sz w:val="24"/>
          <w:szCs w:val="24"/>
        </w:rPr>
        <w:t xml:space="preserve"> For Green Threads Ltd, it will be </w:t>
      </w:r>
      <w:r w:rsidR="00FA4235">
        <w:rPr>
          <w:rFonts w:ascii="Arial" w:hAnsi="Arial" w:cs="Arial"/>
          <w:sz w:val="24"/>
          <w:szCs w:val="24"/>
        </w:rPr>
        <w:t>crucial to establish participatory, flexible, and strategic budgets that enable it to balance both its finances and an evolving competitive retail</w:t>
      </w:r>
      <w:r w:rsidRPr="00D91FCF">
        <w:rPr>
          <w:rFonts w:ascii="Arial" w:hAnsi="Arial" w:cs="Arial"/>
          <w:sz w:val="24"/>
          <w:szCs w:val="24"/>
        </w:rPr>
        <w:t xml:space="preserve"> environment.</w:t>
      </w:r>
    </w:p>
    <w:p w14:paraId="0B53DCA8" w14:textId="4A073852" w:rsidR="00D91FCF" w:rsidRPr="00741194" w:rsidRDefault="00D91FCF" w:rsidP="00741194">
      <w:pPr>
        <w:pStyle w:val="ListParagraph"/>
        <w:numPr>
          <w:ilvl w:val="0"/>
          <w:numId w:val="16"/>
        </w:numPr>
        <w:spacing w:line="480" w:lineRule="auto"/>
        <w:rPr>
          <w:rFonts w:ascii="Arial" w:hAnsi="Arial" w:cs="Arial"/>
          <w:sz w:val="24"/>
          <w:szCs w:val="24"/>
        </w:rPr>
      </w:pPr>
      <w:bookmarkStart w:id="2" w:name="_Hlk207224062"/>
      <w:r w:rsidRPr="00741194">
        <w:rPr>
          <w:rFonts w:ascii="Arial Black" w:hAnsi="Arial Black" w:cs="Arial"/>
          <w:sz w:val="24"/>
          <w:szCs w:val="24"/>
        </w:rPr>
        <w:t>Critical Assessment of Traditional Budgeting in a Rapidly Changing Environment</w:t>
      </w:r>
    </w:p>
    <w:bookmarkEnd w:id="2"/>
    <w:p w14:paraId="07865E80" w14:textId="658AB458"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Traditional budgeting</w:t>
      </w:r>
      <w:r w:rsidR="00F37BC5">
        <w:rPr>
          <w:rFonts w:ascii="Arial" w:hAnsi="Arial" w:cs="Arial"/>
          <w:sz w:val="24"/>
          <w:szCs w:val="24"/>
        </w:rPr>
        <w:t>,</w:t>
      </w:r>
      <w:r w:rsidRPr="00D91FCF">
        <w:rPr>
          <w:rFonts w:ascii="Arial" w:hAnsi="Arial" w:cs="Arial"/>
          <w:sz w:val="24"/>
          <w:szCs w:val="24"/>
        </w:rPr>
        <w:t xml:space="preserve"> especially incremental and annual approaches</w:t>
      </w:r>
      <w:r w:rsidR="00F37BC5">
        <w:rPr>
          <w:rFonts w:ascii="Arial" w:hAnsi="Arial" w:cs="Arial"/>
          <w:sz w:val="24"/>
          <w:szCs w:val="24"/>
        </w:rPr>
        <w:t>,</w:t>
      </w:r>
      <w:r w:rsidRPr="00D91FCF">
        <w:rPr>
          <w:rFonts w:ascii="Arial" w:hAnsi="Arial" w:cs="Arial"/>
          <w:sz w:val="24"/>
          <w:szCs w:val="24"/>
        </w:rPr>
        <w:t xml:space="preserve"> </w:t>
      </w:r>
      <w:r w:rsidR="00F37BC5">
        <w:rPr>
          <w:rFonts w:ascii="Arial" w:hAnsi="Arial" w:cs="Arial"/>
          <w:sz w:val="24"/>
          <w:szCs w:val="24"/>
        </w:rPr>
        <w:t>has</w:t>
      </w:r>
      <w:r w:rsidRPr="00D91FCF">
        <w:rPr>
          <w:rFonts w:ascii="Arial" w:hAnsi="Arial" w:cs="Arial"/>
          <w:sz w:val="24"/>
          <w:szCs w:val="24"/>
        </w:rPr>
        <w:t xml:space="preserve"> been a fundamental component of management accounting for decades. </w:t>
      </w:r>
      <w:r w:rsidR="00F37BC5">
        <w:rPr>
          <w:rFonts w:ascii="Arial" w:hAnsi="Arial" w:cs="Arial"/>
          <w:sz w:val="24"/>
          <w:szCs w:val="24"/>
        </w:rPr>
        <w:t>It also supports external control over the organisation as it strives to achieve more disciplined financial management, cost control, and resource allocation, among other objectives</w:t>
      </w:r>
      <w:r w:rsidRPr="00D91FCF">
        <w:rPr>
          <w:rFonts w:ascii="Arial" w:hAnsi="Arial" w:cs="Arial"/>
          <w:sz w:val="24"/>
          <w:szCs w:val="24"/>
        </w:rPr>
        <w:t xml:space="preserve">. In </w:t>
      </w:r>
      <w:r w:rsidR="00F37BC5">
        <w:rPr>
          <w:rFonts w:ascii="Arial" w:hAnsi="Arial" w:cs="Arial"/>
          <w:sz w:val="24"/>
          <w:szCs w:val="24"/>
        </w:rPr>
        <w:t>fast-changing</w:t>
      </w:r>
      <w:r w:rsidRPr="00D91FCF">
        <w:rPr>
          <w:rFonts w:ascii="Arial" w:hAnsi="Arial" w:cs="Arial"/>
          <w:sz w:val="24"/>
          <w:szCs w:val="24"/>
        </w:rPr>
        <w:t xml:space="preserve"> market environments such as fashion retail, traditional budgets must contend with some anticipated limitations. For Green Threads Ltd</w:t>
      </w:r>
      <w:r w:rsidR="00F37BC5">
        <w:rPr>
          <w:rFonts w:ascii="Arial" w:hAnsi="Arial" w:cs="Arial"/>
          <w:sz w:val="24"/>
          <w:szCs w:val="24"/>
        </w:rPr>
        <w:t>,</w:t>
      </w:r>
      <w:r w:rsidRPr="00D91FCF">
        <w:rPr>
          <w:rFonts w:ascii="Arial" w:hAnsi="Arial" w:cs="Arial"/>
          <w:sz w:val="24"/>
          <w:szCs w:val="24"/>
        </w:rPr>
        <w:t xml:space="preserve"> where external conditions are multifaceted</w:t>
      </w:r>
      <w:r w:rsidR="00F37BC5">
        <w:rPr>
          <w:rFonts w:ascii="Arial" w:hAnsi="Arial" w:cs="Arial"/>
          <w:sz w:val="24"/>
          <w:szCs w:val="24"/>
        </w:rPr>
        <w:t>,</w:t>
      </w:r>
      <w:r w:rsidRPr="00D91FCF">
        <w:rPr>
          <w:rFonts w:ascii="Arial" w:hAnsi="Arial" w:cs="Arial"/>
          <w:sz w:val="24"/>
          <w:szCs w:val="24"/>
        </w:rPr>
        <w:t xml:space="preserve"> such as fluctuating sales, liquidity pressures and flexibility required, some form of critical assessment of traditional budgeting tool forms reflects its advantages and disadvantages.</w:t>
      </w:r>
    </w:p>
    <w:p w14:paraId="39E31BFB" w14:textId="738A745E" w:rsidR="00D91FCF" w:rsidRPr="00741194" w:rsidRDefault="00F37BC5" w:rsidP="00741194">
      <w:pPr>
        <w:pStyle w:val="ListParagraph"/>
        <w:numPr>
          <w:ilvl w:val="0"/>
          <w:numId w:val="19"/>
        </w:numPr>
        <w:spacing w:line="480" w:lineRule="auto"/>
        <w:rPr>
          <w:rFonts w:ascii="Arial Black" w:hAnsi="Arial Black" w:cs="Arial"/>
          <w:sz w:val="24"/>
          <w:szCs w:val="24"/>
        </w:rPr>
      </w:pPr>
      <w:r w:rsidRPr="00741194">
        <w:rPr>
          <w:rFonts w:ascii="Arial Black" w:hAnsi="Arial Black" w:cs="Arial"/>
          <w:sz w:val="24"/>
          <w:szCs w:val="24"/>
        </w:rPr>
        <w:t>Advantages</w:t>
      </w:r>
      <w:r w:rsidR="00D91FCF" w:rsidRPr="00741194">
        <w:rPr>
          <w:rFonts w:ascii="Arial Black" w:hAnsi="Arial Black" w:cs="Arial"/>
          <w:sz w:val="24"/>
          <w:szCs w:val="24"/>
        </w:rPr>
        <w:t xml:space="preserve"> of Traditional Budgeting</w:t>
      </w:r>
    </w:p>
    <w:p w14:paraId="3D7743EA" w14:textId="51696A0F"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Traditional budgets plus KPIs provide a systematic process for developing financial budgets at the firm level</w:t>
      </w:r>
      <w:r w:rsidR="00F37BC5">
        <w:rPr>
          <w:rFonts w:ascii="Arial" w:hAnsi="Arial" w:cs="Arial"/>
          <w:sz w:val="24"/>
          <w:szCs w:val="24"/>
        </w:rPr>
        <w:t>,</w:t>
      </w:r>
      <w:r w:rsidRPr="00D91FCF">
        <w:rPr>
          <w:rFonts w:ascii="Arial" w:hAnsi="Arial" w:cs="Arial"/>
          <w:sz w:val="24"/>
          <w:szCs w:val="24"/>
        </w:rPr>
        <w:t xml:space="preserve"> setting financial ambitions, coordinating planned events, and ensuring accountability. As Drury (2021) concludes, traditional budgets provide performance measures of KIPs set against expectations of planned outcomes</w:t>
      </w:r>
      <w:r w:rsidR="00F37BC5">
        <w:rPr>
          <w:rFonts w:ascii="Arial" w:hAnsi="Arial" w:cs="Arial"/>
          <w:sz w:val="24"/>
          <w:szCs w:val="24"/>
        </w:rPr>
        <w:t>,</w:t>
      </w:r>
      <w:r w:rsidRPr="00D91FCF">
        <w:rPr>
          <w:rFonts w:ascii="Arial" w:hAnsi="Arial" w:cs="Arial"/>
          <w:sz w:val="24"/>
          <w:szCs w:val="24"/>
        </w:rPr>
        <w:t xml:space="preserve"> allowing managers to assess actual financial outcomes in comparison to numbers in </w:t>
      </w:r>
      <w:r w:rsidRPr="00D91FCF">
        <w:rPr>
          <w:rFonts w:ascii="Arial" w:hAnsi="Arial" w:cs="Arial"/>
          <w:sz w:val="24"/>
          <w:szCs w:val="24"/>
        </w:rPr>
        <w:lastRenderedPageBreak/>
        <w:t>meeting the planned figure. For SMEs such as Green Threads Ltd, the discipline of an annual budget may not find eminence as it provides external assurances</w:t>
      </w:r>
      <w:r w:rsidR="00F37BC5">
        <w:rPr>
          <w:rFonts w:ascii="Arial" w:hAnsi="Arial" w:cs="Arial"/>
          <w:sz w:val="24"/>
          <w:szCs w:val="24"/>
        </w:rPr>
        <w:t>,</w:t>
      </w:r>
      <w:r w:rsidRPr="00D91FCF">
        <w:rPr>
          <w:rFonts w:ascii="Arial" w:hAnsi="Arial" w:cs="Arial"/>
          <w:sz w:val="24"/>
          <w:szCs w:val="24"/>
        </w:rPr>
        <w:t xml:space="preserve"> especially banks</w:t>
      </w:r>
      <w:r w:rsidR="00F37BC5">
        <w:rPr>
          <w:rFonts w:ascii="Arial" w:hAnsi="Arial" w:cs="Arial"/>
          <w:sz w:val="24"/>
          <w:szCs w:val="24"/>
        </w:rPr>
        <w:t>,</w:t>
      </w:r>
      <w:r w:rsidRPr="00D91FCF">
        <w:rPr>
          <w:rFonts w:ascii="Arial" w:hAnsi="Arial" w:cs="Arial"/>
          <w:sz w:val="24"/>
          <w:szCs w:val="24"/>
        </w:rPr>
        <w:t xml:space="preserve"> of the degree of financial planning maturity that it seeks.</w:t>
      </w:r>
    </w:p>
    <w:p w14:paraId="7C2FAD67" w14:textId="77777777" w:rsidR="00F37BC5" w:rsidRDefault="00D91FCF" w:rsidP="00D91FCF">
      <w:pPr>
        <w:spacing w:line="480" w:lineRule="auto"/>
        <w:rPr>
          <w:rFonts w:ascii="Arial" w:hAnsi="Arial" w:cs="Arial"/>
          <w:sz w:val="24"/>
          <w:szCs w:val="24"/>
        </w:rPr>
      </w:pPr>
      <w:r w:rsidRPr="00D91FCF">
        <w:rPr>
          <w:rFonts w:ascii="Arial" w:hAnsi="Arial" w:cs="Arial"/>
          <w:sz w:val="24"/>
          <w:szCs w:val="24"/>
        </w:rPr>
        <w:t>Traditional budgets may also be a useful motivational tool, for example</w:t>
      </w:r>
      <w:r w:rsidR="00F37BC5">
        <w:rPr>
          <w:rFonts w:ascii="Arial" w:hAnsi="Arial" w:cs="Arial"/>
          <w:sz w:val="24"/>
          <w:szCs w:val="24"/>
        </w:rPr>
        <w:t>,</w:t>
      </w:r>
      <w:r w:rsidRPr="00D91FCF">
        <w:rPr>
          <w:rFonts w:ascii="Arial" w:hAnsi="Arial" w:cs="Arial"/>
          <w:sz w:val="24"/>
          <w:szCs w:val="24"/>
        </w:rPr>
        <w:t xml:space="preserve"> enabling clear expectations against which managers must deliver, and setting a dimension for which managers operate (Seal, Garrison and Noreen 2018). And, given a context of scarce resources such as clearing overdrafts, paying loans, or meeting other obligations, traditional budgets can still be an important form of financial control to determine appropriate priorities.</w:t>
      </w:r>
    </w:p>
    <w:p w14:paraId="78AC1C27" w14:textId="712C8F56" w:rsidR="00D91FCF" w:rsidRPr="00741194" w:rsidRDefault="00F37BC5" w:rsidP="00741194">
      <w:pPr>
        <w:pStyle w:val="ListParagraph"/>
        <w:numPr>
          <w:ilvl w:val="0"/>
          <w:numId w:val="19"/>
        </w:numPr>
        <w:spacing w:line="480" w:lineRule="auto"/>
        <w:rPr>
          <w:rFonts w:ascii="Arial Black" w:hAnsi="Arial Black" w:cs="Arial"/>
          <w:sz w:val="24"/>
          <w:szCs w:val="24"/>
        </w:rPr>
      </w:pPr>
      <w:r w:rsidRPr="00741194">
        <w:rPr>
          <w:rFonts w:ascii="Arial Black" w:hAnsi="Arial Black" w:cs="Arial"/>
          <w:sz w:val="24"/>
          <w:szCs w:val="24"/>
        </w:rPr>
        <w:t>Disadvantages</w:t>
      </w:r>
      <w:r w:rsidR="00D91FCF" w:rsidRPr="00741194">
        <w:rPr>
          <w:rFonts w:ascii="Arial Black" w:hAnsi="Arial Black" w:cs="Arial"/>
          <w:sz w:val="24"/>
          <w:szCs w:val="24"/>
        </w:rPr>
        <w:t xml:space="preserve"> of Traditional Budgets</w:t>
      </w:r>
    </w:p>
    <w:p w14:paraId="16DAF0AF" w14:textId="19FFE64C" w:rsidR="00D91FCF" w:rsidRPr="00056E93" w:rsidRDefault="00D91FCF" w:rsidP="00056E93">
      <w:pPr>
        <w:pStyle w:val="ListParagraph"/>
        <w:numPr>
          <w:ilvl w:val="0"/>
          <w:numId w:val="14"/>
        </w:numPr>
        <w:spacing w:line="480" w:lineRule="auto"/>
        <w:rPr>
          <w:rFonts w:ascii="Arial" w:hAnsi="Arial" w:cs="Arial"/>
          <w:sz w:val="24"/>
          <w:szCs w:val="24"/>
        </w:rPr>
      </w:pPr>
      <w:r w:rsidRPr="00056E93">
        <w:rPr>
          <w:rFonts w:ascii="Arial" w:hAnsi="Arial" w:cs="Arial"/>
          <w:sz w:val="24"/>
          <w:szCs w:val="24"/>
        </w:rPr>
        <w:t>Static, Fixed Budgets</w:t>
      </w:r>
    </w:p>
    <w:p w14:paraId="1E058675" w14:textId="33CC2B00" w:rsidR="00D91FCF" w:rsidRPr="00056E93" w:rsidRDefault="00D91FCF" w:rsidP="00056E93">
      <w:pPr>
        <w:pStyle w:val="ListParagraph"/>
        <w:numPr>
          <w:ilvl w:val="0"/>
          <w:numId w:val="14"/>
        </w:numPr>
        <w:spacing w:line="480" w:lineRule="auto"/>
        <w:rPr>
          <w:rFonts w:ascii="Arial" w:hAnsi="Arial" w:cs="Arial"/>
          <w:sz w:val="24"/>
          <w:szCs w:val="24"/>
        </w:rPr>
      </w:pPr>
      <w:r w:rsidRPr="00056E93">
        <w:rPr>
          <w:rFonts w:ascii="Arial" w:hAnsi="Arial" w:cs="Arial"/>
          <w:sz w:val="24"/>
          <w:szCs w:val="24"/>
        </w:rPr>
        <w:t xml:space="preserve">Incrementalism </w:t>
      </w:r>
    </w:p>
    <w:p w14:paraId="5BF4109B" w14:textId="31927C92" w:rsidR="00D91FCF" w:rsidRPr="00056E93" w:rsidRDefault="00D91FCF" w:rsidP="00056E93">
      <w:pPr>
        <w:pStyle w:val="ListParagraph"/>
        <w:numPr>
          <w:ilvl w:val="0"/>
          <w:numId w:val="14"/>
        </w:numPr>
        <w:spacing w:line="480" w:lineRule="auto"/>
        <w:rPr>
          <w:rFonts w:ascii="Arial" w:hAnsi="Arial" w:cs="Arial"/>
          <w:sz w:val="24"/>
          <w:szCs w:val="24"/>
        </w:rPr>
      </w:pPr>
      <w:r w:rsidRPr="00056E93">
        <w:rPr>
          <w:rFonts w:ascii="Arial" w:hAnsi="Arial" w:cs="Arial"/>
          <w:sz w:val="24"/>
          <w:szCs w:val="24"/>
        </w:rPr>
        <w:t xml:space="preserve">Time and Cost of Preparation </w:t>
      </w:r>
    </w:p>
    <w:p w14:paraId="6B37ED80" w14:textId="77777777" w:rsidR="00D91FCF" w:rsidRPr="00741194" w:rsidRDefault="00D91FCF" w:rsidP="00741194">
      <w:pPr>
        <w:pStyle w:val="ListParagraph"/>
        <w:numPr>
          <w:ilvl w:val="0"/>
          <w:numId w:val="19"/>
        </w:numPr>
        <w:spacing w:line="480" w:lineRule="auto"/>
        <w:rPr>
          <w:rFonts w:ascii="Arial Black" w:hAnsi="Arial Black" w:cs="Arial"/>
          <w:sz w:val="24"/>
          <w:szCs w:val="24"/>
        </w:rPr>
      </w:pPr>
      <w:r w:rsidRPr="00741194">
        <w:rPr>
          <w:rFonts w:ascii="Arial Black" w:hAnsi="Arial Black" w:cs="Arial"/>
          <w:sz w:val="24"/>
          <w:szCs w:val="24"/>
        </w:rPr>
        <w:t xml:space="preserve">Alternatives to Traditional Budgeting </w:t>
      </w:r>
    </w:p>
    <w:p w14:paraId="07A5C0B1" w14:textId="606D18F6"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In recognition of these weaknesses, alternative </w:t>
      </w:r>
      <w:r w:rsidR="00056E93">
        <w:rPr>
          <w:rFonts w:ascii="Arial" w:hAnsi="Arial" w:cs="Arial"/>
          <w:sz w:val="24"/>
          <w:szCs w:val="24"/>
        </w:rPr>
        <w:t>approaches</w:t>
      </w:r>
      <w:r w:rsidRPr="00D91FCF">
        <w:rPr>
          <w:rFonts w:ascii="Arial" w:hAnsi="Arial" w:cs="Arial"/>
          <w:sz w:val="24"/>
          <w:szCs w:val="24"/>
        </w:rPr>
        <w:t xml:space="preserve"> to traditional budgets have been proposed: </w:t>
      </w:r>
    </w:p>
    <w:p w14:paraId="6B11B579" w14:textId="77777777" w:rsidR="00D91FCF" w:rsidRPr="00056E93" w:rsidRDefault="00D91FCF" w:rsidP="00056E93">
      <w:pPr>
        <w:pStyle w:val="ListParagraph"/>
        <w:numPr>
          <w:ilvl w:val="0"/>
          <w:numId w:val="15"/>
        </w:numPr>
        <w:spacing w:line="480" w:lineRule="auto"/>
        <w:rPr>
          <w:rFonts w:ascii="Arial" w:hAnsi="Arial" w:cs="Arial"/>
          <w:sz w:val="24"/>
          <w:szCs w:val="24"/>
        </w:rPr>
      </w:pPr>
      <w:r w:rsidRPr="00056E93">
        <w:rPr>
          <w:rFonts w:ascii="Arial" w:hAnsi="Arial" w:cs="Arial"/>
          <w:sz w:val="24"/>
          <w:szCs w:val="24"/>
        </w:rPr>
        <w:t xml:space="preserve">Rolling Forecasts: Updates rolling forecasts regularly, inputting the newest market information while enabling the allocation of resources to be dynamic (Bukh, Ringgaard and </w:t>
      </w:r>
      <w:proofErr w:type="spellStart"/>
      <w:r w:rsidRPr="00056E93">
        <w:rPr>
          <w:rFonts w:ascii="Arial" w:hAnsi="Arial" w:cs="Arial"/>
          <w:sz w:val="24"/>
          <w:szCs w:val="24"/>
        </w:rPr>
        <w:t>Sandalgaard</w:t>
      </w:r>
      <w:proofErr w:type="spellEnd"/>
      <w:r w:rsidRPr="00056E93">
        <w:rPr>
          <w:rFonts w:ascii="Arial" w:hAnsi="Arial" w:cs="Arial"/>
          <w:sz w:val="24"/>
          <w:szCs w:val="24"/>
        </w:rPr>
        <w:t xml:space="preserve">, 2025). In the context of Green Threads Ltd, with a rolling forecast, sales forecasts would be able to change as fashion changed through the seasons. </w:t>
      </w:r>
    </w:p>
    <w:p w14:paraId="3DBAE9E8" w14:textId="45B9DE9C" w:rsidR="00D91FCF" w:rsidRPr="00056E93" w:rsidRDefault="00056E93" w:rsidP="00056E93">
      <w:pPr>
        <w:pStyle w:val="ListParagraph"/>
        <w:numPr>
          <w:ilvl w:val="0"/>
          <w:numId w:val="15"/>
        </w:numPr>
        <w:spacing w:line="480" w:lineRule="auto"/>
        <w:rPr>
          <w:rFonts w:ascii="Arial" w:hAnsi="Arial" w:cs="Arial"/>
          <w:sz w:val="24"/>
          <w:szCs w:val="24"/>
        </w:rPr>
      </w:pPr>
      <w:r w:rsidRPr="00056E93">
        <w:rPr>
          <w:rFonts w:ascii="Arial" w:hAnsi="Arial" w:cs="Arial"/>
          <w:sz w:val="24"/>
          <w:szCs w:val="24"/>
        </w:rPr>
        <w:t>Z</w:t>
      </w:r>
      <w:r w:rsidR="00D91FCF" w:rsidRPr="00056E93">
        <w:rPr>
          <w:rFonts w:ascii="Arial" w:hAnsi="Arial" w:cs="Arial"/>
          <w:sz w:val="24"/>
          <w:szCs w:val="24"/>
        </w:rPr>
        <w:t xml:space="preserve">ero-Based Budgeting: Is a method where managers justify every cost from the ground up and have nothing carried forward to create inefficiencies </w:t>
      </w:r>
      <w:r w:rsidR="00D91FCF" w:rsidRPr="00056E93">
        <w:rPr>
          <w:rFonts w:ascii="Arial" w:hAnsi="Arial" w:cs="Arial"/>
          <w:sz w:val="24"/>
          <w:szCs w:val="24"/>
        </w:rPr>
        <w:lastRenderedPageBreak/>
        <w:t>(Banerjee, 2021).</w:t>
      </w:r>
      <w:r w:rsidRPr="00056E93">
        <w:rPr>
          <w:rFonts w:ascii="Arial" w:hAnsi="Arial" w:cs="Arial"/>
          <w:sz w:val="24"/>
          <w:szCs w:val="24"/>
        </w:rPr>
        <w:t xml:space="preserve"> </w:t>
      </w:r>
      <w:r w:rsidR="00D91FCF" w:rsidRPr="00056E93">
        <w:rPr>
          <w:rFonts w:ascii="Arial" w:hAnsi="Arial" w:cs="Arial"/>
          <w:sz w:val="24"/>
          <w:szCs w:val="24"/>
        </w:rPr>
        <w:t>This might resolve the company’s excessive overheads by compelling a reassessment of all the company's administrative costs.</w:t>
      </w:r>
    </w:p>
    <w:p w14:paraId="1A6B8965" w14:textId="77777777" w:rsidR="00056E93" w:rsidRPr="00056E93" w:rsidRDefault="00D91FCF" w:rsidP="00056E93">
      <w:pPr>
        <w:pStyle w:val="ListParagraph"/>
        <w:numPr>
          <w:ilvl w:val="0"/>
          <w:numId w:val="15"/>
        </w:numPr>
        <w:spacing w:line="480" w:lineRule="auto"/>
        <w:rPr>
          <w:rFonts w:ascii="Arial" w:hAnsi="Arial" w:cs="Arial"/>
          <w:sz w:val="24"/>
          <w:szCs w:val="24"/>
        </w:rPr>
      </w:pPr>
      <w:r w:rsidRPr="00056E93">
        <w:rPr>
          <w:rFonts w:ascii="Arial" w:hAnsi="Arial" w:cs="Arial"/>
          <w:sz w:val="24"/>
          <w:szCs w:val="24"/>
        </w:rPr>
        <w:t xml:space="preserve">Beyond Budgeting: This argues for the complete abolishment of an annual budget towards benchmarks, relative targets, decentralised decision-making, and continuous planning (Bukh et al., 2025). Although a groundbreaking approach, it is likely impossible for most SMEs </w:t>
      </w:r>
      <w:r w:rsidR="00056E93" w:rsidRPr="00056E93">
        <w:rPr>
          <w:rFonts w:ascii="Arial" w:hAnsi="Arial" w:cs="Arial"/>
          <w:sz w:val="24"/>
          <w:szCs w:val="24"/>
        </w:rPr>
        <w:t>to have</w:t>
      </w:r>
      <w:r w:rsidRPr="00056E93">
        <w:rPr>
          <w:rFonts w:ascii="Arial" w:hAnsi="Arial" w:cs="Arial"/>
          <w:sz w:val="24"/>
          <w:szCs w:val="24"/>
        </w:rPr>
        <w:t xml:space="preserve"> limited systems and a culture resistant to change.</w:t>
      </w:r>
    </w:p>
    <w:p w14:paraId="60EF70C1" w14:textId="7F700A28" w:rsidR="00D91FCF" w:rsidRPr="00056E93" w:rsidRDefault="00D91FCF" w:rsidP="00056E93">
      <w:pPr>
        <w:pStyle w:val="ListParagraph"/>
        <w:numPr>
          <w:ilvl w:val="0"/>
          <w:numId w:val="15"/>
        </w:numPr>
        <w:spacing w:line="480" w:lineRule="auto"/>
        <w:rPr>
          <w:rFonts w:ascii="Arial" w:hAnsi="Arial" w:cs="Arial"/>
          <w:sz w:val="24"/>
          <w:szCs w:val="24"/>
        </w:rPr>
      </w:pPr>
      <w:r w:rsidRPr="00056E93">
        <w:rPr>
          <w:rFonts w:ascii="Arial" w:hAnsi="Arial" w:cs="Arial"/>
          <w:sz w:val="24"/>
          <w:szCs w:val="24"/>
        </w:rPr>
        <w:t xml:space="preserve">Strategic and KPI Budgets: Budgets that connect to non-financial key performance indicators such as customer satisfaction and sustainability can help an organisation to align </w:t>
      </w:r>
      <w:r w:rsidR="00056E93" w:rsidRPr="00056E93">
        <w:rPr>
          <w:rFonts w:ascii="Arial" w:hAnsi="Arial" w:cs="Arial"/>
          <w:sz w:val="24"/>
          <w:szCs w:val="24"/>
        </w:rPr>
        <w:t>short-term</w:t>
      </w:r>
      <w:r w:rsidRPr="00056E93">
        <w:rPr>
          <w:rFonts w:ascii="Arial" w:hAnsi="Arial" w:cs="Arial"/>
          <w:sz w:val="24"/>
          <w:szCs w:val="24"/>
        </w:rPr>
        <w:t xml:space="preserve"> control with </w:t>
      </w:r>
      <w:r w:rsidR="00056E93" w:rsidRPr="00056E93">
        <w:rPr>
          <w:rFonts w:ascii="Arial" w:hAnsi="Arial" w:cs="Arial"/>
          <w:sz w:val="24"/>
          <w:szCs w:val="24"/>
        </w:rPr>
        <w:t>long-term</w:t>
      </w:r>
      <w:r w:rsidRPr="00056E93">
        <w:rPr>
          <w:rFonts w:ascii="Arial" w:hAnsi="Arial" w:cs="Arial"/>
          <w:sz w:val="24"/>
          <w:szCs w:val="24"/>
        </w:rPr>
        <w:t xml:space="preserve"> value (Marr, 2013; </w:t>
      </w:r>
      <w:proofErr w:type="spellStart"/>
      <w:r w:rsidRPr="00056E93">
        <w:rPr>
          <w:rFonts w:ascii="Arial" w:hAnsi="Arial" w:cs="Arial"/>
          <w:sz w:val="24"/>
          <w:szCs w:val="24"/>
        </w:rPr>
        <w:t>Schaltegger</w:t>
      </w:r>
      <w:proofErr w:type="spellEnd"/>
      <w:r w:rsidRPr="00056E93">
        <w:rPr>
          <w:rFonts w:ascii="Arial" w:hAnsi="Arial" w:cs="Arial"/>
          <w:sz w:val="24"/>
          <w:szCs w:val="24"/>
        </w:rPr>
        <w:t xml:space="preserve"> et al., 2022).</w:t>
      </w:r>
    </w:p>
    <w:p w14:paraId="723F2943" w14:textId="77777777" w:rsidR="00D91FCF" w:rsidRPr="00741194" w:rsidRDefault="00D91FCF" w:rsidP="00741194">
      <w:pPr>
        <w:pStyle w:val="ListParagraph"/>
        <w:numPr>
          <w:ilvl w:val="0"/>
          <w:numId w:val="22"/>
        </w:numPr>
        <w:spacing w:line="480" w:lineRule="auto"/>
        <w:rPr>
          <w:rFonts w:ascii="Arial Black" w:hAnsi="Arial Black" w:cs="Arial"/>
          <w:sz w:val="24"/>
          <w:szCs w:val="24"/>
        </w:rPr>
      </w:pPr>
      <w:r w:rsidRPr="00741194">
        <w:rPr>
          <w:rFonts w:ascii="Arial Black" w:hAnsi="Arial Black" w:cs="Arial"/>
          <w:sz w:val="24"/>
          <w:szCs w:val="24"/>
        </w:rPr>
        <w:t>Implications for Green Threads Ltd</w:t>
      </w:r>
    </w:p>
    <w:p w14:paraId="57A4671E" w14:textId="77777777" w:rsidR="00056E93" w:rsidRDefault="00D91FCF" w:rsidP="00D91FCF">
      <w:pPr>
        <w:spacing w:line="480" w:lineRule="auto"/>
        <w:rPr>
          <w:rFonts w:ascii="Arial" w:hAnsi="Arial" w:cs="Arial"/>
          <w:sz w:val="24"/>
          <w:szCs w:val="24"/>
        </w:rPr>
      </w:pPr>
      <w:r w:rsidRPr="00D91FCF">
        <w:rPr>
          <w:rFonts w:ascii="Arial" w:hAnsi="Arial" w:cs="Arial"/>
          <w:sz w:val="24"/>
          <w:szCs w:val="24"/>
        </w:rPr>
        <w:t>For Green Threads Ltd, a traditional budget still forms a practical basis for financial control</w:t>
      </w:r>
      <w:r w:rsidR="00056E93">
        <w:rPr>
          <w:rFonts w:ascii="Arial" w:hAnsi="Arial" w:cs="Arial"/>
          <w:sz w:val="24"/>
          <w:szCs w:val="24"/>
        </w:rPr>
        <w:t>,</w:t>
      </w:r>
      <w:r w:rsidRPr="00D91FCF">
        <w:rPr>
          <w:rFonts w:ascii="Arial" w:hAnsi="Arial" w:cs="Arial"/>
          <w:sz w:val="24"/>
          <w:szCs w:val="24"/>
        </w:rPr>
        <w:t xml:space="preserve"> and to demonstrate to banks that the business will clear its temporary overdraft. However, it is also advised to use static budgets alone in a sector with unpredictable consumer preferences. Therefore, a hybrid solution may be the best compromise: use a traditional budget for control but have rolling forecasts and KPI-linked targets to improve adaptive control</w:t>
      </w:r>
      <w:r w:rsidR="00056E93">
        <w:rPr>
          <w:rFonts w:ascii="Arial" w:hAnsi="Arial" w:cs="Arial"/>
          <w:sz w:val="24"/>
          <w:szCs w:val="24"/>
        </w:rPr>
        <w:t xml:space="preserve"> (</w:t>
      </w:r>
      <w:r w:rsidRPr="00D91FCF">
        <w:rPr>
          <w:rFonts w:ascii="Arial" w:hAnsi="Arial" w:cs="Arial"/>
          <w:sz w:val="24"/>
          <w:szCs w:val="24"/>
        </w:rPr>
        <w:t>Caulfield</w:t>
      </w:r>
      <w:r w:rsidR="00056E93">
        <w:rPr>
          <w:rFonts w:ascii="Arial" w:hAnsi="Arial" w:cs="Arial"/>
          <w:sz w:val="24"/>
          <w:szCs w:val="24"/>
        </w:rPr>
        <w:t xml:space="preserve">, </w:t>
      </w:r>
      <w:r w:rsidRPr="00D91FCF">
        <w:rPr>
          <w:rFonts w:ascii="Arial" w:hAnsi="Arial" w:cs="Arial"/>
          <w:sz w:val="24"/>
          <w:szCs w:val="24"/>
        </w:rPr>
        <w:t>2024)</w:t>
      </w:r>
      <w:r w:rsidR="00056E93">
        <w:rPr>
          <w:rFonts w:ascii="Arial" w:hAnsi="Arial" w:cs="Arial"/>
          <w:sz w:val="24"/>
          <w:szCs w:val="24"/>
        </w:rPr>
        <w:t xml:space="preserve">. </w:t>
      </w:r>
      <w:r w:rsidRPr="00D91FCF">
        <w:rPr>
          <w:rFonts w:ascii="Arial" w:hAnsi="Arial" w:cs="Arial"/>
          <w:sz w:val="24"/>
          <w:szCs w:val="24"/>
        </w:rPr>
        <w:t>For Green Threads Ltd, by introducing flexibility and strategic alignment into its budgeting process, the ultimate drawbacks of the traditional budgeting model will be minimised while benefiting from the traditional strengths using discipline and accountability.</w:t>
      </w:r>
    </w:p>
    <w:p w14:paraId="63972BDD" w14:textId="77777777" w:rsidR="00A45C86" w:rsidRDefault="00A45C86" w:rsidP="00D91FCF">
      <w:pPr>
        <w:spacing w:line="480" w:lineRule="auto"/>
        <w:rPr>
          <w:rFonts w:ascii="Arial" w:hAnsi="Arial" w:cs="Arial"/>
          <w:sz w:val="24"/>
          <w:szCs w:val="24"/>
        </w:rPr>
      </w:pPr>
    </w:p>
    <w:p w14:paraId="2FD36EFD" w14:textId="77777777" w:rsidR="00A45C86" w:rsidRDefault="00A45C86" w:rsidP="00D91FCF">
      <w:pPr>
        <w:spacing w:line="480" w:lineRule="auto"/>
        <w:rPr>
          <w:rFonts w:ascii="Arial" w:hAnsi="Arial" w:cs="Arial"/>
          <w:sz w:val="24"/>
          <w:szCs w:val="24"/>
        </w:rPr>
      </w:pPr>
    </w:p>
    <w:p w14:paraId="67743766" w14:textId="77777777" w:rsidR="00741194" w:rsidRDefault="00741194" w:rsidP="00D91FCF">
      <w:pPr>
        <w:spacing w:line="480" w:lineRule="auto"/>
        <w:rPr>
          <w:rFonts w:ascii="Arial" w:hAnsi="Arial" w:cs="Arial"/>
          <w:sz w:val="24"/>
          <w:szCs w:val="24"/>
        </w:rPr>
      </w:pPr>
    </w:p>
    <w:p w14:paraId="2810FFBB" w14:textId="545BF935" w:rsidR="00D91FCF" w:rsidRPr="00741194" w:rsidRDefault="00D91FCF" w:rsidP="00D91FCF">
      <w:pPr>
        <w:spacing w:line="480" w:lineRule="auto"/>
        <w:rPr>
          <w:rFonts w:ascii="Arial Black" w:hAnsi="Arial Black" w:cs="Arial"/>
          <w:sz w:val="24"/>
          <w:szCs w:val="24"/>
        </w:rPr>
      </w:pPr>
      <w:r w:rsidRPr="00741194">
        <w:rPr>
          <w:rFonts w:ascii="Arial Black" w:hAnsi="Arial Black" w:cs="Arial"/>
          <w:sz w:val="24"/>
          <w:szCs w:val="24"/>
        </w:rPr>
        <w:lastRenderedPageBreak/>
        <w:t>Conclusion</w:t>
      </w:r>
    </w:p>
    <w:p w14:paraId="484C2A8E" w14:textId="21250D5A"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 xml:space="preserve">The process of budgeting for Green Threads Ltd has exposed a profitable company that is </w:t>
      </w:r>
      <w:r w:rsidR="00A45C86">
        <w:rPr>
          <w:rFonts w:ascii="Arial" w:hAnsi="Arial" w:cs="Arial"/>
          <w:sz w:val="24"/>
          <w:szCs w:val="24"/>
        </w:rPr>
        <w:t>short-term</w:t>
      </w:r>
      <w:r w:rsidRPr="00D91FCF">
        <w:rPr>
          <w:rFonts w:ascii="Arial" w:hAnsi="Arial" w:cs="Arial"/>
          <w:sz w:val="24"/>
          <w:szCs w:val="24"/>
        </w:rPr>
        <w:t xml:space="preserve"> </w:t>
      </w:r>
      <w:r w:rsidR="00A45C86">
        <w:rPr>
          <w:rFonts w:ascii="Arial" w:hAnsi="Arial" w:cs="Arial"/>
          <w:sz w:val="24"/>
          <w:szCs w:val="24"/>
        </w:rPr>
        <w:t>limited</w:t>
      </w:r>
      <w:r w:rsidRPr="00D91FCF">
        <w:rPr>
          <w:rFonts w:ascii="Arial" w:hAnsi="Arial" w:cs="Arial"/>
          <w:sz w:val="24"/>
          <w:szCs w:val="24"/>
        </w:rPr>
        <w:t xml:space="preserve"> to some liquid resources. Over </w:t>
      </w:r>
      <w:r w:rsidR="00A45C86">
        <w:rPr>
          <w:rFonts w:ascii="Arial" w:hAnsi="Arial" w:cs="Arial"/>
          <w:sz w:val="24"/>
          <w:szCs w:val="24"/>
        </w:rPr>
        <w:t>the six months</w:t>
      </w:r>
      <w:r w:rsidRPr="00D91FCF">
        <w:rPr>
          <w:rFonts w:ascii="Arial" w:hAnsi="Arial" w:cs="Arial"/>
          <w:sz w:val="24"/>
          <w:szCs w:val="24"/>
        </w:rPr>
        <w:t xml:space="preserve">, the company is expected to generate an after-tax profit of £250,000, along with moving from an overdraft position to a cash balance of £247,000. The above measures illustrate the efficacy of budgeting formally in meeting targets and being in a position to </w:t>
      </w:r>
      <w:r w:rsidR="00A45C86">
        <w:rPr>
          <w:rFonts w:ascii="Arial" w:hAnsi="Arial" w:cs="Arial"/>
          <w:sz w:val="24"/>
          <w:szCs w:val="24"/>
        </w:rPr>
        <w:t>fulfil</w:t>
      </w:r>
      <w:r w:rsidRPr="00D91FCF">
        <w:rPr>
          <w:rFonts w:ascii="Arial" w:hAnsi="Arial" w:cs="Arial"/>
          <w:sz w:val="24"/>
          <w:szCs w:val="24"/>
        </w:rPr>
        <w:t xml:space="preserve"> banking obligations, whilst also underlining the importance of cash flow management, e.g., in June</w:t>
      </w:r>
      <w:r w:rsidR="00A45C86">
        <w:rPr>
          <w:rFonts w:ascii="Arial" w:hAnsi="Arial" w:cs="Arial"/>
          <w:sz w:val="24"/>
          <w:szCs w:val="24"/>
        </w:rPr>
        <w:t>,</w:t>
      </w:r>
      <w:r w:rsidRPr="00D91FCF">
        <w:rPr>
          <w:rFonts w:ascii="Arial" w:hAnsi="Arial" w:cs="Arial"/>
          <w:sz w:val="24"/>
          <w:szCs w:val="24"/>
        </w:rPr>
        <w:t xml:space="preserve"> </w:t>
      </w:r>
      <w:r w:rsidR="00A45C86">
        <w:rPr>
          <w:rFonts w:ascii="Arial" w:hAnsi="Arial" w:cs="Arial"/>
          <w:sz w:val="24"/>
          <w:szCs w:val="24"/>
        </w:rPr>
        <w:t xml:space="preserve">an </w:t>
      </w:r>
      <w:r w:rsidRPr="00D91FCF">
        <w:rPr>
          <w:rFonts w:ascii="Arial" w:hAnsi="Arial" w:cs="Arial"/>
          <w:sz w:val="24"/>
          <w:szCs w:val="24"/>
        </w:rPr>
        <w:t>overdraft situation followed by a recovery.</w:t>
      </w:r>
    </w:p>
    <w:p w14:paraId="5E040993" w14:textId="3BA3C69B"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The challenges identified in Section (b)</w:t>
      </w:r>
      <w:r w:rsidR="00A45C86">
        <w:rPr>
          <w:rFonts w:ascii="Arial" w:hAnsi="Arial" w:cs="Arial"/>
          <w:sz w:val="24"/>
          <w:szCs w:val="24"/>
        </w:rPr>
        <w:t>,</w:t>
      </w:r>
      <w:r w:rsidRPr="00D91FCF">
        <w:rPr>
          <w:rFonts w:ascii="Arial" w:hAnsi="Arial" w:cs="Arial"/>
          <w:sz w:val="24"/>
          <w:szCs w:val="24"/>
        </w:rPr>
        <w:t xml:space="preserve"> i.e., liquid pressures, costs associated with facility overheads, fee charges associated with credit cards, timing of refurbishments, and fixed loan repayments</w:t>
      </w:r>
      <w:r w:rsidR="00A45C86">
        <w:rPr>
          <w:rFonts w:ascii="Arial" w:hAnsi="Arial" w:cs="Arial"/>
          <w:sz w:val="24"/>
          <w:szCs w:val="24"/>
        </w:rPr>
        <w:t>,</w:t>
      </w:r>
      <w:r w:rsidRPr="00D91FCF">
        <w:rPr>
          <w:rFonts w:ascii="Arial" w:hAnsi="Arial" w:cs="Arial"/>
          <w:sz w:val="24"/>
          <w:szCs w:val="24"/>
        </w:rPr>
        <w:t xml:space="preserve"> are challenges faced by many </w:t>
      </w:r>
      <w:r w:rsidR="00A45C86" w:rsidRPr="00D91FCF">
        <w:rPr>
          <w:rFonts w:ascii="Arial" w:hAnsi="Arial" w:cs="Arial"/>
          <w:sz w:val="24"/>
          <w:szCs w:val="24"/>
        </w:rPr>
        <w:t>SMEs</w:t>
      </w:r>
      <w:r w:rsidRPr="00D91FCF">
        <w:rPr>
          <w:rFonts w:ascii="Arial" w:hAnsi="Arial" w:cs="Arial"/>
          <w:sz w:val="24"/>
          <w:szCs w:val="24"/>
        </w:rPr>
        <w:t>. Resolutions will need tactical choices, ex. rescheduling expenditure and negotiation costs, along with consideration of strategic improvements to financial planning and costs. The need for different approaches to budgeting</w:t>
      </w:r>
      <w:r w:rsidR="00A45C86">
        <w:rPr>
          <w:rFonts w:ascii="Arial" w:hAnsi="Arial" w:cs="Arial"/>
          <w:sz w:val="24"/>
          <w:szCs w:val="24"/>
        </w:rPr>
        <w:t>,</w:t>
      </w:r>
      <w:r w:rsidRPr="00D91FCF">
        <w:rPr>
          <w:rFonts w:ascii="Arial" w:hAnsi="Arial" w:cs="Arial"/>
          <w:sz w:val="24"/>
          <w:szCs w:val="24"/>
        </w:rPr>
        <w:t xml:space="preserve"> which incorporate risk management into </w:t>
      </w:r>
      <w:r w:rsidR="00A45C86">
        <w:rPr>
          <w:rFonts w:ascii="Arial" w:hAnsi="Arial" w:cs="Arial"/>
          <w:sz w:val="24"/>
          <w:szCs w:val="24"/>
        </w:rPr>
        <w:t xml:space="preserve">the </w:t>
      </w:r>
      <w:r w:rsidRPr="00D91FCF">
        <w:rPr>
          <w:rFonts w:ascii="Arial" w:hAnsi="Arial" w:cs="Arial"/>
          <w:sz w:val="24"/>
          <w:szCs w:val="24"/>
        </w:rPr>
        <w:t>budget process</w:t>
      </w:r>
      <w:r w:rsidR="00A45C86">
        <w:rPr>
          <w:rFonts w:ascii="Arial" w:hAnsi="Arial" w:cs="Arial"/>
          <w:sz w:val="24"/>
          <w:szCs w:val="24"/>
        </w:rPr>
        <w:t>,</w:t>
      </w:r>
      <w:r w:rsidRPr="00D91FCF">
        <w:rPr>
          <w:rFonts w:ascii="Arial" w:hAnsi="Arial" w:cs="Arial"/>
          <w:sz w:val="24"/>
          <w:szCs w:val="24"/>
        </w:rPr>
        <w:t xml:space="preserve"> signifies </w:t>
      </w:r>
      <w:r w:rsidR="00A45C86">
        <w:rPr>
          <w:rFonts w:ascii="Arial" w:hAnsi="Arial" w:cs="Arial"/>
          <w:sz w:val="24"/>
          <w:szCs w:val="24"/>
        </w:rPr>
        <w:t>that</w:t>
      </w:r>
      <w:r w:rsidRPr="00D91FCF">
        <w:rPr>
          <w:rFonts w:ascii="Arial" w:hAnsi="Arial" w:cs="Arial"/>
          <w:sz w:val="24"/>
          <w:szCs w:val="24"/>
        </w:rPr>
        <w:t xml:space="preserve"> </w:t>
      </w:r>
      <w:r w:rsidR="00A45C86">
        <w:rPr>
          <w:rFonts w:ascii="Arial" w:hAnsi="Arial" w:cs="Arial"/>
          <w:sz w:val="24"/>
          <w:szCs w:val="24"/>
        </w:rPr>
        <w:t>it will</w:t>
      </w:r>
      <w:r w:rsidRPr="00D91FCF">
        <w:rPr>
          <w:rFonts w:ascii="Arial" w:hAnsi="Arial" w:cs="Arial"/>
          <w:sz w:val="24"/>
          <w:szCs w:val="24"/>
        </w:rPr>
        <w:t xml:space="preserve"> need to move forward to stay profitable for the uncertainties ahead (</w:t>
      </w:r>
      <w:proofErr w:type="spellStart"/>
      <w:r w:rsidRPr="00D91FCF">
        <w:rPr>
          <w:rFonts w:ascii="Arial" w:hAnsi="Arial" w:cs="Arial"/>
          <w:sz w:val="24"/>
          <w:szCs w:val="24"/>
        </w:rPr>
        <w:t>Alabdullah</w:t>
      </w:r>
      <w:proofErr w:type="spellEnd"/>
      <w:r w:rsidRPr="00D91FCF">
        <w:rPr>
          <w:rFonts w:ascii="Arial" w:hAnsi="Arial" w:cs="Arial"/>
          <w:sz w:val="24"/>
          <w:szCs w:val="24"/>
        </w:rPr>
        <w:t>, 2022).</w:t>
      </w:r>
    </w:p>
    <w:p w14:paraId="2CA5F0BA" w14:textId="171749D5"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For budgeting systems to work, they need to be underpinned by the right organisational conditions, as well as behaviour. Participation, goal congruence, realistic targets and constructive communication are all needed to ensure that budgets encourage rather than demotivate to achieve goals</w:t>
      </w:r>
      <w:r w:rsidR="00A45C86">
        <w:rPr>
          <w:rFonts w:ascii="Arial" w:hAnsi="Arial" w:cs="Arial"/>
          <w:sz w:val="24"/>
          <w:szCs w:val="24"/>
        </w:rPr>
        <w:t xml:space="preserve"> (</w:t>
      </w:r>
      <w:r w:rsidRPr="00D91FCF">
        <w:rPr>
          <w:rFonts w:ascii="Arial" w:hAnsi="Arial" w:cs="Arial"/>
          <w:sz w:val="24"/>
          <w:szCs w:val="24"/>
        </w:rPr>
        <w:t>Bhimani</w:t>
      </w:r>
      <w:r w:rsidR="00A45C86">
        <w:rPr>
          <w:rFonts w:ascii="Arial" w:hAnsi="Arial" w:cs="Arial"/>
          <w:sz w:val="24"/>
          <w:szCs w:val="24"/>
        </w:rPr>
        <w:t xml:space="preserve">, </w:t>
      </w:r>
      <w:r w:rsidRPr="00D91FCF">
        <w:rPr>
          <w:rFonts w:ascii="Arial" w:hAnsi="Arial" w:cs="Arial"/>
          <w:sz w:val="24"/>
          <w:szCs w:val="24"/>
        </w:rPr>
        <w:t>2006, and Horner</w:t>
      </w:r>
      <w:r w:rsidR="00A45C86">
        <w:rPr>
          <w:rFonts w:ascii="Arial" w:hAnsi="Arial" w:cs="Arial"/>
          <w:sz w:val="24"/>
          <w:szCs w:val="24"/>
        </w:rPr>
        <w:t xml:space="preserve">, </w:t>
      </w:r>
      <w:r w:rsidRPr="00D91FCF">
        <w:rPr>
          <w:rFonts w:ascii="Arial" w:hAnsi="Arial" w:cs="Arial"/>
          <w:sz w:val="24"/>
          <w:szCs w:val="24"/>
        </w:rPr>
        <w:t>2020)</w:t>
      </w:r>
      <w:r w:rsidR="00A45C86">
        <w:rPr>
          <w:rFonts w:ascii="Arial" w:hAnsi="Arial" w:cs="Arial"/>
          <w:sz w:val="24"/>
          <w:szCs w:val="24"/>
        </w:rPr>
        <w:t>.</w:t>
      </w:r>
    </w:p>
    <w:p w14:paraId="7510DDF1" w14:textId="2D8BA63B" w:rsidR="00D91FCF" w:rsidRPr="00D91FCF" w:rsidRDefault="00D91FCF" w:rsidP="00D91FCF">
      <w:pPr>
        <w:spacing w:line="480" w:lineRule="auto"/>
        <w:rPr>
          <w:rFonts w:ascii="Arial" w:hAnsi="Arial" w:cs="Arial"/>
          <w:sz w:val="24"/>
          <w:szCs w:val="24"/>
        </w:rPr>
      </w:pPr>
      <w:r w:rsidRPr="00D91FCF">
        <w:rPr>
          <w:rFonts w:ascii="Arial" w:hAnsi="Arial" w:cs="Arial"/>
          <w:sz w:val="24"/>
          <w:szCs w:val="24"/>
        </w:rPr>
        <w:t>Finally, the assessment of budgeting suggests both pros and cons of traditional budgeting systems</w:t>
      </w:r>
      <w:r w:rsidR="00A45C86">
        <w:rPr>
          <w:rFonts w:ascii="Arial" w:hAnsi="Arial" w:cs="Arial"/>
          <w:sz w:val="24"/>
          <w:szCs w:val="24"/>
        </w:rPr>
        <w:t>,</w:t>
      </w:r>
      <w:r w:rsidRPr="00D91FCF">
        <w:rPr>
          <w:rFonts w:ascii="Arial" w:hAnsi="Arial" w:cs="Arial"/>
          <w:sz w:val="24"/>
          <w:szCs w:val="24"/>
        </w:rPr>
        <w:t xml:space="preserve"> which provide discipline and accountability, but within an expanding market such as fashion retail, they are often too fixed. Alternatives to the </w:t>
      </w:r>
      <w:r w:rsidRPr="00D91FCF">
        <w:rPr>
          <w:rFonts w:ascii="Arial" w:hAnsi="Arial" w:cs="Arial"/>
          <w:sz w:val="24"/>
          <w:szCs w:val="24"/>
        </w:rPr>
        <w:lastRenderedPageBreak/>
        <w:t>traditional method</w:t>
      </w:r>
      <w:r w:rsidR="00A45C86">
        <w:rPr>
          <w:rFonts w:ascii="Arial" w:hAnsi="Arial" w:cs="Arial"/>
          <w:sz w:val="24"/>
          <w:szCs w:val="24"/>
        </w:rPr>
        <w:t xml:space="preserve">, </w:t>
      </w:r>
      <w:r w:rsidRPr="00D91FCF">
        <w:rPr>
          <w:rFonts w:ascii="Arial" w:hAnsi="Arial" w:cs="Arial"/>
          <w:sz w:val="24"/>
          <w:szCs w:val="24"/>
        </w:rPr>
        <w:t xml:space="preserve">rolling forecasts, zero-based budgeting and beyond budgeting, are more fluid, but have significant requirements in terms of culture and quality information systems. Green Threads Ltd could benefit from a mixed approach - retaining traditional budgets in </w:t>
      </w:r>
      <w:r w:rsidR="00A45C86" w:rsidRPr="00D91FCF">
        <w:rPr>
          <w:rFonts w:ascii="Arial" w:hAnsi="Arial" w:cs="Arial"/>
          <w:sz w:val="24"/>
          <w:szCs w:val="24"/>
        </w:rPr>
        <w:t>control and</w:t>
      </w:r>
      <w:r w:rsidRPr="00D91FCF">
        <w:rPr>
          <w:rFonts w:ascii="Arial" w:hAnsi="Arial" w:cs="Arial"/>
          <w:sz w:val="24"/>
          <w:szCs w:val="24"/>
        </w:rPr>
        <w:t xml:space="preserve"> recogni</w:t>
      </w:r>
      <w:r w:rsidR="00A45C86">
        <w:rPr>
          <w:rFonts w:ascii="Arial" w:hAnsi="Arial" w:cs="Arial"/>
          <w:sz w:val="24"/>
          <w:szCs w:val="24"/>
        </w:rPr>
        <w:t>s</w:t>
      </w:r>
      <w:r w:rsidRPr="00D91FCF">
        <w:rPr>
          <w:rFonts w:ascii="Arial" w:hAnsi="Arial" w:cs="Arial"/>
          <w:sz w:val="24"/>
          <w:szCs w:val="24"/>
        </w:rPr>
        <w:t>ing a rolling forecast and key performance indicators for strategy.</w:t>
      </w:r>
    </w:p>
    <w:p w14:paraId="2B67D639" w14:textId="38BC9473" w:rsidR="00D91FCF" w:rsidRDefault="00D91FCF" w:rsidP="00D91FCF">
      <w:pPr>
        <w:spacing w:line="480" w:lineRule="auto"/>
        <w:rPr>
          <w:rFonts w:ascii="Arial" w:hAnsi="Arial" w:cs="Arial"/>
          <w:sz w:val="24"/>
          <w:szCs w:val="24"/>
        </w:rPr>
      </w:pPr>
      <w:r w:rsidRPr="00D91FCF">
        <w:rPr>
          <w:rFonts w:ascii="Arial" w:hAnsi="Arial" w:cs="Arial"/>
          <w:sz w:val="24"/>
          <w:szCs w:val="24"/>
        </w:rPr>
        <w:t xml:space="preserve">In conclusion, budgeting is not an end-state in itself, but rather a justification of financial resilience and strategic clarity. Green Threads Ltd will succeed if it </w:t>
      </w:r>
      <w:r w:rsidR="00A45C86">
        <w:rPr>
          <w:rFonts w:ascii="Arial" w:hAnsi="Arial" w:cs="Arial"/>
          <w:sz w:val="24"/>
          <w:szCs w:val="24"/>
        </w:rPr>
        <w:t>utilises</w:t>
      </w:r>
      <w:r w:rsidRPr="00D91FCF">
        <w:rPr>
          <w:rFonts w:ascii="Arial" w:hAnsi="Arial" w:cs="Arial"/>
          <w:sz w:val="24"/>
          <w:szCs w:val="24"/>
        </w:rPr>
        <w:t xml:space="preserve"> budgets during the forecasting process with the intention of managing risks, managing its workforce, and being responsive to a changing market.</w:t>
      </w:r>
    </w:p>
    <w:p w14:paraId="7E1A28AC" w14:textId="77777777" w:rsidR="00741194" w:rsidRDefault="00741194" w:rsidP="00D91FCF">
      <w:pPr>
        <w:spacing w:line="480" w:lineRule="auto"/>
        <w:rPr>
          <w:rFonts w:ascii="Arial" w:hAnsi="Arial" w:cs="Arial"/>
          <w:sz w:val="24"/>
          <w:szCs w:val="24"/>
        </w:rPr>
      </w:pPr>
    </w:p>
    <w:p w14:paraId="61CCBD9D" w14:textId="77777777" w:rsidR="00741194" w:rsidRDefault="00741194" w:rsidP="00D91FCF">
      <w:pPr>
        <w:spacing w:line="480" w:lineRule="auto"/>
        <w:rPr>
          <w:rFonts w:ascii="Arial" w:hAnsi="Arial" w:cs="Arial"/>
          <w:sz w:val="24"/>
          <w:szCs w:val="24"/>
        </w:rPr>
      </w:pPr>
    </w:p>
    <w:p w14:paraId="54D7268D" w14:textId="77777777" w:rsidR="00741194" w:rsidRDefault="00741194" w:rsidP="00D91FCF">
      <w:pPr>
        <w:spacing w:line="480" w:lineRule="auto"/>
        <w:rPr>
          <w:rFonts w:ascii="Arial" w:hAnsi="Arial" w:cs="Arial"/>
          <w:sz w:val="24"/>
          <w:szCs w:val="24"/>
        </w:rPr>
      </w:pPr>
    </w:p>
    <w:p w14:paraId="5098917E" w14:textId="77777777" w:rsidR="00741194" w:rsidRDefault="00741194" w:rsidP="00D91FCF">
      <w:pPr>
        <w:spacing w:line="480" w:lineRule="auto"/>
        <w:rPr>
          <w:rFonts w:ascii="Arial" w:hAnsi="Arial" w:cs="Arial"/>
          <w:sz w:val="24"/>
          <w:szCs w:val="24"/>
        </w:rPr>
      </w:pPr>
    </w:p>
    <w:p w14:paraId="44724A26" w14:textId="77777777" w:rsidR="00741194" w:rsidRDefault="00741194" w:rsidP="00D91FCF">
      <w:pPr>
        <w:spacing w:line="480" w:lineRule="auto"/>
        <w:rPr>
          <w:rFonts w:ascii="Arial" w:hAnsi="Arial" w:cs="Arial"/>
          <w:sz w:val="24"/>
          <w:szCs w:val="24"/>
        </w:rPr>
      </w:pPr>
    </w:p>
    <w:p w14:paraId="04E80FDE" w14:textId="77777777" w:rsidR="00741194" w:rsidRDefault="00741194" w:rsidP="00D91FCF">
      <w:pPr>
        <w:spacing w:line="480" w:lineRule="auto"/>
        <w:rPr>
          <w:rFonts w:ascii="Arial" w:hAnsi="Arial" w:cs="Arial"/>
          <w:sz w:val="24"/>
          <w:szCs w:val="24"/>
        </w:rPr>
      </w:pPr>
    </w:p>
    <w:p w14:paraId="2DC9E60E" w14:textId="77777777" w:rsidR="00741194" w:rsidRDefault="00741194" w:rsidP="00D91FCF">
      <w:pPr>
        <w:spacing w:line="480" w:lineRule="auto"/>
        <w:rPr>
          <w:rFonts w:ascii="Arial" w:hAnsi="Arial" w:cs="Arial"/>
          <w:sz w:val="24"/>
          <w:szCs w:val="24"/>
        </w:rPr>
      </w:pPr>
    </w:p>
    <w:p w14:paraId="410F361A" w14:textId="77777777" w:rsidR="00741194" w:rsidRDefault="00741194" w:rsidP="00D91FCF">
      <w:pPr>
        <w:spacing w:line="480" w:lineRule="auto"/>
        <w:rPr>
          <w:rFonts w:ascii="Arial" w:hAnsi="Arial" w:cs="Arial"/>
          <w:sz w:val="24"/>
          <w:szCs w:val="24"/>
        </w:rPr>
      </w:pPr>
    </w:p>
    <w:p w14:paraId="0570958B" w14:textId="77777777" w:rsidR="00741194" w:rsidRDefault="00741194" w:rsidP="00D91FCF">
      <w:pPr>
        <w:spacing w:line="480" w:lineRule="auto"/>
        <w:rPr>
          <w:rFonts w:ascii="Arial" w:hAnsi="Arial" w:cs="Arial"/>
          <w:sz w:val="24"/>
          <w:szCs w:val="24"/>
        </w:rPr>
      </w:pPr>
    </w:p>
    <w:p w14:paraId="7C6EC58B" w14:textId="77777777" w:rsidR="00741194" w:rsidRDefault="00741194" w:rsidP="00D91FCF">
      <w:pPr>
        <w:spacing w:line="480" w:lineRule="auto"/>
        <w:rPr>
          <w:rFonts w:ascii="Arial" w:hAnsi="Arial" w:cs="Arial"/>
          <w:sz w:val="24"/>
          <w:szCs w:val="24"/>
        </w:rPr>
      </w:pPr>
    </w:p>
    <w:p w14:paraId="6FF4A58D" w14:textId="77777777" w:rsidR="00741194" w:rsidRDefault="00741194" w:rsidP="00D91FCF">
      <w:pPr>
        <w:spacing w:line="480" w:lineRule="auto"/>
        <w:rPr>
          <w:rFonts w:ascii="Arial" w:hAnsi="Arial" w:cs="Arial"/>
          <w:sz w:val="24"/>
          <w:szCs w:val="24"/>
        </w:rPr>
      </w:pPr>
    </w:p>
    <w:p w14:paraId="23254140" w14:textId="77777777" w:rsidR="00741194" w:rsidRDefault="00741194" w:rsidP="00D91FCF">
      <w:pPr>
        <w:spacing w:line="480" w:lineRule="auto"/>
        <w:rPr>
          <w:rFonts w:ascii="Arial" w:hAnsi="Arial" w:cs="Arial"/>
          <w:sz w:val="24"/>
          <w:szCs w:val="24"/>
        </w:rPr>
      </w:pPr>
    </w:p>
    <w:p w14:paraId="5E518480" w14:textId="135AA71A" w:rsidR="00741194" w:rsidRPr="00837F08" w:rsidRDefault="00741194" w:rsidP="00D91FCF">
      <w:pPr>
        <w:spacing w:line="480" w:lineRule="auto"/>
        <w:rPr>
          <w:rFonts w:ascii="Arial Black" w:hAnsi="Arial Black" w:cs="Arial"/>
          <w:sz w:val="24"/>
          <w:szCs w:val="24"/>
        </w:rPr>
      </w:pPr>
      <w:r w:rsidRPr="00837F08">
        <w:rPr>
          <w:rFonts w:ascii="Arial Black" w:hAnsi="Arial Black" w:cs="Arial"/>
          <w:sz w:val="24"/>
          <w:szCs w:val="24"/>
        </w:rPr>
        <w:lastRenderedPageBreak/>
        <w:t>Bibliography</w:t>
      </w:r>
    </w:p>
    <w:p w14:paraId="12076D48" w14:textId="77777777" w:rsidR="0078026A" w:rsidRPr="0078026A" w:rsidRDefault="0078026A" w:rsidP="00837F08">
      <w:pPr>
        <w:spacing w:line="480" w:lineRule="auto"/>
        <w:ind w:left="720" w:hanging="720"/>
        <w:rPr>
          <w:rFonts w:ascii="Arial" w:hAnsi="Arial" w:cs="Arial"/>
          <w:sz w:val="24"/>
          <w:szCs w:val="24"/>
        </w:rPr>
      </w:pPr>
      <w:proofErr w:type="spellStart"/>
      <w:r w:rsidRPr="0078026A">
        <w:rPr>
          <w:rFonts w:ascii="Arial" w:hAnsi="Arial" w:cs="Arial"/>
          <w:sz w:val="24"/>
          <w:szCs w:val="24"/>
        </w:rPr>
        <w:t>Alabdullah</w:t>
      </w:r>
      <w:proofErr w:type="spellEnd"/>
      <w:r w:rsidRPr="0078026A">
        <w:rPr>
          <w:rFonts w:ascii="Arial" w:hAnsi="Arial" w:cs="Arial"/>
          <w:sz w:val="24"/>
          <w:szCs w:val="24"/>
        </w:rPr>
        <w:t xml:space="preserve">, T.T.Y., 2022. Management accounting insight via a new perspective on risk management-companies' profitability relationship. </w:t>
      </w:r>
      <w:r w:rsidRPr="0078026A">
        <w:rPr>
          <w:rFonts w:ascii="Arial" w:hAnsi="Arial" w:cs="Arial"/>
          <w:i/>
          <w:iCs/>
          <w:sz w:val="24"/>
          <w:szCs w:val="24"/>
        </w:rPr>
        <w:t>International Journal of Intelligent Enterprise</w:t>
      </w:r>
      <w:r w:rsidRPr="0078026A">
        <w:rPr>
          <w:rFonts w:ascii="Arial" w:hAnsi="Arial" w:cs="Arial"/>
          <w:sz w:val="24"/>
          <w:szCs w:val="24"/>
        </w:rPr>
        <w:t>, 9(2), pp.244-257.</w:t>
      </w:r>
    </w:p>
    <w:p w14:paraId="67AB3DF3" w14:textId="1D94D523" w:rsidR="0078026A" w:rsidRPr="0078026A" w:rsidRDefault="0078026A" w:rsidP="00837F08">
      <w:pPr>
        <w:spacing w:line="480" w:lineRule="auto"/>
        <w:ind w:left="720" w:hanging="720"/>
        <w:rPr>
          <w:rFonts w:ascii="Arial" w:hAnsi="Arial" w:cs="Arial"/>
          <w:sz w:val="24"/>
          <w:szCs w:val="24"/>
        </w:rPr>
      </w:pPr>
      <w:proofErr w:type="spellStart"/>
      <w:r w:rsidRPr="0078026A">
        <w:rPr>
          <w:rFonts w:ascii="Arial" w:hAnsi="Arial" w:cs="Arial"/>
          <w:sz w:val="24"/>
          <w:szCs w:val="24"/>
        </w:rPr>
        <w:t>Alvian</w:t>
      </w:r>
      <w:proofErr w:type="spellEnd"/>
      <w:r w:rsidRPr="0078026A">
        <w:rPr>
          <w:rFonts w:ascii="Arial" w:hAnsi="Arial" w:cs="Arial"/>
          <w:sz w:val="24"/>
          <w:szCs w:val="24"/>
        </w:rPr>
        <w:t xml:space="preserve">, R. and Munandar, A., 2022. The influence of </w:t>
      </w:r>
      <w:r w:rsidRPr="0078026A">
        <w:rPr>
          <w:rFonts w:ascii="Arial" w:hAnsi="Arial" w:cs="Arial"/>
          <w:sz w:val="24"/>
          <w:szCs w:val="24"/>
        </w:rPr>
        <w:t>debt-to-equity</w:t>
      </w:r>
      <w:r w:rsidRPr="0078026A">
        <w:rPr>
          <w:rFonts w:ascii="Arial" w:hAnsi="Arial" w:cs="Arial"/>
          <w:sz w:val="24"/>
          <w:szCs w:val="24"/>
        </w:rPr>
        <w:t xml:space="preserve"> ratio, net profit margin, and cash ratio on firm value. </w:t>
      </w:r>
      <w:proofErr w:type="spellStart"/>
      <w:r w:rsidRPr="00837F08">
        <w:rPr>
          <w:rFonts w:ascii="Arial" w:hAnsi="Arial" w:cs="Arial"/>
          <w:i/>
          <w:iCs/>
          <w:sz w:val="24"/>
          <w:szCs w:val="24"/>
        </w:rPr>
        <w:t>Jurnal</w:t>
      </w:r>
      <w:proofErr w:type="spellEnd"/>
      <w:r w:rsidRPr="00837F08">
        <w:rPr>
          <w:rFonts w:ascii="Arial" w:hAnsi="Arial" w:cs="Arial"/>
          <w:i/>
          <w:iCs/>
          <w:sz w:val="24"/>
          <w:szCs w:val="24"/>
        </w:rPr>
        <w:t xml:space="preserve"> </w:t>
      </w:r>
      <w:proofErr w:type="spellStart"/>
      <w:r w:rsidRPr="00837F08">
        <w:rPr>
          <w:rFonts w:ascii="Arial" w:hAnsi="Arial" w:cs="Arial"/>
          <w:i/>
          <w:iCs/>
          <w:sz w:val="24"/>
          <w:szCs w:val="24"/>
        </w:rPr>
        <w:t>Ilmiah</w:t>
      </w:r>
      <w:proofErr w:type="spellEnd"/>
      <w:r w:rsidRPr="00837F08">
        <w:rPr>
          <w:rFonts w:ascii="Arial" w:hAnsi="Arial" w:cs="Arial"/>
          <w:i/>
          <w:iCs/>
          <w:sz w:val="24"/>
          <w:szCs w:val="24"/>
        </w:rPr>
        <w:t xml:space="preserve"> </w:t>
      </w:r>
      <w:proofErr w:type="spellStart"/>
      <w:r w:rsidRPr="00837F08">
        <w:rPr>
          <w:rFonts w:ascii="Arial" w:hAnsi="Arial" w:cs="Arial"/>
          <w:i/>
          <w:iCs/>
          <w:sz w:val="24"/>
          <w:szCs w:val="24"/>
        </w:rPr>
        <w:t>Akuntansi</w:t>
      </w:r>
      <w:proofErr w:type="spellEnd"/>
      <w:r w:rsidRPr="00837F08">
        <w:rPr>
          <w:rFonts w:ascii="Arial" w:hAnsi="Arial" w:cs="Arial"/>
          <w:i/>
          <w:iCs/>
          <w:sz w:val="24"/>
          <w:szCs w:val="24"/>
        </w:rPr>
        <w:t xml:space="preserve"> Dan Keuangan</w:t>
      </w:r>
      <w:r w:rsidRPr="0078026A">
        <w:rPr>
          <w:rFonts w:ascii="Arial" w:hAnsi="Arial" w:cs="Arial"/>
          <w:sz w:val="24"/>
          <w:szCs w:val="24"/>
        </w:rPr>
        <w:t>, 4(7), pp.2682-2690.</w:t>
      </w:r>
    </w:p>
    <w:p w14:paraId="23DDC34B" w14:textId="77777777" w:rsidR="0078026A" w:rsidRPr="0078026A" w:rsidRDefault="0078026A" w:rsidP="00837F08">
      <w:pPr>
        <w:spacing w:line="480" w:lineRule="auto"/>
        <w:ind w:left="720" w:hanging="720"/>
        <w:rPr>
          <w:rFonts w:ascii="Arial" w:hAnsi="Arial" w:cs="Arial"/>
          <w:sz w:val="24"/>
          <w:szCs w:val="24"/>
        </w:rPr>
      </w:pPr>
      <w:proofErr w:type="spellStart"/>
      <w:r w:rsidRPr="0078026A">
        <w:rPr>
          <w:rFonts w:ascii="Arial" w:hAnsi="Arial" w:cs="Arial"/>
          <w:sz w:val="24"/>
          <w:szCs w:val="24"/>
        </w:rPr>
        <w:t>Atrill</w:t>
      </w:r>
      <w:proofErr w:type="spellEnd"/>
      <w:r w:rsidRPr="0078026A">
        <w:rPr>
          <w:rFonts w:ascii="Arial" w:hAnsi="Arial" w:cs="Arial"/>
          <w:sz w:val="24"/>
          <w:szCs w:val="24"/>
        </w:rPr>
        <w:t xml:space="preserve">, P. and McLaney, E., 2018. </w:t>
      </w:r>
      <w:r w:rsidRPr="00837F08">
        <w:rPr>
          <w:rFonts w:ascii="Arial" w:hAnsi="Arial" w:cs="Arial"/>
          <w:i/>
          <w:iCs/>
          <w:sz w:val="24"/>
          <w:szCs w:val="24"/>
        </w:rPr>
        <w:t>Accounting and Finance for Non-Specialists</w:t>
      </w:r>
      <w:r w:rsidRPr="0078026A">
        <w:rPr>
          <w:rFonts w:ascii="Arial" w:hAnsi="Arial" w:cs="Arial"/>
          <w:sz w:val="24"/>
          <w:szCs w:val="24"/>
        </w:rPr>
        <w:t>. 11th ed. Harlow: Pearson Education Limited.</w:t>
      </w:r>
    </w:p>
    <w:p w14:paraId="60A98934" w14:textId="77777777" w:rsidR="0078026A" w:rsidRPr="0078026A" w:rsidRDefault="0078026A" w:rsidP="00837F08">
      <w:pPr>
        <w:spacing w:line="480" w:lineRule="auto"/>
        <w:ind w:left="720" w:hanging="720"/>
        <w:rPr>
          <w:rFonts w:ascii="Arial" w:hAnsi="Arial" w:cs="Arial"/>
          <w:sz w:val="24"/>
          <w:szCs w:val="24"/>
        </w:rPr>
      </w:pPr>
      <w:proofErr w:type="spellStart"/>
      <w:r w:rsidRPr="0078026A">
        <w:rPr>
          <w:rFonts w:ascii="Arial" w:hAnsi="Arial" w:cs="Arial"/>
          <w:sz w:val="24"/>
          <w:szCs w:val="24"/>
        </w:rPr>
        <w:t>Atrill</w:t>
      </w:r>
      <w:proofErr w:type="spellEnd"/>
      <w:r w:rsidRPr="0078026A">
        <w:rPr>
          <w:rFonts w:ascii="Arial" w:hAnsi="Arial" w:cs="Arial"/>
          <w:sz w:val="24"/>
          <w:szCs w:val="24"/>
        </w:rPr>
        <w:t xml:space="preserve">, P. and McLaney, E., 2021. </w:t>
      </w:r>
      <w:r w:rsidRPr="00837F08">
        <w:rPr>
          <w:rFonts w:ascii="Arial" w:hAnsi="Arial" w:cs="Arial"/>
          <w:i/>
          <w:iCs/>
          <w:sz w:val="24"/>
          <w:szCs w:val="24"/>
        </w:rPr>
        <w:t>Management Accounting for Decision Makers</w:t>
      </w:r>
      <w:r w:rsidRPr="0078026A">
        <w:rPr>
          <w:rFonts w:ascii="Arial" w:hAnsi="Arial" w:cs="Arial"/>
          <w:sz w:val="24"/>
          <w:szCs w:val="24"/>
        </w:rPr>
        <w:t>. 10th ed. Harlow: Pearson Education Limited.</w:t>
      </w:r>
    </w:p>
    <w:p w14:paraId="4AE85E16"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Banerjee, B., 2021</w:t>
      </w:r>
      <w:r w:rsidRPr="00837F08">
        <w:rPr>
          <w:rFonts w:ascii="Arial" w:hAnsi="Arial" w:cs="Arial"/>
          <w:i/>
          <w:iCs/>
          <w:sz w:val="24"/>
          <w:szCs w:val="24"/>
        </w:rPr>
        <w:t>. Cost Accounting: Theory and Practice</w:t>
      </w:r>
      <w:r w:rsidRPr="0078026A">
        <w:rPr>
          <w:rFonts w:ascii="Arial" w:hAnsi="Arial" w:cs="Arial"/>
          <w:sz w:val="24"/>
          <w:szCs w:val="24"/>
        </w:rPr>
        <w:t xml:space="preserve">. New Delhi: PHI Learning </w:t>
      </w:r>
      <w:proofErr w:type="spellStart"/>
      <w:r w:rsidRPr="0078026A">
        <w:rPr>
          <w:rFonts w:ascii="Arial" w:hAnsi="Arial" w:cs="Arial"/>
          <w:sz w:val="24"/>
          <w:szCs w:val="24"/>
        </w:rPr>
        <w:t>Pvt.</w:t>
      </w:r>
      <w:proofErr w:type="spellEnd"/>
      <w:r w:rsidRPr="0078026A">
        <w:rPr>
          <w:rFonts w:ascii="Arial" w:hAnsi="Arial" w:cs="Arial"/>
          <w:sz w:val="24"/>
          <w:szCs w:val="24"/>
        </w:rPr>
        <w:t xml:space="preserve"> Ltd.</w:t>
      </w:r>
    </w:p>
    <w:p w14:paraId="5349541B"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Bhimani, A. (ed.), 2006. </w:t>
      </w:r>
      <w:r w:rsidRPr="00837F08">
        <w:rPr>
          <w:rFonts w:ascii="Arial" w:hAnsi="Arial" w:cs="Arial"/>
          <w:i/>
          <w:iCs/>
          <w:sz w:val="24"/>
          <w:szCs w:val="24"/>
        </w:rPr>
        <w:t>Contemporary Issues in Management Accounting</w:t>
      </w:r>
      <w:r w:rsidRPr="0078026A">
        <w:rPr>
          <w:rFonts w:ascii="Arial" w:hAnsi="Arial" w:cs="Arial"/>
          <w:sz w:val="24"/>
          <w:szCs w:val="24"/>
        </w:rPr>
        <w:t>. Oxford: Oxford University Press.</w:t>
      </w:r>
    </w:p>
    <w:p w14:paraId="25AFD90C" w14:textId="3D28B056"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Breitner, L.K., Anthony, R.N., Abraham, S.C.</w:t>
      </w:r>
      <w:r w:rsidR="00837F08">
        <w:rPr>
          <w:rFonts w:ascii="Arial" w:hAnsi="Arial" w:cs="Arial"/>
          <w:sz w:val="24"/>
          <w:szCs w:val="24"/>
        </w:rPr>
        <w:t>,</w:t>
      </w:r>
      <w:r w:rsidRPr="0078026A">
        <w:rPr>
          <w:rFonts w:ascii="Arial" w:hAnsi="Arial" w:cs="Arial"/>
          <w:sz w:val="24"/>
          <w:szCs w:val="24"/>
        </w:rPr>
        <w:t xml:space="preserve"> and Poly, C., 2021</w:t>
      </w:r>
      <w:r w:rsidRPr="00837F08">
        <w:rPr>
          <w:rFonts w:ascii="Arial" w:hAnsi="Arial" w:cs="Arial"/>
          <w:i/>
          <w:iCs/>
          <w:sz w:val="24"/>
          <w:szCs w:val="24"/>
        </w:rPr>
        <w:t xml:space="preserve">. Essentials of Accounting. </w:t>
      </w:r>
      <w:r w:rsidRPr="0078026A">
        <w:rPr>
          <w:rFonts w:ascii="Arial" w:hAnsi="Arial" w:cs="Arial"/>
          <w:sz w:val="24"/>
          <w:szCs w:val="24"/>
        </w:rPr>
        <w:t>Reading: Addison-Wesley.</w:t>
      </w:r>
    </w:p>
    <w:p w14:paraId="6EEBDC64" w14:textId="77777777" w:rsidR="00837F08"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Bruna, M.G., </w:t>
      </w:r>
      <w:proofErr w:type="spellStart"/>
      <w:r w:rsidRPr="0078026A">
        <w:rPr>
          <w:rFonts w:ascii="Arial" w:hAnsi="Arial" w:cs="Arial"/>
          <w:sz w:val="24"/>
          <w:szCs w:val="24"/>
        </w:rPr>
        <w:t>Loprevite</w:t>
      </w:r>
      <w:proofErr w:type="spellEnd"/>
      <w:r w:rsidRPr="0078026A">
        <w:rPr>
          <w:rFonts w:ascii="Arial" w:hAnsi="Arial" w:cs="Arial"/>
          <w:sz w:val="24"/>
          <w:szCs w:val="24"/>
        </w:rPr>
        <w:t xml:space="preserve">, S., Raucci, D., Ricca, B. and </w:t>
      </w:r>
      <w:proofErr w:type="spellStart"/>
      <w:r w:rsidRPr="0078026A">
        <w:rPr>
          <w:rFonts w:ascii="Arial" w:hAnsi="Arial" w:cs="Arial"/>
          <w:sz w:val="24"/>
          <w:szCs w:val="24"/>
        </w:rPr>
        <w:t>Rupo</w:t>
      </w:r>
      <w:proofErr w:type="spellEnd"/>
      <w:r w:rsidRPr="0078026A">
        <w:rPr>
          <w:rFonts w:ascii="Arial" w:hAnsi="Arial" w:cs="Arial"/>
          <w:sz w:val="24"/>
          <w:szCs w:val="24"/>
        </w:rPr>
        <w:t xml:space="preserve">, D., 2022. Investigating the marginal impact of ESG results on corporate financial performance. </w:t>
      </w:r>
      <w:r w:rsidRPr="00837F08">
        <w:rPr>
          <w:rFonts w:ascii="Arial" w:hAnsi="Arial" w:cs="Arial"/>
          <w:i/>
          <w:iCs/>
          <w:sz w:val="24"/>
          <w:szCs w:val="24"/>
        </w:rPr>
        <w:t>Finance Research Letters</w:t>
      </w:r>
      <w:r w:rsidRPr="0078026A">
        <w:rPr>
          <w:rFonts w:ascii="Arial" w:hAnsi="Arial" w:cs="Arial"/>
          <w:sz w:val="24"/>
          <w:szCs w:val="24"/>
        </w:rPr>
        <w:t>, 47, p.102828.</w:t>
      </w:r>
    </w:p>
    <w:p w14:paraId="657F7D41" w14:textId="060E5552"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lastRenderedPageBreak/>
        <w:t xml:space="preserve">Bukh, P.N., Ringgaard, A. and </w:t>
      </w:r>
      <w:proofErr w:type="spellStart"/>
      <w:r w:rsidRPr="0078026A">
        <w:rPr>
          <w:rFonts w:ascii="Arial" w:hAnsi="Arial" w:cs="Arial"/>
          <w:sz w:val="24"/>
          <w:szCs w:val="24"/>
        </w:rPr>
        <w:t>Sandalgaard</w:t>
      </w:r>
      <w:proofErr w:type="spellEnd"/>
      <w:r w:rsidRPr="0078026A">
        <w:rPr>
          <w:rFonts w:ascii="Arial" w:hAnsi="Arial" w:cs="Arial"/>
          <w:sz w:val="24"/>
          <w:szCs w:val="24"/>
        </w:rPr>
        <w:t xml:space="preserve">, N., 2025. Moving beyond </w:t>
      </w:r>
      <w:proofErr w:type="spellStart"/>
      <w:r w:rsidRPr="0078026A">
        <w:rPr>
          <w:rFonts w:ascii="Arial" w:hAnsi="Arial" w:cs="Arial"/>
          <w:sz w:val="24"/>
          <w:szCs w:val="24"/>
        </w:rPr>
        <w:t>Beyond</w:t>
      </w:r>
      <w:proofErr w:type="spellEnd"/>
      <w:r w:rsidRPr="0078026A">
        <w:rPr>
          <w:rFonts w:ascii="Arial" w:hAnsi="Arial" w:cs="Arial"/>
          <w:sz w:val="24"/>
          <w:szCs w:val="24"/>
        </w:rPr>
        <w:t xml:space="preserve"> Budgeting: A case study of the dynamic interrelationships between budgets and forecasts. </w:t>
      </w:r>
      <w:r w:rsidRPr="00837F08">
        <w:rPr>
          <w:rFonts w:ascii="Arial" w:hAnsi="Arial" w:cs="Arial"/>
          <w:i/>
          <w:iCs/>
          <w:sz w:val="24"/>
          <w:szCs w:val="24"/>
        </w:rPr>
        <w:t>European Accounting Review</w:t>
      </w:r>
      <w:r w:rsidRPr="0078026A">
        <w:rPr>
          <w:rFonts w:ascii="Arial" w:hAnsi="Arial" w:cs="Arial"/>
          <w:sz w:val="24"/>
          <w:szCs w:val="24"/>
        </w:rPr>
        <w:t>, 34(3), pp.1221-1247.</w:t>
      </w:r>
    </w:p>
    <w:p w14:paraId="6B0E8A7E" w14:textId="73F9ED12"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Caulfield, P.J., 2024. Incorporating the Contingency Theory of Management Accounting to Improve the Effectiveness of Management Accounting Training for Non-Finance Specialists Working in Small Enterprises. </w:t>
      </w:r>
      <w:r w:rsidRPr="00837F08">
        <w:rPr>
          <w:rFonts w:ascii="Arial" w:hAnsi="Arial" w:cs="Arial"/>
          <w:i/>
          <w:iCs/>
          <w:sz w:val="24"/>
          <w:szCs w:val="24"/>
        </w:rPr>
        <w:t>SSRN Electronic Journal</w:t>
      </w:r>
      <w:r w:rsidRPr="0078026A">
        <w:rPr>
          <w:rFonts w:ascii="Arial" w:hAnsi="Arial" w:cs="Arial"/>
          <w:sz w:val="24"/>
          <w:szCs w:val="24"/>
        </w:rPr>
        <w:t xml:space="preserve">.  </w:t>
      </w:r>
    </w:p>
    <w:p w14:paraId="27E3E4CF"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Dahlquist, J. and Knight, R., 2022. </w:t>
      </w:r>
      <w:r w:rsidRPr="00837F08">
        <w:rPr>
          <w:rFonts w:ascii="Arial" w:hAnsi="Arial" w:cs="Arial"/>
          <w:i/>
          <w:iCs/>
          <w:sz w:val="24"/>
          <w:szCs w:val="24"/>
        </w:rPr>
        <w:t>Principles of Finance</w:t>
      </w:r>
      <w:r w:rsidRPr="0078026A">
        <w:rPr>
          <w:rFonts w:ascii="Arial" w:hAnsi="Arial" w:cs="Arial"/>
          <w:sz w:val="24"/>
          <w:szCs w:val="24"/>
        </w:rPr>
        <w:t>. Houston: OpenStax.</w:t>
      </w:r>
    </w:p>
    <w:p w14:paraId="25E80B85"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Datar, S.M. and Rajan, M.V., 2017. </w:t>
      </w:r>
      <w:r w:rsidRPr="00837F08">
        <w:rPr>
          <w:rFonts w:ascii="Arial" w:hAnsi="Arial" w:cs="Arial"/>
          <w:i/>
          <w:iCs/>
          <w:sz w:val="24"/>
          <w:szCs w:val="24"/>
        </w:rPr>
        <w:t>Horngren’s Cost Accounting: A Managerial Emphasis – Global Edition.</w:t>
      </w:r>
      <w:r w:rsidRPr="0078026A">
        <w:rPr>
          <w:rFonts w:ascii="Arial" w:hAnsi="Arial" w:cs="Arial"/>
          <w:sz w:val="24"/>
          <w:szCs w:val="24"/>
        </w:rPr>
        <w:t xml:space="preserve"> 11th ed. London: Pearson.</w:t>
      </w:r>
    </w:p>
    <w:p w14:paraId="19493A3E"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Drury, C., 2021. </w:t>
      </w:r>
      <w:r w:rsidRPr="00837F08">
        <w:rPr>
          <w:rFonts w:ascii="Arial" w:hAnsi="Arial" w:cs="Arial"/>
          <w:i/>
          <w:iCs/>
          <w:sz w:val="24"/>
          <w:szCs w:val="24"/>
        </w:rPr>
        <w:t>Management and Cost Accounting</w:t>
      </w:r>
      <w:r w:rsidRPr="0078026A">
        <w:rPr>
          <w:rFonts w:ascii="Arial" w:hAnsi="Arial" w:cs="Arial"/>
          <w:sz w:val="24"/>
          <w:szCs w:val="24"/>
        </w:rPr>
        <w:t>. 11th ed. London: Prentice Hall.</w:t>
      </w:r>
    </w:p>
    <w:p w14:paraId="6A7B2EB7"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Dyson, J.R., 2020. </w:t>
      </w:r>
      <w:r w:rsidRPr="00837F08">
        <w:rPr>
          <w:rFonts w:ascii="Arial" w:hAnsi="Arial" w:cs="Arial"/>
          <w:i/>
          <w:iCs/>
          <w:sz w:val="24"/>
          <w:szCs w:val="24"/>
        </w:rPr>
        <w:t>Accounting for Non-Accounting Students</w:t>
      </w:r>
      <w:r w:rsidRPr="0078026A">
        <w:rPr>
          <w:rFonts w:ascii="Arial" w:hAnsi="Arial" w:cs="Arial"/>
          <w:sz w:val="24"/>
          <w:szCs w:val="24"/>
        </w:rPr>
        <w:t>. 10th ed. London: Pearson.</w:t>
      </w:r>
    </w:p>
    <w:p w14:paraId="549CFB7D"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Gallagher, T.J., 2022. </w:t>
      </w:r>
      <w:r w:rsidRPr="00837F08">
        <w:rPr>
          <w:rFonts w:ascii="Arial" w:hAnsi="Arial" w:cs="Arial"/>
          <w:i/>
          <w:iCs/>
          <w:sz w:val="24"/>
          <w:szCs w:val="24"/>
        </w:rPr>
        <w:t>Financial Management: Principles and Practice</w:t>
      </w:r>
      <w:r w:rsidRPr="0078026A">
        <w:rPr>
          <w:rFonts w:ascii="Arial" w:hAnsi="Arial" w:cs="Arial"/>
          <w:sz w:val="24"/>
          <w:szCs w:val="24"/>
        </w:rPr>
        <w:t>. London: SAGE Publications.</w:t>
      </w:r>
    </w:p>
    <w:p w14:paraId="41E9BE24" w14:textId="286381E2"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Horner, D., 2020. </w:t>
      </w:r>
      <w:r w:rsidRPr="00837F08">
        <w:rPr>
          <w:rFonts w:ascii="Arial" w:hAnsi="Arial" w:cs="Arial"/>
          <w:i/>
          <w:iCs/>
          <w:sz w:val="24"/>
          <w:szCs w:val="24"/>
        </w:rPr>
        <w:t xml:space="preserve">Accounting for </w:t>
      </w:r>
      <w:r w:rsidR="00837F08" w:rsidRPr="00837F08">
        <w:rPr>
          <w:rFonts w:ascii="Arial" w:hAnsi="Arial" w:cs="Arial"/>
          <w:i/>
          <w:iCs/>
          <w:sz w:val="24"/>
          <w:szCs w:val="24"/>
        </w:rPr>
        <w:t>non-accountants</w:t>
      </w:r>
      <w:r w:rsidRPr="00837F08">
        <w:rPr>
          <w:rFonts w:ascii="Arial" w:hAnsi="Arial" w:cs="Arial"/>
          <w:i/>
          <w:iCs/>
          <w:sz w:val="24"/>
          <w:szCs w:val="24"/>
        </w:rPr>
        <w:t>.</w:t>
      </w:r>
      <w:r w:rsidRPr="0078026A">
        <w:rPr>
          <w:rFonts w:ascii="Arial" w:hAnsi="Arial" w:cs="Arial"/>
          <w:sz w:val="24"/>
          <w:szCs w:val="24"/>
        </w:rPr>
        <w:t xml:space="preserve"> 12th ed. London: Kogan Press.</w:t>
      </w:r>
    </w:p>
    <w:p w14:paraId="3C3DA11C" w14:textId="61F4738F" w:rsidR="0078026A" w:rsidRPr="0078026A" w:rsidRDefault="0078026A" w:rsidP="00837F08">
      <w:pPr>
        <w:spacing w:line="480" w:lineRule="auto"/>
        <w:ind w:left="720" w:hanging="720"/>
        <w:rPr>
          <w:rFonts w:ascii="Arial" w:hAnsi="Arial" w:cs="Arial"/>
          <w:sz w:val="24"/>
          <w:szCs w:val="24"/>
        </w:rPr>
      </w:pPr>
      <w:proofErr w:type="spellStart"/>
      <w:r w:rsidRPr="0078026A">
        <w:rPr>
          <w:rFonts w:ascii="Arial" w:hAnsi="Arial" w:cs="Arial"/>
          <w:sz w:val="24"/>
          <w:szCs w:val="24"/>
        </w:rPr>
        <w:t>Imansyah</w:t>
      </w:r>
      <w:proofErr w:type="spellEnd"/>
      <w:r w:rsidRPr="0078026A">
        <w:rPr>
          <w:rFonts w:ascii="Arial" w:hAnsi="Arial" w:cs="Arial"/>
          <w:sz w:val="24"/>
          <w:szCs w:val="24"/>
        </w:rPr>
        <w:t xml:space="preserve">, S. and Mustafa, M.H., 2021. The analysis of financial ratios on the stock price of consumer goods sector companies listed in </w:t>
      </w:r>
      <w:r w:rsidR="00837F08">
        <w:rPr>
          <w:rFonts w:ascii="Arial" w:hAnsi="Arial" w:cs="Arial"/>
          <w:sz w:val="24"/>
          <w:szCs w:val="24"/>
        </w:rPr>
        <w:t xml:space="preserve">the </w:t>
      </w:r>
      <w:r w:rsidRPr="0078026A">
        <w:rPr>
          <w:rFonts w:ascii="Arial" w:hAnsi="Arial" w:cs="Arial"/>
          <w:sz w:val="24"/>
          <w:szCs w:val="24"/>
        </w:rPr>
        <w:t xml:space="preserve">Kompas100 index. </w:t>
      </w:r>
      <w:r w:rsidRPr="00837F08">
        <w:rPr>
          <w:rFonts w:ascii="Arial" w:hAnsi="Arial" w:cs="Arial"/>
          <w:i/>
          <w:iCs/>
          <w:sz w:val="24"/>
          <w:szCs w:val="24"/>
        </w:rPr>
        <w:t>Dinasti International Journal of Digital Business Management</w:t>
      </w:r>
      <w:r w:rsidRPr="0078026A">
        <w:rPr>
          <w:rFonts w:ascii="Arial" w:hAnsi="Arial" w:cs="Arial"/>
          <w:sz w:val="24"/>
          <w:szCs w:val="24"/>
        </w:rPr>
        <w:t>, 2(2), pp.371-384.</w:t>
      </w:r>
    </w:p>
    <w:p w14:paraId="63E966E5" w14:textId="77777777" w:rsidR="00837F08" w:rsidRDefault="0078026A" w:rsidP="00837F08">
      <w:pPr>
        <w:spacing w:line="480" w:lineRule="auto"/>
        <w:ind w:left="720" w:hanging="720"/>
        <w:rPr>
          <w:rFonts w:ascii="Arial" w:hAnsi="Arial" w:cs="Arial"/>
          <w:sz w:val="24"/>
          <w:szCs w:val="24"/>
        </w:rPr>
      </w:pPr>
      <w:proofErr w:type="spellStart"/>
      <w:r w:rsidRPr="0078026A">
        <w:rPr>
          <w:rFonts w:ascii="Arial" w:hAnsi="Arial" w:cs="Arial"/>
          <w:sz w:val="24"/>
          <w:szCs w:val="24"/>
        </w:rPr>
        <w:t>Jaijairam</w:t>
      </w:r>
      <w:proofErr w:type="spellEnd"/>
      <w:r w:rsidRPr="0078026A">
        <w:rPr>
          <w:rFonts w:ascii="Arial" w:hAnsi="Arial" w:cs="Arial"/>
          <w:sz w:val="24"/>
          <w:szCs w:val="24"/>
        </w:rPr>
        <w:t xml:space="preserve">, P., 2013. Fair value accounting vs. historical cost accounting. </w:t>
      </w:r>
      <w:r w:rsidRPr="00837F08">
        <w:rPr>
          <w:rFonts w:ascii="Arial" w:hAnsi="Arial" w:cs="Arial"/>
          <w:i/>
          <w:iCs/>
          <w:sz w:val="24"/>
          <w:szCs w:val="24"/>
        </w:rPr>
        <w:t xml:space="preserve">The Review of Business Information Systems </w:t>
      </w:r>
      <w:r w:rsidRPr="0078026A">
        <w:rPr>
          <w:rFonts w:ascii="Arial" w:hAnsi="Arial" w:cs="Arial"/>
          <w:sz w:val="24"/>
          <w:szCs w:val="24"/>
        </w:rPr>
        <w:t>(Online), 17(1), p.1.</w:t>
      </w:r>
    </w:p>
    <w:p w14:paraId="68AACA5A" w14:textId="0C1D4985"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lastRenderedPageBreak/>
        <w:t xml:space="preserve">Jariah, A. and </w:t>
      </w:r>
      <w:proofErr w:type="spellStart"/>
      <w:r w:rsidRPr="0078026A">
        <w:rPr>
          <w:rFonts w:ascii="Arial" w:hAnsi="Arial" w:cs="Arial"/>
          <w:sz w:val="24"/>
          <w:szCs w:val="24"/>
        </w:rPr>
        <w:t>Lukiana</w:t>
      </w:r>
      <w:proofErr w:type="spellEnd"/>
      <w:r w:rsidRPr="0078026A">
        <w:rPr>
          <w:rFonts w:ascii="Arial" w:hAnsi="Arial" w:cs="Arial"/>
          <w:sz w:val="24"/>
          <w:szCs w:val="24"/>
        </w:rPr>
        <w:t>, N., 2023. Management of financial performance based on capital structure, liquidity ratio, coverage</w:t>
      </w:r>
      <w:r w:rsidR="00837F08">
        <w:rPr>
          <w:rFonts w:ascii="Arial" w:hAnsi="Arial" w:cs="Arial"/>
          <w:sz w:val="24"/>
          <w:szCs w:val="24"/>
        </w:rPr>
        <w:t>,</w:t>
      </w:r>
      <w:r w:rsidRPr="0078026A">
        <w:rPr>
          <w:rFonts w:ascii="Arial" w:hAnsi="Arial" w:cs="Arial"/>
          <w:sz w:val="24"/>
          <w:szCs w:val="24"/>
        </w:rPr>
        <w:t xml:space="preserve"> and activity. Assets: </w:t>
      </w:r>
      <w:proofErr w:type="spellStart"/>
      <w:r w:rsidRPr="00837F08">
        <w:rPr>
          <w:rFonts w:ascii="Arial" w:hAnsi="Arial" w:cs="Arial"/>
          <w:i/>
          <w:iCs/>
          <w:sz w:val="24"/>
          <w:szCs w:val="24"/>
        </w:rPr>
        <w:t>Jurnal</w:t>
      </w:r>
      <w:proofErr w:type="spellEnd"/>
      <w:r w:rsidRPr="00837F08">
        <w:rPr>
          <w:rFonts w:ascii="Arial" w:hAnsi="Arial" w:cs="Arial"/>
          <w:i/>
          <w:iCs/>
          <w:sz w:val="24"/>
          <w:szCs w:val="24"/>
        </w:rPr>
        <w:t xml:space="preserve"> </w:t>
      </w:r>
      <w:proofErr w:type="spellStart"/>
      <w:r w:rsidRPr="00837F08">
        <w:rPr>
          <w:rFonts w:ascii="Arial" w:hAnsi="Arial" w:cs="Arial"/>
          <w:i/>
          <w:iCs/>
          <w:sz w:val="24"/>
          <w:szCs w:val="24"/>
        </w:rPr>
        <w:t>Ilmiah</w:t>
      </w:r>
      <w:proofErr w:type="spellEnd"/>
      <w:r w:rsidRPr="00837F08">
        <w:rPr>
          <w:rFonts w:ascii="Arial" w:hAnsi="Arial" w:cs="Arial"/>
          <w:i/>
          <w:iCs/>
          <w:sz w:val="24"/>
          <w:szCs w:val="24"/>
        </w:rPr>
        <w:t xml:space="preserve"> </w:t>
      </w:r>
      <w:proofErr w:type="spellStart"/>
      <w:r w:rsidRPr="00837F08">
        <w:rPr>
          <w:rFonts w:ascii="Arial" w:hAnsi="Arial" w:cs="Arial"/>
          <w:i/>
          <w:iCs/>
          <w:sz w:val="24"/>
          <w:szCs w:val="24"/>
        </w:rPr>
        <w:t>Ilmu</w:t>
      </w:r>
      <w:proofErr w:type="spellEnd"/>
      <w:r w:rsidRPr="00837F08">
        <w:rPr>
          <w:rFonts w:ascii="Arial" w:hAnsi="Arial" w:cs="Arial"/>
          <w:i/>
          <w:iCs/>
          <w:sz w:val="24"/>
          <w:szCs w:val="24"/>
        </w:rPr>
        <w:t xml:space="preserve"> Akuntansi, </w:t>
      </w:r>
      <w:proofErr w:type="spellStart"/>
      <w:r w:rsidRPr="00837F08">
        <w:rPr>
          <w:rFonts w:ascii="Arial" w:hAnsi="Arial" w:cs="Arial"/>
          <w:i/>
          <w:iCs/>
          <w:sz w:val="24"/>
          <w:szCs w:val="24"/>
        </w:rPr>
        <w:t>Keuangan</w:t>
      </w:r>
      <w:proofErr w:type="spellEnd"/>
      <w:r w:rsidRPr="00837F08">
        <w:rPr>
          <w:rFonts w:ascii="Arial" w:hAnsi="Arial" w:cs="Arial"/>
          <w:i/>
          <w:iCs/>
          <w:sz w:val="24"/>
          <w:szCs w:val="24"/>
        </w:rPr>
        <w:t xml:space="preserve"> Dan Pajak</w:t>
      </w:r>
      <w:r w:rsidRPr="0078026A">
        <w:rPr>
          <w:rFonts w:ascii="Arial" w:hAnsi="Arial" w:cs="Arial"/>
          <w:sz w:val="24"/>
          <w:szCs w:val="24"/>
        </w:rPr>
        <w:t>, 7(2), pp.1-7.</w:t>
      </w:r>
    </w:p>
    <w:p w14:paraId="5BE44112"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Jihadi, M., Vilantika, E., Hashemi, S.M., Arifin, Z., Bachtiar, Y. and </w:t>
      </w:r>
      <w:proofErr w:type="spellStart"/>
      <w:r w:rsidRPr="0078026A">
        <w:rPr>
          <w:rFonts w:ascii="Arial" w:hAnsi="Arial" w:cs="Arial"/>
          <w:sz w:val="24"/>
          <w:szCs w:val="24"/>
        </w:rPr>
        <w:t>Sholichah</w:t>
      </w:r>
      <w:proofErr w:type="spellEnd"/>
      <w:r w:rsidRPr="0078026A">
        <w:rPr>
          <w:rFonts w:ascii="Arial" w:hAnsi="Arial" w:cs="Arial"/>
          <w:sz w:val="24"/>
          <w:szCs w:val="24"/>
        </w:rPr>
        <w:t xml:space="preserve">, F., 2021. The effect of liquidity, leverage, and profitability on firm value: Empirical evidence from Indonesia. </w:t>
      </w:r>
      <w:r w:rsidRPr="00837F08">
        <w:rPr>
          <w:rFonts w:ascii="Arial" w:hAnsi="Arial" w:cs="Arial"/>
          <w:i/>
          <w:iCs/>
          <w:sz w:val="24"/>
          <w:szCs w:val="24"/>
        </w:rPr>
        <w:t>The Journal of Asian Finance, Economics and Business,</w:t>
      </w:r>
      <w:r w:rsidRPr="0078026A">
        <w:rPr>
          <w:rFonts w:ascii="Arial" w:hAnsi="Arial" w:cs="Arial"/>
          <w:sz w:val="24"/>
          <w:szCs w:val="24"/>
        </w:rPr>
        <w:t xml:space="preserve"> 8(3), pp.423-431.</w:t>
      </w:r>
    </w:p>
    <w:p w14:paraId="6C690A1C"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Khan, A., 2024. Understanding the budget process.</w:t>
      </w:r>
      <w:r w:rsidRPr="00837F08">
        <w:rPr>
          <w:rFonts w:ascii="Arial" w:hAnsi="Arial" w:cs="Arial"/>
          <w:i/>
          <w:iCs/>
          <w:sz w:val="24"/>
          <w:szCs w:val="24"/>
        </w:rPr>
        <w:t xml:space="preserve"> In: Fundamentals of Public Budgeting and Finance</w:t>
      </w:r>
      <w:r w:rsidRPr="0078026A">
        <w:rPr>
          <w:rFonts w:ascii="Arial" w:hAnsi="Arial" w:cs="Arial"/>
          <w:sz w:val="24"/>
          <w:szCs w:val="24"/>
        </w:rPr>
        <w:t>. Cham: Springer International Publishing, pp.167-200.</w:t>
      </w:r>
    </w:p>
    <w:p w14:paraId="1A9C26EC"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Kinney, M.R. and </w:t>
      </w:r>
      <w:proofErr w:type="spellStart"/>
      <w:r w:rsidRPr="0078026A">
        <w:rPr>
          <w:rFonts w:ascii="Arial" w:hAnsi="Arial" w:cs="Arial"/>
          <w:sz w:val="24"/>
          <w:szCs w:val="24"/>
        </w:rPr>
        <w:t>Raiborn</w:t>
      </w:r>
      <w:proofErr w:type="spellEnd"/>
      <w:r w:rsidRPr="0078026A">
        <w:rPr>
          <w:rFonts w:ascii="Arial" w:hAnsi="Arial" w:cs="Arial"/>
          <w:sz w:val="24"/>
          <w:szCs w:val="24"/>
        </w:rPr>
        <w:t xml:space="preserve">, C.A., 2011. </w:t>
      </w:r>
      <w:r w:rsidRPr="00837F08">
        <w:rPr>
          <w:rFonts w:ascii="Arial" w:hAnsi="Arial" w:cs="Arial"/>
          <w:i/>
          <w:iCs/>
          <w:sz w:val="24"/>
          <w:szCs w:val="24"/>
        </w:rPr>
        <w:t xml:space="preserve">Cost Accounting. </w:t>
      </w:r>
      <w:r w:rsidRPr="0078026A">
        <w:rPr>
          <w:rFonts w:ascii="Arial" w:hAnsi="Arial" w:cs="Arial"/>
          <w:sz w:val="24"/>
          <w:szCs w:val="24"/>
        </w:rPr>
        <w:t>Mason, OH: South-Western.</w:t>
      </w:r>
    </w:p>
    <w:p w14:paraId="2853A2C7" w14:textId="77777777" w:rsidR="0078026A" w:rsidRPr="0078026A" w:rsidRDefault="0078026A" w:rsidP="00837F08">
      <w:pPr>
        <w:spacing w:line="480" w:lineRule="auto"/>
        <w:ind w:left="720" w:hanging="720"/>
        <w:rPr>
          <w:rFonts w:ascii="Arial" w:hAnsi="Arial" w:cs="Arial"/>
          <w:sz w:val="24"/>
          <w:szCs w:val="24"/>
        </w:rPr>
      </w:pPr>
      <w:proofErr w:type="spellStart"/>
      <w:r w:rsidRPr="0078026A">
        <w:rPr>
          <w:rFonts w:ascii="Arial" w:hAnsi="Arial" w:cs="Arial"/>
          <w:sz w:val="24"/>
          <w:szCs w:val="24"/>
        </w:rPr>
        <w:t>Kolitz</w:t>
      </w:r>
      <w:proofErr w:type="spellEnd"/>
      <w:r w:rsidRPr="0078026A">
        <w:rPr>
          <w:rFonts w:ascii="Arial" w:hAnsi="Arial" w:cs="Arial"/>
          <w:sz w:val="24"/>
          <w:szCs w:val="24"/>
        </w:rPr>
        <w:t xml:space="preserve">, D., 2017. </w:t>
      </w:r>
      <w:r w:rsidRPr="00837F08">
        <w:rPr>
          <w:rFonts w:ascii="Arial" w:hAnsi="Arial" w:cs="Arial"/>
          <w:i/>
          <w:iCs/>
          <w:sz w:val="24"/>
          <w:szCs w:val="24"/>
        </w:rPr>
        <w:t>Financial Accounting: A Concepts-Based Introduction</w:t>
      </w:r>
      <w:r w:rsidRPr="0078026A">
        <w:rPr>
          <w:rFonts w:ascii="Arial" w:hAnsi="Arial" w:cs="Arial"/>
          <w:sz w:val="24"/>
          <w:szCs w:val="24"/>
        </w:rPr>
        <w:t>. Oxon: Routledge.</w:t>
      </w:r>
    </w:p>
    <w:p w14:paraId="128A389E" w14:textId="56C0B0A3"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Kurtz, D.L., Khan, M.H., Boone, L.E., </w:t>
      </w:r>
      <w:proofErr w:type="spellStart"/>
      <w:r w:rsidRPr="0078026A">
        <w:rPr>
          <w:rFonts w:ascii="Arial" w:hAnsi="Arial" w:cs="Arial"/>
          <w:sz w:val="24"/>
          <w:szCs w:val="24"/>
        </w:rPr>
        <w:t>Canzer</w:t>
      </w:r>
      <w:proofErr w:type="spellEnd"/>
      <w:r w:rsidRPr="0078026A">
        <w:rPr>
          <w:rFonts w:ascii="Arial" w:hAnsi="Arial" w:cs="Arial"/>
          <w:sz w:val="24"/>
          <w:szCs w:val="24"/>
        </w:rPr>
        <w:t>, B., Harms, R.</w:t>
      </w:r>
      <w:r w:rsidR="00837F08">
        <w:rPr>
          <w:rFonts w:ascii="Arial" w:hAnsi="Arial" w:cs="Arial"/>
          <w:sz w:val="24"/>
          <w:szCs w:val="24"/>
        </w:rPr>
        <w:t>,</w:t>
      </w:r>
      <w:r w:rsidRPr="0078026A">
        <w:rPr>
          <w:rFonts w:ascii="Arial" w:hAnsi="Arial" w:cs="Arial"/>
          <w:sz w:val="24"/>
          <w:szCs w:val="24"/>
        </w:rPr>
        <w:t xml:space="preserve"> and Moreira, P.M., 2023. </w:t>
      </w:r>
      <w:r w:rsidRPr="00837F08">
        <w:rPr>
          <w:rFonts w:ascii="Arial" w:hAnsi="Arial" w:cs="Arial"/>
          <w:i/>
          <w:iCs/>
          <w:sz w:val="24"/>
          <w:szCs w:val="24"/>
        </w:rPr>
        <w:t>Contemporary Business.</w:t>
      </w:r>
      <w:r w:rsidRPr="0078026A">
        <w:rPr>
          <w:rFonts w:ascii="Arial" w:hAnsi="Arial" w:cs="Arial"/>
          <w:sz w:val="24"/>
          <w:szCs w:val="24"/>
        </w:rPr>
        <w:t xml:space="preserve"> Hoboken: John Wiley &amp; Sons.</w:t>
      </w:r>
    </w:p>
    <w:p w14:paraId="3FD9772B"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LAPIQUE, I.A., 2024. </w:t>
      </w:r>
      <w:r w:rsidRPr="00837F08">
        <w:rPr>
          <w:rFonts w:ascii="Arial" w:hAnsi="Arial" w:cs="Arial"/>
          <w:i/>
          <w:iCs/>
          <w:sz w:val="24"/>
          <w:szCs w:val="24"/>
        </w:rPr>
        <w:t>Cost Accounting</w:t>
      </w:r>
      <w:r w:rsidRPr="0078026A">
        <w:rPr>
          <w:rFonts w:ascii="Arial" w:hAnsi="Arial" w:cs="Arial"/>
          <w:sz w:val="24"/>
          <w:szCs w:val="24"/>
        </w:rPr>
        <w:t>.</w:t>
      </w:r>
    </w:p>
    <w:p w14:paraId="44833E0F"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Lubis, S.S., 2023. Identify financial ratios to measure the company's financial performance. </w:t>
      </w:r>
      <w:r w:rsidRPr="00837F08">
        <w:rPr>
          <w:rFonts w:ascii="Arial" w:hAnsi="Arial" w:cs="Arial"/>
          <w:i/>
          <w:iCs/>
          <w:sz w:val="24"/>
          <w:szCs w:val="24"/>
        </w:rPr>
        <w:t>Journal of Economics Business Industry</w:t>
      </w:r>
      <w:r w:rsidRPr="0078026A">
        <w:rPr>
          <w:rFonts w:ascii="Arial" w:hAnsi="Arial" w:cs="Arial"/>
          <w:sz w:val="24"/>
          <w:szCs w:val="24"/>
        </w:rPr>
        <w:t>, 1(1), pp.1-9.</w:t>
      </w:r>
    </w:p>
    <w:p w14:paraId="1E697393"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Maheshwari, S.N., 2019. </w:t>
      </w:r>
      <w:r w:rsidRPr="00837F08">
        <w:rPr>
          <w:rFonts w:ascii="Arial" w:hAnsi="Arial" w:cs="Arial"/>
          <w:i/>
          <w:iCs/>
          <w:sz w:val="24"/>
          <w:szCs w:val="24"/>
        </w:rPr>
        <w:t>Financial Management: Principles &amp; Practice</w:t>
      </w:r>
      <w:r w:rsidRPr="0078026A">
        <w:rPr>
          <w:rFonts w:ascii="Arial" w:hAnsi="Arial" w:cs="Arial"/>
          <w:sz w:val="24"/>
          <w:szCs w:val="24"/>
        </w:rPr>
        <w:t>. New Delhi: Sultan Chand &amp; Sons.</w:t>
      </w:r>
    </w:p>
    <w:p w14:paraId="6E2A0630" w14:textId="77777777" w:rsidR="00837F08"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Marr, B., 2013. </w:t>
      </w:r>
      <w:r w:rsidRPr="00837F08">
        <w:rPr>
          <w:rFonts w:ascii="Arial" w:hAnsi="Arial" w:cs="Arial"/>
          <w:i/>
          <w:iCs/>
          <w:sz w:val="24"/>
          <w:szCs w:val="24"/>
        </w:rPr>
        <w:t>Key Performance Indicators (KPI).</w:t>
      </w:r>
      <w:r w:rsidRPr="0078026A">
        <w:rPr>
          <w:rFonts w:ascii="Arial" w:hAnsi="Arial" w:cs="Arial"/>
          <w:sz w:val="24"/>
          <w:szCs w:val="24"/>
        </w:rPr>
        <w:t xml:space="preserve"> Harlow: Pearson.</w:t>
      </w:r>
    </w:p>
    <w:p w14:paraId="7BA1904F" w14:textId="623A35AD"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Okeke, N.I., Bakare, O.A. and </w:t>
      </w:r>
      <w:proofErr w:type="spellStart"/>
      <w:r w:rsidRPr="0078026A">
        <w:rPr>
          <w:rFonts w:ascii="Arial" w:hAnsi="Arial" w:cs="Arial"/>
          <w:sz w:val="24"/>
          <w:szCs w:val="24"/>
        </w:rPr>
        <w:t>Achumie</w:t>
      </w:r>
      <w:proofErr w:type="spellEnd"/>
      <w:r w:rsidRPr="0078026A">
        <w:rPr>
          <w:rFonts w:ascii="Arial" w:hAnsi="Arial" w:cs="Arial"/>
          <w:sz w:val="24"/>
          <w:szCs w:val="24"/>
        </w:rPr>
        <w:t xml:space="preserve">, G.O., 2024. Forecasting financial stability in SMEs: A comprehensive analysis of strategic budgeting and revenue </w:t>
      </w:r>
      <w:r w:rsidRPr="0078026A">
        <w:rPr>
          <w:rFonts w:ascii="Arial" w:hAnsi="Arial" w:cs="Arial"/>
          <w:sz w:val="24"/>
          <w:szCs w:val="24"/>
        </w:rPr>
        <w:lastRenderedPageBreak/>
        <w:t xml:space="preserve">management. </w:t>
      </w:r>
      <w:r w:rsidRPr="00837F08">
        <w:rPr>
          <w:rFonts w:ascii="Arial" w:hAnsi="Arial" w:cs="Arial"/>
          <w:i/>
          <w:iCs/>
          <w:sz w:val="24"/>
          <w:szCs w:val="24"/>
        </w:rPr>
        <w:t>Open Access Research Journal of Multidisciplinary Studies</w:t>
      </w:r>
      <w:r w:rsidRPr="0078026A">
        <w:rPr>
          <w:rFonts w:ascii="Arial" w:hAnsi="Arial" w:cs="Arial"/>
          <w:sz w:val="24"/>
          <w:szCs w:val="24"/>
        </w:rPr>
        <w:t>, 8(1), pp.139-149.</w:t>
      </w:r>
    </w:p>
    <w:p w14:paraId="6D093351" w14:textId="5D3C3F32"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Parrino, R., Bates, T.W., Gillan, S.L.</w:t>
      </w:r>
      <w:r w:rsidR="00837F08">
        <w:rPr>
          <w:rFonts w:ascii="Arial" w:hAnsi="Arial" w:cs="Arial"/>
          <w:sz w:val="24"/>
          <w:szCs w:val="24"/>
        </w:rPr>
        <w:t>,</w:t>
      </w:r>
      <w:r w:rsidRPr="0078026A">
        <w:rPr>
          <w:rFonts w:ascii="Arial" w:hAnsi="Arial" w:cs="Arial"/>
          <w:sz w:val="24"/>
          <w:szCs w:val="24"/>
        </w:rPr>
        <w:t xml:space="preserve"> and Kidwell, D.S., 2025. </w:t>
      </w:r>
      <w:r w:rsidRPr="00837F08">
        <w:rPr>
          <w:rFonts w:ascii="Arial" w:hAnsi="Arial" w:cs="Arial"/>
          <w:i/>
          <w:iCs/>
          <w:sz w:val="24"/>
          <w:szCs w:val="24"/>
        </w:rPr>
        <w:t>Fundamentals of Corporate Finance</w:t>
      </w:r>
      <w:r w:rsidRPr="0078026A">
        <w:rPr>
          <w:rFonts w:ascii="Arial" w:hAnsi="Arial" w:cs="Arial"/>
          <w:sz w:val="24"/>
          <w:szCs w:val="24"/>
        </w:rPr>
        <w:t>. Hoboken: John Wiley &amp; Sons.</w:t>
      </w:r>
    </w:p>
    <w:p w14:paraId="1FE8FE9D"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Pratt, J., 2010. </w:t>
      </w:r>
      <w:r w:rsidRPr="00837F08">
        <w:rPr>
          <w:rFonts w:ascii="Arial" w:hAnsi="Arial" w:cs="Arial"/>
          <w:i/>
          <w:iCs/>
          <w:sz w:val="24"/>
          <w:szCs w:val="24"/>
        </w:rPr>
        <w:t>Financial Accounting in an Economic Context</w:t>
      </w:r>
      <w:r w:rsidRPr="0078026A">
        <w:rPr>
          <w:rFonts w:ascii="Arial" w:hAnsi="Arial" w:cs="Arial"/>
          <w:sz w:val="24"/>
          <w:szCs w:val="24"/>
        </w:rPr>
        <w:t>. Hoboken: John Wiley &amp; Sons.</w:t>
      </w:r>
    </w:p>
    <w:p w14:paraId="6C5AC7C0"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Sari, R.N., </w:t>
      </w:r>
      <w:proofErr w:type="spellStart"/>
      <w:r w:rsidRPr="0078026A">
        <w:rPr>
          <w:rFonts w:ascii="Arial" w:hAnsi="Arial" w:cs="Arial"/>
          <w:sz w:val="24"/>
          <w:szCs w:val="24"/>
        </w:rPr>
        <w:t>Pratadina</w:t>
      </w:r>
      <w:proofErr w:type="spellEnd"/>
      <w:r w:rsidRPr="0078026A">
        <w:rPr>
          <w:rFonts w:ascii="Arial" w:hAnsi="Arial" w:cs="Arial"/>
          <w:sz w:val="24"/>
          <w:szCs w:val="24"/>
        </w:rPr>
        <w:t xml:space="preserve">, A., </w:t>
      </w:r>
      <w:proofErr w:type="spellStart"/>
      <w:r w:rsidRPr="0078026A">
        <w:rPr>
          <w:rFonts w:ascii="Arial" w:hAnsi="Arial" w:cs="Arial"/>
          <w:sz w:val="24"/>
          <w:szCs w:val="24"/>
        </w:rPr>
        <w:t>Anugerah</w:t>
      </w:r>
      <w:proofErr w:type="spellEnd"/>
      <w:r w:rsidRPr="0078026A">
        <w:rPr>
          <w:rFonts w:ascii="Arial" w:hAnsi="Arial" w:cs="Arial"/>
          <w:sz w:val="24"/>
          <w:szCs w:val="24"/>
        </w:rPr>
        <w:t xml:space="preserve">, R., </w:t>
      </w:r>
      <w:proofErr w:type="spellStart"/>
      <w:r w:rsidRPr="0078026A">
        <w:rPr>
          <w:rFonts w:ascii="Arial" w:hAnsi="Arial" w:cs="Arial"/>
          <w:sz w:val="24"/>
          <w:szCs w:val="24"/>
        </w:rPr>
        <w:t>Kamaliah</w:t>
      </w:r>
      <w:proofErr w:type="spellEnd"/>
      <w:r w:rsidRPr="0078026A">
        <w:rPr>
          <w:rFonts w:ascii="Arial" w:hAnsi="Arial" w:cs="Arial"/>
          <w:sz w:val="24"/>
          <w:szCs w:val="24"/>
        </w:rPr>
        <w:t xml:space="preserve">, K. and Sanusi, Z.M., 2021. Effect of environmental management accounting practices on organizational performance: role of process innovation as a mediating variable. </w:t>
      </w:r>
      <w:r w:rsidRPr="00837F08">
        <w:rPr>
          <w:rFonts w:ascii="Arial" w:hAnsi="Arial" w:cs="Arial"/>
          <w:i/>
          <w:iCs/>
          <w:sz w:val="24"/>
          <w:szCs w:val="24"/>
        </w:rPr>
        <w:t>Business Process Management Journal,</w:t>
      </w:r>
      <w:r w:rsidRPr="0078026A">
        <w:rPr>
          <w:rFonts w:ascii="Arial" w:hAnsi="Arial" w:cs="Arial"/>
          <w:sz w:val="24"/>
          <w:szCs w:val="24"/>
        </w:rPr>
        <w:t xml:space="preserve"> 27(4), pp.1296-1314.</w:t>
      </w:r>
    </w:p>
    <w:p w14:paraId="3A82F85B" w14:textId="6F684C93" w:rsidR="0078026A" w:rsidRPr="0078026A" w:rsidRDefault="0078026A" w:rsidP="00837F08">
      <w:pPr>
        <w:spacing w:line="480" w:lineRule="auto"/>
        <w:ind w:left="720" w:hanging="720"/>
        <w:rPr>
          <w:rFonts w:ascii="Arial" w:hAnsi="Arial" w:cs="Arial"/>
          <w:sz w:val="24"/>
          <w:szCs w:val="24"/>
        </w:rPr>
      </w:pPr>
      <w:proofErr w:type="spellStart"/>
      <w:r w:rsidRPr="0078026A">
        <w:rPr>
          <w:rFonts w:ascii="Arial" w:hAnsi="Arial" w:cs="Arial"/>
          <w:sz w:val="24"/>
          <w:szCs w:val="24"/>
        </w:rPr>
        <w:t>Schaltegger</w:t>
      </w:r>
      <w:proofErr w:type="spellEnd"/>
      <w:r w:rsidRPr="0078026A">
        <w:rPr>
          <w:rFonts w:ascii="Arial" w:hAnsi="Arial" w:cs="Arial"/>
          <w:sz w:val="24"/>
          <w:szCs w:val="24"/>
        </w:rPr>
        <w:t xml:space="preserve">, S., Christ, K.L., </w:t>
      </w:r>
      <w:proofErr w:type="spellStart"/>
      <w:r w:rsidRPr="0078026A">
        <w:rPr>
          <w:rFonts w:ascii="Arial" w:hAnsi="Arial" w:cs="Arial"/>
          <w:sz w:val="24"/>
          <w:szCs w:val="24"/>
        </w:rPr>
        <w:t>Wenzig</w:t>
      </w:r>
      <w:proofErr w:type="spellEnd"/>
      <w:r w:rsidRPr="0078026A">
        <w:rPr>
          <w:rFonts w:ascii="Arial" w:hAnsi="Arial" w:cs="Arial"/>
          <w:sz w:val="24"/>
          <w:szCs w:val="24"/>
        </w:rPr>
        <w:t>, J. and Burritt, R.L., 2022. Corporate sustainability management</w:t>
      </w:r>
      <w:r w:rsidR="00837F08">
        <w:rPr>
          <w:rFonts w:ascii="Arial" w:hAnsi="Arial" w:cs="Arial"/>
          <w:sz w:val="24"/>
          <w:szCs w:val="24"/>
        </w:rPr>
        <w:t>,</w:t>
      </w:r>
      <w:r w:rsidRPr="0078026A">
        <w:rPr>
          <w:rFonts w:ascii="Arial" w:hAnsi="Arial" w:cs="Arial"/>
          <w:sz w:val="24"/>
          <w:szCs w:val="24"/>
        </w:rPr>
        <w:t xml:space="preserve"> accounting</w:t>
      </w:r>
      <w:r w:rsidR="00837F08">
        <w:rPr>
          <w:rFonts w:ascii="Arial" w:hAnsi="Arial" w:cs="Arial"/>
          <w:sz w:val="24"/>
          <w:szCs w:val="24"/>
        </w:rPr>
        <w:t>,</w:t>
      </w:r>
      <w:r w:rsidRPr="0078026A">
        <w:rPr>
          <w:rFonts w:ascii="Arial" w:hAnsi="Arial" w:cs="Arial"/>
          <w:sz w:val="24"/>
          <w:szCs w:val="24"/>
        </w:rPr>
        <w:t xml:space="preserve"> and multi</w:t>
      </w:r>
      <w:r w:rsidRPr="0078026A">
        <w:rPr>
          <w:rFonts w:ascii="Cambria Math" w:hAnsi="Cambria Math" w:cs="Cambria Math"/>
          <w:sz w:val="24"/>
          <w:szCs w:val="24"/>
        </w:rPr>
        <w:t>‐</w:t>
      </w:r>
      <w:r w:rsidRPr="0078026A">
        <w:rPr>
          <w:rFonts w:ascii="Arial" w:hAnsi="Arial" w:cs="Arial"/>
          <w:sz w:val="24"/>
          <w:szCs w:val="24"/>
        </w:rPr>
        <w:t xml:space="preserve">level links for sustainability–a systematic review. </w:t>
      </w:r>
      <w:r w:rsidRPr="00837F08">
        <w:rPr>
          <w:rFonts w:ascii="Arial" w:hAnsi="Arial" w:cs="Arial"/>
          <w:i/>
          <w:iCs/>
          <w:sz w:val="24"/>
          <w:szCs w:val="24"/>
        </w:rPr>
        <w:t>International Journal of Management Reviews</w:t>
      </w:r>
      <w:r w:rsidRPr="0078026A">
        <w:rPr>
          <w:rFonts w:ascii="Arial" w:hAnsi="Arial" w:cs="Arial"/>
          <w:sz w:val="24"/>
          <w:szCs w:val="24"/>
        </w:rPr>
        <w:t>, 24(4), pp.480-500.</w:t>
      </w:r>
    </w:p>
    <w:p w14:paraId="0B26189C" w14:textId="5FA72E66"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Schroeder, R.G., Clark, M.W.</w:t>
      </w:r>
      <w:r w:rsidR="00837F08">
        <w:rPr>
          <w:rFonts w:ascii="Arial" w:hAnsi="Arial" w:cs="Arial"/>
          <w:sz w:val="24"/>
          <w:szCs w:val="24"/>
        </w:rPr>
        <w:t>,</w:t>
      </w:r>
      <w:r w:rsidRPr="0078026A">
        <w:rPr>
          <w:rFonts w:ascii="Arial" w:hAnsi="Arial" w:cs="Arial"/>
          <w:sz w:val="24"/>
          <w:szCs w:val="24"/>
        </w:rPr>
        <w:t xml:space="preserve"> and Cathey, J.M., 2022. </w:t>
      </w:r>
      <w:r w:rsidRPr="00837F08">
        <w:rPr>
          <w:rFonts w:ascii="Arial" w:hAnsi="Arial" w:cs="Arial"/>
          <w:i/>
          <w:iCs/>
          <w:sz w:val="24"/>
          <w:szCs w:val="24"/>
        </w:rPr>
        <w:t>Financial Accounting Theory and Analysis: Text and Cases</w:t>
      </w:r>
      <w:r w:rsidRPr="0078026A">
        <w:rPr>
          <w:rFonts w:ascii="Arial" w:hAnsi="Arial" w:cs="Arial"/>
          <w:sz w:val="24"/>
          <w:szCs w:val="24"/>
        </w:rPr>
        <w:t>. Hoboken: John Wiley &amp; Sons.</w:t>
      </w:r>
    </w:p>
    <w:p w14:paraId="1D504240" w14:textId="6570BF6F"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Seal, W., Garrison, R.H.</w:t>
      </w:r>
      <w:r w:rsidR="00837F08">
        <w:rPr>
          <w:rFonts w:ascii="Arial" w:hAnsi="Arial" w:cs="Arial"/>
          <w:sz w:val="24"/>
          <w:szCs w:val="24"/>
        </w:rPr>
        <w:t>,</w:t>
      </w:r>
      <w:r w:rsidRPr="0078026A">
        <w:rPr>
          <w:rFonts w:ascii="Arial" w:hAnsi="Arial" w:cs="Arial"/>
          <w:sz w:val="24"/>
          <w:szCs w:val="24"/>
        </w:rPr>
        <w:t xml:space="preserve"> and Noreen, E., 2018. </w:t>
      </w:r>
      <w:r w:rsidRPr="00837F08">
        <w:rPr>
          <w:rFonts w:ascii="Arial" w:hAnsi="Arial" w:cs="Arial"/>
          <w:i/>
          <w:iCs/>
          <w:sz w:val="24"/>
          <w:szCs w:val="24"/>
        </w:rPr>
        <w:t>Management Accounting</w:t>
      </w:r>
      <w:r w:rsidRPr="0078026A">
        <w:rPr>
          <w:rFonts w:ascii="Arial" w:hAnsi="Arial" w:cs="Arial"/>
          <w:sz w:val="24"/>
          <w:szCs w:val="24"/>
        </w:rPr>
        <w:t>. 6th ed. Maidenhead: McGraw-Hill.</w:t>
      </w:r>
    </w:p>
    <w:p w14:paraId="4811B62B"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Suver, J.D. and Cooper, J.C., 1988. Principles and methods of managerial cost-accounting systems. </w:t>
      </w:r>
      <w:r w:rsidRPr="00837F08">
        <w:rPr>
          <w:rFonts w:ascii="Arial" w:hAnsi="Arial" w:cs="Arial"/>
          <w:i/>
          <w:iCs/>
          <w:sz w:val="24"/>
          <w:szCs w:val="24"/>
        </w:rPr>
        <w:t>American Journal of Hospital Pharmacy</w:t>
      </w:r>
      <w:r w:rsidRPr="0078026A">
        <w:rPr>
          <w:rFonts w:ascii="Arial" w:hAnsi="Arial" w:cs="Arial"/>
          <w:sz w:val="24"/>
          <w:szCs w:val="24"/>
        </w:rPr>
        <w:t>, 45(1), pp.146-152.</w:t>
      </w:r>
    </w:p>
    <w:p w14:paraId="40E1ED0A"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Walsh, C., 2008. </w:t>
      </w:r>
      <w:r w:rsidRPr="00837F08">
        <w:rPr>
          <w:rFonts w:ascii="Arial" w:hAnsi="Arial" w:cs="Arial"/>
          <w:i/>
          <w:iCs/>
          <w:sz w:val="24"/>
          <w:szCs w:val="24"/>
        </w:rPr>
        <w:t>Key Management Ratios: The 100+ Ratios Every Manager Needs to Know.</w:t>
      </w:r>
      <w:r w:rsidRPr="0078026A">
        <w:rPr>
          <w:rFonts w:ascii="Arial" w:hAnsi="Arial" w:cs="Arial"/>
          <w:sz w:val="24"/>
          <w:szCs w:val="24"/>
        </w:rPr>
        <w:t xml:space="preserve"> 4th ed. Harlow: Prentice Hall.</w:t>
      </w:r>
    </w:p>
    <w:p w14:paraId="364F7ADD" w14:textId="77777777" w:rsidR="0078026A" w:rsidRPr="0078026A" w:rsidRDefault="0078026A" w:rsidP="00837F08">
      <w:pPr>
        <w:spacing w:line="480" w:lineRule="auto"/>
        <w:ind w:left="720" w:hanging="720"/>
        <w:rPr>
          <w:rFonts w:ascii="Arial" w:hAnsi="Arial" w:cs="Arial"/>
          <w:sz w:val="24"/>
          <w:szCs w:val="24"/>
        </w:rPr>
      </w:pPr>
    </w:p>
    <w:p w14:paraId="22294F26" w14:textId="77777777" w:rsidR="0078026A" w:rsidRPr="0078026A" w:rsidRDefault="0078026A" w:rsidP="00837F08">
      <w:pPr>
        <w:spacing w:line="480" w:lineRule="auto"/>
        <w:ind w:left="720" w:hanging="720"/>
        <w:rPr>
          <w:rFonts w:ascii="Arial" w:hAnsi="Arial" w:cs="Arial"/>
          <w:sz w:val="24"/>
          <w:szCs w:val="24"/>
        </w:rPr>
      </w:pPr>
      <w:r w:rsidRPr="0078026A">
        <w:rPr>
          <w:rFonts w:ascii="Arial" w:hAnsi="Arial" w:cs="Arial"/>
          <w:sz w:val="24"/>
          <w:szCs w:val="24"/>
        </w:rPr>
        <w:t xml:space="preserve">Winfield, J., Graham, M. and Miller, T., 2021. </w:t>
      </w:r>
      <w:r w:rsidRPr="00837F08">
        <w:rPr>
          <w:rFonts w:ascii="Arial" w:hAnsi="Arial" w:cs="Arial"/>
          <w:i/>
          <w:iCs/>
          <w:sz w:val="24"/>
          <w:szCs w:val="24"/>
        </w:rPr>
        <w:t>Understanding Financial Accounting: A Guide for Non-Specialists.</w:t>
      </w:r>
      <w:r w:rsidRPr="0078026A">
        <w:rPr>
          <w:rFonts w:ascii="Arial" w:hAnsi="Arial" w:cs="Arial"/>
          <w:sz w:val="24"/>
          <w:szCs w:val="24"/>
        </w:rPr>
        <w:t xml:space="preserve"> Oxford: Oxford University Press.</w:t>
      </w:r>
    </w:p>
    <w:p w14:paraId="2327D967" w14:textId="6E4716AC" w:rsidR="00741194" w:rsidRPr="00D91FCF" w:rsidRDefault="0078026A" w:rsidP="00837F08">
      <w:pPr>
        <w:spacing w:line="480" w:lineRule="auto"/>
        <w:ind w:left="720" w:hanging="720"/>
        <w:rPr>
          <w:rFonts w:ascii="Arial" w:hAnsi="Arial" w:cs="Arial"/>
          <w:sz w:val="24"/>
          <w:szCs w:val="24"/>
        </w:rPr>
      </w:pPr>
      <w:proofErr w:type="spellStart"/>
      <w:r w:rsidRPr="0078026A">
        <w:rPr>
          <w:rFonts w:ascii="Arial" w:hAnsi="Arial" w:cs="Arial"/>
          <w:sz w:val="24"/>
          <w:szCs w:val="24"/>
        </w:rPr>
        <w:t>Yahelska</w:t>
      </w:r>
      <w:proofErr w:type="spellEnd"/>
      <w:r w:rsidRPr="0078026A">
        <w:rPr>
          <w:rFonts w:ascii="Arial" w:hAnsi="Arial" w:cs="Arial"/>
          <w:sz w:val="24"/>
          <w:szCs w:val="24"/>
        </w:rPr>
        <w:t xml:space="preserve">, K., </w:t>
      </w:r>
      <w:proofErr w:type="spellStart"/>
      <w:r w:rsidRPr="0078026A">
        <w:rPr>
          <w:rFonts w:ascii="Arial" w:hAnsi="Arial" w:cs="Arial"/>
          <w:sz w:val="24"/>
          <w:szCs w:val="24"/>
        </w:rPr>
        <w:t>Tropina</w:t>
      </w:r>
      <w:proofErr w:type="spellEnd"/>
      <w:r w:rsidRPr="0078026A">
        <w:rPr>
          <w:rFonts w:ascii="Arial" w:hAnsi="Arial" w:cs="Arial"/>
          <w:sz w:val="24"/>
          <w:szCs w:val="24"/>
        </w:rPr>
        <w:t xml:space="preserve">, V., Khomutenko, A., Petlenko, Y., </w:t>
      </w:r>
      <w:proofErr w:type="spellStart"/>
      <w:r w:rsidRPr="0078026A">
        <w:rPr>
          <w:rFonts w:ascii="Arial" w:hAnsi="Arial" w:cs="Arial"/>
          <w:sz w:val="24"/>
          <w:szCs w:val="24"/>
        </w:rPr>
        <w:t>Lantukh</w:t>
      </w:r>
      <w:proofErr w:type="spellEnd"/>
      <w:r w:rsidRPr="0078026A">
        <w:rPr>
          <w:rFonts w:ascii="Arial" w:hAnsi="Arial" w:cs="Arial"/>
          <w:sz w:val="24"/>
          <w:szCs w:val="24"/>
        </w:rPr>
        <w:t xml:space="preserve">, K. and </w:t>
      </w:r>
      <w:proofErr w:type="spellStart"/>
      <w:r w:rsidRPr="0078026A">
        <w:rPr>
          <w:rFonts w:ascii="Arial" w:hAnsi="Arial" w:cs="Arial"/>
          <w:sz w:val="24"/>
          <w:szCs w:val="24"/>
        </w:rPr>
        <w:t>Kryhan</w:t>
      </w:r>
      <w:proofErr w:type="spellEnd"/>
      <w:r w:rsidRPr="0078026A">
        <w:rPr>
          <w:rFonts w:ascii="Arial" w:hAnsi="Arial" w:cs="Arial"/>
          <w:sz w:val="24"/>
          <w:szCs w:val="24"/>
        </w:rPr>
        <w:t xml:space="preserve">, Y., 2021. Comparative analysis of methods for forecasting budget indicators. </w:t>
      </w:r>
      <w:r w:rsidRPr="00837F08">
        <w:rPr>
          <w:rFonts w:ascii="Arial" w:hAnsi="Arial" w:cs="Arial"/>
          <w:i/>
          <w:iCs/>
          <w:sz w:val="24"/>
          <w:szCs w:val="24"/>
        </w:rPr>
        <w:t>Studies of Applied Economics,</w:t>
      </w:r>
      <w:r w:rsidRPr="0078026A">
        <w:rPr>
          <w:rFonts w:ascii="Arial" w:hAnsi="Arial" w:cs="Arial"/>
          <w:sz w:val="24"/>
          <w:szCs w:val="24"/>
        </w:rPr>
        <w:t xml:space="preserve"> 39(3).</w:t>
      </w:r>
    </w:p>
    <w:sectPr w:rsidR="00741194" w:rsidRPr="00D91FCF" w:rsidSect="002B3E03">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99F44" w14:textId="77777777" w:rsidR="00BC3216" w:rsidRDefault="00BC3216" w:rsidP="00CA06CB">
      <w:pPr>
        <w:spacing w:after="0" w:line="240" w:lineRule="auto"/>
      </w:pPr>
      <w:r>
        <w:separator/>
      </w:r>
    </w:p>
  </w:endnote>
  <w:endnote w:type="continuationSeparator" w:id="0">
    <w:p w14:paraId="1FBD4047" w14:textId="77777777" w:rsidR="00BC3216" w:rsidRDefault="00BC3216" w:rsidP="00CA06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149391" w14:textId="77777777" w:rsidR="00BC3216" w:rsidRDefault="00BC3216" w:rsidP="00CA06CB">
      <w:pPr>
        <w:spacing w:after="0" w:line="240" w:lineRule="auto"/>
      </w:pPr>
      <w:r>
        <w:separator/>
      </w:r>
    </w:p>
  </w:footnote>
  <w:footnote w:type="continuationSeparator" w:id="0">
    <w:p w14:paraId="7EE3A249" w14:textId="77777777" w:rsidR="00BC3216" w:rsidRDefault="00BC3216" w:rsidP="00CA06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090123"/>
      <w:docPartObj>
        <w:docPartGallery w:val="Page Numbers (Top of Page)"/>
        <w:docPartUnique/>
      </w:docPartObj>
    </w:sdtPr>
    <w:sdtEndPr>
      <w:rPr>
        <w:noProof/>
      </w:rPr>
    </w:sdtEndPr>
    <w:sdtContent>
      <w:p w14:paraId="0594DE1A" w14:textId="5B7E6AB2" w:rsidR="00CA06CB" w:rsidRDefault="00CA06C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C8C6EC7" w14:textId="77777777" w:rsidR="00CA06CB" w:rsidRDefault="00CA06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A7E9B"/>
    <w:multiLevelType w:val="hybridMultilevel"/>
    <w:tmpl w:val="F6DE5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01D73"/>
    <w:multiLevelType w:val="hybridMultilevel"/>
    <w:tmpl w:val="FB56AE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A071A7"/>
    <w:multiLevelType w:val="hybridMultilevel"/>
    <w:tmpl w:val="E8BE6B4E"/>
    <w:lvl w:ilvl="0" w:tplc="04A0CDB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516E65"/>
    <w:multiLevelType w:val="hybridMultilevel"/>
    <w:tmpl w:val="C8D896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2A2DCB"/>
    <w:multiLevelType w:val="hybridMultilevel"/>
    <w:tmpl w:val="21C871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612DD9"/>
    <w:multiLevelType w:val="hybridMultilevel"/>
    <w:tmpl w:val="3AA656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9A5E13"/>
    <w:multiLevelType w:val="hybridMultilevel"/>
    <w:tmpl w:val="0A2C853C"/>
    <w:lvl w:ilvl="0" w:tplc="F7806D80">
      <w:start w:val="1"/>
      <w:numFmt w:val="lowerLetter"/>
      <w:lvlText w:val="%1."/>
      <w:lvlJc w:val="left"/>
      <w:pPr>
        <w:ind w:left="720" w:hanging="360"/>
      </w:pPr>
      <w:rPr>
        <w:rFonts w:ascii="Arial Black" w:hAnsi="Arial Black"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FF4F1A"/>
    <w:multiLevelType w:val="hybridMultilevel"/>
    <w:tmpl w:val="A3CEA0F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FC067E8"/>
    <w:multiLevelType w:val="hybridMultilevel"/>
    <w:tmpl w:val="E63C1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174608"/>
    <w:multiLevelType w:val="hybridMultilevel"/>
    <w:tmpl w:val="AFB08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A63E43"/>
    <w:multiLevelType w:val="hybridMultilevel"/>
    <w:tmpl w:val="BCE2B806"/>
    <w:lvl w:ilvl="0" w:tplc="3EE2C230">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7D0EC9"/>
    <w:multiLevelType w:val="hybridMultilevel"/>
    <w:tmpl w:val="CDC0B8E8"/>
    <w:lvl w:ilvl="0" w:tplc="13E820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666403"/>
    <w:multiLevelType w:val="hybridMultilevel"/>
    <w:tmpl w:val="B1D496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9A3AAF"/>
    <w:multiLevelType w:val="hybridMultilevel"/>
    <w:tmpl w:val="D61A4C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A30636"/>
    <w:multiLevelType w:val="hybridMultilevel"/>
    <w:tmpl w:val="FF180AD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3661D95"/>
    <w:multiLevelType w:val="hybridMultilevel"/>
    <w:tmpl w:val="3476207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68E31428"/>
    <w:multiLevelType w:val="hybridMultilevel"/>
    <w:tmpl w:val="B0A2C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342CD7"/>
    <w:multiLevelType w:val="hybridMultilevel"/>
    <w:tmpl w:val="631ECEA0"/>
    <w:lvl w:ilvl="0" w:tplc="9550C43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DF416E"/>
    <w:multiLevelType w:val="hybridMultilevel"/>
    <w:tmpl w:val="B9581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4C7F27"/>
    <w:multiLevelType w:val="hybridMultilevel"/>
    <w:tmpl w:val="BB1CA9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E1006B"/>
    <w:multiLevelType w:val="hybridMultilevel"/>
    <w:tmpl w:val="54025B98"/>
    <w:lvl w:ilvl="0" w:tplc="7480AC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A44058"/>
    <w:multiLevelType w:val="hybridMultilevel"/>
    <w:tmpl w:val="77B4C652"/>
    <w:lvl w:ilvl="0" w:tplc="13E820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370073">
    <w:abstractNumId w:val="4"/>
  </w:num>
  <w:num w:numId="2" w16cid:durableId="1028339678">
    <w:abstractNumId w:val="5"/>
  </w:num>
  <w:num w:numId="3" w16cid:durableId="1475490075">
    <w:abstractNumId w:val="3"/>
  </w:num>
  <w:num w:numId="4" w16cid:durableId="642538016">
    <w:abstractNumId w:val="20"/>
  </w:num>
  <w:num w:numId="5" w16cid:durableId="1836873291">
    <w:abstractNumId w:val="7"/>
  </w:num>
  <w:num w:numId="6" w16cid:durableId="1422339471">
    <w:abstractNumId w:val="19"/>
  </w:num>
  <w:num w:numId="7" w16cid:durableId="1240211109">
    <w:abstractNumId w:val="17"/>
  </w:num>
  <w:num w:numId="8" w16cid:durableId="642781989">
    <w:abstractNumId w:val="15"/>
  </w:num>
  <w:num w:numId="9" w16cid:durableId="1501846744">
    <w:abstractNumId w:val="1"/>
  </w:num>
  <w:num w:numId="10" w16cid:durableId="1695957693">
    <w:abstractNumId w:val="21"/>
  </w:num>
  <w:num w:numId="11" w16cid:durableId="432242421">
    <w:abstractNumId w:val="11"/>
  </w:num>
  <w:num w:numId="12" w16cid:durableId="51655476">
    <w:abstractNumId w:val="14"/>
  </w:num>
  <w:num w:numId="13" w16cid:durableId="1256090983">
    <w:abstractNumId w:val="12"/>
  </w:num>
  <w:num w:numId="14" w16cid:durableId="574165768">
    <w:abstractNumId w:val="8"/>
  </w:num>
  <w:num w:numId="15" w16cid:durableId="1711145792">
    <w:abstractNumId w:val="13"/>
  </w:num>
  <w:num w:numId="16" w16cid:durableId="1621180610">
    <w:abstractNumId w:val="6"/>
  </w:num>
  <w:num w:numId="17" w16cid:durableId="1835217852">
    <w:abstractNumId w:val="16"/>
  </w:num>
  <w:num w:numId="18" w16cid:durableId="981544875">
    <w:abstractNumId w:val="18"/>
  </w:num>
  <w:num w:numId="19" w16cid:durableId="1502043055">
    <w:abstractNumId w:val="0"/>
  </w:num>
  <w:num w:numId="20" w16cid:durableId="1990552316">
    <w:abstractNumId w:val="2"/>
  </w:num>
  <w:num w:numId="21" w16cid:durableId="341054742">
    <w:abstractNumId w:val="10"/>
  </w:num>
  <w:num w:numId="22" w16cid:durableId="20938884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FCF"/>
    <w:rsid w:val="00056E93"/>
    <w:rsid w:val="00170DC5"/>
    <w:rsid w:val="002B3E03"/>
    <w:rsid w:val="00391087"/>
    <w:rsid w:val="003A2F4E"/>
    <w:rsid w:val="0042323C"/>
    <w:rsid w:val="0057470D"/>
    <w:rsid w:val="006163A5"/>
    <w:rsid w:val="00616551"/>
    <w:rsid w:val="00741194"/>
    <w:rsid w:val="0078026A"/>
    <w:rsid w:val="007A1C6A"/>
    <w:rsid w:val="00837F08"/>
    <w:rsid w:val="009652AE"/>
    <w:rsid w:val="00A45C86"/>
    <w:rsid w:val="00BC3216"/>
    <w:rsid w:val="00C04C54"/>
    <w:rsid w:val="00C118BF"/>
    <w:rsid w:val="00CA06CB"/>
    <w:rsid w:val="00D91FCF"/>
    <w:rsid w:val="00DA5D03"/>
    <w:rsid w:val="00EB0D8A"/>
    <w:rsid w:val="00F37BC5"/>
    <w:rsid w:val="00FA4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B1ACF8"/>
  <w15:chartTrackingRefBased/>
  <w15:docId w15:val="{2DA4FEE0-5B04-455C-9FFA-EF0687F27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1F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1F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1F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1F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1F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1F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1F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1F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1F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F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1F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1F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1F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1F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1F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1F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1F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1FCF"/>
    <w:rPr>
      <w:rFonts w:eastAsiaTheme="majorEastAsia" w:cstheme="majorBidi"/>
      <w:color w:val="272727" w:themeColor="text1" w:themeTint="D8"/>
    </w:rPr>
  </w:style>
  <w:style w:type="paragraph" w:styleId="Title">
    <w:name w:val="Title"/>
    <w:basedOn w:val="Normal"/>
    <w:next w:val="Normal"/>
    <w:link w:val="TitleChar"/>
    <w:uiPriority w:val="10"/>
    <w:qFormat/>
    <w:rsid w:val="00D91F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1F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1F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1F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1FCF"/>
    <w:pPr>
      <w:spacing w:before="160"/>
      <w:jc w:val="center"/>
    </w:pPr>
    <w:rPr>
      <w:i/>
      <w:iCs/>
      <w:color w:val="404040" w:themeColor="text1" w:themeTint="BF"/>
    </w:rPr>
  </w:style>
  <w:style w:type="character" w:customStyle="1" w:styleId="QuoteChar">
    <w:name w:val="Quote Char"/>
    <w:basedOn w:val="DefaultParagraphFont"/>
    <w:link w:val="Quote"/>
    <w:uiPriority w:val="29"/>
    <w:rsid w:val="00D91FCF"/>
    <w:rPr>
      <w:i/>
      <w:iCs/>
      <w:color w:val="404040" w:themeColor="text1" w:themeTint="BF"/>
    </w:rPr>
  </w:style>
  <w:style w:type="paragraph" w:styleId="ListParagraph">
    <w:name w:val="List Paragraph"/>
    <w:basedOn w:val="Normal"/>
    <w:uiPriority w:val="34"/>
    <w:qFormat/>
    <w:rsid w:val="00D91FCF"/>
    <w:pPr>
      <w:ind w:left="720"/>
      <w:contextualSpacing/>
    </w:pPr>
  </w:style>
  <w:style w:type="character" w:styleId="IntenseEmphasis">
    <w:name w:val="Intense Emphasis"/>
    <w:basedOn w:val="DefaultParagraphFont"/>
    <w:uiPriority w:val="21"/>
    <w:qFormat/>
    <w:rsid w:val="00D91FCF"/>
    <w:rPr>
      <w:i/>
      <w:iCs/>
      <w:color w:val="0F4761" w:themeColor="accent1" w:themeShade="BF"/>
    </w:rPr>
  </w:style>
  <w:style w:type="paragraph" w:styleId="IntenseQuote">
    <w:name w:val="Intense Quote"/>
    <w:basedOn w:val="Normal"/>
    <w:next w:val="Normal"/>
    <w:link w:val="IntenseQuoteChar"/>
    <w:uiPriority w:val="30"/>
    <w:qFormat/>
    <w:rsid w:val="00D91F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1FCF"/>
    <w:rPr>
      <w:i/>
      <w:iCs/>
      <w:color w:val="0F4761" w:themeColor="accent1" w:themeShade="BF"/>
    </w:rPr>
  </w:style>
  <w:style w:type="character" w:styleId="IntenseReference">
    <w:name w:val="Intense Reference"/>
    <w:basedOn w:val="DefaultParagraphFont"/>
    <w:uiPriority w:val="32"/>
    <w:qFormat/>
    <w:rsid w:val="00D91FCF"/>
    <w:rPr>
      <w:b/>
      <w:bCs/>
      <w:smallCaps/>
      <w:color w:val="0F4761" w:themeColor="accent1" w:themeShade="BF"/>
      <w:spacing w:val="5"/>
    </w:rPr>
  </w:style>
  <w:style w:type="paragraph" w:styleId="Header">
    <w:name w:val="header"/>
    <w:basedOn w:val="Normal"/>
    <w:link w:val="HeaderChar"/>
    <w:uiPriority w:val="99"/>
    <w:unhideWhenUsed/>
    <w:rsid w:val="00CA06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6CB"/>
  </w:style>
  <w:style w:type="paragraph" w:styleId="Footer">
    <w:name w:val="footer"/>
    <w:basedOn w:val="Normal"/>
    <w:link w:val="FooterChar"/>
    <w:uiPriority w:val="99"/>
    <w:unhideWhenUsed/>
    <w:rsid w:val="00CA06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6CB"/>
  </w:style>
  <w:style w:type="paragraph" w:styleId="NoSpacing">
    <w:name w:val="No Spacing"/>
    <w:link w:val="NoSpacingChar"/>
    <w:uiPriority w:val="1"/>
    <w:qFormat/>
    <w:rsid w:val="002B3E0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B3E0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90A8AD5FCBE4DE8B13BB19867C7FE1C"/>
        <w:category>
          <w:name w:val="General"/>
          <w:gallery w:val="placeholder"/>
        </w:category>
        <w:types>
          <w:type w:val="bbPlcHdr"/>
        </w:types>
        <w:behaviors>
          <w:behavior w:val="content"/>
        </w:behaviors>
        <w:guid w:val="{CCC991EB-04D6-4848-AD28-08DF07303A98}"/>
      </w:docPartPr>
      <w:docPartBody>
        <w:p w:rsidR="00000000" w:rsidRDefault="00174A93" w:rsidP="00174A93">
          <w:pPr>
            <w:pStyle w:val="490A8AD5FCBE4DE8B13BB19867C7FE1C"/>
          </w:pPr>
          <w:r>
            <w:rPr>
              <w:rFonts w:asciiTheme="majorHAnsi" w:eastAsiaTheme="majorEastAsia" w:hAnsiTheme="majorHAnsi" w:cstheme="majorBidi"/>
              <w:color w:val="156082" w:themeColor="accent1"/>
              <w:sz w:val="88"/>
              <w:szCs w:val="88"/>
            </w:rPr>
            <w:t>[Document title]</w:t>
          </w:r>
        </w:p>
      </w:docPartBody>
    </w:docPart>
    <w:docPart>
      <w:docPartPr>
        <w:name w:val="6B0EECF2B2CD46FD97F8CBB6C756AE87"/>
        <w:category>
          <w:name w:val="General"/>
          <w:gallery w:val="placeholder"/>
        </w:category>
        <w:types>
          <w:type w:val="bbPlcHdr"/>
        </w:types>
        <w:behaviors>
          <w:behavior w:val="content"/>
        </w:behaviors>
        <w:guid w:val="{28FE5C0F-54F4-43D2-93BE-B44B807A0F0C}"/>
      </w:docPartPr>
      <w:docPartBody>
        <w:p w:rsidR="00000000" w:rsidRDefault="00174A93" w:rsidP="00174A93">
          <w:pPr>
            <w:pStyle w:val="6B0EECF2B2CD46FD97F8CBB6C756AE87"/>
          </w:pPr>
          <w:r>
            <w:rPr>
              <w:color w:val="156082"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A93"/>
    <w:rsid w:val="00174A93"/>
    <w:rsid w:val="00767BE4"/>
    <w:rsid w:val="00C04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89D88AB84B4D3C9A72F3B687351A83">
    <w:name w:val="3189D88AB84B4D3C9A72F3B687351A83"/>
    <w:rsid w:val="00174A93"/>
  </w:style>
  <w:style w:type="paragraph" w:customStyle="1" w:styleId="490A8AD5FCBE4DE8B13BB19867C7FE1C">
    <w:name w:val="490A8AD5FCBE4DE8B13BB19867C7FE1C"/>
    <w:rsid w:val="00174A93"/>
  </w:style>
  <w:style w:type="paragraph" w:customStyle="1" w:styleId="0D242ADCB705437DA0D93899B4650B9A">
    <w:name w:val="0D242ADCB705437DA0D93899B4650B9A"/>
    <w:rsid w:val="00174A93"/>
  </w:style>
  <w:style w:type="paragraph" w:customStyle="1" w:styleId="6B0EECF2B2CD46FD97F8CBB6C756AE87">
    <w:name w:val="6B0EECF2B2CD46FD97F8CBB6C756AE87"/>
    <w:rsid w:val="00174A93"/>
  </w:style>
  <w:style w:type="paragraph" w:customStyle="1" w:styleId="14FAE483C64443EC808C9B5CFC0E1253">
    <w:name w:val="14FAE483C64443EC808C9B5CFC0E1253"/>
    <w:rsid w:val="00174A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4789</Words>
  <Characters>28252</Characters>
  <Application>Microsoft Office Word</Application>
  <DocSecurity>0</DocSecurity>
  <Lines>715</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dc:title>
  <dc:subject/>
  <dc:creator>Ioana Lupu (</dc:creator>
  <cp:keywords/>
  <dc:description/>
  <cp:lastModifiedBy>Mirabela Voican (1907947)</cp:lastModifiedBy>
  <cp:revision>2</cp:revision>
  <dcterms:created xsi:type="dcterms:W3CDTF">2025-08-27T21:02:00Z</dcterms:created>
  <dcterms:modified xsi:type="dcterms:W3CDTF">2025-08-27T21:02:00Z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230c3b7e-0155-4b1e-9ef3-8614687479d0</vt:lpwstr>
  </property>
</Properties>
</file>