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left"/>
        <w:rPr>
          <w:rFonts w:ascii="Calibri" w:hAnsi="Calibri" w:cs="Calibri" w:eastAsia="Calibri"/>
          <w:color w:val="auto"/>
          <w:spacing w:val="0"/>
          <w:position w:val="0"/>
          <w:sz w:val="24"/>
          <w:shd w:fill="auto" w:val="clear"/>
        </w:rPr>
      </w:pPr>
    </w:p>
    <w:p>
      <w:pPr>
        <w:spacing w:before="0" w:after="200" w:line="480"/>
        <w:ind w:right="0" w:left="0" w:firstLine="0"/>
        <w:jc w:val="left"/>
        <w:rPr>
          <w:rFonts w:ascii="Calibri" w:hAnsi="Calibri" w:cs="Calibri" w:eastAsia="Calibri"/>
          <w:color w:val="auto"/>
          <w:spacing w:val="0"/>
          <w:position w:val="0"/>
          <w:sz w:val="24"/>
          <w:shd w:fill="auto" w:val="clear"/>
        </w:rPr>
      </w:pPr>
    </w:p>
    <w:p>
      <w:pPr>
        <w:spacing w:before="0" w:after="200" w:line="480"/>
        <w:ind w:right="0" w:left="0" w:firstLine="0"/>
        <w:jc w:val="center"/>
        <w:rPr>
          <w:rFonts w:ascii="Calibri" w:hAnsi="Calibri" w:cs="Calibri" w:eastAsia="Calibri"/>
          <w:color w:val="auto"/>
          <w:spacing w:val="0"/>
          <w:position w:val="0"/>
          <w:sz w:val="24"/>
          <w:shd w:fill="auto" w:val="clear"/>
        </w:rPr>
      </w:pPr>
    </w:p>
    <w:p>
      <w:pPr>
        <w:spacing w:before="0" w:after="200" w:line="48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Submitted by: </w:t>
      </w:r>
      <w:r>
        <w:rPr>
          <w:rFonts w:ascii="Times New Roman" w:hAnsi="Times New Roman" w:cs="Times New Roman" w:eastAsia="Times New Roman"/>
          <w:color w:val="auto"/>
          <w:spacing w:val="0"/>
          <w:position w:val="0"/>
          <w:sz w:val="40"/>
          <w:shd w:fill="auto" w:val="clear"/>
        </w:rPr>
        <w:t xml:space="preserve">Marcel Laurentiu Gornic</w:t>
      </w:r>
    </w:p>
    <w:p>
      <w:pPr>
        <w:spacing w:before="0" w:after="200" w:line="360"/>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 Number: </w:t>
      </w:r>
      <w:r>
        <w:rPr>
          <w:rFonts w:ascii="Times New Roman" w:hAnsi="Times New Roman" w:cs="Times New Roman" w:eastAsia="Times New Roman"/>
          <w:color w:val="auto"/>
          <w:spacing w:val="0"/>
          <w:position w:val="0"/>
          <w:sz w:val="40"/>
          <w:shd w:fill="auto" w:val="clear"/>
        </w:rPr>
        <w:t xml:space="preserve">181747</w:t>
      </w:r>
      <w:r>
        <w:rPr>
          <w:rFonts w:ascii="Times New Roman" w:hAnsi="Times New Roman" w:cs="Times New Roman" w:eastAsia="Times New Roman"/>
          <w:color w:val="auto"/>
          <w:spacing w:val="0"/>
          <w:position w:val="0"/>
          <w:sz w:val="40"/>
          <w:shd w:fill="auto" w:val="clear"/>
        </w:rPr>
        <w:t xml:space="preserve">0</w:t>
      </w:r>
    </w:p>
    <w:p>
      <w:pPr>
        <w:spacing w:before="0" w:after="200" w:line="360"/>
        <w:ind w:right="0" w:left="0" w:firstLine="0"/>
        <w:jc w:val="center"/>
        <w:rPr>
          <w:rFonts w:ascii="Cambria" w:hAnsi="Cambria" w:cs="Cambria" w:eastAsia="Cambria"/>
          <w:color w:val="auto"/>
          <w:spacing w:val="-10"/>
          <w:position w:val="0"/>
          <w:sz w:val="40"/>
          <w:shd w:fill="auto" w:val="clear"/>
        </w:rPr>
      </w:pPr>
      <w:r>
        <w:rPr>
          <w:rFonts w:ascii="Times New Roman" w:hAnsi="Times New Roman" w:cs="Times New Roman" w:eastAsia="Times New Roman"/>
          <w:b/>
          <w:color w:val="auto"/>
          <w:spacing w:val="0"/>
          <w:position w:val="0"/>
          <w:sz w:val="40"/>
          <w:shd w:fill="auto" w:val="clear"/>
        </w:rPr>
        <w:t xml:space="preserve">Module Title: </w:t>
      </w:r>
      <w:r>
        <w:rPr>
          <w:rFonts w:ascii="Cambria" w:hAnsi="Cambria" w:cs="Cambria" w:eastAsia="Cambria"/>
          <w:color w:val="auto"/>
          <w:spacing w:val="-10"/>
          <w:position w:val="0"/>
          <w:sz w:val="40"/>
          <w:shd w:fill="auto" w:val="clear"/>
        </w:rPr>
        <w:t xml:space="preserve">Global Business Environment</w:t>
      </w:r>
      <w:r>
        <w:rPr>
          <w:rFonts w:ascii="Cambria" w:hAnsi="Cambria" w:cs="Cambria" w:eastAsia="Cambria"/>
          <w:color w:val="auto"/>
          <w:spacing w:val="-10"/>
          <w:position w:val="0"/>
          <w:sz w:val="40"/>
          <w:shd w:fill="auto" w:val="clear"/>
        </w:rPr>
        <w:t xml:space="preserve">(LCBB4005)</w:t>
      </w:r>
    </w:p>
    <w:p>
      <w:pPr>
        <w:spacing w:before="0" w:after="200" w:line="360"/>
        <w:ind w:right="0" w:left="0" w:firstLine="0"/>
        <w:jc w:val="center"/>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Assignment Title:</w:t>
      </w:r>
      <w:r>
        <w:rPr>
          <w:rFonts w:ascii="Times New Roman" w:hAnsi="Times New Roman" w:cs="Times New Roman" w:eastAsia="Times New Roman"/>
          <w:b/>
          <w:color w:val="auto"/>
          <w:spacing w:val="0"/>
          <w:position w:val="0"/>
          <w:sz w:val="40"/>
          <w:shd w:fill="auto" w:val="clear"/>
        </w:rPr>
        <w:t xml:space="preserve"> </w:t>
      </w:r>
      <w:r>
        <w:rPr>
          <w:rFonts w:ascii="Cambria" w:hAnsi="Cambria" w:cs="Cambria" w:eastAsia="Cambria"/>
          <w:color w:val="auto"/>
          <w:spacing w:val="-10"/>
          <w:position w:val="0"/>
          <w:sz w:val="40"/>
          <w:shd w:fill="auto" w:val="clear"/>
        </w:rPr>
        <w:t xml:space="preserve">Global Business Environment</w:t>
      </w:r>
      <w:r>
        <w:rPr>
          <w:rFonts w:ascii="Times New Roman" w:hAnsi="Times New Roman" w:cs="Times New Roman" w:eastAsia="Times New Roman"/>
          <w:color w:val="auto"/>
          <w:spacing w:val="0"/>
          <w:position w:val="0"/>
          <w:sz w:val="40"/>
          <w:shd w:fill="auto" w:val="clear"/>
        </w:rPr>
        <w:t xml:space="preserve"> (</w:t>
      </w:r>
      <w:r>
        <w:rPr>
          <w:rFonts w:ascii="Times New Roman" w:hAnsi="Times New Roman" w:cs="Times New Roman" w:eastAsia="Times New Roman"/>
          <w:color w:val="auto"/>
          <w:spacing w:val="0"/>
          <w:position w:val="0"/>
          <w:sz w:val="40"/>
          <w:shd w:fill="auto" w:val="clear"/>
        </w:rPr>
        <w:t xml:space="preserve">Assessment</w:t>
      </w:r>
      <w:r>
        <w:rPr>
          <w:rFonts w:ascii="Times New Roman" w:hAnsi="Times New Roman" w:cs="Times New Roman" w:eastAsia="Times New Roman"/>
          <w:color w:val="auto"/>
          <w:spacing w:val="0"/>
          <w:position w:val="0"/>
          <w:sz w:val="40"/>
          <w:shd w:fill="auto" w:val="clear"/>
        </w:rPr>
        <w:t xml:space="preserve">-</w:t>
      </w:r>
      <w:r>
        <w:rPr>
          <w:rFonts w:ascii="Times New Roman" w:hAnsi="Times New Roman" w:cs="Times New Roman" w:eastAsia="Times New Roman"/>
          <w:color w:val="auto"/>
          <w:spacing w:val="0"/>
          <w:position w:val="0"/>
          <w:sz w:val="40"/>
          <w:shd w:fill="auto" w:val="clear"/>
        </w:rPr>
        <w:t xml:space="preserve">2</w:t>
      </w:r>
      <w:r>
        <w:rPr>
          <w:rFonts w:ascii="Times New Roman" w:hAnsi="Times New Roman" w:cs="Times New Roman" w:eastAsia="Times New Roman"/>
          <w:color w:val="auto"/>
          <w:spacing w:val="0"/>
          <w:position w:val="0"/>
          <w:sz w:val="40"/>
          <w:shd w:fill="auto" w:val="clear"/>
        </w:rPr>
        <w:t xml:space="preserve">)</w:t>
      </w:r>
    </w:p>
    <w:p>
      <w:pPr>
        <w:spacing w:before="0" w:after="200" w:line="480"/>
        <w:ind w:right="0" w:left="0" w:firstLine="0"/>
        <w:jc w:val="center"/>
        <w:rPr>
          <w:rFonts w:ascii="Calibri" w:hAnsi="Calibri" w:cs="Calibri" w:eastAsia="Calibri"/>
          <w:color w:val="auto"/>
          <w:spacing w:val="0"/>
          <w:position w:val="0"/>
          <w:sz w:val="24"/>
          <w:shd w:fill="auto" w:val="clear"/>
        </w:rPr>
      </w:pPr>
    </w:p>
    <w:p>
      <w:pPr>
        <w:spacing w:before="0" w:after="200" w:line="48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Introduction</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Businesses are operating in an increasingly fast-paced and ever-changing world. For these organizations, the current global business environment can lead to opportunities as well as challenges to innovate and expand. To gain success and compelling a long-term excel, business leaders must analyze their current strategies, strengths, and weaknesses. This is because the global business climate is becoming highly competitive and to gain a competitive edge, investors should adjust their approaches and techniques with emerging opportunities and threats so that they can continue to thrive in the industry. However, it takes a lot of character to impact a change in an industry that is highly competitive without incurring some costs. Due to that, continuous innovation and technology can be a great incentive in creating a brand portfolio for the business as well as increasing more sense for the business to stay ahead of others. This essay will analyze the global business environment for the automotive industry by focusing on electric vehicle manufacturing. </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Electric Vehicles </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The general understanding of electric vehicles can be termed as all vehicles that utilize electric motor as its primary source of propulsion. Concerning that, electric mobility relates to the electrification of the automotive powertrain through electric vehicles. Some of the examples of electric vehicles include; plug-in hybrid electric vehicles, fuel cell electric vehicles, battery electric vehicles, and range-extended electric vehicles. With the first-changing automotive industry, innovation and technology are embraced as the fuel aiding the development of a new generation of vehicles. Electric vehicles are gaining popularity and very soon they will be able to bring new experience to the world as well as saving the environment from carbon emission (</w:t>
      </w:r>
      <w:r>
        <w:rPr>
          <w:rFonts w:ascii="Times New Roman" w:hAnsi="Times New Roman" w:cs="Times New Roman" w:eastAsia="Times New Roman"/>
          <w:color w:val="000000"/>
          <w:spacing w:val="0"/>
          <w:position w:val="0"/>
          <w:sz w:val="24"/>
          <w:shd w:fill="auto" w:val="clear"/>
        </w:rPr>
        <w:t xml:space="preserve">McKinsey &amp; Company, 2020). </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Evolution of Electric Vehicles</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After decades of traditional internal combustion engine dominating automotive powertrain, the sector has started to take a new approach in diversifying its powertrain. Alternatively, conventional hybrids have significantly gained interest from automotive manufacturers. Today, Europe is showing a shift towards well-developed electrified powertrains that are becoming apparent with an increase in buyers' purchasing power. When it comes to the sales of cars in Europe, at least 1% of all new car sales are attributed to electric vehicles. By that, it is clear that Europe is entering an initial adoption phase of electric mobility since 2013 with significant growth experienced in the EU's automotive industry (</w:t>
      </w:r>
      <w:r>
        <w:rPr>
          <w:rFonts w:ascii="Times New Roman" w:hAnsi="Times New Roman" w:cs="Times New Roman" w:eastAsia="Times New Roman"/>
          <w:color w:val="000000"/>
          <w:spacing w:val="0"/>
          <w:position w:val="0"/>
          <w:sz w:val="24"/>
          <w:shd w:fill="auto" w:val="clear"/>
        </w:rPr>
        <w:t xml:space="preserve">mafiadoc.com, 2020). </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Momentum is building in the EU's market that is reported to be the second-largest, behind the Chinese market and ahead of America's market. To spark fast-paced evolution, automakers are running-away from the EU's unprecedented plan of making Europe a free-carbon emission zone by 2050. The desire to spark a change in manufacturing emissions-free cars is as well an escape plan from paying EU’s stiff penalties on pollution. Hence, for most stakeholders its better the subsidized electric cars than incurring high fines for selling combustion engines. However, the ongoing success in the manufacturing of electric vehicles is highly championed by various EU governments by offering incentives to subsidize the production of electric vehicles, supporting infrastructural development to support electric mobility and posing stiff restrictions on selling combustion engine cars (</w:t>
      </w:r>
      <w:r>
        <w:rPr>
          <w:rFonts w:ascii="Times New Roman" w:hAnsi="Times New Roman" w:cs="Times New Roman" w:eastAsia="Times New Roman"/>
          <w:color w:val="000000"/>
          <w:spacing w:val="0"/>
          <w:position w:val="0"/>
          <w:sz w:val="24"/>
          <w:shd w:fill="auto" w:val="clear"/>
        </w:rPr>
        <w:t xml:space="preserve">Mytna Kurekova, 2018).</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Porter’s Five Forces Analysis</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Porter's five forces are an important tool to analyze the attractiveness of the automotive industry based on the five forces that could act on the sector. More importantly, these forces are critical determinants of the profitability of the industry basing the fact that any industry operates in an environment that is dynamic and ever-changing. First and foremost, the threat of new entrants to the market is a force that determines the nature of the market for the industry. Concerning the automotive manufacturing industry, this is a very low threat to various barriers existing to restrict new entrants to the market. For instance, political factors such as restrictions by governments on the production of combustion engine vehicles lockout new firms that would like to venture into the industry. Apart from legislation and government, economic factors such as upfront capital requirements can hinder the entrance (</w:t>
      </w:r>
      <w:r>
        <w:rPr>
          <w:rFonts w:ascii="Times New Roman" w:hAnsi="Times New Roman" w:cs="Times New Roman" w:eastAsia="Times New Roman"/>
          <w:color w:val="000000"/>
          <w:spacing w:val="0"/>
          <w:position w:val="0"/>
          <w:sz w:val="24"/>
          <w:shd w:fill="auto" w:val="clear"/>
        </w:rPr>
        <w:t xml:space="preserve">Joshi and Dixit, 2011).</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Secondly, to analyze the industry's market attractiveness, examining the threat of substitute products is crucial. This threat as well as does not measure the attractiveness of the electric vehicles industry. This is because the threat posed is low compared to combustion engine vehicles. in the car manufacturing industry, the products sold are almost similar by either design or quality hence; the force of substitute products has little impact on the industry that is compelled to full adoption of electrified vehicles. Thirdly, the amount of bargaining power of automotive suppliers can be used to examine the state of the industry's market. However, this threat is weak as most of the suppliers are small players in the industry. In an industry dominated by brands like BMW, Toyota, Ford and VW, the bargaining power of suppliers is considerably low and weak (</w:t>
      </w:r>
      <w:r>
        <w:rPr>
          <w:rFonts w:ascii="Times New Roman" w:hAnsi="Times New Roman" w:cs="Times New Roman" w:eastAsia="Times New Roman"/>
          <w:color w:val="000000"/>
          <w:spacing w:val="0"/>
          <w:position w:val="0"/>
          <w:sz w:val="24"/>
          <w:shd w:fill="auto" w:val="clear"/>
        </w:rPr>
        <w:t xml:space="preserve">Ortar, N. and Ryghaug, 2019, p. 1578).</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Moreover, the industry can be examined by analyzing the bargaining power of buyers. While accounting for this force, we can assert that its impact on the industry is moderately strong. Especially for electric vehicles in Europe since its adoption in 2013, there has been an increase in consumer demand for cars. The main environmental factor that is contributing to consumer demand is an increase in the income level of individuals. Other factors include government interventions and consumer tastes and preferences. Ultimately, the consumption of electric vehicles is facilitated by higher-income consumers. Lastly, the P5F recognizes competitive rivalry in the automotive industry as a very strong determinant of the marketability of electric vehicles. For instance, Volvo exists in a market that has various recognized and influential brands like Toyota, VW, and BMW. Most definitely, these competitors can pose a threat to the progress of the brand is investing in electric vehicles (</w:t>
      </w:r>
      <w:r>
        <w:rPr>
          <w:rFonts w:ascii="Times New Roman" w:hAnsi="Times New Roman" w:cs="Times New Roman" w:eastAsia="Times New Roman"/>
          <w:color w:val="000000"/>
          <w:spacing w:val="0"/>
          <w:position w:val="0"/>
          <w:sz w:val="24"/>
          <w:shd w:fill="auto" w:val="clear"/>
        </w:rPr>
        <w:t xml:space="preserve">Nilsson, 2012).</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Factors for the Change towards Electric Vehicles</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The desire to improve the predecessors of electric vehicles has played a central role in driving a change towards the consumption and manufacturing of electrified vehicles. Recently, political and legal factors have played a huge role in shaping a transition path for the production of EVs. For instance, throughout the industry, the effectiveness of government incentives is evident as it encourages the uptake of EVs. Likewise, governments through legislation have imposed huge fines on the production of combustion engine vehicles paving way for electric mobility. Besides, the governments in the EU are striving towards bettering public charging infrastructure to ease the anxiety of consumers, especially for battery electric vehicles. Moreover, the economic-efficiency of electric vehicles is significantly pushing individuals towards the consumption of EVs. Globally, there is an increase in the operating cost for oil-fueled vehicles and with the emergence of electric vehicles is proving its higher economic efficiency (</w:t>
      </w:r>
      <w:r>
        <w:rPr>
          <w:rFonts w:ascii="Times New Roman" w:hAnsi="Times New Roman" w:cs="Times New Roman" w:eastAsia="Times New Roman"/>
          <w:color w:val="000000"/>
          <w:spacing w:val="0"/>
          <w:position w:val="0"/>
          <w:sz w:val="24"/>
          <w:shd w:fill="auto" w:val="clear"/>
        </w:rPr>
        <w:t xml:space="preserve">Helmers and Marx, 2012).</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Conversely, technological advancement in the industry adds to the driving factor affecting the shift towards electric vehicles. For instance, hybrid electric vehicles are an advanced example of battery electric vehicles, with more development, HEVs are significantly reducing bottlenecks associated with BEVs. As an important factor, technological advancement is highly advantageous to the industry as it increases eco-efficiency by reducing carbon emission, saving energy as well as incremental costs. The current technology is a game-changer that is increasing the evolution of EVs across the global market.  From an internal combustion engine to hybrid electric vehicles, innovations are major forces changing the advancement in the automotive industry particularly the manufacturing of EVs. Today, the evolution EVs stand at new advancement called plug-in hybrid electric vehicles where the car can be charged by plug-in battery power increasing endurance ability of PEVs compared to BEVs (</w:t>
      </w:r>
      <w:r>
        <w:rPr>
          <w:rFonts w:ascii="Times New Roman" w:hAnsi="Times New Roman" w:cs="Times New Roman" w:eastAsia="Times New Roman"/>
          <w:color w:val="000000"/>
          <w:spacing w:val="0"/>
          <w:position w:val="0"/>
          <w:sz w:val="24"/>
          <w:shd w:fill="auto" w:val="clear"/>
        </w:rPr>
        <w:t xml:space="preserve">Mohelsky, 2013, p.159).</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For instance, technology is playing a crucial role in the production of EVs at Volvo for the new future intending to reduce carbon emission by 2025 by 40%. In this case, the desire to reduce carbon emission is an environmental factor that is equally forcing brands to venture into EVs. Volvo is aiming at becoming a climate-neutral company; this could be possible due to the advances in technology that are expected to bring positive to the conservation of the environment. In our case, Volvo is looking forward to electrifying every model of cars it’s going to manufacture and selling through 2025. With the rapid increase in consumer demand, the brand will optimize this platform to gain a competitive advantage over the others (</w:t>
      </w:r>
      <w:r>
        <w:rPr>
          <w:rFonts w:ascii="Times New Roman" w:hAnsi="Times New Roman" w:cs="Times New Roman" w:eastAsia="Times New Roman"/>
          <w:color w:val="000000"/>
          <w:spacing w:val="0"/>
          <w:position w:val="0"/>
          <w:sz w:val="24"/>
          <w:shd w:fill="auto" w:val="clear"/>
        </w:rPr>
        <w:t xml:space="preserve">Mom, 2013). </w:t>
      </w:r>
      <w:r>
        <w:rPr>
          <w:rFonts w:ascii="Calibri" w:hAnsi="Calibri" w:cs="Calibri" w:eastAsia="Calibri"/>
          <w:color w:val="auto"/>
          <w:spacing w:val="0"/>
          <w:position w:val="0"/>
          <w:sz w:val="24"/>
          <w:shd w:fill="auto" w:val="clear"/>
        </w:rPr>
        <w:t xml:space="preserve"> </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To achieve a competitive advantage, Volvo is enrolling ambitious business strategy that includes the production of new EV each year where 50% of global sales directed to pure electrified vehicles and the rest on hybrids mainly including PHEV. Also, to hit the target, every model produced would include a recharging option that will come with free electricity for one year as well as refunding consumers for the average electricity cost during that one year. From the company’s production pattern, there is a plan to triple its manufacturing capacity as well as increasing sales globally. Furthermore, with the growing concern on reducing carbon footprint by 40%, the brand would increase its competitive edge as the aspect of sustainability is turning out to be globally appreciated. Finally, the automotive industry is challenging and for a brand like Volvo to thrive in, continuous change and advancement should be embraced to deliver eco-friendly as well as economic-efficiency cars (</w:t>
      </w:r>
      <w:r>
        <w:rPr>
          <w:rFonts w:ascii="Times New Roman" w:hAnsi="Times New Roman" w:cs="Times New Roman" w:eastAsia="Times New Roman"/>
          <w:color w:val="000000"/>
          <w:spacing w:val="0"/>
          <w:position w:val="0"/>
          <w:sz w:val="24"/>
          <w:shd w:fill="auto" w:val="clear"/>
        </w:rPr>
        <w:t xml:space="preserve">Mohelsky, 2013, p.165).</w:t>
      </w:r>
      <w:r>
        <w:rPr>
          <w:rFonts w:ascii="Calibri" w:hAnsi="Calibri" w:cs="Calibri" w:eastAsia="Calibri"/>
          <w:color w:val="auto"/>
          <w:spacing w:val="0"/>
          <w:position w:val="0"/>
          <w:sz w:val="24"/>
          <w:shd w:fill="auto" w:val="clear"/>
        </w:rPr>
        <w:t xml:space="preserve"> </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Current Emerging Business Opportunities </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ab/>
      </w:r>
      <w:r>
        <w:rPr>
          <w:rFonts w:ascii="Calibri" w:hAnsi="Calibri" w:cs="Calibri" w:eastAsia="Calibri"/>
          <w:color w:val="auto"/>
          <w:spacing w:val="0"/>
          <w:position w:val="0"/>
          <w:sz w:val="24"/>
          <w:shd w:fill="auto" w:val="clear"/>
        </w:rPr>
        <w:t xml:space="preserve">Hypothetically, as EV manufacturing is characterized by new technology and its own-ecosystem, the emergence of electric mobility is challenging various business models while spawning new ones. As a fast-paced sector, these new opportunities help the EU automotive industry to mature and provide a strong foundation for further EV advancement. The competitive market environment as well compels EV to introduce a novel-end-to end value chain creating more platforms for investors and business executives to venture in. Also, investing in EVs can diminish existing business opportunities in the long-run costing a country's economy. Meanwhile, the industry is challenging and thriving in it can equally cost businesses significantly as well as the industry at large. The following are some of the examples of business opportunities provided by EVs</w:t>
      </w:r>
      <w:r>
        <w:rPr>
          <w:rFonts w:ascii="Times New Roman" w:hAnsi="Times New Roman" w:cs="Times New Roman" w:eastAsia="Times New Roman"/>
          <w:color w:val="000000"/>
          <w:spacing w:val="0"/>
          <w:position w:val="0"/>
          <w:sz w:val="24"/>
          <w:shd w:fill="auto" w:val="clear"/>
        </w:rPr>
        <w:t xml:space="preserve"> (Ortar and Ryghaug, 2019, p.1821). </w:t>
      </w:r>
      <w:r>
        <w:rPr>
          <w:rFonts w:ascii="Calibri" w:hAnsi="Calibri" w:cs="Calibri" w:eastAsia="Calibri"/>
          <w:color w:val="auto"/>
          <w:spacing w:val="0"/>
          <w:position w:val="0"/>
          <w:sz w:val="24"/>
          <w:shd w:fill="auto" w:val="clear"/>
        </w:rPr>
        <w:t xml:space="preserve"> </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Mobility as a Service</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The evolution of EVs has enabled entrepreneurs and business executives to shift towards mobility as a service. In this case, mobility as a service is how enterprises are changing the traditional owners of cars and related value chains. For instance, a brand like BMW is venturing in parking and payment services as a joint venture with ParkNow. Secondly, car sharing is equally emerging as a new opportunity for businesses. For example, Daimler and its Car2Go car-sharing service are picking in Europe. According to a survey by McKinsey, a third of Germans living in urban are great users of car-sharing services. With the expected increase in car-sharing services by 40% in the next decade, enterprises and business executives should venture into this gap and harness from the opportunity (</w:t>
      </w:r>
      <w:r>
        <w:rPr>
          <w:rFonts w:ascii="Times New Roman" w:hAnsi="Times New Roman" w:cs="Times New Roman" w:eastAsia="Times New Roman"/>
          <w:color w:val="000000"/>
          <w:spacing w:val="0"/>
          <w:position w:val="0"/>
          <w:sz w:val="24"/>
          <w:shd w:fill="auto" w:val="clear"/>
        </w:rPr>
        <w:t xml:space="preserve">Wegner and Schwenker, 2020).</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Electric Vehicles Charging Station</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In Europe, the idea of having a wired charging infrastructure is gaining momentum ahead of other charging alternatives. As hugely supported by the public sector, business executives in the private should not downsize investing in it as it is a promising investment. Examples of the charging stations include home-based stations, private charging stations as well as public charging stations. As the evolution of EVs continues to grow, individuals can venture into EV charging services, selling charging hardware, navigation services as well as parking services. Just like petrol stations, the charging infrastructure can provide multiple opportunities for investors including cafeteria services and hospitality services (</w:t>
      </w:r>
      <w:r>
        <w:rPr>
          <w:rFonts w:ascii="Times New Roman" w:hAnsi="Times New Roman" w:cs="Times New Roman" w:eastAsia="Times New Roman"/>
          <w:color w:val="000000"/>
          <w:spacing w:val="0"/>
          <w:position w:val="0"/>
          <w:sz w:val="24"/>
          <w:shd w:fill="auto" w:val="clear"/>
        </w:rPr>
        <w:t xml:space="preserve">Transportenvironment.org, 2020).</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EV Charging Station Management</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Businesses can venture into EV charging station management services since the emerging opportunity can be highly profitable. In this case, enterprises can offer to repair solutions as well as management solutions to charging station companies. To escalate this opportunity to higher scales, an enterprise can choose to group different charging stations and localizing both maintenance and repair services to the stations. For instance, a company can venture in offering 24 hours home-based charging station setup as well as maintenance solutions. As a management solution, an enterprise can offer training services by establishing a training center to equip technicians with skills to run, maintain and repair service stations (</w:t>
      </w:r>
      <w:r>
        <w:rPr>
          <w:rFonts w:ascii="Times New Roman" w:hAnsi="Times New Roman" w:cs="Times New Roman" w:eastAsia="Times New Roman"/>
          <w:color w:val="000000"/>
          <w:spacing w:val="0"/>
          <w:position w:val="0"/>
          <w:sz w:val="24"/>
          <w:shd w:fill="auto" w:val="clear"/>
        </w:rPr>
        <w:t xml:space="preserve">McKinsey &amp; Company, 2020, p.3).</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Cars and Components Manufacturing and Selling</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Enterprises and business executives can indulge in EVs spare parts manufacturing and selling as a promising business opportunity. That is, as these vehicles are prone to durability crisis, setting up spare parts shop near charging stations can bring profits to businesses. Also, as part of franchising, investors should consider investing in electric car battery shops. With more EVs expected in the market by 2030, battery shops can be highly profitable especially for BEVs. Moreover, business executives can reap much from venturing in battery leasing services as part of boosting BEVs. As the manufacturing process can be very expensive, small enterprises should consider the selling of spare parts and repairing services (</w:t>
      </w:r>
      <w:r>
        <w:rPr>
          <w:rFonts w:ascii="Times New Roman" w:hAnsi="Times New Roman" w:cs="Times New Roman" w:eastAsia="Times New Roman"/>
          <w:color w:val="000000"/>
          <w:spacing w:val="0"/>
          <w:position w:val="0"/>
          <w:sz w:val="24"/>
          <w:shd w:fill="auto" w:val="clear"/>
        </w:rPr>
        <w:t xml:space="preserve">Mytna Kurekova, 2018, p.3).</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Online Business Opportunities</w:t>
      </w:r>
    </w:p>
    <w:p>
      <w:pPr>
        <w:spacing w:before="0" w:after="200" w:line="480"/>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As technology and internet innovation shaping the current global trading patterns, consumers are valuing the need for making their purchases and payments through online systems. Due to that, investors should consider venturing in online selling shop or developing apps to aid EV operations. For instance, businesses can establish an online shop for selling electric spare parts as well as creating an online platform for reselling used electric cars. Besides, bike and car rental services can be done online as well as establishing online booking for last-mile mobility solutions to connect individuals with public EVs. Nonetheless, bloggers can start blogging on electric cars as a business opportunity other than as a hobby activity (</w:t>
      </w:r>
      <w:r>
        <w:rPr>
          <w:rFonts w:ascii="Times New Roman" w:hAnsi="Times New Roman" w:cs="Times New Roman" w:eastAsia="Times New Roman"/>
          <w:color w:val="000000"/>
          <w:spacing w:val="0"/>
          <w:position w:val="0"/>
          <w:sz w:val="24"/>
          <w:shd w:fill="auto" w:val="clear"/>
        </w:rPr>
        <w:t xml:space="preserve">McKinsey &amp; Company, 2020, p.3).</w:t>
      </w:r>
    </w:p>
    <w:p>
      <w:pPr>
        <w:spacing w:before="0" w:after="200" w:line="48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Bottom-Line</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The electric vehicle market is rapidly growing to post various opportunities for investors. From manufacturing opportunities to servicing opportunities, individuals and enterprises can strategize on the best strategy to use while investing in this industry. However, as electric cars are gaining attention in the current automotive industry, other existing businesses are prone to vulnerability soon before EVs take over the world market. For instance, most petrol filling stations in the world would not be profitable in the long run. Today, petroleum products are the source of many countries' wealth with many enterprises as well as investors investing in. EVs would significantly reduce the demand for petroleum products affecting most businesses. Lastly, a shift towards electric mobility is expected to affect the employment of many people in the automotive industry (</w:t>
      </w:r>
      <w:r>
        <w:rPr>
          <w:rFonts w:ascii="Times New Roman" w:hAnsi="Times New Roman" w:cs="Times New Roman" w:eastAsia="Times New Roman"/>
          <w:color w:val="000000"/>
          <w:spacing w:val="0"/>
          <w:position w:val="0"/>
          <w:sz w:val="24"/>
          <w:shd w:fill="auto" w:val="clear"/>
        </w:rPr>
        <w:t xml:space="preserve">Johnson, 2017).</w:t>
      </w:r>
    </w:p>
    <w:p>
      <w:pPr>
        <w:spacing w:before="0" w:after="200" w:line="48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Conclusion</w:t>
      </w:r>
    </w:p>
    <w:p>
      <w:pPr>
        <w:spacing w:before="0" w:after="20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tab/>
        <w:t xml:space="preserve">The adoption of EVs in Europe is a huge step for the European countries in paving way for critical issues like sustainability that has been on the threat for decades. With the ongoing developments and some indicators suggest the union's significant potentials and advancement. In long-run, critical issues like ecosystem and business opportunities would mean a lot for the growth of the EU economy while providing a competitive edge globally. However, with the future that is somehow uncertain, it will require careful assessment of various factors to enable EVs adoption gears up for further growth challenging China's automotive economy that is at the peak. Therefore, there is no room for toleration to any business that is going to derail the progress of the EU hence; strict legislation, further incentives, and supported technology should be enhanced to increase the growth of the sector. </w:t>
      </w:r>
    </w:p>
    <w:p>
      <w:pPr>
        <w:spacing w:before="0" w:after="200" w:line="48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Bibliography</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Helmers, E. and Marx, P. (2012). Electric cars: technical characteristics and environmental impacts. </w:t>
      </w:r>
      <w:r>
        <w:rPr>
          <w:rFonts w:ascii="Times New Roman" w:hAnsi="Times New Roman" w:cs="Times New Roman" w:eastAsia="Times New Roman"/>
          <w:i/>
          <w:color w:val="000000"/>
          <w:spacing w:val="0"/>
          <w:position w:val="0"/>
          <w:sz w:val="24"/>
          <w:shd w:fill="auto" w:val="clear"/>
        </w:rPr>
        <w:t xml:space="preserve">Environmental Sciences Europe</w:t>
      </w:r>
      <w:r>
        <w:rPr>
          <w:rFonts w:ascii="Times New Roman" w:hAnsi="Times New Roman" w:cs="Times New Roman" w:eastAsia="Times New Roman"/>
          <w:color w:val="000000"/>
          <w:spacing w:val="0"/>
          <w:position w:val="0"/>
          <w:sz w:val="24"/>
          <w:shd w:fill="auto" w:val="clear"/>
        </w:rPr>
        <w:t xml:space="preserve">, 24(1).</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Johnson, E. (2017). What’s The Unintended Consequence Of Electric Cars?. </w:t>
      </w:r>
      <w:r>
        <w:rPr>
          <w:rFonts w:ascii="Times New Roman" w:hAnsi="Times New Roman" w:cs="Times New Roman" w:eastAsia="Times New Roman"/>
          <w:i/>
          <w:color w:val="000000"/>
          <w:spacing w:val="0"/>
          <w:position w:val="0"/>
          <w:sz w:val="24"/>
          <w:shd w:fill="auto" w:val="clear"/>
        </w:rPr>
        <w:t xml:space="preserve">Science Trends</w:t>
      </w:r>
      <w:r>
        <w:rPr>
          <w:rFonts w:ascii="Times New Roman" w:hAnsi="Times New Roman" w:cs="Times New Roman" w:eastAsia="Times New Roman"/>
          <w:color w:val="000000"/>
          <w:spacing w:val="0"/>
          <w:position w:val="0"/>
          <w:sz w:val="24"/>
          <w:shd w:fill="auto" w:val="clear"/>
        </w:rPr>
        <w:t xml:space="preserve">.</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Joshi, M. and Dixit, S. (2011). Enhancing Competitiveness of Indian Automobile Industry: A Study Using Porters Diamond Model. </w:t>
      </w:r>
      <w:r>
        <w:rPr>
          <w:rFonts w:ascii="Times New Roman" w:hAnsi="Times New Roman" w:cs="Times New Roman" w:eastAsia="Times New Roman"/>
          <w:i/>
          <w:color w:val="000000"/>
          <w:spacing w:val="0"/>
          <w:position w:val="0"/>
          <w:sz w:val="24"/>
          <w:shd w:fill="auto" w:val="clear"/>
        </w:rPr>
        <w:t xml:space="preserve">SSRN Electronic Journal</w:t>
      </w:r>
      <w:r>
        <w:rPr>
          <w:rFonts w:ascii="Times New Roman" w:hAnsi="Times New Roman" w:cs="Times New Roman" w:eastAsia="Times New Roman"/>
          <w:color w:val="000000"/>
          <w:spacing w:val="0"/>
          <w:position w:val="0"/>
          <w:sz w:val="24"/>
          <w:shd w:fill="auto" w:val="clear"/>
        </w:rPr>
        <w:t xml:space="preserve">.</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mafiadoc.com. (2020). </w:t>
      </w:r>
      <w:r>
        <w:rPr>
          <w:rFonts w:ascii="Times New Roman" w:hAnsi="Times New Roman" w:cs="Times New Roman" w:eastAsia="Times New Roman"/>
          <w:i/>
          <w:color w:val="000000"/>
          <w:spacing w:val="0"/>
          <w:position w:val="0"/>
          <w:sz w:val="24"/>
          <w:shd w:fill="auto" w:val="clear"/>
        </w:rPr>
        <w:t xml:space="preserve">Electric vehicles in Europe: Gearing up for a new phase? - MAFIADOC.COM</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auto" w:val="clear"/>
          </w:rPr>
          <w:t xml:space="preserve">https://mafiadoc.com/electric-vehicles-in-europe-gearing-up-for-a-new-phase_59c14f1c1723dde3106b0476.html</w:t>
        </w:r>
      </w:hyperlink>
      <w:r>
        <w:rPr>
          <w:rFonts w:ascii="Times New Roman" w:hAnsi="Times New Roman" w:cs="Times New Roman" w:eastAsia="Times New Roman"/>
          <w:color w:val="000000"/>
          <w:spacing w:val="0"/>
          <w:position w:val="0"/>
          <w:sz w:val="24"/>
          <w:shd w:fill="auto" w:val="clear"/>
        </w:rPr>
        <w:t xml:space="preserve"> [Accessed 22 Feb. 2020].</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McKinsey &amp; Company. (2020). </w:t>
      </w:r>
      <w:r>
        <w:rPr>
          <w:rFonts w:ascii="Times New Roman" w:hAnsi="Times New Roman" w:cs="Times New Roman" w:eastAsia="Times New Roman"/>
          <w:i/>
          <w:color w:val="000000"/>
          <w:spacing w:val="0"/>
          <w:position w:val="0"/>
          <w:sz w:val="24"/>
          <w:shd w:fill="auto" w:val="clear"/>
        </w:rPr>
        <w:t xml:space="preserve">Electric vehicles in Europe: Gearing up for a new phase?</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auto" w:val="clear"/>
          </w:rPr>
          <w:t xml:space="preserve">https://www.mckinsey.com/featured-insights/europe/electric-vehicles-in-europe-gearing-up-for-a-new-phase</w:t>
        </w:r>
      </w:hyperlink>
      <w:r>
        <w:rPr>
          <w:rFonts w:ascii="Times New Roman" w:hAnsi="Times New Roman" w:cs="Times New Roman" w:eastAsia="Times New Roman"/>
          <w:color w:val="000000"/>
          <w:spacing w:val="0"/>
          <w:position w:val="0"/>
          <w:sz w:val="24"/>
          <w:shd w:fill="auto" w:val="clear"/>
        </w:rPr>
        <w:t xml:space="preserve"> [Accessed 22 Feb. 2020].</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Mohelsky, L. (2013). Diversification of International Trade as Competitive Advantage: Case of Automotive Industry in Central and Eastern Europe. </w:t>
      </w:r>
      <w:r>
        <w:rPr>
          <w:rFonts w:ascii="Times New Roman" w:hAnsi="Times New Roman" w:cs="Times New Roman" w:eastAsia="Times New Roman"/>
          <w:i/>
          <w:color w:val="000000"/>
          <w:spacing w:val="0"/>
          <w:position w:val="0"/>
          <w:sz w:val="24"/>
          <w:shd w:fill="auto" w:val="clear"/>
        </w:rPr>
        <w:t xml:space="preserve">The Global Studies Journal</w:t>
      </w:r>
      <w:r>
        <w:rPr>
          <w:rFonts w:ascii="Times New Roman" w:hAnsi="Times New Roman" w:cs="Times New Roman" w:eastAsia="Times New Roman"/>
          <w:color w:val="000000"/>
          <w:spacing w:val="0"/>
          <w:position w:val="0"/>
          <w:sz w:val="24"/>
          <w:shd w:fill="auto" w:val="clear"/>
        </w:rPr>
        <w:t xml:space="preserve">, 5(2), pp.157-170.</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Mom, G. (2013). </w:t>
      </w:r>
      <w:r>
        <w:rPr>
          <w:rFonts w:ascii="Times New Roman" w:hAnsi="Times New Roman" w:cs="Times New Roman" w:eastAsia="Times New Roman"/>
          <w:i/>
          <w:color w:val="000000"/>
          <w:spacing w:val="0"/>
          <w:position w:val="0"/>
          <w:sz w:val="24"/>
          <w:shd w:fill="auto" w:val="clear"/>
        </w:rPr>
        <w:t xml:space="preserve">The electric vehicle</w:t>
      </w:r>
      <w:r>
        <w:rPr>
          <w:rFonts w:ascii="Times New Roman" w:hAnsi="Times New Roman" w:cs="Times New Roman" w:eastAsia="Times New Roman"/>
          <w:color w:val="000000"/>
          <w:spacing w:val="0"/>
          <w:position w:val="0"/>
          <w:sz w:val="24"/>
          <w:shd w:fill="auto" w:val="clear"/>
        </w:rPr>
        <w:t xml:space="preserve">. Baltimore: Johns Hopkins University Press.</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Muneer, T., Kolhe, M., and Doyle, A. (2017). </w:t>
      </w:r>
      <w:r>
        <w:rPr>
          <w:rFonts w:ascii="Times New Roman" w:hAnsi="Times New Roman" w:cs="Times New Roman" w:eastAsia="Times New Roman"/>
          <w:i/>
          <w:color w:val="000000"/>
          <w:spacing w:val="0"/>
          <w:position w:val="0"/>
          <w:sz w:val="24"/>
          <w:shd w:fill="auto" w:val="clear"/>
        </w:rPr>
        <w:t xml:space="preserve">Electric vehicles</w:t>
      </w:r>
      <w:r>
        <w:rPr>
          <w:rFonts w:ascii="Times New Roman" w:hAnsi="Times New Roman" w:cs="Times New Roman" w:eastAsia="Times New Roman"/>
          <w:color w:val="000000"/>
          <w:spacing w:val="0"/>
          <w:position w:val="0"/>
          <w:sz w:val="24"/>
          <w:shd w:fill="auto" w:val="clear"/>
        </w:rPr>
        <w:t xml:space="preserve">. Amsterdam: Elsevier.</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Mytna Kurekova, L. (2018). The automotive industry in Central Europe: A success?. </w:t>
      </w:r>
      <w:r>
        <w:rPr>
          <w:rFonts w:ascii="Times New Roman" w:hAnsi="Times New Roman" w:cs="Times New Roman" w:eastAsia="Times New Roman"/>
          <w:i/>
          <w:color w:val="000000"/>
          <w:spacing w:val="0"/>
          <w:position w:val="0"/>
          <w:sz w:val="24"/>
          <w:shd w:fill="auto" w:val="clear"/>
        </w:rPr>
        <w:t xml:space="preserve">IZA World of Labor</w:t>
      </w:r>
      <w:r>
        <w:rPr>
          <w:rFonts w:ascii="Times New Roman" w:hAnsi="Times New Roman" w:cs="Times New Roman" w:eastAsia="Times New Roman"/>
          <w:color w:val="000000"/>
          <w:spacing w:val="0"/>
          <w:position w:val="0"/>
          <w:sz w:val="24"/>
          <w:shd w:fill="auto" w:val="clear"/>
        </w:rPr>
        <w:t xml:space="preserve">.</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Nilsson, M. (2012). </w:t>
      </w:r>
      <w:r>
        <w:rPr>
          <w:rFonts w:ascii="Times New Roman" w:hAnsi="Times New Roman" w:cs="Times New Roman" w:eastAsia="Times New Roman"/>
          <w:i/>
          <w:color w:val="000000"/>
          <w:spacing w:val="0"/>
          <w:position w:val="0"/>
          <w:sz w:val="24"/>
          <w:shd w:fill="auto" w:val="clear"/>
        </w:rPr>
        <w:t xml:space="preserve">Paving the road to sustainable transport</w:t>
      </w:r>
      <w:r>
        <w:rPr>
          <w:rFonts w:ascii="Times New Roman" w:hAnsi="Times New Roman" w:cs="Times New Roman" w:eastAsia="Times New Roman"/>
          <w:color w:val="000000"/>
          <w:spacing w:val="0"/>
          <w:position w:val="0"/>
          <w:sz w:val="24"/>
          <w:shd w:fill="auto" w:val="clear"/>
        </w:rPr>
        <w:t xml:space="preserve">. London: Routledge.</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Ortar, N. and Ryghaug, M. (2019). Should All Cars Be Electric by 2025? The Electric Car Debate in Europe. </w:t>
      </w:r>
      <w:r>
        <w:rPr>
          <w:rFonts w:ascii="Times New Roman" w:hAnsi="Times New Roman" w:cs="Times New Roman" w:eastAsia="Times New Roman"/>
          <w:i/>
          <w:color w:val="000000"/>
          <w:spacing w:val="0"/>
          <w:position w:val="0"/>
          <w:sz w:val="24"/>
          <w:shd w:fill="auto" w:val="clear"/>
        </w:rPr>
        <w:t xml:space="preserve">Sustainability</w:t>
      </w:r>
      <w:r>
        <w:rPr>
          <w:rFonts w:ascii="Times New Roman" w:hAnsi="Times New Roman" w:cs="Times New Roman" w:eastAsia="Times New Roman"/>
          <w:color w:val="000000"/>
          <w:spacing w:val="0"/>
          <w:position w:val="0"/>
          <w:sz w:val="24"/>
          <w:shd w:fill="auto" w:val="clear"/>
        </w:rPr>
        <w:t xml:space="preserve">, 11(7), p.1868.</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Transportenvironment.org. (2020). [online]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https://www.transportenvironment.org/sites/te/files/publications/2019_06_Element%20Energy_Batteries_on_wheels_Technical_appendix.pdf</w:t>
        </w:r>
      </w:hyperlink>
      <w:r>
        <w:rPr>
          <w:rFonts w:ascii="Times New Roman" w:hAnsi="Times New Roman" w:cs="Times New Roman" w:eastAsia="Times New Roman"/>
          <w:color w:val="000000"/>
          <w:spacing w:val="0"/>
          <w:position w:val="0"/>
          <w:sz w:val="24"/>
          <w:shd w:fill="auto" w:val="clear"/>
        </w:rPr>
        <w:t xml:space="preserve"> [Accessed 22 Feb. 2020].</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Wegner, A. and Schwenker, B. (2020). The Automotive Industry under Scrutiny: Competition Law Developments in Europe. </w:t>
      </w:r>
      <w:r>
        <w:rPr>
          <w:rFonts w:ascii="Times New Roman" w:hAnsi="Times New Roman" w:cs="Times New Roman" w:eastAsia="Times New Roman"/>
          <w:i/>
          <w:color w:val="000000"/>
          <w:spacing w:val="0"/>
          <w:position w:val="0"/>
          <w:sz w:val="24"/>
          <w:shd w:fill="auto" w:val="clear"/>
        </w:rPr>
        <w:t xml:space="preserve">Journal of European Competition Law &amp; Practice</w:t>
      </w:r>
      <w:r>
        <w:rPr>
          <w:rFonts w:ascii="Times New Roman" w:hAnsi="Times New Roman" w:cs="Times New Roman" w:eastAsia="Times New Roman"/>
          <w:color w:val="000000"/>
          <w:spacing w:val="0"/>
          <w:position w:val="0"/>
          <w:sz w:val="24"/>
          <w:shd w:fill="auto" w:val="clear"/>
        </w:rPr>
        <w:t xml:space="preserve">.</w:t>
      </w:r>
    </w:p>
    <w:p>
      <w:pPr>
        <w:spacing w:before="0" w:after="200" w:line="480"/>
        <w:ind w:right="0" w:left="0" w:firstLine="0"/>
        <w:jc w:val="left"/>
        <w:rPr>
          <w:rFonts w:ascii="Calibri" w:hAnsi="Calibri" w:cs="Calibri" w:eastAsia="Calibri"/>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ckinsey.com/featured-insights/europe/electric-vehicles-in-europe-gearing-up-for-a-new-phase" Id="docRId1" Type="http://schemas.openxmlformats.org/officeDocument/2006/relationships/hyperlink" /><Relationship Target="numbering.xml" Id="docRId3" Type="http://schemas.openxmlformats.org/officeDocument/2006/relationships/numbering" /><Relationship TargetMode="External" Target="https://mafiadoc.com/electric-vehicles-in-europe-gearing-up-for-a-new-phase_59c14f1c1723dde3106b0476.html" Id="docRId0" Type="http://schemas.openxmlformats.org/officeDocument/2006/relationships/hyperlink" /><Relationship TargetMode="External" Target="https://www.transportenvironment.org/sites/te/files/publications/2019_06_Element%20Energy_Batteries_on_wheels_Technical_appendix.pdf" Id="docRId2" Type="http://schemas.openxmlformats.org/officeDocument/2006/relationships/hyperlink" /><Relationship Target="styles.xml" Id="docRId4" Type="http://schemas.openxmlformats.org/officeDocument/2006/relationships/styles" /></Relationships>
</file>