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69140866"/>
        <w:docPartObj>
          <w:docPartGallery w:val="Cover Pages"/>
          <w:docPartUnique/>
        </w:docPartObj>
      </w:sdtPr>
      <w:sdtContent>
        <w:p w14:paraId="50BF55E3" w14:textId="0C263B56" w:rsidR="00B41229" w:rsidRDefault="00B41229">
          <w:pPr>
            <w:pStyle w:val="NoSpacing"/>
          </w:pPr>
          <w:r>
            <w:rPr>
              <w:noProof/>
            </w:rPr>
            <mc:AlternateContent>
              <mc:Choice Requires="wpg">
                <w:drawing>
                  <wp:anchor distT="0" distB="0" distL="114300" distR="114300" simplePos="0" relativeHeight="251659264" behindDoc="1" locked="0" layoutInCell="1" allowOverlap="1" wp14:anchorId="574ED914" wp14:editId="06EAB886">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16T00:00:00Z">
                                      <w:dateFormat w:val="M/d/yyyy"/>
                                      <w:lid w:val="en-US"/>
                                      <w:storeMappedDataAs w:val="dateTime"/>
                                      <w:calendar w:val="gregorian"/>
                                    </w:date>
                                  </w:sdtPr>
                                  <w:sdtContent>
                                    <w:p w14:paraId="69530119" w14:textId="524FF920" w:rsidR="00B41229" w:rsidRDefault="00B41229">
                                      <w:pPr>
                                        <w:pStyle w:val="NoSpacing"/>
                                        <w:jc w:val="right"/>
                                        <w:rPr>
                                          <w:color w:val="FFFFFF" w:themeColor="background1"/>
                                          <w:sz w:val="28"/>
                                          <w:szCs w:val="28"/>
                                        </w:rPr>
                                      </w:pPr>
                                      <w:r>
                                        <w:rPr>
                                          <w:color w:val="FFFFFF" w:themeColor="background1"/>
                                          <w:sz w:val="28"/>
                                          <w:szCs w:val="28"/>
                                        </w:rPr>
                                        <w:t>11/16/2025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74ED914"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16T00:00:00Z">
                                <w:dateFormat w:val="M/d/yyyy"/>
                                <w:lid w:val="en-US"/>
                                <w:storeMappedDataAs w:val="dateTime"/>
                                <w:calendar w:val="gregorian"/>
                              </w:date>
                            </w:sdtPr>
                            <w:sdtContent>
                              <w:p w14:paraId="69530119" w14:textId="524FF920" w:rsidR="00B41229" w:rsidRDefault="00B41229">
                                <w:pPr>
                                  <w:pStyle w:val="NoSpacing"/>
                                  <w:jc w:val="right"/>
                                  <w:rPr>
                                    <w:color w:val="FFFFFF" w:themeColor="background1"/>
                                    <w:sz w:val="28"/>
                                    <w:szCs w:val="28"/>
                                  </w:rPr>
                                </w:pPr>
                                <w:r>
                                  <w:rPr>
                                    <w:color w:val="FFFFFF" w:themeColor="background1"/>
                                    <w:sz w:val="28"/>
                                    <w:szCs w:val="28"/>
                                  </w:rPr>
                                  <w:t>11/16/2025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5B5A180" wp14:editId="5401ADE0">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5DFBEB" w14:textId="0F3983F7" w:rsidR="00B41229" w:rsidRDefault="00B41229">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F81BD" w:themeColor="accent1"/>
                                        <w:sz w:val="26"/>
                                        <w:szCs w:val="26"/>
                                      </w:rPr>
                                      <w:t>Muhib Akbar (2333845)</w:t>
                                    </w:r>
                                  </w:sdtContent>
                                </w:sdt>
                              </w:p>
                              <w:p w14:paraId="20962610" w14:textId="61A82E51" w:rsidR="00B41229" w:rsidRDefault="00B4122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2333845@student.uwtsd.ac.uk</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5B5A180"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05DFBEB" w14:textId="0F3983F7" w:rsidR="00B41229" w:rsidRDefault="00B41229">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F81BD" w:themeColor="accent1"/>
                                  <w:sz w:val="26"/>
                                  <w:szCs w:val="26"/>
                                </w:rPr>
                                <w:t>Muhib Akbar (2333845)</w:t>
                              </w:r>
                            </w:sdtContent>
                          </w:sdt>
                        </w:p>
                        <w:p w14:paraId="20962610" w14:textId="61A82E51" w:rsidR="00B41229" w:rsidRDefault="00B4122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2333845@student.uwtsd.ac.uk</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F78464F" wp14:editId="242E4009">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3EF66D" w14:textId="7A6744BC" w:rsidR="00B41229" w:rsidRDefault="00B4122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B41229">
                                      <w:rPr>
                                        <w:rFonts w:asciiTheme="majorHAnsi" w:eastAsiaTheme="majorEastAsia" w:hAnsiTheme="majorHAnsi" w:cstheme="majorBidi"/>
                                        <w:color w:val="262626" w:themeColor="text1" w:themeTint="D9"/>
                                        <w:sz w:val="72"/>
                                        <w:szCs w:val="72"/>
                                      </w:rPr>
                                      <w:t>Developing and Managing Individuals and Teams (LCLM5002</w:t>
                                    </w:r>
                                    <w:r>
                                      <w:rPr>
                                        <w:rFonts w:asciiTheme="majorHAnsi" w:eastAsiaTheme="majorEastAsia" w:hAnsiTheme="majorHAnsi" w:cstheme="majorBidi"/>
                                        <w:color w:val="262626" w:themeColor="text1" w:themeTint="D9"/>
                                        <w:sz w:val="72"/>
                                        <w:szCs w:val="72"/>
                                      </w:rPr>
                                      <w:t>)</w:t>
                                    </w:r>
                                  </w:sdtContent>
                                </w:sdt>
                              </w:p>
                              <w:p w14:paraId="7980796D" w14:textId="078AD869" w:rsidR="00B41229" w:rsidRPr="00B41229" w:rsidRDefault="00B41229">
                                <w:pPr>
                                  <w:spacing w:before="120"/>
                                  <w:rPr>
                                    <w:b/>
                                    <w:bCs/>
                                    <w:color w:val="404040" w:themeColor="text1" w:themeTint="BF"/>
                                    <w:sz w:val="36"/>
                                    <w:szCs w:val="36"/>
                                  </w:rPr>
                                </w:pPr>
                                <w:sdt>
                                  <w:sdtPr>
                                    <w:rPr>
                                      <w:b/>
                                      <w:b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proofErr w:type="gramStart"/>
                                    <w:r>
                                      <w:rPr>
                                        <w:b/>
                                        <w:bCs/>
                                        <w:color w:val="404040" w:themeColor="text1" w:themeTint="BF"/>
                                        <w:sz w:val="36"/>
                                        <w:szCs w:val="36"/>
                                      </w:rPr>
                                      <w:t>Lecturer :</w:t>
                                    </w:r>
                                    <w:proofErr w:type="gramEnd"/>
                                    <w:r>
                                      <w:rPr>
                                        <w:b/>
                                        <w:bCs/>
                                        <w:color w:val="404040" w:themeColor="text1" w:themeTint="BF"/>
                                        <w:sz w:val="36"/>
                                        <w:szCs w:val="36"/>
                                      </w:rPr>
                                      <w:t xml:space="preserve"> </w:t>
                                    </w:r>
                                    <w:r w:rsidRPr="00B41229">
                                      <w:rPr>
                                        <w:b/>
                                        <w:bCs/>
                                        <w:color w:val="404040" w:themeColor="text1" w:themeTint="BF"/>
                                        <w:sz w:val="36"/>
                                        <w:szCs w:val="36"/>
                                      </w:rPr>
                                      <w:t>Mudassar Hasan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F78464F"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B3EF66D" w14:textId="7A6744BC" w:rsidR="00B41229" w:rsidRDefault="00B4122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B41229">
                                <w:rPr>
                                  <w:rFonts w:asciiTheme="majorHAnsi" w:eastAsiaTheme="majorEastAsia" w:hAnsiTheme="majorHAnsi" w:cstheme="majorBidi"/>
                                  <w:color w:val="262626" w:themeColor="text1" w:themeTint="D9"/>
                                  <w:sz w:val="72"/>
                                  <w:szCs w:val="72"/>
                                </w:rPr>
                                <w:t>Developing and Managing Individuals and Teams (LCLM5002</w:t>
                              </w:r>
                              <w:r>
                                <w:rPr>
                                  <w:rFonts w:asciiTheme="majorHAnsi" w:eastAsiaTheme="majorEastAsia" w:hAnsiTheme="majorHAnsi" w:cstheme="majorBidi"/>
                                  <w:color w:val="262626" w:themeColor="text1" w:themeTint="D9"/>
                                  <w:sz w:val="72"/>
                                  <w:szCs w:val="72"/>
                                </w:rPr>
                                <w:t>)</w:t>
                              </w:r>
                            </w:sdtContent>
                          </w:sdt>
                        </w:p>
                        <w:p w14:paraId="7980796D" w14:textId="078AD869" w:rsidR="00B41229" w:rsidRPr="00B41229" w:rsidRDefault="00B41229">
                          <w:pPr>
                            <w:spacing w:before="120"/>
                            <w:rPr>
                              <w:b/>
                              <w:bCs/>
                              <w:color w:val="404040" w:themeColor="text1" w:themeTint="BF"/>
                              <w:sz w:val="36"/>
                              <w:szCs w:val="36"/>
                            </w:rPr>
                          </w:pPr>
                          <w:sdt>
                            <w:sdtPr>
                              <w:rPr>
                                <w:b/>
                                <w:b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proofErr w:type="gramStart"/>
                              <w:r>
                                <w:rPr>
                                  <w:b/>
                                  <w:bCs/>
                                  <w:color w:val="404040" w:themeColor="text1" w:themeTint="BF"/>
                                  <w:sz w:val="36"/>
                                  <w:szCs w:val="36"/>
                                </w:rPr>
                                <w:t>Lecturer :</w:t>
                              </w:r>
                              <w:proofErr w:type="gramEnd"/>
                              <w:r>
                                <w:rPr>
                                  <w:b/>
                                  <w:bCs/>
                                  <w:color w:val="404040" w:themeColor="text1" w:themeTint="BF"/>
                                  <w:sz w:val="36"/>
                                  <w:szCs w:val="36"/>
                                </w:rPr>
                                <w:t xml:space="preserve"> </w:t>
                              </w:r>
                              <w:r w:rsidRPr="00B41229">
                                <w:rPr>
                                  <w:b/>
                                  <w:bCs/>
                                  <w:color w:val="404040" w:themeColor="text1" w:themeTint="BF"/>
                                  <w:sz w:val="36"/>
                                  <w:szCs w:val="36"/>
                                </w:rPr>
                                <w:t>Mudassar Hasan</w:t>
                              </w:r>
                            </w:sdtContent>
                          </w:sdt>
                        </w:p>
                      </w:txbxContent>
                    </v:textbox>
                    <w10:wrap anchorx="page" anchory="page"/>
                  </v:shape>
                </w:pict>
              </mc:Fallback>
            </mc:AlternateContent>
          </w:r>
        </w:p>
        <w:p w14:paraId="56006C99" w14:textId="267D09F3" w:rsidR="00B41229" w:rsidRDefault="00B41229">
          <w:pPr>
            <w:rPr>
              <w:rFonts w:asciiTheme="majorHAnsi" w:eastAsiaTheme="majorEastAsia" w:hAnsiTheme="majorHAnsi" w:cstheme="majorBidi"/>
              <w:color w:val="17365D" w:themeColor="text2" w:themeShade="BF"/>
              <w:spacing w:val="5"/>
              <w:kern w:val="28"/>
              <w:sz w:val="52"/>
              <w:szCs w:val="52"/>
            </w:rPr>
          </w:pPr>
          <w:r>
            <w:br w:type="page"/>
          </w:r>
        </w:p>
      </w:sdtContent>
    </w:sdt>
    <w:p w14:paraId="0EAF1F3A" w14:textId="4A16567A" w:rsidR="009A3ED7" w:rsidRPr="00B41229" w:rsidRDefault="00C86174">
      <w:pPr>
        <w:pStyle w:val="Title"/>
        <w:rPr>
          <w:rFonts w:ascii="Arial" w:hAnsi="Arial" w:cs="Arial"/>
        </w:rPr>
      </w:pPr>
      <w:r w:rsidRPr="00B41229">
        <w:rPr>
          <w:rFonts w:ascii="Arial" w:hAnsi="Arial" w:cs="Arial"/>
        </w:rPr>
        <w:lastRenderedPageBreak/>
        <w:t>FORMAL HR REPORT</w:t>
      </w:r>
    </w:p>
    <w:p w14:paraId="6F4DA632" w14:textId="77777777" w:rsidR="009A3ED7" w:rsidRPr="00B41229" w:rsidRDefault="00C86174">
      <w:pPr>
        <w:rPr>
          <w:rFonts w:ascii="Arial" w:hAnsi="Arial" w:cs="Arial"/>
        </w:rPr>
      </w:pPr>
      <w:r w:rsidRPr="00B41229">
        <w:rPr>
          <w:rFonts w:ascii="Arial" w:hAnsi="Arial" w:cs="Arial"/>
        </w:rPr>
        <w:t>Addressing Employee Grievances Linked to Organisational Change, Digital Transformation, and Flexible Working</w:t>
      </w:r>
    </w:p>
    <w:p w14:paraId="10EDC55D" w14:textId="77777777" w:rsidR="009A3ED7" w:rsidRPr="00B41229" w:rsidRDefault="00C86174">
      <w:pPr>
        <w:rPr>
          <w:rFonts w:ascii="Arial" w:hAnsi="Arial" w:cs="Arial"/>
        </w:rPr>
      </w:pPr>
      <w:r w:rsidRPr="00B41229">
        <w:rPr>
          <w:rFonts w:ascii="Arial" w:hAnsi="Arial" w:cs="Arial"/>
        </w:rPr>
        <w:t>Organisation: Cadbury (Mondelēz International), Bournville – Birmingham</w:t>
      </w:r>
    </w:p>
    <w:p w14:paraId="0CB93FF4" w14:textId="77777777" w:rsidR="009A3ED7" w:rsidRPr="00B41229" w:rsidRDefault="00C86174">
      <w:pPr>
        <w:rPr>
          <w:rFonts w:ascii="Arial" w:hAnsi="Arial" w:cs="Arial"/>
        </w:rPr>
      </w:pPr>
      <w:r w:rsidRPr="00B41229">
        <w:rPr>
          <w:rFonts w:ascii="Arial" w:hAnsi="Arial" w:cs="Arial"/>
        </w:rPr>
        <w:t>Author: HR Officer</w:t>
      </w:r>
    </w:p>
    <w:p w14:paraId="39D72BD6" w14:textId="47C98A42" w:rsidR="009A3ED7" w:rsidRDefault="00C86174">
      <w:r>
        <w:t xml:space="preserve">Date: </w:t>
      </w:r>
      <w:r w:rsidR="00B41229">
        <w:t>[</w:t>
      </w:r>
      <w:r w:rsidR="00B41229" w:rsidRPr="00B41229">
        <w:rPr>
          <w:rFonts w:ascii="Arial" w:hAnsi="Arial" w:cs="Arial"/>
        </w:rPr>
        <w:t>16:11:2005</w:t>
      </w:r>
      <w:r w:rsidR="00B41229">
        <w:rPr>
          <w:rFonts w:ascii="Arial" w:hAnsi="Arial" w:cs="Arial"/>
        </w:rPr>
        <w:t>]</w:t>
      </w:r>
    </w:p>
    <w:p w14:paraId="0EB9936D" w14:textId="77777777" w:rsidR="009A3ED7" w:rsidRDefault="00C86174">
      <w:pPr>
        <w:pStyle w:val="Heading1"/>
      </w:pPr>
      <w:r>
        <w:t>INTRODUCTION</w:t>
      </w:r>
    </w:p>
    <w:p w14:paraId="0059788B" w14:textId="74192F16" w:rsidR="009A3ED7" w:rsidRPr="00481A89" w:rsidRDefault="00C86174">
      <w:pPr>
        <w:rPr>
          <w:rFonts w:ascii="Arial" w:hAnsi="Arial" w:cs="Arial"/>
        </w:rPr>
      </w:pPr>
      <w:r w:rsidRPr="00481A89">
        <w:rPr>
          <w:rFonts w:ascii="Arial" w:hAnsi="Arial" w:cs="Arial"/>
        </w:rPr>
        <w:t xml:space="preserve">Cadbury’s Bournville site in Birmingham is experiencing significant changes as part of Mondelēz International’s efforts to modernise manufacturing, enhance operational efficiency and maintain competitiveness. Early indicators from the HR department show a noticeable rise in employee grievances, largely connected to three </w:t>
      </w:r>
      <w:r w:rsidR="00481A89" w:rsidRPr="00481A89">
        <w:rPr>
          <w:rFonts w:ascii="Arial" w:hAnsi="Arial" w:cs="Arial"/>
        </w:rPr>
        <w:t>interrelated</w:t>
      </w:r>
      <w:r w:rsidRPr="00481A89">
        <w:rPr>
          <w:rFonts w:ascii="Arial" w:hAnsi="Arial" w:cs="Arial"/>
        </w:rPr>
        <w:t xml:space="preserve"> areas: </w:t>
      </w:r>
      <w:proofErr w:type="spellStart"/>
      <w:r w:rsidRPr="00481A89">
        <w:rPr>
          <w:rFonts w:ascii="Arial" w:hAnsi="Arial" w:cs="Arial"/>
        </w:rPr>
        <w:t>organisational</w:t>
      </w:r>
      <w:proofErr w:type="spellEnd"/>
      <w:r w:rsidRPr="00481A89">
        <w:rPr>
          <w:rFonts w:ascii="Arial" w:hAnsi="Arial" w:cs="Arial"/>
        </w:rPr>
        <w:t xml:space="preserve"> transformation, increased digital technology adoption and evolving flexible working arrangements. Literature suggests that transitions of this nature often prompt employee anxiety, uncertainty and resistance when communication and engagement are lacking (Morgan et al., 2024).</w:t>
      </w:r>
    </w:p>
    <w:p w14:paraId="03722BF7" w14:textId="1ED01961" w:rsidR="009A3ED7" w:rsidRPr="00481A89" w:rsidRDefault="00C86174">
      <w:pPr>
        <w:rPr>
          <w:rFonts w:ascii="Arial" w:hAnsi="Arial" w:cs="Arial"/>
        </w:rPr>
      </w:pPr>
      <w:r w:rsidRPr="00481A89">
        <w:rPr>
          <w:rFonts w:ascii="Arial" w:hAnsi="Arial" w:cs="Arial"/>
        </w:rPr>
        <w:t xml:space="preserve">Given Cadbury’s </w:t>
      </w:r>
      <w:r w:rsidR="00481A89" w:rsidRPr="00481A89">
        <w:rPr>
          <w:rFonts w:ascii="Arial" w:hAnsi="Arial" w:cs="Arial"/>
        </w:rPr>
        <w:t>long</w:t>
      </w:r>
      <w:r w:rsidR="00481A89">
        <w:rPr>
          <w:rFonts w:ascii="Cambria Math" w:hAnsi="Cambria Math" w:cs="Cambria Math"/>
        </w:rPr>
        <w:t>-standing</w:t>
      </w:r>
      <w:r w:rsidRPr="00481A89">
        <w:rPr>
          <w:rFonts w:ascii="Arial" w:hAnsi="Arial" w:cs="Arial"/>
        </w:rPr>
        <w:t xml:space="preserve"> heritage and sizeable workforce, it is critical to manage these changes in a considered, inclusive manner. This report examines the internal factors contributing to the grievances, evaluates relevant modern HR practices to address them, assesses how departmental managers can drive effective implementation, and concludes with recommendations aimed at strengthening employee relations and operational resilience.</w:t>
      </w:r>
    </w:p>
    <w:p w14:paraId="4E0D5070" w14:textId="77777777" w:rsidR="009A3ED7" w:rsidRDefault="00C86174">
      <w:pPr>
        <w:pStyle w:val="Heading1"/>
      </w:pPr>
      <w:r>
        <w:t>1. FACTORS RELATED TO BUSINESS TRANSFORMATION, DIGITAL TECHNOLOGY TRENDS AND FLEXIBLE WORKING</w:t>
      </w:r>
    </w:p>
    <w:p w14:paraId="3FBEE2F0" w14:textId="77777777" w:rsidR="00481A89" w:rsidRPr="00425F72" w:rsidRDefault="00481A89" w:rsidP="00481A89">
      <w:pPr>
        <w:spacing w:after="160" w:line="278" w:lineRule="auto"/>
        <w:rPr>
          <w:rFonts w:ascii="Arial" w:hAnsi="Arial" w:cs="Arial"/>
        </w:rPr>
      </w:pPr>
      <w:r w:rsidRPr="00425F72">
        <w:rPr>
          <w:rFonts w:ascii="Arial" w:hAnsi="Arial" w:cs="Arial"/>
        </w:rPr>
        <w:t xml:space="preserve">Cadbury is currently reshaping its production and support processes to respond to global pressures such as sustainability targets, increasingly competitive markets, and the imperatives of lean manufacturing. This transformation necessitates restructuring teams, redefining roles, and revising process flows—changes that are characteristic of UK manufacturing under </w:t>
      </w:r>
      <w:proofErr w:type="spellStart"/>
      <w:r w:rsidRPr="00425F72">
        <w:rPr>
          <w:rFonts w:ascii="Arial" w:hAnsi="Arial" w:cs="Arial"/>
        </w:rPr>
        <w:t>modernisation</w:t>
      </w:r>
      <w:proofErr w:type="spellEnd"/>
      <w:r w:rsidRPr="00425F72">
        <w:rPr>
          <w:rFonts w:ascii="Arial" w:hAnsi="Arial" w:cs="Arial"/>
        </w:rPr>
        <w:t xml:space="preserve"> agendas (Bryan &amp; Sevilla, 2017). While such </w:t>
      </w:r>
      <w:proofErr w:type="spellStart"/>
      <w:r w:rsidRPr="00425F72">
        <w:rPr>
          <w:rFonts w:ascii="Arial" w:hAnsi="Arial" w:cs="Arial"/>
        </w:rPr>
        <w:t>organisational</w:t>
      </w:r>
      <w:proofErr w:type="spellEnd"/>
      <w:r w:rsidRPr="00425F72">
        <w:rPr>
          <w:rFonts w:ascii="Arial" w:hAnsi="Arial" w:cs="Arial"/>
        </w:rPr>
        <w:t xml:space="preserve"> change is intended to enhance efficiency and competitiveness, it can also create considerable uncertainty among employees, particularly when well-established routines and practices are disrupted. The disruption of familiar workflows can make staff feel unsettled, as longstanding habits are replaced by new methods and expectations. Employees may experience anxiety not only about their immediate tasks but also about their broader career security within the company, particularly when the scope of their responsibilities is unclear.</w:t>
      </w:r>
    </w:p>
    <w:p w14:paraId="1914E868" w14:textId="2363BD0B" w:rsidR="00481A89" w:rsidRPr="00425F72" w:rsidRDefault="00481A89" w:rsidP="00481A89">
      <w:pPr>
        <w:spacing w:after="160" w:line="278" w:lineRule="auto"/>
        <w:rPr>
          <w:rFonts w:ascii="Arial" w:hAnsi="Arial" w:cs="Arial"/>
        </w:rPr>
      </w:pPr>
      <w:r w:rsidRPr="00425F72">
        <w:rPr>
          <w:rFonts w:ascii="Arial" w:hAnsi="Arial" w:cs="Arial"/>
        </w:rPr>
        <w:lastRenderedPageBreak/>
        <w:t xml:space="preserve">Research highlights that employees tend to interpret </w:t>
      </w:r>
      <w:proofErr w:type="spellStart"/>
      <w:r w:rsidRPr="00425F72">
        <w:rPr>
          <w:rFonts w:ascii="Arial" w:hAnsi="Arial" w:cs="Arial"/>
        </w:rPr>
        <w:t>organisational</w:t>
      </w:r>
      <w:proofErr w:type="spellEnd"/>
      <w:r w:rsidRPr="00425F72">
        <w:rPr>
          <w:rFonts w:ascii="Arial" w:hAnsi="Arial" w:cs="Arial"/>
        </w:rPr>
        <w:t xml:space="preserve"> change in highly personal terms, with potential impacts on job security, role clarity, and perceptions of fairness (Tsai &amp; Harrison, 2019). At Cadbury’s </w:t>
      </w:r>
      <w:r w:rsidRPr="00425F72">
        <w:rPr>
          <w:rFonts w:ascii="Arial" w:hAnsi="Arial" w:cs="Arial"/>
        </w:rPr>
        <w:t>Bourneville</w:t>
      </w:r>
      <w:r w:rsidRPr="00425F72">
        <w:rPr>
          <w:rFonts w:ascii="Arial" w:hAnsi="Arial" w:cs="Arial"/>
        </w:rPr>
        <w:t xml:space="preserve"> site, employee grievances have often </w:t>
      </w:r>
      <w:r w:rsidRPr="00425F72">
        <w:rPr>
          <w:rFonts w:ascii="Arial" w:hAnsi="Arial" w:cs="Arial"/>
        </w:rPr>
        <w:t>centered</w:t>
      </w:r>
      <w:r w:rsidRPr="00425F72">
        <w:rPr>
          <w:rFonts w:ascii="Arial" w:hAnsi="Arial" w:cs="Arial"/>
        </w:rPr>
        <w:t xml:space="preserve"> on unclear communication regarding role redesign, limited consultation, and ambiguity around new expectations. When employees feel excluded from decision-making or insufficiently informed, resistance, frustration, and disengagement are more likely to emerge (Morgan et al., 2024). In workplaces where roles have been long established and cultural norms deeply ingrained; these reactions are even more pronounced. Employees may also perceive that decision-making is top-down, leading to a sense that their experience and input are undervalued, which can further diminish morale and trust.</w:t>
      </w:r>
    </w:p>
    <w:p w14:paraId="5224A1BE" w14:textId="77777777" w:rsidR="00481A89" w:rsidRPr="00425F72" w:rsidRDefault="00481A89" w:rsidP="00481A89">
      <w:pPr>
        <w:spacing w:after="160" w:line="278" w:lineRule="auto"/>
        <w:rPr>
          <w:rFonts w:ascii="Arial" w:hAnsi="Arial" w:cs="Arial"/>
        </w:rPr>
      </w:pPr>
      <w:r w:rsidRPr="00425F72">
        <w:rPr>
          <w:rFonts w:ascii="Arial" w:hAnsi="Arial" w:cs="Arial"/>
        </w:rPr>
        <w:t>Digital transformation is another major element of Cadbury’s ongoing changes, encompassing automated production machinery, cloud-based collaboration tools, and advanced HR systems. Although these developments are designed to improve efficiency and streamline processes, they also reveal differences in digital confidence and capability among employees. Research indicates that successful implementation of digital initiatives requires alignment between technological advancements and the workforce’s skills and experience (Akter et al., 2023). Without sufficient training and support, employees may struggle to use new tools effectively, which can create frustration and slow the adoption of technology.</w:t>
      </w:r>
    </w:p>
    <w:p w14:paraId="625DC632" w14:textId="4485845F" w:rsidR="00481A89" w:rsidRPr="00425F72" w:rsidRDefault="00481A89" w:rsidP="00481A89">
      <w:pPr>
        <w:spacing w:after="160" w:line="278" w:lineRule="auto"/>
        <w:rPr>
          <w:rFonts w:ascii="Arial" w:hAnsi="Arial" w:cs="Arial"/>
        </w:rPr>
      </w:pPr>
      <w:r w:rsidRPr="00425F72">
        <w:rPr>
          <w:rFonts w:ascii="Arial" w:hAnsi="Arial" w:cs="Arial"/>
        </w:rPr>
        <w:t xml:space="preserve">At </w:t>
      </w:r>
      <w:r w:rsidRPr="00425F72">
        <w:rPr>
          <w:rFonts w:ascii="Arial" w:hAnsi="Arial" w:cs="Arial"/>
        </w:rPr>
        <w:t>Bourneville</w:t>
      </w:r>
      <w:r w:rsidRPr="00425F72">
        <w:rPr>
          <w:rFonts w:ascii="Arial" w:hAnsi="Arial" w:cs="Arial"/>
        </w:rPr>
        <w:t>, some employees have expressed concerns regarding the reliability of new systems, the implications of digital monitoring, and the long-term effects of automation on their roles. Those engaged in hybrid working report additional challenges, such as digital fatigue caused by prolonged screen time and the demands of navigating multiple online platforms. These experiences mirror broader trends in modern workplaces, where continuous digital engagement can impact employee wellbeing, concentration, and productivity (López-Gómez &amp; Leal-Ayala, 2019). Staff may feel constant pressure to remain visible online, which can blur boundaries between work and personal life and contribute to increased stress levels.</w:t>
      </w:r>
    </w:p>
    <w:p w14:paraId="428953A4" w14:textId="77777777" w:rsidR="00481A89" w:rsidRPr="00425F72" w:rsidRDefault="00481A89" w:rsidP="00481A89">
      <w:pPr>
        <w:spacing w:after="160" w:line="278" w:lineRule="auto"/>
        <w:rPr>
          <w:rFonts w:ascii="Arial" w:hAnsi="Arial" w:cs="Arial"/>
        </w:rPr>
      </w:pPr>
      <w:r w:rsidRPr="00425F72">
        <w:rPr>
          <w:rFonts w:ascii="Arial" w:hAnsi="Arial" w:cs="Arial"/>
        </w:rPr>
        <w:t xml:space="preserve">Flexible working arrangements at Cadbury are applied inconsistently across different roles. Office-based staff often benefit from hybrid schedules, whereas production employees remain constrained by the rigid demands of shift-based manufacturing. This uneven application fosters perceptions of unfairness and unequal treatment, potentially reducing morale among employees who feel disadvantaged (Bryan &amp; Sevilla, 2017). Common grievances highlight inconsistent managerial expectations for remote work, unequal visibility of employees across teams, and limited access to communication channels for those on shift patterns. Shift-based workers frequently worry about missing essential updates or announcements when communications are primarily digital. Research </w:t>
      </w:r>
      <w:proofErr w:type="spellStart"/>
      <w:r w:rsidRPr="00425F72">
        <w:rPr>
          <w:rFonts w:ascii="Arial" w:hAnsi="Arial" w:cs="Arial"/>
        </w:rPr>
        <w:t>emphasises</w:t>
      </w:r>
      <w:proofErr w:type="spellEnd"/>
      <w:r w:rsidRPr="00425F72">
        <w:rPr>
          <w:rFonts w:ascii="Arial" w:hAnsi="Arial" w:cs="Arial"/>
        </w:rPr>
        <w:t xml:space="preserve"> that equitable communication channels are crucial for maintaining trust, inclusion, and a sense of fairness in </w:t>
      </w:r>
      <w:proofErr w:type="spellStart"/>
      <w:r w:rsidRPr="00425F72">
        <w:rPr>
          <w:rFonts w:ascii="Arial" w:hAnsi="Arial" w:cs="Arial"/>
        </w:rPr>
        <w:t>organisations</w:t>
      </w:r>
      <w:proofErr w:type="spellEnd"/>
      <w:r w:rsidRPr="00425F72">
        <w:rPr>
          <w:rFonts w:ascii="Arial" w:hAnsi="Arial" w:cs="Arial"/>
        </w:rPr>
        <w:t xml:space="preserve"> undergoing change (Morgan et al., 2024). Employees are more likely to remain engaged and committed when they feel informed, valued, and treated fairly, regardless of their role or working pattern.</w:t>
      </w:r>
    </w:p>
    <w:p w14:paraId="6DC250B9" w14:textId="77777777" w:rsidR="009A3ED7" w:rsidRDefault="00C86174">
      <w:pPr>
        <w:pStyle w:val="Heading1"/>
      </w:pPr>
      <w:r>
        <w:lastRenderedPageBreak/>
        <w:t>2. EVALUATION OF CONTEMPORARY HR PRACTICES</w:t>
      </w:r>
    </w:p>
    <w:p w14:paraId="10737BAF" w14:textId="2E511420" w:rsidR="004A21EB" w:rsidRPr="00425F72" w:rsidRDefault="004A21EB" w:rsidP="004A21EB">
      <w:pPr>
        <w:spacing w:after="160" w:line="278" w:lineRule="auto"/>
        <w:rPr>
          <w:rFonts w:ascii="Arial" w:hAnsi="Arial" w:cs="Arial"/>
        </w:rPr>
      </w:pPr>
      <w:r w:rsidRPr="00425F72">
        <w:rPr>
          <w:rFonts w:ascii="Arial" w:hAnsi="Arial" w:cs="Arial"/>
        </w:rPr>
        <w:t xml:space="preserve">Adopting structured change management models is essential in helping employees navigate both the emotional and practical implications of </w:t>
      </w:r>
      <w:proofErr w:type="spellStart"/>
      <w:r w:rsidRPr="00425F72">
        <w:rPr>
          <w:rFonts w:ascii="Arial" w:hAnsi="Arial" w:cs="Arial"/>
        </w:rPr>
        <w:t>organisational</w:t>
      </w:r>
      <w:proofErr w:type="spellEnd"/>
      <w:r w:rsidRPr="00425F72">
        <w:rPr>
          <w:rFonts w:ascii="Arial" w:hAnsi="Arial" w:cs="Arial"/>
        </w:rPr>
        <w:t xml:space="preserve"> change (Bridges, 2009). These models provide a clear framework for understanding what is changing, why it is necessary, and how it will affect individual roles, which can be especially valuable in complex or long-standing </w:t>
      </w:r>
      <w:proofErr w:type="spellStart"/>
      <w:r w:rsidRPr="00425F72">
        <w:rPr>
          <w:rFonts w:ascii="Arial" w:hAnsi="Arial" w:cs="Arial"/>
        </w:rPr>
        <w:t>organisations</w:t>
      </w:r>
      <w:proofErr w:type="spellEnd"/>
      <w:r w:rsidRPr="00425F72">
        <w:rPr>
          <w:rFonts w:ascii="Arial" w:hAnsi="Arial" w:cs="Arial"/>
        </w:rPr>
        <w:t xml:space="preserve">. When combined with clear, consistent, and transparent communication—through briefings, web-links, interactive Q&amp;A sessions, and regular </w:t>
      </w:r>
      <w:r w:rsidRPr="00425F72">
        <w:rPr>
          <w:rFonts w:ascii="Arial" w:hAnsi="Arial" w:cs="Arial"/>
        </w:rPr>
        <w:t xml:space="preserve">updates, </w:t>
      </w:r>
      <w:r w:rsidRPr="00425F72">
        <w:rPr>
          <w:rFonts w:ascii="Arial" w:hAnsi="Arial" w:cs="Arial"/>
        </w:rPr>
        <w:t xml:space="preserve">employees are better able to anticipate changes, reducing uncertainty and fostering trust in management. Clear communication also signals that employee understanding is valued, which strengthens credibility, mitigates fear, and reduces anxiety often associated with periods of </w:t>
      </w:r>
      <w:proofErr w:type="spellStart"/>
      <w:r w:rsidRPr="00425F72">
        <w:rPr>
          <w:rFonts w:ascii="Arial" w:hAnsi="Arial" w:cs="Arial"/>
        </w:rPr>
        <w:t>organisational</w:t>
      </w:r>
      <w:proofErr w:type="spellEnd"/>
      <w:r w:rsidRPr="00425F72">
        <w:rPr>
          <w:rFonts w:ascii="Arial" w:hAnsi="Arial" w:cs="Arial"/>
        </w:rPr>
        <w:t xml:space="preserve"> transformation.</w:t>
      </w:r>
    </w:p>
    <w:p w14:paraId="395C9EC0" w14:textId="77777777" w:rsidR="004A21EB" w:rsidRPr="00425F72" w:rsidRDefault="004A21EB" w:rsidP="004A21EB">
      <w:pPr>
        <w:spacing w:after="160" w:line="278" w:lineRule="auto"/>
        <w:rPr>
          <w:rFonts w:ascii="Arial" w:hAnsi="Arial" w:cs="Arial"/>
        </w:rPr>
      </w:pPr>
      <w:r w:rsidRPr="00425F72">
        <w:rPr>
          <w:rFonts w:ascii="Arial" w:hAnsi="Arial" w:cs="Arial"/>
        </w:rPr>
        <w:t xml:space="preserve">Involving employees directly in consultation groups, feedback forums, and process redesign initiatives can significantly improve engagement and reduce resistance to change (Tsai &amp; Harrison, 2019). When staff feel that their opinions are genuinely considered, they develop a sense of ownership over the changes, rather than perceiving them as imposed by management. Alongside engagement, skills audits and structured reskilling pathways are critical. These initiatives assess gaps between existing competencies and the requirements of new roles, ensuring employees are equipped to succeed. Providing comprehensive training and career development opportunities not only enhances capability but also reinforces a sense of fairness and </w:t>
      </w:r>
      <w:proofErr w:type="spellStart"/>
      <w:r w:rsidRPr="00425F72">
        <w:rPr>
          <w:rFonts w:ascii="Arial" w:hAnsi="Arial" w:cs="Arial"/>
        </w:rPr>
        <w:t>organisational</w:t>
      </w:r>
      <w:proofErr w:type="spellEnd"/>
      <w:r w:rsidRPr="00425F72">
        <w:rPr>
          <w:rFonts w:ascii="Arial" w:hAnsi="Arial" w:cs="Arial"/>
        </w:rPr>
        <w:t xml:space="preserve"> support during transitions. Employees who feel supported are more likely to engage constructively with change, rather than resist it.</w:t>
      </w:r>
    </w:p>
    <w:p w14:paraId="3142EBBD" w14:textId="2942B5BF" w:rsidR="004A21EB" w:rsidRPr="00425F72" w:rsidRDefault="004A21EB" w:rsidP="004A21EB">
      <w:pPr>
        <w:spacing w:after="160" w:line="278" w:lineRule="auto"/>
        <w:rPr>
          <w:rFonts w:ascii="Arial" w:hAnsi="Arial" w:cs="Arial"/>
        </w:rPr>
      </w:pPr>
      <w:r w:rsidRPr="00425F72">
        <w:rPr>
          <w:rFonts w:ascii="Arial" w:hAnsi="Arial" w:cs="Arial"/>
        </w:rPr>
        <w:t xml:space="preserve">Tailored digital training </w:t>
      </w:r>
      <w:r w:rsidRPr="00425F72">
        <w:rPr>
          <w:rFonts w:ascii="Arial" w:hAnsi="Arial" w:cs="Arial"/>
        </w:rPr>
        <w:t>programs</w:t>
      </w:r>
      <w:r w:rsidRPr="00425F72">
        <w:rPr>
          <w:rFonts w:ascii="Arial" w:hAnsi="Arial" w:cs="Arial"/>
        </w:rPr>
        <w:t xml:space="preserve"> are particularly important in </w:t>
      </w:r>
      <w:proofErr w:type="spellStart"/>
      <w:r w:rsidRPr="00425F72">
        <w:rPr>
          <w:rFonts w:ascii="Arial" w:hAnsi="Arial" w:cs="Arial"/>
        </w:rPr>
        <w:t>organisations</w:t>
      </w:r>
      <w:proofErr w:type="spellEnd"/>
      <w:r w:rsidRPr="00425F72">
        <w:rPr>
          <w:rFonts w:ascii="Arial" w:hAnsi="Arial" w:cs="Arial"/>
        </w:rPr>
        <w:t xml:space="preserve"> undergoing technological transformation, such as Cadbury. </w:t>
      </w:r>
      <w:r w:rsidRPr="00425F72">
        <w:rPr>
          <w:rFonts w:ascii="Arial" w:hAnsi="Arial" w:cs="Arial"/>
        </w:rPr>
        <w:t>Programs</w:t>
      </w:r>
      <w:r w:rsidRPr="00425F72">
        <w:rPr>
          <w:rFonts w:ascii="Arial" w:hAnsi="Arial" w:cs="Arial"/>
        </w:rPr>
        <w:t xml:space="preserve"> that combine modular learning, peer mentoring, departmental “digital champions,” and interactive workshops enable employees to develop confidence gradually, accommodating different levels of digital literacy (Akter et al., 2023). </w:t>
      </w:r>
      <w:proofErr w:type="spellStart"/>
      <w:r w:rsidRPr="00425F72">
        <w:rPr>
          <w:rFonts w:ascii="Arial" w:hAnsi="Arial" w:cs="Arial"/>
        </w:rPr>
        <w:t>Recognising</w:t>
      </w:r>
      <w:proofErr w:type="spellEnd"/>
      <w:r w:rsidRPr="00425F72">
        <w:rPr>
          <w:rFonts w:ascii="Arial" w:hAnsi="Arial" w:cs="Arial"/>
        </w:rPr>
        <w:t xml:space="preserve"> that employees have diverse skills and comfort with technology prevents a uniform approach that can alienate or overwhelm staff. These </w:t>
      </w:r>
      <w:r w:rsidRPr="00425F72">
        <w:rPr>
          <w:rFonts w:ascii="Arial" w:hAnsi="Arial" w:cs="Arial"/>
        </w:rPr>
        <w:t>programs</w:t>
      </w:r>
      <w:r w:rsidRPr="00425F72">
        <w:rPr>
          <w:rFonts w:ascii="Arial" w:hAnsi="Arial" w:cs="Arial"/>
        </w:rPr>
        <w:t xml:space="preserve"> create opportunities for learning at multiple levels, ensuring that technological advancements are accessible, reducing anxiety, and fostering inclusion across the workforce.</w:t>
      </w:r>
    </w:p>
    <w:p w14:paraId="6F5A9024" w14:textId="77777777" w:rsidR="004A21EB" w:rsidRPr="00425F72" w:rsidRDefault="004A21EB" w:rsidP="004A21EB">
      <w:pPr>
        <w:spacing w:after="160" w:line="278" w:lineRule="auto"/>
        <w:rPr>
          <w:rFonts w:ascii="Arial" w:hAnsi="Arial" w:cs="Arial"/>
        </w:rPr>
      </w:pPr>
      <w:r w:rsidRPr="00425F72">
        <w:rPr>
          <w:rFonts w:ascii="Arial" w:hAnsi="Arial" w:cs="Arial"/>
        </w:rPr>
        <w:t>Transparency around digital monitoring and the use of employee data is equally crucial. Policies should be clear, easily accessible, and designed with employee input, promoting trust and mitigating concerns over surveillance (López-Gómez &amp; Leal-Ayala, 2019). Complementary digital wellbeing initiatives—such as scheduled screen breaks, workload reviews, supportive check-ins, and guidance on managing online time—can alleviate fatigue and stress, particularly in hybrid teams where digital demands are high. Encouraging staff to take regular breaks and maintain a balance between online work and offline recovery protects wellbeing, helping maintain productivity and morale over time.</w:t>
      </w:r>
    </w:p>
    <w:p w14:paraId="0058B728" w14:textId="77777777" w:rsidR="004A21EB" w:rsidRPr="00425F72" w:rsidRDefault="004A21EB" w:rsidP="004A21EB">
      <w:pPr>
        <w:spacing w:after="160" w:line="278" w:lineRule="auto"/>
        <w:rPr>
          <w:rFonts w:ascii="Arial" w:hAnsi="Arial" w:cs="Arial"/>
        </w:rPr>
      </w:pPr>
      <w:r w:rsidRPr="00425F72">
        <w:rPr>
          <w:rFonts w:ascii="Arial" w:hAnsi="Arial" w:cs="Arial"/>
        </w:rPr>
        <w:lastRenderedPageBreak/>
        <w:t>A unified hybrid working policy, consistently applied across all roles, also promotes fairness and inclusion. Clearly communicated guidelines on expectations, availability, and methods of collaboration ensure employees understand their responsibilities and rights. Performance management focused on outcomes rather than physical presence supports modern work models and helps prevent perceptions of inequity between office-based staff and those working remotely or on shift patterns (Bryan &amp; Sevilla, 2017).</w:t>
      </w:r>
    </w:p>
    <w:p w14:paraId="52A7F51F" w14:textId="66773998" w:rsidR="004A21EB" w:rsidRPr="004A21EB" w:rsidRDefault="004A21EB" w:rsidP="004A21EB">
      <w:r w:rsidRPr="00425F72">
        <w:rPr>
          <w:rFonts w:ascii="Arial" w:hAnsi="Arial" w:cs="Arial"/>
        </w:rPr>
        <w:t xml:space="preserve">Finally, managers must be trained to lead hybrid and dispersed teams effectively. Developing skills in communication, empathy, and remote performance support ensures that leaders can engage, motivate, and monitor employees appropriately (Morgan et al., 2024). For shift-based employees, communication channels must be diversified: pre-shift briefings, noticeboards, mobile alerts, and informal updates help ensure inclusion. Additionally, wellbeing support tailored to non-standard hours—such as predictable </w:t>
      </w:r>
      <w:proofErr w:type="spellStart"/>
      <w:r w:rsidRPr="00425F72">
        <w:rPr>
          <w:rFonts w:ascii="Arial" w:hAnsi="Arial" w:cs="Arial"/>
        </w:rPr>
        <w:t>rotas</w:t>
      </w:r>
      <w:proofErr w:type="spellEnd"/>
      <w:r w:rsidRPr="00425F72">
        <w:rPr>
          <w:rFonts w:ascii="Arial" w:hAnsi="Arial" w:cs="Arial"/>
        </w:rPr>
        <w:t xml:space="preserve">, access to health services, and opportunities for rest—promotes equity and reinforces the </w:t>
      </w:r>
      <w:proofErr w:type="spellStart"/>
      <w:r w:rsidRPr="00425F72">
        <w:rPr>
          <w:rFonts w:ascii="Arial" w:hAnsi="Arial" w:cs="Arial"/>
        </w:rPr>
        <w:t>organisation’s</w:t>
      </w:r>
      <w:proofErr w:type="spellEnd"/>
      <w:r w:rsidRPr="00425F72">
        <w:rPr>
          <w:rFonts w:ascii="Arial" w:hAnsi="Arial" w:cs="Arial"/>
        </w:rPr>
        <w:t xml:space="preserve"> commitment to fairness and employee wellbeing</w:t>
      </w:r>
    </w:p>
    <w:p w14:paraId="15223EFF" w14:textId="77777777" w:rsidR="009A3ED7" w:rsidRDefault="00C86174">
      <w:pPr>
        <w:pStyle w:val="Heading1"/>
      </w:pPr>
      <w:r>
        <w:t>3. CRITICAL EVALUATION OF MANAGERIAL IMPLEMENTATION</w:t>
      </w:r>
    </w:p>
    <w:p w14:paraId="34A108EB" w14:textId="77777777" w:rsidR="004A21EB" w:rsidRPr="00425F72" w:rsidRDefault="004A21EB" w:rsidP="004A21EB">
      <w:pPr>
        <w:spacing w:after="160" w:line="278" w:lineRule="auto"/>
        <w:rPr>
          <w:rFonts w:ascii="Arial" w:hAnsi="Arial" w:cs="Arial"/>
        </w:rPr>
      </w:pPr>
      <w:r w:rsidRPr="00425F72">
        <w:rPr>
          <w:rFonts w:ascii="Arial" w:hAnsi="Arial" w:cs="Arial"/>
        </w:rPr>
        <w:t xml:space="preserve">Departmental managers play a crucial role in bridging HR policies and the day-to-day experiences of employees, acting as the vital link between </w:t>
      </w:r>
      <w:proofErr w:type="spellStart"/>
      <w:r w:rsidRPr="00425F72">
        <w:rPr>
          <w:rFonts w:ascii="Arial" w:hAnsi="Arial" w:cs="Arial"/>
        </w:rPr>
        <w:t>organisational</w:t>
      </w:r>
      <w:proofErr w:type="spellEnd"/>
      <w:r w:rsidRPr="00425F72">
        <w:rPr>
          <w:rFonts w:ascii="Arial" w:hAnsi="Arial" w:cs="Arial"/>
        </w:rPr>
        <w:t xml:space="preserve"> strategy and workforce engagement. Transformational leadership theory </w:t>
      </w:r>
      <w:proofErr w:type="spellStart"/>
      <w:r w:rsidRPr="00425F72">
        <w:rPr>
          <w:rFonts w:ascii="Arial" w:hAnsi="Arial" w:cs="Arial"/>
        </w:rPr>
        <w:t>emphasises</w:t>
      </w:r>
      <w:proofErr w:type="spellEnd"/>
      <w:r w:rsidRPr="00425F72">
        <w:rPr>
          <w:rFonts w:ascii="Arial" w:hAnsi="Arial" w:cs="Arial"/>
        </w:rPr>
        <w:t xml:space="preserve"> that staff respond positively when leaders clearly articulate a compelling vision, demonstrate commitment to change, and model desired </w:t>
      </w:r>
      <w:proofErr w:type="spellStart"/>
      <w:r w:rsidRPr="00425F72">
        <w:rPr>
          <w:rFonts w:ascii="Arial" w:hAnsi="Arial" w:cs="Arial"/>
        </w:rPr>
        <w:t>behaviours</w:t>
      </w:r>
      <w:proofErr w:type="spellEnd"/>
      <w:r w:rsidRPr="00425F72">
        <w:rPr>
          <w:rFonts w:ascii="Arial" w:hAnsi="Arial" w:cs="Arial"/>
        </w:rPr>
        <w:t xml:space="preserve"> (Bass &amp; Riggio, 2006). At Cadbury, this means that managers must act as visible advocates for transformation initiatives, digital adoption, and fairness in flexible working arrangements. Their ability to communicate the rationale behind changes, demonstrate confidence in new processes, and personally engage with employees can significantly influence how staff perceive and respond to </w:t>
      </w:r>
      <w:proofErr w:type="spellStart"/>
      <w:r w:rsidRPr="00425F72">
        <w:rPr>
          <w:rFonts w:ascii="Arial" w:hAnsi="Arial" w:cs="Arial"/>
        </w:rPr>
        <w:t>organisational</w:t>
      </w:r>
      <w:proofErr w:type="spellEnd"/>
      <w:r w:rsidRPr="00425F72">
        <w:rPr>
          <w:rFonts w:ascii="Arial" w:hAnsi="Arial" w:cs="Arial"/>
        </w:rPr>
        <w:t xml:space="preserve"> initiatives.</w:t>
      </w:r>
    </w:p>
    <w:p w14:paraId="20DFDE17" w14:textId="77777777" w:rsidR="004A21EB" w:rsidRPr="00425F72" w:rsidRDefault="004A21EB" w:rsidP="004A21EB">
      <w:pPr>
        <w:spacing w:after="160" w:line="278" w:lineRule="auto"/>
        <w:rPr>
          <w:rFonts w:ascii="Arial" w:hAnsi="Arial" w:cs="Arial"/>
        </w:rPr>
      </w:pPr>
      <w:r w:rsidRPr="00425F72">
        <w:rPr>
          <w:rFonts w:ascii="Arial" w:hAnsi="Arial" w:cs="Arial"/>
        </w:rPr>
        <w:t xml:space="preserve">Managerial capability is therefore of critical importance. Without adequate training, guidance, and support, managers may struggle to apply policies consistently or fail to provide sufficient support to employees navigating digital and </w:t>
      </w:r>
      <w:proofErr w:type="spellStart"/>
      <w:r w:rsidRPr="00425F72">
        <w:rPr>
          <w:rFonts w:ascii="Arial" w:hAnsi="Arial" w:cs="Arial"/>
        </w:rPr>
        <w:t>organisational</w:t>
      </w:r>
      <w:proofErr w:type="spellEnd"/>
      <w:r w:rsidRPr="00425F72">
        <w:rPr>
          <w:rFonts w:ascii="Arial" w:hAnsi="Arial" w:cs="Arial"/>
        </w:rPr>
        <w:t xml:space="preserve"> transitions (Purcell &amp; Hutchinson, 2007). Such inconsistencies can exacerbate perceptions of unfairness, create confusion, and lead to an increase in grievances. For example, if one manager enforces flexible working strictly according to policy while another interprets it more leniently, employees may perceive inequitable treatment, which can undermine trust in leadership. Similarly, without digital training, managers may be unable to guide staff effectively through new technologies, resulting in frustration and a lack of engagement.</w:t>
      </w:r>
    </w:p>
    <w:p w14:paraId="4757CD1B" w14:textId="77777777" w:rsidR="004A21EB" w:rsidRPr="00425F72" w:rsidRDefault="004A21EB" w:rsidP="004A21EB">
      <w:pPr>
        <w:spacing w:after="160" w:line="278" w:lineRule="auto"/>
        <w:rPr>
          <w:rFonts w:ascii="Arial" w:hAnsi="Arial" w:cs="Arial"/>
        </w:rPr>
      </w:pPr>
      <w:r w:rsidRPr="00425F72">
        <w:rPr>
          <w:rFonts w:ascii="Arial" w:hAnsi="Arial" w:cs="Arial"/>
        </w:rPr>
        <w:t xml:space="preserve">Employee involvement is </w:t>
      </w:r>
      <w:proofErr w:type="spellStart"/>
      <w:r w:rsidRPr="00425F72">
        <w:rPr>
          <w:rFonts w:ascii="Arial" w:hAnsi="Arial" w:cs="Arial"/>
        </w:rPr>
        <w:t>recognised</w:t>
      </w:r>
      <w:proofErr w:type="spellEnd"/>
      <w:r w:rsidRPr="00425F72">
        <w:rPr>
          <w:rFonts w:ascii="Arial" w:hAnsi="Arial" w:cs="Arial"/>
        </w:rPr>
        <w:t xml:space="preserve"> as a key factor in the successful implementation of change. Managers can facilitate focus groups, feedback sessions, and pilot schemes to ensure staff have a voice in shaping </w:t>
      </w:r>
      <w:proofErr w:type="spellStart"/>
      <w:r w:rsidRPr="00425F72">
        <w:rPr>
          <w:rFonts w:ascii="Arial" w:hAnsi="Arial" w:cs="Arial"/>
        </w:rPr>
        <w:t>organisational</w:t>
      </w:r>
      <w:proofErr w:type="spellEnd"/>
      <w:r w:rsidRPr="00425F72">
        <w:rPr>
          <w:rFonts w:ascii="Arial" w:hAnsi="Arial" w:cs="Arial"/>
        </w:rPr>
        <w:t xml:space="preserve"> initiatives (Tsai &amp; Harrison, 2019). Encouraging participation not only helps managers identify potential issues early but also fosters a sense of ownership and accountability among employees, reducing </w:t>
      </w:r>
      <w:r w:rsidRPr="00425F72">
        <w:rPr>
          <w:rFonts w:ascii="Arial" w:hAnsi="Arial" w:cs="Arial"/>
        </w:rPr>
        <w:lastRenderedPageBreak/>
        <w:t>resistance and increasing the likelihood of successful adoption. For instance, including employees in the design of digital workflows or hybrid work schedules can reveal practical challenges and generate solutions that might otherwise be overlooked by management.</w:t>
      </w:r>
    </w:p>
    <w:p w14:paraId="0E6459DB" w14:textId="1343CB13" w:rsidR="004A21EB" w:rsidRPr="00425F72" w:rsidRDefault="004A21EB" w:rsidP="004A21EB">
      <w:pPr>
        <w:spacing w:after="160" w:line="278" w:lineRule="auto"/>
        <w:rPr>
          <w:rFonts w:ascii="Arial" w:hAnsi="Arial" w:cs="Arial"/>
        </w:rPr>
      </w:pPr>
      <w:r w:rsidRPr="00425F72">
        <w:rPr>
          <w:rFonts w:ascii="Arial" w:hAnsi="Arial" w:cs="Arial"/>
        </w:rPr>
        <w:t xml:space="preserve">Equitable communication is another critical responsibility of managers. In </w:t>
      </w:r>
      <w:proofErr w:type="spellStart"/>
      <w:r w:rsidRPr="00425F72">
        <w:rPr>
          <w:rFonts w:ascii="Arial" w:hAnsi="Arial" w:cs="Arial"/>
        </w:rPr>
        <w:t>organisations</w:t>
      </w:r>
      <w:proofErr w:type="spellEnd"/>
      <w:r w:rsidRPr="00425F72">
        <w:rPr>
          <w:rFonts w:ascii="Arial" w:hAnsi="Arial" w:cs="Arial"/>
        </w:rPr>
        <w:t xml:space="preserve"> such as Cadbury, where teams work across hybrid, on-site, and shift-based arrangements, ensuring all employees are kept informed is essential. Failure to communicate effectively can lead to perceptions of </w:t>
      </w:r>
      <w:r w:rsidRPr="00425F72">
        <w:rPr>
          <w:rFonts w:ascii="Arial" w:hAnsi="Arial" w:cs="Arial"/>
        </w:rPr>
        <w:t>favoritism</w:t>
      </w:r>
      <w:r w:rsidRPr="00425F72">
        <w:rPr>
          <w:rFonts w:ascii="Arial" w:hAnsi="Arial" w:cs="Arial"/>
        </w:rPr>
        <w:t xml:space="preserve">, exclusion, or neglect (Morgan et al., 2024). Managers must therefore proactively employ a variety of communication channels—including briefings, digital updates, noticeboards, and one-to-one conversations—to ensure that no group is disadvantaged. Tailoring communication to different work patterns, such as providing pre-shift briefings for production employees, can help maintain inclusion and ensure consistent information flow throughout the </w:t>
      </w:r>
      <w:proofErr w:type="spellStart"/>
      <w:r w:rsidRPr="00425F72">
        <w:rPr>
          <w:rFonts w:ascii="Arial" w:hAnsi="Arial" w:cs="Arial"/>
        </w:rPr>
        <w:t>organisation</w:t>
      </w:r>
      <w:proofErr w:type="spellEnd"/>
      <w:r w:rsidRPr="00425F72">
        <w:rPr>
          <w:rFonts w:ascii="Arial" w:hAnsi="Arial" w:cs="Arial"/>
        </w:rPr>
        <w:t>.</w:t>
      </w:r>
    </w:p>
    <w:p w14:paraId="3AD7E041" w14:textId="39E20440" w:rsidR="004A21EB" w:rsidRPr="00425F72" w:rsidRDefault="004A21EB" w:rsidP="004A21EB">
      <w:pPr>
        <w:spacing w:after="160" w:line="278" w:lineRule="auto"/>
        <w:rPr>
          <w:rFonts w:ascii="Arial" w:hAnsi="Arial" w:cs="Arial"/>
        </w:rPr>
      </w:pPr>
      <w:r w:rsidRPr="00425F72">
        <w:rPr>
          <w:rFonts w:ascii="Arial" w:hAnsi="Arial" w:cs="Arial"/>
        </w:rPr>
        <w:t xml:space="preserve">Holding managers accountable through clear performance indicators is vital to reinforce responsibility and drive </w:t>
      </w:r>
      <w:r w:rsidRPr="00425F72">
        <w:rPr>
          <w:rFonts w:ascii="Arial" w:hAnsi="Arial" w:cs="Arial"/>
        </w:rPr>
        <w:t>behavioral</w:t>
      </w:r>
      <w:r w:rsidRPr="00425F72">
        <w:rPr>
          <w:rFonts w:ascii="Arial" w:hAnsi="Arial" w:cs="Arial"/>
        </w:rPr>
        <w:t xml:space="preserve"> change. KPIs linked to communication effectiveness, training delivery, engagement levels, and grievance reduction ensure that managers are both responsible for and evaluated on their ability to support employees effectively. Beyond these measurable outcomes, creating psychological safety within teams is equally important. When employees feel safe to raise concerns or offer suggestions without fear of negative consequences, open dialogue is encouraged, and potential issues can be addressed before escalating (Edmondson, 2018). Managers who actively foster such an environment promote trust, collaboration, and employee wellbeing, which are essential for navigating </w:t>
      </w:r>
      <w:proofErr w:type="spellStart"/>
      <w:r w:rsidRPr="00425F72">
        <w:rPr>
          <w:rFonts w:ascii="Arial" w:hAnsi="Arial" w:cs="Arial"/>
        </w:rPr>
        <w:t>organisational</w:t>
      </w:r>
      <w:proofErr w:type="spellEnd"/>
      <w:r w:rsidRPr="00425F72">
        <w:rPr>
          <w:rFonts w:ascii="Arial" w:hAnsi="Arial" w:cs="Arial"/>
        </w:rPr>
        <w:t xml:space="preserve"> change successfully.</w:t>
      </w:r>
    </w:p>
    <w:p w14:paraId="06C2F236" w14:textId="77777777" w:rsidR="004A21EB" w:rsidRPr="00425F72" w:rsidRDefault="004A21EB" w:rsidP="004A21EB">
      <w:pPr>
        <w:spacing w:after="160" w:line="278" w:lineRule="auto"/>
        <w:rPr>
          <w:rFonts w:ascii="Arial" w:hAnsi="Arial" w:cs="Arial"/>
        </w:rPr>
      </w:pPr>
      <w:r w:rsidRPr="00425F72">
        <w:rPr>
          <w:rFonts w:ascii="Arial" w:hAnsi="Arial" w:cs="Arial"/>
        </w:rPr>
        <w:t xml:space="preserve">In summary, departmental managers act as both implementers and interpreters of policy, with a critical role in shaping employees’ experience of </w:t>
      </w:r>
      <w:proofErr w:type="spellStart"/>
      <w:r w:rsidRPr="00425F72">
        <w:rPr>
          <w:rFonts w:ascii="Arial" w:hAnsi="Arial" w:cs="Arial"/>
        </w:rPr>
        <w:t>organisational</w:t>
      </w:r>
      <w:proofErr w:type="spellEnd"/>
      <w:r w:rsidRPr="00425F72">
        <w:rPr>
          <w:rFonts w:ascii="Arial" w:hAnsi="Arial" w:cs="Arial"/>
        </w:rPr>
        <w:t xml:space="preserve"> change. Their leadership, communication, and ability to involve employees in meaningful ways directly influence perceptions of fairness, engagement, and readiness for transformation. Investing in managerial development, establishing clear accountability mechanisms, and promoting psychological safety are therefore fundamental to achieving successful and sustainable </w:t>
      </w:r>
      <w:proofErr w:type="spellStart"/>
      <w:r w:rsidRPr="00425F72">
        <w:rPr>
          <w:rFonts w:ascii="Arial" w:hAnsi="Arial" w:cs="Arial"/>
        </w:rPr>
        <w:t>organisational</w:t>
      </w:r>
      <w:proofErr w:type="spellEnd"/>
      <w:r w:rsidRPr="00425F72">
        <w:rPr>
          <w:rFonts w:ascii="Arial" w:hAnsi="Arial" w:cs="Arial"/>
        </w:rPr>
        <w:t xml:space="preserve"> change.</w:t>
      </w:r>
    </w:p>
    <w:p w14:paraId="08DE34AA" w14:textId="77777777" w:rsidR="009A3ED7" w:rsidRDefault="00C86174">
      <w:pPr>
        <w:pStyle w:val="Heading1"/>
      </w:pPr>
      <w:r>
        <w:t>4. CONCLUSION AND RECOMMENDATIONS</w:t>
      </w:r>
    </w:p>
    <w:p w14:paraId="13FC63E0" w14:textId="32411CD5" w:rsidR="00F93039" w:rsidRPr="00425F72" w:rsidRDefault="00F93039" w:rsidP="00F93039">
      <w:pPr>
        <w:spacing w:after="160" w:line="278" w:lineRule="auto"/>
        <w:rPr>
          <w:rFonts w:ascii="Arial" w:hAnsi="Arial" w:cs="Arial"/>
        </w:rPr>
      </w:pPr>
      <w:r w:rsidRPr="00425F72">
        <w:rPr>
          <w:rFonts w:ascii="Arial" w:hAnsi="Arial" w:cs="Arial"/>
        </w:rPr>
        <w:t xml:space="preserve">The recent rise in grievances at Cadbury’s </w:t>
      </w:r>
      <w:r w:rsidRPr="00425F72">
        <w:rPr>
          <w:rFonts w:ascii="Arial" w:hAnsi="Arial" w:cs="Arial"/>
        </w:rPr>
        <w:t>Bourneville</w:t>
      </w:r>
      <w:r w:rsidRPr="00425F72">
        <w:rPr>
          <w:rFonts w:ascii="Arial" w:hAnsi="Arial" w:cs="Arial"/>
        </w:rPr>
        <w:t xml:space="preserve"> site reflects the complex challenges associated with </w:t>
      </w:r>
      <w:proofErr w:type="spellStart"/>
      <w:r w:rsidRPr="00425F72">
        <w:rPr>
          <w:rFonts w:ascii="Arial" w:hAnsi="Arial" w:cs="Arial"/>
        </w:rPr>
        <w:t>organisational</w:t>
      </w:r>
      <w:proofErr w:type="spellEnd"/>
      <w:r w:rsidRPr="00425F72">
        <w:rPr>
          <w:rFonts w:ascii="Arial" w:hAnsi="Arial" w:cs="Arial"/>
        </w:rPr>
        <w:t xml:space="preserve"> transformation, </w:t>
      </w:r>
      <w:proofErr w:type="gramStart"/>
      <w:r w:rsidRPr="00425F72">
        <w:rPr>
          <w:rFonts w:ascii="Arial" w:hAnsi="Arial" w:cs="Arial"/>
        </w:rPr>
        <w:t>digital technology adoption</w:t>
      </w:r>
      <w:proofErr w:type="gramEnd"/>
      <w:r w:rsidRPr="00425F72">
        <w:rPr>
          <w:rFonts w:ascii="Arial" w:hAnsi="Arial" w:cs="Arial"/>
        </w:rPr>
        <w:t xml:space="preserve">, and changing flexible working arrangements. The issue does not lie in the change itself, but in how it is implemented, communicated, and experienced by employees. Uncertainty about roles, gaps in digital skills, and perceived inconsistencies in hybrid and shift-based working patterns have contributed to frustration, disengagement, and a sense of inequity among staff. Employees often view change through a personal lens; </w:t>
      </w:r>
      <w:r w:rsidRPr="00425F72">
        <w:rPr>
          <w:rFonts w:ascii="Arial" w:hAnsi="Arial" w:cs="Arial"/>
        </w:rPr>
        <w:lastRenderedPageBreak/>
        <w:t>when they feel under-informed or unsupported, anxiety and resistance naturally increase.</w:t>
      </w:r>
    </w:p>
    <w:p w14:paraId="54904464" w14:textId="77777777" w:rsidR="00F93039" w:rsidRPr="00425F72" w:rsidRDefault="00F93039" w:rsidP="00F93039">
      <w:pPr>
        <w:spacing w:after="160" w:line="278" w:lineRule="auto"/>
        <w:rPr>
          <w:rFonts w:ascii="Arial" w:hAnsi="Arial" w:cs="Arial"/>
        </w:rPr>
      </w:pPr>
      <w:r w:rsidRPr="00425F72">
        <w:rPr>
          <w:rFonts w:ascii="Arial" w:hAnsi="Arial" w:cs="Arial"/>
        </w:rPr>
        <w:t>To manage these challenges effectively, Cadbury needs a coordinated, people-focused approach. Human resource practices, managerial capability, and communication strategies must work together to support employees during transformation. Clear HR policies, transparent procedures, and systematic consultation mechanisms can help reduce confusion and foster fairness. Managers play a critical role: when equipped with strong leadership, communication, and digital skills, they can guide teams, maintain trust, and create an inclusive environment that addresses concerns proactively. Consistent and accessible communication is essential so that all employees, including those on shifts or working remotely, receive the same information and updates.</w:t>
      </w:r>
    </w:p>
    <w:p w14:paraId="3D9C9D20" w14:textId="77777777" w:rsidR="00F93039" w:rsidRPr="00425F72" w:rsidRDefault="00F93039" w:rsidP="00F93039">
      <w:pPr>
        <w:spacing w:after="160" w:line="278" w:lineRule="auto"/>
        <w:rPr>
          <w:rFonts w:ascii="Arial" w:hAnsi="Arial" w:cs="Arial"/>
        </w:rPr>
      </w:pPr>
      <w:r w:rsidRPr="00425F72">
        <w:rPr>
          <w:rFonts w:ascii="Arial" w:hAnsi="Arial" w:cs="Arial"/>
        </w:rPr>
        <w:t xml:space="preserve">Practical measures include creating a comprehensive communication strategy for </w:t>
      </w:r>
      <w:proofErr w:type="spellStart"/>
      <w:r w:rsidRPr="00425F72">
        <w:rPr>
          <w:rFonts w:ascii="Arial" w:hAnsi="Arial" w:cs="Arial"/>
        </w:rPr>
        <w:t>organisational</w:t>
      </w:r>
      <w:proofErr w:type="spellEnd"/>
      <w:r w:rsidRPr="00425F72">
        <w:rPr>
          <w:rFonts w:ascii="Arial" w:hAnsi="Arial" w:cs="Arial"/>
        </w:rPr>
        <w:t xml:space="preserve"> change, delivering digital training tailored to different roles and levels of confidence, and establishing departmental digital champions to support peer learning. A </w:t>
      </w:r>
      <w:proofErr w:type="spellStart"/>
      <w:r w:rsidRPr="00425F72">
        <w:rPr>
          <w:rFonts w:ascii="Arial" w:hAnsi="Arial" w:cs="Arial"/>
        </w:rPr>
        <w:t>standardised</w:t>
      </w:r>
      <w:proofErr w:type="spellEnd"/>
      <w:r w:rsidRPr="00425F72">
        <w:rPr>
          <w:rFonts w:ascii="Arial" w:hAnsi="Arial" w:cs="Arial"/>
        </w:rPr>
        <w:t xml:space="preserve"> hybrid working policy applied across all functions will promote fairness, while enhanced communication for shift-based staff through briefings, noticeboards, and mobile alerts will ensure no group is excluded. Strengthening consultation through forums and focus groups encourages employee participation, and managerial KPIs linked to engagement, communication, and grievance resolution reinforce accountability. Expanding wellbeing initiatives to address digital fatigue and the demands of shift work will further support staff health and morale.</w:t>
      </w:r>
    </w:p>
    <w:p w14:paraId="3C44A493" w14:textId="77777777" w:rsidR="00F93039" w:rsidRPr="00425F72" w:rsidRDefault="00F93039" w:rsidP="00F93039">
      <w:pPr>
        <w:spacing w:after="160" w:line="278" w:lineRule="auto"/>
        <w:rPr>
          <w:rFonts w:ascii="Arial" w:hAnsi="Arial" w:cs="Arial"/>
        </w:rPr>
      </w:pPr>
      <w:r w:rsidRPr="00425F72">
        <w:rPr>
          <w:rFonts w:ascii="Arial" w:hAnsi="Arial" w:cs="Arial"/>
        </w:rPr>
        <w:t xml:space="preserve">By adopting these approaches, Cadbury can reduce conflict, improve engagement, and foster a culture of fairness, inclusion, and resilience, ensuring that </w:t>
      </w:r>
      <w:proofErr w:type="spellStart"/>
      <w:r w:rsidRPr="00425F72">
        <w:rPr>
          <w:rFonts w:ascii="Arial" w:hAnsi="Arial" w:cs="Arial"/>
        </w:rPr>
        <w:t>organisational</w:t>
      </w:r>
      <w:proofErr w:type="spellEnd"/>
      <w:r w:rsidRPr="00425F72">
        <w:rPr>
          <w:rFonts w:ascii="Arial" w:hAnsi="Arial" w:cs="Arial"/>
        </w:rPr>
        <w:t xml:space="preserve"> change benefits both the business and its workforce.</w:t>
      </w:r>
    </w:p>
    <w:p w14:paraId="6ECEF0E5" w14:textId="77777777" w:rsidR="00F93039" w:rsidRPr="00F93039" w:rsidRDefault="00F93039" w:rsidP="00F93039"/>
    <w:p w14:paraId="33D85067" w14:textId="77777777" w:rsidR="00F93039" w:rsidRDefault="00F93039">
      <w:pPr>
        <w:pStyle w:val="Heading1"/>
      </w:pPr>
    </w:p>
    <w:p w14:paraId="3EA42FF3" w14:textId="77777777" w:rsidR="00F93039" w:rsidRDefault="00F93039">
      <w:pPr>
        <w:pStyle w:val="Heading1"/>
      </w:pPr>
    </w:p>
    <w:p w14:paraId="44ECB193" w14:textId="77777777" w:rsidR="00F93039" w:rsidRDefault="00F93039">
      <w:pPr>
        <w:pStyle w:val="Heading1"/>
      </w:pPr>
    </w:p>
    <w:p w14:paraId="066FDD76" w14:textId="77777777" w:rsidR="00F93039" w:rsidRDefault="00F93039">
      <w:pPr>
        <w:pStyle w:val="Heading1"/>
      </w:pPr>
    </w:p>
    <w:p w14:paraId="04F72D23" w14:textId="1AE96261" w:rsidR="009A3ED7" w:rsidRDefault="00C86174">
      <w:pPr>
        <w:pStyle w:val="Heading1"/>
      </w:pPr>
      <w:r>
        <w:t>REFERENCES</w:t>
      </w:r>
    </w:p>
    <w:p w14:paraId="198B5442" w14:textId="77777777" w:rsidR="009A3ED7" w:rsidRPr="00F93039" w:rsidRDefault="00C86174">
      <w:pPr>
        <w:rPr>
          <w:rFonts w:ascii="Arial" w:hAnsi="Arial" w:cs="Arial"/>
        </w:rPr>
      </w:pPr>
      <w:r w:rsidRPr="00F93039">
        <w:rPr>
          <w:rFonts w:ascii="Arial" w:hAnsi="Arial" w:cs="Arial"/>
        </w:rPr>
        <w:t>Akter, S., Biswas, K., Vrontis, D., Cooper, S.C.L. &amp; Tarba, S.Y. (</w:t>
      </w:r>
      <w:proofErr w:type="gramStart"/>
      <w:r w:rsidRPr="00F93039">
        <w:rPr>
          <w:rFonts w:ascii="Arial" w:hAnsi="Arial" w:cs="Arial"/>
        </w:rPr>
        <w:t>2023) ‘</w:t>
      </w:r>
      <w:proofErr w:type="gramEnd"/>
      <w:r w:rsidRPr="00F93039">
        <w:rPr>
          <w:rFonts w:ascii="Arial" w:hAnsi="Arial" w:cs="Arial"/>
        </w:rPr>
        <w:t>Mastering digital transformation in workforce management’, Production Planning &amp; Control, Advance online publication. https://doi.org/10.1080/09537287.2023.2270465</w:t>
      </w:r>
    </w:p>
    <w:p w14:paraId="112C38D4" w14:textId="77777777" w:rsidR="009A3ED7" w:rsidRPr="00F93039" w:rsidRDefault="00C86174">
      <w:pPr>
        <w:rPr>
          <w:rFonts w:ascii="Arial" w:hAnsi="Arial" w:cs="Arial"/>
        </w:rPr>
      </w:pPr>
      <w:r w:rsidRPr="00F93039">
        <w:rPr>
          <w:rFonts w:ascii="Arial" w:hAnsi="Arial" w:cs="Arial"/>
        </w:rPr>
        <w:t xml:space="preserve">Bridges, W. (2009) Managing Transitions: Making the Most of Change. 3rd </w:t>
      </w:r>
      <w:proofErr w:type="gramStart"/>
      <w:r w:rsidRPr="00F93039">
        <w:rPr>
          <w:rFonts w:ascii="Arial" w:hAnsi="Arial" w:cs="Arial"/>
        </w:rPr>
        <w:t>edn</w:t>
      </w:r>
      <w:proofErr w:type="gramEnd"/>
      <w:r w:rsidRPr="00F93039">
        <w:rPr>
          <w:rFonts w:ascii="Arial" w:hAnsi="Arial" w:cs="Arial"/>
        </w:rPr>
        <w:t>. London: Nicholas Brealey.</w:t>
      </w:r>
    </w:p>
    <w:p w14:paraId="688CD01D" w14:textId="77777777" w:rsidR="009A3ED7" w:rsidRPr="00F93039" w:rsidRDefault="00C86174">
      <w:pPr>
        <w:rPr>
          <w:rFonts w:ascii="Arial" w:hAnsi="Arial" w:cs="Arial"/>
        </w:rPr>
      </w:pPr>
      <w:r w:rsidRPr="00F93039">
        <w:rPr>
          <w:rFonts w:ascii="Arial" w:hAnsi="Arial" w:cs="Arial"/>
        </w:rPr>
        <w:t>Bryan, M.L. &amp; Sevilla, A. (2017) ‘Flexible working in the UK and its impact on couples’ time coordination’, Review of Economics of the Household, 15(4), pp. 985–1003.</w:t>
      </w:r>
    </w:p>
    <w:p w14:paraId="7D18E417" w14:textId="77777777" w:rsidR="009A3ED7" w:rsidRPr="00F93039" w:rsidRDefault="00C86174">
      <w:pPr>
        <w:rPr>
          <w:rFonts w:ascii="Arial" w:hAnsi="Arial" w:cs="Arial"/>
        </w:rPr>
      </w:pPr>
      <w:r w:rsidRPr="00F93039">
        <w:rPr>
          <w:rFonts w:ascii="Arial" w:hAnsi="Arial" w:cs="Arial"/>
        </w:rPr>
        <w:t>Edmondson, A. (2018) The Fearless Organisation. London: Wiley.</w:t>
      </w:r>
    </w:p>
    <w:p w14:paraId="3EF3345A" w14:textId="77777777" w:rsidR="009A3ED7" w:rsidRPr="00F93039" w:rsidRDefault="00C86174">
      <w:pPr>
        <w:rPr>
          <w:rFonts w:ascii="Arial" w:hAnsi="Arial" w:cs="Arial"/>
        </w:rPr>
      </w:pPr>
      <w:r w:rsidRPr="00F93039">
        <w:rPr>
          <w:rFonts w:ascii="Arial" w:hAnsi="Arial" w:cs="Arial"/>
        </w:rPr>
        <w:t>López</w:t>
      </w:r>
      <w:r w:rsidRPr="00F93039">
        <w:rPr>
          <w:rFonts w:ascii="Cambria Math" w:hAnsi="Cambria Math" w:cs="Cambria Math"/>
        </w:rPr>
        <w:t>‑</w:t>
      </w:r>
      <w:r w:rsidRPr="00F93039">
        <w:rPr>
          <w:rFonts w:ascii="Arial" w:hAnsi="Arial" w:cs="Arial"/>
        </w:rPr>
        <w:t>Gómez, C. &amp; Leal</w:t>
      </w:r>
      <w:r w:rsidRPr="00F93039">
        <w:rPr>
          <w:rFonts w:ascii="Cambria Math" w:hAnsi="Cambria Math" w:cs="Cambria Math"/>
        </w:rPr>
        <w:t>‑</w:t>
      </w:r>
      <w:r w:rsidRPr="00F93039">
        <w:rPr>
          <w:rFonts w:ascii="Arial" w:hAnsi="Arial" w:cs="Arial"/>
        </w:rPr>
        <w:t>Ayala, D. (2019) ‘Digital manufacturing: opportunities and barriers’, Cambridge Industrial Innovation Policy, 19 November. https://www.ciip.group.cam.ac.uk/reports-and-articles/digital-manufacturing-opportunities-and-barriers/?utm_source=chatgpt.com</w:t>
      </w:r>
    </w:p>
    <w:p w14:paraId="132C2D0D" w14:textId="77777777" w:rsidR="009A3ED7" w:rsidRPr="00F93039" w:rsidRDefault="00C86174">
      <w:pPr>
        <w:rPr>
          <w:rFonts w:ascii="Arial" w:hAnsi="Arial" w:cs="Arial"/>
        </w:rPr>
      </w:pPr>
      <w:r w:rsidRPr="00F93039">
        <w:rPr>
          <w:rFonts w:ascii="Arial" w:hAnsi="Arial" w:cs="Arial"/>
        </w:rPr>
        <w:t>Morgan, K. et al. (</w:t>
      </w:r>
      <w:proofErr w:type="gramStart"/>
      <w:r w:rsidRPr="00F93039">
        <w:rPr>
          <w:rFonts w:ascii="Arial" w:hAnsi="Arial" w:cs="Arial"/>
        </w:rPr>
        <w:t>2024) ‘</w:t>
      </w:r>
      <w:proofErr w:type="gramEnd"/>
      <w:r w:rsidRPr="00F93039">
        <w:rPr>
          <w:rFonts w:ascii="Arial" w:hAnsi="Arial" w:cs="Arial"/>
        </w:rPr>
        <w:t>Organisational change: challenges for workplace psychosocial risks and employee mental health’, BMC Public Health, 24:19815.</w:t>
      </w:r>
    </w:p>
    <w:p w14:paraId="20C902B9" w14:textId="77777777" w:rsidR="009A3ED7" w:rsidRPr="00F93039" w:rsidRDefault="00C86174">
      <w:pPr>
        <w:rPr>
          <w:rFonts w:ascii="Arial" w:hAnsi="Arial" w:cs="Arial"/>
        </w:rPr>
      </w:pPr>
      <w:r w:rsidRPr="00F93039">
        <w:rPr>
          <w:rFonts w:ascii="Arial" w:hAnsi="Arial" w:cs="Arial"/>
        </w:rPr>
        <w:t>Purcell, J. &amp; Hutchinson, S. (2007) ‘Front</w:t>
      </w:r>
      <w:r w:rsidRPr="00F93039">
        <w:rPr>
          <w:rFonts w:ascii="Cambria Math" w:hAnsi="Cambria Math" w:cs="Cambria Math"/>
        </w:rPr>
        <w:t>‑</w:t>
      </w:r>
      <w:r w:rsidRPr="00F93039">
        <w:rPr>
          <w:rFonts w:ascii="Arial" w:hAnsi="Arial" w:cs="Arial"/>
        </w:rPr>
        <w:t>line managers as agents in the HRM–performance causal chain’, Human Resource Management Journal, 17(1), pp. 3–20.</w:t>
      </w:r>
    </w:p>
    <w:p w14:paraId="5A7A331F" w14:textId="77777777" w:rsidR="009A3ED7" w:rsidRPr="00F93039" w:rsidRDefault="00C86174">
      <w:pPr>
        <w:rPr>
          <w:rFonts w:ascii="Arial" w:hAnsi="Arial" w:cs="Arial"/>
        </w:rPr>
      </w:pPr>
      <w:r w:rsidRPr="00F93039">
        <w:rPr>
          <w:rFonts w:ascii="Arial" w:hAnsi="Arial" w:cs="Arial"/>
        </w:rPr>
        <w:t>Tsai, K.L. &amp; Harrison, W. (2019) ‘Organizational actions in gaining employee support for change: The roles of affective commitment to change, organisational justice, and organisational cynicism’, Journal of Organisational Psychology, 19(5).</w:t>
      </w:r>
    </w:p>
    <w:p w14:paraId="1D0803C8" w14:textId="77777777" w:rsidR="009A3ED7" w:rsidRPr="00F93039" w:rsidRDefault="00C86174">
      <w:pPr>
        <w:rPr>
          <w:rFonts w:ascii="Arial" w:hAnsi="Arial" w:cs="Arial"/>
        </w:rPr>
      </w:pPr>
      <w:r w:rsidRPr="00F93039">
        <w:rPr>
          <w:rFonts w:ascii="Arial" w:hAnsi="Arial" w:cs="Arial"/>
        </w:rPr>
        <w:t>Bass, B.M. &amp; Riggio, R.E. (2006) Transformational Leadership. 2nd ed. New York: Psychology Press.</w:t>
      </w:r>
    </w:p>
    <w:sectPr w:rsidR="009A3ED7" w:rsidRPr="00F93039" w:rsidSect="00B41229">
      <w:pgSz w:w="12240" w:h="15840"/>
      <w:pgMar w:top="1440" w:right="1800" w:bottom="1440" w:left="180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146772457">
    <w:abstractNumId w:val="8"/>
  </w:num>
  <w:num w:numId="2" w16cid:durableId="859702897">
    <w:abstractNumId w:val="6"/>
  </w:num>
  <w:num w:numId="3" w16cid:durableId="414667077">
    <w:abstractNumId w:val="5"/>
  </w:num>
  <w:num w:numId="4" w16cid:durableId="570042218">
    <w:abstractNumId w:val="4"/>
  </w:num>
  <w:num w:numId="5" w16cid:durableId="352652245">
    <w:abstractNumId w:val="7"/>
  </w:num>
  <w:num w:numId="6" w16cid:durableId="1885823203">
    <w:abstractNumId w:val="3"/>
  </w:num>
  <w:num w:numId="7" w16cid:durableId="2018384253">
    <w:abstractNumId w:val="2"/>
  </w:num>
  <w:num w:numId="8" w16cid:durableId="2089502079">
    <w:abstractNumId w:val="1"/>
  </w:num>
  <w:num w:numId="9" w16cid:durableId="11204874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2C"/>
    <w:rsid w:val="0006063C"/>
    <w:rsid w:val="0015074B"/>
    <w:rsid w:val="0029639D"/>
    <w:rsid w:val="00326F90"/>
    <w:rsid w:val="00481A89"/>
    <w:rsid w:val="004A21EB"/>
    <w:rsid w:val="008C4E24"/>
    <w:rsid w:val="009A3ED7"/>
    <w:rsid w:val="00AA1D8D"/>
    <w:rsid w:val="00B41229"/>
    <w:rsid w:val="00B47730"/>
    <w:rsid w:val="00C86174"/>
    <w:rsid w:val="00CB0664"/>
    <w:rsid w:val="00F9303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11BAB7D"/>
  <w14:defaultImageDpi w14:val="300"/>
  <w15:docId w15:val="{8CD65E50-D414-4919-9A3D-4D53E661CC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SpacingChar">
    <w:name w:val="No Spacing Char"/>
    <w:basedOn w:val="DefaultParagraphFont"/>
    <w:link w:val="NoSpacing"/>
    <w:uiPriority w:val="1"/>
    <w:rsid w:val="00B412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8</Pages>
  <Words>2776</Words>
  <Characters>15825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Manager/>
  <Company>2333845@student.uwtsd.ac.uk</Company>
  <LinksUpToDate>false</LinksUpToDate>
  <CharactersWithSpaces>18564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and Managing Individuals and Teams (LCLM5002)</dc:title>
  <dc:subject>Lecturer : Mudassar Hasan</dc:subject>
  <dc:creator>Muhib Akbar (2333845)</dc:creator>
  <cp:keywords/>
  <dc:description>generated by python-docx</dc:description>
  <cp:lastModifiedBy>Muhib Akbar (2333845)</cp:lastModifiedBy>
  <cp:revision>4</cp:revision>
  <dcterms:created xsi:type="dcterms:W3CDTF">2025-11-16T12:26:00Z</dcterms:created>
  <dcterms:modified xsi:type="dcterms:W3CDTF">2025-11-16T13:00:00Z</dcterms:modified>
  <cp:category/>
</cp:coreProperties>
</file>