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A7167" w14:textId="77777777" w:rsidR="00472C87" w:rsidRPr="00D12C59" w:rsidRDefault="00472C87" w:rsidP="00472C87">
      <w:pPr>
        <w:rPr>
          <w:b/>
          <w:bCs/>
          <w:sz w:val="28"/>
          <w:szCs w:val="28"/>
          <w:u w:val="single"/>
        </w:rPr>
      </w:pPr>
      <w:r w:rsidRPr="00D12C59">
        <w:rPr>
          <w:b/>
          <w:bCs/>
          <w:sz w:val="28"/>
          <w:szCs w:val="28"/>
          <w:u w:val="single"/>
        </w:rPr>
        <w:t xml:space="preserve">Response to a Question on Statutory Interpretation – </w:t>
      </w:r>
      <w:r w:rsidRPr="00EE44AB">
        <w:rPr>
          <w:b/>
          <w:bCs/>
          <w:sz w:val="28"/>
          <w:szCs w:val="28"/>
          <w:u w:val="single"/>
        </w:rPr>
        <w:t xml:space="preserve">Suggested structure for approaching a </w:t>
      </w:r>
      <w:r w:rsidRPr="00D12C59">
        <w:rPr>
          <w:b/>
          <w:bCs/>
          <w:sz w:val="28"/>
          <w:szCs w:val="28"/>
          <w:u w:val="single"/>
        </w:rPr>
        <w:t>Problem Question</w:t>
      </w:r>
    </w:p>
    <w:p w14:paraId="010D4913" w14:textId="77777777" w:rsidR="00472C87" w:rsidRPr="00D12C59" w:rsidRDefault="00472C87" w:rsidP="00472C87"/>
    <w:p w14:paraId="75B90A68" w14:textId="77777777" w:rsidR="00472C87" w:rsidRPr="00D12C59" w:rsidRDefault="00472C87" w:rsidP="00472C87">
      <w:pPr>
        <w:rPr>
          <w:b/>
          <w:bCs/>
        </w:rPr>
      </w:pPr>
      <w:r w:rsidRPr="00D12C59">
        <w:rPr>
          <w:b/>
          <w:bCs/>
        </w:rPr>
        <w:t>1. Introduction</w:t>
      </w:r>
    </w:p>
    <w:p w14:paraId="56D133F0" w14:textId="77777777" w:rsidR="00472C87" w:rsidRPr="00D12C59" w:rsidRDefault="00472C87" w:rsidP="00472C87">
      <w:r w:rsidRPr="00D12C59">
        <w:t>When advising X, it is essential to consider how courts interpret statutes. Legislative wording is not always clear, and in this case, we must examine how the court is likely to interpret and apply the Fictional Act.</w:t>
      </w:r>
    </w:p>
    <w:p w14:paraId="32C262D1" w14:textId="77777777" w:rsidR="00472C87" w:rsidRPr="00D12C59" w:rsidRDefault="00472C87" w:rsidP="00472C87"/>
    <w:p w14:paraId="6655C397" w14:textId="77777777" w:rsidR="00472C87" w:rsidRPr="00D12C59" w:rsidRDefault="00472C87" w:rsidP="00472C87">
      <w:pPr>
        <w:rPr>
          <w:b/>
          <w:bCs/>
        </w:rPr>
      </w:pPr>
      <w:r w:rsidRPr="00D12C59">
        <w:rPr>
          <w:b/>
          <w:bCs/>
        </w:rPr>
        <w:t>2. General Overview of Interpretation Rules</w:t>
      </w:r>
    </w:p>
    <w:p w14:paraId="033D65A1" w14:textId="77777777" w:rsidR="00472C87" w:rsidRPr="00D12C59" w:rsidRDefault="00472C87" w:rsidP="00472C87">
      <w:r w:rsidRPr="00D12C59">
        <w:t>Courts use several interpretative approaches. To advise X, we must consider the following:</w:t>
      </w:r>
    </w:p>
    <w:p w14:paraId="657088EF" w14:textId="77777777" w:rsidR="00472C87" w:rsidRPr="00D12C59" w:rsidRDefault="00472C87" w:rsidP="00472C87">
      <w:pPr>
        <w:numPr>
          <w:ilvl w:val="0"/>
          <w:numId w:val="1"/>
        </w:numPr>
      </w:pPr>
      <w:r w:rsidRPr="00D12C59">
        <w:rPr>
          <w:b/>
          <w:bCs/>
        </w:rPr>
        <w:t>Literal Rule</w:t>
      </w:r>
      <w:r w:rsidRPr="00D12C59">
        <w:t xml:space="preserve"> – Words are given their ordinary meaning, even if this leads to an absurd result.</w:t>
      </w:r>
      <w:r w:rsidRPr="00D12C59">
        <w:br/>
      </w:r>
      <w:r w:rsidRPr="00D12C59">
        <w:rPr>
          <w:b/>
          <w:bCs/>
        </w:rPr>
        <w:t>Key cases:</w:t>
      </w:r>
    </w:p>
    <w:p w14:paraId="2942228D" w14:textId="77777777" w:rsidR="00472C87" w:rsidRPr="00D12C59" w:rsidRDefault="00472C87" w:rsidP="00472C87">
      <w:pPr>
        <w:numPr>
          <w:ilvl w:val="1"/>
          <w:numId w:val="1"/>
        </w:numPr>
      </w:pPr>
      <w:r w:rsidRPr="00D12C59">
        <w:rPr>
          <w:i/>
          <w:iCs/>
        </w:rPr>
        <w:t>Fisher v Bell</w:t>
      </w:r>
      <w:r w:rsidRPr="00D12C59">
        <w:t xml:space="preserve"> </w:t>
      </w:r>
      <w:r>
        <w:t>(</w:t>
      </w:r>
      <w:r w:rsidRPr="00D12C59">
        <w:t>1961</w:t>
      </w:r>
      <w:r>
        <w:t>)</w:t>
      </w:r>
      <w:r w:rsidRPr="00D12C59">
        <w:t xml:space="preserve"> – Displaying a flick knife in a shop window was held to be an invitation to treat, not an offer for sale.</w:t>
      </w:r>
    </w:p>
    <w:p w14:paraId="69345103" w14:textId="77777777" w:rsidR="00472C87" w:rsidRPr="00D12C59" w:rsidRDefault="00472C87" w:rsidP="00472C87">
      <w:pPr>
        <w:numPr>
          <w:ilvl w:val="1"/>
          <w:numId w:val="1"/>
        </w:numPr>
      </w:pPr>
      <w:r w:rsidRPr="00D12C59">
        <w:rPr>
          <w:i/>
          <w:iCs/>
        </w:rPr>
        <w:t>Whiteley v Chappell</w:t>
      </w:r>
      <w:r w:rsidRPr="00D12C59">
        <w:t xml:space="preserve"> </w:t>
      </w:r>
      <w:r>
        <w:t>(</w:t>
      </w:r>
      <w:r w:rsidRPr="00D12C59">
        <w:t>1868</w:t>
      </w:r>
      <w:r>
        <w:t>)</w:t>
      </w:r>
      <w:r w:rsidRPr="00D12C59">
        <w:t xml:space="preserve"> – Defendant impersonated a dead person; statute </w:t>
      </w:r>
      <w:proofErr w:type="gramStart"/>
      <w:r w:rsidRPr="00D12C59">
        <w:t>said</w:t>
      </w:r>
      <w:proofErr w:type="gramEnd"/>
      <w:r w:rsidRPr="00D12C59">
        <w:t xml:space="preserve"> “person entitled to vote,” so he was acquitted.</w:t>
      </w:r>
    </w:p>
    <w:p w14:paraId="1714DF79" w14:textId="77777777" w:rsidR="00472C87" w:rsidRPr="00D12C59" w:rsidRDefault="00472C87" w:rsidP="00472C87">
      <w:pPr>
        <w:numPr>
          <w:ilvl w:val="1"/>
          <w:numId w:val="1"/>
        </w:numPr>
      </w:pPr>
      <w:r w:rsidRPr="00D12C59">
        <w:rPr>
          <w:i/>
          <w:iCs/>
        </w:rPr>
        <w:t xml:space="preserve">London &amp; </w:t>
      </w:r>
      <w:proofErr w:type="gramStart"/>
      <w:r w:rsidRPr="00D12C59">
        <w:rPr>
          <w:i/>
          <w:iCs/>
        </w:rPr>
        <w:t>North Eastern</w:t>
      </w:r>
      <w:proofErr w:type="gramEnd"/>
      <w:r w:rsidRPr="00D12C59">
        <w:rPr>
          <w:i/>
          <w:iCs/>
        </w:rPr>
        <w:t xml:space="preserve"> Railway v Berriman</w:t>
      </w:r>
      <w:r w:rsidRPr="00D12C59">
        <w:t xml:space="preserve"> </w:t>
      </w:r>
      <w:r>
        <w:t>(</w:t>
      </w:r>
      <w:r w:rsidRPr="00D12C59">
        <w:t>1946</w:t>
      </w:r>
      <w:r>
        <w:t>)</w:t>
      </w:r>
      <w:r w:rsidRPr="00D12C59">
        <w:t xml:space="preserve"> – Widow denied compensation because “oiling” was not “repairing or relaying” tracks</w:t>
      </w:r>
    </w:p>
    <w:p w14:paraId="16CDD058" w14:textId="77777777" w:rsidR="00472C87" w:rsidRPr="00D12C59" w:rsidRDefault="00472C87" w:rsidP="00472C87">
      <w:pPr>
        <w:numPr>
          <w:ilvl w:val="0"/>
          <w:numId w:val="1"/>
        </w:numPr>
      </w:pPr>
      <w:r w:rsidRPr="00D12C59">
        <w:rPr>
          <w:b/>
          <w:bCs/>
        </w:rPr>
        <w:t>Golden Rule</w:t>
      </w:r>
      <w:r w:rsidRPr="00D12C59">
        <w:t xml:space="preserve"> – Starts with the literal meaning but modifies it to avoid absurdity.</w:t>
      </w:r>
      <w:r w:rsidRPr="00D12C59">
        <w:br/>
      </w:r>
      <w:r w:rsidRPr="00D12C59">
        <w:rPr>
          <w:b/>
          <w:bCs/>
        </w:rPr>
        <w:t>Key cases:</w:t>
      </w:r>
    </w:p>
    <w:p w14:paraId="70BE79F6" w14:textId="77777777" w:rsidR="00472C87" w:rsidRPr="00D12C59" w:rsidRDefault="00472C87" w:rsidP="00472C87">
      <w:pPr>
        <w:numPr>
          <w:ilvl w:val="1"/>
          <w:numId w:val="1"/>
        </w:numPr>
      </w:pPr>
      <w:r w:rsidRPr="00D12C59">
        <w:rPr>
          <w:i/>
          <w:iCs/>
        </w:rPr>
        <w:t>R v Allen</w:t>
      </w:r>
      <w:r w:rsidRPr="00D12C59">
        <w:t xml:space="preserve"> </w:t>
      </w:r>
      <w:r>
        <w:t>(</w:t>
      </w:r>
      <w:r w:rsidRPr="00D12C59">
        <w:t>1872</w:t>
      </w:r>
      <w:r>
        <w:t>)</w:t>
      </w:r>
      <w:r w:rsidRPr="00D12C59">
        <w:t xml:space="preserve"> – “Marry” interpreted as “go through a marriage ceremony” to make bigamy offence workable.</w:t>
      </w:r>
    </w:p>
    <w:p w14:paraId="5659C2D5" w14:textId="77777777" w:rsidR="00472C87" w:rsidRPr="00D12C59" w:rsidRDefault="00472C87" w:rsidP="00472C87">
      <w:pPr>
        <w:numPr>
          <w:ilvl w:val="1"/>
          <w:numId w:val="1"/>
        </w:numPr>
      </w:pPr>
      <w:r w:rsidRPr="00D12C59">
        <w:rPr>
          <w:i/>
          <w:iCs/>
        </w:rPr>
        <w:t>Adler v George</w:t>
      </w:r>
      <w:r w:rsidRPr="00D12C59">
        <w:t xml:space="preserve"> </w:t>
      </w:r>
      <w:r>
        <w:t>(</w:t>
      </w:r>
      <w:r w:rsidRPr="00D12C59">
        <w:t>1964</w:t>
      </w:r>
      <w:r>
        <w:t>)</w:t>
      </w:r>
      <w:r w:rsidRPr="00D12C59">
        <w:t xml:space="preserve"> – “In the vicinity of” interpreted to include being inside a prohibited place.</w:t>
      </w:r>
    </w:p>
    <w:p w14:paraId="4C9457F2" w14:textId="77777777" w:rsidR="00472C87" w:rsidRPr="00D12C59" w:rsidRDefault="00472C87" w:rsidP="00472C87">
      <w:pPr>
        <w:numPr>
          <w:ilvl w:val="1"/>
          <w:numId w:val="1"/>
        </w:numPr>
      </w:pPr>
      <w:r w:rsidRPr="00D12C59">
        <w:rPr>
          <w:i/>
          <w:iCs/>
        </w:rPr>
        <w:t>Re Sigsworth</w:t>
      </w:r>
      <w:r w:rsidRPr="00D12C59">
        <w:t xml:space="preserve"> </w:t>
      </w:r>
      <w:r>
        <w:t>(</w:t>
      </w:r>
      <w:r w:rsidRPr="00D12C59">
        <w:t>1935</w:t>
      </w:r>
      <w:r>
        <w:t>)</w:t>
      </w:r>
      <w:r w:rsidRPr="00D12C59">
        <w:t xml:space="preserve"> – Prevented a murderer from inheriting under intestacy rules. </w:t>
      </w:r>
    </w:p>
    <w:p w14:paraId="71FEAE56" w14:textId="77777777" w:rsidR="00472C87" w:rsidRPr="00D12C59" w:rsidRDefault="00472C87" w:rsidP="00472C87">
      <w:pPr>
        <w:numPr>
          <w:ilvl w:val="0"/>
          <w:numId w:val="1"/>
        </w:numPr>
      </w:pPr>
      <w:r w:rsidRPr="00D12C59">
        <w:rPr>
          <w:b/>
          <w:bCs/>
        </w:rPr>
        <w:t>Mischief Rule</w:t>
      </w:r>
      <w:r w:rsidRPr="00D12C59">
        <w:t xml:space="preserve"> – Established in </w:t>
      </w:r>
      <w:r w:rsidRPr="00D12C59">
        <w:rPr>
          <w:i/>
          <w:iCs/>
        </w:rPr>
        <w:t>Heydon’s Case</w:t>
      </w:r>
      <w:r w:rsidRPr="00D12C59">
        <w:t xml:space="preserve"> (1584); looks at the defect the Act aimed to remedy.</w:t>
      </w:r>
      <w:r w:rsidRPr="00D12C59">
        <w:br/>
      </w:r>
      <w:r w:rsidRPr="00D12C59">
        <w:rPr>
          <w:b/>
          <w:bCs/>
        </w:rPr>
        <w:t>Key cases:</w:t>
      </w:r>
    </w:p>
    <w:p w14:paraId="527307C3" w14:textId="77777777" w:rsidR="00472C87" w:rsidRPr="00D12C59" w:rsidRDefault="00472C87" w:rsidP="00472C87">
      <w:pPr>
        <w:numPr>
          <w:ilvl w:val="1"/>
          <w:numId w:val="1"/>
        </w:numPr>
      </w:pPr>
      <w:r w:rsidRPr="00D12C59">
        <w:rPr>
          <w:i/>
          <w:iCs/>
        </w:rPr>
        <w:t>Smith v Hughes</w:t>
      </w:r>
      <w:r w:rsidRPr="00D12C59">
        <w:t xml:space="preserve"> </w:t>
      </w:r>
      <w:r>
        <w:t>(</w:t>
      </w:r>
      <w:r w:rsidRPr="00D12C59">
        <w:t>1960</w:t>
      </w:r>
      <w:r>
        <w:t>)</w:t>
      </w:r>
      <w:r w:rsidRPr="00D12C59">
        <w:t xml:space="preserve"> – Prostitutes soliciting from windows were held to be “in a street” under the Street Offences Act.</w:t>
      </w:r>
    </w:p>
    <w:p w14:paraId="21FD9AAF" w14:textId="77777777" w:rsidR="00472C87" w:rsidRPr="00D12C59" w:rsidRDefault="00472C87" w:rsidP="00472C87">
      <w:pPr>
        <w:numPr>
          <w:ilvl w:val="1"/>
          <w:numId w:val="1"/>
        </w:numPr>
      </w:pPr>
      <w:r w:rsidRPr="00D12C59">
        <w:rPr>
          <w:i/>
          <w:iCs/>
        </w:rPr>
        <w:lastRenderedPageBreak/>
        <w:t>Royal College of Nursing v DHSS</w:t>
      </w:r>
      <w:r w:rsidRPr="00D12C59">
        <w:t xml:space="preserve"> </w:t>
      </w:r>
      <w:r>
        <w:t>(</w:t>
      </w:r>
      <w:r w:rsidRPr="00D12C59">
        <w:t>1981</w:t>
      </w:r>
      <w:r>
        <w:t>)</w:t>
      </w:r>
      <w:r w:rsidRPr="00D12C59">
        <w:t xml:space="preserve"> – Interpreted abortion law to include nurses performing procedures.</w:t>
      </w:r>
    </w:p>
    <w:p w14:paraId="1923F30F" w14:textId="77777777" w:rsidR="00472C87" w:rsidRPr="00D12C59" w:rsidRDefault="00472C87" w:rsidP="00472C87">
      <w:pPr>
        <w:ind w:left="1440"/>
      </w:pPr>
    </w:p>
    <w:p w14:paraId="133044DE" w14:textId="77777777" w:rsidR="00472C87" w:rsidRPr="00D12C59" w:rsidRDefault="00472C87" w:rsidP="00472C87">
      <w:pPr>
        <w:numPr>
          <w:ilvl w:val="0"/>
          <w:numId w:val="1"/>
        </w:numPr>
      </w:pPr>
      <w:r w:rsidRPr="00D12C59">
        <w:rPr>
          <w:b/>
          <w:bCs/>
        </w:rPr>
        <w:t>Purposive Approach</w:t>
      </w:r>
      <w:r w:rsidRPr="00D12C59">
        <w:t xml:space="preserve"> – Focuses on Parliament’s intention and the statute’s purpose.</w:t>
      </w:r>
      <w:r w:rsidRPr="00D12C59">
        <w:br/>
      </w:r>
      <w:r w:rsidRPr="00D12C59">
        <w:rPr>
          <w:b/>
          <w:bCs/>
        </w:rPr>
        <w:t>Key cases:</w:t>
      </w:r>
    </w:p>
    <w:p w14:paraId="3DCEB7E3" w14:textId="77777777" w:rsidR="00472C87" w:rsidRPr="00D12C59" w:rsidRDefault="00472C87" w:rsidP="00472C87">
      <w:pPr>
        <w:numPr>
          <w:ilvl w:val="1"/>
          <w:numId w:val="1"/>
        </w:numPr>
      </w:pPr>
      <w:r w:rsidRPr="00D12C59">
        <w:rPr>
          <w:i/>
          <w:iCs/>
        </w:rPr>
        <w:t>Pepper v Hart</w:t>
      </w:r>
      <w:r w:rsidRPr="00D12C59">
        <w:t xml:space="preserve"> </w:t>
      </w:r>
      <w:r>
        <w:t>(</w:t>
      </w:r>
      <w:r w:rsidRPr="00D12C59">
        <w:t>1993</w:t>
      </w:r>
      <w:r>
        <w:t>)</w:t>
      </w:r>
      <w:r w:rsidRPr="00D12C59">
        <w:t xml:space="preserve"> – Allowed reference to Hansard to determine legislative intent.</w:t>
      </w:r>
    </w:p>
    <w:p w14:paraId="3E7164FE" w14:textId="77777777" w:rsidR="00472C87" w:rsidRPr="00D12C59" w:rsidRDefault="00472C87" w:rsidP="00472C87">
      <w:pPr>
        <w:numPr>
          <w:ilvl w:val="1"/>
          <w:numId w:val="1"/>
        </w:numPr>
      </w:pPr>
      <w:r w:rsidRPr="00D12C59">
        <w:rPr>
          <w:i/>
          <w:iCs/>
        </w:rPr>
        <w:t>Pickstone v Freemans</w:t>
      </w:r>
      <w:r w:rsidRPr="00D12C59">
        <w:t xml:space="preserve"> </w:t>
      </w:r>
      <w:r>
        <w:t>(</w:t>
      </w:r>
      <w:r w:rsidRPr="00D12C59">
        <w:t>1989</w:t>
      </w:r>
      <w:r>
        <w:t>)</w:t>
      </w:r>
      <w:r w:rsidRPr="00D12C59">
        <w:t xml:space="preserve"> – Interpreted equal pay provisions purposively to comply with EU law.</w:t>
      </w:r>
    </w:p>
    <w:p w14:paraId="1F3C42D6" w14:textId="77777777" w:rsidR="00472C87" w:rsidRPr="00D12C59" w:rsidRDefault="00472C87" w:rsidP="00472C87">
      <w:pPr>
        <w:numPr>
          <w:ilvl w:val="1"/>
          <w:numId w:val="1"/>
        </w:numPr>
      </w:pPr>
      <w:r w:rsidRPr="00D12C59">
        <w:rPr>
          <w:i/>
          <w:iCs/>
        </w:rPr>
        <w:t>R (Quintavalle) v Secretary of State for Health</w:t>
      </w:r>
      <w:r w:rsidRPr="00D12C59">
        <w:t xml:space="preserve"> </w:t>
      </w:r>
      <w:r>
        <w:t>(</w:t>
      </w:r>
      <w:r w:rsidRPr="00D12C59">
        <w:t>2003</w:t>
      </w:r>
      <w:r>
        <w:t>)</w:t>
      </w:r>
      <w:r w:rsidRPr="00D12C59">
        <w:t xml:space="preserve"> – Extended “embryo” definition to include embryos created by cell nuclear replacement. </w:t>
      </w:r>
      <w:hyperlink r:id="rId7" w:history="1"/>
    </w:p>
    <w:p w14:paraId="65DCC80F" w14:textId="77777777" w:rsidR="00472C87" w:rsidRPr="00D12C59" w:rsidRDefault="00472C87" w:rsidP="00472C87"/>
    <w:p w14:paraId="61F3C9C1" w14:textId="77777777" w:rsidR="00472C87" w:rsidRPr="00D12C59" w:rsidRDefault="00472C87" w:rsidP="00472C87">
      <w:pPr>
        <w:rPr>
          <w:b/>
          <w:bCs/>
        </w:rPr>
      </w:pPr>
      <w:r w:rsidRPr="00D12C59">
        <w:rPr>
          <w:b/>
          <w:bCs/>
        </w:rPr>
        <w:t>3. Additional Interpretative Aids</w:t>
      </w:r>
    </w:p>
    <w:p w14:paraId="608FD6F0" w14:textId="77777777" w:rsidR="00472C87" w:rsidRPr="00D12C59" w:rsidRDefault="00472C87" w:rsidP="00472C87">
      <w:r w:rsidRPr="00D12C59">
        <w:t>Courts may also use:</w:t>
      </w:r>
    </w:p>
    <w:p w14:paraId="0935AFA0" w14:textId="77777777" w:rsidR="00472C87" w:rsidRPr="00D12C59" w:rsidRDefault="00472C87" w:rsidP="00472C87">
      <w:pPr>
        <w:numPr>
          <w:ilvl w:val="0"/>
          <w:numId w:val="2"/>
        </w:numPr>
      </w:pPr>
      <w:r w:rsidRPr="00D12C59">
        <w:rPr>
          <w:b/>
          <w:bCs/>
        </w:rPr>
        <w:t>Internal aids</w:t>
      </w:r>
      <w:r w:rsidRPr="00D12C59">
        <w:t xml:space="preserve"> – e.g., definition sections within the Act.</w:t>
      </w:r>
    </w:p>
    <w:p w14:paraId="6B9F38F5" w14:textId="77777777" w:rsidR="00472C87" w:rsidRDefault="00472C87" w:rsidP="00472C87">
      <w:pPr>
        <w:numPr>
          <w:ilvl w:val="0"/>
          <w:numId w:val="2"/>
        </w:numPr>
      </w:pPr>
      <w:r w:rsidRPr="00D12C59">
        <w:rPr>
          <w:b/>
          <w:bCs/>
        </w:rPr>
        <w:t>External aids</w:t>
      </w:r>
      <w:r w:rsidRPr="00D12C59">
        <w:t xml:space="preserve"> – e.g., dictionaries (supporting the Literal Rule), textbooks, and Hansard (</w:t>
      </w:r>
      <w:r w:rsidRPr="00D12C59">
        <w:rPr>
          <w:i/>
          <w:iCs/>
        </w:rPr>
        <w:t>Pepper v Hart</w:t>
      </w:r>
      <w:r w:rsidRPr="00D12C59">
        <w:t>).</w:t>
      </w:r>
    </w:p>
    <w:p w14:paraId="5658F2CF" w14:textId="77777777" w:rsidR="00472C87" w:rsidRPr="00D12C59" w:rsidRDefault="00472C87" w:rsidP="00472C87">
      <w:pPr>
        <w:numPr>
          <w:ilvl w:val="0"/>
          <w:numId w:val="2"/>
        </w:numPr>
      </w:pPr>
      <w:r>
        <w:rPr>
          <w:b/>
          <w:bCs/>
        </w:rPr>
        <w:t>Rules of Language</w:t>
      </w:r>
    </w:p>
    <w:p w14:paraId="2D67C6F1" w14:textId="77777777" w:rsidR="00472C87" w:rsidRPr="00D12C59" w:rsidRDefault="00472C87" w:rsidP="00472C87"/>
    <w:p w14:paraId="0147D9EE" w14:textId="77777777" w:rsidR="00472C87" w:rsidRPr="00D12C59" w:rsidRDefault="00472C87" w:rsidP="00472C87">
      <w:pPr>
        <w:rPr>
          <w:b/>
          <w:bCs/>
        </w:rPr>
      </w:pPr>
      <w:r w:rsidRPr="00D12C59">
        <w:rPr>
          <w:b/>
          <w:bCs/>
        </w:rPr>
        <w:t>4. Human Rights Act 1998 Impact</w:t>
      </w:r>
    </w:p>
    <w:p w14:paraId="3C8032CA" w14:textId="77777777" w:rsidR="00472C87" w:rsidRPr="00D12C59" w:rsidRDefault="00472C87" w:rsidP="00472C87">
      <w:r w:rsidRPr="00D12C59">
        <w:t xml:space="preserve">Under </w:t>
      </w:r>
      <w:r w:rsidRPr="00D12C59">
        <w:rPr>
          <w:b/>
          <w:bCs/>
        </w:rPr>
        <w:t>Section 3 HRA 1998</w:t>
      </w:r>
      <w:r w:rsidRPr="00D12C59">
        <w:t>, courts must interpret legislation compatibly with Convention rights where possible.</w:t>
      </w:r>
      <w:r w:rsidRPr="00D12C59">
        <w:br/>
      </w:r>
      <w:r w:rsidRPr="00D12C59">
        <w:rPr>
          <w:b/>
          <w:bCs/>
        </w:rPr>
        <w:t>Key cases:</w:t>
      </w:r>
    </w:p>
    <w:p w14:paraId="1D29331F" w14:textId="77777777" w:rsidR="00472C87" w:rsidRPr="00D12C59" w:rsidRDefault="00472C87" w:rsidP="00472C87">
      <w:pPr>
        <w:numPr>
          <w:ilvl w:val="0"/>
          <w:numId w:val="3"/>
        </w:numPr>
      </w:pPr>
      <w:proofErr w:type="spellStart"/>
      <w:r w:rsidRPr="00D12C59">
        <w:rPr>
          <w:i/>
          <w:iCs/>
        </w:rPr>
        <w:t>Ghaidan</w:t>
      </w:r>
      <w:proofErr w:type="spellEnd"/>
      <w:r w:rsidRPr="00D12C59">
        <w:rPr>
          <w:i/>
          <w:iCs/>
        </w:rPr>
        <w:t xml:space="preserve"> v Godin-Mendoza</w:t>
      </w:r>
      <w:r w:rsidRPr="00D12C59">
        <w:t xml:space="preserve"> </w:t>
      </w:r>
      <w:r>
        <w:t>(</w:t>
      </w:r>
      <w:r w:rsidRPr="00D12C59">
        <w:t>2004</w:t>
      </w:r>
      <w:r>
        <w:t>)</w:t>
      </w:r>
      <w:r w:rsidRPr="00D12C59">
        <w:t xml:space="preserve"> – Interpreted “spouse” to include same-sex partners to comply with Article 8 ECHR.</w:t>
      </w:r>
    </w:p>
    <w:p w14:paraId="509AF2FE" w14:textId="77777777" w:rsidR="00472C87" w:rsidRPr="00D12C59" w:rsidRDefault="00472C87" w:rsidP="00472C87"/>
    <w:p w14:paraId="6368E618" w14:textId="77777777" w:rsidR="00472C87" w:rsidRPr="00D12C59" w:rsidRDefault="00472C87" w:rsidP="00472C87">
      <w:pPr>
        <w:rPr>
          <w:b/>
          <w:bCs/>
        </w:rPr>
      </w:pPr>
      <w:r w:rsidRPr="00D12C59">
        <w:rPr>
          <w:b/>
          <w:bCs/>
        </w:rPr>
        <w:t>5. Conclusion</w:t>
      </w:r>
    </w:p>
    <w:p w14:paraId="1F42AEDE" w14:textId="1DB17A90" w:rsidR="00F86A4F" w:rsidRDefault="00472C87" w:rsidP="00472C87">
      <w:r w:rsidRPr="00D12C59">
        <w:t xml:space="preserve">While multiple interpretations are possible, modern judicial trends favour the </w:t>
      </w:r>
      <w:r w:rsidRPr="00D12C59">
        <w:rPr>
          <w:b/>
          <w:bCs/>
        </w:rPr>
        <w:t>Purposive Approach</w:t>
      </w:r>
      <w:r w:rsidRPr="00D12C59">
        <w:t xml:space="preserve">, supported by the HRA 1998. Therefore, X is likely to succeed if the </w:t>
      </w:r>
      <w:r w:rsidR="00EE44AB">
        <w:t>……</w:t>
      </w:r>
      <w:proofErr w:type="gramStart"/>
      <w:r w:rsidR="00EE44AB">
        <w:t>…..</w:t>
      </w:r>
      <w:proofErr w:type="gramEnd"/>
    </w:p>
    <w:p w14:paraId="6F145831" w14:textId="7A884CA1" w:rsidR="00EE44AB" w:rsidRDefault="00EE44AB">
      <w:r>
        <w:br w:type="page"/>
      </w:r>
    </w:p>
    <w:p w14:paraId="7E502E25" w14:textId="77777777" w:rsidR="00EE44AB" w:rsidRPr="00D12C59" w:rsidRDefault="00EE44AB" w:rsidP="00EE44AB">
      <w:pPr>
        <w:rPr>
          <w:b/>
          <w:bCs/>
          <w:sz w:val="36"/>
          <w:szCs w:val="36"/>
          <w:u w:val="single"/>
        </w:rPr>
      </w:pPr>
      <w:r w:rsidRPr="00EE44AB">
        <w:rPr>
          <w:b/>
          <w:bCs/>
          <w:sz w:val="36"/>
          <w:szCs w:val="36"/>
          <w:u w:val="single"/>
        </w:rPr>
        <w:lastRenderedPageBreak/>
        <w:t xml:space="preserve">Using the guide: </w:t>
      </w:r>
    </w:p>
    <w:p w14:paraId="65073534" w14:textId="77777777" w:rsidR="00EE44AB" w:rsidRPr="00D12C59" w:rsidRDefault="00EE44AB" w:rsidP="00EE44AB">
      <w:r w:rsidRPr="00D12C59">
        <w:rPr>
          <w:b/>
          <w:bCs/>
        </w:rPr>
        <w:t>1. Introduction</w:t>
      </w:r>
      <w:r w:rsidRPr="00D12C59">
        <w:br/>
        <w:t>When advising X, it is essential to consider several issues relevant to how courts interpret statutes. Legislative wording is not always entirely clear, and, as in this case, we must examine how the court is likely to interpret and apply the Fictional Act.</w:t>
      </w:r>
    </w:p>
    <w:p w14:paraId="609109B2" w14:textId="77777777" w:rsidR="00EE44AB" w:rsidRPr="00D12C59" w:rsidRDefault="00EE44AB" w:rsidP="00EE44AB"/>
    <w:p w14:paraId="372DCA88" w14:textId="77777777" w:rsidR="00EE44AB" w:rsidRPr="00D12C59" w:rsidRDefault="00EE44AB" w:rsidP="00EE44AB">
      <w:r w:rsidRPr="00D12C59">
        <w:rPr>
          <w:b/>
          <w:bCs/>
        </w:rPr>
        <w:t>2. General Overview of Interpretation Rules</w:t>
      </w:r>
      <w:r w:rsidRPr="00D12C59">
        <w:br/>
        <w:t>Courts employ various interpretative approaches. To provide accurate advice to X, we must assess the potential impact of the following rules:</w:t>
      </w:r>
    </w:p>
    <w:p w14:paraId="72BF8737" w14:textId="77777777" w:rsidR="00EE44AB" w:rsidRPr="00D12C59" w:rsidRDefault="00EE44AB" w:rsidP="00EE44AB">
      <w:pPr>
        <w:numPr>
          <w:ilvl w:val="0"/>
          <w:numId w:val="4"/>
        </w:numPr>
      </w:pPr>
      <w:r w:rsidRPr="00D12C59">
        <w:rPr>
          <w:b/>
          <w:bCs/>
        </w:rPr>
        <w:t>Literal Rule</w:t>
      </w:r>
    </w:p>
    <w:p w14:paraId="38B33195" w14:textId="77777777" w:rsidR="00EE44AB" w:rsidRPr="00D12C59" w:rsidRDefault="00EE44AB" w:rsidP="00EE44AB">
      <w:pPr>
        <w:numPr>
          <w:ilvl w:val="0"/>
          <w:numId w:val="4"/>
        </w:numPr>
      </w:pPr>
      <w:r w:rsidRPr="00D12C59">
        <w:rPr>
          <w:b/>
          <w:bCs/>
        </w:rPr>
        <w:t>Golden Rule</w:t>
      </w:r>
    </w:p>
    <w:p w14:paraId="4D81EA7C" w14:textId="77777777" w:rsidR="00EE44AB" w:rsidRPr="00D12C59" w:rsidRDefault="00EE44AB" w:rsidP="00EE44AB">
      <w:pPr>
        <w:numPr>
          <w:ilvl w:val="0"/>
          <w:numId w:val="4"/>
        </w:numPr>
      </w:pPr>
      <w:r w:rsidRPr="00D12C59">
        <w:rPr>
          <w:b/>
          <w:bCs/>
        </w:rPr>
        <w:t>Mischief Rule</w:t>
      </w:r>
    </w:p>
    <w:p w14:paraId="0C0D6A39" w14:textId="77777777" w:rsidR="00EE44AB" w:rsidRPr="00D12C59" w:rsidRDefault="00EE44AB" w:rsidP="00EE44AB">
      <w:pPr>
        <w:numPr>
          <w:ilvl w:val="0"/>
          <w:numId w:val="4"/>
        </w:numPr>
      </w:pPr>
      <w:r w:rsidRPr="00D12C59">
        <w:rPr>
          <w:b/>
          <w:bCs/>
        </w:rPr>
        <w:t>Purposive Approach</w:t>
      </w:r>
    </w:p>
    <w:p w14:paraId="79B0B1A5" w14:textId="77777777" w:rsidR="00EE44AB" w:rsidRPr="00D12C59" w:rsidRDefault="00EE44AB" w:rsidP="00EE44AB"/>
    <w:p w14:paraId="0A9BF5D7" w14:textId="77777777" w:rsidR="00EE44AB" w:rsidRPr="00D12C59" w:rsidRDefault="00EE44AB" w:rsidP="00EE44AB">
      <w:r w:rsidRPr="00D12C59">
        <w:rPr>
          <w:b/>
          <w:bCs/>
        </w:rPr>
        <w:t>3. Additional Interpretative Aids</w:t>
      </w:r>
      <w:r w:rsidRPr="00D12C59">
        <w:br/>
        <w:t>Beyond these rules, courts may rely on supplementary aids, including:</w:t>
      </w:r>
    </w:p>
    <w:p w14:paraId="1C32E5FD" w14:textId="77777777" w:rsidR="00EE44AB" w:rsidRPr="00D12C59" w:rsidRDefault="00EE44AB" w:rsidP="00EE44AB">
      <w:pPr>
        <w:numPr>
          <w:ilvl w:val="0"/>
          <w:numId w:val="5"/>
        </w:numPr>
      </w:pPr>
      <w:r w:rsidRPr="00D12C59">
        <w:rPr>
          <w:b/>
          <w:bCs/>
        </w:rPr>
        <w:t>Language rules</w:t>
      </w:r>
    </w:p>
    <w:p w14:paraId="67ADED2E" w14:textId="77777777" w:rsidR="00EE44AB" w:rsidRPr="00D12C59" w:rsidRDefault="00EE44AB" w:rsidP="00EE44AB">
      <w:pPr>
        <w:numPr>
          <w:ilvl w:val="0"/>
          <w:numId w:val="5"/>
        </w:numPr>
      </w:pPr>
      <w:r w:rsidRPr="00D12C59">
        <w:rPr>
          <w:b/>
          <w:bCs/>
        </w:rPr>
        <w:t>Internal aids</w:t>
      </w:r>
      <w:r w:rsidRPr="00D12C59">
        <w:t xml:space="preserve"> (e.g., definitions within the statute)</w:t>
      </w:r>
    </w:p>
    <w:p w14:paraId="1670E87D" w14:textId="77777777" w:rsidR="00EE44AB" w:rsidRPr="00D12C59" w:rsidRDefault="00EE44AB" w:rsidP="00EE44AB">
      <w:pPr>
        <w:numPr>
          <w:ilvl w:val="0"/>
          <w:numId w:val="5"/>
        </w:numPr>
      </w:pPr>
      <w:r w:rsidRPr="00D12C59">
        <w:rPr>
          <w:b/>
          <w:bCs/>
        </w:rPr>
        <w:t>External aids</w:t>
      </w:r>
      <w:r w:rsidRPr="00D12C59">
        <w:t xml:space="preserve"> (e.g., dictionaries, textbooks, Hansard)</w:t>
      </w:r>
    </w:p>
    <w:p w14:paraId="0493B0AC" w14:textId="77777777" w:rsidR="00EE44AB" w:rsidRPr="00D12C59" w:rsidRDefault="00EE44AB" w:rsidP="00EE44AB"/>
    <w:p w14:paraId="30ED5EDF" w14:textId="77777777" w:rsidR="00EE44AB" w:rsidRPr="00D12C59" w:rsidRDefault="00EE44AB" w:rsidP="00EE44AB">
      <w:r w:rsidRPr="00D12C59">
        <w:rPr>
          <w:b/>
          <w:bCs/>
        </w:rPr>
        <w:t>4. Problem Summary</w:t>
      </w:r>
      <w:r w:rsidRPr="00D12C59">
        <w:br/>
        <w:t>In this scenario, several interpretative issues arise. For instance, questions may concern the meaning of certain words in Section 1</w:t>
      </w:r>
      <w:r>
        <w:t xml:space="preserve">…… </w:t>
      </w:r>
      <w:proofErr w:type="gramStart"/>
      <w:r>
        <w:t xml:space="preserve">or </w:t>
      </w:r>
      <w:r w:rsidRPr="00D12C59">
        <w:t xml:space="preserve"> others</w:t>
      </w:r>
      <w:proofErr w:type="gramEnd"/>
      <w:r w:rsidRPr="00D12C59">
        <w:t xml:space="preserve"> in Section 2.</w:t>
      </w:r>
    </w:p>
    <w:p w14:paraId="1D5D672F" w14:textId="77777777" w:rsidR="00EE44AB" w:rsidRPr="00D12C59" w:rsidRDefault="00EE44AB" w:rsidP="00EE44AB"/>
    <w:p w14:paraId="234C2535" w14:textId="77777777" w:rsidR="00EE44AB" w:rsidRPr="00D12C59" w:rsidRDefault="00EE44AB" w:rsidP="00EE44AB">
      <w:r w:rsidRPr="00D12C59">
        <w:rPr>
          <w:b/>
          <w:bCs/>
        </w:rPr>
        <w:t>5. Initial Focus</w:t>
      </w:r>
      <w:r w:rsidRPr="00D12C59">
        <w:br/>
        <w:t xml:space="preserve">Begin with the most significant issue. For example, in Section 1, the meaning of </w:t>
      </w:r>
      <w:r>
        <w:t>(</w:t>
      </w:r>
      <w:r w:rsidRPr="00D12C59">
        <w:t>specific term</w:t>
      </w:r>
      <w:r>
        <w:t>)</w:t>
      </w:r>
      <w:r w:rsidRPr="00D12C59">
        <w:t xml:space="preserve"> is crucial. The court may apply the </w:t>
      </w:r>
      <w:r w:rsidRPr="00D12C59">
        <w:rPr>
          <w:b/>
          <w:bCs/>
        </w:rPr>
        <w:t>Literal Rule</w:t>
      </w:r>
      <w:r w:rsidRPr="00D12C59">
        <w:t xml:space="preserve">, as in </w:t>
      </w:r>
      <w:r>
        <w:rPr>
          <w:i/>
          <w:iCs/>
        </w:rPr>
        <w:t>(</w:t>
      </w:r>
      <w:r w:rsidRPr="00D12C59">
        <w:rPr>
          <w:i/>
          <w:iCs/>
        </w:rPr>
        <w:t>case name</w:t>
      </w:r>
      <w:r>
        <w:rPr>
          <w:i/>
          <w:iCs/>
        </w:rPr>
        <w:t>)</w:t>
      </w:r>
      <w:r w:rsidRPr="00D12C59">
        <w:t xml:space="preserve">, which involves assigning the plain, ordinary meaning to the word. If applied, this could result in </w:t>
      </w:r>
      <w:r>
        <w:t>(</w:t>
      </w:r>
      <w:r w:rsidRPr="00D12C59">
        <w:t>possible outcome</w:t>
      </w:r>
      <w:r>
        <w:t>)</w:t>
      </w:r>
      <w:r w:rsidRPr="00D12C59">
        <w:t>.</w:t>
      </w:r>
    </w:p>
    <w:p w14:paraId="3B3C1F65" w14:textId="77777777" w:rsidR="00EE44AB" w:rsidRPr="00D12C59" w:rsidRDefault="00EE44AB" w:rsidP="00EE44AB"/>
    <w:p w14:paraId="0C8D47ED" w14:textId="77777777" w:rsidR="00EE44AB" w:rsidRPr="00D12C59" w:rsidRDefault="00EE44AB" w:rsidP="00EE44AB">
      <w:r w:rsidRPr="00D12C59">
        <w:rPr>
          <w:b/>
          <w:bCs/>
        </w:rPr>
        <w:t>6. Application of Other Rules</w:t>
      </w:r>
      <w:r w:rsidRPr="00D12C59">
        <w:br/>
        <w:t xml:space="preserve">If ambiguity exists, the court might adopt the </w:t>
      </w:r>
      <w:r w:rsidRPr="00D12C59">
        <w:rPr>
          <w:b/>
          <w:bCs/>
        </w:rPr>
        <w:t>Golden Rule</w:t>
      </w:r>
      <w:r w:rsidRPr="00D12C59">
        <w:t xml:space="preserve"> to avoid absurdity, as seen in </w:t>
      </w:r>
      <w:r>
        <w:rPr>
          <w:i/>
          <w:iCs/>
        </w:rPr>
        <w:lastRenderedPageBreak/>
        <w:t>(</w:t>
      </w:r>
      <w:r w:rsidRPr="00D12C59">
        <w:rPr>
          <w:i/>
          <w:iCs/>
        </w:rPr>
        <w:t>case name</w:t>
      </w:r>
      <w:r>
        <w:rPr>
          <w:i/>
          <w:iCs/>
        </w:rPr>
        <w:t>)</w:t>
      </w:r>
      <w:r w:rsidRPr="00D12C59">
        <w:t xml:space="preserve">. This could lead to </w:t>
      </w:r>
      <w:r>
        <w:t>(</w:t>
      </w:r>
      <w:r w:rsidRPr="00D12C59">
        <w:t>implication for X</w:t>
      </w:r>
      <w:r>
        <w:t>)</w:t>
      </w:r>
      <w:r w:rsidRPr="00D12C59">
        <w:t>.</w:t>
      </w:r>
      <w:r w:rsidRPr="00D12C59">
        <w:br/>
        <w:t xml:space="preserve">The </w:t>
      </w:r>
      <w:r w:rsidRPr="00D12C59">
        <w:rPr>
          <w:b/>
          <w:bCs/>
        </w:rPr>
        <w:t>Mischief Rule</w:t>
      </w:r>
      <w:r w:rsidRPr="00D12C59">
        <w:t xml:space="preserve"> and </w:t>
      </w:r>
      <w:r w:rsidRPr="00D12C59">
        <w:rPr>
          <w:b/>
          <w:bCs/>
        </w:rPr>
        <w:t>Purposive Approach</w:t>
      </w:r>
      <w:r w:rsidRPr="00D12C59">
        <w:t xml:space="preserve"> require examining the legislative intent and the problem Parliament sought to remedy. These approaches, illustrated in </w:t>
      </w:r>
      <w:r>
        <w:rPr>
          <w:i/>
          <w:iCs/>
        </w:rPr>
        <w:t>(</w:t>
      </w:r>
      <w:r w:rsidRPr="00D12C59">
        <w:rPr>
          <w:i/>
          <w:iCs/>
        </w:rPr>
        <w:t>case name(s)</w:t>
      </w:r>
      <w:r>
        <w:rPr>
          <w:i/>
          <w:iCs/>
        </w:rPr>
        <w:t>)</w:t>
      </w:r>
      <w:r w:rsidRPr="00D12C59">
        <w:t xml:space="preserve">, involve considering the statute’s purpose. If applied, I would advise X that </w:t>
      </w:r>
      <w:r>
        <w:t>(</w:t>
      </w:r>
      <w:r w:rsidRPr="00D12C59">
        <w:t>likely conclusion</w:t>
      </w:r>
      <w:r>
        <w:t>)</w:t>
      </w:r>
      <w:r w:rsidRPr="00D12C59">
        <w:t>.</w:t>
      </w:r>
    </w:p>
    <w:p w14:paraId="230D0798" w14:textId="77777777" w:rsidR="00EE44AB" w:rsidRPr="00D12C59" w:rsidRDefault="00000000" w:rsidP="00EE44AB">
      <w:r>
        <w:pict w14:anchorId="01503D66">
          <v:rect id="_x0000_i1025" style="width:0;height:1.5pt" o:hralign="center" o:hrstd="t" o:hr="t" fillcolor="#a0a0a0" stroked="f"/>
        </w:pict>
      </w:r>
    </w:p>
    <w:p w14:paraId="45E92A69" w14:textId="77777777" w:rsidR="00EE44AB" w:rsidRPr="00D12C59" w:rsidRDefault="00EE44AB" w:rsidP="00EE44AB">
      <w:r w:rsidRPr="00D12C59">
        <w:rPr>
          <w:b/>
          <w:bCs/>
        </w:rPr>
        <w:t>7. Use of Language Rules and Other Aids</w:t>
      </w:r>
      <w:r w:rsidRPr="00D12C59">
        <w:br/>
        <w:t>Courts may also consult aids such as:</w:t>
      </w:r>
    </w:p>
    <w:p w14:paraId="1D0CCFF8" w14:textId="77777777" w:rsidR="00EE44AB" w:rsidRPr="00D12C59" w:rsidRDefault="00EE44AB" w:rsidP="00EE44AB">
      <w:pPr>
        <w:numPr>
          <w:ilvl w:val="0"/>
          <w:numId w:val="6"/>
        </w:numPr>
      </w:pPr>
      <w:r w:rsidRPr="00D12C59">
        <w:t>A definition section within the Fictional Act</w:t>
      </w:r>
    </w:p>
    <w:p w14:paraId="0F931E0F" w14:textId="77777777" w:rsidR="00EE44AB" w:rsidRPr="00D12C59" w:rsidRDefault="00EE44AB" w:rsidP="00EE44AB">
      <w:pPr>
        <w:numPr>
          <w:ilvl w:val="0"/>
          <w:numId w:val="6"/>
        </w:numPr>
      </w:pPr>
      <w:r w:rsidRPr="00D12C59">
        <w:t>Dictionaries for plain, everyday meanings (supporting the Literal Rule)</w:t>
      </w:r>
    </w:p>
    <w:p w14:paraId="19F4EB6F" w14:textId="77777777" w:rsidR="00EE44AB" w:rsidRPr="00D12C59" w:rsidRDefault="00EE44AB" w:rsidP="00EE44AB">
      <w:pPr>
        <w:numPr>
          <w:ilvl w:val="0"/>
          <w:numId w:val="6"/>
        </w:numPr>
      </w:pPr>
      <w:r w:rsidRPr="00D12C59">
        <w:t>Hansard reports to clarify legislative intent (supporting the Purposive Approach)</w:t>
      </w:r>
    </w:p>
    <w:p w14:paraId="63F8CDD3" w14:textId="77777777" w:rsidR="00EE44AB" w:rsidRPr="00D12C59" w:rsidRDefault="00EE44AB" w:rsidP="00EE44AB"/>
    <w:p w14:paraId="5AFD02F3" w14:textId="77777777" w:rsidR="00EE44AB" w:rsidRPr="00D12C59" w:rsidRDefault="00EE44AB" w:rsidP="00EE44AB">
      <w:r w:rsidRPr="00D12C59">
        <w:rPr>
          <w:b/>
          <w:bCs/>
        </w:rPr>
        <w:t>8. Impact of the Human Rights Act 1998</w:t>
      </w:r>
      <w:r w:rsidRPr="00D12C59">
        <w:br/>
        <w:t xml:space="preserve">It is vital to consider the effect of the </w:t>
      </w:r>
      <w:r w:rsidRPr="00D12C59">
        <w:rPr>
          <w:b/>
          <w:bCs/>
        </w:rPr>
        <w:t>Human Rights Act 1998</w:t>
      </w:r>
      <w:r w:rsidRPr="00D12C59">
        <w:t>. Under this Act, courts must interpret statutes compatibly with the European Convention on Human Rights. If the issue raises human rights concerns, this will influence the outcome.</w:t>
      </w:r>
    </w:p>
    <w:p w14:paraId="37670250" w14:textId="77777777" w:rsidR="00EE44AB" w:rsidRPr="00D12C59" w:rsidRDefault="00EE44AB" w:rsidP="00EE44AB"/>
    <w:p w14:paraId="75232D8A" w14:textId="24B3EF0F" w:rsidR="00EE44AB" w:rsidRDefault="00EE44AB" w:rsidP="00EE44AB">
      <w:r w:rsidRPr="00D12C59">
        <w:rPr>
          <w:b/>
          <w:bCs/>
        </w:rPr>
        <w:t>9. Conclusion</w:t>
      </w:r>
      <w:r w:rsidRPr="00D12C59">
        <w:br/>
        <w:t xml:space="preserve">Several possible interpretations exist. However, given modern judicial trends favouring the </w:t>
      </w:r>
      <w:r w:rsidRPr="00D12C59">
        <w:rPr>
          <w:b/>
          <w:bCs/>
        </w:rPr>
        <w:t>Purposive Approach</w:t>
      </w:r>
      <w:r w:rsidRPr="00D12C59">
        <w:t xml:space="preserve">, it is likely that X will </w:t>
      </w:r>
      <w:r>
        <w:t>(</w:t>
      </w:r>
      <w:r w:rsidRPr="00D12C59">
        <w:t>anticipated result</w:t>
      </w:r>
      <w:r>
        <w:t>)</w:t>
      </w:r>
      <w:r w:rsidRPr="00D12C59">
        <w:t>.</w:t>
      </w:r>
    </w:p>
    <w:p w14:paraId="59F0AE01" w14:textId="77777777" w:rsidR="00EE44AB" w:rsidRDefault="00EE44AB" w:rsidP="00472C87"/>
    <w:sectPr w:rsidR="00EE44A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B4D79" w14:textId="77777777" w:rsidR="00774050" w:rsidRDefault="00774050" w:rsidP="00EE44AB">
      <w:pPr>
        <w:spacing w:after="0" w:line="240" w:lineRule="auto"/>
      </w:pPr>
      <w:r>
        <w:separator/>
      </w:r>
    </w:p>
  </w:endnote>
  <w:endnote w:type="continuationSeparator" w:id="0">
    <w:p w14:paraId="53583C9A" w14:textId="77777777" w:rsidR="00774050" w:rsidRDefault="00774050" w:rsidP="00EE4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007701"/>
      <w:docPartObj>
        <w:docPartGallery w:val="Page Numbers (Bottom of Page)"/>
        <w:docPartUnique/>
      </w:docPartObj>
    </w:sdtPr>
    <w:sdtEndPr>
      <w:rPr>
        <w:noProof/>
      </w:rPr>
    </w:sdtEndPr>
    <w:sdtContent>
      <w:p w14:paraId="252415BD" w14:textId="6CD025DD" w:rsidR="00EE44AB" w:rsidRDefault="00EE44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D6BCC" w14:textId="77777777" w:rsidR="00EE44AB" w:rsidRDefault="00EE4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370D3" w14:textId="77777777" w:rsidR="00774050" w:rsidRDefault="00774050" w:rsidP="00EE44AB">
      <w:pPr>
        <w:spacing w:after="0" w:line="240" w:lineRule="auto"/>
      </w:pPr>
      <w:r>
        <w:separator/>
      </w:r>
    </w:p>
  </w:footnote>
  <w:footnote w:type="continuationSeparator" w:id="0">
    <w:p w14:paraId="6D38D29C" w14:textId="77777777" w:rsidR="00774050" w:rsidRDefault="00774050" w:rsidP="00EE44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11B51"/>
    <w:multiLevelType w:val="multilevel"/>
    <w:tmpl w:val="6AF6E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32A0C"/>
    <w:multiLevelType w:val="multilevel"/>
    <w:tmpl w:val="7DCA2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F721FD"/>
    <w:multiLevelType w:val="multilevel"/>
    <w:tmpl w:val="2ED28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94D"/>
    <w:multiLevelType w:val="multilevel"/>
    <w:tmpl w:val="CB0C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826BE3"/>
    <w:multiLevelType w:val="multilevel"/>
    <w:tmpl w:val="71AC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EF2B2C"/>
    <w:multiLevelType w:val="multilevel"/>
    <w:tmpl w:val="CFC2E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395917">
    <w:abstractNumId w:val="5"/>
  </w:num>
  <w:num w:numId="2" w16cid:durableId="478305368">
    <w:abstractNumId w:val="0"/>
  </w:num>
  <w:num w:numId="3" w16cid:durableId="326711500">
    <w:abstractNumId w:val="4"/>
  </w:num>
  <w:num w:numId="4" w16cid:durableId="450366162">
    <w:abstractNumId w:val="2"/>
  </w:num>
  <w:num w:numId="5" w16cid:durableId="1423837915">
    <w:abstractNumId w:val="3"/>
  </w:num>
  <w:num w:numId="6" w16cid:durableId="14856579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C87"/>
    <w:rsid w:val="002177A2"/>
    <w:rsid w:val="00472C87"/>
    <w:rsid w:val="00774050"/>
    <w:rsid w:val="008B135A"/>
    <w:rsid w:val="009B7A6C"/>
    <w:rsid w:val="00B217B3"/>
    <w:rsid w:val="00B23E00"/>
    <w:rsid w:val="00EE44AB"/>
    <w:rsid w:val="00F86A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2C04A"/>
  <w15:chartTrackingRefBased/>
  <w15:docId w15:val="{9DB2EA42-D741-4607-81EA-14DF4ED16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C87"/>
  </w:style>
  <w:style w:type="paragraph" w:styleId="Heading1">
    <w:name w:val="heading 1"/>
    <w:basedOn w:val="Normal"/>
    <w:next w:val="Normal"/>
    <w:link w:val="Heading1Char"/>
    <w:uiPriority w:val="9"/>
    <w:qFormat/>
    <w:rsid w:val="00472C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C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C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C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C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C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C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C87"/>
    <w:rPr>
      <w:rFonts w:eastAsiaTheme="majorEastAsia" w:cstheme="majorBidi"/>
      <w:color w:val="272727" w:themeColor="text1" w:themeTint="D8"/>
    </w:rPr>
  </w:style>
  <w:style w:type="paragraph" w:styleId="Title">
    <w:name w:val="Title"/>
    <w:basedOn w:val="Normal"/>
    <w:next w:val="Normal"/>
    <w:link w:val="TitleChar"/>
    <w:uiPriority w:val="10"/>
    <w:qFormat/>
    <w:rsid w:val="00472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C87"/>
    <w:pPr>
      <w:spacing w:before="160"/>
      <w:jc w:val="center"/>
    </w:pPr>
    <w:rPr>
      <w:i/>
      <w:iCs/>
      <w:color w:val="404040" w:themeColor="text1" w:themeTint="BF"/>
    </w:rPr>
  </w:style>
  <w:style w:type="character" w:customStyle="1" w:styleId="QuoteChar">
    <w:name w:val="Quote Char"/>
    <w:basedOn w:val="DefaultParagraphFont"/>
    <w:link w:val="Quote"/>
    <w:uiPriority w:val="29"/>
    <w:rsid w:val="00472C87"/>
    <w:rPr>
      <w:i/>
      <w:iCs/>
      <w:color w:val="404040" w:themeColor="text1" w:themeTint="BF"/>
    </w:rPr>
  </w:style>
  <w:style w:type="paragraph" w:styleId="ListParagraph">
    <w:name w:val="List Paragraph"/>
    <w:basedOn w:val="Normal"/>
    <w:uiPriority w:val="34"/>
    <w:qFormat/>
    <w:rsid w:val="00472C87"/>
    <w:pPr>
      <w:ind w:left="720"/>
      <w:contextualSpacing/>
    </w:pPr>
  </w:style>
  <w:style w:type="character" w:styleId="IntenseEmphasis">
    <w:name w:val="Intense Emphasis"/>
    <w:basedOn w:val="DefaultParagraphFont"/>
    <w:uiPriority w:val="21"/>
    <w:qFormat/>
    <w:rsid w:val="00472C87"/>
    <w:rPr>
      <w:i/>
      <w:iCs/>
      <w:color w:val="0F4761" w:themeColor="accent1" w:themeShade="BF"/>
    </w:rPr>
  </w:style>
  <w:style w:type="paragraph" w:styleId="IntenseQuote">
    <w:name w:val="Intense Quote"/>
    <w:basedOn w:val="Normal"/>
    <w:next w:val="Normal"/>
    <w:link w:val="IntenseQuoteChar"/>
    <w:uiPriority w:val="30"/>
    <w:qFormat/>
    <w:rsid w:val="00472C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C87"/>
    <w:rPr>
      <w:i/>
      <w:iCs/>
      <w:color w:val="0F4761" w:themeColor="accent1" w:themeShade="BF"/>
    </w:rPr>
  </w:style>
  <w:style w:type="character" w:styleId="IntenseReference">
    <w:name w:val="Intense Reference"/>
    <w:basedOn w:val="DefaultParagraphFont"/>
    <w:uiPriority w:val="32"/>
    <w:qFormat/>
    <w:rsid w:val="00472C87"/>
    <w:rPr>
      <w:b/>
      <w:bCs/>
      <w:smallCaps/>
      <w:color w:val="0F4761" w:themeColor="accent1" w:themeShade="BF"/>
      <w:spacing w:val="5"/>
    </w:rPr>
  </w:style>
  <w:style w:type="paragraph" w:styleId="Header">
    <w:name w:val="header"/>
    <w:basedOn w:val="Normal"/>
    <w:link w:val="HeaderChar"/>
    <w:uiPriority w:val="99"/>
    <w:unhideWhenUsed/>
    <w:rsid w:val="00EE4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4AB"/>
  </w:style>
  <w:style w:type="paragraph" w:styleId="Footer">
    <w:name w:val="footer"/>
    <w:basedOn w:val="Normal"/>
    <w:link w:val="FooterChar"/>
    <w:uiPriority w:val="99"/>
    <w:unhideWhenUsed/>
    <w:rsid w:val="00EE4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lawresources.co.uk/the-purposive-approach-to-statutory-interpre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804</Words>
  <Characters>4440</Characters>
  <Application>Microsoft Office Word</Application>
  <DocSecurity>0</DocSecurity>
  <Lines>117</Lines>
  <Paragraphs>50</Paragraphs>
  <ScaleCrop>false</ScaleCrop>
  <Company>University of Wales Trinity Saint David</Company>
  <LinksUpToDate>false</LinksUpToDate>
  <CharactersWithSpaces>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dc:description/>
  <cp:lastModifiedBy>Cerys Davies</cp:lastModifiedBy>
  <cp:revision>3</cp:revision>
  <cp:lastPrinted>2025-11-17T10:12:00Z</cp:lastPrinted>
  <dcterms:created xsi:type="dcterms:W3CDTF">2025-11-17T09:46:00Z</dcterms:created>
  <dcterms:modified xsi:type="dcterms:W3CDTF">2025-11-17T10:12:00Z</dcterms:modified>
</cp:coreProperties>
</file>