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0C4720" w14:textId="2DBBA492" w:rsidR="00646406" w:rsidRPr="00F4799C" w:rsidRDefault="00C57D61" w:rsidP="00C21319">
      <w:pPr>
        <w:jc w:val="center"/>
        <w:rPr>
          <w:rFonts w:asciiTheme="minorBidi" w:hAnsiTheme="minorBidi"/>
        </w:rPr>
      </w:pPr>
      <w:r w:rsidRPr="00F4799C">
        <w:rPr>
          <w:rFonts w:asciiTheme="minorBidi" w:hAnsiTheme="minorBidi"/>
          <w:noProof/>
        </w:rPr>
        <w:drawing>
          <wp:inline distT="0" distB="0" distL="0" distR="0" wp14:anchorId="6412E298" wp14:editId="337BC184">
            <wp:extent cx="2530037" cy="1012015"/>
            <wp:effectExtent l="0" t="0" r="3810"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0037" cy="1012015"/>
                    </a:xfrm>
                    <a:prstGeom prst="rect">
                      <a:avLst/>
                    </a:prstGeom>
                    <a:noFill/>
                  </pic:spPr>
                </pic:pic>
              </a:graphicData>
            </a:graphic>
          </wp:inline>
        </w:drawing>
      </w:r>
      <w:r w:rsidR="00646406" w:rsidRPr="00F4799C">
        <w:rPr>
          <w:rFonts w:asciiTheme="minorBidi" w:hAnsiTheme="minorBidi"/>
        </w:rPr>
        <w:fldChar w:fldCharType="begin"/>
      </w:r>
      <w:r w:rsidRPr="00F4799C">
        <w:rPr>
          <w:rFonts w:asciiTheme="minorBidi" w:hAnsiTheme="minorBidi"/>
        </w:rPr>
        <w:instrText xml:space="preserve"> INCLUDEPICTURE "C:\\Users\\AzZedin01\\Library\\Group Containers\\UBF8T346G9.ms\\WebArchiveCopyPasteTempFiles\\com.microsoft.Word\\8P2xdp3q1g646AAAAAElFTkSuQmCC" \* MERGEFORMAT </w:instrText>
      </w:r>
      <w:r w:rsidR="00646406" w:rsidRPr="00F4799C">
        <w:rPr>
          <w:rFonts w:asciiTheme="minorBidi" w:hAnsiTheme="minorBidi"/>
        </w:rPr>
        <w:fldChar w:fldCharType="separate"/>
      </w:r>
      <w:r w:rsidR="00646406" w:rsidRPr="00F4799C">
        <w:rPr>
          <w:rFonts w:asciiTheme="minorBidi" w:hAnsiTheme="minorBidi"/>
        </w:rPr>
        <w:fldChar w:fldCharType="end"/>
      </w:r>
    </w:p>
    <w:p w14:paraId="1EC34BAD" w14:textId="77777777" w:rsidR="00646406" w:rsidRPr="00F4799C" w:rsidRDefault="00646406" w:rsidP="00C21319">
      <w:pPr>
        <w:rPr>
          <w:rFonts w:asciiTheme="minorBidi" w:hAnsiTheme="minorBidi"/>
        </w:rPr>
      </w:pPr>
    </w:p>
    <w:p w14:paraId="73FE00BD" w14:textId="12A530AF" w:rsidR="008166D7" w:rsidRDefault="008166D7" w:rsidP="00C21319">
      <w:pPr>
        <w:jc w:val="center"/>
        <w:rPr>
          <w:rFonts w:asciiTheme="minorBidi" w:hAnsiTheme="minorBidi"/>
          <w:b/>
          <w:bCs/>
          <w:sz w:val="28"/>
          <w:szCs w:val="28"/>
        </w:rPr>
      </w:pPr>
      <w:r>
        <w:rPr>
          <w:rFonts w:asciiTheme="minorBidi" w:hAnsiTheme="minorBidi"/>
          <w:b/>
          <w:bCs/>
          <w:sz w:val="28"/>
          <w:szCs w:val="28"/>
        </w:rPr>
        <w:t xml:space="preserve">Student Name: </w:t>
      </w:r>
      <w:r w:rsidRPr="008166D7">
        <w:rPr>
          <w:rFonts w:asciiTheme="minorBidi" w:hAnsiTheme="minorBidi"/>
          <w:b/>
          <w:bCs/>
          <w:sz w:val="28"/>
          <w:szCs w:val="28"/>
        </w:rPr>
        <w:t>Jubel Ahmed</w:t>
      </w:r>
    </w:p>
    <w:p w14:paraId="4D296ACE" w14:textId="771B7901" w:rsidR="008166D7" w:rsidRPr="008166D7" w:rsidRDefault="008166D7" w:rsidP="008166D7">
      <w:pPr>
        <w:jc w:val="center"/>
        <w:rPr>
          <w:rFonts w:asciiTheme="minorBidi" w:hAnsiTheme="minorBidi"/>
          <w:b/>
          <w:bCs/>
          <w:sz w:val="28"/>
          <w:szCs w:val="28"/>
        </w:rPr>
      </w:pPr>
      <w:r w:rsidRPr="008166D7">
        <w:rPr>
          <w:rFonts w:asciiTheme="minorBidi" w:hAnsiTheme="minorBidi"/>
          <w:b/>
          <w:bCs/>
          <w:sz w:val="28"/>
          <w:szCs w:val="28"/>
        </w:rPr>
        <w:t>Student ID: 2432469</w:t>
      </w:r>
    </w:p>
    <w:p w14:paraId="3D7751B6" w14:textId="77777777" w:rsidR="00646406" w:rsidRDefault="00646406" w:rsidP="00C21319">
      <w:pPr>
        <w:rPr>
          <w:rFonts w:asciiTheme="minorBidi" w:hAnsiTheme="minorBidi"/>
          <w:sz w:val="28"/>
          <w:szCs w:val="28"/>
        </w:rPr>
      </w:pPr>
    </w:p>
    <w:p w14:paraId="52F431B8" w14:textId="77777777" w:rsidR="008166D7" w:rsidRPr="00F4799C" w:rsidRDefault="008166D7" w:rsidP="00646406">
      <w:pPr>
        <w:jc w:val="center"/>
        <w:rPr>
          <w:rFonts w:asciiTheme="minorBidi" w:hAnsiTheme="minorBidi"/>
          <w:sz w:val="28"/>
          <w:szCs w:val="28"/>
        </w:rPr>
      </w:pPr>
    </w:p>
    <w:p w14:paraId="37F10C9F" w14:textId="2FF0D0FD" w:rsidR="00646406" w:rsidRPr="00F4799C" w:rsidRDefault="00646406" w:rsidP="00646406">
      <w:pPr>
        <w:jc w:val="center"/>
        <w:rPr>
          <w:rFonts w:asciiTheme="minorBidi" w:hAnsiTheme="minorBidi"/>
          <w:b/>
          <w:bCs/>
          <w:sz w:val="28"/>
          <w:szCs w:val="28"/>
        </w:rPr>
      </w:pPr>
      <w:r w:rsidRPr="00F4799C">
        <w:rPr>
          <w:rFonts w:asciiTheme="minorBidi" w:hAnsiTheme="minorBidi"/>
          <w:b/>
          <w:bCs/>
          <w:sz w:val="28"/>
          <w:szCs w:val="28"/>
        </w:rPr>
        <w:t>Module Name: Marketing Management</w:t>
      </w:r>
    </w:p>
    <w:p w14:paraId="1F614A44" w14:textId="77777777" w:rsidR="00646406" w:rsidRPr="00F4799C" w:rsidRDefault="00646406" w:rsidP="00646406">
      <w:pPr>
        <w:jc w:val="center"/>
        <w:rPr>
          <w:rFonts w:asciiTheme="minorBidi" w:hAnsiTheme="minorBidi"/>
          <w:b/>
          <w:bCs/>
          <w:sz w:val="28"/>
          <w:szCs w:val="28"/>
        </w:rPr>
      </w:pPr>
    </w:p>
    <w:p w14:paraId="0794A99E" w14:textId="33486F0B" w:rsidR="00646406" w:rsidRPr="00F4799C" w:rsidRDefault="00646406" w:rsidP="00646406">
      <w:pPr>
        <w:jc w:val="center"/>
        <w:rPr>
          <w:rFonts w:asciiTheme="minorBidi" w:hAnsiTheme="minorBidi"/>
          <w:b/>
          <w:bCs/>
          <w:sz w:val="28"/>
          <w:szCs w:val="28"/>
        </w:rPr>
      </w:pPr>
      <w:r w:rsidRPr="00F4799C">
        <w:rPr>
          <w:rFonts w:asciiTheme="minorBidi" w:hAnsiTheme="minorBidi"/>
          <w:b/>
          <w:bCs/>
          <w:sz w:val="28"/>
          <w:szCs w:val="28"/>
        </w:rPr>
        <w:t>Module Code: LCMB7024</w:t>
      </w:r>
    </w:p>
    <w:p w14:paraId="7E74A1F6" w14:textId="77777777" w:rsidR="00646406" w:rsidRPr="00F4799C" w:rsidRDefault="00646406" w:rsidP="00C21319">
      <w:pPr>
        <w:rPr>
          <w:rFonts w:asciiTheme="minorBidi" w:hAnsiTheme="minorBidi"/>
          <w:b/>
          <w:bCs/>
          <w:sz w:val="28"/>
          <w:szCs w:val="28"/>
        </w:rPr>
      </w:pPr>
    </w:p>
    <w:p w14:paraId="1C05EEAE" w14:textId="5B661AB5" w:rsidR="00646406" w:rsidRPr="00F4799C" w:rsidRDefault="00646406" w:rsidP="00646406">
      <w:pPr>
        <w:jc w:val="center"/>
        <w:rPr>
          <w:rFonts w:asciiTheme="minorBidi" w:hAnsiTheme="minorBidi"/>
          <w:b/>
          <w:bCs/>
          <w:sz w:val="28"/>
          <w:szCs w:val="28"/>
        </w:rPr>
      </w:pPr>
      <w:r w:rsidRPr="00F4799C">
        <w:rPr>
          <w:rFonts w:asciiTheme="minorBidi" w:hAnsiTheme="minorBidi"/>
          <w:b/>
          <w:bCs/>
          <w:sz w:val="28"/>
          <w:szCs w:val="28"/>
        </w:rPr>
        <w:t>Lecturer’s Name:</w:t>
      </w:r>
      <w:r w:rsidR="008166D7">
        <w:rPr>
          <w:rFonts w:asciiTheme="minorBidi" w:hAnsiTheme="minorBidi"/>
          <w:b/>
          <w:bCs/>
          <w:sz w:val="28"/>
          <w:szCs w:val="28"/>
        </w:rPr>
        <w:t xml:space="preserve"> </w:t>
      </w:r>
      <w:r w:rsidR="008166D7" w:rsidRPr="008166D7">
        <w:rPr>
          <w:rFonts w:asciiTheme="minorBidi" w:hAnsiTheme="minorBidi"/>
          <w:b/>
          <w:bCs/>
          <w:sz w:val="28"/>
          <w:szCs w:val="28"/>
        </w:rPr>
        <w:t xml:space="preserve">Dr Tola </w:t>
      </w:r>
      <w:proofErr w:type="spellStart"/>
      <w:r w:rsidR="008166D7" w:rsidRPr="008166D7">
        <w:rPr>
          <w:rFonts w:asciiTheme="minorBidi" w:hAnsiTheme="minorBidi"/>
          <w:b/>
          <w:bCs/>
          <w:sz w:val="28"/>
          <w:szCs w:val="28"/>
        </w:rPr>
        <w:t>Odugbsesan</w:t>
      </w:r>
      <w:proofErr w:type="spellEnd"/>
    </w:p>
    <w:p w14:paraId="2534BC8F" w14:textId="77777777" w:rsidR="00646406" w:rsidRPr="00F4799C" w:rsidRDefault="00646406" w:rsidP="00646406">
      <w:pPr>
        <w:jc w:val="center"/>
        <w:rPr>
          <w:rFonts w:asciiTheme="minorBidi" w:hAnsiTheme="minorBidi"/>
          <w:b/>
          <w:bCs/>
          <w:sz w:val="28"/>
          <w:szCs w:val="28"/>
        </w:rPr>
      </w:pPr>
    </w:p>
    <w:p w14:paraId="70E1BD2A" w14:textId="77777777" w:rsidR="00646406" w:rsidRPr="00F4799C" w:rsidRDefault="00646406" w:rsidP="00646406">
      <w:pPr>
        <w:jc w:val="center"/>
        <w:rPr>
          <w:rFonts w:asciiTheme="minorBidi" w:hAnsiTheme="minorBidi"/>
          <w:b/>
          <w:bCs/>
          <w:sz w:val="28"/>
          <w:szCs w:val="28"/>
        </w:rPr>
      </w:pPr>
    </w:p>
    <w:p w14:paraId="55B10977" w14:textId="77777777" w:rsidR="00646406" w:rsidRPr="00F4799C" w:rsidRDefault="00646406" w:rsidP="00646406">
      <w:pPr>
        <w:rPr>
          <w:rFonts w:asciiTheme="minorBidi" w:hAnsiTheme="minorBidi"/>
          <w:b/>
          <w:bCs/>
          <w:sz w:val="28"/>
          <w:szCs w:val="28"/>
        </w:rPr>
      </w:pPr>
    </w:p>
    <w:p w14:paraId="74532E5F" w14:textId="7F91EE33" w:rsidR="00646406" w:rsidRPr="00F4799C" w:rsidRDefault="00646406" w:rsidP="00C21319">
      <w:pPr>
        <w:jc w:val="center"/>
        <w:rPr>
          <w:rFonts w:asciiTheme="minorBidi" w:hAnsiTheme="minorBidi"/>
          <w:b/>
          <w:bCs/>
          <w:sz w:val="28"/>
          <w:szCs w:val="28"/>
        </w:rPr>
      </w:pPr>
      <w:r w:rsidRPr="00F4799C">
        <w:rPr>
          <w:rFonts w:asciiTheme="minorBidi" w:hAnsiTheme="minorBidi"/>
          <w:b/>
          <w:bCs/>
          <w:sz w:val="28"/>
          <w:szCs w:val="28"/>
        </w:rPr>
        <w:t>Work Count:</w:t>
      </w:r>
      <w:r w:rsidR="00882C7D">
        <w:rPr>
          <w:rFonts w:asciiTheme="minorBidi" w:hAnsiTheme="minorBidi"/>
          <w:b/>
          <w:bCs/>
          <w:sz w:val="28"/>
          <w:szCs w:val="28"/>
        </w:rPr>
        <w:t xml:space="preserve"> 2443</w:t>
      </w:r>
    </w:p>
    <w:p w14:paraId="102B9D5E" w14:textId="77777777" w:rsidR="00646406" w:rsidRPr="00F4799C" w:rsidRDefault="00646406" w:rsidP="00646406">
      <w:pPr>
        <w:jc w:val="center"/>
        <w:rPr>
          <w:rFonts w:asciiTheme="minorBidi" w:hAnsiTheme="minorBidi"/>
          <w:b/>
          <w:bCs/>
          <w:sz w:val="28"/>
          <w:szCs w:val="28"/>
        </w:rPr>
      </w:pPr>
    </w:p>
    <w:p w14:paraId="76B4AC18" w14:textId="77777777" w:rsidR="00646406" w:rsidRPr="00F4799C" w:rsidRDefault="00646406" w:rsidP="00646406">
      <w:pPr>
        <w:jc w:val="center"/>
        <w:rPr>
          <w:rFonts w:asciiTheme="minorBidi" w:hAnsiTheme="minorBidi"/>
          <w:b/>
          <w:bCs/>
          <w:sz w:val="28"/>
          <w:szCs w:val="28"/>
        </w:rPr>
      </w:pPr>
    </w:p>
    <w:p w14:paraId="3D7042D2" w14:textId="7440D83E" w:rsidR="00646406" w:rsidRPr="00F4799C" w:rsidRDefault="00646406" w:rsidP="00646406">
      <w:pPr>
        <w:jc w:val="center"/>
        <w:rPr>
          <w:rFonts w:asciiTheme="minorBidi" w:hAnsiTheme="minorBidi"/>
          <w:b/>
          <w:bCs/>
          <w:sz w:val="28"/>
          <w:szCs w:val="28"/>
        </w:rPr>
      </w:pPr>
      <w:r w:rsidRPr="00F4799C">
        <w:rPr>
          <w:rFonts w:asciiTheme="minorBidi" w:hAnsiTheme="minorBidi"/>
          <w:b/>
          <w:bCs/>
          <w:sz w:val="28"/>
          <w:szCs w:val="28"/>
        </w:rPr>
        <w:t>Term 1</w:t>
      </w:r>
    </w:p>
    <w:p w14:paraId="795BE6E7" w14:textId="16C05007" w:rsidR="00646406" w:rsidRPr="00F4799C" w:rsidRDefault="00646406">
      <w:pPr>
        <w:rPr>
          <w:rFonts w:asciiTheme="minorBidi" w:hAnsiTheme="minorBidi"/>
          <w:b/>
          <w:bCs/>
        </w:rPr>
      </w:pPr>
      <w:r w:rsidRPr="00F4799C">
        <w:rPr>
          <w:rFonts w:asciiTheme="minorBidi" w:hAnsiTheme="minorBidi"/>
          <w:b/>
          <w:bCs/>
        </w:rPr>
        <w:br w:type="page"/>
      </w:r>
    </w:p>
    <w:sdt>
      <w:sdtPr>
        <w:rPr>
          <w:rFonts w:asciiTheme="minorBidi" w:eastAsiaTheme="minorHAnsi" w:hAnsiTheme="minorBidi" w:cstheme="minorBidi"/>
          <w:b/>
          <w:bCs w:val="0"/>
          <w:color w:val="auto"/>
          <w:kern w:val="2"/>
          <w:sz w:val="24"/>
          <w:szCs w:val="24"/>
          <w:lang w:val="en-GB"/>
          <w14:ligatures w14:val="standardContextual"/>
        </w:rPr>
        <w:id w:val="-29875851"/>
        <w:docPartObj>
          <w:docPartGallery w:val="Table of Contents"/>
          <w:docPartUnique/>
        </w:docPartObj>
      </w:sdtPr>
      <w:sdtEndPr>
        <w:rPr>
          <w:b w:val="0"/>
          <w:noProof/>
        </w:rPr>
      </w:sdtEndPr>
      <w:sdtContent>
        <w:p w14:paraId="098D9430" w14:textId="59ED492B" w:rsidR="00325A3E" w:rsidRPr="00E21E02" w:rsidRDefault="00325A3E">
          <w:pPr>
            <w:pStyle w:val="TOCHeading"/>
            <w:rPr>
              <w:rFonts w:asciiTheme="minorBidi" w:hAnsiTheme="minorBidi" w:cstheme="minorBidi"/>
              <w:color w:val="auto"/>
              <w:sz w:val="24"/>
              <w:szCs w:val="24"/>
            </w:rPr>
          </w:pPr>
          <w:r w:rsidRPr="00E21E02">
            <w:rPr>
              <w:rFonts w:asciiTheme="minorBidi" w:hAnsiTheme="minorBidi" w:cstheme="minorBidi"/>
              <w:color w:val="auto"/>
              <w:sz w:val="24"/>
              <w:szCs w:val="24"/>
            </w:rPr>
            <w:t>Table of Contents</w:t>
          </w:r>
        </w:p>
        <w:p w14:paraId="75EA84AF" w14:textId="0B734DCA" w:rsidR="00882C7D" w:rsidRDefault="00325A3E">
          <w:pPr>
            <w:pStyle w:val="TOC1"/>
            <w:tabs>
              <w:tab w:val="right" w:leader="dot" w:pos="9016"/>
            </w:tabs>
            <w:rPr>
              <w:rFonts w:asciiTheme="minorHAnsi" w:eastAsiaTheme="minorEastAsia" w:hAnsiTheme="minorHAnsi"/>
              <w:b w:val="0"/>
              <w:bCs w:val="0"/>
              <w:caps w:val="0"/>
              <w:noProof/>
              <w:sz w:val="24"/>
              <w:szCs w:val="24"/>
              <w:lang w:eastAsia="en-GB"/>
            </w:rPr>
          </w:pPr>
          <w:r w:rsidRPr="00F4799C">
            <w:rPr>
              <w:rFonts w:asciiTheme="minorBidi" w:hAnsiTheme="minorBidi"/>
              <w:b w:val="0"/>
              <w:bCs w:val="0"/>
              <w:sz w:val="24"/>
              <w:szCs w:val="24"/>
            </w:rPr>
            <w:fldChar w:fldCharType="begin"/>
          </w:r>
          <w:r w:rsidRPr="00F4799C">
            <w:rPr>
              <w:rFonts w:asciiTheme="minorBidi" w:hAnsiTheme="minorBidi"/>
              <w:sz w:val="24"/>
              <w:szCs w:val="24"/>
            </w:rPr>
            <w:instrText xml:space="preserve"> TOC \o "1-3" \h \z \u </w:instrText>
          </w:r>
          <w:r w:rsidRPr="00F4799C">
            <w:rPr>
              <w:rFonts w:asciiTheme="minorBidi" w:hAnsiTheme="minorBidi"/>
              <w:b w:val="0"/>
              <w:bCs w:val="0"/>
              <w:sz w:val="24"/>
              <w:szCs w:val="24"/>
            </w:rPr>
            <w:fldChar w:fldCharType="separate"/>
          </w:r>
          <w:hyperlink w:anchor="_Toc225304451" w:history="1">
            <w:r w:rsidR="00882C7D" w:rsidRPr="00A36A45">
              <w:rPr>
                <w:rStyle w:val="Hyperlink"/>
                <w:noProof/>
                <w:lang w:eastAsia="zh-CN"/>
              </w:rPr>
              <w:t>1. Introduction</w:t>
            </w:r>
            <w:r w:rsidR="00882C7D">
              <w:rPr>
                <w:noProof/>
                <w:webHidden/>
              </w:rPr>
              <w:tab/>
            </w:r>
            <w:r w:rsidR="00882C7D">
              <w:rPr>
                <w:noProof/>
                <w:webHidden/>
              </w:rPr>
              <w:fldChar w:fldCharType="begin"/>
            </w:r>
            <w:r w:rsidR="00882C7D">
              <w:rPr>
                <w:noProof/>
                <w:webHidden/>
              </w:rPr>
              <w:instrText xml:space="preserve"> PAGEREF _Toc225304451 \h </w:instrText>
            </w:r>
            <w:r w:rsidR="00882C7D">
              <w:rPr>
                <w:noProof/>
                <w:webHidden/>
              </w:rPr>
            </w:r>
            <w:r w:rsidR="00882C7D">
              <w:rPr>
                <w:noProof/>
                <w:webHidden/>
              </w:rPr>
              <w:fldChar w:fldCharType="separate"/>
            </w:r>
            <w:r w:rsidR="00882C7D">
              <w:rPr>
                <w:noProof/>
                <w:webHidden/>
              </w:rPr>
              <w:t>3</w:t>
            </w:r>
            <w:r w:rsidR="00882C7D">
              <w:rPr>
                <w:noProof/>
                <w:webHidden/>
              </w:rPr>
              <w:fldChar w:fldCharType="end"/>
            </w:r>
          </w:hyperlink>
        </w:p>
        <w:p w14:paraId="40F11786" w14:textId="6CCEE183" w:rsidR="00882C7D" w:rsidRDefault="00882C7D">
          <w:pPr>
            <w:pStyle w:val="TOC1"/>
            <w:tabs>
              <w:tab w:val="right" w:leader="dot" w:pos="9016"/>
            </w:tabs>
            <w:rPr>
              <w:rFonts w:asciiTheme="minorHAnsi" w:eastAsiaTheme="minorEastAsia" w:hAnsiTheme="minorHAnsi"/>
              <w:b w:val="0"/>
              <w:bCs w:val="0"/>
              <w:caps w:val="0"/>
              <w:noProof/>
              <w:sz w:val="24"/>
              <w:szCs w:val="24"/>
              <w:lang w:eastAsia="en-GB"/>
            </w:rPr>
          </w:pPr>
          <w:hyperlink w:anchor="_Toc225304452" w:history="1">
            <w:r w:rsidRPr="00A36A45">
              <w:rPr>
                <w:rStyle w:val="Hyperlink"/>
                <w:noProof/>
                <w:lang w:eastAsia="zh-CN"/>
              </w:rPr>
              <w:t>2. Task 1: Critical Analysis of the Macro Marketing Environment</w:t>
            </w:r>
            <w:r>
              <w:rPr>
                <w:noProof/>
                <w:webHidden/>
              </w:rPr>
              <w:tab/>
            </w:r>
            <w:r>
              <w:rPr>
                <w:noProof/>
                <w:webHidden/>
              </w:rPr>
              <w:fldChar w:fldCharType="begin"/>
            </w:r>
            <w:r>
              <w:rPr>
                <w:noProof/>
                <w:webHidden/>
              </w:rPr>
              <w:instrText xml:space="preserve"> PAGEREF _Toc225304452 \h </w:instrText>
            </w:r>
            <w:r>
              <w:rPr>
                <w:noProof/>
                <w:webHidden/>
              </w:rPr>
            </w:r>
            <w:r>
              <w:rPr>
                <w:noProof/>
                <w:webHidden/>
              </w:rPr>
              <w:fldChar w:fldCharType="separate"/>
            </w:r>
            <w:r>
              <w:rPr>
                <w:noProof/>
                <w:webHidden/>
              </w:rPr>
              <w:t>4</w:t>
            </w:r>
            <w:r>
              <w:rPr>
                <w:noProof/>
                <w:webHidden/>
              </w:rPr>
              <w:fldChar w:fldCharType="end"/>
            </w:r>
          </w:hyperlink>
        </w:p>
        <w:p w14:paraId="7C204385" w14:textId="5477E5F2" w:rsidR="00882C7D" w:rsidRDefault="00882C7D">
          <w:pPr>
            <w:pStyle w:val="TOC2"/>
            <w:tabs>
              <w:tab w:val="right" w:leader="dot" w:pos="9016"/>
            </w:tabs>
            <w:rPr>
              <w:rFonts w:asciiTheme="minorHAnsi" w:eastAsiaTheme="minorEastAsia" w:hAnsiTheme="minorHAnsi"/>
              <w:smallCaps w:val="0"/>
              <w:noProof/>
              <w:sz w:val="24"/>
              <w:szCs w:val="24"/>
              <w:lang w:eastAsia="en-GB"/>
            </w:rPr>
          </w:pPr>
          <w:hyperlink w:anchor="_Toc225304453" w:history="1">
            <w:r w:rsidRPr="00A36A45">
              <w:rPr>
                <w:rStyle w:val="Hyperlink"/>
                <w:noProof/>
                <w:lang w:eastAsia="zh-CN"/>
              </w:rPr>
              <w:t>2.1 Macro Marketing Environment</w:t>
            </w:r>
            <w:r>
              <w:rPr>
                <w:noProof/>
                <w:webHidden/>
              </w:rPr>
              <w:tab/>
            </w:r>
            <w:r>
              <w:rPr>
                <w:noProof/>
                <w:webHidden/>
              </w:rPr>
              <w:fldChar w:fldCharType="begin"/>
            </w:r>
            <w:r>
              <w:rPr>
                <w:noProof/>
                <w:webHidden/>
              </w:rPr>
              <w:instrText xml:space="preserve"> PAGEREF _Toc225304453 \h </w:instrText>
            </w:r>
            <w:r>
              <w:rPr>
                <w:noProof/>
                <w:webHidden/>
              </w:rPr>
            </w:r>
            <w:r>
              <w:rPr>
                <w:noProof/>
                <w:webHidden/>
              </w:rPr>
              <w:fldChar w:fldCharType="separate"/>
            </w:r>
            <w:r>
              <w:rPr>
                <w:noProof/>
                <w:webHidden/>
              </w:rPr>
              <w:t>4</w:t>
            </w:r>
            <w:r>
              <w:rPr>
                <w:noProof/>
                <w:webHidden/>
              </w:rPr>
              <w:fldChar w:fldCharType="end"/>
            </w:r>
          </w:hyperlink>
        </w:p>
        <w:p w14:paraId="7CCB4F55" w14:textId="7B5D076C" w:rsidR="00882C7D" w:rsidRDefault="00882C7D">
          <w:pPr>
            <w:pStyle w:val="TOC2"/>
            <w:tabs>
              <w:tab w:val="right" w:leader="dot" w:pos="9016"/>
            </w:tabs>
            <w:rPr>
              <w:rFonts w:asciiTheme="minorHAnsi" w:eastAsiaTheme="minorEastAsia" w:hAnsiTheme="minorHAnsi"/>
              <w:smallCaps w:val="0"/>
              <w:noProof/>
              <w:sz w:val="24"/>
              <w:szCs w:val="24"/>
              <w:lang w:eastAsia="en-GB"/>
            </w:rPr>
          </w:pPr>
          <w:hyperlink w:anchor="_Toc225304454" w:history="1">
            <w:r w:rsidRPr="00A36A45">
              <w:rPr>
                <w:rStyle w:val="Hyperlink"/>
                <w:noProof/>
                <w:lang w:eastAsia="zh-CN"/>
              </w:rPr>
              <w:t>2.2 Analysis of Macro Factor 1: Technological Factors</w:t>
            </w:r>
            <w:r>
              <w:rPr>
                <w:noProof/>
                <w:webHidden/>
              </w:rPr>
              <w:tab/>
            </w:r>
            <w:r>
              <w:rPr>
                <w:noProof/>
                <w:webHidden/>
              </w:rPr>
              <w:fldChar w:fldCharType="begin"/>
            </w:r>
            <w:r>
              <w:rPr>
                <w:noProof/>
                <w:webHidden/>
              </w:rPr>
              <w:instrText xml:space="preserve"> PAGEREF _Toc225304454 \h </w:instrText>
            </w:r>
            <w:r>
              <w:rPr>
                <w:noProof/>
                <w:webHidden/>
              </w:rPr>
            </w:r>
            <w:r>
              <w:rPr>
                <w:noProof/>
                <w:webHidden/>
              </w:rPr>
              <w:fldChar w:fldCharType="separate"/>
            </w:r>
            <w:r>
              <w:rPr>
                <w:noProof/>
                <w:webHidden/>
              </w:rPr>
              <w:t>5</w:t>
            </w:r>
            <w:r>
              <w:rPr>
                <w:noProof/>
                <w:webHidden/>
              </w:rPr>
              <w:fldChar w:fldCharType="end"/>
            </w:r>
          </w:hyperlink>
        </w:p>
        <w:p w14:paraId="1EAF6033" w14:textId="0DB902EC" w:rsidR="00882C7D" w:rsidRDefault="00882C7D">
          <w:pPr>
            <w:pStyle w:val="TOC3"/>
            <w:tabs>
              <w:tab w:val="right" w:leader="dot" w:pos="9016"/>
            </w:tabs>
            <w:rPr>
              <w:rFonts w:asciiTheme="minorHAnsi" w:eastAsiaTheme="minorEastAsia" w:hAnsiTheme="minorHAnsi"/>
              <w:i w:val="0"/>
              <w:iCs w:val="0"/>
              <w:noProof/>
              <w:sz w:val="24"/>
              <w:szCs w:val="24"/>
              <w:lang w:eastAsia="en-GB"/>
            </w:rPr>
          </w:pPr>
          <w:hyperlink w:anchor="_Toc225304455" w:history="1">
            <w:r w:rsidRPr="00A36A45">
              <w:rPr>
                <w:rStyle w:val="Hyperlink"/>
                <w:noProof/>
                <w:lang w:eastAsia="zh-CN"/>
              </w:rPr>
              <w:t>2.2.1 Impact on the Pioneer Organisation</w:t>
            </w:r>
            <w:r>
              <w:rPr>
                <w:noProof/>
                <w:webHidden/>
              </w:rPr>
              <w:tab/>
            </w:r>
            <w:r>
              <w:rPr>
                <w:noProof/>
                <w:webHidden/>
              </w:rPr>
              <w:fldChar w:fldCharType="begin"/>
            </w:r>
            <w:r>
              <w:rPr>
                <w:noProof/>
                <w:webHidden/>
              </w:rPr>
              <w:instrText xml:space="preserve"> PAGEREF _Toc225304455 \h </w:instrText>
            </w:r>
            <w:r>
              <w:rPr>
                <w:noProof/>
                <w:webHidden/>
              </w:rPr>
            </w:r>
            <w:r>
              <w:rPr>
                <w:noProof/>
                <w:webHidden/>
              </w:rPr>
              <w:fldChar w:fldCharType="separate"/>
            </w:r>
            <w:r>
              <w:rPr>
                <w:noProof/>
                <w:webHidden/>
              </w:rPr>
              <w:t>5</w:t>
            </w:r>
            <w:r>
              <w:rPr>
                <w:noProof/>
                <w:webHidden/>
              </w:rPr>
              <w:fldChar w:fldCharType="end"/>
            </w:r>
          </w:hyperlink>
        </w:p>
        <w:p w14:paraId="490A42CB" w14:textId="79A53E96" w:rsidR="00882C7D" w:rsidRDefault="00882C7D">
          <w:pPr>
            <w:pStyle w:val="TOC3"/>
            <w:tabs>
              <w:tab w:val="right" w:leader="dot" w:pos="9016"/>
            </w:tabs>
            <w:rPr>
              <w:rFonts w:asciiTheme="minorHAnsi" w:eastAsiaTheme="minorEastAsia" w:hAnsiTheme="minorHAnsi"/>
              <w:i w:val="0"/>
              <w:iCs w:val="0"/>
              <w:noProof/>
              <w:sz w:val="24"/>
              <w:szCs w:val="24"/>
              <w:lang w:eastAsia="en-GB"/>
            </w:rPr>
          </w:pPr>
          <w:hyperlink w:anchor="_Toc225304456" w:history="1">
            <w:r w:rsidRPr="00A36A45">
              <w:rPr>
                <w:rStyle w:val="Hyperlink"/>
                <w:noProof/>
                <w:lang w:eastAsia="zh-CN"/>
              </w:rPr>
              <w:t>2.2.2 Impact on the Follower Organisation</w:t>
            </w:r>
            <w:r>
              <w:rPr>
                <w:noProof/>
                <w:webHidden/>
              </w:rPr>
              <w:tab/>
            </w:r>
            <w:r>
              <w:rPr>
                <w:noProof/>
                <w:webHidden/>
              </w:rPr>
              <w:fldChar w:fldCharType="begin"/>
            </w:r>
            <w:r>
              <w:rPr>
                <w:noProof/>
                <w:webHidden/>
              </w:rPr>
              <w:instrText xml:space="preserve"> PAGEREF _Toc225304456 \h </w:instrText>
            </w:r>
            <w:r>
              <w:rPr>
                <w:noProof/>
                <w:webHidden/>
              </w:rPr>
            </w:r>
            <w:r>
              <w:rPr>
                <w:noProof/>
                <w:webHidden/>
              </w:rPr>
              <w:fldChar w:fldCharType="separate"/>
            </w:r>
            <w:r>
              <w:rPr>
                <w:noProof/>
                <w:webHidden/>
              </w:rPr>
              <w:t>6</w:t>
            </w:r>
            <w:r>
              <w:rPr>
                <w:noProof/>
                <w:webHidden/>
              </w:rPr>
              <w:fldChar w:fldCharType="end"/>
            </w:r>
          </w:hyperlink>
        </w:p>
        <w:p w14:paraId="29B13D6A" w14:textId="7E45E2DC" w:rsidR="00882C7D" w:rsidRDefault="00882C7D">
          <w:pPr>
            <w:pStyle w:val="TOC2"/>
            <w:tabs>
              <w:tab w:val="right" w:leader="dot" w:pos="9016"/>
            </w:tabs>
            <w:rPr>
              <w:rFonts w:asciiTheme="minorHAnsi" w:eastAsiaTheme="minorEastAsia" w:hAnsiTheme="minorHAnsi"/>
              <w:smallCaps w:val="0"/>
              <w:noProof/>
              <w:sz w:val="24"/>
              <w:szCs w:val="24"/>
              <w:lang w:eastAsia="en-GB"/>
            </w:rPr>
          </w:pPr>
          <w:hyperlink w:anchor="_Toc225304457" w:history="1">
            <w:r w:rsidRPr="00A36A45">
              <w:rPr>
                <w:rStyle w:val="Hyperlink"/>
                <w:noProof/>
                <w:lang w:eastAsia="zh-CN"/>
              </w:rPr>
              <w:t>2.3 Analysis of Macro Factor 2: Socio-cultural Factors</w:t>
            </w:r>
            <w:r>
              <w:rPr>
                <w:noProof/>
                <w:webHidden/>
              </w:rPr>
              <w:tab/>
            </w:r>
            <w:r>
              <w:rPr>
                <w:noProof/>
                <w:webHidden/>
              </w:rPr>
              <w:fldChar w:fldCharType="begin"/>
            </w:r>
            <w:r>
              <w:rPr>
                <w:noProof/>
                <w:webHidden/>
              </w:rPr>
              <w:instrText xml:space="preserve"> PAGEREF _Toc225304457 \h </w:instrText>
            </w:r>
            <w:r>
              <w:rPr>
                <w:noProof/>
                <w:webHidden/>
              </w:rPr>
            </w:r>
            <w:r>
              <w:rPr>
                <w:noProof/>
                <w:webHidden/>
              </w:rPr>
              <w:fldChar w:fldCharType="separate"/>
            </w:r>
            <w:r>
              <w:rPr>
                <w:noProof/>
                <w:webHidden/>
              </w:rPr>
              <w:t>6</w:t>
            </w:r>
            <w:r>
              <w:rPr>
                <w:noProof/>
                <w:webHidden/>
              </w:rPr>
              <w:fldChar w:fldCharType="end"/>
            </w:r>
          </w:hyperlink>
        </w:p>
        <w:p w14:paraId="0F8DD2EB" w14:textId="26DA5822" w:rsidR="00882C7D" w:rsidRDefault="00882C7D">
          <w:pPr>
            <w:pStyle w:val="TOC3"/>
            <w:tabs>
              <w:tab w:val="right" w:leader="dot" w:pos="9016"/>
            </w:tabs>
            <w:rPr>
              <w:rFonts w:asciiTheme="minorHAnsi" w:eastAsiaTheme="minorEastAsia" w:hAnsiTheme="minorHAnsi"/>
              <w:i w:val="0"/>
              <w:iCs w:val="0"/>
              <w:noProof/>
              <w:sz w:val="24"/>
              <w:szCs w:val="24"/>
              <w:lang w:eastAsia="en-GB"/>
            </w:rPr>
          </w:pPr>
          <w:hyperlink w:anchor="_Toc225304458" w:history="1">
            <w:r w:rsidRPr="00A36A45">
              <w:rPr>
                <w:rStyle w:val="Hyperlink"/>
                <w:noProof/>
                <w:lang w:eastAsia="zh-CN"/>
              </w:rPr>
              <w:t>2.3.1 Impact on the Pioneer Organisation</w:t>
            </w:r>
            <w:r>
              <w:rPr>
                <w:noProof/>
                <w:webHidden/>
              </w:rPr>
              <w:tab/>
            </w:r>
            <w:r>
              <w:rPr>
                <w:noProof/>
                <w:webHidden/>
              </w:rPr>
              <w:fldChar w:fldCharType="begin"/>
            </w:r>
            <w:r>
              <w:rPr>
                <w:noProof/>
                <w:webHidden/>
              </w:rPr>
              <w:instrText xml:space="preserve"> PAGEREF _Toc225304458 \h </w:instrText>
            </w:r>
            <w:r>
              <w:rPr>
                <w:noProof/>
                <w:webHidden/>
              </w:rPr>
            </w:r>
            <w:r>
              <w:rPr>
                <w:noProof/>
                <w:webHidden/>
              </w:rPr>
              <w:fldChar w:fldCharType="separate"/>
            </w:r>
            <w:r>
              <w:rPr>
                <w:noProof/>
                <w:webHidden/>
              </w:rPr>
              <w:t>6</w:t>
            </w:r>
            <w:r>
              <w:rPr>
                <w:noProof/>
                <w:webHidden/>
              </w:rPr>
              <w:fldChar w:fldCharType="end"/>
            </w:r>
          </w:hyperlink>
        </w:p>
        <w:p w14:paraId="4EE138D1" w14:textId="725FFFD9" w:rsidR="00882C7D" w:rsidRDefault="00882C7D">
          <w:pPr>
            <w:pStyle w:val="TOC3"/>
            <w:tabs>
              <w:tab w:val="right" w:leader="dot" w:pos="9016"/>
            </w:tabs>
            <w:rPr>
              <w:rFonts w:asciiTheme="minorHAnsi" w:eastAsiaTheme="minorEastAsia" w:hAnsiTheme="minorHAnsi"/>
              <w:i w:val="0"/>
              <w:iCs w:val="0"/>
              <w:noProof/>
              <w:sz w:val="24"/>
              <w:szCs w:val="24"/>
              <w:lang w:eastAsia="en-GB"/>
            </w:rPr>
          </w:pPr>
          <w:hyperlink w:anchor="_Toc225304459" w:history="1">
            <w:r w:rsidRPr="00A36A45">
              <w:rPr>
                <w:rStyle w:val="Hyperlink"/>
                <w:noProof/>
                <w:lang w:eastAsia="zh-CN"/>
              </w:rPr>
              <w:t>2.3.2 Impact on the Follower Organisation</w:t>
            </w:r>
            <w:r>
              <w:rPr>
                <w:noProof/>
                <w:webHidden/>
              </w:rPr>
              <w:tab/>
            </w:r>
            <w:r>
              <w:rPr>
                <w:noProof/>
                <w:webHidden/>
              </w:rPr>
              <w:fldChar w:fldCharType="begin"/>
            </w:r>
            <w:r>
              <w:rPr>
                <w:noProof/>
                <w:webHidden/>
              </w:rPr>
              <w:instrText xml:space="preserve"> PAGEREF _Toc225304459 \h </w:instrText>
            </w:r>
            <w:r>
              <w:rPr>
                <w:noProof/>
                <w:webHidden/>
              </w:rPr>
            </w:r>
            <w:r>
              <w:rPr>
                <w:noProof/>
                <w:webHidden/>
              </w:rPr>
              <w:fldChar w:fldCharType="separate"/>
            </w:r>
            <w:r>
              <w:rPr>
                <w:noProof/>
                <w:webHidden/>
              </w:rPr>
              <w:t>7</w:t>
            </w:r>
            <w:r>
              <w:rPr>
                <w:noProof/>
                <w:webHidden/>
              </w:rPr>
              <w:fldChar w:fldCharType="end"/>
            </w:r>
          </w:hyperlink>
        </w:p>
        <w:p w14:paraId="314D93A7" w14:textId="270F3470" w:rsidR="00882C7D" w:rsidRDefault="00882C7D">
          <w:pPr>
            <w:pStyle w:val="TOC1"/>
            <w:tabs>
              <w:tab w:val="right" w:leader="dot" w:pos="9016"/>
            </w:tabs>
            <w:rPr>
              <w:rFonts w:asciiTheme="minorHAnsi" w:eastAsiaTheme="minorEastAsia" w:hAnsiTheme="minorHAnsi"/>
              <w:b w:val="0"/>
              <w:bCs w:val="0"/>
              <w:caps w:val="0"/>
              <w:noProof/>
              <w:sz w:val="24"/>
              <w:szCs w:val="24"/>
              <w:lang w:eastAsia="en-GB"/>
            </w:rPr>
          </w:pPr>
          <w:hyperlink w:anchor="_Toc225304460" w:history="1">
            <w:r w:rsidRPr="00A36A45">
              <w:rPr>
                <w:rStyle w:val="Hyperlink"/>
                <w:noProof/>
                <w:lang w:eastAsia="zh-CN"/>
              </w:rPr>
              <w:t xml:space="preserve">3. Task 2: </w:t>
            </w:r>
            <w:r w:rsidRPr="00A36A45">
              <w:rPr>
                <w:rStyle w:val="Hyperlink"/>
                <w:noProof/>
              </w:rPr>
              <w:t>Strategic</w:t>
            </w:r>
            <w:r w:rsidRPr="00A36A45">
              <w:rPr>
                <w:rStyle w:val="Hyperlink"/>
                <w:noProof/>
                <w:lang w:eastAsia="zh-CN"/>
              </w:rPr>
              <w:t xml:space="preserve"> Responses of Pioneering and Follower Organisations</w:t>
            </w:r>
            <w:r>
              <w:rPr>
                <w:noProof/>
                <w:webHidden/>
              </w:rPr>
              <w:tab/>
            </w:r>
            <w:r>
              <w:rPr>
                <w:noProof/>
                <w:webHidden/>
              </w:rPr>
              <w:fldChar w:fldCharType="begin"/>
            </w:r>
            <w:r>
              <w:rPr>
                <w:noProof/>
                <w:webHidden/>
              </w:rPr>
              <w:instrText xml:space="preserve"> PAGEREF _Toc225304460 \h </w:instrText>
            </w:r>
            <w:r>
              <w:rPr>
                <w:noProof/>
                <w:webHidden/>
              </w:rPr>
            </w:r>
            <w:r>
              <w:rPr>
                <w:noProof/>
                <w:webHidden/>
              </w:rPr>
              <w:fldChar w:fldCharType="separate"/>
            </w:r>
            <w:r>
              <w:rPr>
                <w:noProof/>
                <w:webHidden/>
              </w:rPr>
              <w:t>9</w:t>
            </w:r>
            <w:r>
              <w:rPr>
                <w:noProof/>
                <w:webHidden/>
              </w:rPr>
              <w:fldChar w:fldCharType="end"/>
            </w:r>
          </w:hyperlink>
        </w:p>
        <w:p w14:paraId="08262C76" w14:textId="0A2DE743" w:rsidR="00882C7D" w:rsidRDefault="00882C7D">
          <w:pPr>
            <w:pStyle w:val="TOC2"/>
            <w:tabs>
              <w:tab w:val="right" w:leader="dot" w:pos="9016"/>
            </w:tabs>
            <w:rPr>
              <w:rFonts w:asciiTheme="minorHAnsi" w:eastAsiaTheme="minorEastAsia" w:hAnsiTheme="minorHAnsi"/>
              <w:smallCaps w:val="0"/>
              <w:noProof/>
              <w:sz w:val="24"/>
              <w:szCs w:val="24"/>
              <w:lang w:eastAsia="en-GB"/>
            </w:rPr>
          </w:pPr>
          <w:hyperlink w:anchor="_Toc225304461" w:history="1">
            <w:r w:rsidRPr="00A36A45">
              <w:rPr>
                <w:rStyle w:val="Hyperlink"/>
                <w:noProof/>
                <w:lang w:eastAsia="zh-CN"/>
              </w:rPr>
              <w:t xml:space="preserve">3.1 Pioneering Organisation’s Strategic </w:t>
            </w:r>
            <w:r w:rsidRPr="00A36A45">
              <w:rPr>
                <w:rStyle w:val="Hyperlink"/>
                <w:noProof/>
              </w:rPr>
              <w:t>Responses</w:t>
            </w:r>
            <w:r>
              <w:rPr>
                <w:noProof/>
                <w:webHidden/>
              </w:rPr>
              <w:tab/>
            </w:r>
            <w:r>
              <w:rPr>
                <w:noProof/>
                <w:webHidden/>
              </w:rPr>
              <w:fldChar w:fldCharType="begin"/>
            </w:r>
            <w:r>
              <w:rPr>
                <w:noProof/>
                <w:webHidden/>
              </w:rPr>
              <w:instrText xml:space="preserve"> PAGEREF _Toc225304461 \h </w:instrText>
            </w:r>
            <w:r>
              <w:rPr>
                <w:noProof/>
                <w:webHidden/>
              </w:rPr>
            </w:r>
            <w:r>
              <w:rPr>
                <w:noProof/>
                <w:webHidden/>
              </w:rPr>
              <w:fldChar w:fldCharType="separate"/>
            </w:r>
            <w:r>
              <w:rPr>
                <w:noProof/>
                <w:webHidden/>
              </w:rPr>
              <w:t>9</w:t>
            </w:r>
            <w:r>
              <w:rPr>
                <w:noProof/>
                <w:webHidden/>
              </w:rPr>
              <w:fldChar w:fldCharType="end"/>
            </w:r>
          </w:hyperlink>
        </w:p>
        <w:p w14:paraId="3B846696" w14:textId="0F6AF092" w:rsidR="00882C7D" w:rsidRDefault="00882C7D">
          <w:pPr>
            <w:pStyle w:val="TOC2"/>
            <w:tabs>
              <w:tab w:val="right" w:leader="dot" w:pos="9016"/>
            </w:tabs>
            <w:rPr>
              <w:rFonts w:asciiTheme="minorHAnsi" w:eastAsiaTheme="minorEastAsia" w:hAnsiTheme="minorHAnsi"/>
              <w:smallCaps w:val="0"/>
              <w:noProof/>
              <w:sz w:val="24"/>
              <w:szCs w:val="24"/>
              <w:lang w:eastAsia="en-GB"/>
            </w:rPr>
          </w:pPr>
          <w:hyperlink w:anchor="_Toc225304462" w:history="1">
            <w:r w:rsidRPr="00A36A45">
              <w:rPr>
                <w:rStyle w:val="Hyperlink"/>
                <w:noProof/>
                <w:lang w:eastAsia="zh-CN"/>
              </w:rPr>
              <w:t>3.2 Follower Organisation’s Strategic Responses</w:t>
            </w:r>
            <w:r>
              <w:rPr>
                <w:noProof/>
                <w:webHidden/>
              </w:rPr>
              <w:tab/>
            </w:r>
            <w:r>
              <w:rPr>
                <w:noProof/>
                <w:webHidden/>
              </w:rPr>
              <w:fldChar w:fldCharType="begin"/>
            </w:r>
            <w:r>
              <w:rPr>
                <w:noProof/>
                <w:webHidden/>
              </w:rPr>
              <w:instrText xml:space="preserve"> PAGEREF _Toc225304462 \h </w:instrText>
            </w:r>
            <w:r>
              <w:rPr>
                <w:noProof/>
                <w:webHidden/>
              </w:rPr>
            </w:r>
            <w:r>
              <w:rPr>
                <w:noProof/>
                <w:webHidden/>
              </w:rPr>
              <w:fldChar w:fldCharType="separate"/>
            </w:r>
            <w:r>
              <w:rPr>
                <w:noProof/>
                <w:webHidden/>
              </w:rPr>
              <w:t>11</w:t>
            </w:r>
            <w:r>
              <w:rPr>
                <w:noProof/>
                <w:webHidden/>
              </w:rPr>
              <w:fldChar w:fldCharType="end"/>
            </w:r>
          </w:hyperlink>
        </w:p>
        <w:p w14:paraId="6160596A" w14:textId="39E54A10" w:rsidR="00882C7D" w:rsidRDefault="00882C7D">
          <w:pPr>
            <w:pStyle w:val="TOC1"/>
            <w:tabs>
              <w:tab w:val="right" w:leader="dot" w:pos="9016"/>
            </w:tabs>
            <w:rPr>
              <w:rFonts w:asciiTheme="minorHAnsi" w:eastAsiaTheme="minorEastAsia" w:hAnsiTheme="minorHAnsi"/>
              <w:b w:val="0"/>
              <w:bCs w:val="0"/>
              <w:caps w:val="0"/>
              <w:noProof/>
              <w:sz w:val="24"/>
              <w:szCs w:val="24"/>
              <w:lang w:eastAsia="en-GB"/>
            </w:rPr>
          </w:pPr>
          <w:hyperlink w:anchor="_Toc225304463" w:history="1">
            <w:r w:rsidRPr="00A36A45">
              <w:rPr>
                <w:rStyle w:val="Hyperlink"/>
                <w:noProof/>
                <w:lang w:eastAsia="zh-CN"/>
              </w:rPr>
              <w:t>4. Conclusion</w:t>
            </w:r>
            <w:r>
              <w:rPr>
                <w:noProof/>
                <w:webHidden/>
              </w:rPr>
              <w:tab/>
            </w:r>
            <w:r>
              <w:rPr>
                <w:noProof/>
                <w:webHidden/>
              </w:rPr>
              <w:fldChar w:fldCharType="begin"/>
            </w:r>
            <w:r>
              <w:rPr>
                <w:noProof/>
                <w:webHidden/>
              </w:rPr>
              <w:instrText xml:space="preserve"> PAGEREF _Toc225304463 \h </w:instrText>
            </w:r>
            <w:r>
              <w:rPr>
                <w:noProof/>
                <w:webHidden/>
              </w:rPr>
            </w:r>
            <w:r>
              <w:rPr>
                <w:noProof/>
                <w:webHidden/>
              </w:rPr>
              <w:fldChar w:fldCharType="separate"/>
            </w:r>
            <w:r>
              <w:rPr>
                <w:noProof/>
                <w:webHidden/>
              </w:rPr>
              <w:t>13</w:t>
            </w:r>
            <w:r>
              <w:rPr>
                <w:noProof/>
                <w:webHidden/>
              </w:rPr>
              <w:fldChar w:fldCharType="end"/>
            </w:r>
          </w:hyperlink>
        </w:p>
        <w:p w14:paraId="485317F1" w14:textId="228559F1" w:rsidR="00882C7D" w:rsidRDefault="00882C7D">
          <w:pPr>
            <w:pStyle w:val="TOC1"/>
            <w:tabs>
              <w:tab w:val="right" w:leader="dot" w:pos="9016"/>
            </w:tabs>
            <w:rPr>
              <w:rFonts w:asciiTheme="minorHAnsi" w:eastAsiaTheme="minorEastAsia" w:hAnsiTheme="minorHAnsi"/>
              <w:b w:val="0"/>
              <w:bCs w:val="0"/>
              <w:caps w:val="0"/>
              <w:noProof/>
              <w:sz w:val="24"/>
              <w:szCs w:val="24"/>
              <w:lang w:eastAsia="en-GB"/>
            </w:rPr>
          </w:pPr>
          <w:hyperlink w:anchor="_Toc225304464" w:history="1">
            <w:r w:rsidRPr="00A36A45">
              <w:rPr>
                <w:rStyle w:val="Hyperlink"/>
                <w:noProof/>
                <w:lang w:eastAsia="zh-CN"/>
              </w:rPr>
              <w:t>5. References (Not included in the word count)</w:t>
            </w:r>
            <w:r>
              <w:rPr>
                <w:noProof/>
                <w:webHidden/>
              </w:rPr>
              <w:tab/>
            </w:r>
            <w:r>
              <w:rPr>
                <w:noProof/>
                <w:webHidden/>
              </w:rPr>
              <w:fldChar w:fldCharType="begin"/>
            </w:r>
            <w:r>
              <w:rPr>
                <w:noProof/>
                <w:webHidden/>
              </w:rPr>
              <w:instrText xml:space="preserve"> PAGEREF _Toc225304464 \h </w:instrText>
            </w:r>
            <w:r>
              <w:rPr>
                <w:noProof/>
                <w:webHidden/>
              </w:rPr>
            </w:r>
            <w:r>
              <w:rPr>
                <w:noProof/>
                <w:webHidden/>
              </w:rPr>
              <w:fldChar w:fldCharType="separate"/>
            </w:r>
            <w:r>
              <w:rPr>
                <w:noProof/>
                <w:webHidden/>
              </w:rPr>
              <w:t>14</w:t>
            </w:r>
            <w:r>
              <w:rPr>
                <w:noProof/>
                <w:webHidden/>
              </w:rPr>
              <w:fldChar w:fldCharType="end"/>
            </w:r>
          </w:hyperlink>
        </w:p>
        <w:p w14:paraId="177A9E47" w14:textId="36CA49A0" w:rsidR="00AF0B9F" w:rsidRDefault="00325A3E">
          <w:pPr>
            <w:rPr>
              <w:rFonts w:asciiTheme="minorBidi" w:hAnsiTheme="minorBidi"/>
              <w:noProof/>
            </w:rPr>
          </w:pPr>
          <w:r w:rsidRPr="00F4799C">
            <w:rPr>
              <w:rFonts w:asciiTheme="minorBidi" w:hAnsiTheme="minorBidi"/>
              <w:b/>
              <w:bCs/>
              <w:noProof/>
            </w:rPr>
            <w:fldChar w:fldCharType="end"/>
          </w:r>
        </w:p>
      </w:sdtContent>
    </w:sdt>
    <w:p w14:paraId="35F332D7" w14:textId="76CEE3D6" w:rsidR="00325A3E" w:rsidRPr="00F4799C" w:rsidRDefault="00AF0B9F" w:rsidP="00AF0B9F">
      <w:pPr>
        <w:spacing w:before="0" w:after="0" w:line="240" w:lineRule="auto"/>
        <w:jc w:val="left"/>
        <w:rPr>
          <w:rFonts w:asciiTheme="minorBidi" w:hAnsiTheme="minorBidi"/>
          <w:noProof/>
        </w:rPr>
      </w:pPr>
      <w:r>
        <w:rPr>
          <w:rFonts w:asciiTheme="minorBidi" w:hAnsiTheme="minorBidi"/>
          <w:noProof/>
        </w:rPr>
        <w:br w:type="page"/>
      </w:r>
    </w:p>
    <w:p w14:paraId="2004AA6C" w14:textId="4A4AA020" w:rsidR="00F4799C" w:rsidRPr="005751D7" w:rsidRDefault="00F4799C" w:rsidP="005751D7">
      <w:pPr>
        <w:pStyle w:val="Heading1"/>
      </w:pPr>
      <w:bookmarkStart w:id="0" w:name="_Toc225304451"/>
      <w:r w:rsidRPr="00F4799C">
        <w:rPr>
          <w:lang w:eastAsia="zh-CN"/>
        </w:rPr>
        <w:lastRenderedPageBreak/>
        <w:t>1. Introduction</w:t>
      </w:r>
      <w:bookmarkEnd w:id="0"/>
    </w:p>
    <w:p w14:paraId="7595D976" w14:textId="77777777" w:rsidR="00782358" w:rsidRDefault="00782358" w:rsidP="00782358">
      <w:pPr>
        <w:rPr>
          <w:lang w:eastAsia="zh-CN"/>
        </w:rPr>
      </w:pPr>
      <w:r>
        <w:rPr>
          <w:lang w:eastAsia="zh-CN"/>
        </w:rPr>
        <w:t>This report is a critical analysis of the macro marketing environment as a major aspect of strategic marketing management by comparing Nike as an innovator and Anta Sports as an imitator in the world sportswear/athleisure market. The industry is both commercially appealing and very competitive and the business is growing in an innovative and digital retail systems and evolving consumer lifestyles. Evidence in the industry shows that the sporting goods market is likely to grow by approximately 6 per cent every year between 2024 and 2029, whereas sportswear is likely to perform better than the overall fashion market in both Western and Chinese markets, which demonstrates the strategic value of this industry and the adequacy of China as the main market of Anta (McKinsey and Company and World Federation of the Sporting Goods Industry, 2025).</w:t>
      </w:r>
    </w:p>
    <w:p w14:paraId="5CF379B7" w14:textId="10C48858" w:rsidR="004E1F6A" w:rsidRDefault="00782358" w:rsidP="00782358">
      <w:pPr>
        <w:rPr>
          <w:lang w:eastAsia="zh-CN"/>
        </w:rPr>
      </w:pPr>
      <w:r>
        <w:rPr>
          <w:lang w:eastAsia="zh-CN"/>
        </w:rPr>
        <w:t xml:space="preserve">The comparison can be most fruitful when it concerns </w:t>
      </w:r>
      <w:proofErr w:type="gramStart"/>
      <w:r>
        <w:rPr>
          <w:lang w:eastAsia="zh-CN"/>
        </w:rPr>
        <w:t>particular product</w:t>
      </w:r>
      <w:proofErr w:type="gramEnd"/>
      <w:r>
        <w:rPr>
          <w:lang w:eastAsia="zh-CN"/>
        </w:rPr>
        <w:t xml:space="preserve"> and customer segments but not the general company-wide assertions. In the case of Nike, the most relevant segments are performance running footwear and the Jordan brand ecosystem; in the case of Anta Sports, the ANTA brand to mass-performance consumers and FILA to premium fashion-sports consumers in China (ANTA Sports Products Limited, 2025a). Based on this, the report concentrates on both the technological and socio-cultural forces and analyses the reaction of each firm in Porters Generic Strategies (CIPD, 2025).</w:t>
      </w:r>
    </w:p>
    <w:p w14:paraId="76650F45" w14:textId="6293D8DD" w:rsidR="00F4799C" w:rsidRPr="00F4799C" w:rsidRDefault="00B1133A" w:rsidP="004E1F6A">
      <w:pPr>
        <w:rPr>
          <w:lang w:eastAsia="zh-CN"/>
        </w:rPr>
      </w:pPr>
      <w:r>
        <w:rPr>
          <w:lang w:eastAsia="zh-CN"/>
        </w:rPr>
        <w:br w:type="page"/>
      </w:r>
    </w:p>
    <w:p w14:paraId="2B69489D" w14:textId="624216A4" w:rsidR="00F4799C" w:rsidRPr="00F4799C" w:rsidRDefault="00F4799C" w:rsidP="00B1133A">
      <w:pPr>
        <w:pStyle w:val="Heading1"/>
        <w:rPr>
          <w:b w:val="0"/>
          <w:lang w:eastAsia="zh-CN"/>
        </w:rPr>
      </w:pPr>
      <w:bookmarkStart w:id="1" w:name="_Toc225304452"/>
      <w:r w:rsidRPr="00F4799C">
        <w:rPr>
          <w:lang w:eastAsia="zh-CN"/>
        </w:rPr>
        <w:lastRenderedPageBreak/>
        <w:t>2. Task 1: Critical Analysis of the Macro Marketing Environment</w:t>
      </w:r>
      <w:bookmarkEnd w:id="1"/>
    </w:p>
    <w:p w14:paraId="01137DB7" w14:textId="07520936" w:rsidR="00F4799C" w:rsidRDefault="00F4799C" w:rsidP="005751D7">
      <w:pPr>
        <w:pStyle w:val="Heading2"/>
        <w:rPr>
          <w:lang w:eastAsia="zh-CN"/>
        </w:rPr>
      </w:pPr>
      <w:bookmarkStart w:id="2" w:name="_Toc225304453"/>
      <w:r w:rsidRPr="00F4799C">
        <w:rPr>
          <w:lang w:eastAsia="zh-CN"/>
        </w:rPr>
        <w:t>2.1 Macro Marketing Environment</w:t>
      </w:r>
      <w:bookmarkEnd w:id="2"/>
    </w:p>
    <w:p w14:paraId="2F839591" w14:textId="77777777" w:rsidR="005751D7" w:rsidRDefault="005751D7" w:rsidP="005751D7">
      <w:pPr>
        <w:keepNext/>
        <w:spacing w:before="100" w:beforeAutospacing="1" w:after="100" w:afterAutospacing="1"/>
        <w:jc w:val="center"/>
      </w:pPr>
      <w:r>
        <w:rPr>
          <w:noProof/>
        </w:rPr>
        <w:drawing>
          <wp:inline distT="0" distB="0" distL="0" distR="0" wp14:anchorId="44889A7B" wp14:editId="530325F6">
            <wp:extent cx="1837583" cy="1866086"/>
            <wp:effectExtent l="0" t="0" r="0" b="1270"/>
            <wp:docPr id="1657342318" name="Picture 4" descr="Macro-environmental factors of PE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ro-environmental factors of PEST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37948" cy="1866457"/>
                    </a:xfrm>
                    <a:prstGeom prst="rect">
                      <a:avLst/>
                    </a:prstGeom>
                    <a:noFill/>
                    <a:ln>
                      <a:noFill/>
                    </a:ln>
                  </pic:spPr>
                </pic:pic>
              </a:graphicData>
            </a:graphic>
          </wp:inline>
        </w:drawing>
      </w:r>
    </w:p>
    <w:p w14:paraId="660DAF5E" w14:textId="65764D72" w:rsidR="005751D7" w:rsidRDefault="005751D7" w:rsidP="005751D7">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PESTLE Analysis</w:t>
      </w:r>
      <w:r w:rsidR="004E1F6A">
        <w:t xml:space="preserve"> (</w:t>
      </w:r>
      <w:r w:rsidR="004E1F6A" w:rsidRPr="004E1F6A">
        <w:t xml:space="preserve">Source: </w:t>
      </w:r>
      <w:proofErr w:type="spellStart"/>
      <w:r w:rsidR="004E1F6A" w:rsidRPr="004E1F6A">
        <w:t>Zindros</w:t>
      </w:r>
      <w:proofErr w:type="spellEnd"/>
      <w:r w:rsidR="004E1F6A">
        <w:t xml:space="preserve"> </w:t>
      </w:r>
      <w:r w:rsidR="004E1F6A" w:rsidRPr="004E1F6A">
        <w:t>and Afroditi</w:t>
      </w:r>
      <w:r w:rsidR="004E1F6A">
        <w:t xml:space="preserve">, </w:t>
      </w:r>
      <w:r w:rsidR="004E1F6A" w:rsidRPr="004E1F6A">
        <w:t>2024)</w:t>
      </w:r>
    </w:p>
    <w:p w14:paraId="7BD0CC93" w14:textId="6DA39D23" w:rsidR="00130E44" w:rsidRDefault="00782358" w:rsidP="00130E44">
      <w:pPr>
        <w:rPr>
          <w:lang w:eastAsia="zh-CN"/>
        </w:rPr>
      </w:pPr>
      <w:r w:rsidRPr="00782358">
        <w:rPr>
          <w:lang w:eastAsia="zh-CN"/>
        </w:rPr>
        <w:t>The PESTLE framework is a strategic tool employed to examine external environment in six dimensions: political, economic, socio-cultural, technological, legal and environmental factors. The usefulness of marketing management in this context is that it assists firms to recognize the external opportunities and threats before they can have significant impacts on sales, channels or competitive position. PESTLE is particularly helpful in dynamic consumer markets since it connects environmental change to strategic decisions instead of considering market changes as one-off events as shown in Figure 1 (</w:t>
      </w:r>
      <w:proofErr w:type="spellStart"/>
      <w:r w:rsidRPr="00782358">
        <w:rPr>
          <w:lang w:eastAsia="zh-CN"/>
        </w:rPr>
        <w:t>Zindros</w:t>
      </w:r>
      <w:proofErr w:type="spellEnd"/>
      <w:r w:rsidRPr="00782358">
        <w:rPr>
          <w:lang w:eastAsia="zh-CN"/>
        </w:rPr>
        <w:t xml:space="preserve"> and Afroditi, 2024). In this report, it offers a suitable framework to evaluate the impact of external forces on Nike and Anta Sports in the sportswear/athleisure sector (CIPD, 2025).</w:t>
      </w:r>
    </w:p>
    <w:p w14:paraId="4F7847B5" w14:textId="77777777" w:rsidR="005751D7" w:rsidRDefault="005751D7" w:rsidP="005751D7">
      <w:pPr>
        <w:keepNext/>
        <w:jc w:val="center"/>
      </w:pPr>
      <w:r>
        <w:rPr>
          <w:noProof/>
        </w:rPr>
        <w:drawing>
          <wp:inline distT="0" distB="0" distL="0" distR="0" wp14:anchorId="150F1940" wp14:editId="3D071ED6">
            <wp:extent cx="3130550" cy="1820547"/>
            <wp:effectExtent l="0" t="0" r="0" b="8255"/>
            <wp:docPr id="1332037368" name="Picture 1" descr="Sportswear Market 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portswear Market Siz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31909" cy="1821337"/>
                    </a:xfrm>
                    <a:prstGeom prst="rect">
                      <a:avLst/>
                    </a:prstGeom>
                    <a:noFill/>
                    <a:ln>
                      <a:noFill/>
                    </a:ln>
                  </pic:spPr>
                </pic:pic>
              </a:graphicData>
            </a:graphic>
          </wp:inline>
        </w:drawing>
      </w:r>
    </w:p>
    <w:p w14:paraId="5463C125" w14:textId="179D1E7C" w:rsidR="005751D7" w:rsidRDefault="005751D7" w:rsidP="005751D7">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w:t>
      </w:r>
      <w:r w:rsidRPr="0096316A">
        <w:t>Global Sportswear Market</w:t>
      </w:r>
      <w:r w:rsidR="004E1F6A">
        <w:t xml:space="preserve"> (Source: </w:t>
      </w:r>
      <w:r w:rsidR="004E1F6A" w:rsidRPr="00130E44">
        <w:rPr>
          <w:lang w:eastAsia="zh-CN"/>
        </w:rPr>
        <w:t>Market.us, 2024)</w:t>
      </w:r>
    </w:p>
    <w:p w14:paraId="14451B84" w14:textId="700D9A59" w:rsidR="00130E44" w:rsidRDefault="00782358" w:rsidP="00130E44">
      <w:pPr>
        <w:rPr>
          <w:lang w:eastAsia="zh-CN"/>
        </w:rPr>
      </w:pPr>
      <w:r w:rsidRPr="00782358">
        <w:rPr>
          <w:lang w:eastAsia="zh-CN"/>
        </w:rPr>
        <w:lastRenderedPageBreak/>
        <w:t>The two most strategic dimensions are technological and socio-cultural factors within this broader scope. This is evidenced by Figure 3 that indicates that the global sportswear market is expected to rise to US855.3 billion by 2033, with footwear taking the highest percentage. This puts technological capability at the heart of competition, as market expansion is being increasingly seized with digital retail, data-driven consumer interaction and product innovation in footwear-led sectors, not by mere broad brand presence (Market.us, 2024).</w:t>
      </w:r>
    </w:p>
    <w:p w14:paraId="4554DC52" w14:textId="77777777" w:rsidR="005751D7" w:rsidRDefault="005751D7" w:rsidP="005751D7">
      <w:pPr>
        <w:keepNext/>
        <w:jc w:val="center"/>
      </w:pPr>
      <w:r>
        <w:rPr>
          <w:noProof/>
        </w:rPr>
        <w:drawing>
          <wp:inline distT="0" distB="0" distL="0" distR="0" wp14:anchorId="64739484" wp14:editId="1E0FAB96">
            <wp:extent cx="1689735" cy="1356093"/>
            <wp:effectExtent l="0" t="0" r="5715" b="0"/>
            <wp:docPr id="539643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643639" name=""/>
                    <pic:cNvPicPr/>
                  </pic:nvPicPr>
                  <pic:blipFill>
                    <a:blip r:embed="rId11"/>
                    <a:stretch>
                      <a:fillRect/>
                    </a:stretch>
                  </pic:blipFill>
                  <pic:spPr>
                    <a:xfrm>
                      <a:off x="0" y="0"/>
                      <a:ext cx="1689869" cy="1356201"/>
                    </a:xfrm>
                    <a:prstGeom prst="rect">
                      <a:avLst/>
                    </a:prstGeom>
                  </pic:spPr>
                </pic:pic>
              </a:graphicData>
            </a:graphic>
          </wp:inline>
        </w:drawing>
      </w:r>
    </w:p>
    <w:p w14:paraId="63951027" w14:textId="3CD1AB3F" w:rsidR="005751D7" w:rsidRDefault="005751D7" w:rsidP="005751D7">
      <w:pPr>
        <w:pStyle w:val="Caption"/>
        <w:jc w:val="center"/>
      </w:pPr>
      <w:r>
        <w:t xml:space="preserve">Figure </w:t>
      </w:r>
      <w:r>
        <w:fldChar w:fldCharType="begin"/>
      </w:r>
      <w:r>
        <w:instrText xml:space="preserve"> SEQ Figure \* ARABIC </w:instrText>
      </w:r>
      <w:r>
        <w:fldChar w:fldCharType="separate"/>
      </w:r>
      <w:r w:rsidR="004E1F6A">
        <w:rPr>
          <w:noProof/>
        </w:rPr>
        <w:t>3</w:t>
      </w:r>
      <w:r>
        <w:fldChar w:fldCharType="end"/>
      </w:r>
      <w:r>
        <w:t xml:space="preserve">: </w:t>
      </w:r>
      <w:r w:rsidRPr="00A86ABB">
        <w:t>Active lifestyle as a socio-cultural demand driver</w:t>
      </w:r>
      <w:r w:rsidR="004E1F6A">
        <w:t xml:space="preserve"> (Source: </w:t>
      </w:r>
      <w:r w:rsidR="004E1F6A" w:rsidRPr="00130E44">
        <w:rPr>
          <w:lang w:eastAsia="zh-CN"/>
        </w:rPr>
        <w:t>McKinsey &amp; Company and World Federation of the Sporting Goods Industry, 2025)</w:t>
      </w:r>
    </w:p>
    <w:p w14:paraId="58DA318E" w14:textId="3A2D95B4" w:rsidR="0064762D" w:rsidRPr="005751D7" w:rsidRDefault="00782358" w:rsidP="0064762D">
      <w:pPr>
        <w:rPr>
          <w:lang w:eastAsia="zh-CN"/>
        </w:rPr>
      </w:pPr>
      <w:r w:rsidRPr="00782358">
        <w:rPr>
          <w:lang w:eastAsia="zh-CN"/>
        </w:rPr>
        <w:t xml:space="preserve">The socio-cultural aspect is also significant as the active lifestyles, orientation to wellness, and the normalisation of athleisure have increasingly influenced demand in sportswear. Figure 2 indicates that 84 percent of active respondents are exercising as much as or more than they exercised 12 months prior. This trend is strategic in that it </w:t>
      </w:r>
      <w:proofErr w:type="spellStart"/>
      <w:r w:rsidRPr="00782358">
        <w:rPr>
          <w:lang w:eastAsia="zh-CN"/>
        </w:rPr>
        <w:t>favors</w:t>
      </w:r>
      <w:proofErr w:type="spellEnd"/>
      <w:r w:rsidRPr="00782358">
        <w:rPr>
          <w:lang w:eastAsia="zh-CN"/>
        </w:rPr>
        <w:t xml:space="preserve"> the demand of </w:t>
      </w:r>
      <w:proofErr w:type="gramStart"/>
      <w:r w:rsidRPr="00782358">
        <w:rPr>
          <w:lang w:eastAsia="zh-CN"/>
        </w:rPr>
        <w:t>particular product</w:t>
      </w:r>
      <w:proofErr w:type="gramEnd"/>
      <w:r w:rsidRPr="00782358">
        <w:rPr>
          <w:lang w:eastAsia="zh-CN"/>
        </w:rPr>
        <w:t xml:space="preserve"> ecosystems, including Nike performance running and Jordan product segment and ANTA and FILA product offerings of mass-performance and high-end lifestyle customers in China. These two macro forces are thus the most applicable when it comes to comparing the way the pioneer and follower establish competitive advantage in this industry (McKinsey and Company and World Federation of the Sporting Goods Industry, 2025).</w:t>
      </w:r>
    </w:p>
    <w:p w14:paraId="7C328D69" w14:textId="5F36EACA" w:rsidR="0064762D" w:rsidRPr="0064762D" w:rsidRDefault="0064762D" w:rsidP="005751D7">
      <w:pPr>
        <w:pStyle w:val="Heading2"/>
        <w:rPr>
          <w:lang w:eastAsia="zh-CN"/>
        </w:rPr>
      </w:pPr>
      <w:bookmarkStart w:id="3" w:name="_Toc225304454"/>
      <w:r w:rsidRPr="0064762D">
        <w:rPr>
          <w:lang w:eastAsia="zh-CN"/>
        </w:rPr>
        <w:t>2.2 Analysis of Macro Factor 1: Technological Factors</w:t>
      </w:r>
      <w:bookmarkEnd w:id="3"/>
    </w:p>
    <w:p w14:paraId="3A68023C" w14:textId="77777777" w:rsidR="0064762D" w:rsidRPr="0064762D" w:rsidRDefault="0064762D" w:rsidP="005751D7">
      <w:pPr>
        <w:pStyle w:val="Heading3"/>
        <w:rPr>
          <w:lang w:eastAsia="zh-CN"/>
        </w:rPr>
      </w:pPr>
      <w:bookmarkStart w:id="4" w:name="_Toc225304455"/>
      <w:r w:rsidRPr="0064762D">
        <w:rPr>
          <w:lang w:eastAsia="zh-CN"/>
        </w:rPr>
        <w:t>2.2.1 Impact on the Pioneer Organisation</w:t>
      </w:r>
      <w:bookmarkEnd w:id="4"/>
    </w:p>
    <w:p w14:paraId="432A92D6" w14:textId="247BACE5" w:rsidR="0064762D" w:rsidRPr="0064762D" w:rsidRDefault="00782358" w:rsidP="0064762D">
      <w:pPr>
        <w:rPr>
          <w:lang w:eastAsia="zh-CN"/>
        </w:rPr>
      </w:pPr>
      <w:r w:rsidRPr="00782358">
        <w:rPr>
          <w:lang w:eastAsia="zh-CN"/>
        </w:rPr>
        <w:t xml:space="preserve">In the case of Nike, technological change forms an opportunity and a threat as its competitive edge lies in </w:t>
      </w:r>
      <w:proofErr w:type="gramStart"/>
      <w:r w:rsidRPr="00782358">
        <w:rPr>
          <w:lang w:eastAsia="zh-CN"/>
        </w:rPr>
        <w:t>digitally-enabled</w:t>
      </w:r>
      <w:proofErr w:type="gramEnd"/>
      <w:r w:rsidRPr="00782358">
        <w:rPr>
          <w:lang w:eastAsia="zh-CN"/>
        </w:rPr>
        <w:t xml:space="preserve"> differentiation within </w:t>
      </w:r>
      <w:proofErr w:type="gramStart"/>
      <w:r w:rsidRPr="00782358">
        <w:rPr>
          <w:lang w:eastAsia="zh-CN"/>
        </w:rPr>
        <w:t>particular product</w:t>
      </w:r>
      <w:proofErr w:type="gramEnd"/>
      <w:r w:rsidRPr="00782358">
        <w:rPr>
          <w:lang w:eastAsia="zh-CN"/>
        </w:rPr>
        <w:t xml:space="preserve"> eco systems and not in brand scale itself. The most apparent opportunity is in performance running shoes and the Jordan ecosystem. </w:t>
      </w:r>
      <w:proofErr w:type="spellStart"/>
      <w:r w:rsidRPr="00782358">
        <w:rPr>
          <w:lang w:eastAsia="zh-CN"/>
        </w:rPr>
        <w:t>Vaporfly</w:t>
      </w:r>
      <w:proofErr w:type="spellEnd"/>
      <w:r w:rsidRPr="00782358">
        <w:rPr>
          <w:lang w:eastAsia="zh-CN"/>
        </w:rPr>
        <w:t xml:space="preserve"> and </w:t>
      </w:r>
      <w:proofErr w:type="spellStart"/>
      <w:r w:rsidRPr="00782358">
        <w:rPr>
          <w:lang w:eastAsia="zh-CN"/>
        </w:rPr>
        <w:t>Alphafly</w:t>
      </w:r>
      <w:proofErr w:type="spellEnd"/>
      <w:r w:rsidRPr="00782358">
        <w:rPr>
          <w:lang w:eastAsia="zh-CN"/>
        </w:rPr>
        <w:t xml:space="preserve"> products reinforce Nike with performance runners, SNKRS and Nike Membership enhance access, </w:t>
      </w:r>
      <w:r w:rsidRPr="00782358">
        <w:rPr>
          <w:lang w:eastAsia="zh-CN"/>
        </w:rPr>
        <w:lastRenderedPageBreak/>
        <w:t xml:space="preserve">exclusivity and data capture with sneaker fans and high-end purchasers. This is important since Nike FY2025 revenues were still highly divided into high-value products such as US23.216 billion in men, US9.719 billion in women, and US7.270 billion in Jordan Brand (NIKE, Inc., 2025). </w:t>
      </w:r>
      <w:proofErr w:type="gramStart"/>
      <w:r w:rsidRPr="00782358">
        <w:rPr>
          <w:lang w:eastAsia="zh-CN"/>
        </w:rPr>
        <w:t>Technology</w:t>
      </w:r>
      <w:proofErr w:type="gramEnd"/>
      <w:r w:rsidRPr="00782358">
        <w:rPr>
          <w:lang w:eastAsia="zh-CN"/>
        </w:rPr>
        <w:t xml:space="preserve"> however, also puts pressure. Nike said that NIKE Brand footwear revenues declined by 11% on a currency-neutral basis in FY2025, and digital sales declined in major markets, demonstrating that tech-advanced customers can swiftly discipline poor product movement or digital performance (NIKE, Inc., 2025). The implication here is that technology helps Nike maintain its first-mover advantage based on data, innovation and premium positioning, but it also increases the cost and demands of continuous digital and product renewal, which can undermine advantage when operations miss (Wessel et al., 2025).</w:t>
      </w:r>
    </w:p>
    <w:p w14:paraId="534FE9D1" w14:textId="77777777" w:rsidR="0064762D" w:rsidRPr="0064762D" w:rsidRDefault="0064762D" w:rsidP="005751D7">
      <w:pPr>
        <w:pStyle w:val="Heading3"/>
        <w:rPr>
          <w:lang w:eastAsia="zh-CN"/>
        </w:rPr>
      </w:pPr>
      <w:bookmarkStart w:id="5" w:name="_Toc225304456"/>
      <w:r w:rsidRPr="0064762D">
        <w:rPr>
          <w:lang w:eastAsia="zh-CN"/>
        </w:rPr>
        <w:t>2.2.2 Impact on the Follower Organisation</w:t>
      </w:r>
      <w:bookmarkEnd w:id="5"/>
    </w:p>
    <w:p w14:paraId="4B857B3B" w14:textId="031B78D4" w:rsidR="005751D7" w:rsidRDefault="00782358" w:rsidP="0064762D">
      <w:pPr>
        <w:rPr>
          <w:lang w:eastAsia="zh-CN"/>
        </w:rPr>
      </w:pPr>
      <w:r w:rsidRPr="00782358">
        <w:rPr>
          <w:lang w:eastAsia="zh-CN"/>
        </w:rPr>
        <w:t xml:space="preserve">In the case of Anta Sports, technological change is more a catch-up chance. It builds ANTA brand among mass-performance consumers in running and </w:t>
      </w:r>
      <w:proofErr w:type="gramStart"/>
      <w:r w:rsidRPr="00782358">
        <w:rPr>
          <w:lang w:eastAsia="zh-CN"/>
        </w:rPr>
        <w:t>basketball, and</w:t>
      </w:r>
      <w:proofErr w:type="gramEnd"/>
      <w:r w:rsidRPr="00782358">
        <w:rPr>
          <w:lang w:eastAsia="zh-CN"/>
        </w:rPr>
        <w:t xml:space="preserve"> enhances FILA omnichannel effectiveness among premium urban lifestyle purchasers in China. Anta e-commerce revenue increased by 21.8% in 2024 and contributed 35.1% to group revenue, and group R&amp;D expenditure was approximately RMB2 billion, which </w:t>
      </w:r>
      <w:proofErr w:type="spellStart"/>
      <w:r w:rsidRPr="00782358">
        <w:rPr>
          <w:lang w:eastAsia="zh-CN"/>
        </w:rPr>
        <w:t>favored</w:t>
      </w:r>
      <w:proofErr w:type="spellEnd"/>
      <w:r w:rsidRPr="00782358">
        <w:rPr>
          <w:lang w:eastAsia="zh-CN"/>
        </w:rPr>
        <w:t xml:space="preserve"> quicker product development and retail responsiveness </w:t>
      </w:r>
      <w:proofErr w:type="gramStart"/>
      <w:r w:rsidRPr="00782358">
        <w:rPr>
          <w:lang w:eastAsia="zh-CN"/>
        </w:rPr>
        <w:t>( ANTA</w:t>
      </w:r>
      <w:proofErr w:type="gramEnd"/>
      <w:r w:rsidRPr="00782358">
        <w:rPr>
          <w:lang w:eastAsia="zh-CN"/>
        </w:rPr>
        <w:t xml:space="preserve"> Sports Products Limited, 2025a). This indicates that technology enhances the flexibility of Anta better than the symbolism of the brand Nike. However, the risk is that digital efficiency </w:t>
      </w:r>
      <w:proofErr w:type="gramStart"/>
      <w:r w:rsidRPr="00782358">
        <w:rPr>
          <w:lang w:eastAsia="zh-CN"/>
        </w:rPr>
        <w:t>in itself is</w:t>
      </w:r>
      <w:proofErr w:type="gramEnd"/>
      <w:r w:rsidRPr="00782358">
        <w:rPr>
          <w:lang w:eastAsia="zh-CN"/>
        </w:rPr>
        <w:t xml:space="preserve"> not a sustainable global differentiation. Anta is still more reliant on domestic platform strength and local execution, which is relatively more susceptible when technology-driven convenience is not corresponding with internationally recognised product prestige. Therefore, technology enhances the market position of Anta in China, but the competitive benefits are more regionally focused than those of Nike (</w:t>
      </w:r>
      <w:proofErr w:type="spellStart"/>
      <w:r w:rsidRPr="00782358">
        <w:rPr>
          <w:lang w:eastAsia="zh-CN"/>
        </w:rPr>
        <w:t>Goworek</w:t>
      </w:r>
      <w:proofErr w:type="spellEnd"/>
      <w:r w:rsidRPr="00782358">
        <w:rPr>
          <w:lang w:eastAsia="zh-CN"/>
        </w:rPr>
        <w:t xml:space="preserve"> and McGoldrick, 2024).</w:t>
      </w:r>
    </w:p>
    <w:p w14:paraId="6EF46D86" w14:textId="7D8D82EC" w:rsidR="00807D84" w:rsidRPr="00807D84" w:rsidRDefault="00807D84" w:rsidP="00807D84">
      <w:pPr>
        <w:pStyle w:val="Heading2"/>
        <w:rPr>
          <w:lang w:eastAsia="zh-CN"/>
        </w:rPr>
      </w:pPr>
      <w:bookmarkStart w:id="6" w:name="_Toc225304457"/>
      <w:r w:rsidRPr="00807D84">
        <w:rPr>
          <w:lang w:eastAsia="zh-CN"/>
        </w:rPr>
        <w:t>2.3 Analysis of Macro Factor 2: Socio-cultural Factors</w:t>
      </w:r>
      <w:bookmarkEnd w:id="6"/>
    </w:p>
    <w:p w14:paraId="0C8C3209" w14:textId="77777777" w:rsidR="0064762D" w:rsidRPr="0064762D" w:rsidRDefault="0064762D" w:rsidP="00807D84">
      <w:pPr>
        <w:pStyle w:val="Heading3"/>
        <w:rPr>
          <w:lang w:eastAsia="zh-CN"/>
        </w:rPr>
      </w:pPr>
      <w:bookmarkStart w:id="7" w:name="_Toc225304458"/>
      <w:r w:rsidRPr="0064762D">
        <w:rPr>
          <w:lang w:eastAsia="zh-CN"/>
        </w:rPr>
        <w:t>2.3.1 Impact on the Pioneer Organisation</w:t>
      </w:r>
      <w:bookmarkEnd w:id="7"/>
    </w:p>
    <w:p w14:paraId="796834F2" w14:textId="41BF87FE" w:rsidR="0064762D" w:rsidRPr="0064762D" w:rsidRDefault="006B7BEF" w:rsidP="0064762D">
      <w:pPr>
        <w:rPr>
          <w:lang w:eastAsia="zh-CN"/>
        </w:rPr>
      </w:pPr>
      <w:r w:rsidRPr="006B7BEF">
        <w:rPr>
          <w:lang w:eastAsia="zh-CN"/>
        </w:rPr>
        <w:t xml:space="preserve">In the case of Nike, the socio-cultural change is a significant opportunity because sportswear is purchased not only to do something but also to show identity, status and lifestyle. Utilitarian, hedonic and symbolic benefits all affect both the intention to </w:t>
      </w:r>
      <w:r w:rsidRPr="006B7BEF">
        <w:rPr>
          <w:lang w:eastAsia="zh-CN"/>
        </w:rPr>
        <w:lastRenderedPageBreak/>
        <w:t xml:space="preserve">purchase and the willingness to pay in sportswear markets, and this fact explains why the performance running footwear lines like Pegasus, </w:t>
      </w:r>
      <w:proofErr w:type="spellStart"/>
      <w:r w:rsidRPr="006B7BEF">
        <w:rPr>
          <w:lang w:eastAsia="zh-CN"/>
        </w:rPr>
        <w:t>Vaporfly</w:t>
      </w:r>
      <w:proofErr w:type="spellEnd"/>
      <w:r w:rsidRPr="006B7BEF">
        <w:rPr>
          <w:lang w:eastAsia="zh-CN"/>
        </w:rPr>
        <w:t xml:space="preserve"> and </w:t>
      </w:r>
      <w:proofErr w:type="spellStart"/>
      <w:r w:rsidRPr="006B7BEF">
        <w:rPr>
          <w:lang w:eastAsia="zh-CN"/>
        </w:rPr>
        <w:t>Alphafly</w:t>
      </w:r>
      <w:proofErr w:type="spellEnd"/>
      <w:r w:rsidRPr="006B7BEF">
        <w:rPr>
          <w:lang w:eastAsia="zh-CN"/>
        </w:rPr>
        <w:t xml:space="preserve"> and the Jordan ecosystem remain strategically strong among runners, basketball consumers, and sneaker enthusiasts (Vizcaino and Kettunen, 2023). This has become more cemented with active lifestyles being increasingly ingrained in daily consumption: 84% of active consumers indicate engaging in exercise as much or more frequently than they did one year ago, which has bolstered performance footwear and women training product demand over more casual fashion products (McKinsey &amp; Company and World Federation of the Sporting Goods Industry, 2025). The risk though is that Nike has been functioning within much more observable symbolic categories, therefore they have a greater level of scrutiny on cultural authenticity, inclusivity and alignment of values. Socio-cultural advantage thus supports Nike in maintaining premium differentiation, although it raises reputational risk in the case of brand meaning and consumer expectations mismatch.</w:t>
      </w:r>
    </w:p>
    <w:p w14:paraId="43293FEA" w14:textId="66A1E0BA" w:rsidR="005751D7" w:rsidRDefault="0064762D" w:rsidP="00807D84">
      <w:pPr>
        <w:pStyle w:val="Heading3"/>
        <w:rPr>
          <w:lang w:eastAsia="zh-CN"/>
        </w:rPr>
      </w:pPr>
      <w:bookmarkStart w:id="8" w:name="_Toc225304459"/>
      <w:r w:rsidRPr="0064762D">
        <w:rPr>
          <w:lang w:eastAsia="zh-CN"/>
        </w:rPr>
        <w:t>2.3.2 Impact on the Follower Organisation</w:t>
      </w:r>
      <w:bookmarkEnd w:id="8"/>
    </w:p>
    <w:p w14:paraId="04D6A9C6" w14:textId="77777777" w:rsidR="00807D84" w:rsidRDefault="00807D84" w:rsidP="00807D84">
      <w:pPr>
        <w:keepNext/>
        <w:jc w:val="center"/>
      </w:pPr>
      <w:r>
        <w:rPr>
          <w:noProof/>
        </w:rPr>
        <w:drawing>
          <wp:inline distT="0" distB="0" distL="0" distR="0" wp14:anchorId="2437F7F0" wp14:editId="568B674F">
            <wp:extent cx="2781300" cy="2781300"/>
            <wp:effectExtent l="0" t="0" r="0" b="0"/>
            <wp:docPr id="1456898341" name="Picture 3" descr="Infographic: Chinese Sportswear Brand Anta Way Ahead on DTC Sale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fographic: Chinese Sportswear Brand Anta Way Ahead on DTC Sales | Statist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81638" cy="2781638"/>
                    </a:xfrm>
                    <a:prstGeom prst="rect">
                      <a:avLst/>
                    </a:prstGeom>
                    <a:noFill/>
                    <a:ln>
                      <a:noFill/>
                    </a:ln>
                  </pic:spPr>
                </pic:pic>
              </a:graphicData>
            </a:graphic>
          </wp:inline>
        </w:drawing>
      </w:r>
    </w:p>
    <w:p w14:paraId="0243F9E6" w14:textId="4144A672" w:rsidR="00807D84" w:rsidRPr="00807D84" w:rsidRDefault="00807D84" w:rsidP="00807D84">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xml:space="preserve">: </w:t>
      </w:r>
      <w:r w:rsidRPr="00A053EE">
        <w:t>Chinese Sportswear Brand Anta Way Ahead on DTC Sales</w:t>
      </w:r>
      <w:r>
        <w:t xml:space="preserve"> (</w:t>
      </w:r>
      <w:r w:rsidRPr="00807D84">
        <w:t>Source: Statista, 2026)</w:t>
      </w:r>
    </w:p>
    <w:p w14:paraId="5F8BE479" w14:textId="77777777" w:rsidR="006B7BEF" w:rsidRDefault="006B7BEF" w:rsidP="006B7BEF">
      <w:pPr>
        <w:rPr>
          <w:lang w:eastAsia="zh-CN"/>
        </w:rPr>
      </w:pPr>
      <w:r>
        <w:rPr>
          <w:lang w:eastAsia="zh-CN"/>
        </w:rPr>
        <w:t>Socio-cultural change presents an even more localised opportunity to Anta Sports. An increasing health consciousness, daily athleisure and greater sensitivity to local brands favour ANTA brand against value-conscious mass performance consumers, and FILA China against fashion-sport demand premium urban consumers.</w:t>
      </w:r>
    </w:p>
    <w:p w14:paraId="50DB1445" w14:textId="14C8CC47" w:rsidR="005751D7" w:rsidRDefault="006B7BEF" w:rsidP="006B7BEF">
      <w:pPr>
        <w:rPr>
          <w:noProof/>
        </w:rPr>
      </w:pPr>
      <w:r>
        <w:rPr>
          <w:lang w:eastAsia="zh-CN"/>
        </w:rPr>
        <w:lastRenderedPageBreak/>
        <w:t>Figure 4 is a channel measure but also shows the fit of Anta to modern Chinese purchasing behaviour: direct-to-consumer share was 92% in 2025, significantly surpassing Nike (42%), which would allow the company to align more with the local preference to pursue local shopping experience along brand-managed and social shopping paths (Statista, 2026). This provides Anta with more flexibility in its domestic market as compared to Nike. The primary weakness is that this strength remains strongly domestic cultural fit, that is, the socio-cultural advantage of Anta, which is strong in China but less transferable abroad, limits its ability to extend to a broader market.</w:t>
      </w:r>
    </w:p>
    <w:p w14:paraId="5AEF37C8" w14:textId="3A954B81" w:rsidR="00807D84" w:rsidRPr="001A7662" w:rsidRDefault="00807D84" w:rsidP="00807D84">
      <w:pPr>
        <w:spacing w:before="0" w:after="0" w:line="240" w:lineRule="auto"/>
        <w:jc w:val="left"/>
        <w:rPr>
          <w:noProof/>
        </w:rPr>
      </w:pPr>
      <w:r>
        <w:rPr>
          <w:noProof/>
        </w:rPr>
        <w:br w:type="page"/>
      </w:r>
    </w:p>
    <w:p w14:paraId="7825BA78" w14:textId="482BD2F2" w:rsidR="00F4799C" w:rsidRPr="00F4799C" w:rsidRDefault="00F4799C" w:rsidP="005751D7">
      <w:pPr>
        <w:pStyle w:val="Heading1"/>
        <w:rPr>
          <w:b w:val="0"/>
          <w:lang w:eastAsia="zh-CN"/>
        </w:rPr>
      </w:pPr>
      <w:bookmarkStart w:id="9" w:name="_Toc225304460"/>
      <w:r w:rsidRPr="00F4799C">
        <w:rPr>
          <w:lang w:eastAsia="zh-CN"/>
        </w:rPr>
        <w:lastRenderedPageBreak/>
        <w:t xml:space="preserve">3. Task 2: </w:t>
      </w:r>
      <w:r w:rsidRPr="005751D7">
        <w:t>Strategic</w:t>
      </w:r>
      <w:r w:rsidRPr="00F4799C">
        <w:rPr>
          <w:lang w:eastAsia="zh-CN"/>
        </w:rPr>
        <w:t xml:space="preserve"> Responses of Pioneering and Follower Organisations</w:t>
      </w:r>
      <w:bookmarkEnd w:id="9"/>
    </w:p>
    <w:p w14:paraId="5A6F9331" w14:textId="72C6FAAB" w:rsidR="00F4799C" w:rsidRDefault="00F4799C" w:rsidP="00807D84">
      <w:pPr>
        <w:pStyle w:val="Heading2"/>
        <w:rPr>
          <w:b w:val="0"/>
          <w:lang w:eastAsia="zh-CN"/>
        </w:rPr>
      </w:pPr>
      <w:bookmarkStart w:id="10" w:name="_Toc225304461"/>
      <w:r w:rsidRPr="00F4799C">
        <w:rPr>
          <w:lang w:eastAsia="zh-CN"/>
        </w:rPr>
        <w:t xml:space="preserve">3.1 Pioneering Organisation’s Strategic </w:t>
      </w:r>
      <w:r w:rsidRPr="00807D84">
        <w:t>Responses</w:t>
      </w:r>
      <w:bookmarkEnd w:id="10"/>
    </w:p>
    <w:p w14:paraId="6546BBB9" w14:textId="77777777" w:rsidR="005751D7" w:rsidRDefault="005751D7" w:rsidP="00E70D0A">
      <w:pPr>
        <w:keepNext/>
        <w:jc w:val="center"/>
      </w:pPr>
      <w:r>
        <w:rPr>
          <w:noProof/>
        </w:rPr>
        <w:drawing>
          <wp:inline distT="0" distB="0" distL="0" distR="0" wp14:anchorId="3F3B6F55" wp14:editId="2A803B47">
            <wp:extent cx="5352455" cy="3121573"/>
            <wp:effectExtent l="0" t="0" r="635" b="3175"/>
            <wp:docPr id="959696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696419" name=""/>
                    <pic:cNvPicPr/>
                  </pic:nvPicPr>
                  <pic:blipFill>
                    <a:blip r:embed="rId13"/>
                    <a:stretch>
                      <a:fillRect/>
                    </a:stretch>
                  </pic:blipFill>
                  <pic:spPr>
                    <a:xfrm>
                      <a:off x="0" y="0"/>
                      <a:ext cx="5353179" cy="3121995"/>
                    </a:xfrm>
                    <a:prstGeom prst="rect">
                      <a:avLst/>
                    </a:prstGeom>
                  </pic:spPr>
                </pic:pic>
              </a:graphicData>
            </a:graphic>
          </wp:inline>
        </w:drawing>
      </w:r>
    </w:p>
    <w:p w14:paraId="659C8830" w14:textId="51F3DAD1" w:rsidR="005751D7" w:rsidRDefault="005751D7" w:rsidP="005751D7">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t xml:space="preserve">: </w:t>
      </w:r>
      <w:r w:rsidRPr="00DF2BD9">
        <w:t>Nike's revenue worldwide from the fiscal years of 2016 to 2025, by sales channel</w:t>
      </w:r>
      <w:r w:rsidR="00E70D0A">
        <w:t xml:space="preserve"> (Source: </w:t>
      </w:r>
      <w:r w:rsidR="00E70D0A">
        <w:rPr>
          <w:lang w:eastAsia="zh-CN"/>
        </w:rPr>
        <w:t>Statista, 2025)</w:t>
      </w:r>
    </w:p>
    <w:p w14:paraId="177B83C2" w14:textId="3EC0E82F" w:rsidR="00731AF5" w:rsidRDefault="006B7BEF" w:rsidP="00731AF5">
      <w:pPr>
        <w:rPr>
          <w:lang w:eastAsia="zh-CN"/>
        </w:rPr>
      </w:pPr>
      <w:r w:rsidRPr="006B7BEF">
        <w:rPr>
          <w:lang w:eastAsia="zh-CN"/>
        </w:rPr>
        <w:t xml:space="preserve">The strategic reaction of Nike to the technological and socio-cultural pressures observed in Task 1 can be seen as an effort to maintain dominance over high-end product ecosystems and maintain scale. By 2026, Nike has significantly increased its direct channel over time: sales via NIKE Direct are going to rise by 2025 to US$18.8 billion, again despite a decline in 2024, whereas wholesale continues to play a US$25.9 billion role in 2025 (Statista, 2026). This implies that Nike has never given up on </w:t>
      </w:r>
      <w:proofErr w:type="gramStart"/>
      <w:r w:rsidRPr="006B7BEF">
        <w:rPr>
          <w:lang w:eastAsia="zh-CN"/>
        </w:rPr>
        <w:t>wholesale, but</w:t>
      </w:r>
      <w:proofErr w:type="gramEnd"/>
      <w:r w:rsidRPr="006B7BEF">
        <w:rPr>
          <w:lang w:eastAsia="zh-CN"/>
        </w:rPr>
        <w:t xml:space="preserve"> selectively applied direct-to-consumer to manage launches, pricing discipline and consumer data in high-value markets such as Jordan among basketball and sneaker fans and premium running footwear among performance runners (NIKE, Inc., 2025).</w:t>
      </w:r>
    </w:p>
    <w:p w14:paraId="5770A7DA" w14:textId="77777777" w:rsidR="005751D7" w:rsidRDefault="005751D7" w:rsidP="005751D7">
      <w:pPr>
        <w:keepNext/>
        <w:spacing w:before="100" w:beforeAutospacing="1" w:after="100" w:afterAutospacing="1"/>
        <w:jc w:val="center"/>
      </w:pPr>
      <w:r>
        <w:rPr>
          <w:noProof/>
        </w:rPr>
        <w:lastRenderedPageBreak/>
        <w:drawing>
          <wp:inline distT="0" distB="0" distL="0" distR="0" wp14:anchorId="0F5E20D1" wp14:editId="7E64D621">
            <wp:extent cx="2724426" cy="1986455"/>
            <wp:effectExtent l="0" t="0" r="0" b="0"/>
            <wp:docPr id="1078259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259702" name=""/>
                    <pic:cNvPicPr/>
                  </pic:nvPicPr>
                  <pic:blipFill>
                    <a:blip r:embed="rId14"/>
                    <a:stretch>
                      <a:fillRect/>
                    </a:stretch>
                  </pic:blipFill>
                  <pic:spPr>
                    <a:xfrm>
                      <a:off x="0" y="0"/>
                      <a:ext cx="2725747" cy="1987418"/>
                    </a:xfrm>
                    <a:prstGeom prst="rect">
                      <a:avLst/>
                    </a:prstGeom>
                  </pic:spPr>
                </pic:pic>
              </a:graphicData>
            </a:graphic>
          </wp:inline>
        </w:drawing>
      </w:r>
    </w:p>
    <w:p w14:paraId="17E42AA4" w14:textId="11005F1E" w:rsidR="005751D7" w:rsidRDefault="005751D7" w:rsidP="005751D7">
      <w:pPr>
        <w:pStyle w:val="Caption"/>
        <w:jc w:val="center"/>
      </w:pPr>
      <w:r>
        <w:t xml:space="preserve">Figure </w:t>
      </w:r>
      <w:r>
        <w:fldChar w:fldCharType="begin"/>
      </w:r>
      <w:r>
        <w:instrText xml:space="preserve"> SEQ Figure \* ARABIC </w:instrText>
      </w:r>
      <w:r>
        <w:fldChar w:fldCharType="separate"/>
      </w:r>
      <w:r>
        <w:rPr>
          <w:noProof/>
        </w:rPr>
        <w:t>6</w:t>
      </w:r>
      <w:r>
        <w:fldChar w:fldCharType="end"/>
      </w:r>
      <w:r>
        <w:t xml:space="preserve">: </w:t>
      </w:r>
      <w:r w:rsidRPr="00D30231">
        <w:t>Porter’s Generic Strategies</w:t>
      </w:r>
      <w:r w:rsidR="00E70D0A">
        <w:t xml:space="preserve"> (Source: </w:t>
      </w:r>
      <w:r w:rsidR="00E70D0A" w:rsidRPr="00E70D0A">
        <w:rPr>
          <w:lang w:eastAsia="zh-CN"/>
        </w:rPr>
        <w:t>Strategic Management Insight</w:t>
      </w:r>
      <w:r w:rsidR="00E70D0A">
        <w:rPr>
          <w:lang w:eastAsia="zh-CN"/>
        </w:rPr>
        <w:t xml:space="preserve">, </w:t>
      </w:r>
      <w:r w:rsidR="00E70D0A" w:rsidRPr="00E70D0A">
        <w:rPr>
          <w:lang w:eastAsia="zh-CN"/>
        </w:rPr>
        <w:t>202</w:t>
      </w:r>
      <w:r w:rsidR="00E70D0A">
        <w:rPr>
          <w:lang w:eastAsia="zh-CN"/>
        </w:rPr>
        <w:t>5</w:t>
      </w:r>
      <w:r w:rsidR="00E70D0A" w:rsidRPr="00E70D0A">
        <w:rPr>
          <w:lang w:eastAsia="zh-CN"/>
        </w:rPr>
        <w:t>)</w:t>
      </w:r>
    </w:p>
    <w:p w14:paraId="7C502DD6" w14:textId="77777777" w:rsidR="006B7BEF" w:rsidRDefault="006B7BEF" w:rsidP="006B7BEF">
      <w:pPr>
        <w:rPr>
          <w:lang w:eastAsia="zh-CN"/>
        </w:rPr>
      </w:pPr>
      <w:r>
        <w:rPr>
          <w:lang w:eastAsia="zh-CN"/>
        </w:rPr>
        <w:t xml:space="preserve">In Figure 6, Nike can be best described as a broad differentiator, not a cost leader, based on Porters Generic Strategies. It does not focus on selling at lower prices as its reaction to technological change but rather on innovation, exclusivity and brand meaning to add perceived value. It can be seen in individual product lines like Pegasus (everyday runners), </w:t>
      </w:r>
      <w:proofErr w:type="spellStart"/>
      <w:r>
        <w:rPr>
          <w:lang w:eastAsia="zh-CN"/>
        </w:rPr>
        <w:t>Vaporfly</w:t>
      </w:r>
      <w:proofErr w:type="spellEnd"/>
      <w:r>
        <w:rPr>
          <w:lang w:eastAsia="zh-CN"/>
        </w:rPr>
        <w:t>/</w:t>
      </w:r>
      <w:proofErr w:type="spellStart"/>
      <w:r>
        <w:rPr>
          <w:lang w:eastAsia="zh-CN"/>
        </w:rPr>
        <w:t>Alphafly</w:t>
      </w:r>
      <w:proofErr w:type="spellEnd"/>
      <w:r>
        <w:rPr>
          <w:lang w:eastAsia="zh-CN"/>
        </w:rPr>
        <w:t xml:space="preserve"> (performance runners who want speed and racing credibility), and the Jordan line (consumers who are driven more by cultural association than sporting utility). Social-cultural changes to athleisure and identity-based consumption also facilitate the growth of Nike in women training and lifestyle segments, where differentiation is based on design credibility and emotional appeal in addition to functionality. Porter would describe this strategy to enable Nike to minimise direct price competition by competing on uniqueness in a wide market base (Mailani et al., 2024).</w:t>
      </w:r>
    </w:p>
    <w:p w14:paraId="0C9FA809" w14:textId="2AFB67B9" w:rsidR="00731AF5" w:rsidRPr="00731AF5" w:rsidRDefault="006B7BEF" w:rsidP="006B7BEF">
      <w:pPr>
        <w:rPr>
          <w:lang w:eastAsia="zh-CN"/>
        </w:rPr>
      </w:pPr>
      <w:r>
        <w:rPr>
          <w:lang w:eastAsia="zh-CN"/>
        </w:rPr>
        <w:t xml:space="preserve">More importantly, there are distinct strengths but apparent boundaries to this reaction. The advantage is enhanced control of the customer path with SNKRS, Nike Membership and own retail that enhances personalisation, launch management and loyalty. According to omnichannel literature, this kind of control would enhance customer value through the integration of brand experience, data and convenience in a better way than fragmented channel systems (Zhang, Chen and Jiao, 2025). Nevertheless, the 2025 performance of Nike demonstrates that differentiation is expensive and </w:t>
      </w:r>
      <w:proofErr w:type="gramStart"/>
      <w:r>
        <w:rPr>
          <w:lang w:eastAsia="zh-CN"/>
        </w:rPr>
        <w:t>execution-intensive</w:t>
      </w:r>
      <w:proofErr w:type="gramEnd"/>
      <w:r>
        <w:rPr>
          <w:lang w:eastAsia="zh-CN"/>
        </w:rPr>
        <w:t xml:space="preserve">. NIKE Direct revenue was down 13% and digital sales were down 20% with the company registering a drop in revenues in Men, Jordan Brand, Women and Greater China with a decrease in gross margin to 42.7. This implies that the Nike strategy is still strong, but its success relies on maintaining </w:t>
      </w:r>
      <w:r>
        <w:rPr>
          <w:lang w:eastAsia="zh-CN"/>
        </w:rPr>
        <w:lastRenderedPageBreak/>
        <w:t>product momentum and cultural relevance, where slow innovation or craters in digital traffic exposes that same premium model to discounting, channel disequilibrium and diminished market responsiveness (NIKE, Inc., 2025).</w:t>
      </w:r>
    </w:p>
    <w:p w14:paraId="336C5916" w14:textId="1350722A" w:rsidR="00F4799C" w:rsidRDefault="00F4799C" w:rsidP="005751D7">
      <w:pPr>
        <w:pStyle w:val="Heading2"/>
        <w:rPr>
          <w:b w:val="0"/>
          <w:lang w:eastAsia="zh-CN"/>
        </w:rPr>
      </w:pPr>
      <w:bookmarkStart w:id="11" w:name="_Toc225304462"/>
      <w:r w:rsidRPr="00F4799C">
        <w:rPr>
          <w:lang w:eastAsia="zh-CN"/>
        </w:rPr>
        <w:t>3.2 Follower Organisation’s Strategic Responses</w:t>
      </w:r>
      <w:bookmarkEnd w:id="11"/>
    </w:p>
    <w:p w14:paraId="793B1839" w14:textId="74870625" w:rsidR="00731AF5" w:rsidRDefault="006B7BEF" w:rsidP="00731AF5">
      <w:pPr>
        <w:rPr>
          <w:lang w:eastAsia="zh-CN"/>
        </w:rPr>
      </w:pPr>
      <w:r w:rsidRPr="006B7BEF">
        <w:rPr>
          <w:lang w:eastAsia="zh-CN"/>
        </w:rPr>
        <w:t xml:space="preserve">The reaction of Anta Sports to the technological and socio-cultural challenges outlined in Task 1 can be interpreted as a portfolio-oriented competitive strategy, but not that of a single brand. Figure 7 implies that Anta has reached the highest level of sporting-goods firms in the world based on market </w:t>
      </w:r>
      <w:r w:rsidRPr="006B7BEF">
        <w:rPr>
          <w:lang w:eastAsia="zh-CN"/>
        </w:rPr>
        <w:t>capitalisation,</w:t>
      </w:r>
      <w:r w:rsidRPr="006B7BEF">
        <w:rPr>
          <w:lang w:eastAsia="zh-CN"/>
        </w:rPr>
        <w:t xml:space="preserve"> yet its competitiveness is not anchored on scale only. The company, instead, employs its Single-focus, Multi-brand, Globalisation strategy to align various product lines with various consumer segments: the ANTA brand is available to mass-performance consumers and is sold in such categories as running, basketball and training, FILA caters to higher-end fashion-sports buyers, and Descente and Kolon Sport are sold to higher-end outdoor and specialist consumers (ANTA Sports Products Limited, 2025a). This is important because the follower does not strive to beat Nike with a single uniform offer; it evolves to occupy several price-value points in the same market.</w:t>
      </w:r>
    </w:p>
    <w:p w14:paraId="66EE0726" w14:textId="77777777" w:rsidR="005751D7" w:rsidRDefault="005751D7" w:rsidP="005751D7">
      <w:pPr>
        <w:keepNext/>
        <w:jc w:val="center"/>
      </w:pPr>
      <w:r>
        <w:rPr>
          <w:noProof/>
        </w:rPr>
        <w:drawing>
          <wp:inline distT="0" distB="0" distL="0" distR="0" wp14:anchorId="3F5D2C65" wp14:editId="747CFE39">
            <wp:extent cx="3958972" cy="2955851"/>
            <wp:effectExtent l="0" t="0" r="3810" b="0"/>
            <wp:docPr id="13489271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58972" cy="2955851"/>
                    </a:xfrm>
                    <a:prstGeom prst="rect">
                      <a:avLst/>
                    </a:prstGeom>
                    <a:noFill/>
                    <a:ln>
                      <a:noFill/>
                    </a:ln>
                  </pic:spPr>
                </pic:pic>
              </a:graphicData>
            </a:graphic>
          </wp:inline>
        </w:drawing>
      </w:r>
    </w:p>
    <w:p w14:paraId="54951A17" w14:textId="1303CC17" w:rsidR="005751D7" w:rsidRDefault="005751D7" w:rsidP="005751D7">
      <w:pPr>
        <w:pStyle w:val="Caption"/>
        <w:jc w:val="center"/>
        <w:rPr>
          <w:noProof/>
        </w:rPr>
      </w:pPr>
      <w:r>
        <w:t xml:space="preserve">Figure </w:t>
      </w:r>
      <w:r>
        <w:fldChar w:fldCharType="begin"/>
      </w:r>
      <w:r>
        <w:instrText xml:space="preserve"> SEQ Figure \* ARABIC </w:instrText>
      </w:r>
      <w:r>
        <w:fldChar w:fldCharType="separate"/>
      </w:r>
      <w:r>
        <w:rPr>
          <w:noProof/>
        </w:rPr>
        <w:t>7</w:t>
      </w:r>
      <w:r>
        <w:fldChar w:fldCharType="end"/>
      </w:r>
      <w:r>
        <w:t>: Largest</w:t>
      </w:r>
      <w:r>
        <w:rPr>
          <w:noProof/>
        </w:rPr>
        <w:t xml:space="preserve"> Sporting Goods Companies</w:t>
      </w:r>
      <w:r w:rsidR="00526C7C">
        <w:rPr>
          <w:noProof/>
        </w:rPr>
        <w:t xml:space="preserve"> (Source: </w:t>
      </w:r>
      <w:r w:rsidR="00526C7C">
        <w:rPr>
          <w:lang w:eastAsia="zh-CN"/>
        </w:rPr>
        <w:t>(</w:t>
      </w:r>
      <w:r w:rsidR="00526C7C" w:rsidRPr="00526C7C">
        <w:rPr>
          <w:lang w:eastAsia="zh-CN"/>
        </w:rPr>
        <w:t>Nice Kicks</w:t>
      </w:r>
      <w:r w:rsidR="00526C7C">
        <w:rPr>
          <w:lang w:eastAsia="zh-CN"/>
        </w:rPr>
        <w:t xml:space="preserve">, </w:t>
      </w:r>
      <w:r w:rsidR="00526C7C" w:rsidRPr="00526C7C">
        <w:rPr>
          <w:lang w:eastAsia="zh-CN"/>
        </w:rPr>
        <w:t>2026)</w:t>
      </w:r>
    </w:p>
    <w:p w14:paraId="475CE187" w14:textId="77777777" w:rsidR="00882C7D" w:rsidRDefault="00882C7D" w:rsidP="00882C7D">
      <w:pPr>
        <w:rPr>
          <w:lang w:eastAsia="zh-CN"/>
        </w:rPr>
      </w:pPr>
      <w:r>
        <w:rPr>
          <w:lang w:eastAsia="zh-CN"/>
        </w:rPr>
        <w:t xml:space="preserve">Anta cannot be easily defined as either of the pure types of strategies at group level using Porters Generic Strategies. At brand level, though, its reason is more obvious. ANTA core brand is closest to a generic low-cost or best-value approach, providing </w:t>
      </w:r>
      <w:r>
        <w:rPr>
          <w:lang w:eastAsia="zh-CN"/>
        </w:rPr>
        <w:lastRenderedPageBreak/>
        <w:t>affordable performance products to the value-conscious Chinese market, whereas FILA China and high-end outdoor brands are positioned in closer proximity to focused differentiation, combining greater design influence, retail experience and brand image to high-income urban market segments (Nice Kicks, 2026). The model by Porter is hence helpful, though only when considered individual brand roles of Anta and not of the entire group (Mailani et al., 2024). This aligns with brand-portfolio theory, which opines that companies can achieve competitive advantage by allocating different functions to brands rather than compelling a single brand to cater to all segments (Barrenechea Fernández, 2025).</w:t>
      </w:r>
    </w:p>
    <w:p w14:paraId="59413CFC" w14:textId="5144C24C" w:rsidR="00731AF5" w:rsidRDefault="00882C7D" w:rsidP="00882C7D">
      <w:pPr>
        <w:rPr>
          <w:lang w:eastAsia="zh-CN"/>
        </w:rPr>
      </w:pPr>
      <w:r>
        <w:rPr>
          <w:lang w:eastAsia="zh-CN"/>
        </w:rPr>
        <w:t xml:space="preserve">The positive sides of this response can be reflected in operating results. In 2024, ANTA brought in RMB33.52B, FILA brought in RMB26.63B, and all other brands brought in RMB10.68B, with e-commerce revenue expanding 21.8 percent and accounting 35.1 percent of total revenue (ANTA Sports Products Limited, 2025b). This means that it is highly flexible to local digital purchasing behaviour and evolving socio-cultural tastes. There is a limit to the strategy, however. Multi-brand structure increases the cost of coordination and poses the risk of disproportionate brand meaning, particularly in the </w:t>
      </w:r>
      <w:proofErr w:type="spellStart"/>
      <w:r>
        <w:rPr>
          <w:lang w:eastAsia="zh-CN"/>
        </w:rPr>
        <w:t>non-Chinese</w:t>
      </w:r>
      <w:proofErr w:type="spellEnd"/>
      <w:r>
        <w:rPr>
          <w:lang w:eastAsia="zh-CN"/>
        </w:rPr>
        <w:t xml:space="preserve"> world where domestic channel strength and cultural familiarity are lower. Omnichannel research proposes that channel tighter control could enhance customer value, yet it makes execution more complex between brands and formats (Zhang, Chen and Jiao, 2025). </w:t>
      </w:r>
      <w:proofErr w:type="gramStart"/>
      <w:r>
        <w:rPr>
          <w:lang w:eastAsia="zh-CN"/>
        </w:rPr>
        <w:t>On the whole</w:t>
      </w:r>
      <w:proofErr w:type="gramEnd"/>
      <w:r>
        <w:rPr>
          <w:lang w:eastAsia="zh-CN"/>
        </w:rPr>
        <w:t>, the reaction of Anta is strategically effective to maintain competitiveness, but this benefit is stronger in China than in the global market.</w:t>
      </w:r>
    </w:p>
    <w:p w14:paraId="2B4045F4" w14:textId="2668B33B" w:rsidR="00731AF5" w:rsidRPr="00731AF5" w:rsidRDefault="005751D7" w:rsidP="005751D7">
      <w:pPr>
        <w:spacing w:before="0" w:after="0" w:line="240" w:lineRule="auto"/>
        <w:jc w:val="left"/>
        <w:rPr>
          <w:lang w:eastAsia="zh-CN"/>
        </w:rPr>
      </w:pPr>
      <w:r>
        <w:rPr>
          <w:lang w:eastAsia="zh-CN"/>
        </w:rPr>
        <w:br w:type="page"/>
      </w:r>
    </w:p>
    <w:p w14:paraId="39E26403" w14:textId="3E99EADC" w:rsidR="00F4799C" w:rsidRPr="00F4799C" w:rsidRDefault="00F4799C" w:rsidP="00731AF5">
      <w:pPr>
        <w:pStyle w:val="Heading1"/>
        <w:rPr>
          <w:b w:val="0"/>
          <w:lang w:eastAsia="zh-CN"/>
        </w:rPr>
      </w:pPr>
      <w:bookmarkStart w:id="12" w:name="_Toc225304463"/>
      <w:r w:rsidRPr="00F4799C">
        <w:rPr>
          <w:lang w:eastAsia="zh-CN"/>
        </w:rPr>
        <w:lastRenderedPageBreak/>
        <w:t>4. Conclusion</w:t>
      </w:r>
      <w:bookmarkEnd w:id="12"/>
    </w:p>
    <w:p w14:paraId="7CCECEE6" w14:textId="77777777" w:rsidR="00882C7D" w:rsidRDefault="00882C7D" w:rsidP="00882C7D">
      <w:pPr>
        <w:rPr>
          <w:lang w:eastAsia="zh-CN"/>
        </w:rPr>
      </w:pPr>
      <w:r>
        <w:rPr>
          <w:lang w:eastAsia="zh-CN"/>
        </w:rPr>
        <w:t>This report demonstrates that macro-environmental analysis is critical to strategic marketing management since external change influences competitive advantage not only at corporate level but also at specific product ecosystems and customer segments. In Task 1, the results showed that technological and socio-cultural forces had the greatest impact on the sportswear/athleisure industry. In the case of Nike, technology helped to reinforce premium differentiation in performance running footwear, the Jordan ecosystem, and social-cultural trends such as active lifestyles and identity-based consumption reinforced the demand among runners, basketball consumers, and sneaker enthusiasts. In the case of Anta Sports, the opportunities presented by ANTA mass-performance offer and FILA premium fashion-sports positioning, especially in China, with strong local digital retail behaviour and lifestyle demand.</w:t>
      </w:r>
    </w:p>
    <w:p w14:paraId="784573EA" w14:textId="24E454E1" w:rsidR="00F4799C" w:rsidRDefault="00882C7D" w:rsidP="00882C7D">
      <w:pPr>
        <w:rPr>
          <w:lang w:eastAsia="zh-CN"/>
        </w:rPr>
      </w:pPr>
      <w:r>
        <w:rPr>
          <w:lang w:eastAsia="zh-CN"/>
        </w:rPr>
        <w:t>Task 2 revealed that adaptive response is critical as environmental scanning itself. Nike reacted primarily via general differentiation, with innovation, direct-to-consumer and brand-based value creation, and Anta through a more portfolio-oriented approach that enhanced local responsiveness in multiple segments. In general, the discussion indicates that environmental scanning is important not only to identify change, but to fit strategy, channel and product focus to changing market conditions.</w:t>
      </w:r>
    </w:p>
    <w:p w14:paraId="69A7304F" w14:textId="7AAD648C" w:rsidR="00731AF5" w:rsidRPr="00F4799C" w:rsidRDefault="00731AF5" w:rsidP="00731AF5">
      <w:pPr>
        <w:spacing w:before="0" w:after="0" w:line="240" w:lineRule="auto"/>
        <w:jc w:val="left"/>
        <w:rPr>
          <w:rFonts w:asciiTheme="minorBidi" w:eastAsia="Times New Roman" w:hAnsiTheme="minorBidi"/>
          <w:kern w:val="0"/>
          <w:lang w:eastAsia="zh-CN"/>
          <w14:ligatures w14:val="none"/>
        </w:rPr>
      </w:pPr>
      <w:r>
        <w:rPr>
          <w:rFonts w:asciiTheme="minorBidi" w:eastAsia="Times New Roman" w:hAnsiTheme="minorBidi"/>
          <w:kern w:val="0"/>
          <w:lang w:eastAsia="zh-CN"/>
          <w14:ligatures w14:val="none"/>
        </w:rPr>
        <w:br w:type="page"/>
      </w:r>
    </w:p>
    <w:p w14:paraId="5EE09161" w14:textId="0F96F149" w:rsidR="00526C7C" w:rsidRPr="00731AF5" w:rsidRDefault="00F4799C" w:rsidP="00526C7C">
      <w:pPr>
        <w:pStyle w:val="Heading1"/>
        <w:rPr>
          <w:b w:val="0"/>
          <w:lang w:eastAsia="zh-CN"/>
        </w:rPr>
      </w:pPr>
      <w:bookmarkStart w:id="13" w:name="_Toc225304464"/>
      <w:r w:rsidRPr="00F4799C">
        <w:rPr>
          <w:lang w:eastAsia="zh-CN"/>
        </w:rPr>
        <w:lastRenderedPageBreak/>
        <w:t>5. References (Not included in the word count)</w:t>
      </w:r>
      <w:bookmarkEnd w:id="13"/>
    </w:p>
    <w:p w14:paraId="2F5DAAB2" w14:textId="77777777" w:rsidR="00C21319" w:rsidRPr="00D421C6" w:rsidRDefault="00C21319" w:rsidP="00526C7C">
      <w:pPr>
        <w:ind w:left="720" w:hanging="720"/>
        <w:rPr>
          <w:lang w:eastAsia="zh-CN"/>
        </w:rPr>
      </w:pPr>
      <w:r w:rsidRPr="00D421C6">
        <w:rPr>
          <w:lang w:eastAsia="zh-CN"/>
        </w:rPr>
        <w:t>ANTA Sports Products Limited (2025</w:t>
      </w:r>
      <w:r>
        <w:rPr>
          <w:lang w:eastAsia="zh-CN"/>
        </w:rPr>
        <w:t>a</w:t>
      </w:r>
      <w:r w:rsidRPr="00D421C6">
        <w:rPr>
          <w:lang w:eastAsia="zh-CN"/>
        </w:rPr>
        <w:t xml:space="preserve">) </w:t>
      </w:r>
      <w:r w:rsidRPr="00D421C6">
        <w:rPr>
          <w:i/>
          <w:iCs/>
          <w:lang w:eastAsia="zh-CN"/>
        </w:rPr>
        <w:t>Annual report 2024</w:t>
      </w:r>
      <w:r w:rsidRPr="00D421C6">
        <w:rPr>
          <w:lang w:eastAsia="zh-CN"/>
        </w:rPr>
        <w:t xml:space="preserve">. Hong Kong: ANTA Sports Products Limited. Available at: </w:t>
      </w:r>
      <w:hyperlink r:id="rId16" w:history="1">
        <w:r w:rsidRPr="00D421C6">
          <w:rPr>
            <w:rStyle w:val="Hyperlink"/>
            <w:lang w:eastAsia="zh-CN"/>
          </w:rPr>
          <w:t>https://www1.hkexnews.hk/listedco/listconews/sehk/2025/0331/2025033100649.pdf</w:t>
        </w:r>
      </w:hyperlink>
    </w:p>
    <w:p w14:paraId="376A34DF" w14:textId="77777777" w:rsidR="00C21319" w:rsidRPr="00731AF5" w:rsidRDefault="00C21319" w:rsidP="00526C7C">
      <w:pPr>
        <w:ind w:left="720" w:hanging="720"/>
        <w:rPr>
          <w:lang w:eastAsia="zh-CN"/>
        </w:rPr>
      </w:pPr>
      <w:r w:rsidRPr="00731AF5">
        <w:rPr>
          <w:lang w:eastAsia="zh-CN"/>
        </w:rPr>
        <w:t xml:space="preserve">ANTA Sports Products Limited (2025b) </w:t>
      </w:r>
      <w:r w:rsidRPr="00731AF5">
        <w:rPr>
          <w:i/>
          <w:iCs/>
          <w:lang w:eastAsia="zh-CN"/>
        </w:rPr>
        <w:t>ANTA Sports achieves another record high with revenue exceeding RMB70.8 billion in 2024, a 13.6% year-on-year increase</w:t>
      </w:r>
      <w:r w:rsidRPr="00731AF5">
        <w:rPr>
          <w:lang w:eastAsia="zh-CN"/>
        </w:rPr>
        <w:t xml:space="preserve">. Press release, 19 March. Available at: </w:t>
      </w:r>
      <w:hyperlink r:id="rId17" w:tgtFrame="_new" w:history="1">
        <w:r w:rsidRPr="00731AF5">
          <w:rPr>
            <w:rStyle w:val="Hyperlink"/>
            <w:lang w:eastAsia="zh-CN"/>
          </w:rPr>
          <w:t>https://ir.anta.com/en/news_detail.php?id=1</w:t>
        </w:r>
        <w:r w:rsidRPr="00731AF5">
          <w:rPr>
            <w:rStyle w:val="Hyperlink"/>
            <w:lang w:eastAsia="zh-CN"/>
          </w:rPr>
          <w:t>4</w:t>
        </w:r>
        <w:r w:rsidRPr="00731AF5">
          <w:rPr>
            <w:rStyle w:val="Hyperlink"/>
            <w:lang w:eastAsia="zh-CN"/>
          </w:rPr>
          <w:t>4313</w:t>
        </w:r>
      </w:hyperlink>
    </w:p>
    <w:p w14:paraId="007B306C" w14:textId="77777777" w:rsidR="00C21319" w:rsidRDefault="00C21319" w:rsidP="00526C7C">
      <w:pPr>
        <w:ind w:left="720" w:hanging="720"/>
        <w:rPr>
          <w:lang w:eastAsia="zh-CN"/>
        </w:rPr>
      </w:pPr>
      <w:r w:rsidRPr="00095CF6">
        <w:rPr>
          <w:lang w:eastAsia="zh-CN"/>
        </w:rPr>
        <w:t xml:space="preserve">Barrenechea Fernández, F., </w:t>
      </w:r>
      <w:r>
        <w:rPr>
          <w:lang w:eastAsia="zh-CN"/>
        </w:rPr>
        <w:t>(</w:t>
      </w:r>
      <w:r w:rsidRPr="00095CF6">
        <w:rPr>
          <w:lang w:eastAsia="zh-CN"/>
        </w:rPr>
        <w:t>2025</w:t>
      </w:r>
      <w:r>
        <w:rPr>
          <w:lang w:eastAsia="zh-CN"/>
        </w:rPr>
        <w:t>)</w:t>
      </w:r>
      <w:r w:rsidRPr="00095CF6">
        <w:rPr>
          <w:lang w:eastAsia="zh-CN"/>
        </w:rPr>
        <w:t>. Building Effective Branding Strategies. From Foundational Elements to Market Success. </w:t>
      </w:r>
      <w:r w:rsidRPr="00095CF6">
        <w:rPr>
          <w:i/>
          <w:iCs/>
          <w:lang w:eastAsia="zh-CN"/>
        </w:rPr>
        <w:t>From Foundational Elements to Market Success (January 14, 2025)</w:t>
      </w:r>
      <w:r w:rsidRPr="00095CF6">
        <w:rPr>
          <w:lang w:eastAsia="zh-CN"/>
        </w:rPr>
        <w:t>.</w:t>
      </w:r>
      <w:r>
        <w:rPr>
          <w:lang w:eastAsia="zh-CN"/>
        </w:rPr>
        <w:t xml:space="preserve"> </w:t>
      </w:r>
      <w:hyperlink r:id="rId18" w:history="1">
        <w:r w:rsidRPr="003C1ED0">
          <w:rPr>
            <w:rStyle w:val="Hyperlink"/>
            <w:lang w:eastAsia="zh-CN"/>
          </w:rPr>
          <w:t>https://papers.ssrn.com/sol3/Delivery.cfm?abstractid=5217847</w:t>
        </w:r>
      </w:hyperlink>
      <w:r>
        <w:rPr>
          <w:lang w:eastAsia="zh-CN"/>
        </w:rPr>
        <w:t xml:space="preserve"> </w:t>
      </w:r>
    </w:p>
    <w:p w14:paraId="10FD57CF" w14:textId="77777777" w:rsidR="00C21319" w:rsidRPr="00D421C6" w:rsidRDefault="00C21319" w:rsidP="00526C7C">
      <w:pPr>
        <w:ind w:left="720" w:hanging="720"/>
        <w:rPr>
          <w:lang w:eastAsia="zh-CN"/>
        </w:rPr>
      </w:pPr>
      <w:r w:rsidRPr="00D421C6">
        <w:rPr>
          <w:lang w:eastAsia="zh-CN"/>
        </w:rPr>
        <w:t xml:space="preserve">CIPD (2025) </w:t>
      </w:r>
      <w:r w:rsidRPr="00D421C6">
        <w:rPr>
          <w:i/>
          <w:iCs/>
          <w:lang w:eastAsia="zh-CN"/>
        </w:rPr>
        <w:t>PESTLE analysis</w:t>
      </w:r>
      <w:r w:rsidRPr="00D421C6">
        <w:rPr>
          <w:lang w:eastAsia="zh-CN"/>
        </w:rPr>
        <w:t xml:space="preserve">. London: Chartered Institute of Personnel and Development. Available at: </w:t>
      </w:r>
      <w:hyperlink r:id="rId19" w:history="1">
        <w:r w:rsidRPr="00D421C6">
          <w:rPr>
            <w:rStyle w:val="Hyperlink"/>
            <w:lang w:eastAsia="zh-CN"/>
          </w:rPr>
          <w:t>https://ww</w:t>
        </w:r>
        <w:r w:rsidRPr="00D421C6">
          <w:rPr>
            <w:rStyle w:val="Hyperlink"/>
            <w:lang w:eastAsia="zh-CN"/>
          </w:rPr>
          <w:t>w</w:t>
        </w:r>
        <w:r w:rsidRPr="00D421C6">
          <w:rPr>
            <w:rStyle w:val="Hyperlink"/>
            <w:lang w:eastAsia="zh-CN"/>
          </w:rPr>
          <w:t>.cipd.org/en/knowledge/factsheets/pestle-analysis-factsheet/</w:t>
        </w:r>
      </w:hyperlink>
    </w:p>
    <w:p w14:paraId="621E58FF" w14:textId="77777777" w:rsidR="00C21319" w:rsidRPr="0064762D" w:rsidRDefault="00C21319" w:rsidP="00526C7C">
      <w:pPr>
        <w:ind w:left="720" w:hanging="720"/>
        <w:rPr>
          <w:lang w:eastAsia="zh-CN"/>
        </w:rPr>
      </w:pPr>
      <w:r w:rsidRPr="00095CF6">
        <w:rPr>
          <w:lang w:eastAsia="zh-CN"/>
        </w:rPr>
        <w:t xml:space="preserve">Goworek, H. and McGoldrick, P., </w:t>
      </w:r>
      <w:r>
        <w:rPr>
          <w:lang w:eastAsia="zh-CN"/>
        </w:rPr>
        <w:t>(</w:t>
      </w:r>
      <w:r w:rsidRPr="00095CF6">
        <w:rPr>
          <w:lang w:eastAsia="zh-CN"/>
        </w:rPr>
        <w:t>2024</w:t>
      </w:r>
      <w:r>
        <w:rPr>
          <w:lang w:eastAsia="zh-CN"/>
        </w:rPr>
        <w:t>)</w:t>
      </w:r>
      <w:r w:rsidRPr="00095CF6">
        <w:rPr>
          <w:lang w:eastAsia="zh-CN"/>
        </w:rPr>
        <w:t>. </w:t>
      </w:r>
      <w:r w:rsidRPr="00095CF6">
        <w:rPr>
          <w:i/>
          <w:iCs/>
          <w:lang w:eastAsia="zh-CN"/>
        </w:rPr>
        <w:t>Retail marketing management</w:t>
      </w:r>
      <w:r w:rsidRPr="00095CF6">
        <w:rPr>
          <w:lang w:eastAsia="zh-CN"/>
        </w:rPr>
        <w:t xml:space="preserve">. </w:t>
      </w:r>
      <w:proofErr w:type="spellStart"/>
      <w:r w:rsidRPr="00095CF6">
        <w:rPr>
          <w:lang w:eastAsia="zh-CN"/>
        </w:rPr>
        <w:t>BoD</w:t>
      </w:r>
      <w:proofErr w:type="spellEnd"/>
      <w:r w:rsidRPr="00095CF6">
        <w:rPr>
          <w:lang w:eastAsia="zh-CN"/>
        </w:rPr>
        <w:t>–Books on Demand.</w:t>
      </w:r>
    </w:p>
    <w:p w14:paraId="414907D7" w14:textId="77777777" w:rsidR="00C21319" w:rsidRPr="00731AF5" w:rsidRDefault="00C21319" w:rsidP="00526C7C">
      <w:pPr>
        <w:ind w:left="720" w:hanging="720"/>
        <w:rPr>
          <w:lang w:eastAsia="zh-CN"/>
        </w:rPr>
      </w:pPr>
      <w:r w:rsidRPr="00095CF6">
        <w:rPr>
          <w:lang w:eastAsia="zh-CN"/>
        </w:rPr>
        <w:t xml:space="preserve">Mailani, D., Hulu, M.Z.T., Simamora, M.R. and Kesuma, S.A., </w:t>
      </w:r>
      <w:r>
        <w:rPr>
          <w:lang w:eastAsia="zh-CN"/>
        </w:rPr>
        <w:t>(</w:t>
      </w:r>
      <w:r w:rsidRPr="00095CF6">
        <w:rPr>
          <w:lang w:eastAsia="zh-CN"/>
        </w:rPr>
        <w:t>2024</w:t>
      </w:r>
      <w:r>
        <w:rPr>
          <w:lang w:eastAsia="zh-CN"/>
        </w:rPr>
        <w:t>)</w:t>
      </w:r>
      <w:r w:rsidRPr="00095CF6">
        <w:rPr>
          <w:lang w:eastAsia="zh-CN"/>
        </w:rPr>
        <w:t>. Resource-based view theory to achieve a sustainable competitive advantage of the firm: Systematic literature review. </w:t>
      </w:r>
      <w:r w:rsidRPr="00095CF6">
        <w:rPr>
          <w:i/>
          <w:iCs/>
          <w:lang w:eastAsia="zh-CN"/>
        </w:rPr>
        <w:t>International Journal of Entrepreneurship and Sustainability Studies</w:t>
      </w:r>
      <w:r w:rsidRPr="00095CF6">
        <w:rPr>
          <w:lang w:eastAsia="zh-CN"/>
        </w:rPr>
        <w:t>, </w:t>
      </w:r>
      <w:r w:rsidRPr="00095CF6">
        <w:rPr>
          <w:i/>
          <w:iCs/>
          <w:lang w:eastAsia="zh-CN"/>
        </w:rPr>
        <w:t>4</w:t>
      </w:r>
      <w:r w:rsidRPr="00095CF6">
        <w:rPr>
          <w:lang w:eastAsia="zh-CN"/>
        </w:rPr>
        <w:t>(1), p.1.</w:t>
      </w:r>
    </w:p>
    <w:p w14:paraId="29BE9321" w14:textId="77777777" w:rsidR="00C21319" w:rsidRDefault="00C21319" w:rsidP="00526C7C">
      <w:pPr>
        <w:ind w:left="720" w:hanging="720"/>
        <w:rPr>
          <w:lang w:eastAsia="zh-CN"/>
        </w:rPr>
      </w:pPr>
      <w:r w:rsidRPr="004E1F6A">
        <w:rPr>
          <w:lang w:eastAsia="zh-CN"/>
        </w:rPr>
        <w:t xml:space="preserve">Market.us (2024) </w:t>
      </w:r>
      <w:r w:rsidRPr="004E1F6A">
        <w:rPr>
          <w:i/>
          <w:iCs/>
          <w:lang w:eastAsia="zh-CN"/>
        </w:rPr>
        <w:t>Sportswear market: Global market by product, end-user, distribution channel, region and companies 2024–2033</w:t>
      </w:r>
      <w:r w:rsidRPr="004E1F6A">
        <w:rPr>
          <w:lang w:eastAsia="zh-CN"/>
        </w:rPr>
        <w:t xml:space="preserve">. Market.us. Available at: </w:t>
      </w:r>
      <w:hyperlink r:id="rId20" w:tgtFrame="_new" w:history="1">
        <w:r w:rsidRPr="004E1F6A">
          <w:rPr>
            <w:rStyle w:val="Hyperlink"/>
            <w:lang w:eastAsia="zh-CN"/>
          </w:rPr>
          <w:t>https://market.us/report/sportswear-market/</w:t>
        </w:r>
      </w:hyperlink>
    </w:p>
    <w:p w14:paraId="0F1F3288" w14:textId="77777777" w:rsidR="00C21319" w:rsidRPr="00D421C6" w:rsidRDefault="00C21319" w:rsidP="00526C7C">
      <w:pPr>
        <w:ind w:left="720" w:hanging="720"/>
        <w:rPr>
          <w:lang w:eastAsia="zh-CN"/>
        </w:rPr>
      </w:pPr>
      <w:r w:rsidRPr="00D421C6">
        <w:rPr>
          <w:lang w:eastAsia="zh-CN"/>
        </w:rPr>
        <w:t xml:space="preserve">McKinsey &amp; Company and World Federation of the Sporting Goods Industry (2025) </w:t>
      </w:r>
      <w:r w:rsidRPr="00D421C6">
        <w:rPr>
          <w:i/>
          <w:iCs/>
          <w:lang w:eastAsia="zh-CN"/>
        </w:rPr>
        <w:t>Sporting Goods 2025: The new balancing act: Turning uncertainty into opportunity</w:t>
      </w:r>
      <w:r w:rsidRPr="00D421C6">
        <w:rPr>
          <w:lang w:eastAsia="zh-CN"/>
        </w:rPr>
        <w:t xml:space="preserve">. Available at: </w:t>
      </w:r>
      <w:hyperlink r:id="rId21" w:history="1">
        <w:r w:rsidRPr="00D421C6">
          <w:rPr>
            <w:rStyle w:val="Hyperlink"/>
            <w:lang w:eastAsia="zh-CN"/>
          </w:rPr>
          <w:t>https://www.mckinsey.com/~/media/mckinsey/industries/retail/our%20insights/sporting%20goods%20industry%20trends/2025/sporting-goods-2025-the-</w:t>
        </w:r>
        <w:r w:rsidRPr="00D421C6">
          <w:rPr>
            <w:rStyle w:val="Hyperlink"/>
            <w:lang w:eastAsia="zh-CN"/>
          </w:rPr>
          <w:lastRenderedPageBreak/>
          <w:t>new-balancing-act-turning-uncertainty-into-opportunity-v3.pdf</w:t>
        </w:r>
      </w:hyperlink>
      <w:r w:rsidRPr="00D421C6">
        <w:rPr>
          <w:lang w:eastAsia="zh-CN"/>
        </w:rPr>
        <w:t xml:space="preserve"> (Accessed: 25 March 2026).</w:t>
      </w:r>
    </w:p>
    <w:p w14:paraId="3AE24135" w14:textId="7BAB8CE4" w:rsidR="00C21319" w:rsidRPr="00D421C6" w:rsidRDefault="00C21319" w:rsidP="00526C7C">
      <w:pPr>
        <w:ind w:left="720" w:hanging="720"/>
        <w:rPr>
          <w:lang w:eastAsia="zh-CN"/>
        </w:rPr>
      </w:pPr>
      <w:r w:rsidRPr="00D421C6">
        <w:rPr>
          <w:lang w:eastAsia="zh-CN"/>
        </w:rPr>
        <w:t xml:space="preserve">NIKE, Inc. (2025) </w:t>
      </w:r>
      <w:r w:rsidRPr="00D421C6">
        <w:rPr>
          <w:i/>
          <w:iCs/>
          <w:lang w:eastAsia="zh-CN"/>
        </w:rPr>
        <w:t>Annual report 2025 (Form 10-K)</w:t>
      </w:r>
      <w:r w:rsidRPr="00D421C6">
        <w:rPr>
          <w:lang w:eastAsia="zh-CN"/>
        </w:rPr>
        <w:t xml:space="preserve">. Beaverton, OR: NIKE, Inc. Available at: </w:t>
      </w:r>
      <w:hyperlink r:id="rId22" w:history="1">
        <w:r w:rsidRPr="00D421C6">
          <w:rPr>
            <w:rStyle w:val="Hyperlink"/>
            <w:lang w:eastAsia="zh-CN"/>
          </w:rPr>
          <w:t>https://s1.q4cdn.com/806093406/files/doc_financials/2025/ar/Nike-Inc-2025_10K.pdf</w:t>
        </w:r>
      </w:hyperlink>
    </w:p>
    <w:p w14:paraId="14EC51C4" w14:textId="77777777" w:rsidR="00C21319" w:rsidRDefault="00C21319" w:rsidP="00526C7C">
      <w:pPr>
        <w:ind w:left="720" w:hanging="720"/>
        <w:rPr>
          <w:lang w:eastAsia="zh-CN"/>
        </w:rPr>
      </w:pPr>
      <w:r w:rsidRPr="00E70D0A">
        <w:rPr>
          <w:lang w:eastAsia="zh-CN"/>
        </w:rPr>
        <w:t>Statista (202</w:t>
      </w:r>
      <w:r>
        <w:rPr>
          <w:lang w:eastAsia="zh-CN"/>
        </w:rPr>
        <w:t>5</w:t>
      </w:r>
      <w:r w:rsidRPr="00E70D0A">
        <w:rPr>
          <w:lang w:eastAsia="zh-CN"/>
        </w:rPr>
        <w:t xml:space="preserve">) </w:t>
      </w:r>
      <w:r w:rsidRPr="00E70D0A">
        <w:rPr>
          <w:i/>
          <w:iCs/>
          <w:lang w:eastAsia="zh-CN"/>
        </w:rPr>
        <w:t>Nike’s revenue worldwide from the fiscal years 2016 to 2025, by sales channel</w:t>
      </w:r>
      <w:r w:rsidRPr="00E70D0A">
        <w:rPr>
          <w:lang w:eastAsia="zh-CN"/>
        </w:rPr>
        <w:t xml:space="preserve">. Statista. Available at: </w:t>
      </w:r>
      <w:hyperlink r:id="rId23" w:tgtFrame="_new" w:history="1">
        <w:r w:rsidRPr="00E70D0A">
          <w:rPr>
            <w:rStyle w:val="Hyperlink"/>
            <w:lang w:eastAsia="zh-CN"/>
          </w:rPr>
          <w:t>https://www.statista.com/statistics/888725/nikes-revenue-by-sales-channel-worldwide/?srsltid=AfmBOorCGIUH3S0s1UBSgv7N8i3fzmJf70bt3MXZHLVvZ9qrbZQdl4K5</w:t>
        </w:r>
      </w:hyperlink>
    </w:p>
    <w:p w14:paraId="490998EE" w14:textId="77777777" w:rsidR="00C21319" w:rsidRDefault="00C21319" w:rsidP="00526C7C">
      <w:pPr>
        <w:ind w:left="720" w:hanging="720"/>
        <w:rPr>
          <w:lang w:eastAsia="zh-CN"/>
        </w:rPr>
      </w:pPr>
      <w:r w:rsidRPr="00807D84">
        <w:rPr>
          <w:lang w:eastAsia="zh-CN"/>
        </w:rPr>
        <w:t xml:space="preserve">Statista (2026) </w:t>
      </w:r>
      <w:r w:rsidRPr="00807D84">
        <w:rPr>
          <w:i/>
          <w:iCs/>
          <w:lang w:eastAsia="zh-CN"/>
        </w:rPr>
        <w:t>Chinese sportswear brand Anta way ahead on DTC sales</w:t>
      </w:r>
      <w:r w:rsidRPr="00807D84">
        <w:rPr>
          <w:lang w:eastAsia="zh-CN"/>
        </w:rPr>
        <w:t xml:space="preserve">. Statista. Available at: </w:t>
      </w:r>
      <w:hyperlink r:id="rId24" w:tgtFrame="_new" w:history="1">
        <w:r w:rsidRPr="00807D84">
          <w:rPr>
            <w:rStyle w:val="Hyperlink"/>
            <w:lang w:eastAsia="zh-CN"/>
          </w:rPr>
          <w:t>https://www.statista.com/chart/24457/direct-to-consumer-sales-in-the-sportswear-industry/?srsltid=AfmBOor8Dhzdf7Ojcm_5DJZo8BDE8o7F-HoPe6RU7Qb3ILapqonbjqyx</w:t>
        </w:r>
      </w:hyperlink>
    </w:p>
    <w:p w14:paraId="103CBC4E" w14:textId="77777777" w:rsidR="00C21319" w:rsidRDefault="00C21319" w:rsidP="00526C7C">
      <w:pPr>
        <w:ind w:left="720" w:hanging="720"/>
        <w:rPr>
          <w:lang w:eastAsia="zh-CN"/>
        </w:rPr>
      </w:pPr>
      <w:r w:rsidRPr="00E70D0A">
        <w:rPr>
          <w:lang w:eastAsia="zh-CN"/>
        </w:rPr>
        <w:t>Strategic Management Insight (202</w:t>
      </w:r>
      <w:r>
        <w:rPr>
          <w:lang w:eastAsia="zh-CN"/>
        </w:rPr>
        <w:t>5</w:t>
      </w:r>
      <w:r w:rsidRPr="00E70D0A">
        <w:rPr>
          <w:lang w:eastAsia="zh-CN"/>
        </w:rPr>
        <w:t xml:space="preserve">) </w:t>
      </w:r>
      <w:r w:rsidRPr="00E70D0A">
        <w:rPr>
          <w:i/>
          <w:iCs/>
          <w:lang w:eastAsia="zh-CN"/>
        </w:rPr>
        <w:t>Porter’s three generic strategies</w:t>
      </w:r>
      <w:r w:rsidRPr="00E70D0A">
        <w:rPr>
          <w:lang w:eastAsia="zh-CN"/>
        </w:rPr>
        <w:t xml:space="preserve">. Available at: </w:t>
      </w:r>
      <w:hyperlink r:id="rId25" w:tgtFrame="_new" w:history="1">
        <w:r w:rsidRPr="00E70D0A">
          <w:rPr>
            <w:rStyle w:val="Hyperlink"/>
            <w:lang w:eastAsia="zh-CN"/>
          </w:rPr>
          <w:t>https://strategicmanagementinsight.com/tools/porters-three-generic-strategies</w:t>
        </w:r>
        <w:r w:rsidRPr="00E70D0A">
          <w:rPr>
            <w:rStyle w:val="Hyperlink"/>
            <w:lang w:eastAsia="zh-CN"/>
          </w:rPr>
          <w:t>/</w:t>
        </w:r>
      </w:hyperlink>
    </w:p>
    <w:p w14:paraId="0510A7A6" w14:textId="77777777" w:rsidR="00C21319" w:rsidRPr="0064762D" w:rsidRDefault="00C21319" w:rsidP="00526C7C">
      <w:pPr>
        <w:ind w:left="720" w:hanging="720"/>
        <w:rPr>
          <w:lang w:eastAsia="zh-CN"/>
        </w:rPr>
      </w:pPr>
      <w:r w:rsidRPr="00095CF6">
        <w:rPr>
          <w:lang w:eastAsia="zh-CN"/>
        </w:rPr>
        <w:t xml:space="preserve">Vizcaino, N. and Kettunen, E., </w:t>
      </w:r>
      <w:r>
        <w:rPr>
          <w:lang w:eastAsia="zh-CN"/>
        </w:rPr>
        <w:t>(</w:t>
      </w:r>
      <w:r w:rsidRPr="00095CF6">
        <w:rPr>
          <w:lang w:eastAsia="zh-CN"/>
        </w:rPr>
        <w:t>2023</w:t>
      </w:r>
      <w:r>
        <w:rPr>
          <w:lang w:eastAsia="zh-CN"/>
        </w:rPr>
        <w:t>)</w:t>
      </w:r>
      <w:r w:rsidRPr="00095CF6">
        <w:rPr>
          <w:lang w:eastAsia="zh-CN"/>
        </w:rPr>
        <w:t>. How do the Female Attitudes Towards Sustainable Branding Influence Purchase Intention in the Sportswear Industry: A qualitative study of women aged 20-50.</w:t>
      </w:r>
      <w:r>
        <w:rPr>
          <w:lang w:eastAsia="zh-CN"/>
        </w:rPr>
        <w:t xml:space="preserve"> </w:t>
      </w:r>
      <w:hyperlink r:id="rId26" w:history="1">
        <w:r w:rsidRPr="003C1ED0">
          <w:rPr>
            <w:rStyle w:val="Hyperlink"/>
            <w:lang w:eastAsia="zh-CN"/>
          </w:rPr>
          <w:t>https://www.diva-portal.org/smash/get/diva2:1763924/FULLTEXT01.pdf</w:t>
        </w:r>
      </w:hyperlink>
      <w:r>
        <w:rPr>
          <w:lang w:eastAsia="zh-CN"/>
        </w:rPr>
        <w:t xml:space="preserve"> </w:t>
      </w:r>
    </w:p>
    <w:p w14:paraId="6AFC3E54" w14:textId="77777777" w:rsidR="00C21319" w:rsidRDefault="00C21319" w:rsidP="00526C7C">
      <w:pPr>
        <w:ind w:left="720" w:hanging="720"/>
        <w:rPr>
          <w:lang w:eastAsia="zh-CN"/>
        </w:rPr>
      </w:pPr>
      <w:r w:rsidRPr="00095CF6">
        <w:rPr>
          <w:lang w:eastAsia="zh-CN"/>
        </w:rPr>
        <w:t xml:space="preserve">Wessel, L., Mosconi, E., </w:t>
      </w:r>
      <w:proofErr w:type="spellStart"/>
      <w:r w:rsidRPr="00095CF6">
        <w:rPr>
          <w:lang w:eastAsia="zh-CN"/>
        </w:rPr>
        <w:t>Indulska</w:t>
      </w:r>
      <w:proofErr w:type="spellEnd"/>
      <w:r w:rsidRPr="00095CF6">
        <w:rPr>
          <w:lang w:eastAsia="zh-CN"/>
        </w:rPr>
        <w:t xml:space="preserve">, M. and </w:t>
      </w:r>
      <w:proofErr w:type="spellStart"/>
      <w:r w:rsidRPr="00095CF6">
        <w:rPr>
          <w:lang w:eastAsia="zh-CN"/>
        </w:rPr>
        <w:t>Baiyere</w:t>
      </w:r>
      <w:proofErr w:type="spellEnd"/>
      <w:r w:rsidRPr="00095CF6">
        <w:rPr>
          <w:lang w:eastAsia="zh-CN"/>
        </w:rPr>
        <w:t xml:space="preserve">, A., </w:t>
      </w:r>
      <w:r>
        <w:rPr>
          <w:lang w:eastAsia="zh-CN"/>
        </w:rPr>
        <w:t>(</w:t>
      </w:r>
      <w:r w:rsidRPr="00095CF6">
        <w:rPr>
          <w:lang w:eastAsia="zh-CN"/>
        </w:rPr>
        <w:t>2025</w:t>
      </w:r>
      <w:r>
        <w:rPr>
          <w:lang w:eastAsia="zh-CN"/>
        </w:rPr>
        <w:t>)</w:t>
      </w:r>
      <w:r w:rsidRPr="00095CF6">
        <w:rPr>
          <w:lang w:eastAsia="zh-CN"/>
        </w:rPr>
        <w:t xml:space="preserve">. Digital transformation: Quo </w:t>
      </w:r>
      <w:proofErr w:type="spellStart"/>
      <w:proofErr w:type="gramStart"/>
      <w:r w:rsidRPr="00095CF6">
        <w:rPr>
          <w:lang w:eastAsia="zh-CN"/>
        </w:rPr>
        <w:t>vadit</w:t>
      </w:r>
      <w:proofErr w:type="spellEnd"/>
      <w:r w:rsidRPr="00095CF6">
        <w:rPr>
          <w:lang w:eastAsia="zh-CN"/>
        </w:rPr>
        <w:t>?.</w:t>
      </w:r>
      <w:proofErr w:type="gramEnd"/>
      <w:r w:rsidRPr="00095CF6">
        <w:rPr>
          <w:lang w:eastAsia="zh-CN"/>
        </w:rPr>
        <w:t> </w:t>
      </w:r>
      <w:r w:rsidRPr="00095CF6">
        <w:rPr>
          <w:i/>
          <w:iCs/>
          <w:lang w:eastAsia="zh-CN"/>
        </w:rPr>
        <w:t>Information Systems Journal</w:t>
      </w:r>
      <w:r w:rsidRPr="00095CF6">
        <w:rPr>
          <w:lang w:eastAsia="zh-CN"/>
        </w:rPr>
        <w:t>, </w:t>
      </w:r>
      <w:r w:rsidRPr="00095CF6">
        <w:rPr>
          <w:i/>
          <w:iCs/>
          <w:lang w:eastAsia="zh-CN"/>
        </w:rPr>
        <w:t>35</w:t>
      </w:r>
      <w:r w:rsidRPr="00095CF6">
        <w:rPr>
          <w:lang w:eastAsia="zh-CN"/>
        </w:rPr>
        <w:t>(4).</w:t>
      </w:r>
      <w:r>
        <w:rPr>
          <w:lang w:eastAsia="zh-CN"/>
        </w:rPr>
        <w:t xml:space="preserve"> </w:t>
      </w:r>
      <w:hyperlink r:id="rId27" w:history="1">
        <w:r w:rsidRPr="003C1ED0">
          <w:rPr>
            <w:rStyle w:val="Hyperlink"/>
            <w:lang w:eastAsia="zh-CN"/>
          </w:rPr>
          <w:t>https://onlinelibrary.wiley.com/doi/pdf/10.1111/isj.12578</w:t>
        </w:r>
      </w:hyperlink>
      <w:r>
        <w:rPr>
          <w:lang w:eastAsia="zh-CN"/>
        </w:rPr>
        <w:t xml:space="preserve"> </w:t>
      </w:r>
    </w:p>
    <w:p w14:paraId="69F0111A" w14:textId="77777777" w:rsidR="00C21319" w:rsidRDefault="00C21319" w:rsidP="00526C7C">
      <w:pPr>
        <w:ind w:left="720" w:hanging="720"/>
        <w:rPr>
          <w:lang w:eastAsia="zh-CN"/>
        </w:rPr>
      </w:pPr>
      <w:r w:rsidRPr="00095CF6">
        <w:rPr>
          <w:lang w:eastAsia="zh-CN"/>
        </w:rPr>
        <w:t xml:space="preserve">Zhang, Q., Chen, J.L., Li, G. and Jiao, X., </w:t>
      </w:r>
      <w:r>
        <w:rPr>
          <w:lang w:eastAsia="zh-CN"/>
        </w:rPr>
        <w:t>(</w:t>
      </w:r>
      <w:r w:rsidRPr="00095CF6">
        <w:rPr>
          <w:lang w:eastAsia="zh-CN"/>
        </w:rPr>
        <w:t>2025</w:t>
      </w:r>
      <w:r>
        <w:rPr>
          <w:lang w:eastAsia="zh-CN"/>
        </w:rPr>
        <w:t>)</w:t>
      </w:r>
      <w:r w:rsidRPr="00095CF6">
        <w:rPr>
          <w:lang w:eastAsia="zh-CN"/>
        </w:rPr>
        <w:t>. Digital transformation and tourism performance: A systematic literature review and research agenda. </w:t>
      </w:r>
      <w:r w:rsidRPr="00095CF6">
        <w:rPr>
          <w:i/>
          <w:iCs/>
          <w:lang w:eastAsia="zh-CN"/>
        </w:rPr>
        <w:t>Tourism Economics</w:t>
      </w:r>
      <w:r w:rsidRPr="00095CF6">
        <w:rPr>
          <w:lang w:eastAsia="zh-CN"/>
        </w:rPr>
        <w:t>, p.13548166251383186.</w:t>
      </w:r>
      <w:r>
        <w:rPr>
          <w:lang w:eastAsia="zh-CN"/>
        </w:rPr>
        <w:t xml:space="preserve"> </w:t>
      </w:r>
      <w:hyperlink r:id="rId28" w:history="1">
        <w:r w:rsidRPr="003C1ED0">
          <w:rPr>
            <w:rStyle w:val="Hyperlink"/>
            <w:lang w:eastAsia="zh-CN"/>
          </w:rPr>
          <w:t>https://journals.sagepub.com/doi/pdf/10.1177/13548166251383186</w:t>
        </w:r>
      </w:hyperlink>
      <w:r>
        <w:rPr>
          <w:lang w:eastAsia="zh-CN"/>
        </w:rPr>
        <w:t xml:space="preserve"> </w:t>
      </w:r>
    </w:p>
    <w:p w14:paraId="39CD0490" w14:textId="77777777" w:rsidR="00C21319" w:rsidRDefault="00C21319" w:rsidP="00526C7C">
      <w:pPr>
        <w:ind w:left="720" w:hanging="720"/>
      </w:pPr>
      <w:proofErr w:type="spellStart"/>
      <w:r w:rsidRPr="00630D4D">
        <w:lastRenderedPageBreak/>
        <w:t>Zindros</w:t>
      </w:r>
      <w:proofErr w:type="spellEnd"/>
      <w:r w:rsidRPr="00630D4D">
        <w:t xml:space="preserve">, Stelios </w:t>
      </w:r>
      <w:r>
        <w:t>and</w:t>
      </w:r>
      <w:r w:rsidRPr="00630D4D">
        <w:t xml:space="preserve"> Anagnostopoulou, Afroditi. (2024). Assessing the Macro-Environmental Factors Affecting Innovative Last-Mile Delivery Solutions. Transport and Telecommunication Journal. 25. 1-10. 10.2478/ttj-2024-0001.</w:t>
      </w:r>
      <w:r>
        <w:t xml:space="preserve"> </w:t>
      </w:r>
      <w:hyperlink r:id="rId29" w:history="1">
        <w:r w:rsidRPr="003C1ED0">
          <w:rPr>
            <w:rStyle w:val="Hyperlink"/>
          </w:rPr>
          <w:t>https://www.researchgate.net/publication/378276568_Assessing_the_Macro-Environmental_Factors_Affecting_Innovative_Last-Mile_Delivery_Solutions</w:t>
        </w:r>
      </w:hyperlink>
    </w:p>
    <w:p w14:paraId="29B8538C" w14:textId="77777777" w:rsidR="00526C7C" w:rsidRPr="00731AF5" w:rsidRDefault="00526C7C" w:rsidP="00731AF5">
      <w:pPr>
        <w:rPr>
          <w:lang w:eastAsia="zh-CN"/>
        </w:rPr>
      </w:pPr>
    </w:p>
    <w:sectPr w:rsidR="00526C7C" w:rsidRPr="00731AF5">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51FBB9" w14:textId="77777777" w:rsidR="00622197" w:rsidRDefault="00622197" w:rsidP="00F4799C">
      <w:r>
        <w:separator/>
      </w:r>
    </w:p>
  </w:endnote>
  <w:endnote w:type="continuationSeparator" w:id="0">
    <w:p w14:paraId="21EC67D0" w14:textId="77777777" w:rsidR="00622197" w:rsidRDefault="00622197" w:rsidP="00F479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3085836"/>
      <w:docPartObj>
        <w:docPartGallery w:val="Page Numbers (Bottom of Page)"/>
        <w:docPartUnique/>
      </w:docPartObj>
    </w:sdtPr>
    <w:sdtContent>
      <w:p w14:paraId="24DA9DDC" w14:textId="1AE6533E" w:rsidR="00F4799C" w:rsidRDefault="00F4799C">
        <w:pPr>
          <w:pStyle w:val="Footer"/>
        </w:pPr>
        <w:r>
          <w:fldChar w:fldCharType="begin"/>
        </w:r>
        <w:r>
          <w:instrText>PAGE   \* MERGEFORMAT</w:instrText>
        </w:r>
        <w:r>
          <w:fldChar w:fldCharType="separate"/>
        </w:r>
        <w:r>
          <w:t>2</w:t>
        </w:r>
        <w:r>
          <w:fldChar w:fldCharType="end"/>
        </w:r>
      </w:p>
    </w:sdtContent>
  </w:sdt>
  <w:p w14:paraId="573B818F" w14:textId="77777777" w:rsidR="00F4799C" w:rsidRDefault="00F479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FEECA3" w14:textId="77777777" w:rsidR="00622197" w:rsidRDefault="00622197" w:rsidP="00F4799C">
      <w:r>
        <w:separator/>
      </w:r>
    </w:p>
  </w:footnote>
  <w:footnote w:type="continuationSeparator" w:id="0">
    <w:p w14:paraId="1658ACCF" w14:textId="77777777" w:rsidR="00622197" w:rsidRDefault="00622197" w:rsidP="00F479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3599A"/>
    <w:multiLevelType w:val="multilevel"/>
    <w:tmpl w:val="539E27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DF7127"/>
    <w:multiLevelType w:val="hybridMultilevel"/>
    <w:tmpl w:val="08062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D435D6"/>
    <w:multiLevelType w:val="multilevel"/>
    <w:tmpl w:val="25AA66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195692"/>
    <w:multiLevelType w:val="multilevel"/>
    <w:tmpl w:val="DAB4B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5C480B"/>
    <w:multiLevelType w:val="multilevel"/>
    <w:tmpl w:val="0E9E2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8F3563C"/>
    <w:multiLevelType w:val="multilevel"/>
    <w:tmpl w:val="0824C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97432BD"/>
    <w:multiLevelType w:val="multilevel"/>
    <w:tmpl w:val="4FB8C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BA6136"/>
    <w:multiLevelType w:val="multilevel"/>
    <w:tmpl w:val="33525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BA1130"/>
    <w:multiLevelType w:val="multilevel"/>
    <w:tmpl w:val="28D4D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D5351B"/>
    <w:multiLevelType w:val="multilevel"/>
    <w:tmpl w:val="F0660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AF7EB6"/>
    <w:multiLevelType w:val="multilevel"/>
    <w:tmpl w:val="C3369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B113446"/>
    <w:multiLevelType w:val="multilevel"/>
    <w:tmpl w:val="4A8AE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D6C0C1E"/>
    <w:multiLevelType w:val="multilevel"/>
    <w:tmpl w:val="0E762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D6E76CD"/>
    <w:multiLevelType w:val="multilevel"/>
    <w:tmpl w:val="CBB6A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DDD1493"/>
    <w:multiLevelType w:val="multilevel"/>
    <w:tmpl w:val="E2661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527600">
    <w:abstractNumId w:val="11"/>
  </w:num>
  <w:num w:numId="2" w16cid:durableId="966158073">
    <w:abstractNumId w:val="15"/>
  </w:num>
  <w:num w:numId="3" w16cid:durableId="877475478">
    <w:abstractNumId w:val="32"/>
  </w:num>
  <w:num w:numId="4" w16cid:durableId="1865439684">
    <w:abstractNumId w:val="33"/>
  </w:num>
  <w:num w:numId="5" w16cid:durableId="296037109">
    <w:abstractNumId w:val="39"/>
  </w:num>
  <w:num w:numId="6" w16cid:durableId="1857650049">
    <w:abstractNumId w:val="17"/>
  </w:num>
  <w:num w:numId="7" w16cid:durableId="1295714836">
    <w:abstractNumId w:val="1"/>
  </w:num>
  <w:num w:numId="8" w16cid:durableId="1104423434">
    <w:abstractNumId w:val="22"/>
  </w:num>
  <w:num w:numId="9" w16cid:durableId="785196607">
    <w:abstractNumId w:val="41"/>
  </w:num>
  <w:num w:numId="10" w16cid:durableId="1805731991">
    <w:abstractNumId w:val="40"/>
  </w:num>
  <w:num w:numId="11" w16cid:durableId="508838147">
    <w:abstractNumId w:val="5"/>
  </w:num>
  <w:num w:numId="12" w16cid:durableId="477303180">
    <w:abstractNumId w:val="28"/>
  </w:num>
  <w:num w:numId="13" w16cid:durableId="1043408458">
    <w:abstractNumId w:val="26"/>
  </w:num>
  <w:num w:numId="14" w16cid:durableId="453400969">
    <w:abstractNumId w:val="2"/>
  </w:num>
  <w:num w:numId="15" w16cid:durableId="1524706236">
    <w:abstractNumId w:val="42"/>
  </w:num>
  <w:num w:numId="16" w16cid:durableId="1474368624">
    <w:abstractNumId w:val="19"/>
  </w:num>
  <w:num w:numId="17" w16cid:durableId="1082482068">
    <w:abstractNumId w:val="16"/>
  </w:num>
  <w:num w:numId="18" w16cid:durableId="356203542">
    <w:abstractNumId w:val="30"/>
  </w:num>
  <w:num w:numId="19" w16cid:durableId="207844578">
    <w:abstractNumId w:val="8"/>
  </w:num>
  <w:num w:numId="20" w16cid:durableId="1398867505">
    <w:abstractNumId w:val="31"/>
  </w:num>
  <w:num w:numId="21" w16cid:durableId="780687429">
    <w:abstractNumId w:val="14"/>
  </w:num>
  <w:num w:numId="22" w16cid:durableId="1166899088">
    <w:abstractNumId w:val="13"/>
  </w:num>
  <w:num w:numId="23" w16cid:durableId="455174308">
    <w:abstractNumId w:val="9"/>
  </w:num>
  <w:num w:numId="24" w16cid:durableId="603149070">
    <w:abstractNumId w:val="12"/>
  </w:num>
  <w:num w:numId="25" w16cid:durableId="390542811">
    <w:abstractNumId w:val="3"/>
  </w:num>
  <w:num w:numId="26" w16cid:durableId="562985041">
    <w:abstractNumId w:val="20"/>
  </w:num>
  <w:num w:numId="27" w16cid:durableId="590622514">
    <w:abstractNumId w:val="6"/>
  </w:num>
  <w:num w:numId="28" w16cid:durableId="413863525">
    <w:abstractNumId w:val="21"/>
  </w:num>
  <w:num w:numId="29" w16cid:durableId="643969134">
    <w:abstractNumId w:val="34"/>
  </w:num>
  <w:num w:numId="30" w16cid:durableId="1021586810">
    <w:abstractNumId w:val="18"/>
  </w:num>
  <w:num w:numId="31" w16cid:durableId="1633365764">
    <w:abstractNumId w:val="29"/>
  </w:num>
  <w:num w:numId="32" w16cid:durableId="159463930">
    <w:abstractNumId w:val="37"/>
  </w:num>
  <w:num w:numId="33" w16cid:durableId="485391099">
    <w:abstractNumId w:val="23"/>
  </w:num>
  <w:num w:numId="34" w16cid:durableId="780539743">
    <w:abstractNumId w:val="27"/>
  </w:num>
  <w:num w:numId="35" w16cid:durableId="425730874">
    <w:abstractNumId w:val="25"/>
  </w:num>
  <w:num w:numId="36" w16cid:durableId="357195548">
    <w:abstractNumId w:val="10"/>
  </w:num>
  <w:num w:numId="37" w16cid:durableId="1140222020">
    <w:abstractNumId w:val="38"/>
  </w:num>
  <w:num w:numId="38" w16cid:durableId="1341738302">
    <w:abstractNumId w:val="24"/>
  </w:num>
  <w:num w:numId="39" w16cid:durableId="960771239">
    <w:abstractNumId w:val="0"/>
  </w:num>
  <w:num w:numId="40" w16cid:durableId="1341397419">
    <w:abstractNumId w:val="7"/>
  </w:num>
  <w:num w:numId="41" w16cid:durableId="1455295184">
    <w:abstractNumId w:val="35"/>
  </w:num>
  <w:num w:numId="42" w16cid:durableId="535849291">
    <w:abstractNumId w:val="36"/>
  </w:num>
  <w:num w:numId="43" w16cid:durableId="165190166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95CF6"/>
    <w:rsid w:val="001003E8"/>
    <w:rsid w:val="00130E44"/>
    <w:rsid w:val="00136289"/>
    <w:rsid w:val="00193E38"/>
    <w:rsid w:val="001A7662"/>
    <w:rsid w:val="002D68FB"/>
    <w:rsid w:val="00325A3E"/>
    <w:rsid w:val="003660EA"/>
    <w:rsid w:val="0044555D"/>
    <w:rsid w:val="004D0BDC"/>
    <w:rsid w:val="004E1F6A"/>
    <w:rsid w:val="004F2663"/>
    <w:rsid w:val="00526C7C"/>
    <w:rsid w:val="005751D7"/>
    <w:rsid w:val="005A570C"/>
    <w:rsid w:val="00617CF1"/>
    <w:rsid w:val="00622197"/>
    <w:rsid w:val="00630D4D"/>
    <w:rsid w:val="00646406"/>
    <w:rsid w:val="0064762D"/>
    <w:rsid w:val="00675F02"/>
    <w:rsid w:val="006B7BEF"/>
    <w:rsid w:val="00731AF5"/>
    <w:rsid w:val="0073681E"/>
    <w:rsid w:val="00782358"/>
    <w:rsid w:val="0078259E"/>
    <w:rsid w:val="00807D84"/>
    <w:rsid w:val="008166D7"/>
    <w:rsid w:val="00862731"/>
    <w:rsid w:val="00882C7D"/>
    <w:rsid w:val="009E58AF"/>
    <w:rsid w:val="00AF0B9F"/>
    <w:rsid w:val="00B1133A"/>
    <w:rsid w:val="00C21319"/>
    <w:rsid w:val="00C57D61"/>
    <w:rsid w:val="00CB01F0"/>
    <w:rsid w:val="00D421C6"/>
    <w:rsid w:val="00D63E24"/>
    <w:rsid w:val="00DE5D5B"/>
    <w:rsid w:val="00E21E02"/>
    <w:rsid w:val="00E70D0A"/>
    <w:rsid w:val="00EC6978"/>
    <w:rsid w:val="00F479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E24"/>
    <w:pPr>
      <w:spacing w:before="120" w:after="120" w:line="360" w:lineRule="auto"/>
      <w:jc w:val="both"/>
    </w:pPr>
    <w:rPr>
      <w:rFonts w:ascii="Arial" w:hAnsi="Arial"/>
    </w:rPr>
  </w:style>
  <w:style w:type="paragraph" w:styleId="Heading1">
    <w:name w:val="heading 1"/>
    <w:basedOn w:val="Normal"/>
    <w:next w:val="Normal"/>
    <w:link w:val="Heading1Char"/>
    <w:uiPriority w:val="9"/>
    <w:qFormat/>
    <w:rsid w:val="00AF0B9F"/>
    <w:pPr>
      <w:keepNext/>
      <w:keepLines/>
      <w:shd w:val="clear" w:color="auto" w:fill="83CAEB" w:themeFill="accent1" w:themeFillTint="66"/>
      <w:jc w:val="center"/>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D63E24"/>
    <w:pPr>
      <w:keepNext/>
      <w:keepLines/>
      <w:jc w:val="left"/>
      <w:outlineLvl w:val="1"/>
    </w:pPr>
    <w:rPr>
      <w:rFonts w:eastAsiaTheme="majorEastAsia" w:cstheme="majorBidi"/>
      <w:b/>
      <w:i/>
      <w:color w:val="000000" w:themeColor="text1"/>
      <w:sz w:val="28"/>
      <w:szCs w:val="32"/>
    </w:rPr>
  </w:style>
  <w:style w:type="paragraph" w:styleId="Heading3">
    <w:name w:val="heading 3"/>
    <w:basedOn w:val="Normal"/>
    <w:next w:val="Normal"/>
    <w:link w:val="Heading3Char"/>
    <w:uiPriority w:val="9"/>
    <w:unhideWhenUsed/>
    <w:qFormat/>
    <w:rsid w:val="00D63E24"/>
    <w:pPr>
      <w:keepNext/>
      <w:keepLines/>
      <w:jc w:val="left"/>
      <w:outlineLvl w:val="2"/>
    </w:pPr>
    <w:rPr>
      <w:rFonts w:eastAsiaTheme="majorEastAsia" w:cstheme="majorBidi"/>
      <w:b/>
      <w:i/>
      <w:color w:val="000000" w:themeColor="text1"/>
      <w:szCs w:val="28"/>
      <w:u w:val="single"/>
    </w:rPr>
  </w:style>
  <w:style w:type="paragraph" w:styleId="Heading4">
    <w:name w:val="heading 4"/>
    <w:basedOn w:val="Normal"/>
    <w:next w:val="Normal"/>
    <w:link w:val="Heading4Char"/>
    <w:uiPriority w:val="9"/>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0B9F"/>
    <w:rPr>
      <w:rFonts w:ascii="Arial" w:eastAsiaTheme="majorEastAsia" w:hAnsi="Arial" w:cstheme="majorBidi"/>
      <w:b/>
      <w:color w:val="000000" w:themeColor="text1"/>
      <w:sz w:val="32"/>
      <w:szCs w:val="40"/>
      <w:shd w:val="clear" w:color="auto" w:fill="83CAEB" w:themeFill="accent1" w:themeFillTint="66"/>
    </w:rPr>
  </w:style>
  <w:style w:type="character" w:customStyle="1" w:styleId="Heading2Char">
    <w:name w:val="Heading 2 Char"/>
    <w:basedOn w:val="DefaultParagraphFont"/>
    <w:link w:val="Heading2"/>
    <w:uiPriority w:val="9"/>
    <w:rsid w:val="00D63E24"/>
    <w:rPr>
      <w:rFonts w:ascii="Arial" w:eastAsiaTheme="majorEastAsia" w:hAnsi="Arial" w:cstheme="majorBidi"/>
      <w:b/>
      <w:i/>
      <w:color w:val="000000" w:themeColor="text1"/>
      <w:sz w:val="28"/>
      <w:szCs w:val="32"/>
    </w:rPr>
  </w:style>
  <w:style w:type="character" w:customStyle="1" w:styleId="Heading3Char">
    <w:name w:val="Heading 3 Char"/>
    <w:basedOn w:val="DefaultParagraphFont"/>
    <w:link w:val="Heading3"/>
    <w:uiPriority w:val="9"/>
    <w:rsid w:val="00D63E24"/>
    <w:rPr>
      <w:rFonts w:ascii="Arial" w:eastAsiaTheme="majorEastAsia" w:hAnsi="Arial" w:cstheme="majorBidi"/>
      <w:b/>
      <w:i/>
      <w:color w:val="000000" w:themeColor="text1"/>
      <w:szCs w:val="28"/>
      <w:u w:val="single"/>
    </w:rPr>
  </w:style>
  <w:style w:type="character" w:customStyle="1" w:styleId="Heading4Char">
    <w:name w:val="Heading 4 Char"/>
    <w:basedOn w:val="DefaultParagraphFont"/>
    <w:link w:val="Heading4"/>
    <w:uiPriority w:val="9"/>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val="0"/>
      <w:bCs/>
      <w:kern w:val="0"/>
      <w:sz w:val="28"/>
      <w:szCs w:val="28"/>
      <w:lang w:val="en-US"/>
      <w14:ligatures w14:val="none"/>
    </w:rPr>
  </w:style>
  <w:style w:type="paragraph" w:styleId="TOC1">
    <w:name w:val="toc 1"/>
    <w:basedOn w:val="Normal"/>
    <w:next w:val="Normal"/>
    <w:autoRedefine/>
    <w:uiPriority w:val="39"/>
    <w:unhideWhenUsed/>
    <w:rsid w:val="00CB01F0"/>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paragraph" w:styleId="Header">
    <w:name w:val="header"/>
    <w:basedOn w:val="Normal"/>
    <w:link w:val="HeaderChar"/>
    <w:uiPriority w:val="99"/>
    <w:unhideWhenUsed/>
    <w:rsid w:val="00F4799C"/>
    <w:pPr>
      <w:tabs>
        <w:tab w:val="center" w:pos="4513"/>
        <w:tab w:val="right" w:pos="9026"/>
      </w:tabs>
    </w:pPr>
  </w:style>
  <w:style w:type="character" w:customStyle="1" w:styleId="HeaderChar">
    <w:name w:val="Header Char"/>
    <w:basedOn w:val="DefaultParagraphFont"/>
    <w:link w:val="Header"/>
    <w:uiPriority w:val="99"/>
    <w:rsid w:val="00F4799C"/>
  </w:style>
  <w:style w:type="paragraph" w:styleId="Footer">
    <w:name w:val="footer"/>
    <w:basedOn w:val="Normal"/>
    <w:link w:val="FooterChar"/>
    <w:uiPriority w:val="99"/>
    <w:unhideWhenUsed/>
    <w:rsid w:val="00F4799C"/>
    <w:pPr>
      <w:tabs>
        <w:tab w:val="center" w:pos="4513"/>
        <w:tab w:val="right" w:pos="9026"/>
      </w:tabs>
    </w:pPr>
  </w:style>
  <w:style w:type="character" w:customStyle="1" w:styleId="FooterChar">
    <w:name w:val="Footer Char"/>
    <w:basedOn w:val="DefaultParagraphFont"/>
    <w:link w:val="Footer"/>
    <w:uiPriority w:val="99"/>
    <w:rsid w:val="00F4799C"/>
  </w:style>
  <w:style w:type="paragraph" w:styleId="Caption">
    <w:name w:val="caption"/>
    <w:basedOn w:val="Normal"/>
    <w:next w:val="Normal"/>
    <w:uiPriority w:val="35"/>
    <w:unhideWhenUsed/>
    <w:qFormat/>
    <w:rsid w:val="00862731"/>
    <w:pPr>
      <w:spacing w:before="0"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862731"/>
    <w:rPr>
      <w:color w:val="605E5C"/>
      <w:shd w:val="clear" w:color="auto" w:fill="E1DFDD"/>
    </w:rPr>
  </w:style>
  <w:style w:type="character" w:styleId="FollowedHyperlink">
    <w:name w:val="FollowedHyperlink"/>
    <w:basedOn w:val="DefaultParagraphFont"/>
    <w:uiPriority w:val="99"/>
    <w:semiHidden/>
    <w:unhideWhenUsed/>
    <w:rsid w:val="004E1F6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papers.ssrn.com/sol3/Delivery.cfm?abstractid=5217847" TargetMode="External"/><Relationship Id="rId26" Type="http://schemas.openxmlformats.org/officeDocument/2006/relationships/hyperlink" Target="https://www.diva-portal.org/smash/get/diva2:1763924/FULLTEXT01.pdf" TargetMode="External"/><Relationship Id="rId3" Type="http://schemas.openxmlformats.org/officeDocument/2006/relationships/styles" Target="styles.xml"/><Relationship Id="rId21" Type="http://schemas.openxmlformats.org/officeDocument/2006/relationships/hyperlink" Target="https://www.mckinsey.com/~/media/mckinsey/industries/retail/our%20insights/sporting%20goods%20industry%20trends/2025/sporting-goods-2025-the-new-balancing-act-turning-uncertainty-into-opportunity-v3.pdf"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ir.anta.com/en/news_detail.php?id=144313&amp;utm_source=chatgpt.com" TargetMode="External"/><Relationship Id="rId25" Type="http://schemas.openxmlformats.org/officeDocument/2006/relationships/hyperlink" Target="https://strategicmanagementinsight.com/tools/porters-three-generic-strategies/" TargetMode="External"/><Relationship Id="rId2" Type="http://schemas.openxmlformats.org/officeDocument/2006/relationships/numbering" Target="numbering.xml"/><Relationship Id="rId16" Type="http://schemas.openxmlformats.org/officeDocument/2006/relationships/hyperlink" Target="https://www1.hkexnews.hk/listedco/listconews/sehk/2025/0331/2025033100649.pdf" TargetMode="External"/><Relationship Id="rId20" Type="http://schemas.openxmlformats.org/officeDocument/2006/relationships/hyperlink" Target="https://market.us/report/sportswear-market/?utm_source=chatgpt.com" TargetMode="External"/><Relationship Id="rId29" Type="http://schemas.openxmlformats.org/officeDocument/2006/relationships/hyperlink" Target="https://www.researchgate.net/publication/378276568_Assessing_the_Macro-Environmental_Factors_Affecting_Innovative_Last-Mile_Delivery_Solu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chart/24457/direct-to-consumer-sales-in-the-sportswear-industry/?srsltid=AfmBOor8Dhzdf7Ojcm_5DJZo8BDE8o7F-HoPe6RU7Qb3ILapqonbjqyx"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statista.com/statistics/888725/nikes-revenue-by-sales-channel-worldwide/?srsltid=AfmBOorCGIUH3S0s1UBSgv7N8i3fzmJf70bt3MXZHLVvZ9qrbZQdl4K5" TargetMode="External"/><Relationship Id="rId28" Type="http://schemas.openxmlformats.org/officeDocument/2006/relationships/hyperlink" Target="https://journals.sagepub.com/doi/pdf/10.1177/13548166251383186" TargetMode="External"/><Relationship Id="rId10" Type="http://schemas.openxmlformats.org/officeDocument/2006/relationships/image" Target="media/image3.jpeg"/><Relationship Id="rId19" Type="http://schemas.openxmlformats.org/officeDocument/2006/relationships/hyperlink" Target="https://www.cipd.org/en/knowledge/factsheets/pestle-analysis-factsheet/"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s1.q4cdn.com/806093406/files/doc_financials/2025/ar/Nike-Inc-2025_10K.pdf" TargetMode="External"/><Relationship Id="rId27" Type="http://schemas.openxmlformats.org/officeDocument/2006/relationships/hyperlink" Target="https://onlinelibrary.wiley.com/doi/pdf/10.1111/isj.12578"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3345</Words>
  <Characters>20941</Characters>
  <Application>Microsoft Office Word</Application>
  <DocSecurity>0</DocSecurity>
  <Lines>722</Lines>
  <Paragraphs>527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User</cp:lastModifiedBy>
  <cp:revision>2</cp:revision>
  <dcterms:created xsi:type="dcterms:W3CDTF">2026-03-24T22:14:00Z</dcterms:created>
  <dcterms:modified xsi:type="dcterms:W3CDTF">2026-03-24T22:14:00Z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2026-03-24T22:14:12Z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545b7eca-ec8e-4c6b-8551-38bac7675953</vt:lpwstr>
  </property>
  <property fmtid="{D5CDD505-2E9C-101B-9397-08002B2CF9AE}" pid="7" name="MSIP_Label_defa4170-0d19-0005-0004-bc88714345d2_ActionId">
    <vt:lpwstr>c9c75614-fcb2-4933-b198-4196662fb63b</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