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49457315"/>
        <w:docPartObj>
          <w:docPartGallery w:val="Cover Pages"/>
          <w:docPartUnique/>
        </w:docPartObj>
      </w:sdtPr>
      <w:sdtEndPr>
        <w:rPr>
          <w:color w:val="auto"/>
        </w:rPr>
      </w:sdtEndPr>
      <w:sdtContent>
        <w:p w14:paraId="40658300" w14:textId="543298F9" w:rsidR="005F0ED6" w:rsidRPr="00222D22" w:rsidRDefault="005F0ED6">
          <w:pPr>
            <w:pStyle w:val="NoSpacing"/>
            <w:spacing w:before="1540" w:after="240"/>
            <w:jc w:val="center"/>
            <w:rPr>
              <w:color w:val="156082" w:themeColor="accent1"/>
              <w:lang w:val="en-GB"/>
            </w:rPr>
          </w:pPr>
          <w:r w:rsidRPr="00222D22">
            <w:rPr>
              <w:noProof/>
              <w:color w:val="156082" w:themeColor="accent1"/>
              <w:lang w:val="en-GB"/>
            </w:rPr>
            <w:drawing>
              <wp:inline distT="0" distB="0" distL="0" distR="0" wp14:anchorId="42B5475B" wp14:editId="3F7F543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kern w:val="2"/>
              <w:sz w:val="72"/>
              <w:szCs w:val="72"/>
              <w:lang w:val="en-GB"/>
              <w14:ligatures w14:val="standardContextual"/>
            </w:rPr>
            <w:alias w:val="Title"/>
            <w:tag w:val=""/>
            <w:id w:val="1735040861"/>
            <w:placeholder>
              <w:docPart w:val="45FE2569A1854E2295FAE1285AEE76DB"/>
            </w:placeholder>
            <w:dataBinding w:prefixMappings="xmlns:ns0='http://purl.org/dc/elements/1.1/' xmlns:ns1='http://schemas.openxmlformats.org/package/2006/metadata/core-properties' " w:xpath="/ns1:coreProperties[1]/ns0:title[1]" w:storeItemID="{6C3C8BC8-F283-45AE-878A-BAB7291924A1}"/>
            <w:text/>
          </w:sdtPr>
          <w:sdtEndPr/>
          <w:sdtContent>
            <w:p w14:paraId="115F64DB" w14:textId="74E6C083" w:rsidR="005F0ED6" w:rsidRPr="00222D22" w:rsidRDefault="005F0ED6" w:rsidP="005F0ED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lang w:val="en-GB"/>
                </w:rPr>
              </w:pPr>
              <w:r w:rsidRPr="00222D22">
                <w:rPr>
                  <w:rFonts w:asciiTheme="majorHAnsi" w:eastAsiaTheme="majorEastAsia" w:hAnsiTheme="majorHAnsi" w:cstheme="majorBidi"/>
                  <w:caps/>
                  <w:color w:val="156082" w:themeColor="accent1"/>
                  <w:kern w:val="2"/>
                  <w:sz w:val="72"/>
                  <w:szCs w:val="72"/>
                  <w:lang w:val="en-GB"/>
                  <w14:ligatures w14:val="standardContextual"/>
                </w:rPr>
                <w:t>Shift in Hotel Strategies Post-COVID with Reduced Business Commuting</w:t>
              </w:r>
            </w:p>
          </w:sdtContent>
        </w:sdt>
        <w:p w14:paraId="13ACCE79" w14:textId="34FCF20A" w:rsidR="005F0ED6" w:rsidRPr="00222D22" w:rsidRDefault="005F0ED6">
          <w:pPr>
            <w:pStyle w:val="NoSpacing"/>
            <w:jc w:val="center"/>
            <w:rPr>
              <w:color w:val="156082" w:themeColor="accent1"/>
              <w:sz w:val="28"/>
              <w:szCs w:val="28"/>
              <w:lang w:val="en-GB"/>
            </w:rPr>
          </w:pPr>
        </w:p>
        <w:p w14:paraId="6779B22D" w14:textId="6A2E2E77" w:rsidR="005F0ED6" w:rsidRPr="00222D22" w:rsidRDefault="005F0ED6">
          <w:pPr>
            <w:pStyle w:val="NoSpacing"/>
            <w:spacing w:before="480"/>
            <w:jc w:val="center"/>
            <w:rPr>
              <w:color w:val="156082" w:themeColor="accent1"/>
              <w:lang w:val="en-GB"/>
            </w:rPr>
          </w:pPr>
          <w:r w:rsidRPr="00222D22">
            <w:rPr>
              <w:noProof/>
              <w:color w:val="156082" w:themeColor="accent1"/>
              <w:lang w:val="en-GB"/>
            </w:rPr>
            <w:drawing>
              <wp:inline distT="0" distB="0" distL="0" distR="0" wp14:anchorId="2B4AB459" wp14:editId="31AAFEA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9B6A2F" w14:textId="77777777" w:rsidR="002F5757" w:rsidRDefault="005F0ED6" w:rsidP="00B1506C">
          <w:r w:rsidRPr="00222D22">
            <w:rPr>
              <w:noProof/>
              <w:color w:val="156082" w:themeColor="accent1"/>
            </w:rPr>
            <mc:AlternateContent>
              <mc:Choice Requires="wps">
                <w:drawing>
                  <wp:anchor distT="0" distB="0" distL="114300" distR="114300" simplePos="0" relativeHeight="251659264" behindDoc="0" locked="0" layoutInCell="1" allowOverlap="1" wp14:anchorId="12CD7F05" wp14:editId="72BF7123">
                    <wp:simplePos x="0" y="0"/>
                    <wp:positionH relativeFrom="margin">
                      <wp:posOffset>77822</wp:posOffset>
                    </wp:positionH>
                    <wp:positionV relativeFrom="page">
                      <wp:posOffset>7427717</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11E724" w14:textId="77777777"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Student name: Sonia-Lorena Mocanu</w:t>
                                </w:r>
                              </w:p>
                              <w:p w14:paraId="37DD2E0A" w14:textId="77777777"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Student number: 2233341</w:t>
                                </w:r>
                              </w:p>
                              <w:p w14:paraId="3B3C06EE" w14:textId="71CA2E89"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Module: Contemporary Themes in the Hotel and Hospitality Sector.</w:t>
                                </w:r>
                              </w:p>
                              <w:p w14:paraId="08E2B560" w14:textId="5C5E15F6"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Module code: BMIH6001</w:t>
                                </w:r>
                              </w:p>
                              <w:p w14:paraId="7C54E057" w14:textId="58196CAC"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 xml:space="preserve">Tutor: Natalie Brailsford </w:t>
                                </w:r>
                              </w:p>
                              <w:p w14:paraId="35F0F6E4" w14:textId="7664AD2A" w:rsidR="005F0ED6" w:rsidRPr="00222D22" w:rsidRDefault="005F0ED6">
                                <w:pPr>
                                  <w:pStyle w:val="NoSpacing"/>
                                  <w:jc w:val="center"/>
                                  <w:rPr>
                                    <w:color w:val="156082"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2CD7F05" id="_x0000_t202" coordsize="21600,21600" o:spt="202" path="m,l,21600r21600,l21600,xe">
                    <v:stroke joinstyle="miter"/>
                    <v:path gradientshapeok="t" o:connecttype="rect"/>
                  </v:shapetype>
                  <v:shape id="Text Box 146" o:spid="_x0000_s1026" type="#_x0000_t202" style="position:absolute;margin-left:6.15pt;margin-top:584.8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" filled="f" stroked="f" strokeweight=".5pt">
                    <v:textbox style="mso-fit-shape-to-text:t" inset="0,0,0,0">
                      <w:txbxContent>
                        <w:p w14:paraId="4611E724" w14:textId="77777777"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Student name: Sonia-Lorena Mocanu</w:t>
                          </w:r>
                        </w:p>
                        <w:p w14:paraId="37DD2E0A" w14:textId="77777777"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Student number: 2233341</w:t>
                          </w:r>
                        </w:p>
                        <w:p w14:paraId="3B3C06EE" w14:textId="71CA2E89"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Module: Contemporary Themes in the Hotel and Hospitality Sector.</w:t>
                          </w:r>
                        </w:p>
                        <w:p w14:paraId="08E2B560" w14:textId="5C5E15F6"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Module code: BMIH6001</w:t>
                          </w:r>
                        </w:p>
                        <w:p w14:paraId="7C54E057" w14:textId="58196CAC" w:rsidR="005F0ED6" w:rsidRPr="00222D22" w:rsidRDefault="005F0ED6" w:rsidP="005F0ED6">
                          <w:pPr>
                            <w:pStyle w:val="NoSpacing"/>
                            <w:jc w:val="center"/>
                            <w:rPr>
                              <w:color w:val="156082" w:themeColor="accent1"/>
                              <w:sz w:val="36"/>
                              <w:szCs w:val="36"/>
                              <w:lang w:val="en-GB"/>
                            </w:rPr>
                          </w:pPr>
                          <w:r w:rsidRPr="00222D22">
                            <w:rPr>
                              <w:color w:val="156082" w:themeColor="accent1"/>
                              <w:sz w:val="36"/>
                              <w:szCs w:val="36"/>
                              <w:lang w:val="en-GB"/>
                            </w:rPr>
                            <w:t xml:space="preserve">Tutor: Natalie Brailsford </w:t>
                          </w:r>
                        </w:p>
                        <w:p w14:paraId="35F0F6E4" w14:textId="7664AD2A" w:rsidR="005F0ED6" w:rsidRPr="00222D22" w:rsidRDefault="005F0ED6">
                          <w:pPr>
                            <w:pStyle w:val="NoSpacing"/>
                            <w:jc w:val="center"/>
                            <w:rPr>
                              <w:color w:val="156082" w:themeColor="accent1"/>
                              <w:lang w:val="en-GB"/>
                            </w:rPr>
                          </w:pPr>
                        </w:p>
                      </w:txbxContent>
                    </v:textbox>
                    <w10:wrap anchorx="margin" anchory="page"/>
                  </v:shape>
                </w:pict>
              </mc:Fallback>
            </mc:AlternateContent>
          </w:r>
          <w:r w:rsidRPr="00222D22">
            <w:br w:type="page"/>
          </w:r>
        </w:p>
      </w:sdtContent>
    </w:sdt>
    <w:p w14:paraId="7E1EBA22" w14:textId="77777777" w:rsidR="00CF6B5A" w:rsidRPr="00CF6B5A" w:rsidRDefault="00CF6B5A" w:rsidP="00CF6B5A">
      <w:pPr>
        <w:spacing w:line="360" w:lineRule="auto"/>
        <w:jc w:val="both"/>
        <w:rPr>
          <w:rFonts w:ascii="Arial" w:hAnsi="Arial" w:cs="Arial"/>
          <w:b/>
          <w:bCs/>
          <w:sz w:val="40"/>
          <w:szCs w:val="40"/>
        </w:rPr>
      </w:pPr>
      <w:bookmarkStart w:id="0" w:name="_Toc210575082"/>
      <w:r w:rsidRPr="00CF6B5A">
        <w:rPr>
          <w:rFonts w:ascii="Arial" w:hAnsi="Arial" w:cs="Arial"/>
          <w:b/>
          <w:bCs/>
          <w:sz w:val="40"/>
          <w:szCs w:val="40"/>
        </w:rPr>
        <w:lastRenderedPageBreak/>
        <w:t>AI Tools</w:t>
      </w:r>
      <w:bookmarkEnd w:id="0"/>
      <w:r w:rsidRPr="00CF6B5A">
        <w:rPr>
          <w:rFonts w:ascii="Arial" w:hAnsi="Arial" w:cs="Arial"/>
          <w:b/>
          <w:bCs/>
          <w:sz w:val="40"/>
          <w:szCs w:val="40"/>
        </w:rPr>
        <w:t xml:space="preserve"> </w:t>
      </w:r>
    </w:p>
    <w:p w14:paraId="7BD7B81D" w14:textId="77777777" w:rsidR="00CF6B5A" w:rsidRPr="00877C16" w:rsidRDefault="00CF6B5A" w:rsidP="00CF6B5A">
      <w:pPr>
        <w:spacing w:line="360" w:lineRule="auto"/>
        <w:jc w:val="both"/>
        <w:rPr>
          <w:rFonts w:ascii="Arial" w:hAnsi="Arial" w:cs="Arial"/>
        </w:rPr>
      </w:pPr>
    </w:p>
    <w:p w14:paraId="1DBF23DA" w14:textId="77777777" w:rsidR="00CF6B5A" w:rsidRPr="00877C16" w:rsidRDefault="00CF6B5A" w:rsidP="00CF6B5A">
      <w:pPr>
        <w:spacing w:line="360" w:lineRule="auto"/>
        <w:jc w:val="both"/>
        <w:rPr>
          <w:rFonts w:ascii="Arial" w:hAnsi="Arial" w:cs="Arial"/>
        </w:rPr>
      </w:pPr>
      <w:r w:rsidRPr="00877C16">
        <w:rPr>
          <w:rFonts w:ascii="Arial" w:hAnsi="Arial" w:cs="Arial"/>
        </w:rPr>
        <w:t>I acknowledge the use of Grammarly (https://www.grammarly.com/) to check my work using the prompt(s):</w:t>
      </w:r>
    </w:p>
    <w:p w14:paraId="48CF2AA7" w14:textId="77777777" w:rsidR="00CF6B5A" w:rsidRPr="00877C16" w:rsidRDefault="00CF6B5A" w:rsidP="00CF6B5A">
      <w:pPr>
        <w:spacing w:line="360" w:lineRule="auto"/>
        <w:jc w:val="both"/>
        <w:rPr>
          <w:rFonts w:ascii="Arial" w:hAnsi="Arial" w:cs="Arial"/>
        </w:rPr>
      </w:pPr>
      <w:r w:rsidRPr="00877C16">
        <w:rPr>
          <w:rFonts w:ascii="Arial" w:hAnsi="Arial" w:cs="Arial"/>
        </w:rPr>
        <w:t>1. Please check the following text for readability, grammar and syntax.</w:t>
      </w:r>
    </w:p>
    <w:p w14:paraId="4EA414F2" w14:textId="77777777" w:rsidR="00CF6B5A" w:rsidRPr="00877C16" w:rsidRDefault="00CF6B5A" w:rsidP="00CF6B5A">
      <w:pPr>
        <w:spacing w:line="360" w:lineRule="auto"/>
        <w:jc w:val="both"/>
        <w:rPr>
          <w:rFonts w:ascii="Arial" w:hAnsi="Arial" w:cs="Arial"/>
        </w:rPr>
      </w:pPr>
      <w:r w:rsidRPr="00877C16">
        <w:rPr>
          <w:rFonts w:ascii="Arial" w:hAnsi="Arial" w:cs="Arial"/>
        </w:rPr>
        <w:t>I confirm that I have not presented any AI-generated text as my work. I confirm I</w:t>
      </w:r>
    </w:p>
    <w:p w14:paraId="07C45E4F" w14:textId="7325FEF3" w:rsidR="00CF6B5A" w:rsidRPr="00877C16" w:rsidRDefault="00CF6B5A" w:rsidP="00CF6B5A">
      <w:pPr>
        <w:spacing w:line="360" w:lineRule="auto"/>
        <w:jc w:val="both"/>
        <w:rPr>
          <w:rFonts w:ascii="Arial" w:hAnsi="Arial" w:cs="Arial"/>
        </w:rPr>
      </w:pPr>
      <w:r w:rsidRPr="00877C16">
        <w:rPr>
          <w:rFonts w:ascii="Arial" w:hAnsi="Arial" w:cs="Arial"/>
        </w:rPr>
        <w:t>have copies of my drafts, notes, and other resources I used before and after the use of</w:t>
      </w:r>
    </w:p>
    <w:p w14:paraId="1362C0BD" w14:textId="13B2B31B" w:rsidR="00CF6B5A" w:rsidRPr="00877C16" w:rsidRDefault="00CF6B5A" w:rsidP="00CF6B5A">
      <w:pPr>
        <w:spacing w:line="360" w:lineRule="auto"/>
        <w:jc w:val="both"/>
        <w:rPr>
          <w:rFonts w:ascii="Arial" w:hAnsi="Arial" w:cs="Arial"/>
        </w:rPr>
      </w:pPr>
      <w:r w:rsidRPr="00877C16">
        <w:rPr>
          <w:rFonts w:ascii="Arial" w:hAnsi="Arial" w:cs="Arial"/>
        </w:rPr>
        <w:t>AI tools</w:t>
      </w:r>
      <w:r w:rsidR="0094522E">
        <w:rPr>
          <w:rFonts w:ascii="Arial" w:hAnsi="Arial" w:cs="Arial"/>
        </w:rPr>
        <w:t>,</w:t>
      </w:r>
      <w:r w:rsidRPr="00877C16">
        <w:rPr>
          <w:rFonts w:ascii="Arial" w:hAnsi="Arial" w:cs="Arial"/>
        </w:rPr>
        <w:t xml:space="preserve"> which I may be asked to provide in evidence.</w:t>
      </w:r>
    </w:p>
    <w:p w14:paraId="4E88C370" w14:textId="77777777" w:rsidR="00CF6B5A" w:rsidRPr="00877C16" w:rsidRDefault="00CF6B5A" w:rsidP="00CF6B5A">
      <w:pPr>
        <w:spacing w:line="360" w:lineRule="auto"/>
        <w:jc w:val="both"/>
        <w:rPr>
          <w:rFonts w:ascii="Arial" w:hAnsi="Arial" w:cs="Arial"/>
        </w:rPr>
      </w:pPr>
    </w:p>
    <w:p w14:paraId="6FBE830A" w14:textId="77777777" w:rsidR="00CF6B5A" w:rsidRPr="00877C16" w:rsidRDefault="00CF6B5A" w:rsidP="00CF6B5A">
      <w:pPr>
        <w:spacing w:line="360" w:lineRule="auto"/>
        <w:jc w:val="both"/>
        <w:rPr>
          <w:rFonts w:ascii="Arial" w:hAnsi="Arial" w:cs="Arial"/>
        </w:rPr>
      </w:pPr>
      <w:r w:rsidRPr="00877C16">
        <w:rPr>
          <w:rFonts w:ascii="Arial" w:hAnsi="Arial" w:cs="Arial"/>
        </w:rPr>
        <w:t>I acknowledge the use of Google and Google Scholar to support my research.</w:t>
      </w:r>
    </w:p>
    <w:p w14:paraId="7AB6114A" w14:textId="77777777" w:rsidR="00CF6B5A" w:rsidRPr="00877C16" w:rsidRDefault="00CF6B5A" w:rsidP="00CF6B5A">
      <w:pPr>
        <w:spacing w:line="360" w:lineRule="auto"/>
        <w:jc w:val="both"/>
        <w:rPr>
          <w:rFonts w:ascii="Arial" w:hAnsi="Arial" w:cs="Arial"/>
        </w:rPr>
      </w:pPr>
      <w:r w:rsidRPr="00877C16">
        <w:rPr>
          <w:rFonts w:ascii="Arial" w:hAnsi="Arial" w:cs="Arial"/>
        </w:rPr>
        <w:t>I confirm that I have not presented any AI-generated text as my work. I confirm I</w:t>
      </w:r>
    </w:p>
    <w:p w14:paraId="35C22B0F" w14:textId="498DCBFB" w:rsidR="00CF6B5A" w:rsidRPr="00877C16" w:rsidRDefault="00CF6B5A" w:rsidP="00CF6B5A">
      <w:pPr>
        <w:spacing w:line="360" w:lineRule="auto"/>
        <w:jc w:val="both"/>
        <w:rPr>
          <w:rFonts w:ascii="Arial" w:hAnsi="Arial" w:cs="Arial"/>
        </w:rPr>
      </w:pPr>
      <w:r w:rsidRPr="00877C16">
        <w:rPr>
          <w:rFonts w:ascii="Arial" w:hAnsi="Arial" w:cs="Arial"/>
        </w:rPr>
        <w:t>have copies of my drafts, notes, and other resources I used before and after the use of</w:t>
      </w:r>
    </w:p>
    <w:p w14:paraId="74FABCEE" w14:textId="77777777" w:rsidR="00CF6B5A" w:rsidRPr="00877C16" w:rsidRDefault="00CF6B5A" w:rsidP="00CF6B5A">
      <w:pPr>
        <w:spacing w:line="360" w:lineRule="auto"/>
        <w:jc w:val="both"/>
        <w:rPr>
          <w:rFonts w:ascii="Arial" w:hAnsi="Arial" w:cs="Arial"/>
        </w:rPr>
      </w:pPr>
      <w:r w:rsidRPr="00877C16">
        <w:rPr>
          <w:rFonts w:ascii="Arial" w:hAnsi="Arial" w:cs="Arial"/>
        </w:rPr>
        <w:t>AI tools which I may be asked to provide in evidence.</w:t>
      </w:r>
    </w:p>
    <w:p w14:paraId="522EF889" w14:textId="77777777" w:rsidR="00CF6B5A" w:rsidRDefault="00CF6B5A" w:rsidP="00CF6B5A">
      <w:pPr>
        <w:spacing w:line="360" w:lineRule="auto"/>
        <w:jc w:val="both"/>
      </w:pPr>
    </w:p>
    <w:p w14:paraId="6F018632" w14:textId="77777777" w:rsidR="00CF6B5A" w:rsidRDefault="00CF6B5A" w:rsidP="00CF6B5A"/>
    <w:p w14:paraId="02E6F941" w14:textId="77777777" w:rsidR="00CF6B5A" w:rsidRDefault="00CF6B5A" w:rsidP="00B1506C">
      <w:pPr>
        <w:rPr>
          <w:rFonts w:ascii="Arial" w:hAnsi="Arial" w:cs="Arial"/>
        </w:rPr>
      </w:pPr>
    </w:p>
    <w:p w14:paraId="5B0C3373" w14:textId="77777777" w:rsidR="00CF6B5A" w:rsidRDefault="00CF6B5A">
      <w:pPr>
        <w:rPr>
          <w:rFonts w:ascii="Arial" w:hAnsi="Arial" w:cs="Arial"/>
        </w:rPr>
      </w:pPr>
      <w:r>
        <w:rPr>
          <w:rFonts w:ascii="Arial" w:hAnsi="Arial" w:cs="Arial"/>
        </w:rPr>
        <w:br w:type="page"/>
      </w:r>
    </w:p>
    <w:p w14:paraId="3FC5D2AE" w14:textId="71F4E543" w:rsidR="0067178D" w:rsidRDefault="00BC6E59" w:rsidP="00B1506C">
      <w:pPr>
        <w:rPr>
          <w:rFonts w:ascii="Arial" w:hAnsi="Arial" w:cs="Arial"/>
        </w:rPr>
      </w:pPr>
      <w:r w:rsidRPr="00222D22">
        <w:rPr>
          <w:rFonts w:ascii="Arial" w:hAnsi="Arial" w:cs="Arial"/>
        </w:rPr>
        <w:lastRenderedPageBreak/>
        <w:t>Abstract</w:t>
      </w:r>
    </w:p>
    <w:p w14:paraId="22F3F507" w14:textId="77777777" w:rsidR="002F5757" w:rsidRPr="002F5757" w:rsidRDefault="002F5757" w:rsidP="00B1506C"/>
    <w:p w14:paraId="61A986AB" w14:textId="002E3E09" w:rsidR="00222D22" w:rsidRPr="00222D22" w:rsidRDefault="00222D22" w:rsidP="00222D22">
      <w:pPr>
        <w:spacing w:line="360" w:lineRule="auto"/>
        <w:jc w:val="both"/>
        <w:rPr>
          <w:rFonts w:ascii="Arial" w:hAnsi="Arial" w:cs="Arial"/>
        </w:rPr>
      </w:pPr>
      <w:r w:rsidRPr="00222D22">
        <w:rPr>
          <w:rFonts w:ascii="Arial" w:hAnsi="Arial" w:cs="Arial"/>
        </w:rPr>
        <w:t xml:space="preserve">The COVID-19 pandemic triggered one of the most </w:t>
      </w:r>
      <w:r w:rsidR="000F7CB6" w:rsidRPr="00222D22">
        <w:rPr>
          <w:rFonts w:ascii="Arial" w:hAnsi="Arial" w:cs="Arial"/>
        </w:rPr>
        <w:t>intense</w:t>
      </w:r>
      <w:r w:rsidRPr="00222D22">
        <w:rPr>
          <w:rFonts w:ascii="Arial" w:hAnsi="Arial" w:cs="Arial"/>
        </w:rPr>
        <w:t xml:space="preserve"> disruptions in the history of the hospitality sector, leading to the structural decline of business commuting and permanently altering hotel demand patterns. Prior to 2020, corporate, conference, and MICE travellers generated consistent high-yield revenue for hotels; however, lockdowns, travel restrictions and the rapid adoption of virtual communication technologies significantly reduced the need for physical business travel. As business travel spending remains below pre-pandemic levels, hotels have been compelled to fundamentally re-evaluate their value propositions and strategic priorities.</w:t>
      </w:r>
    </w:p>
    <w:p w14:paraId="3FA02D81" w14:textId="77777777" w:rsidR="00222D22" w:rsidRPr="00222D22" w:rsidRDefault="00222D22" w:rsidP="00222D22">
      <w:pPr>
        <w:spacing w:line="360" w:lineRule="auto"/>
        <w:jc w:val="both"/>
        <w:rPr>
          <w:rFonts w:ascii="Arial" w:hAnsi="Arial" w:cs="Arial"/>
        </w:rPr>
      </w:pPr>
      <w:r w:rsidRPr="00222D22">
        <w:rPr>
          <w:rFonts w:ascii="Arial" w:hAnsi="Arial" w:cs="Arial"/>
        </w:rPr>
        <w:t>This paper critically examines how the decline in business commuting has driven a strategic shift in the hotel industry, moving away from corporate dependence towards diversification, innovation and resilience. Using a qualitative secondary research approach, the study synthesises academic literature (2020–2024), industry reports, and corporate case examples. Thematic analysis, combined with strategic frameworks (SWOT, PEST, 5 Whys, and STAR), is applied to evaluate how hotels have responded to changing market dynamics.</w:t>
      </w:r>
    </w:p>
    <w:p w14:paraId="7EFE9077" w14:textId="77777777" w:rsidR="00222D22" w:rsidRPr="00222D22" w:rsidRDefault="00222D22" w:rsidP="00222D22">
      <w:pPr>
        <w:spacing w:line="360" w:lineRule="auto"/>
        <w:jc w:val="both"/>
        <w:rPr>
          <w:rFonts w:ascii="Arial" w:hAnsi="Arial" w:cs="Arial"/>
        </w:rPr>
      </w:pPr>
      <w:r w:rsidRPr="00222D22">
        <w:rPr>
          <w:rFonts w:ascii="Arial" w:hAnsi="Arial" w:cs="Arial"/>
        </w:rPr>
        <w:t>Findings reveal that hotels increasingly target leisure, domestic, hybrid, and extended-stay travellers, supported by innovations such as co-working spaces, subscription models, and flexible stay packages. Moreover, digital transformation, including contactless services, AI-driven personalisation and revenue management, has accelerated. Sustainability and stakeholder value have become core strategic pillars, while business model innovation enables hotels to reconfigure assets and generate new revenue streams.</w:t>
      </w:r>
    </w:p>
    <w:p w14:paraId="28ECEE9F" w14:textId="0B940C28" w:rsidR="00702120" w:rsidRPr="002F5757" w:rsidRDefault="00222D22" w:rsidP="00897A75">
      <w:pPr>
        <w:spacing w:line="360" w:lineRule="auto"/>
        <w:jc w:val="both"/>
        <w:rPr>
          <w:rFonts w:ascii="Arial" w:hAnsi="Arial" w:cs="Arial"/>
        </w:rPr>
      </w:pPr>
      <w:r w:rsidRPr="00222D22">
        <w:rPr>
          <w:rFonts w:ascii="Arial" w:hAnsi="Arial" w:cs="Arial"/>
        </w:rPr>
        <w:t>However, challenges persist, including operational complexity, digital inequality, labour shortages and the risk of superficial sustainability practices. This paper argues that the post-COVID shift is not a temporary recovery tactic, but a permanent restructuring of value creation in hospitality, requiring long-term innovation, flexibility and strategic foresight.</w:t>
      </w:r>
    </w:p>
    <w:p w14:paraId="06385B45" w14:textId="77777777" w:rsidR="00702120" w:rsidRPr="00222D22" w:rsidRDefault="00702120" w:rsidP="00897A75">
      <w:pPr>
        <w:spacing w:line="360" w:lineRule="auto"/>
        <w:jc w:val="both"/>
        <w:rPr>
          <w:rFonts w:ascii="Arial" w:hAnsi="Arial" w:cs="Arial"/>
        </w:rPr>
      </w:pPr>
    </w:p>
    <w:p w14:paraId="56DB8FBB" w14:textId="1FB86FDC" w:rsidR="00B1506C" w:rsidRPr="00222D22" w:rsidRDefault="00B1506C" w:rsidP="00912378">
      <w:pPr>
        <w:spacing w:line="360" w:lineRule="auto"/>
        <w:jc w:val="both"/>
        <w:rPr>
          <w:rFonts w:ascii="Arial" w:hAnsi="Arial" w:cs="Arial"/>
          <w:b/>
          <w:bCs/>
        </w:rPr>
      </w:pPr>
      <w:r w:rsidRPr="00222D22">
        <w:rPr>
          <w:rFonts w:ascii="Arial" w:hAnsi="Arial" w:cs="Arial"/>
          <w:b/>
          <w:bCs/>
        </w:rPr>
        <w:lastRenderedPageBreak/>
        <w:t>Introduction</w:t>
      </w:r>
    </w:p>
    <w:p w14:paraId="2A35B08A" w14:textId="1A62AE2A" w:rsidR="00760048" w:rsidRPr="00222D22" w:rsidRDefault="00ED71FC" w:rsidP="00912378">
      <w:pPr>
        <w:spacing w:line="360" w:lineRule="auto"/>
        <w:jc w:val="both"/>
        <w:rPr>
          <w:rFonts w:ascii="Arial" w:hAnsi="Arial" w:cs="Arial"/>
        </w:rPr>
      </w:pPr>
      <w:r w:rsidRPr="00222D22">
        <w:rPr>
          <w:rFonts w:ascii="Arial" w:hAnsi="Arial" w:cs="Arial"/>
        </w:rPr>
        <w:t xml:space="preserve">The COVID-19 pandemic marked one of the most disruptive </w:t>
      </w:r>
      <w:r w:rsidR="00A97F72" w:rsidRPr="00222D22">
        <w:rPr>
          <w:rFonts w:ascii="Arial" w:hAnsi="Arial" w:cs="Arial"/>
        </w:rPr>
        <w:t>outcomes</w:t>
      </w:r>
      <w:r w:rsidRPr="00222D22">
        <w:rPr>
          <w:rFonts w:ascii="Arial" w:hAnsi="Arial" w:cs="Arial"/>
        </w:rPr>
        <w:t xml:space="preserve"> in modern history, reshaping the structure and demand of the global travel and hospitality industry. Prior to 2020, business travel accounted for a substantial portion of hotel revenue, particularly in the corporate, conference, and MICE segments (Gössling and Schweiggart, 2022). However, widespread lockdowns, border closures, and the </w:t>
      </w:r>
      <w:r w:rsidR="007167E1" w:rsidRPr="00222D22">
        <w:rPr>
          <w:rFonts w:ascii="Arial" w:hAnsi="Arial" w:cs="Arial"/>
        </w:rPr>
        <w:t>prompt</w:t>
      </w:r>
      <w:r w:rsidRPr="00222D22">
        <w:rPr>
          <w:rFonts w:ascii="Arial" w:hAnsi="Arial" w:cs="Arial"/>
        </w:rPr>
        <w:t xml:space="preserve"> adoption of virtual communication technologies such as Zoom and Microsoft Teams drastically reduced the need for physical business commuting (Mbatha, 2023</w:t>
      </w:r>
      <w:r w:rsidR="000466AD">
        <w:rPr>
          <w:rFonts w:ascii="Arial" w:hAnsi="Arial" w:cs="Arial"/>
        </w:rPr>
        <w:t xml:space="preserve">). </w:t>
      </w:r>
      <w:r w:rsidR="000466AD" w:rsidRPr="000466AD">
        <w:rPr>
          <w:rFonts w:ascii="Arial" w:hAnsi="Arial" w:cs="Arial"/>
        </w:rPr>
        <w:t>According to the Global Business Travel Association (GBTA, 2023), global business travel expenditure fell by nearly 52% in 2020, representing losses of over USD 750 billion. While recovery began in 2022, spending remains 20–30% below pre-pandemic levels, indicating a structural rather than temporary change in travel behaviour (WTTC, 2023)</w:t>
      </w:r>
    </w:p>
    <w:p w14:paraId="38B3704D" w14:textId="77777777" w:rsidR="007B1D92" w:rsidRPr="00222D22" w:rsidRDefault="007B1D92" w:rsidP="00912378">
      <w:pPr>
        <w:spacing w:line="360" w:lineRule="auto"/>
        <w:jc w:val="both"/>
        <w:rPr>
          <w:rFonts w:ascii="Arial" w:hAnsi="Arial" w:cs="Arial"/>
        </w:rPr>
      </w:pPr>
    </w:p>
    <w:p w14:paraId="3EF974BB" w14:textId="5FD7265C" w:rsidR="00327851" w:rsidRPr="00222D22" w:rsidRDefault="00327851" w:rsidP="00912378">
      <w:pPr>
        <w:spacing w:line="360" w:lineRule="auto"/>
        <w:jc w:val="both"/>
        <w:rPr>
          <w:rFonts w:ascii="Arial" w:hAnsi="Arial" w:cs="Arial"/>
        </w:rPr>
      </w:pPr>
      <w:r w:rsidRPr="00222D22">
        <w:rPr>
          <w:rFonts w:ascii="Arial" w:hAnsi="Arial" w:cs="Arial"/>
        </w:rPr>
        <w:t xml:space="preserve">This shift has compelled hotels to </w:t>
      </w:r>
      <w:r w:rsidR="00896268" w:rsidRPr="00222D22">
        <w:rPr>
          <w:rFonts w:ascii="Arial" w:hAnsi="Arial" w:cs="Arial"/>
        </w:rPr>
        <w:t>change</w:t>
      </w:r>
      <w:r w:rsidRPr="00222D22">
        <w:rPr>
          <w:rFonts w:ascii="Arial" w:hAnsi="Arial" w:cs="Arial"/>
        </w:rPr>
        <w:t xml:space="preserve"> their business models and value propositions. In line with the </w:t>
      </w:r>
      <w:r w:rsidRPr="00222D22">
        <w:rPr>
          <w:rFonts w:ascii="Arial" w:hAnsi="Arial" w:cs="Arial"/>
          <w:i/>
          <w:iCs/>
        </w:rPr>
        <w:t>Stakeholder Shift</w:t>
      </w:r>
      <w:r w:rsidRPr="00222D22">
        <w:rPr>
          <w:rFonts w:ascii="Arial" w:hAnsi="Arial" w:cs="Arial"/>
        </w:rPr>
        <w:t xml:space="preserve"> concept discussed by Pijl, Wijnen and Lokitz (2021), hospitality firms have begun </w:t>
      </w:r>
      <w:r w:rsidR="005540FD" w:rsidRPr="00222D22">
        <w:rPr>
          <w:rFonts w:ascii="Arial" w:hAnsi="Arial" w:cs="Arial"/>
        </w:rPr>
        <w:t>building</w:t>
      </w:r>
      <w:r w:rsidRPr="00222D22">
        <w:rPr>
          <w:rFonts w:ascii="Arial" w:hAnsi="Arial" w:cs="Arial"/>
        </w:rPr>
        <w:t xml:space="preserve"> value not only for shareholders but also for employees, customers, and local communities. Consequently, many hotel chains now focus on leisure, extended stays, and hybrid travellers, blending comfort, wellness, and workspace flexibility. The emergence of “bleisure” and remote-work segments has given rise to new service innovations such as Marriott’s Work Anywhere and Accor’s Wojo co-working model (Marriott International, 2020; Accor, 20</w:t>
      </w:r>
      <w:r w:rsidR="001F29EB" w:rsidRPr="00222D22">
        <w:rPr>
          <w:rFonts w:ascii="Arial" w:hAnsi="Arial" w:cs="Arial"/>
        </w:rPr>
        <w:t>19</w:t>
      </w:r>
      <w:r w:rsidRPr="00222D22">
        <w:rPr>
          <w:rFonts w:ascii="Arial" w:hAnsi="Arial" w:cs="Arial"/>
        </w:rPr>
        <w:t xml:space="preserve">). These transformations signify a permanent redefinition of the hotel industry’s strategic priorities in the post-COVID </w:t>
      </w:r>
      <w:r w:rsidR="005540FD" w:rsidRPr="00222D22">
        <w:rPr>
          <w:rFonts w:ascii="Arial" w:hAnsi="Arial" w:cs="Arial"/>
        </w:rPr>
        <w:t>period</w:t>
      </w:r>
      <w:r w:rsidRPr="00222D22">
        <w:rPr>
          <w:rFonts w:ascii="Arial" w:hAnsi="Arial" w:cs="Arial"/>
        </w:rPr>
        <w:t>.</w:t>
      </w:r>
      <w:r w:rsidR="008A4922" w:rsidRPr="00222D22">
        <w:rPr>
          <w:rFonts w:ascii="Arial" w:hAnsi="Arial" w:cs="Arial"/>
        </w:rPr>
        <w:t xml:space="preserve"> This paper critically examines how the decline in business commuting has driven a fundamental strategic shift in the hotel sector, analysing the effectiveness, limitations and long-term implications of post-pandemic hotel strategies</w:t>
      </w:r>
      <w:r w:rsidR="0094522E">
        <w:rPr>
          <w:rFonts w:ascii="Arial" w:hAnsi="Arial" w:cs="Arial"/>
        </w:rPr>
        <w:t>.</w:t>
      </w:r>
    </w:p>
    <w:p w14:paraId="5218DBAE" w14:textId="1B5AD51C" w:rsidR="0080560C" w:rsidRPr="00222D22" w:rsidRDefault="0080560C" w:rsidP="00912378">
      <w:pPr>
        <w:spacing w:line="360" w:lineRule="auto"/>
        <w:jc w:val="both"/>
        <w:rPr>
          <w:rFonts w:ascii="Arial" w:hAnsi="Arial" w:cs="Arial"/>
          <w:b/>
          <w:bCs/>
        </w:rPr>
      </w:pPr>
      <w:r w:rsidRPr="00222D22">
        <w:rPr>
          <w:rFonts w:ascii="Arial" w:hAnsi="Arial" w:cs="Arial"/>
          <w:b/>
          <w:bCs/>
        </w:rPr>
        <w:t xml:space="preserve"> Literature Review</w:t>
      </w:r>
    </w:p>
    <w:p w14:paraId="1EB08D70" w14:textId="67D30C42" w:rsidR="0080560C" w:rsidRPr="00222D22" w:rsidRDefault="0080560C" w:rsidP="00912378">
      <w:pPr>
        <w:spacing w:line="360" w:lineRule="auto"/>
        <w:jc w:val="both"/>
        <w:rPr>
          <w:rFonts w:ascii="Arial" w:hAnsi="Arial" w:cs="Arial"/>
          <w:u w:val="single"/>
        </w:rPr>
      </w:pPr>
      <w:r w:rsidRPr="00222D22">
        <w:rPr>
          <w:rFonts w:ascii="Arial" w:hAnsi="Arial" w:cs="Arial"/>
          <w:u w:val="single"/>
        </w:rPr>
        <w:t>Decline of Business Travel and MICE</w:t>
      </w:r>
    </w:p>
    <w:p w14:paraId="762EB263" w14:textId="5BE790E1" w:rsidR="0080560C" w:rsidRPr="00222D22" w:rsidRDefault="0080560C" w:rsidP="00912378">
      <w:pPr>
        <w:spacing w:line="360" w:lineRule="auto"/>
        <w:jc w:val="both"/>
        <w:rPr>
          <w:rFonts w:ascii="Arial" w:hAnsi="Arial" w:cs="Arial"/>
        </w:rPr>
      </w:pPr>
      <w:r w:rsidRPr="00222D22">
        <w:rPr>
          <w:rFonts w:ascii="Arial" w:hAnsi="Arial" w:cs="Arial"/>
        </w:rPr>
        <w:t xml:space="preserve">Prior to the COVID-19 pandemic, business travel and the MICE (Meetings, Incentives, Conferences, Exhibitions) sector were fundamental to the financial stability of hotels in </w:t>
      </w:r>
      <w:r w:rsidRPr="00222D22">
        <w:rPr>
          <w:rFonts w:ascii="Arial" w:hAnsi="Arial" w:cs="Arial"/>
        </w:rPr>
        <w:lastRenderedPageBreak/>
        <w:t xml:space="preserve">Europe and the UK, providing high-yield demand and mitigating seasonal fluctuations (Gössling, Scott and Hall, 2021). However, the pandemic generated an unprecedented collapse in corporate mobility, with international restrictions, health concerns, and event cancellations paralysing the sector (Zenker and Kock, 2020). While some initially perceived this shock as temporary, an emerging body of literature argues </w:t>
      </w:r>
      <w:r w:rsidR="0094522E">
        <w:rPr>
          <w:rFonts w:ascii="Arial" w:hAnsi="Arial" w:cs="Arial"/>
        </w:rPr>
        <w:t xml:space="preserve">that </w:t>
      </w:r>
      <w:r w:rsidRPr="00222D22">
        <w:rPr>
          <w:rFonts w:ascii="Arial" w:hAnsi="Arial" w:cs="Arial"/>
        </w:rPr>
        <w:t>it has triggered a structural transformation in travel behaviour. Ioannides and Gyimóthy (2020) contend that the pandemic accelerated the institutionalisation of remote work, prompting firms to reassess the necessity of in-person meetings. Similarly, Gursoy and Chi (2020) note that virtual technologies have become embedded in corporate operations, replacing routine travel with digital communication as a cost-effective and time-efficient alternative.</w:t>
      </w:r>
    </w:p>
    <w:p w14:paraId="787E82B6" w14:textId="723B45BD" w:rsidR="0080560C" w:rsidRPr="00222D22" w:rsidRDefault="0080560C" w:rsidP="00912378">
      <w:pPr>
        <w:spacing w:line="360" w:lineRule="auto"/>
        <w:jc w:val="both"/>
        <w:rPr>
          <w:rFonts w:ascii="Arial" w:hAnsi="Arial" w:cs="Arial"/>
        </w:rPr>
      </w:pPr>
      <w:r w:rsidRPr="00222D22">
        <w:rPr>
          <w:rFonts w:ascii="Arial" w:hAnsi="Arial" w:cs="Arial"/>
        </w:rPr>
        <w:t>Critically, the MICE segment has experienced a slower and more uneven recovery than leisure travel. Baum and Hai (202</w:t>
      </w:r>
      <w:r w:rsidR="00CE6535" w:rsidRPr="00222D22">
        <w:rPr>
          <w:rFonts w:ascii="Arial" w:hAnsi="Arial" w:cs="Arial"/>
        </w:rPr>
        <w:t>0</w:t>
      </w:r>
      <w:r w:rsidRPr="00222D22">
        <w:rPr>
          <w:rFonts w:ascii="Arial" w:hAnsi="Arial" w:cs="Arial"/>
        </w:rPr>
        <w:t xml:space="preserve">) argue that uncertainty, reduced corporate budgets, and ongoing risk aversion have undermined large-scale event planning. Furthermore, Gössling, Scott and Hall (2021) highlight that hybrid events—combining limited physical attendance with virtual participation—have become the norm, fundamentally reducing hotel revenue derived from conferences. Consequently, business travel is not </w:t>
      </w:r>
      <w:r w:rsidR="000758E8" w:rsidRPr="00222D22">
        <w:rPr>
          <w:rFonts w:ascii="Arial" w:hAnsi="Arial" w:cs="Arial"/>
        </w:rPr>
        <w:t>presumed</w:t>
      </w:r>
      <w:r w:rsidRPr="00222D22">
        <w:rPr>
          <w:rFonts w:ascii="Arial" w:hAnsi="Arial" w:cs="Arial"/>
        </w:rPr>
        <w:t xml:space="preserve"> to return to pre-pandemic levels; instead, it is becoming more selective, purpose-driven, and relationship-oriented (Zenker and Kock, 2020). This structural decline in corporate demand has forced hotels to rethink their target markets, operational models, and long-term strategic positioning.</w:t>
      </w:r>
    </w:p>
    <w:p w14:paraId="7238DDDC" w14:textId="06CCF65E" w:rsidR="0080560C" w:rsidRPr="00222D22" w:rsidRDefault="0080560C" w:rsidP="00912378">
      <w:pPr>
        <w:spacing w:line="360" w:lineRule="auto"/>
        <w:jc w:val="both"/>
        <w:rPr>
          <w:rFonts w:ascii="Arial" w:hAnsi="Arial" w:cs="Arial"/>
          <w:u w:val="single"/>
        </w:rPr>
      </w:pPr>
      <w:r w:rsidRPr="00222D22">
        <w:rPr>
          <w:rFonts w:ascii="Arial" w:hAnsi="Arial" w:cs="Arial"/>
        </w:rPr>
        <w:t xml:space="preserve"> </w:t>
      </w:r>
      <w:r w:rsidRPr="00222D22">
        <w:rPr>
          <w:rFonts w:ascii="Arial" w:hAnsi="Arial" w:cs="Arial"/>
          <w:u w:val="single"/>
        </w:rPr>
        <w:t>Shift in Demand: Leisure, Domestic and Hybrid Travellers</w:t>
      </w:r>
    </w:p>
    <w:p w14:paraId="0AA44519" w14:textId="77777777" w:rsidR="0080560C" w:rsidRPr="00222D22" w:rsidRDefault="0080560C" w:rsidP="00912378">
      <w:pPr>
        <w:spacing w:line="360" w:lineRule="auto"/>
        <w:jc w:val="both"/>
        <w:rPr>
          <w:rFonts w:ascii="Arial" w:hAnsi="Arial" w:cs="Arial"/>
        </w:rPr>
      </w:pPr>
      <w:r w:rsidRPr="00222D22">
        <w:rPr>
          <w:rFonts w:ascii="Arial" w:hAnsi="Arial" w:cs="Arial"/>
        </w:rPr>
        <w:t>As business travel declined, leisure and domestic segments became the primary drivers of hotel recovery in Europe. Jacobsen, Tømmervik and Gjerald (2023) demonstrate how “enforced holidaying-at-home” stimulated significant growth in staycations, particularly in the UK and Northern Europe, where restrictions on international mobility persisted. This shift is rooted in a broader change in consumer preferences. Lin, Liu and Tsai (2021) found that post-pandemic travellers actively seek wellbeing, relaxation, and locally authentic experiences, indicating a retreat from mass tourism and large-scale events. Such behavioural shifts suggest a reorientation of value from efficiency and status—as seen in corporate travel—to personal fulfilment and experiential depth.</w:t>
      </w:r>
    </w:p>
    <w:p w14:paraId="5AFB9371" w14:textId="77777777" w:rsidR="0080560C" w:rsidRPr="00222D22" w:rsidRDefault="0080560C" w:rsidP="00912378">
      <w:pPr>
        <w:spacing w:line="360" w:lineRule="auto"/>
        <w:jc w:val="both"/>
        <w:rPr>
          <w:rFonts w:ascii="Arial" w:hAnsi="Arial" w:cs="Arial"/>
        </w:rPr>
      </w:pPr>
      <w:r w:rsidRPr="00222D22">
        <w:rPr>
          <w:rFonts w:ascii="Arial" w:hAnsi="Arial" w:cs="Arial"/>
        </w:rPr>
        <w:lastRenderedPageBreak/>
        <w:t>However, the most significant transformation is the emergence of hybrid forms of travel. The boundary between work and leisure has been blurred by remote and flexible working arrangements. Škare, Soriano and Porada-Rochoń (2021) argue that hybrid lifestyles have altered tourism consumption patterns, enabling multi-purpose trips. Batala and Slevitch (2024) provide empirical evidence that “bleisure” travellers now represent a distinct segment with specific needs: flexibility, workspace availability, and high-quality service environments. Furthermore, Hermann and Paris (2020) highlight the rise of digital nomadism, where mobile professionals seek long-term stays, autonomy, and connectivity, challenging hotels to offer co-working spaces, reliable Wi-Fi, and social engagement opportunities. Yu et al. (2022) confirm that post-pandemic tourist mobility is longer, slower, and more flexible, while Lin, Liu and Tsai (2021) demonstrate growing demand for extended-stay formats and apartment-style accommodation. Collectively, these findings show a profound diversification of travel behaviour that has forced hotels in Europe to pivot from a business-centric model to one centred on leisure, domestic, hybrid, and long-stay markets.</w:t>
      </w:r>
    </w:p>
    <w:p w14:paraId="00543B35" w14:textId="60440EBE" w:rsidR="0080560C" w:rsidRPr="00222D22" w:rsidRDefault="0080560C" w:rsidP="00912378">
      <w:pPr>
        <w:spacing w:line="360" w:lineRule="auto"/>
        <w:jc w:val="both"/>
        <w:rPr>
          <w:rFonts w:ascii="Arial" w:hAnsi="Arial" w:cs="Arial"/>
        </w:rPr>
      </w:pPr>
    </w:p>
    <w:p w14:paraId="3A701BF9" w14:textId="11EC1298" w:rsidR="0080560C" w:rsidRPr="00222D22" w:rsidRDefault="0080560C" w:rsidP="00912378">
      <w:pPr>
        <w:spacing w:line="360" w:lineRule="auto"/>
        <w:jc w:val="both"/>
        <w:rPr>
          <w:rFonts w:ascii="Arial" w:hAnsi="Arial" w:cs="Arial"/>
          <w:u w:val="single"/>
        </w:rPr>
      </w:pPr>
      <w:r w:rsidRPr="00222D22">
        <w:rPr>
          <w:rFonts w:ascii="Arial" w:hAnsi="Arial" w:cs="Arial"/>
        </w:rPr>
        <w:t xml:space="preserve"> </w:t>
      </w:r>
      <w:r w:rsidRPr="00222D22">
        <w:rPr>
          <w:rFonts w:ascii="Arial" w:hAnsi="Arial" w:cs="Arial"/>
          <w:u w:val="single"/>
        </w:rPr>
        <w:t>Strategic Adaptation: Digitalisation, Sustainability and Business Model Innovation</w:t>
      </w:r>
    </w:p>
    <w:p w14:paraId="79EDF061" w14:textId="061859D5" w:rsidR="0080560C" w:rsidRPr="00222D22" w:rsidRDefault="0080560C" w:rsidP="00912378">
      <w:pPr>
        <w:spacing w:line="360" w:lineRule="auto"/>
        <w:jc w:val="both"/>
        <w:rPr>
          <w:rFonts w:ascii="Arial" w:hAnsi="Arial" w:cs="Arial"/>
        </w:rPr>
      </w:pPr>
      <w:r w:rsidRPr="00222D22">
        <w:rPr>
          <w:rFonts w:ascii="Arial" w:hAnsi="Arial" w:cs="Arial"/>
        </w:rPr>
        <w:t xml:space="preserve">In response to these structural demand shifts, hotels have implemented extensive strategic adaptations. The most widely documented transformation is the rapid acceleration of digitalisation. Sigala (2020) argues that COVID-19 acted as a </w:t>
      </w:r>
      <w:r w:rsidR="009B2ACA" w:rsidRPr="00222D22">
        <w:rPr>
          <w:rFonts w:ascii="Arial" w:hAnsi="Arial" w:cs="Arial"/>
        </w:rPr>
        <w:t>mechanism</w:t>
      </w:r>
      <w:r w:rsidRPr="00222D22">
        <w:rPr>
          <w:rFonts w:ascii="Arial" w:hAnsi="Arial" w:cs="Arial"/>
        </w:rPr>
        <w:t xml:space="preserve"> for digital adoption, driving </w:t>
      </w:r>
      <w:r w:rsidR="000B4A93" w:rsidRPr="00222D22">
        <w:rPr>
          <w:rFonts w:ascii="Arial" w:hAnsi="Arial" w:cs="Arial"/>
        </w:rPr>
        <w:t xml:space="preserve">the </w:t>
      </w:r>
      <w:r w:rsidRPr="00222D22">
        <w:rPr>
          <w:rFonts w:ascii="Arial" w:hAnsi="Arial" w:cs="Arial"/>
        </w:rPr>
        <w:t>implementation of contactless check-in, mobile apps, digital concierge services, and AI-based personalisation. Pillai et al. (2021) conceptualise this shift as “Hospitality 5.0,” where automation, robotics, and data analytics are embedded into core operations. Bulchand-Gidumal (2024) demonstrates that AI has become central to hospitality marketing and revenue optimisation, enabling personalised guest engagement and dynamic pricing. These technologies not only improve operational efficiency but also meet the expectations of hybrid travellers who prioritise convenience and seamless digital experiences (Leung and Wen, 2022).</w:t>
      </w:r>
    </w:p>
    <w:p w14:paraId="382BA80F" w14:textId="77777777" w:rsidR="0080560C" w:rsidRPr="00222D22" w:rsidRDefault="0080560C" w:rsidP="00912378">
      <w:pPr>
        <w:spacing w:line="360" w:lineRule="auto"/>
        <w:jc w:val="both"/>
        <w:rPr>
          <w:rFonts w:ascii="Arial" w:hAnsi="Arial" w:cs="Arial"/>
        </w:rPr>
      </w:pPr>
      <w:r w:rsidRPr="00222D22">
        <w:rPr>
          <w:rFonts w:ascii="Arial" w:hAnsi="Arial" w:cs="Arial"/>
        </w:rPr>
        <w:t xml:space="preserve">Alongside technological adaptation, sustainability and stakeholder value have become strategic priorities. Ioannides and Gyimóthy (2020) argue that the pandemic exposed the </w:t>
      </w:r>
      <w:r w:rsidRPr="00222D22">
        <w:rPr>
          <w:rFonts w:ascii="Arial" w:hAnsi="Arial" w:cs="Arial"/>
        </w:rPr>
        <w:lastRenderedPageBreak/>
        <w:t>fragility of over-dependence on mass tourism and encouraged more resilient, community-based models. Jones, Hillier and Comfort (2022) observe that hotels increasingly adopt sustainability practices such as energy efficiency, waste reduction, and local sourcing to meet evolving consumer expectations and regulatory demands. Hu et al. (2021) add that customers now demand high standards of hygiene, safety, and social responsibility, compelling hotels to redesign service delivery.</w:t>
      </w:r>
    </w:p>
    <w:p w14:paraId="7DDB13CC" w14:textId="77777777" w:rsidR="0080560C" w:rsidRPr="00222D22" w:rsidRDefault="0080560C" w:rsidP="00912378">
      <w:pPr>
        <w:spacing w:line="360" w:lineRule="auto"/>
        <w:jc w:val="both"/>
        <w:rPr>
          <w:rFonts w:ascii="Arial" w:hAnsi="Arial" w:cs="Arial"/>
        </w:rPr>
      </w:pPr>
      <w:r w:rsidRPr="00222D22">
        <w:rPr>
          <w:rFonts w:ascii="Arial" w:hAnsi="Arial" w:cs="Arial"/>
        </w:rPr>
        <w:t>Finally, the literature emphasises business model innovation as essential for long-term competitiveness. Le and Phi (2021) found that agile hotels diversified revenue through co-working spaces, day-use rooms, hybrid events, and long-stay packages. Pillai et al. (2021) highlight the rise of flexible service configurations, while El-Said and Aziz (2023) show that hotels implementing resilience strategies—such as staff cross-training, market diversification, and flexible pricing—exhibited stronger post-pandemic performance. Overall, successful hotel strategies post-COVID are characterised by digital transformation, sustainability-driven value, and flexible, innovative business models that align with changing demand patterns and move beyond pre-pandemic reliance on business commuting.</w:t>
      </w:r>
    </w:p>
    <w:p w14:paraId="23C799C8" w14:textId="53126DAA" w:rsidR="00355347" w:rsidRPr="00222D22" w:rsidRDefault="000B4A93" w:rsidP="00912378">
      <w:pPr>
        <w:spacing w:line="360" w:lineRule="auto"/>
        <w:jc w:val="both"/>
        <w:rPr>
          <w:rFonts w:ascii="Arial" w:hAnsi="Arial" w:cs="Arial"/>
          <w:b/>
          <w:bCs/>
        </w:rPr>
      </w:pPr>
      <w:r w:rsidRPr="00222D22">
        <w:rPr>
          <w:rFonts w:ascii="Arial" w:hAnsi="Arial" w:cs="Arial"/>
          <w:b/>
          <w:bCs/>
        </w:rPr>
        <w:t>Method</w:t>
      </w:r>
    </w:p>
    <w:p w14:paraId="29EC53CC" w14:textId="1DB8EC11" w:rsidR="000B4A93" w:rsidRPr="00222D22" w:rsidRDefault="000B4A93" w:rsidP="00912378">
      <w:pPr>
        <w:spacing w:line="360" w:lineRule="auto"/>
        <w:jc w:val="both"/>
        <w:rPr>
          <w:rFonts w:ascii="Arial" w:hAnsi="Arial" w:cs="Arial"/>
        </w:rPr>
      </w:pPr>
      <w:r w:rsidRPr="00222D22">
        <w:rPr>
          <w:rFonts w:ascii="Arial" w:hAnsi="Arial" w:cs="Arial"/>
        </w:rPr>
        <w:t>This study employs a qualitative secondary research approach, which is widely used in recent hospitality research to examine post-COVID strategic transformation (Sigala, 2020; Le and Phi, 2021).</w:t>
      </w:r>
      <w:r w:rsidR="008A7B15">
        <w:rPr>
          <w:rFonts w:ascii="Arial" w:hAnsi="Arial" w:cs="Arial"/>
        </w:rPr>
        <w:t xml:space="preserve"> </w:t>
      </w:r>
      <w:r w:rsidR="008A7B15" w:rsidRPr="008A7B15">
        <w:rPr>
          <w:rFonts w:ascii="Arial" w:hAnsi="Arial" w:cs="Arial"/>
        </w:rPr>
        <w:t xml:space="preserve">Secondary data were collected from peer-reviewed journals, including the </w:t>
      </w:r>
      <w:r w:rsidR="008A7B15" w:rsidRPr="008A7B15">
        <w:rPr>
          <w:rFonts w:ascii="Arial" w:hAnsi="Arial" w:cs="Arial"/>
          <w:i/>
          <w:iCs/>
        </w:rPr>
        <w:t>International Journal of Hospitality Management, Annals of Tourism Research, Journal of Sustainable Tourism,</w:t>
      </w:r>
      <w:r w:rsidR="008A7B15" w:rsidRPr="008A7B15">
        <w:rPr>
          <w:rFonts w:ascii="Arial" w:hAnsi="Arial" w:cs="Arial"/>
        </w:rPr>
        <w:t xml:space="preserve"> and </w:t>
      </w:r>
      <w:r w:rsidR="008A7B15" w:rsidRPr="008A7B15">
        <w:rPr>
          <w:rFonts w:ascii="Arial" w:hAnsi="Arial" w:cs="Arial"/>
          <w:i/>
          <w:iCs/>
        </w:rPr>
        <w:t>Tourism Management</w:t>
      </w:r>
      <w:r w:rsidR="008A7B15" w:rsidRPr="008A7B15">
        <w:rPr>
          <w:rFonts w:ascii="Arial" w:hAnsi="Arial" w:cs="Arial"/>
        </w:rPr>
        <w:t xml:space="preserve">, as well as industry reports and corporate communications from major hotel groups such as Marriott, Accor, Hilton, and </w:t>
      </w:r>
      <w:r w:rsidR="00E4092B" w:rsidRPr="008A7B15">
        <w:rPr>
          <w:rFonts w:ascii="Arial" w:hAnsi="Arial" w:cs="Arial"/>
        </w:rPr>
        <w:t>Whitbread.</w:t>
      </w:r>
      <w:r w:rsidRPr="00222D22">
        <w:rPr>
          <w:rFonts w:ascii="Arial" w:hAnsi="Arial" w:cs="Arial"/>
        </w:rPr>
        <w:t xml:space="preserve"> Such sources allow for a comprehensive understanding of both theoretical perspectives and real-world strategic responses (Gössling, Scott and Hall, 2021).</w:t>
      </w:r>
    </w:p>
    <w:p w14:paraId="1C1F0602" w14:textId="2B234F45" w:rsidR="00D014AC" w:rsidRPr="00222D22" w:rsidRDefault="000B4A93" w:rsidP="00912378">
      <w:pPr>
        <w:spacing w:line="360" w:lineRule="auto"/>
        <w:jc w:val="both"/>
        <w:rPr>
          <w:rFonts w:ascii="Arial" w:hAnsi="Arial" w:cs="Arial"/>
        </w:rPr>
      </w:pPr>
      <w:r w:rsidRPr="00222D22">
        <w:rPr>
          <w:rFonts w:ascii="Arial" w:hAnsi="Arial" w:cs="Arial"/>
        </w:rPr>
        <w:t>To analyse the data, a thematic analysis approach was used to identify recurring patterns related to diversification, digitalisation, sustainability, and business model innovation. Thematic analysis has been applied in recent tourism and hospitality studies examining COVID-19 impacts (Baum and Hai, 202</w:t>
      </w:r>
      <w:r w:rsidR="00CE6535" w:rsidRPr="00222D22">
        <w:rPr>
          <w:rFonts w:ascii="Arial" w:hAnsi="Arial" w:cs="Arial"/>
        </w:rPr>
        <w:t>0</w:t>
      </w:r>
      <w:r w:rsidR="00802B0C" w:rsidRPr="00222D22">
        <w:rPr>
          <w:rFonts w:ascii="Arial" w:hAnsi="Arial" w:cs="Arial"/>
        </w:rPr>
        <w:t xml:space="preserve">). </w:t>
      </w:r>
      <w:r w:rsidRPr="00222D22">
        <w:rPr>
          <w:rFonts w:ascii="Arial" w:hAnsi="Arial" w:cs="Arial"/>
        </w:rPr>
        <w:t>To deepen interpretation and ensure analytical rigour, multiple strategic frameworks were integrated, including SWOT</w:t>
      </w:r>
      <w:r w:rsidR="0020711A">
        <w:rPr>
          <w:rFonts w:ascii="Arial" w:hAnsi="Arial" w:cs="Arial"/>
        </w:rPr>
        <w:t xml:space="preserve"> </w:t>
      </w:r>
      <w:r w:rsidR="0020711A" w:rsidRPr="0020711A">
        <w:rPr>
          <w:rFonts w:ascii="Arial" w:hAnsi="Arial" w:cs="Arial"/>
        </w:rPr>
        <w:t>(</w:t>
      </w:r>
      <w:r w:rsidR="006D741B" w:rsidRPr="00636390">
        <w:rPr>
          <w:rFonts w:ascii="Arial" w:hAnsi="Arial" w:cs="Arial"/>
        </w:rPr>
        <w:t>Yuan,  </w:t>
      </w:r>
      <w:r w:rsidR="006D741B" w:rsidRPr="00636390">
        <w:rPr>
          <w:rFonts w:ascii="Arial" w:hAnsi="Arial" w:cs="Arial"/>
          <w:i/>
          <w:iCs/>
        </w:rPr>
        <w:t xml:space="preserve">et </w:t>
      </w:r>
      <w:r w:rsidR="006D741B" w:rsidRPr="00636390">
        <w:rPr>
          <w:rFonts w:ascii="Arial" w:hAnsi="Arial" w:cs="Arial"/>
          <w:i/>
          <w:iCs/>
        </w:rPr>
        <w:lastRenderedPageBreak/>
        <w:t>al.</w:t>
      </w:r>
      <w:r w:rsidR="006D741B" w:rsidRPr="00636390">
        <w:rPr>
          <w:rFonts w:ascii="Arial" w:hAnsi="Arial" w:cs="Arial"/>
        </w:rPr>
        <w:t> (2022</w:t>
      </w:r>
      <w:r w:rsidR="0020711A" w:rsidRPr="0020711A">
        <w:rPr>
          <w:rFonts w:ascii="Arial" w:hAnsi="Arial" w:cs="Arial"/>
        </w:rPr>
        <w:t>)</w:t>
      </w:r>
      <w:r w:rsidRPr="00222D22">
        <w:rPr>
          <w:rFonts w:ascii="Arial" w:hAnsi="Arial" w:cs="Arial"/>
        </w:rPr>
        <w:t xml:space="preserve"> for internal capabilities, PEST </w:t>
      </w:r>
      <w:r w:rsidR="00906DB3" w:rsidRPr="00906DB3">
        <w:rPr>
          <w:rFonts w:ascii="Arial" w:hAnsi="Arial" w:cs="Arial"/>
        </w:rPr>
        <w:t>(</w:t>
      </w:r>
      <w:r w:rsidR="00F532A1" w:rsidRPr="00977299">
        <w:rPr>
          <w:rFonts w:ascii="Arial" w:hAnsi="Arial" w:cs="Arial"/>
        </w:rPr>
        <w:t>Johnson</w:t>
      </w:r>
      <w:r w:rsidR="00F532A1">
        <w:rPr>
          <w:rFonts w:ascii="Arial" w:hAnsi="Arial" w:cs="Arial"/>
        </w:rPr>
        <w:t>,</w:t>
      </w:r>
      <w:r w:rsidR="00F532A1" w:rsidRPr="00977299">
        <w:rPr>
          <w:rFonts w:ascii="Arial" w:hAnsi="Arial" w:cs="Arial"/>
        </w:rPr>
        <w:t xml:space="preserve"> Whittington</w:t>
      </w:r>
      <w:r w:rsidR="00F532A1">
        <w:rPr>
          <w:rFonts w:ascii="Arial" w:hAnsi="Arial" w:cs="Arial"/>
        </w:rPr>
        <w:t xml:space="preserve"> </w:t>
      </w:r>
      <w:r w:rsidR="00F532A1" w:rsidRPr="00977299">
        <w:rPr>
          <w:rFonts w:ascii="Arial" w:hAnsi="Arial" w:cs="Arial"/>
        </w:rPr>
        <w:t>and Scholes</w:t>
      </w:r>
      <w:r w:rsidR="00F532A1">
        <w:rPr>
          <w:rFonts w:ascii="Arial" w:hAnsi="Arial" w:cs="Arial"/>
        </w:rPr>
        <w:t>, 2017</w:t>
      </w:r>
      <w:r w:rsidR="00906DB3" w:rsidRPr="00906DB3">
        <w:rPr>
          <w:rFonts w:ascii="Arial" w:hAnsi="Arial" w:cs="Arial"/>
        </w:rPr>
        <w:t>)</w:t>
      </w:r>
      <w:r w:rsidR="00906DB3">
        <w:rPr>
          <w:rFonts w:ascii="Arial" w:hAnsi="Arial" w:cs="Arial"/>
        </w:rPr>
        <w:t xml:space="preserve"> </w:t>
      </w:r>
      <w:r w:rsidRPr="00222D22">
        <w:rPr>
          <w:rFonts w:ascii="Arial" w:hAnsi="Arial" w:cs="Arial"/>
        </w:rPr>
        <w:t>for macro-environmental drivers, 5 Whys</w:t>
      </w:r>
      <w:r w:rsidR="00906DB3">
        <w:rPr>
          <w:rFonts w:ascii="Arial" w:hAnsi="Arial" w:cs="Arial"/>
        </w:rPr>
        <w:t xml:space="preserve"> </w:t>
      </w:r>
      <w:r w:rsidR="00906DB3" w:rsidRPr="00906DB3">
        <w:rPr>
          <w:rFonts w:ascii="Arial" w:hAnsi="Arial" w:cs="Arial"/>
        </w:rPr>
        <w:t>(</w:t>
      </w:r>
      <w:r w:rsidR="003C01B9" w:rsidRPr="003C01B9">
        <w:rPr>
          <w:rFonts w:ascii="Arial" w:hAnsi="Arial" w:cs="Arial"/>
        </w:rPr>
        <w:t>Barsalou and Starzyńska,</w:t>
      </w:r>
      <w:r w:rsidR="003C01B9">
        <w:rPr>
          <w:rFonts w:ascii="Arial" w:hAnsi="Arial" w:cs="Arial"/>
        </w:rPr>
        <w:t xml:space="preserve"> </w:t>
      </w:r>
      <w:r w:rsidR="003C01B9" w:rsidRPr="003C01B9">
        <w:rPr>
          <w:rFonts w:ascii="Arial" w:hAnsi="Arial" w:cs="Arial"/>
        </w:rPr>
        <w:t>2023)</w:t>
      </w:r>
      <w:r w:rsidR="003C01B9">
        <w:rPr>
          <w:rFonts w:ascii="Arial" w:hAnsi="Arial" w:cs="Arial"/>
        </w:rPr>
        <w:t xml:space="preserve"> </w:t>
      </w:r>
      <w:r w:rsidRPr="00222D22">
        <w:rPr>
          <w:rFonts w:ascii="Arial" w:hAnsi="Arial" w:cs="Arial"/>
        </w:rPr>
        <w:t>to uncover root causes of strategic change, and STAR</w:t>
      </w:r>
      <w:r w:rsidR="006F5B4E">
        <w:rPr>
          <w:rFonts w:ascii="Arial" w:hAnsi="Arial" w:cs="Arial"/>
        </w:rPr>
        <w:t xml:space="preserve"> </w:t>
      </w:r>
      <w:r w:rsidR="006F5B4E" w:rsidRPr="006F5B4E">
        <w:rPr>
          <w:rFonts w:ascii="Arial" w:hAnsi="Arial" w:cs="Arial"/>
        </w:rPr>
        <w:t>(</w:t>
      </w:r>
      <w:r w:rsidR="00AE0DCD" w:rsidRPr="00AE0DCD">
        <w:rPr>
          <w:rFonts w:ascii="Arial" w:hAnsi="Arial" w:cs="Arial"/>
        </w:rPr>
        <w:t>Armstrong and Taylor,</w:t>
      </w:r>
      <w:r w:rsidR="00AE0DCD">
        <w:rPr>
          <w:rFonts w:ascii="Arial" w:hAnsi="Arial" w:cs="Arial"/>
        </w:rPr>
        <w:t xml:space="preserve"> </w:t>
      </w:r>
      <w:r w:rsidR="00AE0DCD" w:rsidRPr="00AE0DCD">
        <w:rPr>
          <w:rFonts w:ascii="Arial" w:hAnsi="Arial" w:cs="Arial"/>
        </w:rPr>
        <w:t>2020)</w:t>
      </w:r>
      <w:r w:rsidRPr="00222D22">
        <w:rPr>
          <w:rFonts w:ascii="Arial" w:hAnsi="Arial" w:cs="Arial"/>
        </w:rPr>
        <w:t xml:space="preserve"> to evaluate organisational responses and outcomes (Pillai et al., 2021; El-Said and Aziz, 2023). Combining academic literature with industry evidence enabled methodological triangulation, </w:t>
      </w:r>
      <w:r w:rsidR="00AE0DCD">
        <w:rPr>
          <w:rFonts w:ascii="Arial" w:hAnsi="Arial" w:cs="Arial"/>
        </w:rPr>
        <w:t>thereby enhancing validity and producing a critical, practice-oriented analysis of hotel strategy shifts following the COVID-19 pandemic</w:t>
      </w:r>
      <w:r w:rsidRPr="00222D22">
        <w:rPr>
          <w:rFonts w:ascii="Arial" w:hAnsi="Arial" w:cs="Arial"/>
        </w:rPr>
        <w:t>.</w:t>
      </w:r>
    </w:p>
    <w:p w14:paraId="30CAFE3B" w14:textId="58D557BB" w:rsidR="00BB4C6F" w:rsidRPr="00222D22" w:rsidRDefault="002A687B" w:rsidP="00912378">
      <w:pPr>
        <w:spacing w:line="360" w:lineRule="auto"/>
        <w:jc w:val="both"/>
        <w:rPr>
          <w:rFonts w:ascii="Arial" w:hAnsi="Arial" w:cs="Arial"/>
          <w:b/>
          <w:bCs/>
        </w:rPr>
      </w:pPr>
      <w:r w:rsidRPr="00222D22">
        <w:rPr>
          <w:rFonts w:ascii="Arial" w:hAnsi="Arial" w:cs="Arial"/>
          <w:b/>
          <w:bCs/>
        </w:rPr>
        <w:t>Theme impact anal</w:t>
      </w:r>
      <w:r w:rsidR="00E64539" w:rsidRPr="00222D22">
        <w:rPr>
          <w:rFonts w:ascii="Arial" w:hAnsi="Arial" w:cs="Arial"/>
          <w:b/>
          <w:bCs/>
        </w:rPr>
        <w:t>ysis</w:t>
      </w:r>
    </w:p>
    <w:p w14:paraId="4E998D02" w14:textId="6D7AD09E" w:rsidR="00E11937" w:rsidRPr="00222D22" w:rsidRDefault="00E11937" w:rsidP="00912378">
      <w:pPr>
        <w:spacing w:line="360" w:lineRule="auto"/>
        <w:jc w:val="both"/>
        <w:rPr>
          <w:rFonts w:ascii="Arial" w:hAnsi="Arial" w:cs="Arial"/>
        </w:rPr>
      </w:pPr>
      <w:r w:rsidRPr="00222D22">
        <w:rPr>
          <w:rFonts w:ascii="Arial" w:hAnsi="Arial" w:cs="Arial"/>
        </w:rPr>
        <w:t xml:space="preserve">The structural decline in business commuting </w:t>
      </w:r>
      <w:r w:rsidR="003D64FE">
        <w:rPr>
          <w:rFonts w:ascii="Arial" w:hAnsi="Arial" w:cs="Arial"/>
        </w:rPr>
        <w:t>following COVID-19 has fundamentally disrupted the traditional revenue base of hotels, particularly in the UK and Europe, where corporate and MICE travel historically provided high-yield, midweek occupancy and ancillary spending (Gössling, Scott,</w:t>
      </w:r>
      <w:r w:rsidRPr="00222D22">
        <w:rPr>
          <w:rFonts w:ascii="Arial" w:hAnsi="Arial" w:cs="Arial"/>
        </w:rPr>
        <w:t xml:space="preserve"> and Hall, 2021). The pandemic acted as a catalyst</w:t>
      </w:r>
      <w:r w:rsidR="009F58D3" w:rsidRPr="00222D22">
        <w:rPr>
          <w:rFonts w:ascii="Arial" w:hAnsi="Arial" w:cs="Arial"/>
        </w:rPr>
        <w:t>,</w:t>
      </w:r>
      <w:r w:rsidRPr="00222D22">
        <w:rPr>
          <w:rFonts w:ascii="Arial" w:hAnsi="Arial" w:cs="Arial"/>
        </w:rPr>
        <w:t xml:space="preserve"> revealing a deeper vulnerability: hotels had become overdependent on corporate travellers without sufficient diversification. A root-cause analysis shows that while immediate travel restrictions triggered the collapse (Zenker and Kock, 2020), business travel did not fully return because organisations institutionalised remote work, cost-saving policies, and virtual meeting technologies (Ioannides and Gyimóthy, 2020; Gursoy and Chi, 2020).</w:t>
      </w:r>
      <w:r w:rsidR="00177B13" w:rsidRPr="00222D22">
        <w:rPr>
          <w:rFonts w:ascii="Arial" w:hAnsi="Arial" w:cs="Arial"/>
        </w:rPr>
        <w:t xml:space="preserve"> This shift exposed both internal weaknesses (overdependence on corporate demand) and external threats (digital substitution, regulatory pressure), while simultaneously revealing new opportunities in leisure, hybrid, and extended-stay markets</w:t>
      </w:r>
      <w:r w:rsidR="00BB7EAC" w:rsidRPr="00222D22">
        <w:rPr>
          <w:rFonts w:ascii="Arial" w:hAnsi="Arial" w:cs="Arial"/>
        </w:rPr>
        <w:t>.</w:t>
      </w:r>
      <w:r w:rsidR="00674BC2">
        <w:rPr>
          <w:rFonts w:ascii="Arial" w:hAnsi="Arial" w:cs="Arial"/>
        </w:rPr>
        <w:t xml:space="preserve"> </w:t>
      </w:r>
      <w:r w:rsidR="00674BC2" w:rsidRPr="00674BC2">
        <w:rPr>
          <w:rFonts w:ascii="Arial" w:hAnsi="Arial" w:cs="Arial"/>
        </w:rPr>
        <w:t>This aligns with the SWOT and PEST frameworks, illustrating how internal and external factors collectively reshaped hotel strategy.</w:t>
      </w:r>
      <w:r w:rsidRPr="00222D22">
        <w:rPr>
          <w:rFonts w:ascii="Arial" w:hAnsi="Arial" w:cs="Arial"/>
        </w:rPr>
        <w:t xml:space="preserve"> </w:t>
      </w:r>
      <w:r w:rsidR="00BB7EAC" w:rsidRPr="00222D22">
        <w:rPr>
          <w:rFonts w:ascii="Arial" w:hAnsi="Arial" w:cs="Arial"/>
        </w:rPr>
        <w:t>This</w:t>
      </w:r>
      <w:r w:rsidRPr="00222D22">
        <w:rPr>
          <w:rFonts w:ascii="Arial" w:hAnsi="Arial" w:cs="Arial"/>
        </w:rPr>
        <w:t xml:space="preserve"> demonstrates a permanent behavioural and structural shift rather than a temporary crisis. Hotels were forced to rethink who their customers were and what value they could offer in the absence of traditional business demand.</w:t>
      </w:r>
    </w:p>
    <w:p w14:paraId="73C36D6D" w14:textId="77777777" w:rsidR="00E11937" w:rsidRPr="00222D22" w:rsidRDefault="00E11937" w:rsidP="00912378">
      <w:pPr>
        <w:spacing w:line="360" w:lineRule="auto"/>
        <w:jc w:val="both"/>
        <w:rPr>
          <w:rFonts w:ascii="Arial" w:hAnsi="Arial" w:cs="Arial"/>
        </w:rPr>
      </w:pPr>
      <w:r w:rsidRPr="00222D22">
        <w:rPr>
          <w:rFonts w:ascii="Arial" w:hAnsi="Arial" w:cs="Arial"/>
        </w:rPr>
        <w:t xml:space="preserve">From an external environmental perspective, multiple macro-level pressures made the old corporate-focused model untenable. Politically, lockdowns and health regulations disrupted cross-border mobility. Economically, firms cut travel budgets amidst uncertainty and inflation. Socially, guest expectations shifted towards safety, wellbeing, and authenticity. Technologically, digital platforms made virtual meetings cheaper and more </w:t>
      </w:r>
      <w:r w:rsidRPr="00222D22">
        <w:rPr>
          <w:rFonts w:ascii="Arial" w:hAnsi="Arial" w:cs="Arial"/>
        </w:rPr>
        <w:lastRenderedPageBreak/>
        <w:t>efficient (Zenker and Kock, 2020). These forces collectively undermined the viability of business commuting and reshaped demand patterns. As a result, hotels could no longer rely on legacy corporate contracts and had to pursue alternative segments to survive.</w:t>
      </w:r>
    </w:p>
    <w:p w14:paraId="2B49D76D" w14:textId="77777777" w:rsidR="00E11937" w:rsidRPr="00222D22" w:rsidRDefault="00E11937" w:rsidP="00912378">
      <w:pPr>
        <w:spacing w:line="360" w:lineRule="auto"/>
        <w:jc w:val="both"/>
        <w:rPr>
          <w:rFonts w:ascii="Arial" w:hAnsi="Arial" w:cs="Arial"/>
        </w:rPr>
      </w:pPr>
      <w:r w:rsidRPr="00222D22">
        <w:rPr>
          <w:rFonts w:ascii="Arial" w:hAnsi="Arial" w:cs="Arial"/>
        </w:rPr>
        <w:t>One of the most significant strategic responses was the pivot towards leisure and domestic travellers. Jacobsen, Tømmervik and Gjerald (2023) demonstrated that “enforced holidaying-at-home” drove a major rise in UK and European staycations, which hotels such as Premier Inn actively targeted through local marketing and flexible booking (Whitbread PLC, 2021). This strategic shift leveraged the opportunity created by travel restrictions but also aligned with evolving traveller preferences for wellness and local experiences (Lin, Liu and Tsai, 2021). However, this pivot also introduced new operational challenges: leisure demand is seasonal, price-sensitive, and less predictable than corporate travel. Hotels had to redesign services and pricing models to maintain profitability.</w:t>
      </w:r>
    </w:p>
    <w:p w14:paraId="4ADA2892" w14:textId="2F8CDD3D" w:rsidR="00E11937" w:rsidRPr="00222D22" w:rsidRDefault="00E11937" w:rsidP="00912378">
      <w:pPr>
        <w:spacing w:line="360" w:lineRule="auto"/>
        <w:jc w:val="both"/>
        <w:rPr>
          <w:rFonts w:ascii="Arial" w:hAnsi="Arial" w:cs="Arial"/>
        </w:rPr>
      </w:pPr>
      <w:r w:rsidRPr="00222D22">
        <w:rPr>
          <w:rFonts w:ascii="Arial" w:hAnsi="Arial" w:cs="Arial"/>
        </w:rPr>
        <w:t>A further evolution was the emergence of hybrid, bleisure and extended-stay travellers as key segments. Remote work blurred the boundary between business and leisure (Škare, Soriano and Porada-Rochoń, 2021). Hotels responded by offering packages that combined accommodation with workspace access. Marriott’s “Work Anywhere” programme enabled guests to book day-use office rooms or extended stays (Marriott International, 2020). Similarly, CitizenM introduced a corporate subscription model to attract frequent remote workers (CitizenM, 2021). The Hoxton developed “Working From” co-working spaces within hotel properties (Ennismore, 2022), while Accor partnered with Wojo to roll out co-working facilities across European hotels (Accor, 20</w:t>
      </w:r>
      <w:r w:rsidR="00096216" w:rsidRPr="00222D22">
        <w:rPr>
          <w:rFonts w:ascii="Arial" w:hAnsi="Arial" w:cs="Arial"/>
        </w:rPr>
        <w:t>19</w:t>
      </w:r>
      <w:r w:rsidRPr="00222D22">
        <w:rPr>
          <w:rFonts w:ascii="Arial" w:hAnsi="Arial" w:cs="Arial"/>
        </w:rPr>
        <w:t>). These actions reflect strategic agility and the repurposing of physical assets. Yet, this shift also increased complexity, as hotels had to serve heterogeneous customer needs</w:t>
      </w:r>
      <w:r w:rsidR="008A3B78" w:rsidRPr="00222D22">
        <w:rPr>
          <w:rFonts w:ascii="Arial" w:hAnsi="Arial" w:cs="Arial"/>
        </w:rPr>
        <w:t xml:space="preserve">, </w:t>
      </w:r>
      <w:r w:rsidRPr="00222D22">
        <w:rPr>
          <w:rFonts w:ascii="Arial" w:hAnsi="Arial" w:cs="Arial"/>
        </w:rPr>
        <w:t>workspaces by day, leisure by night</w:t>
      </w:r>
      <w:r w:rsidR="008A3B78" w:rsidRPr="00222D22">
        <w:rPr>
          <w:rFonts w:ascii="Arial" w:hAnsi="Arial" w:cs="Arial"/>
        </w:rPr>
        <w:t xml:space="preserve">, </w:t>
      </w:r>
      <w:r w:rsidRPr="00222D22">
        <w:rPr>
          <w:rFonts w:ascii="Arial" w:hAnsi="Arial" w:cs="Arial"/>
        </w:rPr>
        <w:t>raising questions about operational efficiency and brand identity.</w:t>
      </w:r>
    </w:p>
    <w:p w14:paraId="2E5336D1" w14:textId="0EEE3F7C" w:rsidR="00E11937" w:rsidRPr="00222D22" w:rsidRDefault="00E11937" w:rsidP="00912378">
      <w:pPr>
        <w:spacing w:line="360" w:lineRule="auto"/>
        <w:jc w:val="both"/>
        <w:rPr>
          <w:rFonts w:ascii="Arial" w:hAnsi="Arial" w:cs="Arial"/>
        </w:rPr>
      </w:pPr>
      <w:r w:rsidRPr="00222D22">
        <w:rPr>
          <w:rFonts w:ascii="Arial" w:hAnsi="Arial" w:cs="Arial"/>
        </w:rPr>
        <w:t xml:space="preserve">Digital transformation became an essential enabler of post-pandemic hotel strategy. Sigala (2020) argues that technology adoption accelerated by several years as hotels integrated contactless check-in, mobile apps and digital concierge services. Hilton’s expansion of its Digital Key programme (Hilton, 2021) illustrates how major brands leveraged technology to deliver safety, convenience and efficiency. Pillai et al. (2021) </w:t>
      </w:r>
      <w:r w:rsidRPr="00222D22">
        <w:rPr>
          <w:rFonts w:ascii="Arial" w:hAnsi="Arial" w:cs="Arial"/>
        </w:rPr>
        <w:lastRenderedPageBreak/>
        <w:t xml:space="preserve">conceptualise this evolution as “Hospitality 5.0,” where automation and AI-driven personalisation become core capabilities. Bulchand-Gidumal (2024) notes that AI is increasingly used for revenue management and targeted marketing, enabling hotels to better cater to hybrid travellers. However, critical evaluation reveals a digital divide: large chains implement sophisticated systems, while independent hotels struggle due to cost and skills gaps, reinforcing inequalities in competitive advantage (Baum </w:t>
      </w:r>
      <w:r w:rsidR="00FC59D5" w:rsidRPr="00222D22">
        <w:rPr>
          <w:rFonts w:ascii="Arial" w:hAnsi="Arial" w:cs="Arial"/>
        </w:rPr>
        <w:t>and Hai,</w:t>
      </w:r>
      <w:r w:rsidRPr="00222D22">
        <w:rPr>
          <w:rFonts w:ascii="Arial" w:hAnsi="Arial" w:cs="Arial"/>
        </w:rPr>
        <w:t xml:space="preserve"> 2020).</w:t>
      </w:r>
    </w:p>
    <w:p w14:paraId="496AB83B" w14:textId="095D4263" w:rsidR="00E11937" w:rsidRPr="00222D22" w:rsidRDefault="00E11937" w:rsidP="00912378">
      <w:pPr>
        <w:spacing w:line="360" w:lineRule="auto"/>
        <w:jc w:val="both"/>
        <w:rPr>
          <w:rFonts w:ascii="Arial" w:hAnsi="Arial" w:cs="Arial"/>
        </w:rPr>
      </w:pPr>
      <w:r w:rsidRPr="00222D22">
        <w:rPr>
          <w:rFonts w:ascii="Arial" w:hAnsi="Arial" w:cs="Arial"/>
        </w:rPr>
        <w:t xml:space="preserve">Sustainability and stakeholder value also moved to the forefront of hotel strategy. Ioannides and Gyimóthy (2020) argue that the pandemic provided an opportunity to rethink unsustainable pre-COVID growth models. In the UK, Whitbread’s “Force for Good” strategy integrated carbon reduction, local sourcing and employee well-being into its operations (Whitbread PLC, 2022). Similarly, Scandic Hotels in Scandinavia have been recognised as industry leaders in sustainability and circular practices (Scandic Hotels Group, 2024). Jones, Hillier and Comfort (2022) observe that sustainability is no longer a marketing add-on but a central differentiator. Nonetheless, adoption is uneven. While some hotels embed sustainability into </w:t>
      </w:r>
      <w:r w:rsidR="009F58D3" w:rsidRPr="00222D22">
        <w:rPr>
          <w:rFonts w:ascii="Arial" w:hAnsi="Arial" w:cs="Arial"/>
        </w:rPr>
        <w:t xml:space="preserve">their </w:t>
      </w:r>
      <w:r w:rsidRPr="00222D22">
        <w:rPr>
          <w:rFonts w:ascii="Arial" w:hAnsi="Arial" w:cs="Arial"/>
        </w:rPr>
        <w:t>core strategy, others engage in superficial “greenwashing,” lacking measurable commitment. This inconsistency reflects broader tensions between short-term financial pressures and long-term resilience.</w:t>
      </w:r>
    </w:p>
    <w:p w14:paraId="1E2A9424" w14:textId="1E291CBB" w:rsidR="00E11937" w:rsidRPr="00222D22" w:rsidRDefault="00E11937" w:rsidP="00912378">
      <w:pPr>
        <w:spacing w:line="360" w:lineRule="auto"/>
        <w:jc w:val="both"/>
        <w:rPr>
          <w:rFonts w:ascii="Arial" w:hAnsi="Arial" w:cs="Arial"/>
        </w:rPr>
      </w:pPr>
      <w:r w:rsidRPr="00222D22">
        <w:rPr>
          <w:rFonts w:ascii="Arial" w:hAnsi="Arial" w:cs="Arial"/>
        </w:rPr>
        <w:t>Ultimately, the most profound change has been business model innovation. Le and Phi (2021) found that agile hotels restructured their offerings to generate new revenue streams through co-working spaces, subscription stays, hybrid event hosting and flexible room configurations. Marriott, Accor and IHG all expanded their extended-stay brands</w:t>
      </w:r>
      <w:r w:rsidR="008A3B78" w:rsidRPr="00222D22">
        <w:rPr>
          <w:rFonts w:ascii="Arial" w:hAnsi="Arial" w:cs="Arial"/>
        </w:rPr>
        <w:t xml:space="preserve">, </w:t>
      </w:r>
      <w:r w:rsidRPr="00222D22">
        <w:rPr>
          <w:rFonts w:ascii="Arial" w:hAnsi="Arial" w:cs="Arial"/>
        </w:rPr>
        <w:t>such as Staybridge Suites and Adagio Aparthotels</w:t>
      </w:r>
      <w:r w:rsidR="008A3B78" w:rsidRPr="00222D22">
        <w:rPr>
          <w:rFonts w:ascii="Arial" w:hAnsi="Arial" w:cs="Arial"/>
        </w:rPr>
        <w:t xml:space="preserve">, </w:t>
      </w:r>
      <w:r w:rsidRPr="00222D22">
        <w:rPr>
          <w:rFonts w:ascii="Arial" w:hAnsi="Arial" w:cs="Arial"/>
        </w:rPr>
        <w:t>to accommodate longer stays from hybrid travellers (IHG, 2022; Accor, 2024). Pillai et al. (2021) argue that hotels are shifting from fixed product delivery to flexible, modular services. These innovations demonstrate strategic creativity and market responsiveness. However, not all hotels have been able to adapt. Those that waited for business travel to return or made only superficial changes continue to underperform, particularly in urban markets reliant on corporate demand.</w:t>
      </w:r>
    </w:p>
    <w:p w14:paraId="6281E159" w14:textId="112D26AC" w:rsidR="00E11937" w:rsidRPr="00222D22" w:rsidRDefault="00E11937" w:rsidP="00912378">
      <w:pPr>
        <w:spacing w:line="360" w:lineRule="auto"/>
        <w:jc w:val="both"/>
        <w:rPr>
          <w:rFonts w:ascii="Arial" w:hAnsi="Arial" w:cs="Arial"/>
        </w:rPr>
      </w:pPr>
      <w:r w:rsidRPr="00222D22">
        <w:rPr>
          <w:rFonts w:ascii="Arial" w:hAnsi="Arial" w:cs="Arial"/>
        </w:rPr>
        <w:t xml:space="preserve">Critical analysis of these strategic shifts reveals that success depended on diversification, digital capability, sustainability orientation and business model agility. The hotels that embraced change, invested in technology, reconfigured assets and targeted new </w:t>
      </w:r>
      <w:r w:rsidRPr="00222D22">
        <w:rPr>
          <w:rFonts w:ascii="Arial" w:hAnsi="Arial" w:cs="Arial"/>
        </w:rPr>
        <w:lastRenderedPageBreak/>
        <w:t xml:space="preserve">segments demonstrated resilience and innovation. Conversely, those clinging to pre-pandemic models or lacking resources struggled to remain competitive. The shift away from business commuting has therefore acted as a stress test, widening the gap between adaptive and stagnant hotels. </w:t>
      </w:r>
      <w:r w:rsidR="009F58D3" w:rsidRPr="00222D22">
        <w:rPr>
          <w:rFonts w:ascii="Arial" w:hAnsi="Arial" w:cs="Arial"/>
        </w:rPr>
        <w:t>The</w:t>
      </w:r>
      <w:r w:rsidRPr="00222D22">
        <w:rPr>
          <w:rFonts w:ascii="Arial" w:hAnsi="Arial" w:cs="Arial"/>
        </w:rPr>
        <w:t xml:space="preserve"> evolution of hotel strategy post-COVID is not a temporary adjustment but a permanent redefinition of value creation in hospitality.</w:t>
      </w:r>
      <w:r w:rsidR="0071224C" w:rsidRPr="00222D22">
        <w:rPr>
          <w:rFonts w:ascii="Arial" w:hAnsi="Arial" w:cs="Arial"/>
        </w:rPr>
        <w:t xml:space="preserve"> These findings demonstrate that post-COVID hotel strategy is no longer about temporary survival, but about long-term structural transformation. Therefore, future success depends on the sector’s ability to sustain innovation, enhance flexibility, and address operational inequalities</w:t>
      </w:r>
      <w:r w:rsidR="008A3B78" w:rsidRPr="00222D22">
        <w:rPr>
          <w:rFonts w:ascii="Arial" w:hAnsi="Arial" w:cs="Arial"/>
        </w:rPr>
        <w:t xml:space="preserve">, </w:t>
      </w:r>
      <w:r w:rsidR="0071224C" w:rsidRPr="00222D22">
        <w:rPr>
          <w:rFonts w:ascii="Arial" w:hAnsi="Arial" w:cs="Arial"/>
        </w:rPr>
        <w:t>setting the stage for the development of informed recommendations</w:t>
      </w:r>
      <w:r w:rsidR="00E33385" w:rsidRPr="00222D22">
        <w:rPr>
          <w:rFonts w:ascii="Arial" w:hAnsi="Arial" w:cs="Arial"/>
        </w:rPr>
        <w:t>.</w:t>
      </w:r>
    </w:p>
    <w:p w14:paraId="053BE4BB" w14:textId="3EE563EC" w:rsidR="00912378" w:rsidRPr="00222D22" w:rsidRDefault="00912378" w:rsidP="00912378">
      <w:pPr>
        <w:spacing w:line="360" w:lineRule="auto"/>
        <w:jc w:val="both"/>
        <w:rPr>
          <w:rFonts w:ascii="Arial" w:hAnsi="Arial" w:cs="Arial"/>
          <w:b/>
          <w:bCs/>
        </w:rPr>
      </w:pPr>
      <w:r w:rsidRPr="00222D22">
        <w:rPr>
          <w:rFonts w:ascii="Arial" w:hAnsi="Arial" w:cs="Arial"/>
          <w:b/>
          <w:bCs/>
        </w:rPr>
        <w:t>Conclusion</w:t>
      </w:r>
    </w:p>
    <w:p w14:paraId="2DC3C083" w14:textId="272ED9DD" w:rsidR="004300FE" w:rsidRPr="00222D22" w:rsidRDefault="004300FE" w:rsidP="00912378">
      <w:pPr>
        <w:spacing w:line="360" w:lineRule="auto"/>
        <w:jc w:val="both"/>
        <w:rPr>
          <w:rFonts w:ascii="Arial" w:hAnsi="Arial" w:cs="Arial"/>
        </w:rPr>
      </w:pPr>
      <w:r w:rsidRPr="00222D22">
        <w:rPr>
          <w:rFonts w:ascii="Arial" w:hAnsi="Arial" w:cs="Arial"/>
        </w:rPr>
        <w:t>The decline in business commuting post-COVID has fundamentally reshaped the hotel industry, exposing overreliance on corporate travel and forcing a strategic reorientation. Hotels responded by pivoting towards leisure, domestic, hybrid and extended-stay segments, while accelerating digital transformation, sustainability initiatives and business model innovation. These shifts demonstrate not a temporary recovery strategy, but a permanent restructuring of value creation in hospitality. The most successful hotels have diversified demand, embraced technology and prioritised flexibility and stakeholder value. Moving forward, long-term competitiveness will depend on how effectively hotels continue to innovate and adapt—highlighting the need for targeted, future-focused recommendations.</w:t>
      </w:r>
    </w:p>
    <w:p w14:paraId="05A6CB40" w14:textId="5AD10CF3" w:rsidR="00914866" w:rsidRPr="00222D22" w:rsidRDefault="00914866" w:rsidP="00912378">
      <w:pPr>
        <w:spacing w:line="360" w:lineRule="auto"/>
        <w:jc w:val="both"/>
        <w:rPr>
          <w:rFonts w:ascii="Arial" w:hAnsi="Arial" w:cs="Arial"/>
          <w:b/>
          <w:bCs/>
        </w:rPr>
      </w:pPr>
      <w:r w:rsidRPr="00222D22">
        <w:rPr>
          <w:rFonts w:ascii="Arial" w:hAnsi="Arial" w:cs="Arial"/>
          <w:b/>
          <w:bCs/>
        </w:rPr>
        <w:t>Recommendations</w:t>
      </w:r>
    </w:p>
    <w:p w14:paraId="3DE9A0EA" w14:textId="7A46B780" w:rsidR="00760A3E" w:rsidRPr="00222D22" w:rsidRDefault="004B0F0B" w:rsidP="00760A3E">
      <w:pPr>
        <w:spacing w:line="360" w:lineRule="auto"/>
        <w:jc w:val="both"/>
        <w:rPr>
          <w:rFonts w:ascii="Arial" w:hAnsi="Arial" w:cs="Arial"/>
        </w:rPr>
      </w:pPr>
      <w:r w:rsidRPr="00222D22">
        <w:rPr>
          <w:rFonts w:ascii="Arial" w:hAnsi="Arial" w:cs="Arial"/>
        </w:rPr>
        <w:t>Considering</w:t>
      </w:r>
      <w:r w:rsidR="00760A3E" w:rsidRPr="00222D22">
        <w:rPr>
          <w:rFonts w:ascii="Arial" w:hAnsi="Arial" w:cs="Arial"/>
        </w:rPr>
        <w:t xml:space="preserve"> the permanent decline in business commuting and the resulting restructuring of hotel demand, future strategic success in the hospitality industry will depend on the ability to innovate, diversify, and build long-term resilience. The following recommendations are proposed for hotels seeking sustainable competitive advantage in the post-COVID landscape.</w:t>
      </w:r>
    </w:p>
    <w:p w14:paraId="3D6D8594" w14:textId="5DADF26F" w:rsidR="000F7136" w:rsidRDefault="00760A3E" w:rsidP="00C74E8F">
      <w:pPr>
        <w:spacing w:line="360" w:lineRule="auto"/>
        <w:jc w:val="both"/>
        <w:rPr>
          <w:rFonts w:ascii="Arial" w:hAnsi="Arial" w:cs="Arial"/>
          <w:u w:val="single"/>
        </w:rPr>
      </w:pPr>
      <w:r w:rsidRPr="00222D22">
        <w:rPr>
          <w:rFonts w:ascii="Arial" w:hAnsi="Arial" w:cs="Arial"/>
          <w:u w:val="single"/>
        </w:rPr>
        <w:t>Diversify beyond corporate travel through hybrid market segmentation</w:t>
      </w:r>
      <w:r w:rsidR="0094522E">
        <w:rPr>
          <w:rFonts w:ascii="Arial" w:hAnsi="Arial" w:cs="Arial"/>
          <w:u w:val="single"/>
        </w:rPr>
        <w:t>.</w:t>
      </w:r>
    </w:p>
    <w:p w14:paraId="3A2FB16D" w14:textId="539CB235" w:rsidR="00C74E8F" w:rsidRPr="00222D22" w:rsidRDefault="00760A3E" w:rsidP="00C74E8F">
      <w:pPr>
        <w:spacing w:line="360" w:lineRule="auto"/>
        <w:jc w:val="both"/>
        <w:rPr>
          <w:rFonts w:ascii="Arial" w:hAnsi="Arial" w:cs="Arial"/>
        </w:rPr>
      </w:pPr>
      <w:r w:rsidRPr="00222D22">
        <w:rPr>
          <w:rFonts w:ascii="Arial" w:hAnsi="Arial" w:cs="Arial"/>
          <w:u w:val="single"/>
        </w:rPr>
        <w:br/>
      </w:r>
      <w:r w:rsidR="00216E48" w:rsidRPr="00216E48">
        <w:rPr>
          <w:rFonts w:ascii="Arial" w:hAnsi="Arial" w:cs="Arial"/>
        </w:rPr>
        <w:t xml:space="preserve">As supported by </w:t>
      </w:r>
      <w:r w:rsidR="00216E48" w:rsidRPr="003A0B57">
        <w:rPr>
          <w:rFonts w:ascii="Arial" w:hAnsi="Arial" w:cs="Arial"/>
        </w:rPr>
        <w:t>Jacobsen, Tømmervik and Gjerald (2023)</w:t>
      </w:r>
      <w:r w:rsidR="00216E48" w:rsidRPr="00216E48">
        <w:rPr>
          <w:rFonts w:ascii="Arial" w:hAnsi="Arial" w:cs="Arial"/>
        </w:rPr>
        <w:t xml:space="preserve">, hotels should continue </w:t>
      </w:r>
      <w:r w:rsidR="00216E48" w:rsidRPr="00216E48">
        <w:rPr>
          <w:rFonts w:ascii="Arial" w:hAnsi="Arial" w:cs="Arial"/>
        </w:rPr>
        <w:lastRenderedPageBreak/>
        <w:t xml:space="preserve">targeting leisure, domestic, hybrid, and extended-stay guests rather than relying on a full corporate rebound. Developing tailored packages for bleisure travellers, digital nomads, and long-stay guests can reduce revenue volatility, </w:t>
      </w:r>
      <w:r w:rsidR="00216E48" w:rsidRPr="003A0B57">
        <w:rPr>
          <w:rFonts w:ascii="Arial" w:hAnsi="Arial" w:cs="Arial"/>
        </w:rPr>
        <w:t>consistent with the diversification trends observed in Section 4.</w:t>
      </w:r>
      <w:r w:rsidR="00C74E8F" w:rsidRPr="003A0B57">
        <w:rPr>
          <w:rFonts w:ascii="Arial" w:hAnsi="Arial" w:cs="Arial"/>
        </w:rPr>
        <w:t xml:space="preserve"> </w:t>
      </w:r>
      <w:r w:rsidR="00C74E8F" w:rsidRPr="00222D22">
        <w:rPr>
          <w:rFonts w:ascii="Arial" w:hAnsi="Arial" w:cs="Arial"/>
        </w:rPr>
        <w:t>This requires flexible pricing, length-of-stay discounts, and bundled services (e.g. wellness, workspace, local experiences).</w:t>
      </w:r>
    </w:p>
    <w:p w14:paraId="24F7DB16" w14:textId="753A7F56" w:rsidR="000F7136" w:rsidRDefault="00760A3E" w:rsidP="00760A3E">
      <w:pPr>
        <w:spacing w:line="360" w:lineRule="auto"/>
        <w:jc w:val="both"/>
        <w:rPr>
          <w:rFonts w:ascii="Arial" w:hAnsi="Arial" w:cs="Arial"/>
          <w:u w:val="single"/>
        </w:rPr>
      </w:pPr>
      <w:r w:rsidRPr="00222D22">
        <w:rPr>
          <w:rFonts w:ascii="Arial" w:hAnsi="Arial" w:cs="Arial"/>
          <w:b/>
          <w:bCs/>
        </w:rPr>
        <w:t xml:space="preserve"> </w:t>
      </w:r>
      <w:r w:rsidRPr="00222D22">
        <w:rPr>
          <w:rFonts w:ascii="Arial" w:hAnsi="Arial" w:cs="Arial"/>
          <w:u w:val="single"/>
        </w:rPr>
        <w:t>Reconfigure physical spaces for multifunctional use</w:t>
      </w:r>
      <w:r w:rsidR="0094522E">
        <w:rPr>
          <w:rFonts w:ascii="Arial" w:hAnsi="Arial" w:cs="Arial"/>
          <w:u w:val="single"/>
        </w:rPr>
        <w:t>.</w:t>
      </w:r>
    </w:p>
    <w:p w14:paraId="0DBDC5C6" w14:textId="0D7A3960" w:rsidR="005B38F0" w:rsidRPr="000F7136" w:rsidRDefault="00760A3E" w:rsidP="00760A3E">
      <w:pPr>
        <w:spacing w:line="360" w:lineRule="auto"/>
        <w:jc w:val="both"/>
        <w:rPr>
          <w:rFonts w:ascii="Arial" w:hAnsi="Arial" w:cs="Arial"/>
          <w:u w:val="single"/>
        </w:rPr>
      </w:pPr>
      <w:r w:rsidRPr="00222D22">
        <w:rPr>
          <w:rFonts w:ascii="Arial" w:hAnsi="Arial" w:cs="Arial"/>
          <w:u w:val="single"/>
        </w:rPr>
        <w:br/>
      </w:r>
      <w:r w:rsidR="000F7136" w:rsidRPr="000F7136">
        <w:rPr>
          <w:rFonts w:ascii="Arial" w:hAnsi="Arial" w:cs="Arial"/>
        </w:rPr>
        <w:t>Building on evidence from Accor’s Wojo and The Hoxton’s co-working models, hotels should redesign underutilised corporate spaces into flexible work, event, or community zones. Modularity will allow hotels to cater to multiple markets simultaneously, aligning with the operational adaptability discussed in Section 4.</w:t>
      </w:r>
    </w:p>
    <w:p w14:paraId="70A4FC4A" w14:textId="6033FF79" w:rsidR="00916C7C" w:rsidRDefault="00760A3E" w:rsidP="00760A3E">
      <w:pPr>
        <w:spacing w:line="360" w:lineRule="auto"/>
        <w:jc w:val="both"/>
        <w:rPr>
          <w:rFonts w:ascii="Arial" w:hAnsi="Arial" w:cs="Arial"/>
          <w:u w:val="single"/>
        </w:rPr>
      </w:pPr>
      <w:r w:rsidRPr="00222D22">
        <w:rPr>
          <w:rFonts w:ascii="Arial" w:hAnsi="Arial" w:cs="Arial"/>
          <w:u w:val="single"/>
        </w:rPr>
        <w:t>Invest strategically in digital transformation and AI</w:t>
      </w:r>
      <w:r w:rsidR="0094522E">
        <w:rPr>
          <w:rFonts w:ascii="Arial" w:hAnsi="Arial" w:cs="Arial"/>
          <w:u w:val="single"/>
        </w:rPr>
        <w:t>.</w:t>
      </w:r>
    </w:p>
    <w:p w14:paraId="4017C89F" w14:textId="587C7728" w:rsidR="00760A3E" w:rsidRDefault="00760A3E" w:rsidP="00760A3E">
      <w:pPr>
        <w:spacing w:line="360" w:lineRule="auto"/>
        <w:jc w:val="both"/>
        <w:rPr>
          <w:rFonts w:ascii="Arial" w:hAnsi="Arial" w:cs="Arial"/>
        </w:rPr>
      </w:pPr>
      <w:r w:rsidRPr="00222D22">
        <w:rPr>
          <w:rFonts w:ascii="Arial" w:hAnsi="Arial" w:cs="Arial"/>
        </w:rPr>
        <w:br/>
      </w:r>
      <w:r w:rsidR="00140259" w:rsidRPr="00140259">
        <w:rPr>
          <w:rFonts w:ascii="Arial" w:hAnsi="Arial" w:cs="Arial"/>
        </w:rPr>
        <w:t>Echoing Pillai et al. (2021) and Bulchand-Gidumal (2024), technology adoption must move beyond contactless systems to include AI-driven personalisation, automated pricing, and data analytics. Collaboration with technology partners and government support can help smaller hotels bridge digital gaps.</w:t>
      </w:r>
    </w:p>
    <w:p w14:paraId="0FC59E21" w14:textId="77777777" w:rsidR="00140259" w:rsidRPr="00140259" w:rsidRDefault="00140259" w:rsidP="00760A3E">
      <w:pPr>
        <w:spacing w:line="360" w:lineRule="auto"/>
        <w:jc w:val="both"/>
        <w:rPr>
          <w:rFonts w:ascii="Arial" w:hAnsi="Arial" w:cs="Arial"/>
        </w:rPr>
      </w:pPr>
    </w:p>
    <w:p w14:paraId="3941E0FD" w14:textId="77777777" w:rsidR="00140259" w:rsidRDefault="00760A3E" w:rsidP="00760A3E">
      <w:pPr>
        <w:spacing w:line="360" w:lineRule="auto"/>
        <w:jc w:val="both"/>
        <w:rPr>
          <w:rFonts w:ascii="Arial" w:hAnsi="Arial" w:cs="Arial"/>
          <w:u w:val="single"/>
        </w:rPr>
      </w:pPr>
      <w:r w:rsidRPr="00222D22">
        <w:rPr>
          <w:rFonts w:ascii="Arial" w:hAnsi="Arial" w:cs="Arial"/>
          <w:u w:val="single"/>
        </w:rPr>
        <w:t>Embed sustainability and stakeholder value into core strategy</w:t>
      </w:r>
    </w:p>
    <w:p w14:paraId="118185D4" w14:textId="77777777" w:rsidR="00570CB6" w:rsidRPr="00570CB6" w:rsidRDefault="00570CB6" w:rsidP="00760A3E">
      <w:pPr>
        <w:spacing w:line="360" w:lineRule="auto"/>
        <w:jc w:val="both"/>
        <w:rPr>
          <w:rFonts w:ascii="Arial" w:hAnsi="Arial" w:cs="Arial"/>
        </w:rPr>
      </w:pPr>
      <w:r w:rsidRPr="00570CB6">
        <w:rPr>
          <w:rFonts w:ascii="Arial" w:hAnsi="Arial" w:cs="Arial"/>
        </w:rPr>
        <w:t>As shown in Ioannides and Gyimóthy (2020) and Whitbread’s “Force for Good” programme, sustainability enhances brand equity and stakeholder trust. Hotels should adopt measurable ESG frameworks, prioritising local sourcing, waste reduction, and employee well-being to meet evolving expectations and regulations.</w:t>
      </w:r>
    </w:p>
    <w:p w14:paraId="2FC29860" w14:textId="45DCC143" w:rsidR="00570CB6" w:rsidRDefault="00760A3E" w:rsidP="00760A3E">
      <w:pPr>
        <w:spacing w:line="360" w:lineRule="auto"/>
        <w:jc w:val="both"/>
        <w:rPr>
          <w:rFonts w:ascii="Arial" w:hAnsi="Arial" w:cs="Arial"/>
          <w:u w:val="single"/>
        </w:rPr>
      </w:pPr>
      <w:r w:rsidRPr="00222D22">
        <w:rPr>
          <w:rFonts w:ascii="Arial" w:hAnsi="Arial" w:cs="Arial"/>
        </w:rPr>
        <w:br/>
      </w:r>
      <w:r w:rsidRPr="00222D22">
        <w:rPr>
          <w:rFonts w:ascii="Arial" w:hAnsi="Arial" w:cs="Arial"/>
          <w:u w:val="single"/>
        </w:rPr>
        <w:t>Accelerate business model innovation</w:t>
      </w:r>
      <w:r w:rsidR="0094522E">
        <w:rPr>
          <w:rFonts w:ascii="Arial" w:hAnsi="Arial" w:cs="Arial"/>
          <w:u w:val="single"/>
        </w:rPr>
        <w:t>.</w:t>
      </w:r>
    </w:p>
    <w:p w14:paraId="2F77029A" w14:textId="77777777" w:rsidR="00404C8A" w:rsidRPr="00404C8A" w:rsidRDefault="00404C8A" w:rsidP="00760A3E">
      <w:pPr>
        <w:spacing w:line="360" w:lineRule="auto"/>
        <w:jc w:val="both"/>
        <w:rPr>
          <w:rFonts w:ascii="Arial" w:hAnsi="Arial" w:cs="Arial"/>
        </w:rPr>
      </w:pPr>
      <w:r w:rsidRPr="00404C8A">
        <w:rPr>
          <w:rFonts w:ascii="Arial" w:hAnsi="Arial" w:cs="Arial"/>
        </w:rPr>
        <w:t>Building on Le and Phi (2021), hotels should develop subscription models, hybrid events, and cross-industry collaborations. Innovation must remain continuous and data-driven to sustain long-term competitiveness.</w:t>
      </w:r>
    </w:p>
    <w:p w14:paraId="69E0AC3E" w14:textId="40EF0E4B" w:rsidR="00404C8A" w:rsidRDefault="00760A3E" w:rsidP="00760A3E">
      <w:pPr>
        <w:spacing w:line="360" w:lineRule="auto"/>
        <w:jc w:val="both"/>
        <w:rPr>
          <w:rFonts w:ascii="Arial" w:hAnsi="Arial" w:cs="Arial"/>
          <w:u w:val="single"/>
        </w:rPr>
      </w:pPr>
      <w:r w:rsidRPr="00222D22">
        <w:rPr>
          <w:rFonts w:ascii="Arial" w:hAnsi="Arial" w:cs="Arial"/>
        </w:rPr>
        <w:lastRenderedPageBreak/>
        <w:br/>
      </w:r>
      <w:r w:rsidRPr="00222D22">
        <w:rPr>
          <w:rFonts w:ascii="Arial" w:hAnsi="Arial" w:cs="Arial"/>
          <w:u w:val="single"/>
        </w:rPr>
        <w:t>Build organisational resilience and workforce capability</w:t>
      </w:r>
      <w:r w:rsidR="0094522E">
        <w:rPr>
          <w:rFonts w:ascii="Arial" w:hAnsi="Arial" w:cs="Arial"/>
          <w:u w:val="single"/>
        </w:rPr>
        <w:t>.</w:t>
      </w:r>
    </w:p>
    <w:p w14:paraId="54A58A4F" w14:textId="77777777" w:rsidR="00382E21" w:rsidRDefault="001D3894" w:rsidP="00275553">
      <w:pPr>
        <w:spacing w:line="360" w:lineRule="auto"/>
        <w:jc w:val="both"/>
        <w:rPr>
          <w:rFonts w:ascii="Arial" w:hAnsi="Arial" w:cs="Arial"/>
        </w:rPr>
      </w:pPr>
      <w:r w:rsidRPr="001D3894">
        <w:rPr>
          <w:rFonts w:ascii="Arial" w:hAnsi="Arial" w:cs="Arial"/>
        </w:rPr>
        <w:t>Building on Le and Phi (2021), hotels should develop subscription models, hybrid events, and cross-industry collaborations. Innovation must remain continuous and data-driven to sustain long-term competitiveness</w:t>
      </w:r>
      <w:r w:rsidR="00275553">
        <w:rPr>
          <w:rFonts w:ascii="Arial" w:hAnsi="Arial" w:cs="Arial"/>
        </w:rPr>
        <w:t>.</w:t>
      </w:r>
    </w:p>
    <w:p w14:paraId="17FD2D5D" w14:textId="5349E365" w:rsidR="00760A3E" w:rsidRDefault="00760A3E" w:rsidP="00275553">
      <w:pPr>
        <w:spacing w:line="360" w:lineRule="auto"/>
        <w:jc w:val="both"/>
        <w:rPr>
          <w:rFonts w:ascii="Arial" w:hAnsi="Arial" w:cs="Arial"/>
        </w:rPr>
      </w:pPr>
      <w:r w:rsidRPr="00222D22">
        <w:rPr>
          <w:rFonts w:ascii="Arial" w:hAnsi="Arial" w:cs="Arial"/>
          <w:u w:val="single"/>
        </w:rPr>
        <w:br/>
      </w:r>
      <w:r w:rsidRPr="00222D22">
        <w:rPr>
          <w:rFonts w:ascii="Arial" w:hAnsi="Arial" w:cs="Arial"/>
        </w:rPr>
        <w:t>Ultimately, hotels that embrace diversification, digitalisation, sustainability, and business model transformation will be best positioned to thrive in a future where business commuting is no longer the primary driver of performance.</w:t>
      </w:r>
    </w:p>
    <w:p w14:paraId="6B120FF2" w14:textId="77777777" w:rsidR="00C50514" w:rsidRPr="00C50514" w:rsidRDefault="00C50514" w:rsidP="00C50514">
      <w:pPr>
        <w:spacing w:line="360" w:lineRule="auto"/>
        <w:jc w:val="both"/>
        <w:rPr>
          <w:rFonts w:ascii="Arial" w:hAnsi="Arial" w:cs="Arial"/>
          <w:u w:val="single"/>
          <w:lang w:val="en-US"/>
        </w:rPr>
      </w:pPr>
      <w:r w:rsidRPr="00C50514">
        <w:rPr>
          <w:rFonts w:ascii="Arial" w:hAnsi="Arial" w:cs="Arial"/>
          <w:u w:val="single"/>
          <w:lang w:val="en-US"/>
        </w:rPr>
        <w:t>Policy Implications</w:t>
      </w:r>
    </w:p>
    <w:p w14:paraId="2EFAAD61" w14:textId="77777777" w:rsidR="00C50514" w:rsidRPr="00C50514" w:rsidRDefault="00C50514" w:rsidP="00C50514">
      <w:pPr>
        <w:spacing w:line="360" w:lineRule="auto"/>
        <w:jc w:val="both"/>
        <w:rPr>
          <w:rFonts w:ascii="Arial" w:hAnsi="Arial" w:cs="Arial"/>
          <w:lang w:val="en-US"/>
        </w:rPr>
      </w:pPr>
      <w:r w:rsidRPr="00C50514">
        <w:rPr>
          <w:rFonts w:ascii="Arial" w:hAnsi="Arial" w:cs="Arial"/>
          <w:lang w:val="en-US"/>
        </w:rPr>
        <w:t>To support sustainable recovery, policymakers should collaborate with hotel associations to provide incentives for sustainability, digital adoption, and workforce development. Targeted grants, tax credits, and public–private innovation partnerships could help level the playing field between global chains and independent operators. Aligning private innovation with national tourism policy will ensure the UK’s hospitality sector remains competitive and inclusive in a structurally transformed global travel landscape.</w:t>
      </w:r>
    </w:p>
    <w:p w14:paraId="118B4319" w14:textId="77777777" w:rsidR="00C50514" w:rsidRDefault="00C50514" w:rsidP="00275553">
      <w:pPr>
        <w:spacing w:line="360" w:lineRule="auto"/>
        <w:jc w:val="both"/>
        <w:rPr>
          <w:rFonts w:ascii="Arial" w:hAnsi="Arial" w:cs="Arial"/>
        </w:rPr>
      </w:pPr>
    </w:p>
    <w:p w14:paraId="401D696B" w14:textId="77777777" w:rsidR="00382E21" w:rsidRPr="00222D22" w:rsidRDefault="00382E21" w:rsidP="00275553">
      <w:pPr>
        <w:spacing w:line="360" w:lineRule="auto"/>
        <w:jc w:val="both"/>
        <w:rPr>
          <w:rFonts w:ascii="Arial" w:hAnsi="Arial" w:cs="Arial"/>
        </w:rPr>
      </w:pPr>
    </w:p>
    <w:p w14:paraId="669E74BC" w14:textId="77777777" w:rsidR="00333033" w:rsidRPr="00222D22" w:rsidRDefault="00333033" w:rsidP="00760A3E">
      <w:pPr>
        <w:spacing w:line="360" w:lineRule="auto"/>
        <w:jc w:val="both"/>
        <w:rPr>
          <w:rFonts w:ascii="Arial" w:hAnsi="Arial" w:cs="Arial"/>
        </w:rPr>
      </w:pPr>
    </w:p>
    <w:p w14:paraId="2BAABE37" w14:textId="77777777" w:rsidR="00333033" w:rsidRDefault="00333033" w:rsidP="00760A3E">
      <w:pPr>
        <w:spacing w:line="360" w:lineRule="auto"/>
        <w:jc w:val="both"/>
        <w:rPr>
          <w:rFonts w:ascii="Arial" w:hAnsi="Arial" w:cs="Arial"/>
        </w:rPr>
      </w:pPr>
    </w:p>
    <w:p w14:paraId="36D65BC1" w14:textId="77777777" w:rsidR="005C0351" w:rsidRDefault="005C0351" w:rsidP="00760A3E">
      <w:pPr>
        <w:spacing w:line="360" w:lineRule="auto"/>
        <w:jc w:val="both"/>
        <w:rPr>
          <w:rFonts w:ascii="Arial" w:hAnsi="Arial" w:cs="Arial"/>
        </w:rPr>
      </w:pPr>
    </w:p>
    <w:p w14:paraId="5DDC8B8F" w14:textId="77777777" w:rsidR="005C0351" w:rsidRDefault="005C0351" w:rsidP="00760A3E">
      <w:pPr>
        <w:spacing w:line="360" w:lineRule="auto"/>
        <w:jc w:val="both"/>
        <w:rPr>
          <w:rFonts w:ascii="Arial" w:hAnsi="Arial" w:cs="Arial"/>
        </w:rPr>
      </w:pPr>
    </w:p>
    <w:p w14:paraId="4683C9F8" w14:textId="77777777" w:rsidR="005C0351" w:rsidRDefault="005C0351" w:rsidP="00760A3E">
      <w:pPr>
        <w:spacing w:line="360" w:lineRule="auto"/>
        <w:jc w:val="both"/>
        <w:rPr>
          <w:rFonts w:ascii="Arial" w:hAnsi="Arial" w:cs="Arial"/>
        </w:rPr>
      </w:pPr>
    </w:p>
    <w:p w14:paraId="091305D8" w14:textId="77777777" w:rsidR="005C0351" w:rsidRDefault="005C0351" w:rsidP="00760A3E">
      <w:pPr>
        <w:spacing w:line="360" w:lineRule="auto"/>
        <w:jc w:val="both"/>
        <w:rPr>
          <w:rFonts w:ascii="Arial" w:hAnsi="Arial" w:cs="Arial"/>
        </w:rPr>
      </w:pPr>
    </w:p>
    <w:p w14:paraId="11686792" w14:textId="77777777" w:rsidR="005C0351" w:rsidRDefault="005C0351" w:rsidP="00760A3E">
      <w:pPr>
        <w:spacing w:line="360" w:lineRule="auto"/>
        <w:jc w:val="both"/>
        <w:rPr>
          <w:rFonts w:ascii="Arial" w:hAnsi="Arial" w:cs="Arial"/>
        </w:rPr>
      </w:pPr>
    </w:p>
    <w:p w14:paraId="328F26E6" w14:textId="77777777" w:rsidR="005C0351" w:rsidRPr="00222D22" w:rsidRDefault="005C0351" w:rsidP="00760A3E">
      <w:pPr>
        <w:spacing w:line="360" w:lineRule="auto"/>
        <w:jc w:val="both"/>
        <w:rPr>
          <w:rFonts w:ascii="Arial" w:hAnsi="Arial" w:cs="Arial"/>
        </w:rPr>
      </w:pPr>
    </w:p>
    <w:p w14:paraId="282845EB" w14:textId="75F3CA40" w:rsidR="00333033" w:rsidRPr="00B4679D" w:rsidRDefault="00333033" w:rsidP="00760A3E">
      <w:pPr>
        <w:spacing w:line="360" w:lineRule="auto"/>
        <w:jc w:val="both"/>
        <w:rPr>
          <w:rFonts w:ascii="Arial" w:hAnsi="Arial" w:cs="Arial"/>
          <w:b/>
          <w:bCs/>
        </w:rPr>
      </w:pPr>
      <w:r w:rsidRPr="00B4679D">
        <w:rPr>
          <w:rFonts w:ascii="Arial" w:hAnsi="Arial" w:cs="Arial"/>
          <w:b/>
          <w:bCs/>
        </w:rPr>
        <w:lastRenderedPageBreak/>
        <w:t>References list</w:t>
      </w:r>
    </w:p>
    <w:p w14:paraId="2D5FAFBA" w14:textId="77777777" w:rsidR="007E4802" w:rsidRPr="00222D22" w:rsidRDefault="007E4802" w:rsidP="00CF3465">
      <w:pPr>
        <w:spacing w:line="360" w:lineRule="auto"/>
        <w:jc w:val="both"/>
        <w:rPr>
          <w:rFonts w:ascii="Arial" w:hAnsi="Arial" w:cs="Arial"/>
        </w:rPr>
      </w:pPr>
    </w:p>
    <w:p w14:paraId="4AE549C9" w14:textId="5CD7261C" w:rsidR="007E4802" w:rsidRPr="00222D22" w:rsidRDefault="007E4802" w:rsidP="00CF3465">
      <w:pPr>
        <w:spacing w:line="360" w:lineRule="auto"/>
        <w:jc w:val="both"/>
        <w:rPr>
          <w:rFonts w:ascii="Arial" w:hAnsi="Arial" w:cs="Arial"/>
        </w:rPr>
      </w:pPr>
      <w:r w:rsidRPr="00222D22">
        <w:rPr>
          <w:rFonts w:ascii="Arial" w:hAnsi="Arial" w:cs="Arial"/>
        </w:rPr>
        <w:t>Accor (20</w:t>
      </w:r>
      <w:r w:rsidR="000C1098" w:rsidRPr="00222D22">
        <w:rPr>
          <w:rFonts w:ascii="Arial" w:hAnsi="Arial" w:cs="Arial"/>
        </w:rPr>
        <w:t>19</w:t>
      </w:r>
      <w:r w:rsidRPr="00222D22">
        <w:rPr>
          <w:rFonts w:ascii="Arial" w:hAnsi="Arial" w:cs="Arial"/>
        </w:rPr>
        <w:t xml:space="preserve">) ‘Accor launches plan with Wojo to become the largest co-working brand in Europe’, </w:t>
      </w:r>
      <w:r w:rsidRPr="00222D22">
        <w:rPr>
          <w:rFonts w:ascii="Arial" w:hAnsi="Arial" w:cs="Arial"/>
          <w:i/>
          <w:iCs/>
        </w:rPr>
        <w:t>Hospitality</w:t>
      </w:r>
      <w:r w:rsidR="000C1098" w:rsidRPr="00222D22">
        <w:rPr>
          <w:rFonts w:ascii="Arial" w:hAnsi="Arial" w:cs="Arial"/>
          <w:i/>
          <w:iCs/>
        </w:rPr>
        <w:t xml:space="preserve"> </w:t>
      </w:r>
      <w:r w:rsidRPr="00222D22">
        <w:rPr>
          <w:rFonts w:ascii="Arial" w:hAnsi="Arial" w:cs="Arial"/>
          <w:i/>
          <w:iCs/>
        </w:rPr>
        <w:t>Net</w:t>
      </w:r>
      <w:r w:rsidRPr="00222D22">
        <w:rPr>
          <w:rFonts w:ascii="Arial" w:hAnsi="Arial" w:cs="Arial"/>
        </w:rPr>
        <w:t xml:space="preserve">, </w:t>
      </w:r>
      <w:r w:rsidR="000C1098" w:rsidRPr="00222D22">
        <w:rPr>
          <w:rFonts w:ascii="Arial" w:hAnsi="Arial" w:cs="Arial"/>
        </w:rPr>
        <w:t>6 May</w:t>
      </w:r>
      <w:r w:rsidRPr="00222D22">
        <w:rPr>
          <w:rFonts w:ascii="Arial" w:hAnsi="Arial" w:cs="Arial"/>
        </w:rPr>
        <w:t xml:space="preserve">. Available at: </w:t>
      </w:r>
      <w:hyperlink r:id="rId8" w:history="1">
        <w:r w:rsidRPr="00222D22">
          <w:rPr>
            <w:rStyle w:val="Hyperlink"/>
            <w:rFonts w:ascii="Arial" w:hAnsi="Arial" w:cs="Arial"/>
          </w:rPr>
          <w:t>https://www.hospitalitynet.org/news/4093206.html</w:t>
        </w:r>
      </w:hyperlink>
      <w:r w:rsidRPr="00222D22">
        <w:rPr>
          <w:rFonts w:ascii="Arial" w:hAnsi="Arial" w:cs="Arial"/>
        </w:rPr>
        <w:t xml:space="preserve">  (Accessed: 10 October 2025).</w:t>
      </w:r>
    </w:p>
    <w:p w14:paraId="594C8E57" w14:textId="690E635C" w:rsidR="007E4802" w:rsidRPr="00222D22" w:rsidRDefault="007E4802" w:rsidP="00CF3465">
      <w:pPr>
        <w:spacing w:line="360" w:lineRule="auto"/>
        <w:jc w:val="both"/>
        <w:rPr>
          <w:rFonts w:ascii="Arial" w:hAnsi="Arial" w:cs="Arial"/>
        </w:rPr>
      </w:pPr>
      <w:r w:rsidRPr="00222D22">
        <w:rPr>
          <w:rFonts w:ascii="Arial" w:hAnsi="Arial" w:cs="Arial"/>
        </w:rPr>
        <w:t xml:space="preserve">Accor (2023) </w:t>
      </w:r>
      <w:r w:rsidRPr="00222D22">
        <w:rPr>
          <w:rFonts w:ascii="Arial" w:hAnsi="Arial" w:cs="Arial"/>
          <w:i/>
          <w:iCs/>
        </w:rPr>
        <w:t>Hospitality Ahead: Transforming How We Welcome, Engage and Manage</w:t>
      </w:r>
      <w:r w:rsidR="00146516" w:rsidRPr="00222D22">
        <w:rPr>
          <w:rFonts w:ascii="Arial" w:hAnsi="Arial" w:cs="Arial"/>
        </w:rPr>
        <w:t xml:space="preserve">. </w:t>
      </w:r>
      <w:r w:rsidRPr="00222D22">
        <w:rPr>
          <w:rFonts w:ascii="Arial" w:hAnsi="Arial" w:cs="Arial"/>
        </w:rPr>
        <w:t xml:space="preserve">Available at: </w:t>
      </w:r>
      <w:hyperlink r:id="rId9" w:history="1">
        <w:r w:rsidRPr="00222D22">
          <w:rPr>
            <w:rStyle w:val="Hyperlink"/>
            <w:rFonts w:ascii="Arial" w:hAnsi="Arial" w:cs="Arial"/>
          </w:rPr>
          <w:t>https://group.accor.com/-/media/Corporate/Medias/Documents/2023/03/10/Hospitality-Ahead_Accor-Report_2023.pdf</w:t>
        </w:r>
      </w:hyperlink>
      <w:r w:rsidRPr="00222D22">
        <w:rPr>
          <w:rFonts w:ascii="Arial" w:hAnsi="Arial" w:cs="Arial"/>
        </w:rPr>
        <w:t xml:space="preserve">  (Accessed: 8 October 2025).</w:t>
      </w:r>
    </w:p>
    <w:p w14:paraId="68FD9624"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Accor (2024) ‘Extended Stay: Insights into a thriving trend’, </w:t>
      </w:r>
      <w:r w:rsidRPr="00222D22">
        <w:rPr>
          <w:rFonts w:ascii="Arial" w:hAnsi="Arial" w:cs="Arial"/>
          <w:i/>
          <w:iCs/>
        </w:rPr>
        <w:t>Accor Group News</w:t>
      </w:r>
      <w:r w:rsidRPr="00222D22">
        <w:rPr>
          <w:rFonts w:ascii="Arial" w:hAnsi="Arial" w:cs="Arial"/>
        </w:rPr>
        <w:t xml:space="preserve">, 31 January. Available at: </w:t>
      </w:r>
      <w:hyperlink r:id="rId10" w:history="1">
        <w:r w:rsidRPr="00222D22">
          <w:rPr>
            <w:rStyle w:val="Hyperlink"/>
            <w:rFonts w:ascii="Arial" w:hAnsi="Arial" w:cs="Arial"/>
          </w:rPr>
          <w:t>https://group.accor.com/en/news-stories/extended-stay-trends-opportunities</w:t>
        </w:r>
      </w:hyperlink>
      <w:r w:rsidRPr="00222D22">
        <w:rPr>
          <w:rFonts w:ascii="Arial" w:hAnsi="Arial" w:cs="Arial"/>
        </w:rPr>
        <w:t xml:space="preserve">  (Accessed: 6 October 2025).</w:t>
      </w:r>
    </w:p>
    <w:p w14:paraId="4A23A87C" w14:textId="05F95C66" w:rsidR="007E4802" w:rsidRDefault="007E4802" w:rsidP="00CF3465">
      <w:pPr>
        <w:spacing w:line="360" w:lineRule="auto"/>
        <w:jc w:val="both"/>
        <w:rPr>
          <w:rFonts w:ascii="Arial" w:hAnsi="Arial" w:cs="Arial"/>
        </w:rPr>
      </w:pPr>
      <w:r w:rsidRPr="00222D22">
        <w:rPr>
          <w:rFonts w:ascii="Arial" w:hAnsi="Arial" w:cs="Arial"/>
        </w:rPr>
        <w:t xml:space="preserve">ALFEHAID, M.M. et al. (2024) ‘POST-PANDEMIC DIGITAL TRANSFORMATION: MITIGATING TECHNOSTRESS AND INCREASING WELL-BEING IN THE HOSPITALITY INDUSTRY VIA THE PERSON-TECHNOLOGY FIT MODEL’, </w:t>
      </w:r>
      <w:r w:rsidRPr="00222D22">
        <w:rPr>
          <w:rFonts w:ascii="Arial" w:hAnsi="Arial" w:cs="Arial"/>
          <w:i/>
          <w:iCs/>
        </w:rPr>
        <w:t>Geo Journal of Tourism and Geosites,</w:t>
      </w:r>
      <w:r w:rsidRPr="00222D22">
        <w:rPr>
          <w:rFonts w:ascii="Arial" w:hAnsi="Arial" w:cs="Arial"/>
        </w:rPr>
        <w:t xml:space="preserve"> 53(2), pp. 388–399. Available at: </w:t>
      </w:r>
      <w:hyperlink r:id="rId11" w:history="1">
        <w:r w:rsidR="003D64FE" w:rsidRPr="0076482F">
          <w:rPr>
            <w:rStyle w:val="Hyperlink"/>
            <w:rFonts w:ascii="Arial" w:hAnsi="Arial" w:cs="Arial"/>
          </w:rPr>
          <w:t>https://doi.org/10.30892/gtg.53202-1214</w:t>
        </w:r>
      </w:hyperlink>
      <w:r w:rsidRPr="00222D22">
        <w:rPr>
          <w:rFonts w:ascii="Arial" w:hAnsi="Arial" w:cs="Arial"/>
        </w:rPr>
        <w:t>.</w:t>
      </w:r>
    </w:p>
    <w:p w14:paraId="35CF608F" w14:textId="2BD067C8" w:rsidR="003D64FE" w:rsidRPr="00222D22" w:rsidRDefault="003D64FE" w:rsidP="00CF3465">
      <w:pPr>
        <w:spacing w:line="360" w:lineRule="auto"/>
        <w:jc w:val="both"/>
        <w:rPr>
          <w:rFonts w:ascii="Arial" w:hAnsi="Arial" w:cs="Arial"/>
        </w:rPr>
      </w:pPr>
      <w:r w:rsidRPr="003D64FE">
        <w:rPr>
          <w:rFonts w:ascii="Arial" w:hAnsi="Arial" w:cs="Arial"/>
        </w:rPr>
        <w:t>Armstrong, M. and Taylor, S. (2020) </w:t>
      </w:r>
      <w:r w:rsidRPr="003D64FE">
        <w:rPr>
          <w:rFonts w:ascii="Arial" w:hAnsi="Arial" w:cs="Arial"/>
          <w:i/>
          <w:iCs/>
        </w:rPr>
        <w:t>Armstrong’s handbook of human resource management practice</w:t>
      </w:r>
      <w:r w:rsidRPr="003D64FE">
        <w:rPr>
          <w:rFonts w:ascii="Arial" w:hAnsi="Arial" w:cs="Arial"/>
        </w:rPr>
        <w:t xml:space="preserve">. 15th edition. London, United </w:t>
      </w:r>
      <w:proofErr w:type="gramStart"/>
      <w:r w:rsidRPr="003D64FE">
        <w:rPr>
          <w:rFonts w:ascii="Arial" w:hAnsi="Arial" w:cs="Arial"/>
        </w:rPr>
        <w:t>Kingdom ;</w:t>
      </w:r>
      <w:proofErr w:type="gramEnd"/>
      <w:r w:rsidRPr="003D64FE">
        <w:rPr>
          <w:rFonts w:ascii="Arial" w:hAnsi="Arial" w:cs="Arial"/>
        </w:rPr>
        <w:t xml:space="preserve"> KoganPage.</w:t>
      </w:r>
    </w:p>
    <w:p w14:paraId="03AF34B7"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Batala, B. and Slevitch, L. (2024) ‘Keeping two balls in the air: The bleisure travel experience’, </w:t>
      </w:r>
      <w:r w:rsidRPr="00222D22">
        <w:rPr>
          <w:rFonts w:ascii="Arial" w:hAnsi="Arial" w:cs="Arial"/>
          <w:i/>
          <w:iCs/>
        </w:rPr>
        <w:t>Annals of tourism research empirical insights</w:t>
      </w:r>
      <w:r w:rsidRPr="00222D22">
        <w:rPr>
          <w:rFonts w:ascii="Arial" w:hAnsi="Arial" w:cs="Arial"/>
        </w:rPr>
        <w:t>, 5(1). Available at: https://doi.org/10.1016/j.annale.2023.100115.</w:t>
      </w:r>
    </w:p>
    <w:p w14:paraId="7385FF88" w14:textId="61A100E6" w:rsidR="007E4802" w:rsidRDefault="007E4802" w:rsidP="00CF3465">
      <w:pPr>
        <w:spacing w:line="360" w:lineRule="auto"/>
        <w:jc w:val="both"/>
        <w:rPr>
          <w:rFonts w:ascii="Arial" w:hAnsi="Arial" w:cs="Arial"/>
        </w:rPr>
      </w:pPr>
      <w:r w:rsidRPr="00222D22">
        <w:rPr>
          <w:rFonts w:ascii="Arial" w:hAnsi="Arial" w:cs="Arial"/>
        </w:rPr>
        <w:t xml:space="preserve">Baum, T. and Hai, N.T.T. (2020) ‘Hospitality, tourism, human rights and the impact of COVID-19’, </w:t>
      </w:r>
      <w:r w:rsidRPr="00222D22">
        <w:rPr>
          <w:rFonts w:ascii="Arial" w:hAnsi="Arial" w:cs="Arial"/>
          <w:i/>
          <w:iCs/>
        </w:rPr>
        <w:t xml:space="preserve">International </w:t>
      </w:r>
      <w:r w:rsidR="0094522E">
        <w:rPr>
          <w:rFonts w:ascii="Arial" w:hAnsi="Arial" w:cs="Arial"/>
          <w:i/>
          <w:iCs/>
        </w:rPr>
        <w:t>Journal</w:t>
      </w:r>
      <w:r w:rsidRPr="00222D22">
        <w:rPr>
          <w:rFonts w:ascii="Arial" w:hAnsi="Arial" w:cs="Arial"/>
          <w:i/>
          <w:iCs/>
        </w:rPr>
        <w:t xml:space="preserve"> of </w:t>
      </w:r>
      <w:r w:rsidR="0094522E">
        <w:rPr>
          <w:rFonts w:ascii="Arial" w:hAnsi="Arial" w:cs="Arial"/>
          <w:i/>
          <w:iCs/>
        </w:rPr>
        <w:t>Contemporary Hospitality Management</w:t>
      </w:r>
      <w:r w:rsidRPr="00222D22">
        <w:rPr>
          <w:rFonts w:ascii="Arial" w:hAnsi="Arial" w:cs="Arial"/>
        </w:rPr>
        <w:t xml:space="preserve">, 32(7), pp. 2397–2407. Available at: </w:t>
      </w:r>
      <w:hyperlink r:id="rId12" w:history="1">
        <w:r w:rsidR="003C01B9" w:rsidRPr="0076482F">
          <w:rPr>
            <w:rStyle w:val="Hyperlink"/>
            <w:rFonts w:ascii="Arial" w:hAnsi="Arial" w:cs="Arial"/>
          </w:rPr>
          <w:t>https://doi.org/10.1108/IJCHM-03-2020-0242</w:t>
        </w:r>
      </w:hyperlink>
      <w:r w:rsidRPr="00222D22">
        <w:rPr>
          <w:rFonts w:ascii="Arial" w:hAnsi="Arial" w:cs="Arial"/>
        </w:rPr>
        <w:t>.</w:t>
      </w:r>
    </w:p>
    <w:p w14:paraId="4463717B" w14:textId="079AA7F3" w:rsidR="003C01B9" w:rsidRPr="00222D22" w:rsidRDefault="003C01B9" w:rsidP="00CF3465">
      <w:pPr>
        <w:spacing w:line="360" w:lineRule="auto"/>
        <w:jc w:val="both"/>
        <w:rPr>
          <w:rFonts w:ascii="Arial" w:hAnsi="Arial" w:cs="Arial"/>
        </w:rPr>
      </w:pPr>
      <w:r w:rsidRPr="003C01B9">
        <w:rPr>
          <w:rFonts w:ascii="Arial" w:hAnsi="Arial" w:cs="Arial"/>
        </w:rPr>
        <w:t>Barsalou, M. and Starzyńska, B. (2023) ‘Inquiry into the Use of Five Whys in Industry’, </w:t>
      </w:r>
      <w:r w:rsidRPr="003C01B9">
        <w:rPr>
          <w:rFonts w:ascii="Arial" w:hAnsi="Arial" w:cs="Arial"/>
          <w:i/>
          <w:iCs/>
        </w:rPr>
        <w:t>Kvalita inovácia prosperita</w:t>
      </w:r>
      <w:r w:rsidRPr="003C01B9">
        <w:rPr>
          <w:rFonts w:ascii="Arial" w:hAnsi="Arial" w:cs="Arial"/>
        </w:rPr>
        <w:t>, 27(1), pp. 62–78. Available at: https://doi.org/10.12776/qip.v27i1.1771.</w:t>
      </w:r>
    </w:p>
    <w:p w14:paraId="76A9074E" w14:textId="48232773" w:rsidR="007E4802" w:rsidRPr="00222D22" w:rsidRDefault="00592260" w:rsidP="00CF3465">
      <w:pPr>
        <w:spacing w:line="360" w:lineRule="auto"/>
        <w:jc w:val="both"/>
        <w:rPr>
          <w:rFonts w:ascii="Arial" w:hAnsi="Arial" w:cs="Arial"/>
        </w:rPr>
      </w:pPr>
      <w:r w:rsidRPr="00222D22">
        <w:rPr>
          <w:rFonts w:ascii="Arial" w:hAnsi="Arial" w:cs="Arial"/>
        </w:rPr>
        <w:lastRenderedPageBreak/>
        <w:t>Bu</w:t>
      </w:r>
      <w:r w:rsidR="00397723" w:rsidRPr="00222D22">
        <w:rPr>
          <w:rFonts w:ascii="Arial" w:hAnsi="Arial" w:cs="Arial"/>
        </w:rPr>
        <w:t>si</w:t>
      </w:r>
      <w:r w:rsidRPr="00222D22">
        <w:rPr>
          <w:rFonts w:ascii="Arial" w:hAnsi="Arial" w:cs="Arial"/>
        </w:rPr>
        <w:t>ness Trave</w:t>
      </w:r>
      <w:r w:rsidR="007B13B2" w:rsidRPr="00222D22">
        <w:rPr>
          <w:rFonts w:ascii="Arial" w:hAnsi="Arial" w:cs="Arial"/>
        </w:rPr>
        <w:t>ller</w:t>
      </w:r>
      <w:r w:rsidR="007E4802" w:rsidRPr="00222D22">
        <w:rPr>
          <w:rFonts w:ascii="Arial" w:hAnsi="Arial" w:cs="Arial"/>
        </w:rPr>
        <w:t xml:space="preserve"> (2020) ‘Marriott launches work-from-hotel packages’, </w:t>
      </w:r>
      <w:r w:rsidR="007E4802" w:rsidRPr="00222D22">
        <w:rPr>
          <w:rFonts w:ascii="Arial" w:hAnsi="Arial" w:cs="Arial"/>
          <w:i/>
          <w:iCs/>
        </w:rPr>
        <w:t>Business Traveller</w:t>
      </w:r>
      <w:r w:rsidR="007E4802" w:rsidRPr="00222D22">
        <w:rPr>
          <w:rFonts w:ascii="Arial" w:hAnsi="Arial" w:cs="Arial"/>
        </w:rPr>
        <w:t xml:space="preserve">, 28 October. Available at: </w:t>
      </w:r>
      <w:hyperlink r:id="rId13" w:history="1">
        <w:r w:rsidR="007E4802" w:rsidRPr="00222D22">
          <w:rPr>
            <w:rStyle w:val="Hyperlink"/>
            <w:rFonts w:ascii="Arial" w:hAnsi="Arial" w:cs="Arial"/>
          </w:rPr>
          <w:t>https://www.businesstraveller.com/business-travel/2020/10/28/marriott-launches-work-from-hotel-packages/</w:t>
        </w:r>
      </w:hyperlink>
      <w:r w:rsidR="007E4802" w:rsidRPr="00222D22">
        <w:rPr>
          <w:rFonts w:ascii="Arial" w:hAnsi="Arial" w:cs="Arial"/>
        </w:rPr>
        <w:t xml:space="preserve">  (Accessed: 7 October 2025). </w:t>
      </w:r>
    </w:p>
    <w:p w14:paraId="4D8A21C3"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CitizenM (2021) ‘CitizenM launches corporate subscription for frequent travellers and remote workers’, CitizenM Official Website. Available at: </w:t>
      </w:r>
      <w:hyperlink r:id="rId14" w:history="1">
        <w:r w:rsidRPr="00222D22">
          <w:rPr>
            <w:rStyle w:val="Hyperlink"/>
            <w:rFonts w:ascii="Arial" w:hAnsi="Arial" w:cs="Arial"/>
          </w:rPr>
          <w:t>https://www.citizenm.com/corporate-subscription</w:t>
        </w:r>
      </w:hyperlink>
      <w:r w:rsidRPr="00222D22">
        <w:rPr>
          <w:rFonts w:ascii="Arial" w:hAnsi="Arial" w:cs="Arial"/>
        </w:rPr>
        <w:t xml:space="preserve">  (Accessed: 10 October 2025).</w:t>
      </w:r>
    </w:p>
    <w:p w14:paraId="473E1B5E"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Dayuse.co.uk (2025) </w:t>
      </w:r>
      <w:proofErr w:type="gramStart"/>
      <w:r w:rsidRPr="00222D22">
        <w:rPr>
          <w:rFonts w:ascii="Arial" w:hAnsi="Arial" w:cs="Arial"/>
        </w:rPr>
        <w:t>Book day</w:t>
      </w:r>
      <w:proofErr w:type="gramEnd"/>
      <w:r w:rsidRPr="00222D22">
        <w:rPr>
          <w:rFonts w:ascii="Arial" w:hAnsi="Arial" w:cs="Arial"/>
        </w:rPr>
        <w:t xml:space="preserve">-use hotels by the hour. Available at: </w:t>
      </w:r>
      <w:hyperlink r:id="rId15" w:history="1">
        <w:r w:rsidRPr="00222D22">
          <w:rPr>
            <w:rStyle w:val="Hyperlink"/>
            <w:rFonts w:ascii="Arial" w:hAnsi="Arial" w:cs="Arial"/>
          </w:rPr>
          <w:t>https://www.dayuse.co.uk/</w:t>
        </w:r>
      </w:hyperlink>
      <w:r w:rsidRPr="00222D22">
        <w:rPr>
          <w:rFonts w:ascii="Arial" w:hAnsi="Arial" w:cs="Arial"/>
        </w:rPr>
        <w:t xml:space="preserve"> (Accessed: 10 October 2025).</w:t>
      </w:r>
    </w:p>
    <w:p w14:paraId="34ACC3B5"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Deloitte (UK) (n.d.) The hospitality industry: Time for recovery. Deloitte UK. Available at: </w:t>
      </w:r>
      <w:hyperlink r:id="rId16" w:history="1">
        <w:r w:rsidRPr="00222D22">
          <w:rPr>
            <w:rStyle w:val="Hyperlink"/>
            <w:rFonts w:ascii="Arial" w:hAnsi="Arial" w:cs="Arial"/>
          </w:rPr>
          <w:t>https://www.deloitte.com/uk/en/services/consulting-financial/perspectives/the-hospitality-industry-time-for-recovery.html</w:t>
        </w:r>
      </w:hyperlink>
      <w:r w:rsidRPr="00222D22">
        <w:rPr>
          <w:rFonts w:ascii="Arial" w:hAnsi="Arial" w:cs="Arial"/>
        </w:rPr>
        <w:t xml:space="preserve">  (Accessed: 7 October 2025).</w:t>
      </w:r>
    </w:p>
    <w:p w14:paraId="4D8E59A1" w14:textId="77777777" w:rsidR="007E4802" w:rsidRPr="00222D22" w:rsidRDefault="007E4802" w:rsidP="00CF3465">
      <w:pPr>
        <w:spacing w:line="360" w:lineRule="auto"/>
        <w:jc w:val="both"/>
        <w:rPr>
          <w:rFonts w:ascii="Arial" w:hAnsi="Arial" w:cs="Arial"/>
        </w:rPr>
      </w:pPr>
      <w:r w:rsidRPr="00222D22">
        <w:rPr>
          <w:rFonts w:ascii="Arial" w:hAnsi="Arial" w:cs="Arial"/>
        </w:rPr>
        <w:t>El-Said, O.A. et al. (2023) ‘From complexity to evolution: Mapping resilience management practices in the hospitality industry during the COVID-19 crisis’, International Journal of Hospitality Management, 110. Available at: https://doi.org/10.1016/j.ijhm.2023.103435.</w:t>
      </w:r>
    </w:p>
    <w:p w14:paraId="59E9067E" w14:textId="397F1DB4" w:rsidR="007E4802" w:rsidRPr="00222D22" w:rsidRDefault="007E4802" w:rsidP="00CF3465">
      <w:pPr>
        <w:spacing w:line="360" w:lineRule="auto"/>
        <w:jc w:val="both"/>
        <w:rPr>
          <w:rFonts w:ascii="Arial" w:hAnsi="Arial" w:cs="Arial"/>
        </w:rPr>
      </w:pPr>
      <w:r w:rsidRPr="00222D22">
        <w:rPr>
          <w:rFonts w:ascii="Arial" w:hAnsi="Arial" w:cs="Arial"/>
        </w:rPr>
        <w:t xml:space="preserve">Ennismore (2022) </w:t>
      </w:r>
      <w:r w:rsidR="00347DDE" w:rsidRPr="00222D22">
        <w:rPr>
          <w:rFonts w:ascii="Arial" w:hAnsi="Arial" w:cs="Arial"/>
        </w:rPr>
        <w:t>‘The Hoxton continues to build its global community with seven new European hotels to open by early 2024’</w:t>
      </w:r>
      <w:r w:rsidRPr="00222D22">
        <w:rPr>
          <w:rFonts w:ascii="Arial" w:hAnsi="Arial" w:cs="Arial"/>
        </w:rPr>
        <w:t xml:space="preserve">, </w:t>
      </w:r>
      <w:r w:rsidRPr="00222D22">
        <w:rPr>
          <w:rFonts w:ascii="Arial" w:hAnsi="Arial" w:cs="Arial"/>
          <w:i/>
          <w:iCs/>
        </w:rPr>
        <w:t>Hospitality</w:t>
      </w:r>
      <w:r w:rsidR="0041540F" w:rsidRPr="00222D22">
        <w:rPr>
          <w:rFonts w:ascii="Arial" w:hAnsi="Arial" w:cs="Arial"/>
          <w:i/>
          <w:iCs/>
        </w:rPr>
        <w:t xml:space="preserve"> </w:t>
      </w:r>
      <w:r w:rsidRPr="00222D22">
        <w:rPr>
          <w:rFonts w:ascii="Arial" w:hAnsi="Arial" w:cs="Arial"/>
          <w:i/>
          <w:iCs/>
        </w:rPr>
        <w:t>Net</w:t>
      </w:r>
      <w:r w:rsidRPr="00222D22">
        <w:rPr>
          <w:rFonts w:ascii="Arial" w:hAnsi="Arial" w:cs="Arial"/>
        </w:rPr>
        <w:t xml:space="preserve">, </w:t>
      </w:r>
      <w:r w:rsidR="0041540F" w:rsidRPr="00222D22">
        <w:rPr>
          <w:rFonts w:ascii="Arial" w:hAnsi="Arial" w:cs="Arial"/>
        </w:rPr>
        <w:t>17 October</w:t>
      </w:r>
      <w:r w:rsidRPr="00222D22">
        <w:rPr>
          <w:rFonts w:ascii="Arial" w:hAnsi="Arial" w:cs="Arial"/>
        </w:rPr>
        <w:t xml:space="preserve">. Available at: </w:t>
      </w:r>
      <w:hyperlink r:id="rId17" w:history="1">
        <w:r w:rsidRPr="00222D22">
          <w:rPr>
            <w:rStyle w:val="Hyperlink"/>
            <w:rFonts w:ascii="Arial" w:hAnsi="Arial" w:cs="Arial"/>
          </w:rPr>
          <w:t>https://www.hospitalitynet.org/news/4112967.html</w:t>
        </w:r>
      </w:hyperlink>
      <w:r w:rsidRPr="00222D22">
        <w:rPr>
          <w:rFonts w:ascii="Arial" w:hAnsi="Arial" w:cs="Arial"/>
        </w:rPr>
        <w:t xml:space="preserve"> (Accessed: 10 October 2025).</w:t>
      </w:r>
    </w:p>
    <w:p w14:paraId="5BAB0855" w14:textId="5161451C" w:rsidR="007E4802" w:rsidRDefault="007E4802" w:rsidP="00CF3465">
      <w:pPr>
        <w:spacing w:line="360" w:lineRule="auto"/>
        <w:jc w:val="both"/>
        <w:rPr>
          <w:rFonts w:ascii="Arial" w:hAnsi="Arial" w:cs="Arial"/>
        </w:rPr>
      </w:pPr>
      <w:r w:rsidRPr="00222D22">
        <w:rPr>
          <w:rFonts w:ascii="Arial" w:hAnsi="Arial" w:cs="Arial"/>
        </w:rPr>
        <w:t xml:space="preserve">Floričić, T. and Pavia, N. (2021) 'Linkage of leisure with remote work and digital nomadism in tourist accommodation facilities', </w:t>
      </w:r>
      <w:r w:rsidRPr="00222D22">
        <w:rPr>
          <w:rFonts w:ascii="Arial" w:hAnsi="Arial" w:cs="Arial"/>
          <w:i/>
          <w:iCs/>
        </w:rPr>
        <w:t>To</w:t>
      </w:r>
      <w:r w:rsidR="0041540F" w:rsidRPr="00222D22">
        <w:rPr>
          <w:rFonts w:ascii="Arial" w:hAnsi="Arial" w:cs="Arial"/>
          <w:i/>
          <w:iCs/>
        </w:rPr>
        <w:t xml:space="preserve"> </w:t>
      </w:r>
      <w:r w:rsidRPr="00222D22">
        <w:rPr>
          <w:rFonts w:ascii="Arial" w:hAnsi="Arial" w:cs="Arial"/>
          <w:i/>
          <w:iCs/>
        </w:rPr>
        <w:t>SEE – Tourism in Southern and Eastern Europe</w:t>
      </w:r>
      <w:r w:rsidRPr="00222D22">
        <w:rPr>
          <w:rFonts w:ascii="Arial" w:hAnsi="Arial" w:cs="Arial"/>
        </w:rPr>
        <w:t xml:space="preserve">, 6, pp. 247-268. DOI: </w:t>
      </w:r>
      <w:hyperlink r:id="rId18" w:history="1">
        <w:r w:rsidR="00F04AAF" w:rsidRPr="0076482F">
          <w:rPr>
            <w:rStyle w:val="Hyperlink"/>
            <w:rFonts w:ascii="Arial" w:hAnsi="Arial" w:cs="Arial"/>
          </w:rPr>
          <w:t>https://doi.org/10.20867/tosee.06.17</w:t>
        </w:r>
      </w:hyperlink>
      <w:r w:rsidRPr="00222D22">
        <w:rPr>
          <w:rFonts w:ascii="Arial" w:hAnsi="Arial" w:cs="Arial"/>
        </w:rPr>
        <w:t>.</w:t>
      </w:r>
    </w:p>
    <w:p w14:paraId="6F2858D3" w14:textId="0B4142BA" w:rsidR="00F04AAF" w:rsidRPr="00222D22" w:rsidRDefault="00F04AAF" w:rsidP="00CF3465">
      <w:pPr>
        <w:spacing w:line="360" w:lineRule="auto"/>
        <w:jc w:val="both"/>
        <w:rPr>
          <w:rFonts w:ascii="Arial" w:hAnsi="Arial" w:cs="Arial"/>
        </w:rPr>
      </w:pPr>
      <w:r w:rsidRPr="00F04AAF">
        <w:rPr>
          <w:rFonts w:ascii="Arial" w:hAnsi="Arial" w:cs="Arial"/>
        </w:rPr>
        <w:t xml:space="preserve">Global Business Travel Association (GBTA) (2023) </w:t>
      </w:r>
      <w:r w:rsidRPr="00F04AAF">
        <w:rPr>
          <w:rFonts w:ascii="Arial" w:hAnsi="Arial" w:cs="Arial"/>
          <w:i/>
          <w:iCs/>
        </w:rPr>
        <w:t>2023 Business Travel Inde</w:t>
      </w:r>
      <w:r>
        <w:rPr>
          <w:rFonts w:ascii="Arial" w:hAnsi="Arial" w:cs="Arial"/>
          <w:i/>
          <w:iCs/>
        </w:rPr>
        <w:t>x</w:t>
      </w:r>
      <w:r w:rsidRPr="00F04AAF">
        <w:rPr>
          <w:rFonts w:ascii="Arial" w:hAnsi="Arial" w:cs="Arial"/>
          <w:i/>
          <w:iCs/>
        </w:rPr>
        <w:t xml:space="preserve"> Outlook – Annual Global Report &amp; Forecast</w:t>
      </w:r>
      <w:r w:rsidRPr="00F04AAF">
        <w:rPr>
          <w:rFonts w:ascii="Arial" w:hAnsi="Arial" w:cs="Arial"/>
        </w:rPr>
        <w:t xml:space="preserve">. Available at: </w:t>
      </w:r>
      <w:hyperlink r:id="rId19" w:tgtFrame="_new" w:history="1">
        <w:r w:rsidRPr="00F04AAF">
          <w:rPr>
            <w:rStyle w:val="Hyperlink"/>
            <w:rFonts w:ascii="Arial" w:hAnsi="Arial" w:cs="Arial"/>
          </w:rPr>
          <w:t>https://www.gbta.org/wp-content/uploads/GBTA-2023-BTI-Full-Report_FINAL.pdf</w:t>
        </w:r>
      </w:hyperlink>
      <w:r w:rsidRPr="00F04AAF">
        <w:rPr>
          <w:rFonts w:ascii="Arial" w:hAnsi="Arial" w:cs="Arial"/>
        </w:rPr>
        <w:t xml:space="preserve"> (Accessed: 2</w:t>
      </w:r>
      <w:r>
        <w:rPr>
          <w:rFonts w:ascii="Arial" w:hAnsi="Arial" w:cs="Arial"/>
        </w:rPr>
        <w:t>0</w:t>
      </w:r>
      <w:r w:rsidRPr="00F04AAF">
        <w:rPr>
          <w:rFonts w:ascii="Arial" w:hAnsi="Arial" w:cs="Arial"/>
        </w:rPr>
        <w:t xml:space="preserve"> October 2025).</w:t>
      </w:r>
    </w:p>
    <w:p w14:paraId="4B6B88AF"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Gössling, S. and Schweiggart, N. (2022) ‘Two years of COVID-19 and tourism: what we learned, and what we should have learned’, </w:t>
      </w:r>
      <w:r w:rsidRPr="00222D22">
        <w:rPr>
          <w:rFonts w:ascii="Arial" w:hAnsi="Arial" w:cs="Arial"/>
          <w:i/>
          <w:iCs/>
        </w:rPr>
        <w:t>Journal of Sustainable Tourism</w:t>
      </w:r>
      <w:r w:rsidRPr="00222D22">
        <w:rPr>
          <w:rFonts w:ascii="Arial" w:hAnsi="Arial" w:cs="Arial"/>
        </w:rPr>
        <w:t>, 30(4), pp. 915–931. doi: 10.1080/09669582.2022.2029872.</w:t>
      </w:r>
    </w:p>
    <w:p w14:paraId="77677950" w14:textId="77777777" w:rsidR="007E4802" w:rsidRPr="00222D22" w:rsidRDefault="007E4802" w:rsidP="00CF3465">
      <w:pPr>
        <w:spacing w:line="360" w:lineRule="auto"/>
        <w:jc w:val="both"/>
        <w:rPr>
          <w:rFonts w:ascii="Arial" w:hAnsi="Arial" w:cs="Arial"/>
        </w:rPr>
      </w:pPr>
      <w:r w:rsidRPr="00222D22">
        <w:rPr>
          <w:rFonts w:ascii="Arial" w:hAnsi="Arial" w:cs="Arial"/>
        </w:rPr>
        <w:lastRenderedPageBreak/>
        <w:t xml:space="preserve">Gössling, S., Scott, D. and Hall, C.M. (2021) ‘Pandemics, tourism and global change: a rapid assessment of COVID-19’, </w:t>
      </w:r>
      <w:r w:rsidRPr="00222D22">
        <w:rPr>
          <w:rFonts w:ascii="Arial" w:hAnsi="Arial" w:cs="Arial"/>
          <w:i/>
          <w:iCs/>
        </w:rPr>
        <w:t>Journal of sustainable tourism</w:t>
      </w:r>
      <w:r w:rsidRPr="00222D22">
        <w:rPr>
          <w:rFonts w:ascii="Arial" w:hAnsi="Arial" w:cs="Arial"/>
        </w:rPr>
        <w:t>, 29(1), pp. 1–20. Available at: https://doi.org/10.1080/09669582.2020.1758708.</w:t>
      </w:r>
    </w:p>
    <w:p w14:paraId="12942051" w14:textId="36051D76" w:rsidR="007E4802" w:rsidRPr="00222D22" w:rsidRDefault="007E4802" w:rsidP="00CF3465">
      <w:pPr>
        <w:spacing w:line="360" w:lineRule="auto"/>
        <w:jc w:val="both"/>
        <w:rPr>
          <w:rFonts w:ascii="Arial" w:hAnsi="Arial" w:cs="Arial"/>
        </w:rPr>
      </w:pPr>
      <w:r w:rsidRPr="00222D22">
        <w:rPr>
          <w:rFonts w:ascii="Arial" w:hAnsi="Arial" w:cs="Arial"/>
        </w:rPr>
        <w:t xml:space="preserve">Gursoy, D. and Chi, C. (2022) ‘Effects of COVID-19 on hospitality workforce and operations’, </w:t>
      </w:r>
      <w:r w:rsidRPr="00222D22">
        <w:rPr>
          <w:rFonts w:ascii="Arial" w:hAnsi="Arial" w:cs="Arial"/>
          <w:i/>
          <w:iCs/>
        </w:rPr>
        <w:t>Tourism Management Perspectives</w:t>
      </w:r>
      <w:r w:rsidRPr="00222D22">
        <w:rPr>
          <w:rFonts w:ascii="Arial" w:hAnsi="Arial" w:cs="Arial"/>
        </w:rPr>
        <w:t>, 44, 101027.</w:t>
      </w:r>
    </w:p>
    <w:p w14:paraId="57A86EBC"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Gursoy, D. and Chi, C.G. (2020) ‘Effects of COVID-19 pandemic on hospitality industry: review of the current situations and a research agenda’, </w:t>
      </w:r>
      <w:r w:rsidRPr="00222D22">
        <w:rPr>
          <w:rFonts w:ascii="Arial" w:hAnsi="Arial" w:cs="Arial"/>
          <w:i/>
          <w:iCs/>
        </w:rPr>
        <w:t>Journal of hospitality marketing &amp; management</w:t>
      </w:r>
      <w:r w:rsidRPr="00222D22">
        <w:rPr>
          <w:rFonts w:ascii="Arial" w:hAnsi="Arial" w:cs="Arial"/>
        </w:rPr>
        <w:t>, 29(5), pp. 527–529. Available at: https://doi.org/10.1080/19368623.2020.1788231.</w:t>
      </w:r>
    </w:p>
    <w:p w14:paraId="73ACFBAF"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Hao, F., Xiao, Q. and Chon, K. (2020) ‘COVID-19 and China’s Hotel Industry: Impacts, a Disaster Management Framework, and Post-Pandemic Agenda’, </w:t>
      </w:r>
      <w:r w:rsidRPr="00222D22">
        <w:rPr>
          <w:rFonts w:ascii="Arial" w:hAnsi="Arial" w:cs="Arial"/>
          <w:i/>
          <w:iCs/>
        </w:rPr>
        <w:t>International journal of hospitality management</w:t>
      </w:r>
      <w:r w:rsidRPr="00222D22">
        <w:rPr>
          <w:rFonts w:ascii="Arial" w:hAnsi="Arial" w:cs="Arial"/>
        </w:rPr>
        <w:t>, 90. Available at: https://doi.org/10.1016/j.ijhm.2020.102636.</w:t>
      </w:r>
    </w:p>
    <w:p w14:paraId="4E405D29"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Hermann, I. and Paris, C. (2020) ‘Digital Nomadism: the nexus of remote working and travel mobility’, </w:t>
      </w:r>
      <w:r w:rsidRPr="00222D22">
        <w:rPr>
          <w:rFonts w:ascii="Arial" w:hAnsi="Arial" w:cs="Arial"/>
          <w:i/>
          <w:iCs/>
        </w:rPr>
        <w:t>Information</w:t>
      </w:r>
      <w:r w:rsidRPr="00222D22">
        <w:rPr>
          <w:rFonts w:ascii="Arial" w:hAnsi="Arial" w:cs="Arial"/>
        </w:rPr>
        <w:t>, 11(5), 273. DOI: 10.3390/info11050273</w:t>
      </w:r>
    </w:p>
    <w:p w14:paraId="1642E003" w14:textId="1E9BA1A2" w:rsidR="007E4802" w:rsidRPr="00222D22" w:rsidRDefault="007E4802" w:rsidP="00CF3465">
      <w:pPr>
        <w:spacing w:line="360" w:lineRule="auto"/>
        <w:jc w:val="both"/>
        <w:rPr>
          <w:rFonts w:ascii="Arial" w:hAnsi="Arial" w:cs="Arial"/>
        </w:rPr>
      </w:pPr>
      <w:r w:rsidRPr="00222D22">
        <w:rPr>
          <w:rFonts w:ascii="Arial" w:hAnsi="Arial" w:cs="Arial"/>
        </w:rPr>
        <w:t>Hilton (2021)</w:t>
      </w:r>
      <w:r w:rsidR="004C622A">
        <w:rPr>
          <w:rFonts w:ascii="Arial" w:hAnsi="Arial" w:cs="Arial"/>
        </w:rPr>
        <w:t xml:space="preserve">. </w:t>
      </w:r>
      <w:r w:rsidRPr="00222D22">
        <w:rPr>
          <w:rFonts w:ascii="Arial" w:hAnsi="Arial" w:cs="Arial"/>
        </w:rPr>
        <w:t xml:space="preserve">Hilton debuts industry-leading tech enhancements to support contactless guest experience, </w:t>
      </w:r>
      <w:r w:rsidRPr="00222D22">
        <w:rPr>
          <w:rFonts w:ascii="Arial" w:hAnsi="Arial" w:cs="Arial"/>
          <w:i/>
          <w:iCs/>
        </w:rPr>
        <w:t>Hilton Stories</w:t>
      </w:r>
      <w:r w:rsidRPr="00222D22">
        <w:rPr>
          <w:rFonts w:ascii="Arial" w:hAnsi="Arial" w:cs="Arial"/>
        </w:rPr>
        <w:t xml:space="preserve">. Available at: </w:t>
      </w:r>
      <w:hyperlink r:id="rId20" w:history="1">
        <w:r w:rsidRPr="00222D22">
          <w:rPr>
            <w:rStyle w:val="Hyperlink"/>
            <w:rFonts w:ascii="Arial" w:hAnsi="Arial" w:cs="Arial"/>
          </w:rPr>
          <w:t>https://stories.hilton.com/releases/hilton-debuts-industry-leading-tech-enhancements</w:t>
        </w:r>
      </w:hyperlink>
      <w:r w:rsidRPr="00222D22">
        <w:rPr>
          <w:rFonts w:ascii="Arial" w:hAnsi="Arial" w:cs="Arial"/>
        </w:rPr>
        <w:t xml:space="preserve"> (Accessed: 10 October 2025).</w:t>
      </w:r>
    </w:p>
    <w:p w14:paraId="1E989F12"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House of Commons Library (2021) </w:t>
      </w:r>
      <w:r w:rsidRPr="00222D22">
        <w:rPr>
          <w:rFonts w:ascii="Arial" w:hAnsi="Arial" w:cs="Arial"/>
          <w:i/>
          <w:iCs/>
        </w:rPr>
        <w:t>Hospitality industry and COVID-19</w:t>
      </w:r>
      <w:r w:rsidRPr="00222D22">
        <w:rPr>
          <w:rFonts w:ascii="Arial" w:hAnsi="Arial" w:cs="Arial"/>
        </w:rPr>
        <w:t xml:space="preserve">. Available at: </w:t>
      </w:r>
      <w:hyperlink r:id="rId21" w:history="1">
        <w:r w:rsidRPr="00222D22">
          <w:rPr>
            <w:rStyle w:val="Hyperlink"/>
            <w:rFonts w:ascii="Arial" w:hAnsi="Arial" w:cs="Arial"/>
          </w:rPr>
          <w:t>https://commonslibrary.parliament.uk/research-briefings/cbp-9111/</w:t>
        </w:r>
      </w:hyperlink>
      <w:r w:rsidRPr="00222D22">
        <w:rPr>
          <w:rFonts w:ascii="Arial" w:hAnsi="Arial" w:cs="Arial"/>
        </w:rPr>
        <w:t xml:space="preserve">  (Accessed: 7 October 2025).</w:t>
      </w:r>
    </w:p>
    <w:p w14:paraId="601B300E"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Hu, F. et al. (2021) ‘Dealing with pandemics: An investigation of the effects of COVID-19 on customers’ evaluations of hospitality services’, </w:t>
      </w:r>
      <w:r w:rsidRPr="00222D22">
        <w:rPr>
          <w:rFonts w:ascii="Arial" w:hAnsi="Arial" w:cs="Arial"/>
          <w:i/>
          <w:iCs/>
        </w:rPr>
        <w:t>Tourism management</w:t>
      </w:r>
      <w:r w:rsidRPr="00222D22">
        <w:rPr>
          <w:rFonts w:ascii="Arial" w:hAnsi="Arial" w:cs="Arial"/>
        </w:rPr>
        <w:t xml:space="preserve"> (1982), 85. Available at: https://doi.org/10.1016/j.tourman.2021.104320.</w:t>
      </w:r>
    </w:p>
    <w:p w14:paraId="0E0F83F9" w14:textId="53948111" w:rsidR="007E4802" w:rsidRPr="00222D22" w:rsidRDefault="007E4802" w:rsidP="00CF3465">
      <w:pPr>
        <w:spacing w:line="360" w:lineRule="auto"/>
        <w:jc w:val="both"/>
        <w:rPr>
          <w:rFonts w:ascii="Arial" w:hAnsi="Arial" w:cs="Arial"/>
        </w:rPr>
      </w:pPr>
      <w:r w:rsidRPr="00222D22">
        <w:rPr>
          <w:rFonts w:ascii="Arial" w:hAnsi="Arial" w:cs="Arial"/>
        </w:rPr>
        <w:t xml:space="preserve">IHG (2022) </w:t>
      </w:r>
      <w:r w:rsidRPr="00222D22">
        <w:rPr>
          <w:rFonts w:ascii="Arial" w:hAnsi="Arial" w:cs="Arial"/>
          <w:i/>
          <w:iCs/>
        </w:rPr>
        <w:t>Results and Presentations: Extended-stay segment performance, IHG PLC Investor Relations</w:t>
      </w:r>
      <w:r w:rsidRPr="00222D22">
        <w:rPr>
          <w:rFonts w:ascii="Arial" w:hAnsi="Arial" w:cs="Arial"/>
        </w:rPr>
        <w:t xml:space="preserve">. Available at: </w:t>
      </w:r>
      <w:hyperlink r:id="rId22" w:history="1">
        <w:r w:rsidRPr="00222D22">
          <w:rPr>
            <w:rStyle w:val="Hyperlink"/>
            <w:rFonts w:ascii="Arial" w:hAnsi="Arial" w:cs="Arial"/>
          </w:rPr>
          <w:t>https://www.ihgplc.com/en/investors/results-and-presentations</w:t>
        </w:r>
      </w:hyperlink>
      <w:r w:rsidRPr="00222D22">
        <w:rPr>
          <w:rFonts w:ascii="Arial" w:hAnsi="Arial" w:cs="Arial"/>
        </w:rPr>
        <w:t xml:space="preserve"> (Accessed: 10 October 2025).</w:t>
      </w:r>
    </w:p>
    <w:p w14:paraId="044696BE" w14:textId="77777777" w:rsidR="007E4802" w:rsidRPr="00222D22" w:rsidRDefault="007E4802" w:rsidP="00CF3465">
      <w:pPr>
        <w:spacing w:line="360" w:lineRule="auto"/>
        <w:jc w:val="both"/>
        <w:rPr>
          <w:rFonts w:ascii="Arial" w:hAnsi="Arial" w:cs="Arial"/>
        </w:rPr>
      </w:pPr>
      <w:r w:rsidRPr="00222D22">
        <w:rPr>
          <w:rFonts w:ascii="Arial" w:hAnsi="Arial" w:cs="Arial"/>
        </w:rPr>
        <w:lastRenderedPageBreak/>
        <w:t xml:space="preserve">Ioannides, D. and Gyimóthy, S. (2020) ‘The COVID-19 crisis as an opportunity for escaping the unsustainable global tourism path’, </w:t>
      </w:r>
      <w:r w:rsidRPr="00222D22">
        <w:rPr>
          <w:rFonts w:ascii="Arial" w:hAnsi="Arial" w:cs="Arial"/>
          <w:i/>
          <w:iCs/>
        </w:rPr>
        <w:t>Tourism geographies</w:t>
      </w:r>
      <w:r w:rsidRPr="00222D22">
        <w:rPr>
          <w:rFonts w:ascii="Arial" w:hAnsi="Arial" w:cs="Arial"/>
        </w:rPr>
        <w:t>, 22(3), pp. 624–632. Available at: https://doi.org/10.1080/14616688.2020.1763445.</w:t>
      </w:r>
    </w:p>
    <w:p w14:paraId="23119BBE" w14:textId="77777777" w:rsidR="007E4802" w:rsidRDefault="007E4802" w:rsidP="00CF3465">
      <w:pPr>
        <w:spacing w:line="360" w:lineRule="auto"/>
        <w:jc w:val="both"/>
        <w:rPr>
          <w:rFonts w:ascii="Arial" w:hAnsi="Arial" w:cs="Arial"/>
        </w:rPr>
      </w:pPr>
      <w:r w:rsidRPr="00222D22">
        <w:rPr>
          <w:rFonts w:ascii="Arial" w:hAnsi="Arial" w:cs="Arial"/>
        </w:rPr>
        <w:t xml:space="preserve">Jacobsen, J.K.S., Tømmervik, H. and Gjerald, O. (2023) ‘Travel discontinuities, enforced holidaying-at-home and domestic tourism’, </w:t>
      </w:r>
      <w:r w:rsidRPr="00222D22">
        <w:rPr>
          <w:rFonts w:ascii="Arial" w:hAnsi="Arial" w:cs="Arial"/>
          <w:i/>
          <w:iCs/>
        </w:rPr>
        <w:t>Tourism Geographies</w:t>
      </w:r>
      <w:r w:rsidRPr="00222D22">
        <w:rPr>
          <w:rFonts w:ascii="Arial" w:hAnsi="Arial" w:cs="Arial"/>
        </w:rPr>
        <w:t>, 25(4), pp. 684–703.</w:t>
      </w:r>
    </w:p>
    <w:p w14:paraId="2455E031" w14:textId="13A44019" w:rsidR="00977299" w:rsidRPr="00222D22" w:rsidRDefault="00977299" w:rsidP="00CF3465">
      <w:pPr>
        <w:spacing w:line="360" w:lineRule="auto"/>
        <w:jc w:val="both"/>
        <w:rPr>
          <w:rFonts w:ascii="Arial" w:hAnsi="Arial" w:cs="Arial"/>
        </w:rPr>
      </w:pPr>
      <w:r w:rsidRPr="00977299">
        <w:rPr>
          <w:rFonts w:ascii="Arial" w:hAnsi="Arial" w:cs="Arial"/>
        </w:rPr>
        <w:t>Johnson, G., Whittington, R. and Scholes, K. (2017)</w:t>
      </w:r>
      <w:r>
        <w:rPr>
          <w:rFonts w:ascii="Arial" w:hAnsi="Arial" w:cs="Arial"/>
        </w:rPr>
        <w:t xml:space="preserve"> </w:t>
      </w:r>
      <w:r w:rsidRPr="00977299">
        <w:rPr>
          <w:rFonts w:ascii="Arial" w:hAnsi="Arial" w:cs="Arial"/>
          <w:i/>
          <w:iCs/>
        </w:rPr>
        <w:t>Exploring strategy: text and cases</w:t>
      </w:r>
      <w:r w:rsidRPr="00977299">
        <w:rPr>
          <w:rFonts w:ascii="Arial" w:hAnsi="Arial" w:cs="Arial"/>
        </w:rPr>
        <w:t>. Eleventh edition. New York, New York State: Pearson.</w:t>
      </w:r>
    </w:p>
    <w:p w14:paraId="75907BA5" w14:textId="7C3CDA2A" w:rsidR="007E4802" w:rsidRPr="00222D22" w:rsidRDefault="007E4802" w:rsidP="00CF3465">
      <w:pPr>
        <w:spacing w:line="360" w:lineRule="auto"/>
        <w:jc w:val="both"/>
        <w:rPr>
          <w:rFonts w:ascii="Arial" w:hAnsi="Arial" w:cs="Arial"/>
        </w:rPr>
      </w:pPr>
      <w:r w:rsidRPr="00222D22">
        <w:rPr>
          <w:rFonts w:ascii="Arial" w:hAnsi="Arial" w:cs="Arial"/>
        </w:rPr>
        <w:t xml:space="preserve">Le, D. and Phi, G. (2021) ‘Strategic responses of the hotel sector to COVID-19: Toward a refined pandemic crisis management framework’, </w:t>
      </w:r>
      <w:r w:rsidRPr="00222D22">
        <w:rPr>
          <w:rFonts w:ascii="Arial" w:hAnsi="Arial" w:cs="Arial"/>
          <w:i/>
          <w:iCs/>
        </w:rPr>
        <w:t xml:space="preserve">International </w:t>
      </w:r>
      <w:r w:rsidR="00061E09" w:rsidRPr="00222D22">
        <w:rPr>
          <w:rFonts w:ascii="Arial" w:hAnsi="Arial" w:cs="Arial"/>
          <w:i/>
          <w:iCs/>
        </w:rPr>
        <w:t>J</w:t>
      </w:r>
      <w:r w:rsidRPr="00222D22">
        <w:rPr>
          <w:rFonts w:ascii="Arial" w:hAnsi="Arial" w:cs="Arial"/>
          <w:i/>
          <w:iCs/>
        </w:rPr>
        <w:t xml:space="preserve">ournal of </w:t>
      </w:r>
      <w:r w:rsidR="00061E09" w:rsidRPr="00222D22">
        <w:rPr>
          <w:rFonts w:ascii="Arial" w:hAnsi="Arial" w:cs="Arial"/>
          <w:i/>
          <w:iCs/>
        </w:rPr>
        <w:t>H</w:t>
      </w:r>
      <w:r w:rsidRPr="00222D22">
        <w:rPr>
          <w:rFonts w:ascii="Arial" w:hAnsi="Arial" w:cs="Arial"/>
          <w:i/>
          <w:iCs/>
        </w:rPr>
        <w:t xml:space="preserve">ospitality </w:t>
      </w:r>
      <w:r w:rsidR="00A61A2B" w:rsidRPr="00222D22">
        <w:rPr>
          <w:rFonts w:ascii="Arial" w:hAnsi="Arial" w:cs="Arial"/>
          <w:i/>
          <w:iCs/>
        </w:rPr>
        <w:t>M</w:t>
      </w:r>
      <w:r w:rsidRPr="00222D22">
        <w:rPr>
          <w:rFonts w:ascii="Arial" w:hAnsi="Arial" w:cs="Arial"/>
          <w:i/>
          <w:iCs/>
        </w:rPr>
        <w:t>anagement</w:t>
      </w:r>
      <w:r w:rsidRPr="00222D22">
        <w:rPr>
          <w:rFonts w:ascii="Arial" w:hAnsi="Arial" w:cs="Arial"/>
        </w:rPr>
        <w:t>, 94. Available at: https://doi.org/10.1016/j.ijhm.2020.102808.</w:t>
      </w:r>
    </w:p>
    <w:p w14:paraId="53944581" w14:textId="51A0626D" w:rsidR="007E4802" w:rsidRPr="00222D22" w:rsidRDefault="007E4802" w:rsidP="00CF3465">
      <w:pPr>
        <w:spacing w:line="360" w:lineRule="auto"/>
        <w:jc w:val="both"/>
        <w:rPr>
          <w:rFonts w:ascii="Arial" w:hAnsi="Arial" w:cs="Arial"/>
        </w:rPr>
      </w:pPr>
      <w:r w:rsidRPr="00222D22">
        <w:rPr>
          <w:rFonts w:ascii="Arial" w:hAnsi="Arial" w:cs="Arial"/>
        </w:rPr>
        <w:t xml:space="preserve">Lin, Z. (CJ) et al. (2021) ‘Inducing wellbeing through staycation programs in the midst of the COVID-19 crisis’, </w:t>
      </w:r>
      <w:r w:rsidRPr="00222D22">
        <w:rPr>
          <w:rFonts w:ascii="Arial" w:hAnsi="Arial" w:cs="Arial"/>
          <w:i/>
          <w:iCs/>
        </w:rPr>
        <w:t xml:space="preserve">Tourism </w:t>
      </w:r>
      <w:r w:rsidR="00A61A2B" w:rsidRPr="00222D22">
        <w:rPr>
          <w:rFonts w:ascii="Arial" w:hAnsi="Arial" w:cs="Arial"/>
          <w:i/>
          <w:iCs/>
        </w:rPr>
        <w:t>M</w:t>
      </w:r>
      <w:r w:rsidRPr="00222D22">
        <w:rPr>
          <w:rFonts w:ascii="Arial" w:hAnsi="Arial" w:cs="Arial"/>
          <w:i/>
          <w:iCs/>
        </w:rPr>
        <w:t xml:space="preserve">anagement </w:t>
      </w:r>
      <w:r w:rsidR="00A61A2B" w:rsidRPr="00222D22">
        <w:rPr>
          <w:rFonts w:ascii="Arial" w:hAnsi="Arial" w:cs="Arial"/>
          <w:i/>
          <w:iCs/>
        </w:rPr>
        <w:t>P</w:t>
      </w:r>
      <w:r w:rsidRPr="00222D22">
        <w:rPr>
          <w:rFonts w:ascii="Arial" w:hAnsi="Arial" w:cs="Arial"/>
          <w:i/>
          <w:iCs/>
        </w:rPr>
        <w:t>erspectives</w:t>
      </w:r>
      <w:r w:rsidRPr="00222D22">
        <w:rPr>
          <w:rFonts w:ascii="Arial" w:hAnsi="Arial" w:cs="Arial"/>
        </w:rPr>
        <w:t>, 40. Available at: https://doi.org/10.1016/j.tmp.2021.100907.</w:t>
      </w:r>
    </w:p>
    <w:p w14:paraId="7A3B50EF" w14:textId="6AB9FB3F" w:rsidR="007E4802" w:rsidRPr="00222D22" w:rsidRDefault="007E4802" w:rsidP="00CF3465">
      <w:pPr>
        <w:spacing w:line="360" w:lineRule="auto"/>
        <w:jc w:val="both"/>
        <w:rPr>
          <w:rFonts w:ascii="Arial" w:hAnsi="Arial" w:cs="Arial"/>
        </w:rPr>
      </w:pPr>
      <w:r w:rsidRPr="00222D22">
        <w:rPr>
          <w:rFonts w:ascii="Arial" w:hAnsi="Arial" w:cs="Arial"/>
        </w:rPr>
        <w:t>Marriott International (2020)</w:t>
      </w:r>
      <w:r w:rsidR="004C622A">
        <w:rPr>
          <w:rFonts w:ascii="Arial" w:hAnsi="Arial" w:cs="Arial"/>
        </w:rPr>
        <w:t xml:space="preserve"> </w:t>
      </w:r>
      <w:r w:rsidRPr="00222D22">
        <w:rPr>
          <w:rFonts w:ascii="Arial" w:hAnsi="Arial" w:cs="Arial"/>
        </w:rPr>
        <w:t xml:space="preserve">Marriott International announces new offering to work anywhere with Marriott Bonvoy, </w:t>
      </w:r>
      <w:r w:rsidRPr="00222D22">
        <w:rPr>
          <w:rFonts w:ascii="Arial" w:hAnsi="Arial" w:cs="Arial"/>
          <w:i/>
          <w:iCs/>
        </w:rPr>
        <w:t>PR Newswire</w:t>
      </w:r>
      <w:r w:rsidRPr="00222D22">
        <w:rPr>
          <w:rFonts w:ascii="Arial" w:hAnsi="Arial" w:cs="Arial"/>
        </w:rPr>
        <w:t xml:space="preserve">, 27 October. Available at: </w:t>
      </w:r>
      <w:hyperlink r:id="rId23" w:history="1">
        <w:r w:rsidRPr="00222D22">
          <w:rPr>
            <w:rStyle w:val="Hyperlink"/>
            <w:rFonts w:ascii="Arial" w:hAnsi="Arial" w:cs="Arial"/>
          </w:rPr>
          <w:t>https://www.prnewswire.com/news-releases/marriott-international-announces-new-offering-to-work-anywhere-with-marriott-bonvoy-as-an-alternative-to-working-from-home-for-the-day-overnight-or-getaway-301160591.html</w:t>
        </w:r>
      </w:hyperlink>
      <w:r w:rsidRPr="00222D22">
        <w:rPr>
          <w:rFonts w:ascii="Arial" w:hAnsi="Arial" w:cs="Arial"/>
        </w:rPr>
        <w:t xml:space="preserve"> (Accessed: 8 October 2025).</w:t>
      </w:r>
    </w:p>
    <w:p w14:paraId="6B0628C0" w14:textId="7BE88FE7" w:rsidR="007E4802" w:rsidRPr="00222D22" w:rsidRDefault="007E4802" w:rsidP="00CF3465">
      <w:pPr>
        <w:spacing w:line="360" w:lineRule="auto"/>
        <w:jc w:val="both"/>
        <w:rPr>
          <w:rFonts w:ascii="Arial" w:hAnsi="Arial" w:cs="Arial"/>
        </w:rPr>
      </w:pPr>
      <w:r w:rsidRPr="00222D22">
        <w:rPr>
          <w:rFonts w:ascii="Arial" w:hAnsi="Arial" w:cs="Arial"/>
        </w:rPr>
        <w:t xml:space="preserve">Mbatha, </w:t>
      </w:r>
      <w:r w:rsidR="002828AF" w:rsidRPr="00222D22">
        <w:rPr>
          <w:rFonts w:ascii="Arial" w:hAnsi="Arial" w:cs="Arial"/>
        </w:rPr>
        <w:t>B.T. (</w:t>
      </w:r>
      <w:r w:rsidRPr="00222D22">
        <w:rPr>
          <w:rFonts w:ascii="Arial" w:hAnsi="Arial" w:cs="Arial"/>
        </w:rPr>
        <w:t>2023)</w:t>
      </w:r>
      <w:r w:rsidR="004C622A">
        <w:rPr>
          <w:rFonts w:ascii="Arial" w:hAnsi="Arial" w:cs="Arial"/>
        </w:rPr>
        <w:t>.</w:t>
      </w:r>
      <w:r w:rsidRPr="00222D22">
        <w:rPr>
          <w:rFonts w:ascii="Arial" w:hAnsi="Arial" w:cs="Arial"/>
        </w:rPr>
        <w:t xml:space="preserve"> Digital Communication Recovery Strategy for Business Continuity amid Covid-19: Small and Medium Tourism Enterprises in Gauteng. </w:t>
      </w:r>
      <w:r w:rsidRPr="00222D22">
        <w:rPr>
          <w:rFonts w:ascii="Arial" w:hAnsi="Arial" w:cs="Arial"/>
          <w:i/>
          <w:iCs/>
        </w:rPr>
        <w:t>Mousaion</w:t>
      </w:r>
      <w:r w:rsidRPr="00222D22">
        <w:rPr>
          <w:rFonts w:ascii="Arial" w:hAnsi="Arial" w:cs="Arial"/>
        </w:rPr>
        <w:t>, 41(2).</w:t>
      </w:r>
    </w:p>
    <w:p w14:paraId="15363B34" w14:textId="366AE1B3" w:rsidR="007E4802" w:rsidRPr="00222D22" w:rsidRDefault="007E4802" w:rsidP="00CF3465">
      <w:pPr>
        <w:spacing w:line="360" w:lineRule="auto"/>
        <w:jc w:val="both"/>
        <w:rPr>
          <w:rFonts w:ascii="Arial" w:hAnsi="Arial" w:cs="Arial"/>
        </w:rPr>
      </w:pPr>
      <w:r w:rsidRPr="00222D22">
        <w:rPr>
          <w:rFonts w:ascii="Arial" w:hAnsi="Arial" w:cs="Arial"/>
        </w:rPr>
        <w:t xml:space="preserve">McKinsey &amp; Company (2023) </w:t>
      </w:r>
      <w:r w:rsidRPr="00222D22">
        <w:rPr>
          <w:rFonts w:ascii="Arial" w:hAnsi="Arial" w:cs="Arial"/>
          <w:i/>
          <w:iCs/>
        </w:rPr>
        <w:t>The Future of the Hotel Industry</w:t>
      </w:r>
      <w:r w:rsidRPr="00222D22">
        <w:rPr>
          <w:rFonts w:ascii="Arial" w:hAnsi="Arial" w:cs="Arial"/>
        </w:rPr>
        <w:t xml:space="preserve">. Available at: </w:t>
      </w:r>
      <w:hyperlink r:id="rId24" w:history="1">
        <w:r w:rsidRPr="00222D22">
          <w:rPr>
            <w:rStyle w:val="Hyperlink"/>
            <w:rFonts w:ascii="Arial" w:hAnsi="Arial" w:cs="Arial"/>
          </w:rPr>
          <w:t>https://www.mckinsey.com/featured-insights/the-next-normal/hotels</w:t>
        </w:r>
      </w:hyperlink>
      <w:r w:rsidRPr="00222D22">
        <w:rPr>
          <w:rFonts w:ascii="Arial" w:hAnsi="Arial" w:cs="Arial"/>
        </w:rPr>
        <w:t xml:space="preserve">  (Accessed: 7 October 2025).</w:t>
      </w:r>
    </w:p>
    <w:p w14:paraId="5C8A0438" w14:textId="77D9D165" w:rsidR="007E4802" w:rsidRPr="00222D22" w:rsidRDefault="007E4802" w:rsidP="00CF3465">
      <w:pPr>
        <w:spacing w:line="360" w:lineRule="auto"/>
        <w:jc w:val="both"/>
        <w:rPr>
          <w:rFonts w:ascii="Arial" w:hAnsi="Arial" w:cs="Arial"/>
        </w:rPr>
      </w:pPr>
      <w:r w:rsidRPr="00222D22">
        <w:rPr>
          <w:rFonts w:ascii="Arial" w:hAnsi="Arial" w:cs="Arial"/>
        </w:rPr>
        <w:t xml:space="preserve">Pijl, P. van der, Wijnen, R.A.A. and Lokitz, J. (2021). Business model </w:t>
      </w:r>
      <w:r w:rsidR="002828AF" w:rsidRPr="00222D22">
        <w:rPr>
          <w:rFonts w:ascii="Arial" w:hAnsi="Arial" w:cs="Arial"/>
        </w:rPr>
        <w:t>shifts:</w:t>
      </w:r>
      <w:r w:rsidRPr="00222D22">
        <w:rPr>
          <w:rFonts w:ascii="Arial" w:hAnsi="Arial" w:cs="Arial"/>
        </w:rPr>
        <w:t xml:space="preserve"> six ways to create new value for customers. Hoboken, New Jersey: John Wiley &amp; Sons, Incorporated.</w:t>
      </w:r>
    </w:p>
    <w:p w14:paraId="35D0B960"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Pillai, S.G. et al. (2021) ‘COVID-19 and hospitality 5.0: Redefining hospitality operations’, </w:t>
      </w:r>
      <w:r w:rsidRPr="00222D22">
        <w:rPr>
          <w:rFonts w:ascii="Arial" w:hAnsi="Arial" w:cs="Arial"/>
          <w:i/>
          <w:iCs/>
        </w:rPr>
        <w:t>International Journal of Hospitality Management</w:t>
      </w:r>
      <w:r w:rsidRPr="00222D22">
        <w:rPr>
          <w:rFonts w:ascii="Arial" w:hAnsi="Arial" w:cs="Arial"/>
        </w:rPr>
        <w:t>, 94. Available at: https://doi.org/10.1016/j.ijhm.2021.102869.</w:t>
      </w:r>
    </w:p>
    <w:p w14:paraId="60B5DC47" w14:textId="3D6167FE" w:rsidR="007E4802" w:rsidRPr="00222D22" w:rsidRDefault="007E4802" w:rsidP="00CF3465">
      <w:pPr>
        <w:spacing w:line="360" w:lineRule="auto"/>
        <w:jc w:val="both"/>
        <w:rPr>
          <w:rFonts w:ascii="Arial" w:hAnsi="Arial" w:cs="Arial"/>
        </w:rPr>
      </w:pPr>
      <w:r w:rsidRPr="00222D22">
        <w:rPr>
          <w:rFonts w:ascii="Arial" w:hAnsi="Arial" w:cs="Arial"/>
        </w:rPr>
        <w:lastRenderedPageBreak/>
        <w:t>Roadbook (2023)</w:t>
      </w:r>
      <w:r w:rsidR="004C622A">
        <w:rPr>
          <w:rFonts w:ascii="Arial" w:hAnsi="Arial" w:cs="Arial"/>
        </w:rPr>
        <w:t>:</w:t>
      </w:r>
      <w:r w:rsidRPr="00222D22">
        <w:rPr>
          <w:rFonts w:ascii="Arial" w:hAnsi="Arial" w:cs="Arial"/>
        </w:rPr>
        <w:t xml:space="preserve"> </w:t>
      </w:r>
      <w:r w:rsidRPr="00222D22">
        <w:rPr>
          <w:rFonts w:ascii="Arial" w:hAnsi="Arial" w:cs="Arial"/>
          <w:i/>
          <w:iCs/>
        </w:rPr>
        <w:t>How hotels are adapting to remote working and digital nomads</w:t>
      </w:r>
      <w:r w:rsidRPr="00222D22">
        <w:rPr>
          <w:rFonts w:ascii="Arial" w:hAnsi="Arial" w:cs="Arial"/>
        </w:rPr>
        <w:t xml:space="preserve">. Available at: </w:t>
      </w:r>
      <w:hyperlink r:id="rId25" w:history="1">
        <w:r w:rsidRPr="00222D22">
          <w:rPr>
            <w:rStyle w:val="Hyperlink"/>
            <w:rFonts w:ascii="Arial" w:hAnsi="Arial" w:cs="Arial"/>
          </w:rPr>
          <w:t>https://roadbook.com/travel/how-hotels-are-adapting-remote-working-digital-nomads/</w:t>
        </w:r>
      </w:hyperlink>
      <w:r w:rsidRPr="00222D22">
        <w:rPr>
          <w:rFonts w:ascii="Arial" w:hAnsi="Arial" w:cs="Arial"/>
        </w:rPr>
        <w:t xml:space="preserve">  (Accessed: 7 October 2025).</w:t>
      </w:r>
    </w:p>
    <w:p w14:paraId="3BD081FC"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RSM UK (2024) </w:t>
      </w:r>
      <w:r w:rsidRPr="00222D22">
        <w:rPr>
          <w:rFonts w:ascii="Arial" w:hAnsi="Arial" w:cs="Arial"/>
          <w:i/>
          <w:iCs/>
        </w:rPr>
        <w:t>Hotel sector makes astonishing recovery four years after lockdown</w:t>
      </w:r>
      <w:r w:rsidRPr="00222D22">
        <w:rPr>
          <w:rFonts w:ascii="Arial" w:hAnsi="Arial" w:cs="Arial"/>
        </w:rPr>
        <w:t xml:space="preserve">. Available at: </w:t>
      </w:r>
      <w:hyperlink r:id="rId26" w:history="1">
        <w:r w:rsidRPr="00222D22">
          <w:rPr>
            <w:rStyle w:val="Hyperlink"/>
            <w:rFonts w:ascii="Arial" w:hAnsi="Arial" w:cs="Arial"/>
          </w:rPr>
          <w:t>https://www.rsmuk.com/insights/hotels-tracker/hotel-sector-makes-astonishing-recovery-four-years-on-from-first-covid-lockdown</w:t>
        </w:r>
      </w:hyperlink>
      <w:r w:rsidRPr="00222D22">
        <w:rPr>
          <w:rFonts w:ascii="Arial" w:hAnsi="Arial" w:cs="Arial"/>
        </w:rPr>
        <w:t xml:space="preserve"> (Accessed: 7 October 2025).</w:t>
      </w:r>
    </w:p>
    <w:p w14:paraId="4917737E"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Scandic Hotels Group (2024) ‘Annual and Sustainability Report 2023/24’, </w:t>
      </w:r>
      <w:r w:rsidRPr="00222D22">
        <w:rPr>
          <w:rFonts w:ascii="Arial" w:hAnsi="Arial" w:cs="Arial"/>
          <w:i/>
          <w:iCs/>
        </w:rPr>
        <w:t>Scandic Hotels Group</w:t>
      </w:r>
      <w:r w:rsidRPr="00222D22">
        <w:rPr>
          <w:rFonts w:ascii="Arial" w:hAnsi="Arial" w:cs="Arial"/>
        </w:rPr>
        <w:t xml:space="preserve">. Available at: </w:t>
      </w:r>
      <w:hyperlink r:id="rId27" w:history="1">
        <w:r w:rsidRPr="00222D22">
          <w:rPr>
            <w:rStyle w:val="Hyperlink"/>
            <w:rFonts w:ascii="Arial" w:hAnsi="Arial" w:cs="Arial"/>
          </w:rPr>
          <w:t>https://www.scandichotelsgroup.com/media/press-releases/</w:t>
        </w:r>
      </w:hyperlink>
      <w:r w:rsidRPr="00222D22">
        <w:rPr>
          <w:rFonts w:ascii="Arial" w:hAnsi="Arial" w:cs="Arial"/>
        </w:rPr>
        <w:t xml:space="preserve"> (Accessed: 10 October 2025).</w:t>
      </w:r>
    </w:p>
    <w:p w14:paraId="23B68589"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Sigala, M. (2020) ‘Tourism and COVID-19: Impacts and implications for advancing and resetting industry and research’, </w:t>
      </w:r>
      <w:r w:rsidRPr="00222D22">
        <w:rPr>
          <w:rFonts w:ascii="Arial" w:hAnsi="Arial" w:cs="Arial"/>
          <w:i/>
          <w:iCs/>
        </w:rPr>
        <w:t>Journal of Business Research</w:t>
      </w:r>
      <w:r w:rsidRPr="00222D22">
        <w:rPr>
          <w:rFonts w:ascii="Arial" w:hAnsi="Arial" w:cs="Arial"/>
        </w:rPr>
        <w:t>, 117, pp. 312–321. Available at: https://doi.org/10.1016/j.jbusres.2020.06.015.</w:t>
      </w:r>
    </w:p>
    <w:p w14:paraId="22CFA894"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Sigala, M. (2022) ‘Digital transformation in the hospitality industry post-COVID-19’, </w:t>
      </w:r>
      <w:r w:rsidRPr="00222D22">
        <w:rPr>
          <w:rFonts w:ascii="Arial" w:hAnsi="Arial" w:cs="Arial"/>
          <w:i/>
          <w:iCs/>
        </w:rPr>
        <w:t>International Journal of Hospitality Management</w:t>
      </w:r>
      <w:r w:rsidRPr="00222D22">
        <w:rPr>
          <w:rFonts w:ascii="Arial" w:hAnsi="Arial" w:cs="Arial"/>
        </w:rPr>
        <w:t>, 102, 103172.</w:t>
      </w:r>
    </w:p>
    <w:p w14:paraId="1382EB58" w14:textId="5CDF5E8D" w:rsidR="007E4802" w:rsidRPr="00222D22" w:rsidRDefault="007E4802" w:rsidP="00CF3465">
      <w:pPr>
        <w:spacing w:line="360" w:lineRule="auto"/>
        <w:jc w:val="both"/>
        <w:rPr>
          <w:rFonts w:ascii="Arial" w:hAnsi="Arial" w:cs="Arial"/>
        </w:rPr>
      </w:pPr>
      <w:r w:rsidRPr="00222D22">
        <w:rPr>
          <w:rFonts w:ascii="Arial" w:hAnsi="Arial" w:cs="Arial"/>
        </w:rPr>
        <w:t xml:space="preserve">Skift (2024) ‘From office to anywhere: How Accor is redefining remote and hybrid workspaces, </w:t>
      </w:r>
      <w:r w:rsidRPr="00222D22">
        <w:rPr>
          <w:rFonts w:ascii="Arial" w:hAnsi="Arial" w:cs="Arial"/>
          <w:i/>
          <w:iCs/>
        </w:rPr>
        <w:t>Skift</w:t>
      </w:r>
      <w:r w:rsidRPr="00222D22">
        <w:rPr>
          <w:rFonts w:ascii="Arial" w:hAnsi="Arial" w:cs="Arial"/>
        </w:rPr>
        <w:t xml:space="preserve">, 27 September. Available at: </w:t>
      </w:r>
      <w:hyperlink r:id="rId28" w:history="1">
        <w:r w:rsidRPr="00222D22">
          <w:rPr>
            <w:rStyle w:val="Hyperlink"/>
            <w:rFonts w:ascii="Arial" w:hAnsi="Arial" w:cs="Arial"/>
          </w:rPr>
          <w:t>https://skift.com/2024/09/27/from-office-to-anywhere-how-accor-is-redefining-remote-and-hybrid-workspaces/</w:t>
        </w:r>
      </w:hyperlink>
      <w:r w:rsidRPr="00222D22">
        <w:rPr>
          <w:rFonts w:ascii="Arial" w:hAnsi="Arial" w:cs="Arial"/>
        </w:rPr>
        <w:t xml:space="preserve">  (Accessed: 9 October 2025).</w:t>
      </w:r>
    </w:p>
    <w:p w14:paraId="208B3D94" w14:textId="003B3AEB" w:rsidR="007E4802" w:rsidRPr="00222D22" w:rsidRDefault="007E4802" w:rsidP="00CF3465">
      <w:pPr>
        <w:spacing w:line="360" w:lineRule="auto"/>
        <w:jc w:val="both"/>
        <w:rPr>
          <w:rFonts w:ascii="Arial" w:hAnsi="Arial" w:cs="Arial"/>
        </w:rPr>
      </w:pPr>
      <w:r w:rsidRPr="00222D22">
        <w:rPr>
          <w:rFonts w:ascii="Arial" w:hAnsi="Arial" w:cs="Arial"/>
        </w:rPr>
        <w:t>Skift Research (2023)</w:t>
      </w:r>
      <w:r w:rsidR="004C622A">
        <w:rPr>
          <w:rFonts w:ascii="Arial" w:hAnsi="Arial" w:cs="Arial"/>
        </w:rPr>
        <w:t>.</w:t>
      </w:r>
      <w:r w:rsidRPr="00222D22">
        <w:rPr>
          <w:rFonts w:ascii="Arial" w:hAnsi="Arial" w:cs="Arial"/>
        </w:rPr>
        <w:t xml:space="preserve"> </w:t>
      </w:r>
      <w:r w:rsidRPr="00222D22">
        <w:rPr>
          <w:rFonts w:ascii="Arial" w:hAnsi="Arial" w:cs="Arial"/>
          <w:i/>
          <w:iCs/>
        </w:rPr>
        <w:t>Bleisure and Hybrid Travel Trends 2023</w:t>
      </w:r>
      <w:r w:rsidRPr="00222D22">
        <w:rPr>
          <w:rFonts w:ascii="Arial" w:hAnsi="Arial" w:cs="Arial"/>
        </w:rPr>
        <w:t xml:space="preserve">. Available at: </w:t>
      </w:r>
      <w:hyperlink r:id="rId29" w:history="1">
        <w:r w:rsidRPr="00222D22">
          <w:rPr>
            <w:rStyle w:val="Hyperlink"/>
            <w:rFonts w:ascii="Arial" w:hAnsi="Arial" w:cs="Arial"/>
          </w:rPr>
          <w:t>https://research.skift.com/</w:t>
        </w:r>
      </w:hyperlink>
      <w:r w:rsidRPr="00222D22">
        <w:rPr>
          <w:rFonts w:ascii="Arial" w:hAnsi="Arial" w:cs="Arial"/>
        </w:rPr>
        <w:t xml:space="preserve"> (Accessed: 7 October 2025).</w:t>
      </w:r>
    </w:p>
    <w:p w14:paraId="18C6097F"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Ukhina, T.V. et al. (2021) ‘Tourism After Lockdown: Will Business Travel Maintain Popularity?’, </w:t>
      </w:r>
      <w:r w:rsidRPr="00222D22">
        <w:rPr>
          <w:rFonts w:ascii="Arial" w:hAnsi="Arial" w:cs="Arial"/>
          <w:i/>
          <w:iCs/>
        </w:rPr>
        <w:t>Journal of Advanced Research in Management</w:t>
      </w:r>
      <w:r w:rsidRPr="00222D22">
        <w:rPr>
          <w:rFonts w:ascii="Arial" w:hAnsi="Arial" w:cs="Arial"/>
        </w:rPr>
        <w:t>, 12(2), pp. 89–99.</w:t>
      </w:r>
    </w:p>
    <w:p w14:paraId="0A643AA7" w14:textId="77777777" w:rsidR="007E4802" w:rsidRPr="00222D22" w:rsidRDefault="007E4802" w:rsidP="00CF3465">
      <w:pPr>
        <w:spacing w:line="360" w:lineRule="auto"/>
        <w:jc w:val="both"/>
        <w:rPr>
          <w:rFonts w:ascii="Arial" w:hAnsi="Arial" w:cs="Arial"/>
        </w:rPr>
      </w:pPr>
      <w:r w:rsidRPr="00222D22">
        <w:rPr>
          <w:rFonts w:ascii="Arial" w:hAnsi="Arial" w:cs="Arial"/>
        </w:rPr>
        <w:t xml:space="preserve">Whitbread PLC (2021) ‘Full Year Results: Domestic demand drives Premier Inn’s recovery’, </w:t>
      </w:r>
      <w:r w:rsidRPr="00222D22">
        <w:rPr>
          <w:rFonts w:ascii="Arial" w:hAnsi="Arial" w:cs="Arial"/>
          <w:i/>
          <w:iCs/>
        </w:rPr>
        <w:t>Whitbread Investor Reports</w:t>
      </w:r>
      <w:r w:rsidRPr="00222D22">
        <w:rPr>
          <w:rFonts w:ascii="Arial" w:hAnsi="Arial" w:cs="Arial"/>
        </w:rPr>
        <w:t xml:space="preserve">. Available at: </w:t>
      </w:r>
      <w:hyperlink r:id="rId30" w:history="1">
        <w:r w:rsidRPr="00222D22">
          <w:rPr>
            <w:rStyle w:val="Hyperlink"/>
            <w:rFonts w:ascii="Arial" w:hAnsi="Arial" w:cs="Arial"/>
          </w:rPr>
          <w:t>https://www.whitbread.co.uk/investors/results-reports-and-presentations/</w:t>
        </w:r>
      </w:hyperlink>
      <w:r w:rsidRPr="00222D22">
        <w:rPr>
          <w:rFonts w:ascii="Arial" w:hAnsi="Arial" w:cs="Arial"/>
        </w:rPr>
        <w:t xml:space="preserve"> (Accessed: 10 October 2025).</w:t>
      </w:r>
    </w:p>
    <w:p w14:paraId="422ABCC9" w14:textId="0EB14A09" w:rsidR="007E4802" w:rsidRPr="00222D22" w:rsidRDefault="007E4802" w:rsidP="00CF3465">
      <w:pPr>
        <w:spacing w:line="360" w:lineRule="auto"/>
        <w:jc w:val="both"/>
        <w:rPr>
          <w:rFonts w:ascii="Arial" w:hAnsi="Arial" w:cs="Arial"/>
        </w:rPr>
      </w:pPr>
      <w:r w:rsidRPr="00222D22">
        <w:rPr>
          <w:rFonts w:ascii="Arial" w:hAnsi="Arial" w:cs="Arial"/>
        </w:rPr>
        <w:lastRenderedPageBreak/>
        <w:t xml:space="preserve">Whitbread PLC (2022) </w:t>
      </w:r>
      <w:r w:rsidRPr="00222D22">
        <w:rPr>
          <w:rFonts w:ascii="Arial" w:hAnsi="Arial" w:cs="Arial"/>
          <w:i/>
          <w:iCs/>
        </w:rPr>
        <w:t>Force for Good: Sustainability Strategy</w:t>
      </w:r>
      <w:r w:rsidRPr="00222D22">
        <w:rPr>
          <w:rFonts w:ascii="Arial" w:hAnsi="Arial" w:cs="Arial"/>
        </w:rPr>
        <w:t xml:space="preserve">. Available at: </w:t>
      </w:r>
      <w:hyperlink r:id="rId31" w:history="1">
        <w:r w:rsidRPr="00222D22">
          <w:rPr>
            <w:rStyle w:val="Hyperlink"/>
            <w:rFonts w:ascii="Arial" w:hAnsi="Arial" w:cs="Arial"/>
          </w:rPr>
          <w:t>https://www.whitbread.co.uk/sustainability/</w:t>
        </w:r>
      </w:hyperlink>
      <w:r w:rsidRPr="00222D22">
        <w:rPr>
          <w:rFonts w:ascii="Arial" w:hAnsi="Arial" w:cs="Arial"/>
        </w:rPr>
        <w:t xml:space="preserve"> (Accessed: 10 October 2025).</w:t>
      </w:r>
    </w:p>
    <w:p w14:paraId="7C994200" w14:textId="77777777" w:rsidR="007E4802" w:rsidRDefault="007E4802" w:rsidP="00CF3465">
      <w:pPr>
        <w:spacing w:line="360" w:lineRule="auto"/>
        <w:jc w:val="both"/>
        <w:rPr>
          <w:rFonts w:ascii="Arial" w:hAnsi="Arial" w:cs="Arial"/>
        </w:rPr>
      </w:pPr>
      <w:r w:rsidRPr="00222D22">
        <w:rPr>
          <w:rFonts w:ascii="Arial" w:hAnsi="Arial" w:cs="Arial"/>
        </w:rPr>
        <w:t xml:space="preserve">World Travel &amp; Tourism Council (WTTC) (2023) </w:t>
      </w:r>
      <w:r w:rsidRPr="00222D22">
        <w:rPr>
          <w:rFonts w:ascii="Arial" w:hAnsi="Arial" w:cs="Arial"/>
          <w:i/>
          <w:iCs/>
        </w:rPr>
        <w:t>Travel &amp; Tourism Economic Impact 2023: Global Trends.</w:t>
      </w:r>
      <w:r w:rsidRPr="00222D22">
        <w:rPr>
          <w:rFonts w:ascii="Arial" w:hAnsi="Arial" w:cs="Arial"/>
        </w:rPr>
        <w:t xml:space="preserve"> Available at: </w:t>
      </w:r>
      <w:hyperlink r:id="rId32" w:history="1">
        <w:r w:rsidRPr="00222D22">
          <w:rPr>
            <w:rStyle w:val="Hyperlink"/>
            <w:rFonts w:ascii="Arial" w:hAnsi="Arial" w:cs="Arial"/>
          </w:rPr>
          <w:t>https://assets-global.website-files.com/6329bc97af73223b575983ac/64e6244d08528e654e406de6_EIR2023-Global-Trends-compressed%20(1).pdf</w:t>
        </w:r>
      </w:hyperlink>
      <w:r w:rsidRPr="00222D22">
        <w:rPr>
          <w:rFonts w:ascii="Arial" w:hAnsi="Arial" w:cs="Arial"/>
        </w:rPr>
        <w:t xml:space="preserve">  (Accessed: 6 October 2025).</w:t>
      </w:r>
    </w:p>
    <w:p w14:paraId="11E87094" w14:textId="16873B82" w:rsidR="007E4802" w:rsidRDefault="007E4802" w:rsidP="00CF3465">
      <w:pPr>
        <w:spacing w:line="360" w:lineRule="auto"/>
        <w:jc w:val="both"/>
        <w:rPr>
          <w:rFonts w:ascii="Arial" w:hAnsi="Arial" w:cs="Arial"/>
        </w:rPr>
      </w:pPr>
      <w:r w:rsidRPr="00222D22">
        <w:rPr>
          <w:rFonts w:ascii="Arial" w:hAnsi="Arial" w:cs="Arial"/>
        </w:rPr>
        <w:t xml:space="preserve">Yu, L. et al. (2023) ‘Changes in tourist mobility after COVID-19 outbreaks’, </w:t>
      </w:r>
      <w:r w:rsidRPr="00222D22">
        <w:rPr>
          <w:rFonts w:ascii="Arial" w:hAnsi="Arial" w:cs="Arial"/>
          <w:i/>
          <w:iCs/>
        </w:rPr>
        <w:t>Annals of tourism research</w:t>
      </w:r>
      <w:r w:rsidRPr="00222D22">
        <w:rPr>
          <w:rFonts w:ascii="Arial" w:hAnsi="Arial" w:cs="Arial"/>
        </w:rPr>
        <w:t xml:space="preserve">, 98. Available at: </w:t>
      </w:r>
      <w:hyperlink r:id="rId33" w:history="1">
        <w:r w:rsidR="00636390" w:rsidRPr="0076482F">
          <w:rPr>
            <w:rStyle w:val="Hyperlink"/>
            <w:rFonts w:ascii="Arial" w:hAnsi="Arial" w:cs="Arial"/>
          </w:rPr>
          <w:t>https://doi.org/10.1016/j.annals.2022.103522</w:t>
        </w:r>
      </w:hyperlink>
      <w:r w:rsidRPr="00222D22">
        <w:rPr>
          <w:rFonts w:ascii="Arial" w:hAnsi="Arial" w:cs="Arial"/>
        </w:rPr>
        <w:t>.</w:t>
      </w:r>
    </w:p>
    <w:p w14:paraId="1758A5F8" w14:textId="3491550F" w:rsidR="00636390" w:rsidRPr="00222D22" w:rsidRDefault="00636390" w:rsidP="00CF3465">
      <w:pPr>
        <w:spacing w:line="360" w:lineRule="auto"/>
        <w:jc w:val="both"/>
        <w:rPr>
          <w:rFonts w:ascii="Arial" w:hAnsi="Arial" w:cs="Arial"/>
        </w:rPr>
      </w:pPr>
      <w:r w:rsidRPr="00636390">
        <w:rPr>
          <w:rFonts w:ascii="Arial" w:hAnsi="Arial" w:cs="Arial"/>
        </w:rPr>
        <w:t>Yuan, Y. </w:t>
      </w:r>
      <w:r w:rsidRPr="00636390">
        <w:rPr>
          <w:rFonts w:ascii="Arial" w:hAnsi="Arial" w:cs="Arial"/>
          <w:i/>
          <w:iCs/>
        </w:rPr>
        <w:t>et al.</w:t>
      </w:r>
      <w:r w:rsidRPr="00636390">
        <w:rPr>
          <w:rFonts w:ascii="Arial" w:hAnsi="Arial" w:cs="Arial"/>
        </w:rPr>
        <w:t> (2022) ‘Customer-Oriented Strategic Planning for Hotel Competitiveness Improvement Based on Online Reviews’, </w:t>
      </w:r>
      <w:r w:rsidRPr="00636390">
        <w:rPr>
          <w:rFonts w:ascii="Arial" w:hAnsi="Arial" w:cs="Arial"/>
          <w:i/>
          <w:iCs/>
        </w:rPr>
        <w:t>Sustainability</w:t>
      </w:r>
      <w:r w:rsidRPr="00636390">
        <w:rPr>
          <w:rFonts w:ascii="Arial" w:hAnsi="Arial" w:cs="Arial"/>
        </w:rPr>
        <w:t>, 14(22), p. 15299. Available at: https://doi.org/10.3390/su142215299.</w:t>
      </w:r>
    </w:p>
    <w:p w14:paraId="37E4A10C" w14:textId="19DEDFE3" w:rsidR="00E64539" w:rsidRPr="004300FE" w:rsidRDefault="007E4802" w:rsidP="00912378">
      <w:pPr>
        <w:spacing w:line="360" w:lineRule="auto"/>
        <w:jc w:val="both"/>
        <w:rPr>
          <w:rFonts w:ascii="Arial" w:hAnsi="Arial" w:cs="Arial"/>
        </w:rPr>
      </w:pPr>
      <w:r w:rsidRPr="00222D22">
        <w:rPr>
          <w:rFonts w:ascii="Arial" w:hAnsi="Arial" w:cs="Arial"/>
        </w:rPr>
        <w:t xml:space="preserve">Zenker, S. and Kock, F. (2020) ‘The coronavirus pandemic – A critical discussion of a tourism research agenda’, </w:t>
      </w:r>
      <w:r w:rsidRPr="00222D22">
        <w:rPr>
          <w:rFonts w:ascii="Arial" w:hAnsi="Arial" w:cs="Arial"/>
          <w:i/>
          <w:iCs/>
        </w:rPr>
        <w:t>Tourism management</w:t>
      </w:r>
      <w:r w:rsidRPr="00222D22">
        <w:rPr>
          <w:rFonts w:ascii="Arial" w:hAnsi="Arial" w:cs="Arial"/>
        </w:rPr>
        <w:t xml:space="preserve"> (1982), 81. Available at: https://doi.org/10.1016/j.tourman.2020.104164.</w:t>
      </w:r>
    </w:p>
    <w:sectPr w:rsidR="00E64539" w:rsidRPr="004300FE" w:rsidSect="005F0ED6">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82846"/>
    <w:multiLevelType w:val="hybridMultilevel"/>
    <w:tmpl w:val="D1AE9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1111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ED6"/>
    <w:rsid w:val="00032BA2"/>
    <w:rsid w:val="00033037"/>
    <w:rsid w:val="000466AD"/>
    <w:rsid w:val="000474D5"/>
    <w:rsid w:val="00051AEE"/>
    <w:rsid w:val="00061E09"/>
    <w:rsid w:val="000758E8"/>
    <w:rsid w:val="00096216"/>
    <w:rsid w:val="000A0CDD"/>
    <w:rsid w:val="000B4A93"/>
    <w:rsid w:val="000B61D9"/>
    <w:rsid w:val="000C1098"/>
    <w:rsid w:val="000D260A"/>
    <w:rsid w:val="000F7136"/>
    <w:rsid w:val="000F7CB6"/>
    <w:rsid w:val="001119E7"/>
    <w:rsid w:val="00120941"/>
    <w:rsid w:val="00125E26"/>
    <w:rsid w:val="00140259"/>
    <w:rsid w:val="00146516"/>
    <w:rsid w:val="00177B13"/>
    <w:rsid w:val="001B2544"/>
    <w:rsid w:val="001B4783"/>
    <w:rsid w:val="001C2A74"/>
    <w:rsid w:val="001D3894"/>
    <w:rsid w:val="001E52C1"/>
    <w:rsid w:val="001F29EB"/>
    <w:rsid w:val="001F456D"/>
    <w:rsid w:val="002046FA"/>
    <w:rsid w:val="0020711A"/>
    <w:rsid w:val="00216E48"/>
    <w:rsid w:val="00222D22"/>
    <w:rsid w:val="002738B3"/>
    <w:rsid w:val="00275553"/>
    <w:rsid w:val="002828AF"/>
    <w:rsid w:val="00295421"/>
    <w:rsid w:val="002A0C1A"/>
    <w:rsid w:val="002A687B"/>
    <w:rsid w:val="002D2962"/>
    <w:rsid w:val="002E303D"/>
    <w:rsid w:val="002E65C8"/>
    <w:rsid w:val="002F5757"/>
    <w:rsid w:val="003100BC"/>
    <w:rsid w:val="00326066"/>
    <w:rsid w:val="00327851"/>
    <w:rsid w:val="00333033"/>
    <w:rsid w:val="00347DDE"/>
    <w:rsid w:val="00355347"/>
    <w:rsid w:val="003645EC"/>
    <w:rsid w:val="00382E21"/>
    <w:rsid w:val="003837E0"/>
    <w:rsid w:val="00387A9B"/>
    <w:rsid w:val="00397723"/>
    <w:rsid w:val="003A0B57"/>
    <w:rsid w:val="003C01B9"/>
    <w:rsid w:val="003D64FE"/>
    <w:rsid w:val="003E680D"/>
    <w:rsid w:val="003F7E8F"/>
    <w:rsid w:val="00404C8A"/>
    <w:rsid w:val="0041540F"/>
    <w:rsid w:val="004300FE"/>
    <w:rsid w:val="00480B40"/>
    <w:rsid w:val="004A35F4"/>
    <w:rsid w:val="004B0F0B"/>
    <w:rsid w:val="004C622A"/>
    <w:rsid w:val="004D24A7"/>
    <w:rsid w:val="004F17D2"/>
    <w:rsid w:val="005119C7"/>
    <w:rsid w:val="00512971"/>
    <w:rsid w:val="0051412B"/>
    <w:rsid w:val="0053695B"/>
    <w:rsid w:val="005540FD"/>
    <w:rsid w:val="00554EAF"/>
    <w:rsid w:val="00570CB6"/>
    <w:rsid w:val="00592260"/>
    <w:rsid w:val="005A1448"/>
    <w:rsid w:val="005B38F0"/>
    <w:rsid w:val="005B51FA"/>
    <w:rsid w:val="005B6EC4"/>
    <w:rsid w:val="005C0351"/>
    <w:rsid w:val="005E39A0"/>
    <w:rsid w:val="005F0ED6"/>
    <w:rsid w:val="00636390"/>
    <w:rsid w:val="0067178D"/>
    <w:rsid w:val="00674BC2"/>
    <w:rsid w:val="006A02A5"/>
    <w:rsid w:val="006C6A04"/>
    <w:rsid w:val="006D741B"/>
    <w:rsid w:val="006F5B4E"/>
    <w:rsid w:val="00702120"/>
    <w:rsid w:val="0071224C"/>
    <w:rsid w:val="007167E1"/>
    <w:rsid w:val="0074395B"/>
    <w:rsid w:val="00760048"/>
    <w:rsid w:val="00760A3E"/>
    <w:rsid w:val="007768C5"/>
    <w:rsid w:val="007A30D0"/>
    <w:rsid w:val="007A62B9"/>
    <w:rsid w:val="007B13B2"/>
    <w:rsid w:val="007B1D92"/>
    <w:rsid w:val="007B48DC"/>
    <w:rsid w:val="007E04AB"/>
    <w:rsid w:val="007E3505"/>
    <w:rsid w:val="007E4802"/>
    <w:rsid w:val="007E5FDF"/>
    <w:rsid w:val="007F7854"/>
    <w:rsid w:val="00802B0C"/>
    <w:rsid w:val="0080560C"/>
    <w:rsid w:val="00820035"/>
    <w:rsid w:val="00864901"/>
    <w:rsid w:val="0088123F"/>
    <w:rsid w:val="00896268"/>
    <w:rsid w:val="00897A75"/>
    <w:rsid w:val="00897ED0"/>
    <w:rsid w:val="008A3B78"/>
    <w:rsid w:val="008A4922"/>
    <w:rsid w:val="008A7B15"/>
    <w:rsid w:val="008F7193"/>
    <w:rsid w:val="00906DB3"/>
    <w:rsid w:val="00912378"/>
    <w:rsid w:val="00914866"/>
    <w:rsid w:val="00916C7C"/>
    <w:rsid w:val="009213D7"/>
    <w:rsid w:val="0094522E"/>
    <w:rsid w:val="00977299"/>
    <w:rsid w:val="009B2ACA"/>
    <w:rsid w:val="009C361B"/>
    <w:rsid w:val="009C51BA"/>
    <w:rsid w:val="009D4BB5"/>
    <w:rsid w:val="009F58D3"/>
    <w:rsid w:val="00A2078A"/>
    <w:rsid w:val="00A61A2B"/>
    <w:rsid w:val="00A67FBD"/>
    <w:rsid w:val="00A96B5A"/>
    <w:rsid w:val="00A97F72"/>
    <w:rsid w:val="00AC790C"/>
    <w:rsid w:val="00AD2007"/>
    <w:rsid w:val="00AE068F"/>
    <w:rsid w:val="00AE0DCD"/>
    <w:rsid w:val="00B1506C"/>
    <w:rsid w:val="00B34114"/>
    <w:rsid w:val="00B4679D"/>
    <w:rsid w:val="00BB4C6F"/>
    <w:rsid w:val="00BB64F8"/>
    <w:rsid w:val="00BB7EAC"/>
    <w:rsid w:val="00BC6E59"/>
    <w:rsid w:val="00BF28D8"/>
    <w:rsid w:val="00C15CDE"/>
    <w:rsid w:val="00C46F7D"/>
    <w:rsid w:val="00C50514"/>
    <w:rsid w:val="00C60CDD"/>
    <w:rsid w:val="00C643A5"/>
    <w:rsid w:val="00C74E8F"/>
    <w:rsid w:val="00C97F44"/>
    <w:rsid w:val="00CA0354"/>
    <w:rsid w:val="00CD441A"/>
    <w:rsid w:val="00CE6090"/>
    <w:rsid w:val="00CE6535"/>
    <w:rsid w:val="00CF3465"/>
    <w:rsid w:val="00CF6B5A"/>
    <w:rsid w:val="00D014AC"/>
    <w:rsid w:val="00D40246"/>
    <w:rsid w:val="00D640AF"/>
    <w:rsid w:val="00D67D3E"/>
    <w:rsid w:val="00D957AF"/>
    <w:rsid w:val="00E11937"/>
    <w:rsid w:val="00E16E13"/>
    <w:rsid w:val="00E33385"/>
    <w:rsid w:val="00E4092B"/>
    <w:rsid w:val="00E428DB"/>
    <w:rsid w:val="00E64539"/>
    <w:rsid w:val="00E90C66"/>
    <w:rsid w:val="00ED71FC"/>
    <w:rsid w:val="00EE2040"/>
    <w:rsid w:val="00EE35B2"/>
    <w:rsid w:val="00EF56FC"/>
    <w:rsid w:val="00F04AAF"/>
    <w:rsid w:val="00F34BF6"/>
    <w:rsid w:val="00F532A1"/>
    <w:rsid w:val="00F72EE0"/>
    <w:rsid w:val="00FC3927"/>
    <w:rsid w:val="00FC59D5"/>
    <w:rsid w:val="00FD182B"/>
    <w:rsid w:val="00FD2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88092"/>
  <w15:chartTrackingRefBased/>
  <w15:docId w15:val="{F6330E4F-042E-4A71-8582-C4B5333B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F0E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E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E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E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E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E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E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E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E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ED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5F0ED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F0ED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F0ED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F0ED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F0ED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F0ED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F0ED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F0ED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F0E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ED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F0E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ED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F0ED6"/>
    <w:pPr>
      <w:spacing w:before="160"/>
      <w:jc w:val="center"/>
    </w:pPr>
    <w:rPr>
      <w:i/>
      <w:iCs/>
      <w:color w:val="404040" w:themeColor="text1" w:themeTint="BF"/>
    </w:rPr>
  </w:style>
  <w:style w:type="character" w:customStyle="1" w:styleId="QuoteChar">
    <w:name w:val="Quote Char"/>
    <w:basedOn w:val="DefaultParagraphFont"/>
    <w:link w:val="Quote"/>
    <w:uiPriority w:val="29"/>
    <w:rsid w:val="005F0ED6"/>
    <w:rPr>
      <w:i/>
      <w:iCs/>
      <w:color w:val="404040" w:themeColor="text1" w:themeTint="BF"/>
      <w:lang w:val="en-GB"/>
    </w:rPr>
  </w:style>
  <w:style w:type="paragraph" w:styleId="ListParagraph">
    <w:name w:val="List Paragraph"/>
    <w:basedOn w:val="Normal"/>
    <w:uiPriority w:val="34"/>
    <w:qFormat/>
    <w:rsid w:val="005F0ED6"/>
    <w:pPr>
      <w:ind w:left="720"/>
      <w:contextualSpacing/>
    </w:pPr>
  </w:style>
  <w:style w:type="character" w:styleId="IntenseEmphasis">
    <w:name w:val="Intense Emphasis"/>
    <w:basedOn w:val="DefaultParagraphFont"/>
    <w:uiPriority w:val="21"/>
    <w:qFormat/>
    <w:rsid w:val="005F0ED6"/>
    <w:rPr>
      <w:i/>
      <w:iCs/>
      <w:color w:val="0F4761" w:themeColor="accent1" w:themeShade="BF"/>
    </w:rPr>
  </w:style>
  <w:style w:type="paragraph" w:styleId="IntenseQuote">
    <w:name w:val="Intense Quote"/>
    <w:basedOn w:val="Normal"/>
    <w:next w:val="Normal"/>
    <w:link w:val="IntenseQuoteChar"/>
    <w:uiPriority w:val="30"/>
    <w:qFormat/>
    <w:rsid w:val="005F0E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ED6"/>
    <w:rPr>
      <w:i/>
      <w:iCs/>
      <w:color w:val="0F4761" w:themeColor="accent1" w:themeShade="BF"/>
      <w:lang w:val="en-GB"/>
    </w:rPr>
  </w:style>
  <w:style w:type="character" w:styleId="IntenseReference">
    <w:name w:val="Intense Reference"/>
    <w:basedOn w:val="DefaultParagraphFont"/>
    <w:uiPriority w:val="32"/>
    <w:qFormat/>
    <w:rsid w:val="005F0ED6"/>
    <w:rPr>
      <w:b/>
      <w:bCs/>
      <w:smallCaps/>
      <w:color w:val="0F4761" w:themeColor="accent1" w:themeShade="BF"/>
      <w:spacing w:val="5"/>
    </w:rPr>
  </w:style>
  <w:style w:type="paragraph" w:styleId="NoSpacing">
    <w:name w:val="No Spacing"/>
    <w:link w:val="NoSpacingChar"/>
    <w:uiPriority w:val="1"/>
    <w:qFormat/>
    <w:rsid w:val="005F0ED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5F0ED6"/>
    <w:rPr>
      <w:rFonts w:eastAsiaTheme="minorEastAsia"/>
      <w:kern w:val="0"/>
      <w:sz w:val="22"/>
      <w:szCs w:val="22"/>
      <w14:ligatures w14:val="none"/>
    </w:rPr>
  </w:style>
  <w:style w:type="paragraph" w:styleId="NormalWeb">
    <w:name w:val="Normal (Web)"/>
    <w:basedOn w:val="Normal"/>
    <w:uiPriority w:val="99"/>
    <w:semiHidden/>
    <w:unhideWhenUsed/>
    <w:rsid w:val="00A2078A"/>
    <w:rPr>
      <w:rFonts w:ascii="Times New Roman" w:hAnsi="Times New Roman" w:cs="Times New Roman"/>
    </w:rPr>
  </w:style>
  <w:style w:type="character" w:styleId="Hyperlink">
    <w:name w:val="Hyperlink"/>
    <w:basedOn w:val="DefaultParagraphFont"/>
    <w:uiPriority w:val="99"/>
    <w:unhideWhenUsed/>
    <w:rsid w:val="001119E7"/>
    <w:rPr>
      <w:color w:val="467886" w:themeColor="hyperlink"/>
      <w:u w:val="single"/>
    </w:rPr>
  </w:style>
  <w:style w:type="character" w:styleId="UnresolvedMention">
    <w:name w:val="Unresolved Mention"/>
    <w:basedOn w:val="DefaultParagraphFont"/>
    <w:uiPriority w:val="99"/>
    <w:semiHidden/>
    <w:unhideWhenUsed/>
    <w:rsid w:val="001119E7"/>
    <w:rPr>
      <w:color w:val="605E5C"/>
      <w:shd w:val="clear" w:color="auto" w:fill="E1DFDD"/>
    </w:rPr>
  </w:style>
  <w:style w:type="character" w:styleId="FollowedHyperlink">
    <w:name w:val="FollowedHyperlink"/>
    <w:basedOn w:val="DefaultParagraphFont"/>
    <w:uiPriority w:val="99"/>
    <w:semiHidden/>
    <w:unhideWhenUsed/>
    <w:rsid w:val="004D24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traveller.com/business-travel/2020/10/28/marriott-launches-work-from-hotel-packages/" TargetMode="External"/><Relationship Id="rId18" Type="http://schemas.openxmlformats.org/officeDocument/2006/relationships/hyperlink" Target="https://doi.org/10.20867/tosee.06.17" TargetMode="External"/><Relationship Id="rId26" Type="http://schemas.openxmlformats.org/officeDocument/2006/relationships/hyperlink" Target="https://www.rsmuk.com/insights/hotels-tracker/hotel-sector-makes-astonishing-recovery-four-years-on-from-first-covid-lockdown" TargetMode="External"/><Relationship Id="rId3" Type="http://schemas.openxmlformats.org/officeDocument/2006/relationships/styles" Target="styles.xml"/><Relationship Id="rId21" Type="http://schemas.openxmlformats.org/officeDocument/2006/relationships/hyperlink" Target="https://commonslibrary.parliament.uk/research-briefings/cbp-9111/"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doi.org/10.1108/IJCHM-03-2020-0242" TargetMode="External"/><Relationship Id="rId17" Type="http://schemas.openxmlformats.org/officeDocument/2006/relationships/hyperlink" Target="https://www.hospitalitynet.org/news/4112967.html" TargetMode="External"/><Relationship Id="rId25" Type="http://schemas.openxmlformats.org/officeDocument/2006/relationships/hyperlink" Target="https://roadbook.com/travel/how-hotels-are-adapting-remote-working-digital-nomads/" TargetMode="External"/><Relationship Id="rId33" Type="http://schemas.openxmlformats.org/officeDocument/2006/relationships/hyperlink" Target="https://doi.org/10.1016/j.annals.2022.103522" TargetMode="External"/><Relationship Id="rId2" Type="http://schemas.openxmlformats.org/officeDocument/2006/relationships/numbering" Target="numbering.xml"/><Relationship Id="rId16" Type="http://schemas.openxmlformats.org/officeDocument/2006/relationships/hyperlink" Target="https://www.deloitte.com/uk/en/services/consulting-financial/perspectives/the-hospitality-industry-time-for-recovery.html" TargetMode="External"/><Relationship Id="rId20" Type="http://schemas.openxmlformats.org/officeDocument/2006/relationships/hyperlink" Target="https://stories.hilton.com/releases/hilton-debuts-industry-leading-tech-enhancements" TargetMode="External"/><Relationship Id="rId29" Type="http://schemas.openxmlformats.org/officeDocument/2006/relationships/hyperlink" Target="https://research.skif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30892/gtg.53202-1214" TargetMode="External"/><Relationship Id="rId24" Type="http://schemas.openxmlformats.org/officeDocument/2006/relationships/hyperlink" Target="https://www.mckinsey.com/featured-insights/the-next-normal/hotels" TargetMode="External"/><Relationship Id="rId32" Type="http://schemas.openxmlformats.org/officeDocument/2006/relationships/hyperlink" Target="https://assets-global.website-files.com/6329bc97af73223b575983ac/64e6244d08528e654e406de6_EIR2023-Global-Trends-compressed%20(1).pdf" TargetMode="External"/><Relationship Id="rId5" Type="http://schemas.openxmlformats.org/officeDocument/2006/relationships/webSettings" Target="webSettings.xml"/><Relationship Id="rId15" Type="http://schemas.openxmlformats.org/officeDocument/2006/relationships/hyperlink" Target="https://www.dayuse.co.uk/" TargetMode="External"/><Relationship Id="rId23" Type="http://schemas.openxmlformats.org/officeDocument/2006/relationships/hyperlink" Target="https://www.prnewswire.com/news-releases/marriott-international-announces-new-offering-to-work-anywhere-with-marriott-bonvoy-as-an-alternative-to-working-from-home-for-the-day-overnight-or-getaway-301160591.html" TargetMode="External"/><Relationship Id="rId28" Type="http://schemas.openxmlformats.org/officeDocument/2006/relationships/hyperlink" Target="https://skift.com/2024/09/27/from-office-to-anywhere-how-accor-is-redefining-remote-and-hybrid-workspaces/" TargetMode="External"/><Relationship Id="rId36" Type="http://schemas.openxmlformats.org/officeDocument/2006/relationships/theme" Target="theme/theme1.xml"/><Relationship Id="rId10" Type="http://schemas.openxmlformats.org/officeDocument/2006/relationships/hyperlink" Target="https://group.accor.com/en/news-stories/extended-stay-trends-opportunities" TargetMode="External"/><Relationship Id="rId19" Type="http://schemas.openxmlformats.org/officeDocument/2006/relationships/hyperlink" Target="https://www.gbta.org/wp-content/uploads/GBTA-2023-BTI-Full-Report_FINAL.pdf?utm_source=chatgpt.com" TargetMode="External"/><Relationship Id="rId31" Type="http://schemas.openxmlformats.org/officeDocument/2006/relationships/hyperlink" Target="https://www.whitbread.co.uk/sustainability/" TargetMode="External"/><Relationship Id="rId4" Type="http://schemas.openxmlformats.org/officeDocument/2006/relationships/settings" Target="settings.xml"/><Relationship Id="rId9" Type="http://schemas.openxmlformats.org/officeDocument/2006/relationships/hyperlink" Target="https://group.accor.com/-/media/Corporate/Medias/Documents/2023/03/10/Hospitality-Ahead_Accor-Report_2023.pdf" TargetMode="External"/><Relationship Id="rId14" Type="http://schemas.openxmlformats.org/officeDocument/2006/relationships/hyperlink" Target="https://www.citizenm.com/corporate-subscription" TargetMode="External"/><Relationship Id="rId22" Type="http://schemas.openxmlformats.org/officeDocument/2006/relationships/hyperlink" Target="https://www.ihgplc.com/en/investors/results-and-presentations" TargetMode="External"/><Relationship Id="rId27" Type="http://schemas.openxmlformats.org/officeDocument/2006/relationships/hyperlink" Target="https://www.scandichotelsgroup.com/media/press-releases/" TargetMode="External"/><Relationship Id="rId30" Type="http://schemas.openxmlformats.org/officeDocument/2006/relationships/hyperlink" Target="https://www.whitbread.co.uk/investors/results-reports-and-presentations/" TargetMode="External"/><Relationship Id="rId35" Type="http://schemas.openxmlformats.org/officeDocument/2006/relationships/glossaryDocument" Target="glossary/document.xml"/><Relationship Id="rId8" Type="http://schemas.openxmlformats.org/officeDocument/2006/relationships/hyperlink" Target="https://www.hospitalitynet.org/news/4093206.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FE2569A1854E2295FAE1285AEE76DB"/>
        <w:category>
          <w:name w:val="General"/>
          <w:gallery w:val="placeholder"/>
        </w:category>
        <w:types>
          <w:type w:val="bbPlcHdr"/>
        </w:types>
        <w:behaviors>
          <w:behavior w:val="content"/>
        </w:behaviors>
        <w:guid w:val="{35E8B636-AF82-46CE-81F1-D476F2CB2814}"/>
      </w:docPartPr>
      <w:docPartBody>
        <w:p w:rsidR="00B57CF7" w:rsidRDefault="001B282E" w:rsidP="001B282E">
          <w:pPr>
            <w:pStyle w:val="45FE2569A1854E2295FAE1285AEE76D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2E"/>
    <w:rsid w:val="000A0CDD"/>
    <w:rsid w:val="001B282E"/>
    <w:rsid w:val="002738B3"/>
    <w:rsid w:val="00602280"/>
    <w:rsid w:val="00897ED0"/>
    <w:rsid w:val="00B57CF7"/>
    <w:rsid w:val="00C15CDE"/>
    <w:rsid w:val="00CC7949"/>
    <w:rsid w:val="00D73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FE2569A1854E2295FAE1285AEE76DB">
    <w:name w:val="45FE2569A1854E2295FAE1285AEE76DB"/>
    <w:rsid w:val="001B28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79CBB-CE03-4D5C-91C7-6E5672B3A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11264</TotalTime>
  <Pages>19</Pages>
  <Words>4441</Words>
  <Characters>33360</Characters>
  <Application>Microsoft Office Word</Application>
  <DocSecurity>0</DocSecurity>
  <Lines>538</Lines>
  <Paragraphs>136</Paragraphs>
  <ScaleCrop>false</ScaleCrop>
  <Company/>
  <LinksUpToDate>false</LinksUpToDate>
  <CharactersWithSpaces>37665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Shift in Hotel Strategies Post-COVID with Reduced Business Commuting</dc:title>
  <dc:subject/>
  <dc:creator>Sonia-Lorena Mocanu (2233341)</dc:creator>
  <cp:keywords/>
  <dc:description/>
  <cp:lastModifiedBy>Sonia-Lorena Mocanu (2233341)</cp:lastModifiedBy>
  <cp:revision>177</cp:revision>
  <dcterms:created xsi:type="dcterms:W3CDTF">2025-10-07T16:20:00Z</dcterms:created>
  <dcterms:modified xsi:type="dcterms:W3CDTF">2025-10-25T20:33:00Z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862594d9-cb3c-4c65-95ac-e2a10e9d2891</vt:lpwstr>
  </property>
</Properties>
</file>