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Name: </w:t>
      </w:r>
      <w:r w:rsidDel="00000000" w:rsidR="00000000" w:rsidRPr="00000000">
        <w:rPr>
          <w:rFonts w:ascii="Times New Roman" w:cs="Times New Roman" w:eastAsia="Times New Roman" w:hAnsi="Times New Roman"/>
          <w:sz w:val="40"/>
          <w:szCs w:val="40"/>
          <w:rtl w:val="0"/>
        </w:rPr>
        <w:t xml:space="preserve">Florentina Babache</w:t>
      </w:r>
      <w:r w:rsidDel="00000000" w:rsidR="00000000" w:rsidRPr="00000000">
        <w:rPr>
          <w:rtl w:val="0"/>
        </w:rPr>
      </w:r>
    </w:p>
    <w:p w:rsidR="00000000" w:rsidDel="00000000" w:rsidP="00000000" w:rsidRDefault="00000000" w:rsidRPr="00000000" w14:paraId="00000002">
      <w:pPr>
        <w:spacing w:after="16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Student ID:</w:t>
      </w:r>
      <w:r w:rsidDel="00000000" w:rsidR="00000000" w:rsidRPr="00000000">
        <w:rPr>
          <w:rFonts w:ascii="Times New Roman" w:cs="Times New Roman" w:eastAsia="Times New Roman" w:hAnsi="Times New Roman"/>
          <w:sz w:val="40"/>
          <w:szCs w:val="40"/>
          <w:rtl w:val="0"/>
        </w:rPr>
        <w:t xml:space="preserve"> 2240975</w:t>
      </w:r>
      <w:r w:rsidDel="00000000" w:rsidR="00000000" w:rsidRPr="00000000">
        <w:rPr>
          <w:rtl w:val="0"/>
        </w:rPr>
      </w:r>
    </w:p>
    <w:p w:rsidR="00000000" w:rsidDel="00000000" w:rsidP="00000000" w:rsidRDefault="00000000" w:rsidRPr="00000000" w14:paraId="00000003">
      <w:pPr>
        <w:spacing w:after="16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Module title: </w:t>
      </w:r>
      <w:r w:rsidDel="00000000" w:rsidR="00000000" w:rsidRPr="00000000">
        <w:rPr>
          <w:rFonts w:ascii="Times New Roman" w:cs="Times New Roman" w:eastAsia="Times New Roman" w:hAnsi="Times New Roman"/>
          <w:sz w:val="40"/>
          <w:szCs w:val="40"/>
          <w:rtl w:val="0"/>
        </w:rPr>
        <w:t xml:space="preserve">Financial Management for the Hotel Industry</w:t>
      </w:r>
      <w:r w:rsidDel="00000000" w:rsidR="00000000" w:rsidRPr="00000000">
        <w:rPr>
          <w:rtl w:val="0"/>
        </w:rPr>
      </w:r>
    </w:p>
    <w:p w:rsidR="00000000" w:rsidDel="00000000" w:rsidP="00000000" w:rsidRDefault="00000000" w:rsidRPr="00000000" w14:paraId="00000004">
      <w:pPr>
        <w:spacing w:after="160"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b w:val="1"/>
          <w:sz w:val="40"/>
          <w:szCs w:val="40"/>
          <w:rtl w:val="0"/>
        </w:rPr>
        <w:t xml:space="preserve">Module Code:</w:t>
      </w:r>
      <w:r w:rsidDel="00000000" w:rsidR="00000000" w:rsidRPr="00000000">
        <w:rPr>
          <w:rFonts w:ascii="Times New Roman" w:cs="Times New Roman" w:eastAsia="Times New Roman" w:hAnsi="Times New Roman"/>
          <w:sz w:val="40"/>
          <w:szCs w:val="40"/>
          <w:rtl w:val="0"/>
        </w:rPr>
        <w:t xml:space="preserve"> BMIH5007</w:t>
      </w:r>
    </w:p>
    <w:p w:rsidR="00000000" w:rsidDel="00000000" w:rsidP="00000000" w:rsidRDefault="00000000" w:rsidRPr="00000000" w14:paraId="00000005">
      <w:pPr>
        <w:spacing w:after="160" w:line="360" w:lineRule="auto"/>
        <w:jc w:val="center"/>
        <w:rPr>
          <w:rFonts w:ascii="Times New Roman" w:cs="Times New Roman" w:eastAsia="Times New Roman" w:hAnsi="Times New Roman"/>
          <w:sz w:val="40"/>
          <w:szCs w:val="40"/>
        </w:rPr>
      </w:pPr>
      <w:r w:rsidDel="00000000" w:rsidR="00000000" w:rsidRPr="00000000">
        <w:rPr>
          <w:rFonts w:ascii="Times New Roman" w:cs="Times New Roman" w:eastAsia="Times New Roman" w:hAnsi="Times New Roman"/>
          <w:b w:val="1"/>
          <w:sz w:val="40"/>
          <w:szCs w:val="40"/>
          <w:rtl w:val="0"/>
        </w:rPr>
        <w:t xml:space="preserve">Module Tutor: </w:t>
      </w:r>
      <w:r w:rsidDel="00000000" w:rsidR="00000000" w:rsidRPr="00000000">
        <w:rPr>
          <w:rFonts w:ascii="Times New Roman" w:cs="Times New Roman" w:eastAsia="Times New Roman" w:hAnsi="Times New Roman"/>
          <w:sz w:val="40"/>
          <w:szCs w:val="40"/>
          <w:rtl w:val="0"/>
        </w:rPr>
        <w:t xml:space="preserve">Tristan Hawkins</w:t>
      </w:r>
    </w:p>
    <w:p w:rsidR="00000000" w:rsidDel="00000000" w:rsidP="00000000" w:rsidRDefault="00000000" w:rsidRPr="00000000" w14:paraId="00000006">
      <w:pPr>
        <w:spacing w:after="160" w:line="360" w:lineRule="auto"/>
        <w:jc w:val="center"/>
        <w:rPr>
          <w:rFonts w:ascii="Times New Roman" w:cs="Times New Roman" w:eastAsia="Times New Roman" w:hAnsi="Times New Roman"/>
          <w:b w:val="1"/>
          <w:sz w:val="40"/>
          <w:szCs w:val="40"/>
        </w:rPr>
      </w:pPr>
      <w:r w:rsidDel="00000000" w:rsidR="00000000" w:rsidRPr="00000000">
        <w:rPr>
          <w:rtl w:val="0"/>
        </w:rPr>
      </w:r>
    </w:p>
    <w:p w:rsidR="00000000" w:rsidDel="00000000" w:rsidP="00000000" w:rsidRDefault="00000000" w:rsidRPr="00000000" w14:paraId="00000007">
      <w:pPr>
        <w:spacing w:after="160" w:line="360" w:lineRule="auto"/>
        <w:jc w:val="center"/>
        <w:rPr>
          <w:rFonts w:ascii="Times New Roman" w:cs="Times New Roman" w:eastAsia="Times New Roman" w:hAnsi="Times New Roman"/>
          <w:sz w:val="40"/>
          <w:szCs w:val="40"/>
          <w:u w:val="single"/>
        </w:rPr>
      </w:pPr>
      <w:r w:rsidDel="00000000" w:rsidR="00000000" w:rsidRPr="00000000">
        <w:rPr>
          <w:rtl w:val="0"/>
        </w:rPr>
      </w:r>
    </w:p>
    <w:p w:rsidR="00000000" w:rsidDel="00000000" w:rsidP="00000000" w:rsidRDefault="00000000" w:rsidRPr="00000000" w14:paraId="00000008">
      <w:pPr>
        <w:spacing w:after="160"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9">
      <w:pPr>
        <w:spacing w:after="160"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A">
      <w:pPr>
        <w:spacing w:after="160"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B">
      <w:pPr>
        <w:spacing w:after="160"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C">
      <w:pPr>
        <w:spacing w:after="160"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D">
      <w:pPr>
        <w:spacing w:after="160" w:line="360" w:lineRule="auto"/>
        <w:jc w:val="center"/>
        <w:rPr>
          <w:rFonts w:ascii="Times New Roman" w:cs="Times New Roman" w:eastAsia="Times New Roman" w:hAnsi="Times New Roman"/>
          <w:sz w:val="28"/>
          <w:szCs w:val="28"/>
          <w:u w:val="single"/>
        </w:rPr>
      </w:pPr>
      <w:r w:rsidDel="00000000" w:rsidR="00000000" w:rsidRPr="00000000">
        <w:rPr>
          <w:rtl w:val="0"/>
        </w:rPr>
      </w:r>
    </w:p>
    <w:p w:rsidR="00000000" w:rsidDel="00000000" w:rsidP="00000000" w:rsidRDefault="00000000" w:rsidRPr="00000000" w14:paraId="0000000E">
      <w:pPr>
        <w:spacing w:after="160" w:line="360" w:lineRule="auto"/>
        <w:jc w:val="center"/>
        <w:rPr>
          <w:rFonts w:ascii="Times New Roman" w:cs="Times New Roman" w:eastAsia="Times New Roman" w:hAnsi="Times New Roman"/>
          <w:sz w:val="28"/>
          <w:szCs w:val="28"/>
          <w:u w:val="single"/>
        </w:rPr>
      </w:pPr>
      <w:r w:rsidDel="00000000" w:rsidR="00000000" w:rsidRPr="00000000">
        <w:rPr>
          <w:rFonts w:ascii="Times New Roman" w:cs="Times New Roman" w:eastAsia="Times New Roman" w:hAnsi="Times New Roman"/>
          <w:sz w:val="28"/>
          <w:szCs w:val="28"/>
          <w:u w:val="single"/>
          <w:rtl w:val="0"/>
        </w:rPr>
        <w:t xml:space="preserve">AI ACKNOWLEDGEMENT: 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rsidR="00000000" w:rsidDel="00000000" w:rsidP="00000000" w:rsidRDefault="00000000" w:rsidRPr="00000000" w14:paraId="0000000F">
      <w:pPr>
        <w:spacing w:after="16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after="16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after="16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after="160" w:line="259" w:lineRule="auto"/>
        <w:rPr>
          <w:rFonts w:ascii="Times New Roman" w:cs="Times New Roman" w:eastAsia="Times New Roman" w:hAnsi="Times New Roman"/>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3">
      <w:pPr>
        <w:keepNext w:val="1"/>
        <w:keepLines w:val="1"/>
        <w:spacing w:before="240" w:line="259" w:lineRule="auto"/>
        <w:rPr>
          <w:rFonts w:ascii="Calibri" w:cs="Calibri" w:eastAsia="Calibri" w:hAnsi="Calibri"/>
          <w:color w:val="2f5496"/>
          <w:sz w:val="32"/>
          <w:szCs w:val="32"/>
        </w:rPr>
      </w:pPr>
      <w:r w:rsidDel="00000000" w:rsidR="00000000" w:rsidRPr="00000000">
        <w:rPr>
          <w:rFonts w:ascii="Calibri" w:cs="Calibri" w:eastAsia="Calibri" w:hAnsi="Calibri"/>
          <w:color w:val="2f5496"/>
          <w:sz w:val="32"/>
          <w:szCs w:val="32"/>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tabs>
              <w:tab w:val="right" w:leader="dot" w:pos="9350"/>
            </w:tabs>
            <w:spacing w:after="100" w:line="360" w:lineRule="auto"/>
            <w:rPr>
              <w:rFonts w:ascii="Times New Roman" w:cs="Times New Roman" w:eastAsia="Times New Roman" w:hAnsi="Times New Roman"/>
              <w:sz w:val="20"/>
              <w:szCs w:val="20"/>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sz w:val="20"/>
                <w:szCs w:val="20"/>
                <w:rtl w:val="0"/>
              </w:rPr>
              <w:t xml:space="preserve">Comprehensive Financial and Operation Analysis</w:t>
              <w:tab/>
              <w:t xml:space="preserve">3</w:t>
            </w:r>
          </w:hyperlink>
          <w:r w:rsidDel="00000000" w:rsidR="00000000" w:rsidRPr="00000000">
            <w:rPr>
              <w:rtl w:val="0"/>
            </w:rPr>
          </w:r>
        </w:p>
        <w:p w:rsidR="00000000" w:rsidDel="00000000" w:rsidP="00000000" w:rsidRDefault="00000000" w:rsidRPr="00000000" w14:paraId="00000015">
          <w:pPr>
            <w:tabs>
              <w:tab w:val="right" w:leader="dot" w:pos="9350"/>
            </w:tabs>
            <w:spacing w:after="100" w:line="360" w:lineRule="auto"/>
            <w:rPr>
              <w:rFonts w:ascii="Times New Roman" w:cs="Times New Roman" w:eastAsia="Times New Roman" w:hAnsi="Times New Roman"/>
              <w:sz w:val="20"/>
              <w:szCs w:val="20"/>
            </w:rPr>
          </w:pPr>
          <w:hyperlink w:anchor="_30j0zll">
            <w:r w:rsidDel="00000000" w:rsidR="00000000" w:rsidRPr="00000000">
              <w:rPr>
                <w:rFonts w:ascii="Times New Roman" w:cs="Times New Roman" w:eastAsia="Times New Roman" w:hAnsi="Times New Roman"/>
                <w:sz w:val="20"/>
                <w:szCs w:val="20"/>
                <w:rtl w:val="0"/>
              </w:rPr>
              <w:t xml:space="preserve">Executive Summary</w:t>
              <w:tab/>
              <w:t xml:space="preserve">3</w:t>
            </w:r>
          </w:hyperlink>
          <w:r w:rsidDel="00000000" w:rsidR="00000000" w:rsidRPr="00000000">
            <w:rPr>
              <w:rtl w:val="0"/>
            </w:rPr>
          </w:r>
        </w:p>
        <w:p w:rsidR="00000000" w:rsidDel="00000000" w:rsidP="00000000" w:rsidRDefault="00000000" w:rsidRPr="00000000" w14:paraId="00000016">
          <w:pPr>
            <w:tabs>
              <w:tab w:val="right" w:leader="dot" w:pos="9350"/>
            </w:tabs>
            <w:spacing w:after="100" w:line="360" w:lineRule="auto"/>
            <w:rPr>
              <w:rFonts w:ascii="Times New Roman" w:cs="Times New Roman" w:eastAsia="Times New Roman" w:hAnsi="Times New Roman"/>
              <w:sz w:val="20"/>
              <w:szCs w:val="20"/>
            </w:rPr>
          </w:pPr>
          <w:hyperlink w:anchor="_1fob9te">
            <w:r w:rsidDel="00000000" w:rsidR="00000000" w:rsidRPr="00000000">
              <w:rPr>
                <w:rFonts w:ascii="Times New Roman" w:cs="Times New Roman" w:eastAsia="Times New Roman" w:hAnsi="Times New Roman"/>
                <w:sz w:val="20"/>
                <w:szCs w:val="20"/>
                <w:rtl w:val="0"/>
              </w:rPr>
              <w:t xml:space="preserve">About City Hotel</w:t>
              <w:tab/>
              <w:t xml:space="preserve">3</w:t>
            </w:r>
          </w:hyperlink>
          <w:r w:rsidDel="00000000" w:rsidR="00000000" w:rsidRPr="00000000">
            <w:rPr>
              <w:rtl w:val="0"/>
            </w:rPr>
          </w:r>
        </w:p>
        <w:p w:rsidR="00000000" w:rsidDel="00000000" w:rsidP="00000000" w:rsidRDefault="00000000" w:rsidRPr="00000000" w14:paraId="00000017">
          <w:pPr>
            <w:tabs>
              <w:tab w:val="right" w:leader="dot" w:pos="9350"/>
            </w:tabs>
            <w:spacing w:after="100" w:line="360" w:lineRule="auto"/>
            <w:rPr>
              <w:rFonts w:ascii="Times New Roman" w:cs="Times New Roman" w:eastAsia="Times New Roman" w:hAnsi="Times New Roman"/>
              <w:sz w:val="20"/>
              <w:szCs w:val="20"/>
            </w:rPr>
          </w:pPr>
          <w:hyperlink w:anchor="_3znysh7">
            <w:r w:rsidDel="00000000" w:rsidR="00000000" w:rsidRPr="00000000">
              <w:rPr>
                <w:rFonts w:ascii="Times New Roman" w:cs="Times New Roman" w:eastAsia="Times New Roman" w:hAnsi="Times New Roman"/>
                <w:sz w:val="20"/>
                <w:szCs w:val="20"/>
                <w:rtl w:val="0"/>
              </w:rPr>
              <w:t xml:space="preserve">Review of Financial Performance (2021-2023)</w:t>
              <w:tab/>
              <w:t xml:space="preserve">3</w:t>
            </w:r>
          </w:hyperlink>
          <w:r w:rsidDel="00000000" w:rsidR="00000000" w:rsidRPr="00000000">
            <w:rPr>
              <w:rtl w:val="0"/>
            </w:rPr>
          </w:r>
        </w:p>
        <w:p w:rsidR="00000000" w:rsidDel="00000000" w:rsidP="00000000" w:rsidRDefault="00000000" w:rsidRPr="00000000" w14:paraId="00000018">
          <w:pPr>
            <w:tabs>
              <w:tab w:val="right" w:leader="dot" w:pos="9350"/>
            </w:tabs>
            <w:spacing w:after="100" w:line="360" w:lineRule="auto"/>
            <w:ind w:left="240" w:firstLine="0"/>
            <w:rPr>
              <w:rFonts w:ascii="Times New Roman" w:cs="Times New Roman" w:eastAsia="Times New Roman" w:hAnsi="Times New Roman"/>
              <w:sz w:val="20"/>
              <w:szCs w:val="20"/>
            </w:rPr>
          </w:pPr>
          <w:hyperlink w:anchor="_2et92p0">
            <w:r w:rsidDel="00000000" w:rsidR="00000000" w:rsidRPr="00000000">
              <w:rPr>
                <w:rFonts w:ascii="Times New Roman" w:cs="Times New Roman" w:eastAsia="Times New Roman" w:hAnsi="Times New Roman"/>
                <w:sz w:val="20"/>
                <w:szCs w:val="20"/>
                <w:rtl w:val="0"/>
              </w:rPr>
              <w:t xml:space="preserve">Revenue Trends and Industry Effects</w:t>
              <w:tab/>
              <w:t xml:space="preserve">3</w:t>
            </w:r>
          </w:hyperlink>
          <w:r w:rsidDel="00000000" w:rsidR="00000000" w:rsidRPr="00000000">
            <w:rPr>
              <w:rtl w:val="0"/>
            </w:rPr>
          </w:r>
        </w:p>
        <w:p w:rsidR="00000000" w:rsidDel="00000000" w:rsidP="00000000" w:rsidRDefault="00000000" w:rsidRPr="00000000" w14:paraId="00000019">
          <w:pPr>
            <w:tabs>
              <w:tab w:val="right" w:leader="dot" w:pos="9350"/>
            </w:tabs>
            <w:spacing w:after="100" w:line="360" w:lineRule="auto"/>
            <w:ind w:left="240" w:firstLine="0"/>
            <w:rPr>
              <w:rFonts w:ascii="Times New Roman" w:cs="Times New Roman" w:eastAsia="Times New Roman" w:hAnsi="Times New Roman"/>
              <w:sz w:val="20"/>
              <w:szCs w:val="20"/>
            </w:rPr>
          </w:pPr>
          <w:hyperlink w:anchor="_tyjcwt">
            <w:r w:rsidDel="00000000" w:rsidR="00000000" w:rsidRPr="00000000">
              <w:rPr>
                <w:rFonts w:ascii="Times New Roman" w:cs="Times New Roman" w:eastAsia="Times New Roman" w:hAnsi="Times New Roman"/>
                <w:sz w:val="20"/>
                <w:szCs w:val="20"/>
                <w:rtl w:val="0"/>
              </w:rPr>
              <w:t xml:space="preserve">Profitability and Liquidity Issues</w:t>
              <w:tab/>
              <w:t xml:space="preserve">4</w:t>
            </w:r>
          </w:hyperlink>
          <w:r w:rsidDel="00000000" w:rsidR="00000000" w:rsidRPr="00000000">
            <w:rPr>
              <w:rtl w:val="0"/>
            </w:rPr>
          </w:r>
        </w:p>
        <w:p w:rsidR="00000000" w:rsidDel="00000000" w:rsidP="00000000" w:rsidRDefault="00000000" w:rsidRPr="00000000" w14:paraId="0000001A">
          <w:pPr>
            <w:tabs>
              <w:tab w:val="right" w:leader="dot" w:pos="9350"/>
            </w:tabs>
            <w:spacing w:after="100" w:line="360" w:lineRule="auto"/>
            <w:ind w:left="240" w:firstLine="0"/>
            <w:rPr>
              <w:rFonts w:ascii="Times New Roman" w:cs="Times New Roman" w:eastAsia="Times New Roman" w:hAnsi="Times New Roman"/>
              <w:sz w:val="20"/>
              <w:szCs w:val="20"/>
            </w:rPr>
          </w:pPr>
          <w:hyperlink w:anchor="_3dy6vkm">
            <w:r w:rsidDel="00000000" w:rsidR="00000000" w:rsidRPr="00000000">
              <w:rPr>
                <w:rFonts w:ascii="Times New Roman" w:cs="Times New Roman" w:eastAsia="Times New Roman" w:hAnsi="Times New Roman"/>
                <w:sz w:val="20"/>
                <w:szCs w:val="20"/>
                <w:rtl w:val="0"/>
              </w:rPr>
              <w:t xml:space="preserve">Liabilities and Solvency Risk</w:t>
              <w:tab/>
              <w:t xml:space="preserve">5</w:t>
            </w:r>
          </w:hyperlink>
          <w:r w:rsidDel="00000000" w:rsidR="00000000" w:rsidRPr="00000000">
            <w:rPr>
              <w:rtl w:val="0"/>
            </w:rPr>
          </w:r>
        </w:p>
        <w:p w:rsidR="00000000" w:rsidDel="00000000" w:rsidP="00000000" w:rsidRDefault="00000000" w:rsidRPr="00000000" w14:paraId="0000001B">
          <w:pPr>
            <w:tabs>
              <w:tab w:val="right" w:leader="dot" w:pos="9350"/>
            </w:tabs>
            <w:spacing w:after="100" w:line="360" w:lineRule="auto"/>
            <w:rPr>
              <w:rFonts w:ascii="Times New Roman" w:cs="Times New Roman" w:eastAsia="Times New Roman" w:hAnsi="Times New Roman"/>
              <w:sz w:val="20"/>
              <w:szCs w:val="20"/>
            </w:rPr>
          </w:pPr>
          <w:hyperlink w:anchor="_1t3h5sf">
            <w:r w:rsidDel="00000000" w:rsidR="00000000" w:rsidRPr="00000000">
              <w:rPr>
                <w:rFonts w:ascii="Times New Roman" w:cs="Times New Roman" w:eastAsia="Times New Roman" w:hAnsi="Times New Roman"/>
                <w:sz w:val="20"/>
                <w:szCs w:val="20"/>
                <w:rtl w:val="0"/>
              </w:rPr>
              <w:t xml:space="preserve">Challenges Behind Profit Decline</w:t>
              <w:tab/>
              <w:t xml:space="preserve">5</w:t>
            </w:r>
          </w:hyperlink>
          <w:r w:rsidDel="00000000" w:rsidR="00000000" w:rsidRPr="00000000">
            <w:rPr>
              <w:rtl w:val="0"/>
            </w:rPr>
          </w:r>
        </w:p>
        <w:p w:rsidR="00000000" w:rsidDel="00000000" w:rsidP="00000000" w:rsidRDefault="00000000" w:rsidRPr="00000000" w14:paraId="0000001C">
          <w:pPr>
            <w:tabs>
              <w:tab w:val="right" w:leader="dot" w:pos="9350"/>
            </w:tabs>
            <w:spacing w:after="100" w:line="360" w:lineRule="auto"/>
            <w:rPr>
              <w:rFonts w:ascii="Times New Roman" w:cs="Times New Roman" w:eastAsia="Times New Roman" w:hAnsi="Times New Roman"/>
              <w:sz w:val="20"/>
              <w:szCs w:val="20"/>
            </w:rPr>
          </w:pPr>
          <w:hyperlink w:anchor="_4d34og8">
            <w:r w:rsidDel="00000000" w:rsidR="00000000" w:rsidRPr="00000000">
              <w:rPr>
                <w:rFonts w:ascii="Times New Roman" w:cs="Times New Roman" w:eastAsia="Times New Roman" w:hAnsi="Times New Roman"/>
                <w:sz w:val="20"/>
                <w:szCs w:val="20"/>
                <w:rtl w:val="0"/>
              </w:rPr>
              <w:t xml:space="preserve">Ansoff's Matrix for City Hotel</w:t>
              <w:tab/>
              <w:t xml:space="preserve">5</w:t>
            </w:r>
          </w:hyperlink>
          <w:r w:rsidDel="00000000" w:rsidR="00000000" w:rsidRPr="00000000">
            <w:rPr>
              <w:rtl w:val="0"/>
            </w:rPr>
          </w:r>
        </w:p>
        <w:p w:rsidR="00000000" w:rsidDel="00000000" w:rsidP="00000000" w:rsidRDefault="00000000" w:rsidRPr="00000000" w14:paraId="0000001D">
          <w:pPr>
            <w:tabs>
              <w:tab w:val="right" w:leader="dot" w:pos="9350"/>
            </w:tabs>
            <w:spacing w:after="100" w:line="360" w:lineRule="auto"/>
            <w:rPr>
              <w:rFonts w:ascii="Times New Roman" w:cs="Times New Roman" w:eastAsia="Times New Roman" w:hAnsi="Times New Roman"/>
              <w:sz w:val="20"/>
              <w:szCs w:val="20"/>
            </w:rPr>
          </w:pPr>
          <w:hyperlink w:anchor="_2s8eyo1">
            <w:r w:rsidDel="00000000" w:rsidR="00000000" w:rsidRPr="00000000">
              <w:rPr>
                <w:rFonts w:ascii="Times New Roman" w:cs="Times New Roman" w:eastAsia="Times New Roman" w:hAnsi="Times New Roman"/>
                <w:sz w:val="20"/>
                <w:szCs w:val="20"/>
                <w:rtl w:val="0"/>
              </w:rPr>
              <w:t xml:space="preserve">Five-Stage Recovery of City Hotel</w:t>
              <w:tab/>
              <w:t xml:space="preserve">6</w:t>
            </w:r>
          </w:hyperlink>
          <w:r w:rsidDel="00000000" w:rsidR="00000000" w:rsidRPr="00000000">
            <w:rPr>
              <w:rtl w:val="0"/>
            </w:rPr>
          </w:r>
        </w:p>
        <w:p w:rsidR="00000000" w:rsidDel="00000000" w:rsidP="00000000" w:rsidRDefault="00000000" w:rsidRPr="00000000" w14:paraId="0000001E">
          <w:pPr>
            <w:tabs>
              <w:tab w:val="right" w:leader="dot" w:pos="9350"/>
            </w:tabs>
            <w:spacing w:after="100" w:line="360" w:lineRule="auto"/>
            <w:rPr>
              <w:rFonts w:ascii="Times New Roman" w:cs="Times New Roman" w:eastAsia="Times New Roman" w:hAnsi="Times New Roman"/>
              <w:sz w:val="20"/>
              <w:szCs w:val="20"/>
            </w:rPr>
          </w:pPr>
          <w:hyperlink w:anchor="_17dp8vu">
            <w:r w:rsidDel="00000000" w:rsidR="00000000" w:rsidRPr="00000000">
              <w:rPr>
                <w:rFonts w:ascii="Times New Roman" w:cs="Times New Roman" w:eastAsia="Times New Roman" w:hAnsi="Times New Roman"/>
                <w:sz w:val="20"/>
                <w:szCs w:val="20"/>
                <w:rtl w:val="0"/>
              </w:rPr>
              <w:t xml:space="preserve">Risk mitigation through strategies</w:t>
              <w:tab/>
              <w:t xml:space="preserve">6</w:t>
            </w:r>
          </w:hyperlink>
          <w:r w:rsidDel="00000000" w:rsidR="00000000" w:rsidRPr="00000000">
            <w:rPr>
              <w:rtl w:val="0"/>
            </w:rPr>
          </w:r>
        </w:p>
        <w:p w:rsidR="00000000" w:rsidDel="00000000" w:rsidP="00000000" w:rsidRDefault="00000000" w:rsidRPr="00000000" w14:paraId="0000001F">
          <w:pPr>
            <w:tabs>
              <w:tab w:val="right" w:leader="dot" w:pos="9350"/>
            </w:tabs>
            <w:spacing w:after="100" w:line="360" w:lineRule="auto"/>
            <w:rPr>
              <w:rFonts w:ascii="Times New Roman" w:cs="Times New Roman" w:eastAsia="Times New Roman" w:hAnsi="Times New Roman"/>
              <w:sz w:val="20"/>
              <w:szCs w:val="20"/>
            </w:rPr>
          </w:pPr>
          <w:hyperlink w:anchor="_3rdcrjn">
            <w:r w:rsidDel="00000000" w:rsidR="00000000" w:rsidRPr="00000000">
              <w:rPr>
                <w:rFonts w:ascii="Times New Roman" w:cs="Times New Roman" w:eastAsia="Times New Roman" w:hAnsi="Times New Roman"/>
                <w:sz w:val="20"/>
                <w:szCs w:val="20"/>
                <w:rtl w:val="0"/>
              </w:rPr>
              <w:t xml:space="preserve">SWOT Analysis:</w:t>
              <w:tab/>
              <w:t xml:space="preserve">7</w:t>
            </w:r>
          </w:hyperlink>
          <w:r w:rsidDel="00000000" w:rsidR="00000000" w:rsidRPr="00000000">
            <w:rPr>
              <w:rtl w:val="0"/>
            </w:rPr>
          </w:r>
        </w:p>
        <w:p w:rsidR="00000000" w:rsidDel="00000000" w:rsidP="00000000" w:rsidRDefault="00000000" w:rsidRPr="00000000" w14:paraId="00000020">
          <w:pPr>
            <w:tabs>
              <w:tab w:val="right" w:leader="dot" w:pos="9350"/>
            </w:tabs>
            <w:spacing w:after="100" w:line="360" w:lineRule="auto"/>
            <w:ind w:left="240" w:firstLine="0"/>
            <w:rPr>
              <w:rFonts w:ascii="Times New Roman" w:cs="Times New Roman" w:eastAsia="Times New Roman" w:hAnsi="Times New Roman"/>
              <w:sz w:val="20"/>
              <w:szCs w:val="20"/>
            </w:rPr>
          </w:pPr>
          <w:hyperlink w:anchor="_26in1rg">
            <w:r w:rsidDel="00000000" w:rsidR="00000000" w:rsidRPr="00000000">
              <w:rPr>
                <w:rFonts w:ascii="Times New Roman" w:cs="Times New Roman" w:eastAsia="Times New Roman" w:hAnsi="Times New Roman"/>
                <w:sz w:val="20"/>
                <w:szCs w:val="20"/>
                <w:rtl w:val="0"/>
              </w:rPr>
              <w:t xml:space="preserve">Strengths</w:t>
              <w:tab/>
              <w:t xml:space="preserve">7</w:t>
            </w:r>
          </w:hyperlink>
          <w:r w:rsidDel="00000000" w:rsidR="00000000" w:rsidRPr="00000000">
            <w:rPr>
              <w:rtl w:val="0"/>
            </w:rPr>
          </w:r>
        </w:p>
        <w:p w:rsidR="00000000" w:rsidDel="00000000" w:rsidP="00000000" w:rsidRDefault="00000000" w:rsidRPr="00000000" w14:paraId="00000021">
          <w:pPr>
            <w:tabs>
              <w:tab w:val="right" w:leader="dot" w:pos="9350"/>
            </w:tabs>
            <w:spacing w:after="100" w:line="360" w:lineRule="auto"/>
            <w:ind w:left="240" w:firstLine="0"/>
            <w:rPr>
              <w:rFonts w:ascii="Times New Roman" w:cs="Times New Roman" w:eastAsia="Times New Roman" w:hAnsi="Times New Roman"/>
              <w:sz w:val="20"/>
              <w:szCs w:val="20"/>
            </w:rPr>
          </w:pPr>
          <w:hyperlink w:anchor="_lnxbz9">
            <w:r w:rsidDel="00000000" w:rsidR="00000000" w:rsidRPr="00000000">
              <w:rPr>
                <w:rFonts w:ascii="Times New Roman" w:cs="Times New Roman" w:eastAsia="Times New Roman" w:hAnsi="Times New Roman"/>
                <w:sz w:val="20"/>
                <w:szCs w:val="20"/>
                <w:rtl w:val="0"/>
              </w:rPr>
              <w:t xml:space="preserve">Weaknesses</w:t>
              <w:tab/>
              <w:t xml:space="preserve">7</w:t>
            </w:r>
          </w:hyperlink>
          <w:r w:rsidDel="00000000" w:rsidR="00000000" w:rsidRPr="00000000">
            <w:rPr>
              <w:rtl w:val="0"/>
            </w:rPr>
          </w:r>
        </w:p>
        <w:p w:rsidR="00000000" w:rsidDel="00000000" w:rsidP="00000000" w:rsidRDefault="00000000" w:rsidRPr="00000000" w14:paraId="00000022">
          <w:pPr>
            <w:tabs>
              <w:tab w:val="right" w:leader="dot" w:pos="9350"/>
            </w:tabs>
            <w:spacing w:after="100" w:line="360" w:lineRule="auto"/>
            <w:ind w:left="240" w:firstLine="0"/>
            <w:rPr>
              <w:rFonts w:ascii="Times New Roman" w:cs="Times New Roman" w:eastAsia="Times New Roman" w:hAnsi="Times New Roman"/>
              <w:sz w:val="20"/>
              <w:szCs w:val="20"/>
            </w:rPr>
          </w:pPr>
          <w:hyperlink w:anchor="_35nkun2">
            <w:r w:rsidDel="00000000" w:rsidR="00000000" w:rsidRPr="00000000">
              <w:rPr>
                <w:rFonts w:ascii="Times New Roman" w:cs="Times New Roman" w:eastAsia="Times New Roman" w:hAnsi="Times New Roman"/>
                <w:sz w:val="20"/>
                <w:szCs w:val="20"/>
                <w:rtl w:val="0"/>
              </w:rPr>
              <w:t xml:space="preserve">Opportunities</w:t>
              <w:tab/>
              <w:t xml:space="preserve">7</w:t>
            </w:r>
          </w:hyperlink>
          <w:r w:rsidDel="00000000" w:rsidR="00000000" w:rsidRPr="00000000">
            <w:rPr>
              <w:rtl w:val="0"/>
            </w:rPr>
          </w:r>
        </w:p>
        <w:p w:rsidR="00000000" w:rsidDel="00000000" w:rsidP="00000000" w:rsidRDefault="00000000" w:rsidRPr="00000000" w14:paraId="00000023">
          <w:pPr>
            <w:tabs>
              <w:tab w:val="right" w:leader="dot" w:pos="9350"/>
            </w:tabs>
            <w:spacing w:after="100" w:line="360" w:lineRule="auto"/>
            <w:ind w:left="240" w:firstLine="0"/>
            <w:rPr>
              <w:rFonts w:ascii="Times New Roman" w:cs="Times New Roman" w:eastAsia="Times New Roman" w:hAnsi="Times New Roman"/>
              <w:sz w:val="20"/>
              <w:szCs w:val="20"/>
            </w:rPr>
          </w:pPr>
          <w:hyperlink w:anchor="_1ksv4uv">
            <w:r w:rsidDel="00000000" w:rsidR="00000000" w:rsidRPr="00000000">
              <w:rPr>
                <w:rFonts w:ascii="Times New Roman" w:cs="Times New Roman" w:eastAsia="Times New Roman" w:hAnsi="Times New Roman"/>
                <w:sz w:val="20"/>
                <w:szCs w:val="20"/>
                <w:rtl w:val="0"/>
              </w:rPr>
              <w:t xml:space="preserve">Threats</w:t>
              <w:tab/>
              <w:t xml:space="preserve">7</w:t>
            </w:r>
          </w:hyperlink>
          <w:r w:rsidDel="00000000" w:rsidR="00000000" w:rsidRPr="00000000">
            <w:rPr>
              <w:rtl w:val="0"/>
            </w:rPr>
          </w:r>
        </w:p>
        <w:p w:rsidR="00000000" w:rsidDel="00000000" w:rsidP="00000000" w:rsidRDefault="00000000" w:rsidRPr="00000000" w14:paraId="00000024">
          <w:pPr>
            <w:tabs>
              <w:tab w:val="right" w:leader="dot" w:pos="9350"/>
            </w:tabs>
            <w:spacing w:after="100" w:line="360" w:lineRule="auto"/>
            <w:rPr>
              <w:rFonts w:ascii="Times New Roman" w:cs="Times New Roman" w:eastAsia="Times New Roman" w:hAnsi="Times New Roman"/>
              <w:sz w:val="20"/>
              <w:szCs w:val="20"/>
            </w:rPr>
          </w:pPr>
          <w:hyperlink w:anchor="_44sinio">
            <w:r w:rsidDel="00000000" w:rsidR="00000000" w:rsidRPr="00000000">
              <w:rPr>
                <w:rFonts w:ascii="Times New Roman" w:cs="Times New Roman" w:eastAsia="Times New Roman" w:hAnsi="Times New Roman"/>
                <w:sz w:val="20"/>
                <w:szCs w:val="20"/>
                <w:rtl w:val="0"/>
              </w:rPr>
              <w:t xml:space="preserve">Risk Assessment:</w:t>
              <w:tab/>
              <w:t xml:space="preserve">7</w:t>
            </w:r>
          </w:hyperlink>
          <w:r w:rsidDel="00000000" w:rsidR="00000000" w:rsidRPr="00000000">
            <w:rPr>
              <w:rtl w:val="0"/>
            </w:rPr>
          </w:r>
        </w:p>
        <w:p w:rsidR="00000000" w:rsidDel="00000000" w:rsidP="00000000" w:rsidRDefault="00000000" w:rsidRPr="00000000" w14:paraId="00000025">
          <w:pPr>
            <w:tabs>
              <w:tab w:val="right" w:leader="dot" w:pos="9350"/>
            </w:tabs>
            <w:spacing w:after="100" w:line="360" w:lineRule="auto"/>
            <w:ind w:left="240" w:firstLine="0"/>
            <w:rPr>
              <w:rFonts w:ascii="Times New Roman" w:cs="Times New Roman" w:eastAsia="Times New Roman" w:hAnsi="Times New Roman"/>
              <w:sz w:val="20"/>
              <w:szCs w:val="20"/>
            </w:rPr>
          </w:pPr>
          <w:hyperlink w:anchor="_2jxsxqh">
            <w:r w:rsidDel="00000000" w:rsidR="00000000" w:rsidRPr="00000000">
              <w:rPr>
                <w:rFonts w:ascii="Times New Roman" w:cs="Times New Roman" w:eastAsia="Times New Roman" w:hAnsi="Times New Roman"/>
                <w:sz w:val="20"/>
                <w:szCs w:val="20"/>
                <w:rtl w:val="0"/>
              </w:rPr>
              <w:t xml:space="preserve">Operational Risk:</w:t>
              <w:tab/>
              <w:t xml:space="preserve">7</w:t>
            </w:r>
          </w:hyperlink>
          <w:r w:rsidDel="00000000" w:rsidR="00000000" w:rsidRPr="00000000">
            <w:rPr>
              <w:rtl w:val="0"/>
            </w:rPr>
          </w:r>
        </w:p>
        <w:p w:rsidR="00000000" w:rsidDel="00000000" w:rsidP="00000000" w:rsidRDefault="00000000" w:rsidRPr="00000000" w14:paraId="00000026">
          <w:pPr>
            <w:tabs>
              <w:tab w:val="right" w:leader="dot" w:pos="9350"/>
            </w:tabs>
            <w:spacing w:after="100" w:line="360" w:lineRule="auto"/>
            <w:ind w:left="240" w:firstLine="0"/>
            <w:rPr>
              <w:rFonts w:ascii="Times New Roman" w:cs="Times New Roman" w:eastAsia="Times New Roman" w:hAnsi="Times New Roman"/>
              <w:sz w:val="20"/>
              <w:szCs w:val="20"/>
            </w:rPr>
          </w:pPr>
          <w:hyperlink w:anchor="_z337ya">
            <w:r w:rsidDel="00000000" w:rsidR="00000000" w:rsidRPr="00000000">
              <w:rPr>
                <w:rFonts w:ascii="Times New Roman" w:cs="Times New Roman" w:eastAsia="Times New Roman" w:hAnsi="Times New Roman"/>
                <w:sz w:val="20"/>
                <w:szCs w:val="20"/>
                <w:rtl w:val="0"/>
              </w:rPr>
              <w:t xml:space="preserve">Financial Risk</w:t>
              <w:tab/>
              <w:t xml:space="preserve">8</w:t>
            </w:r>
          </w:hyperlink>
          <w:r w:rsidDel="00000000" w:rsidR="00000000" w:rsidRPr="00000000">
            <w:rPr>
              <w:rtl w:val="0"/>
            </w:rPr>
          </w:r>
        </w:p>
        <w:p w:rsidR="00000000" w:rsidDel="00000000" w:rsidP="00000000" w:rsidRDefault="00000000" w:rsidRPr="00000000" w14:paraId="00000027">
          <w:pPr>
            <w:tabs>
              <w:tab w:val="right" w:leader="dot" w:pos="9350"/>
            </w:tabs>
            <w:spacing w:after="100" w:line="360" w:lineRule="auto"/>
            <w:ind w:left="240" w:firstLine="0"/>
            <w:rPr>
              <w:rFonts w:ascii="Times New Roman" w:cs="Times New Roman" w:eastAsia="Times New Roman" w:hAnsi="Times New Roman"/>
              <w:sz w:val="20"/>
              <w:szCs w:val="20"/>
            </w:rPr>
          </w:pPr>
          <w:hyperlink w:anchor="_3j2qqm3">
            <w:r w:rsidDel="00000000" w:rsidR="00000000" w:rsidRPr="00000000">
              <w:rPr>
                <w:rFonts w:ascii="Times New Roman" w:cs="Times New Roman" w:eastAsia="Times New Roman" w:hAnsi="Times New Roman"/>
                <w:sz w:val="20"/>
                <w:szCs w:val="20"/>
                <w:rtl w:val="0"/>
              </w:rPr>
              <w:t xml:space="preserve">Market Risk:</w:t>
              <w:tab/>
              <w:t xml:space="preserve">8</w:t>
            </w:r>
          </w:hyperlink>
          <w:r w:rsidDel="00000000" w:rsidR="00000000" w:rsidRPr="00000000">
            <w:rPr>
              <w:rtl w:val="0"/>
            </w:rPr>
          </w:r>
        </w:p>
        <w:p w:rsidR="00000000" w:rsidDel="00000000" w:rsidP="00000000" w:rsidRDefault="00000000" w:rsidRPr="00000000" w14:paraId="00000028">
          <w:pPr>
            <w:tabs>
              <w:tab w:val="right" w:leader="dot" w:pos="9350"/>
            </w:tabs>
            <w:spacing w:after="100" w:line="360" w:lineRule="auto"/>
            <w:ind w:left="240" w:firstLine="0"/>
            <w:rPr>
              <w:rFonts w:ascii="Times New Roman" w:cs="Times New Roman" w:eastAsia="Times New Roman" w:hAnsi="Times New Roman"/>
              <w:sz w:val="20"/>
              <w:szCs w:val="20"/>
            </w:rPr>
          </w:pPr>
          <w:hyperlink w:anchor="_1y810tw">
            <w:r w:rsidDel="00000000" w:rsidR="00000000" w:rsidRPr="00000000">
              <w:rPr>
                <w:rFonts w:ascii="Times New Roman" w:cs="Times New Roman" w:eastAsia="Times New Roman" w:hAnsi="Times New Roman"/>
                <w:sz w:val="20"/>
                <w:szCs w:val="20"/>
                <w:rtl w:val="0"/>
              </w:rPr>
              <w:t xml:space="preserve">Reputational Risk:</w:t>
              <w:tab/>
              <w:t xml:space="preserve">8</w:t>
            </w:r>
          </w:hyperlink>
          <w:r w:rsidDel="00000000" w:rsidR="00000000" w:rsidRPr="00000000">
            <w:rPr>
              <w:rtl w:val="0"/>
            </w:rPr>
          </w:r>
        </w:p>
        <w:p w:rsidR="00000000" w:rsidDel="00000000" w:rsidP="00000000" w:rsidRDefault="00000000" w:rsidRPr="00000000" w14:paraId="00000029">
          <w:pPr>
            <w:tabs>
              <w:tab w:val="right" w:leader="dot" w:pos="9350"/>
            </w:tabs>
            <w:spacing w:after="100" w:line="360" w:lineRule="auto"/>
            <w:rPr>
              <w:rFonts w:ascii="Times New Roman" w:cs="Times New Roman" w:eastAsia="Times New Roman" w:hAnsi="Times New Roman"/>
              <w:sz w:val="20"/>
              <w:szCs w:val="20"/>
            </w:rPr>
          </w:pPr>
          <w:hyperlink w:anchor="_4i7ojhp">
            <w:r w:rsidDel="00000000" w:rsidR="00000000" w:rsidRPr="00000000">
              <w:rPr>
                <w:rFonts w:ascii="Times New Roman" w:cs="Times New Roman" w:eastAsia="Times New Roman" w:hAnsi="Times New Roman"/>
                <w:sz w:val="20"/>
                <w:szCs w:val="20"/>
                <w:rtl w:val="0"/>
              </w:rPr>
              <w:t xml:space="preserve">Conclusion</w:t>
              <w:tab/>
              <w:t xml:space="preserve">8</w:t>
            </w:r>
          </w:hyperlink>
          <w:r w:rsidDel="00000000" w:rsidR="00000000" w:rsidRPr="00000000">
            <w:rPr>
              <w:rtl w:val="0"/>
            </w:rPr>
          </w:r>
        </w:p>
        <w:p w:rsidR="00000000" w:rsidDel="00000000" w:rsidP="00000000" w:rsidRDefault="00000000" w:rsidRPr="00000000" w14:paraId="0000002A">
          <w:pPr>
            <w:tabs>
              <w:tab w:val="right" w:leader="dot" w:pos="9350"/>
            </w:tabs>
            <w:spacing w:after="100" w:line="360" w:lineRule="auto"/>
            <w:rPr>
              <w:rFonts w:ascii="Times New Roman" w:cs="Times New Roman" w:eastAsia="Times New Roman" w:hAnsi="Times New Roman"/>
              <w:sz w:val="20"/>
              <w:szCs w:val="20"/>
            </w:rPr>
          </w:pPr>
          <w:hyperlink w:anchor="_2xcytpi">
            <w:r w:rsidDel="00000000" w:rsidR="00000000" w:rsidRPr="00000000">
              <w:rPr>
                <w:rFonts w:ascii="Times New Roman" w:cs="Times New Roman" w:eastAsia="Times New Roman" w:hAnsi="Times New Roman"/>
                <w:sz w:val="20"/>
                <w:szCs w:val="20"/>
                <w:rtl w:val="0"/>
              </w:rPr>
              <w:t xml:space="preserve">Strategic Imperatives for Financial Revival</w:t>
              <w:tab/>
              <w:t xml:space="preserve">9</w:t>
            </w:r>
          </w:hyperlink>
          <w:r w:rsidDel="00000000" w:rsidR="00000000" w:rsidRPr="00000000">
            <w:rPr>
              <w:rtl w:val="0"/>
            </w:rPr>
          </w:r>
        </w:p>
        <w:p w:rsidR="00000000" w:rsidDel="00000000" w:rsidP="00000000" w:rsidRDefault="00000000" w:rsidRPr="00000000" w14:paraId="0000002B">
          <w:pPr>
            <w:tabs>
              <w:tab w:val="right" w:leader="dot" w:pos="9350"/>
            </w:tabs>
            <w:spacing w:after="100" w:line="360" w:lineRule="auto"/>
            <w:ind w:left="240" w:firstLine="0"/>
            <w:rPr>
              <w:rFonts w:ascii="Times New Roman" w:cs="Times New Roman" w:eastAsia="Times New Roman" w:hAnsi="Times New Roman"/>
              <w:sz w:val="20"/>
              <w:szCs w:val="20"/>
            </w:rPr>
          </w:pPr>
          <w:hyperlink w:anchor="_1ci93xb">
            <w:r w:rsidDel="00000000" w:rsidR="00000000" w:rsidRPr="00000000">
              <w:rPr>
                <w:rFonts w:ascii="Times New Roman" w:cs="Times New Roman" w:eastAsia="Times New Roman" w:hAnsi="Times New Roman"/>
                <w:sz w:val="20"/>
                <w:szCs w:val="20"/>
                <w:rtl w:val="0"/>
              </w:rPr>
              <w:t xml:space="preserve">Dynamic Pricing and Revenue Diversification:</w:t>
              <w:tab/>
              <w:t xml:space="preserve">9</w:t>
            </w:r>
          </w:hyperlink>
          <w:r w:rsidDel="00000000" w:rsidR="00000000" w:rsidRPr="00000000">
            <w:rPr>
              <w:rtl w:val="0"/>
            </w:rPr>
          </w:r>
        </w:p>
        <w:p w:rsidR="00000000" w:rsidDel="00000000" w:rsidP="00000000" w:rsidRDefault="00000000" w:rsidRPr="00000000" w14:paraId="0000002C">
          <w:pPr>
            <w:tabs>
              <w:tab w:val="right" w:leader="dot" w:pos="9350"/>
            </w:tabs>
            <w:spacing w:after="100" w:line="360" w:lineRule="auto"/>
            <w:ind w:left="240" w:firstLine="0"/>
            <w:rPr>
              <w:rFonts w:ascii="Times New Roman" w:cs="Times New Roman" w:eastAsia="Times New Roman" w:hAnsi="Times New Roman"/>
              <w:sz w:val="20"/>
              <w:szCs w:val="20"/>
            </w:rPr>
          </w:pPr>
          <w:hyperlink w:anchor="_3whwml4">
            <w:r w:rsidDel="00000000" w:rsidR="00000000" w:rsidRPr="00000000">
              <w:rPr>
                <w:rFonts w:ascii="Times New Roman" w:cs="Times New Roman" w:eastAsia="Times New Roman" w:hAnsi="Times New Roman"/>
                <w:sz w:val="20"/>
                <w:szCs w:val="20"/>
                <w:rtl w:val="0"/>
              </w:rPr>
              <w:t xml:space="preserve">Operational Streamlining</w:t>
              <w:tab/>
              <w:t xml:space="preserve">9</w:t>
            </w:r>
          </w:hyperlink>
          <w:r w:rsidDel="00000000" w:rsidR="00000000" w:rsidRPr="00000000">
            <w:rPr>
              <w:rtl w:val="0"/>
            </w:rPr>
          </w:r>
        </w:p>
        <w:p w:rsidR="00000000" w:rsidDel="00000000" w:rsidP="00000000" w:rsidRDefault="00000000" w:rsidRPr="00000000" w14:paraId="0000002D">
          <w:pPr>
            <w:tabs>
              <w:tab w:val="right" w:leader="dot" w:pos="9350"/>
            </w:tabs>
            <w:spacing w:after="100" w:line="360" w:lineRule="auto"/>
            <w:ind w:left="240" w:firstLine="0"/>
            <w:rPr>
              <w:rFonts w:ascii="Times New Roman" w:cs="Times New Roman" w:eastAsia="Times New Roman" w:hAnsi="Times New Roman"/>
              <w:sz w:val="20"/>
              <w:szCs w:val="20"/>
            </w:rPr>
          </w:pPr>
          <w:hyperlink w:anchor="_2bn6wsx">
            <w:r w:rsidDel="00000000" w:rsidR="00000000" w:rsidRPr="00000000">
              <w:rPr>
                <w:rFonts w:ascii="Times New Roman" w:cs="Times New Roman" w:eastAsia="Times New Roman" w:hAnsi="Times New Roman"/>
                <w:sz w:val="20"/>
                <w:szCs w:val="20"/>
                <w:rtl w:val="0"/>
              </w:rPr>
              <w:t xml:space="preserve">Management of cost through debt restructuring</w:t>
              <w:tab/>
              <w:t xml:space="preserve">9</w:t>
            </w:r>
          </w:hyperlink>
          <w:r w:rsidDel="00000000" w:rsidR="00000000" w:rsidRPr="00000000">
            <w:rPr>
              <w:rtl w:val="0"/>
            </w:rPr>
          </w:r>
        </w:p>
        <w:p w:rsidR="00000000" w:rsidDel="00000000" w:rsidP="00000000" w:rsidRDefault="00000000" w:rsidRPr="00000000" w14:paraId="0000002E">
          <w:pPr>
            <w:tabs>
              <w:tab w:val="right" w:leader="dot" w:pos="9350"/>
            </w:tabs>
            <w:spacing w:after="100" w:line="360" w:lineRule="auto"/>
            <w:ind w:left="240" w:firstLine="0"/>
            <w:rPr>
              <w:rFonts w:ascii="Times New Roman" w:cs="Times New Roman" w:eastAsia="Times New Roman" w:hAnsi="Times New Roman"/>
              <w:sz w:val="24"/>
              <w:szCs w:val="24"/>
            </w:rPr>
          </w:pPr>
          <w:hyperlink w:anchor="_qsh70q">
            <w:r w:rsidDel="00000000" w:rsidR="00000000" w:rsidRPr="00000000">
              <w:rPr>
                <w:rFonts w:ascii="Times New Roman" w:cs="Times New Roman" w:eastAsia="Times New Roman" w:hAnsi="Times New Roman"/>
                <w:sz w:val="20"/>
                <w:szCs w:val="20"/>
                <w:rtl w:val="0"/>
              </w:rPr>
              <w:t xml:space="preserve">Strategic Options for Ownership</w:t>
              <w:tab/>
              <w:t xml:space="preserve">9</w:t>
            </w:r>
          </w:hyperlink>
          <w:r w:rsidDel="00000000" w:rsidR="00000000" w:rsidRPr="00000000">
            <w:rPr>
              <w:rtl w:val="0"/>
            </w:rPr>
          </w:r>
        </w:p>
        <w:p w:rsidR="00000000" w:rsidDel="00000000" w:rsidP="00000000" w:rsidRDefault="00000000" w:rsidRPr="00000000" w14:paraId="0000002F">
          <w:pPr>
            <w:spacing w:after="160" w:line="360" w:lineRule="auto"/>
            <w:rPr>
              <w:rFonts w:ascii="Times New Roman" w:cs="Times New Roman" w:eastAsia="Times New Roman" w:hAnsi="Times New Roman"/>
              <w:b w:val="1"/>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pStyle w:val="Heading1"/>
        <w:spacing w:after="80" w:before="360" w:line="480" w:lineRule="auto"/>
        <w:rPr>
          <w:rFonts w:ascii="Times New Roman" w:cs="Times New Roman" w:eastAsia="Times New Roman" w:hAnsi="Times New Roman"/>
          <w:b w:val="1"/>
          <w:sz w:val="24"/>
          <w:szCs w:val="24"/>
        </w:rPr>
      </w:pPr>
      <w:bookmarkStart w:colFirst="0" w:colLast="0" w:name="_gjdgxs" w:id="0"/>
      <w:bookmarkEnd w:id="0"/>
      <w:r w:rsidDel="00000000" w:rsidR="00000000" w:rsidRPr="00000000">
        <w:rPr>
          <w:rFonts w:ascii="Times New Roman" w:cs="Times New Roman" w:eastAsia="Times New Roman" w:hAnsi="Times New Roman"/>
          <w:b w:val="1"/>
          <w:sz w:val="24"/>
          <w:szCs w:val="24"/>
          <w:rtl w:val="0"/>
        </w:rPr>
        <w:t xml:space="preserve">Comprehensive Financial and Operation Analysis of City Hotel and turnaround strategies.</w:t>
      </w:r>
    </w:p>
    <w:p w:rsidR="00000000" w:rsidDel="00000000" w:rsidP="00000000" w:rsidRDefault="00000000" w:rsidRPr="00000000" w14:paraId="00000031">
      <w:pPr>
        <w:pStyle w:val="Heading1"/>
        <w:spacing w:after="80" w:before="360" w:line="480" w:lineRule="auto"/>
        <w:rPr>
          <w:rFonts w:ascii="Times New Roman" w:cs="Times New Roman" w:eastAsia="Times New Roman" w:hAnsi="Times New Roman"/>
          <w:b w:val="1"/>
          <w:sz w:val="24"/>
          <w:szCs w:val="24"/>
        </w:rPr>
      </w:pPr>
      <w:bookmarkStart w:colFirst="0" w:colLast="0" w:name="_30j0zll" w:id="1"/>
      <w:bookmarkEnd w:id="1"/>
      <w:r w:rsidDel="00000000" w:rsidR="00000000" w:rsidRPr="00000000">
        <w:rPr>
          <w:rFonts w:ascii="Times New Roman" w:cs="Times New Roman" w:eastAsia="Times New Roman" w:hAnsi="Times New Roman"/>
          <w:b w:val="1"/>
          <w:sz w:val="24"/>
          <w:szCs w:val="24"/>
          <w:rtl w:val="0"/>
        </w:rPr>
        <w:t xml:space="preserve">Executive Summary</w:t>
      </w:r>
    </w:p>
    <w:p w:rsidR="00000000" w:rsidDel="00000000" w:rsidP="00000000" w:rsidRDefault="00000000" w:rsidRPr="00000000" w14:paraId="00000032">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analysis addresses the financial well-being of City Hotel from 2021 through 2023, based on revenue trends, expenditures, profitability, and liquidity. Sharp declines in income and profitability by 2023 indicate extreme pressure on finances. The report discusses possible strategic intervention cost optimisation, market repositioning, or alternative strategies for operational performance that will instead enhance operational performance to explain alternative strategic exits for ownership in case of failing financials (Febiyanti et al., 2024).</w:t>
      </w:r>
    </w:p>
    <w:p w:rsidR="00000000" w:rsidDel="00000000" w:rsidP="00000000" w:rsidRDefault="00000000" w:rsidRPr="00000000" w14:paraId="00000033">
      <w:pPr>
        <w:pStyle w:val="Heading1"/>
        <w:spacing w:after="80" w:before="360" w:line="480" w:lineRule="auto"/>
        <w:jc w:val="both"/>
        <w:rPr>
          <w:rFonts w:ascii="Times New Roman" w:cs="Times New Roman" w:eastAsia="Times New Roman" w:hAnsi="Times New Roman"/>
          <w:b w:val="1"/>
          <w:sz w:val="24"/>
          <w:szCs w:val="24"/>
        </w:rPr>
      </w:pPr>
      <w:bookmarkStart w:colFirst="0" w:colLast="0" w:name="_1fob9te" w:id="2"/>
      <w:bookmarkEnd w:id="2"/>
      <w:r w:rsidDel="00000000" w:rsidR="00000000" w:rsidRPr="00000000">
        <w:rPr>
          <w:rFonts w:ascii="Times New Roman" w:cs="Times New Roman" w:eastAsia="Times New Roman" w:hAnsi="Times New Roman"/>
          <w:b w:val="1"/>
          <w:sz w:val="24"/>
          <w:szCs w:val="24"/>
          <w:rtl w:val="0"/>
        </w:rPr>
        <w:t xml:space="preserve">About City Hotel- Introduction</w:t>
      </w:r>
    </w:p>
    <w:p w:rsidR="00000000" w:rsidDel="00000000" w:rsidP="00000000" w:rsidRDefault="00000000" w:rsidRPr="00000000" w14:paraId="00000034">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City Hotel is an independent hotel in the UK hospitality industry. The analysis describes that the clients for this hotel have primarily been business and leisure. For the past few years, the hotel has seen cyclical revenues matched with rising costs. The study will therefore unravel the causes of this poor financial health and advise on viable pathways to improving profitability, supporting the sustainability of operations, or offering alternative modes of ownership if the financial wagon cannot be turned around.</w:t>
      </w:r>
    </w:p>
    <w:p w:rsidR="00000000" w:rsidDel="00000000" w:rsidP="00000000" w:rsidRDefault="00000000" w:rsidRPr="00000000" w14:paraId="00000035">
      <w:pPr>
        <w:pStyle w:val="Heading1"/>
        <w:spacing w:after="80" w:before="360" w:line="480" w:lineRule="auto"/>
        <w:jc w:val="both"/>
        <w:rPr>
          <w:rFonts w:ascii="Times New Roman" w:cs="Times New Roman" w:eastAsia="Times New Roman" w:hAnsi="Times New Roman"/>
          <w:b w:val="1"/>
          <w:sz w:val="24"/>
          <w:szCs w:val="24"/>
        </w:rPr>
      </w:pPr>
      <w:bookmarkStart w:colFirst="0" w:colLast="0" w:name="_3znysh7" w:id="3"/>
      <w:bookmarkEnd w:id="3"/>
      <w:r w:rsidDel="00000000" w:rsidR="00000000" w:rsidRPr="00000000">
        <w:rPr>
          <w:rFonts w:ascii="Times New Roman" w:cs="Times New Roman" w:eastAsia="Times New Roman" w:hAnsi="Times New Roman"/>
          <w:b w:val="1"/>
          <w:sz w:val="24"/>
          <w:szCs w:val="24"/>
          <w:rtl w:val="0"/>
        </w:rPr>
        <w:t xml:space="preserve">Review of Financial Performance (2021-2023)</w:t>
      </w:r>
    </w:p>
    <w:p w:rsidR="00000000" w:rsidDel="00000000" w:rsidP="00000000" w:rsidRDefault="00000000" w:rsidRPr="00000000" w14:paraId="00000036">
      <w:pPr>
        <w:pStyle w:val="Heading2"/>
        <w:spacing w:after="0" w:before="40" w:line="480" w:lineRule="auto"/>
        <w:jc w:val="both"/>
        <w:rPr>
          <w:rFonts w:ascii="Times New Roman" w:cs="Times New Roman" w:eastAsia="Times New Roman" w:hAnsi="Times New Roman"/>
          <w:b w:val="1"/>
          <w:sz w:val="24"/>
          <w:szCs w:val="24"/>
        </w:rPr>
      </w:pPr>
      <w:bookmarkStart w:colFirst="0" w:colLast="0" w:name="_2et92p0" w:id="4"/>
      <w:bookmarkEnd w:id="4"/>
      <w:r w:rsidDel="00000000" w:rsidR="00000000" w:rsidRPr="00000000">
        <w:rPr>
          <w:rFonts w:ascii="Times New Roman" w:cs="Times New Roman" w:eastAsia="Times New Roman" w:hAnsi="Times New Roman"/>
          <w:b w:val="1"/>
          <w:sz w:val="24"/>
          <w:szCs w:val="24"/>
          <w:rtl w:val="0"/>
        </w:rPr>
        <w:t xml:space="preserve">Revenue Trends and Industry Effects</w:t>
      </w:r>
    </w:p>
    <w:p w:rsidR="00000000" w:rsidDel="00000000" w:rsidP="00000000" w:rsidRDefault="00000000" w:rsidRPr="00000000" w14:paraId="00000037">
      <w:pPr>
        <w:numPr>
          <w:ilvl w:val="0"/>
          <w:numId w:val="2"/>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describes that the City Hotel has revenue recorded at £5,248,290 in 2021; this is escalated to £5,307,480 recorded in 2022. On the contrary, revenue plummeted considerably to £2,325,440 in 2023, which was 56% lower than the previous year (Milton, 2024). </w:t>
      </w:r>
    </w:p>
    <w:p w:rsidR="00000000" w:rsidDel="00000000" w:rsidP="00000000" w:rsidRDefault="00000000" w:rsidRPr="00000000" w14:paraId="00000038">
      <w:pPr>
        <w:numPr>
          <w:ilvl w:val="0"/>
          <w:numId w:val="2"/>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was be a result of macroeconomic factors like  an increase in competition, seasonality and COVID-19</w:t>
      </w:r>
    </w:p>
    <w:p w:rsidR="00000000" w:rsidDel="00000000" w:rsidP="00000000" w:rsidRDefault="00000000" w:rsidRPr="00000000" w14:paraId="00000039">
      <w:pPr>
        <w:numPr>
          <w:ilvl w:val="0"/>
          <w:numId w:val="2"/>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UK hospitality industry at this time had experienced similar burdens of inflation and decreased travel demand, leading to possibly lower guest take and lower room occupancy rates.</w:t>
      </w:r>
    </w:p>
    <w:p w:rsidR="00000000" w:rsidDel="00000000" w:rsidP="00000000" w:rsidRDefault="00000000" w:rsidRPr="00000000" w14:paraId="0000003A">
      <w:pPr>
        <w:spacing w:after="160" w:line="48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Cost Structure and Operational Efficiency</w:t>
      </w:r>
    </w:p>
    <w:p w:rsidR="00000000" w:rsidDel="00000000" w:rsidP="00000000" w:rsidRDefault="00000000" w:rsidRPr="00000000" w14:paraId="0000003B">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shows that the City Hotel's cost of goods sold for the years 2021 and 2022 was relatively constant, at approximately £400,000; however, it decreased to £176,250 in 2023. </w:t>
      </w:r>
    </w:p>
    <w:p w:rsidR="00000000" w:rsidDel="00000000" w:rsidP="00000000" w:rsidRDefault="00000000" w:rsidRPr="00000000" w14:paraId="0000003C">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Although this is a significant decline, it is relatively less consequential as compared to the revenue decline; that means the hotel did not make adequate cost cuts to offset its loss in revenues (Hongpukdee et al., 2024). </w:t>
      </w:r>
    </w:p>
    <w:p w:rsidR="00000000" w:rsidDel="00000000" w:rsidP="00000000" w:rsidRDefault="00000000" w:rsidRPr="00000000" w14:paraId="0000003D">
      <w:pPr>
        <w:numPr>
          <w:ilvl w:val="0"/>
          <w:numId w:val="7"/>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Employee cost rose to £1,770,700 in 2022 from £1,724,760 in 2021 but dropped to £1,233,160 in 2023. Such changes could be due in part to the optimisation of staffing, but the increased rate of wages or increased retention costs would have incurred the costs. </w:t>
      </w:r>
    </w:p>
    <w:p w:rsidR="00000000" w:rsidDel="00000000" w:rsidP="00000000" w:rsidRDefault="00000000" w:rsidRPr="00000000" w14:paraId="0000003E">
      <w:pPr>
        <w:numPr>
          <w:ilvl w:val="0"/>
          <w:numId w:val="7"/>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also shows that optimisation of efficiency can be done using a variable model for staffing by aligning the employee costs with the level of occupancy.</w:t>
      </w:r>
    </w:p>
    <w:p w:rsidR="00000000" w:rsidDel="00000000" w:rsidP="00000000" w:rsidRDefault="00000000" w:rsidRPr="00000000" w14:paraId="0000003F">
      <w:pPr>
        <w:pStyle w:val="Heading2"/>
        <w:spacing w:after="0" w:before="40" w:line="480" w:lineRule="auto"/>
        <w:jc w:val="both"/>
        <w:rPr>
          <w:rFonts w:ascii="Times New Roman" w:cs="Times New Roman" w:eastAsia="Times New Roman" w:hAnsi="Times New Roman"/>
          <w:b w:val="1"/>
          <w:sz w:val="24"/>
          <w:szCs w:val="24"/>
        </w:rPr>
      </w:pPr>
      <w:bookmarkStart w:colFirst="0" w:colLast="0" w:name="_tyjcwt" w:id="5"/>
      <w:bookmarkEnd w:id="5"/>
      <w:r w:rsidDel="00000000" w:rsidR="00000000" w:rsidRPr="00000000">
        <w:rPr>
          <w:rFonts w:ascii="Times New Roman" w:cs="Times New Roman" w:eastAsia="Times New Roman" w:hAnsi="Times New Roman"/>
          <w:b w:val="1"/>
          <w:sz w:val="24"/>
          <w:szCs w:val="24"/>
          <w:rtl w:val="0"/>
        </w:rPr>
        <w:t xml:space="preserve">Profitability and Liquidity Issues</w:t>
      </w:r>
    </w:p>
    <w:p w:rsidR="00000000" w:rsidDel="00000000" w:rsidP="00000000" w:rsidRDefault="00000000" w:rsidRPr="00000000" w14:paraId="00000040">
      <w:pPr>
        <w:numPr>
          <w:ilvl w:val="0"/>
          <w:numId w:val="6"/>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shows that the operating income was £664,160 in 2021 and £674,730 in 2022 but precipitously dropped to a loss of £1,218,850 in 2023. </w:t>
      </w:r>
    </w:p>
    <w:p w:rsidR="00000000" w:rsidDel="00000000" w:rsidP="00000000" w:rsidRDefault="00000000" w:rsidRPr="00000000" w14:paraId="00000041">
      <w:pPr>
        <w:numPr>
          <w:ilvl w:val="0"/>
          <w:numId w:val="6"/>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Net income followed a similar path, as it declined from a profit of £333,930 in 2021 to a loss of £1,134,950 in 2023. </w:t>
      </w:r>
    </w:p>
    <w:p w:rsidR="00000000" w:rsidDel="00000000" w:rsidP="00000000" w:rsidRDefault="00000000" w:rsidRPr="00000000" w14:paraId="00000042">
      <w:pPr>
        <w:numPr>
          <w:ilvl w:val="0"/>
          <w:numId w:val="6"/>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These are negative numbers that reflect serious profitability problems largely caused by the above declines in revenue and an inability to reduce costs sharply enough. </w:t>
      </w:r>
    </w:p>
    <w:p w:rsidR="00000000" w:rsidDel="00000000" w:rsidP="00000000" w:rsidRDefault="00000000" w:rsidRPr="00000000" w14:paraId="00000043">
      <w:pPr>
        <w:numPr>
          <w:ilvl w:val="0"/>
          <w:numId w:val="6"/>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Amortisation costs have risen to £661,590 by 2023, which might represent either new capital investments or just a coincidence of asset ageing. The asset use strategy needs to be analysed so that maximum returns can be obtained from existing investments, and cash flows must be maintained (Mazaraki et al., 2024)..</w:t>
      </w:r>
    </w:p>
    <w:p w:rsidR="00000000" w:rsidDel="00000000" w:rsidP="00000000" w:rsidRDefault="00000000" w:rsidRPr="00000000" w14:paraId="00000044">
      <w:pPr>
        <w:numPr>
          <w:ilvl w:val="0"/>
          <w:numId w:val="6"/>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further describes that the cash levels declined to £295,510 in 2023 from £740,590 in 2021, which greatly limits the liquidity of City Hotel. </w:t>
      </w:r>
    </w:p>
    <w:p w:rsidR="00000000" w:rsidDel="00000000" w:rsidP="00000000" w:rsidRDefault="00000000" w:rsidRPr="00000000" w14:paraId="00000045">
      <w:pPr>
        <w:numPr>
          <w:ilvl w:val="0"/>
          <w:numId w:val="6"/>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Two challenges of high operating costs significantly restrict City Hotel's ability to meet its short-term liabilities. Liabilities restructuring like liability reduction or selling off businesses outside core activities can release these liquidity pressures.</w:t>
      </w:r>
    </w:p>
    <w:p w:rsidR="00000000" w:rsidDel="00000000" w:rsidP="00000000" w:rsidRDefault="00000000" w:rsidRPr="00000000" w14:paraId="00000046">
      <w:pPr>
        <w:pStyle w:val="Heading2"/>
        <w:spacing w:after="0" w:before="40" w:line="480" w:lineRule="auto"/>
        <w:jc w:val="both"/>
        <w:rPr>
          <w:rFonts w:ascii="Times New Roman" w:cs="Times New Roman" w:eastAsia="Times New Roman" w:hAnsi="Times New Roman"/>
          <w:b w:val="1"/>
          <w:sz w:val="24"/>
          <w:szCs w:val="24"/>
        </w:rPr>
      </w:pPr>
      <w:bookmarkStart w:colFirst="0" w:colLast="0" w:name="_3dy6vkm" w:id="6"/>
      <w:bookmarkEnd w:id="6"/>
      <w:r w:rsidDel="00000000" w:rsidR="00000000" w:rsidRPr="00000000">
        <w:rPr>
          <w:rFonts w:ascii="Times New Roman" w:cs="Times New Roman" w:eastAsia="Times New Roman" w:hAnsi="Times New Roman"/>
          <w:b w:val="1"/>
          <w:sz w:val="24"/>
          <w:szCs w:val="24"/>
          <w:rtl w:val="0"/>
        </w:rPr>
        <w:t xml:space="preserve">Liabilities and Solvency Risk</w:t>
      </w:r>
    </w:p>
    <w:p w:rsidR="00000000" w:rsidDel="00000000" w:rsidP="00000000" w:rsidRDefault="00000000" w:rsidRPr="00000000" w14:paraId="00000047">
      <w:pPr>
        <w:numPr>
          <w:ilvl w:val="0"/>
          <w:numId w:val="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describes that the liabilities have risen from £10,684,940 in 2021 to £14,243,390 in 2023. Such growth is particularly observable in the increase in non-current liabilities.</w:t>
      </w:r>
    </w:p>
    <w:p w:rsidR="00000000" w:rsidDel="00000000" w:rsidP="00000000" w:rsidRDefault="00000000" w:rsidRPr="00000000" w14:paraId="00000048">
      <w:pPr>
        <w:numPr>
          <w:ilvl w:val="0"/>
          <w:numId w:val="4"/>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might be a matter of debt accretion or lease obligations. Even at just £3,353,260 by 2023, the amount recorded as lease debt, the solvency position of City Hotel is becoming increasingly precarious (Ji et al., 2024). </w:t>
      </w:r>
    </w:p>
    <w:p w:rsidR="00000000" w:rsidDel="00000000" w:rsidP="00000000" w:rsidRDefault="00000000" w:rsidRPr="00000000" w14:paraId="00000049">
      <w:pPr>
        <w:numPr>
          <w:ilvl w:val="0"/>
          <w:numId w:val="4"/>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Options for debt restructuring, like the reduction in interest rates or an extension in loan terms, may strengthen the financial position of City Hotel, though the expansion put in place has to be stopped once liabilities are effectively managed.</w:t>
      </w:r>
    </w:p>
    <w:p w:rsidR="00000000" w:rsidDel="00000000" w:rsidP="00000000" w:rsidRDefault="00000000" w:rsidRPr="00000000" w14:paraId="0000004A">
      <w:pPr>
        <w:pStyle w:val="Heading1"/>
        <w:spacing w:after="80" w:before="360" w:line="480" w:lineRule="auto"/>
        <w:jc w:val="both"/>
        <w:rPr>
          <w:rFonts w:ascii="Times New Roman" w:cs="Times New Roman" w:eastAsia="Times New Roman" w:hAnsi="Times New Roman"/>
          <w:b w:val="1"/>
          <w:sz w:val="24"/>
          <w:szCs w:val="24"/>
        </w:rPr>
      </w:pPr>
      <w:bookmarkStart w:colFirst="0" w:colLast="0" w:name="_1t3h5sf" w:id="7"/>
      <w:bookmarkEnd w:id="7"/>
      <w:r w:rsidDel="00000000" w:rsidR="00000000" w:rsidRPr="00000000">
        <w:rPr>
          <w:rFonts w:ascii="Times New Roman" w:cs="Times New Roman" w:eastAsia="Times New Roman" w:hAnsi="Times New Roman"/>
          <w:b w:val="1"/>
          <w:sz w:val="24"/>
          <w:szCs w:val="24"/>
          <w:rtl w:val="0"/>
        </w:rPr>
        <w:t xml:space="preserve">Challenges Behind Profit Decline</w:t>
      </w:r>
    </w:p>
    <w:p w:rsidR="00000000" w:rsidDel="00000000" w:rsidP="00000000" w:rsidRDefault="00000000" w:rsidRPr="00000000" w14:paraId="0000004B">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states that the underlying causes of profitability decline include revenue loss that is highly accompanied by large fixed costs on employees' wages and external costs. More so, a rise in inflation in the economy has increased competition for travel services due to shifts in demand that have greatly lowered revenues and occupancy rates. This is partly because of these external factors that come with internal inefficiencies that have led to a decline in profitability (Alon et al., 2018).</w:t>
      </w:r>
    </w:p>
    <w:p w:rsidR="00000000" w:rsidDel="00000000" w:rsidP="00000000" w:rsidRDefault="00000000" w:rsidRPr="00000000" w14:paraId="0000004C">
      <w:pPr>
        <w:pStyle w:val="Heading1"/>
        <w:spacing w:after="80" w:before="360" w:line="480" w:lineRule="auto"/>
        <w:jc w:val="both"/>
        <w:rPr>
          <w:rFonts w:ascii="Times New Roman" w:cs="Times New Roman" w:eastAsia="Times New Roman" w:hAnsi="Times New Roman"/>
          <w:b w:val="1"/>
          <w:sz w:val="24"/>
          <w:szCs w:val="24"/>
        </w:rPr>
      </w:pPr>
      <w:bookmarkStart w:colFirst="0" w:colLast="0" w:name="_4d34og8" w:id="8"/>
      <w:bookmarkEnd w:id="8"/>
      <w:r w:rsidDel="00000000" w:rsidR="00000000" w:rsidRPr="00000000">
        <w:rPr>
          <w:rFonts w:ascii="Times New Roman" w:cs="Times New Roman" w:eastAsia="Times New Roman" w:hAnsi="Times New Roman"/>
          <w:b w:val="1"/>
          <w:sz w:val="24"/>
          <w:szCs w:val="24"/>
          <w:rtl w:val="0"/>
        </w:rPr>
        <w:t xml:space="preserve">Ansoff's Matrix for City Hotel</w:t>
      </w:r>
    </w:p>
    <w:p w:rsidR="00000000" w:rsidDel="00000000" w:rsidP="00000000" w:rsidRDefault="00000000" w:rsidRPr="00000000" w14:paraId="0000004D">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shows that the ansoff's Matrix presents the City Hotel with a structured view of how it can pursue growth opportunities by combining the market and product variables. Market Penetration may involve attempts to raise occupancy among existing customers through loyalty schemes, room weekend discount rates, etc. Another strategy is product development; City Hotel may improve its offerings by offering spas, themed rooms, or carefully assembled and personalised local experiences for better guest experience on repeat stays (Caldeira et al., 2021). Market development could mean access to new customer segments- attracting corporate clients by extending the meeting facilities or by enhancing business facilities in the hotel. Diversification would include new markets or new service variety, for example launching a brand targeting low-budget travellers, or developing destination events to attract broader interest. Ansoff's Matrix enables City Hotel to analyse a range of growth strategies to identify which are most suitable to its goals and available resources. This approach enables vivid, logical step-by-step expansion of hotel outreach and revenue streams in support of sustainable development.</w:t>
      </w:r>
    </w:p>
    <w:p w:rsidR="00000000" w:rsidDel="00000000" w:rsidP="00000000" w:rsidRDefault="00000000" w:rsidRPr="00000000" w14:paraId="0000004E">
      <w:pPr>
        <w:pStyle w:val="Heading1"/>
        <w:spacing w:after="80" w:before="360" w:line="480" w:lineRule="auto"/>
        <w:jc w:val="both"/>
        <w:rPr>
          <w:rFonts w:ascii="Times New Roman" w:cs="Times New Roman" w:eastAsia="Times New Roman" w:hAnsi="Times New Roman"/>
          <w:b w:val="1"/>
          <w:sz w:val="24"/>
          <w:szCs w:val="24"/>
        </w:rPr>
      </w:pPr>
      <w:bookmarkStart w:colFirst="0" w:colLast="0" w:name="_2s8eyo1" w:id="9"/>
      <w:bookmarkEnd w:id="9"/>
      <w:r w:rsidDel="00000000" w:rsidR="00000000" w:rsidRPr="00000000">
        <w:rPr>
          <w:rFonts w:ascii="Times New Roman" w:cs="Times New Roman" w:eastAsia="Times New Roman" w:hAnsi="Times New Roman"/>
          <w:b w:val="1"/>
          <w:sz w:val="24"/>
          <w:szCs w:val="24"/>
          <w:rtl w:val="0"/>
        </w:rPr>
        <w:t xml:space="preserve">Five-Stage Recovery of City Hotel</w:t>
      </w:r>
    </w:p>
    <w:p w:rsidR="00000000" w:rsidDel="00000000" w:rsidP="00000000" w:rsidRDefault="00000000" w:rsidRPr="00000000" w14:paraId="0000004F">
      <w:pPr>
        <w:numPr>
          <w:ilvl w:val="0"/>
          <w:numId w:val="1"/>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states that the recovery of City Hotel may follow five stages. Initially, it is the Crisis Evaluation Phase, wherein City Hotel assesses the various evaluations of financial losses it sustained, feedback from the customers, and other operational bottlenecks for identification of areas generally affected (Kim and Mauborgne, 2017). </w:t>
      </w:r>
    </w:p>
    <w:p w:rsidR="00000000" w:rsidDel="00000000" w:rsidP="00000000" w:rsidRDefault="00000000" w:rsidRPr="00000000" w14:paraId="00000050">
      <w:pPr>
        <w:numPr>
          <w:ilvl w:val="0"/>
          <w:numId w:val="1"/>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focus of the Short-term Stabilisation Phase is cutting costs, preserving cash flow, and applying quick wins- for example, online deals-attracting budget-conscious travellers. </w:t>
      </w:r>
    </w:p>
    <w:p w:rsidR="00000000" w:rsidDel="00000000" w:rsidP="00000000" w:rsidRDefault="00000000" w:rsidRPr="00000000" w14:paraId="00000051">
      <w:pPr>
        <w:numPr>
          <w:ilvl w:val="0"/>
          <w:numId w:val="1"/>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Then comes the Revenue Recovery Phase, which strengthens occupancy through variable pricing and extended stay promotion toward a consistent revenue stream. </w:t>
      </w:r>
    </w:p>
    <w:p w:rsidR="00000000" w:rsidDel="00000000" w:rsidP="00000000" w:rsidRDefault="00000000" w:rsidRPr="00000000" w14:paraId="00000052">
      <w:pPr>
        <w:numPr>
          <w:ilvl w:val="0"/>
          <w:numId w:val="1"/>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Brand Repositioning Phase creates a strong market positioning for City Hotel on the dimensions of value proposition such as enhanced levels of safety or environmental issues so that it gains the risk-averse tourist. </w:t>
      </w:r>
    </w:p>
    <w:p w:rsidR="00000000" w:rsidDel="00000000" w:rsidP="00000000" w:rsidRDefault="00000000" w:rsidRPr="00000000" w14:paraId="00000053">
      <w:pPr>
        <w:numPr>
          <w:ilvl w:val="0"/>
          <w:numId w:val="1"/>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Finally, the Long-term Growth Phase includes investments in the quality of service delivered and training for employees and innovative services and it enables to creation of a platform for sustained growth. These phases will bring an orderly sequence for recovery to ensure the City Hotel's position and financial health (Kranzbuhler et al., 2018).</w:t>
      </w:r>
    </w:p>
    <w:p w:rsidR="00000000" w:rsidDel="00000000" w:rsidP="00000000" w:rsidRDefault="00000000" w:rsidRPr="00000000" w14:paraId="00000054">
      <w:pPr>
        <w:pStyle w:val="Heading1"/>
        <w:spacing w:after="80" w:before="360" w:line="480" w:lineRule="auto"/>
        <w:jc w:val="both"/>
        <w:rPr>
          <w:rFonts w:ascii="Times New Roman" w:cs="Times New Roman" w:eastAsia="Times New Roman" w:hAnsi="Times New Roman"/>
          <w:b w:val="1"/>
          <w:sz w:val="24"/>
          <w:szCs w:val="24"/>
        </w:rPr>
      </w:pPr>
      <w:bookmarkStart w:colFirst="0" w:colLast="0" w:name="_17dp8vu" w:id="10"/>
      <w:bookmarkEnd w:id="10"/>
      <w:r w:rsidDel="00000000" w:rsidR="00000000" w:rsidRPr="00000000">
        <w:rPr>
          <w:rFonts w:ascii="Times New Roman" w:cs="Times New Roman" w:eastAsia="Times New Roman" w:hAnsi="Times New Roman"/>
          <w:b w:val="1"/>
          <w:sz w:val="24"/>
          <w:szCs w:val="24"/>
          <w:rtl w:val="0"/>
        </w:rPr>
        <w:t xml:space="preserve">Risk mitigation through strategies</w:t>
      </w:r>
    </w:p>
    <w:p w:rsidR="00000000" w:rsidDel="00000000" w:rsidP="00000000" w:rsidRDefault="00000000" w:rsidRPr="00000000" w14:paraId="00000055">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describes that the city Hotel can adopt a strategy that reduces and shifts risks so that declining profitability and operational risks do not deteriorate further. Reduction of risks focuses on areas that could make the operation of the place more efficient. Some instances are when the hotel can implement an automatic system to book and check-in guests. This minimises labour costs as much as possible while giving the clients the most memorable guest experience. City Hotel could also control its operational costs by making optimised schedules and minimising unnecessary expenses.</w:t>
      </w:r>
    </w:p>
    <w:p w:rsidR="00000000" w:rsidDel="00000000" w:rsidP="00000000" w:rsidRDefault="00000000" w:rsidRPr="00000000" w14:paraId="00000056">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Regarding risk transfer, City Hotel could partner with third-party platforms such as travel agencies or online booking platforms to encourage more bookings. That would transfer some of the financial burden to partners who might have a bigger customer base, thereby transferring some of the marketing and occupancy risk (Ma et al., 2022). In addition, the hotel can outsource non-core services like laundry and housekeeping to specific vendors as that will give predictable costs and avoid spikes in any of those expenses. This brings down the risk and will help City Hotel to overcome its financial issues with the least direct impact on the core business.</w:t>
      </w:r>
    </w:p>
    <w:p w:rsidR="00000000" w:rsidDel="00000000" w:rsidP="00000000" w:rsidRDefault="00000000" w:rsidRPr="00000000" w14:paraId="00000057">
      <w:pPr>
        <w:pStyle w:val="Heading1"/>
        <w:spacing w:after="80" w:before="360" w:line="480" w:lineRule="auto"/>
        <w:jc w:val="both"/>
        <w:rPr>
          <w:rFonts w:ascii="Times New Roman" w:cs="Times New Roman" w:eastAsia="Times New Roman" w:hAnsi="Times New Roman"/>
          <w:b w:val="1"/>
          <w:sz w:val="24"/>
          <w:szCs w:val="24"/>
        </w:rPr>
      </w:pPr>
      <w:bookmarkStart w:colFirst="0" w:colLast="0" w:name="_3rdcrjn" w:id="11"/>
      <w:bookmarkEnd w:id="11"/>
      <w:r w:rsidDel="00000000" w:rsidR="00000000" w:rsidRPr="00000000">
        <w:rPr>
          <w:rFonts w:ascii="Times New Roman" w:cs="Times New Roman" w:eastAsia="Times New Roman" w:hAnsi="Times New Roman"/>
          <w:b w:val="1"/>
          <w:sz w:val="24"/>
          <w:szCs w:val="24"/>
          <w:rtl w:val="0"/>
        </w:rPr>
        <w:t xml:space="preserve">SWOT Analysis:</w:t>
      </w:r>
    </w:p>
    <w:p w:rsidR="00000000" w:rsidDel="00000000" w:rsidP="00000000" w:rsidRDefault="00000000" w:rsidRPr="00000000" w14:paraId="00000058">
      <w:pPr>
        <w:pStyle w:val="Heading2"/>
        <w:spacing w:after="0" w:before="40" w:line="480" w:lineRule="auto"/>
        <w:jc w:val="both"/>
        <w:rPr>
          <w:rFonts w:ascii="Times New Roman" w:cs="Times New Roman" w:eastAsia="Times New Roman" w:hAnsi="Times New Roman"/>
          <w:b w:val="1"/>
          <w:sz w:val="24"/>
          <w:szCs w:val="24"/>
        </w:rPr>
      </w:pPr>
      <w:bookmarkStart w:colFirst="0" w:colLast="0" w:name="_26in1rg" w:id="12"/>
      <w:bookmarkEnd w:id="12"/>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59">
      <w:pPr>
        <w:numPr>
          <w:ilvl w:val="0"/>
          <w:numId w:val="9"/>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very strong reputation and a loyal customer base (Seh et al., 2018).</w:t>
      </w:r>
    </w:p>
    <w:p w:rsidR="00000000" w:rsidDel="00000000" w:rsidP="00000000" w:rsidRDefault="00000000" w:rsidRPr="00000000" w14:paraId="0000005A">
      <w:pPr>
        <w:numPr>
          <w:ilvl w:val="0"/>
          <w:numId w:val="9"/>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Prime location that attracts business as well as leisure travellers.</w:t>
      </w:r>
    </w:p>
    <w:p w:rsidR="00000000" w:rsidDel="00000000" w:rsidP="00000000" w:rsidRDefault="00000000" w:rsidRPr="00000000" w14:paraId="0000005B">
      <w:pPr>
        <w:numPr>
          <w:ilvl w:val="0"/>
          <w:numId w:val="9"/>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Quality service record that supports guest satisfaction.</w:t>
      </w:r>
    </w:p>
    <w:p w:rsidR="00000000" w:rsidDel="00000000" w:rsidP="00000000" w:rsidRDefault="00000000" w:rsidRPr="00000000" w14:paraId="0000005C">
      <w:pPr>
        <w:pStyle w:val="Heading2"/>
        <w:spacing w:after="0" w:before="40" w:line="480" w:lineRule="auto"/>
        <w:jc w:val="both"/>
        <w:rPr>
          <w:rFonts w:ascii="Times New Roman" w:cs="Times New Roman" w:eastAsia="Times New Roman" w:hAnsi="Times New Roman"/>
          <w:b w:val="1"/>
          <w:sz w:val="24"/>
          <w:szCs w:val="24"/>
        </w:rPr>
      </w:pPr>
      <w:bookmarkStart w:colFirst="0" w:colLast="0" w:name="_lnxbz9" w:id="13"/>
      <w:bookmarkEnd w:id="13"/>
      <w:r w:rsidDel="00000000" w:rsidR="00000000" w:rsidRPr="00000000">
        <w:rPr>
          <w:rFonts w:ascii="Times New Roman" w:cs="Times New Roman" w:eastAsia="Times New Roman" w:hAnsi="Times New Roman"/>
          <w:b w:val="1"/>
          <w:sz w:val="24"/>
          <w:szCs w:val="24"/>
          <w:rtl w:val="0"/>
        </w:rPr>
        <w:t xml:space="preserve">Weaknesses</w:t>
      </w:r>
    </w:p>
    <w:p w:rsidR="00000000" w:rsidDel="00000000" w:rsidP="00000000" w:rsidRDefault="00000000" w:rsidRPr="00000000" w14:paraId="0000005D">
      <w:pPr>
        <w:numPr>
          <w:ilvl w:val="0"/>
          <w:numId w:val="5"/>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fixed costs impact profitability.</w:t>
      </w:r>
    </w:p>
    <w:p w:rsidR="00000000" w:rsidDel="00000000" w:rsidP="00000000" w:rsidRDefault="00000000" w:rsidRPr="00000000" w14:paraId="0000005E">
      <w:pPr>
        <w:numPr>
          <w:ilvl w:val="0"/>
          <w:numId w:val="5"/>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Liquidity is limited and cash flows are constrained.</w:t>
      </w:r>
    </w:p>
    <w:p w:rsidR="00000000" w:rsidDel="00000000" w:rsidP="00000000" w:rsidRDefault="00000000" w:rsidRPr="00000000" w14:paraId="0000005F">
      <w:pPr>
        <w:numPr>
          <w:ilvl w:val="0"/>
          <w:numId w:val="5"/>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Inflexibility to adapt to financial issues.</w:t>
      </w:r>
    </w:p>
    <w:p w:rsidR="00000000" w:rsidDel="00000000" w:rsidP="00000000" w:rsidRDefault="00000000" w:rsidRPr="00000000" w14:paraId="00000060">
      <w:pPr>
        <w:pStyle w:val="Heading2"/>
        <w:spacing w:after="0" w:before="40" w:line="480" w:lineRule="auto"/>
        <w:jc w:val="both"/>
        <w:rPr>
          <w:rFonts w:ascii="Times New Roman" w:cs="Times New Roman" w:eastAsia="Times New Roman" w:hAnsi="Times New Roman"/>
          <w:b w:val="1"/>
          <w:sz w:val="24"/>
          <w:szCs w:val="24"/>
        </w:rPr>
      </w:pPr>
      <w:bookmarkStart w:colFirst="0" w:colLast="0" w:name="_35nkun2" w:id="14"/>
      <w:bookmarkEnd w:id="14"/>
      <w:r w:rsidDel="00000000" w:rsidR="00000000" w:rsidRPr="00000000">
        <w:rPr>
          <w:rFonts w:ascii="Times New Roman" w:cs="Times New Roman" w:eastAsia="Times New Roman" w:hAnsi="Times New Roman"/>
          <w:b w:val="1"/>
          <w:sz w:val="24"/>
          <w:szCs w:val="24"/>
          <w:rtl w:val="0"/>
        </w:rPr>
        <w:t xml:space="preserve">Opportunities</w:t>
      </w:r>
    </w:p>
    <w:p w:rsidR="00000000" w:rsidDel="00000000" w:rsidP="00000000" w:rsidRDefault="00000000" w:rsidRPr="00000000" w14:paraId="00000061">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Demand for local travel and "staycation."</w:t>
      </w:r>
    </w:p>
    <w:p w:rsidR="00000000" w:rsidDel="00000000" w:rsidP="00000000" w:rsidRDefault="00000000" w:rsidRPr="00000000" w14:paraId="00000062">
      <w:pPr>
        <w:numPr>
          <w:ilvl w:val="0"/>
          <w:numId w:val="8"/>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Potential implementation of cost-reducing technology solutions (Mucharreira et al., 2019).</w:t>
      </w:r>
    </w:p>
    <w:p w:rsidR="00000000" w:rsidDel="00000000" w:rsidP="00000000" w:rsidRDefault="00000000" w:rsidRPr="00000000" w14:paraId="00000063">
      <w:pPr>
        <w:numPr>
          <w:ilvl w:val="0"/>
          <w:numId w:val="8"/>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Expansion in offering events and packages.</w:t>
      </w:r>
    </w:p>
    <w:p w:rsidR="00000000" w:rsidDel="00000000" w:rsidP="00000000" w:rsidRDefault="00000000" w:rsidRPr="00000000" w14:paraId="00000064">
      <w:pPr>
        <w:pStyle w:val="Heading2"/>
        <w:spacing w:after="0" w:before="40" w:line="480" w:lineRule="auto"/>
        <w:jc w:val="both"/>
        <w:rPr>
          <w:rFonts w:ascii="Times New Roman" w:cs="Times New Roman" w:eastAsia="Times New Roman" w:hAnsi="Times New Roman"/>
          <w:b w:val="1"/>
          <w:sz w:val="24"/>
          <w:szCs w:val="24"/>
        </w:rPr>
      </w:pPr>
      <w:bookmarkStart w:colFirst="0" w:colLast="0" w:name="_1ksv4uv" w:id="15"/>
      <w:bookmarkEnd w:id="15"/>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65">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 hotels as well as alternative accommodations pose stiff competition</w:t>
      </w:r>
    </w:p>
    <w:p w:rsidR="00000000" w:rsidDel="00000000" w:rsidP="00000000" w:rsidRDefault="00000000" w:rsidRPr="00000000" w14:paraId="00000066">
      <w:pPr>
        <w:numPr>
          <w:ilvl w:val="0"/>
          <w:numId w:val="3"/>
        </w:numPr>
        <w:spacing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issues: inflation, reduces consumer spending</w:t>
      </w:r>
    </w:p>
    <w:p w:rsidR="00000000" w:rsidDel="00000000" w:rsidP="00000000" w:rsidRDefault="00000000" w:rsidRPr="00000000" w14:paraId="00000067">
      <w:pPr>
        <w:numPr>
          <w:ilvl w:val="0"/>
          <w:numId w:val="3"/>
        </w:numPr>
        <w:spacing w:after="160" w:line="48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saturation makes customer acquisition very competitive.</w:t>
      </w:r>
    </w:p>
    <w:p w:rsidR="00000000" w:rsidDel="00000000" w:rsidP="00000000" w:rsidRDefault="00000000" w:rsidRPr="00000000" w14:paraId="00000068">
      <w:pPr>
        <w:pStyle w:val="Heading1"/>
        <w:spacing w:after="80" w:before="360" w:line="480" w:lineRule="auto"/>
        <w:jc w:val="both"/>
        <w:rPr>
          <w:rFonts w:ascii="Times New Roman" w:cs="Times New Roman" w:eastAsia="Times New Roman" w:hAnsi="Times New Roman"/>
          <w:b w:val="1"/>
          <w:sz w:val="24"/>
          <w:szCs w:val="24"/>
        </w:rPr>
      </w:pPr>
      <w:bookmarkStart w:colFirst="0" w:colLast="0" w:name="_44sinio" w:id="16"/>
      <w:bookmarkEnd w:id="16"/>
      <w:r w:rsidDel="00000000" w:rsidR="00000000" w:rsidRPr="00000000">
        <w:rPr>
          <w:rFonts w:ascii="Times New Roman" w:cs="Times New Roman" w:eastAsia="Times New Roman" w:hAnsi="Times New Roman"/>
          <w:b w:val="1"/>
          <w:sz w:val="24"/>
          <w:szCs w:val="24"/>
          <w:rtl w:val="0"/>
        </w:rPr>
        <w:t xml:space="preserve">Risk Assessment:</w:t>
      </w:r>
    </w:p>
    <w:p w:rsidR="00000000" w:rsidDel="00000000" w:rsidP="00000000" w:rsidRDefault="00000000" w:rsidRPr="00000000" w14:paraId="00000069">
      <w:pPr>
        <w:pStyle w:val="Heading2"/>
        <w:spacing w:after="0" w:before="40" w:line="480" w:lineRule="auto"/>
        <w:jc w:val="both"/>
        <w:rPr>
          <w:rFonts w:ascii="Times New Roman" w:cs="Times New Roman" w:eastAsia="Times New Roman" w:hAnsi="Times New Roman"/>
          <w:b w:val="1"/>
          <w:sz w:val="24"/>
          <w:szCs w:val="24"/>
        </w:rPr>
      </w:pPr>
      <w:bookmarkStart w:colFirst="0" w:colLast="0" w:name="_2jxsxqh" w:id="17"/>
      <w:bookmarkEnd w:id="17"/>
      <w:r w:rsidDel="00000000" w:rsidR="00000000" w:rsidRPr="00000000">
        <w:rPr>
          <w:rFonts w:ascii="Times New Roman" w:cs="Times New Roman" w:eastAsia="Times New Roman" w:hAnsi="Times New Roman"/>
          <w:b w:val="1"/>
          <w:sz w:val="24"/>
          <w:szCs w:val="24"/>
          <w:rtl w:val="0"/>
        </w:rPr>
        <w:t xml:space="preserve">Operational Risk:</w:t>
      </w:r>
    </w:p>
    <w:p w:rsidR="00000000" w:rsidDel="00000000" w:rsidP="00000000" w:rsidRDefault="00000000" w:rsidRPr="00000000" w14:paraId="0000006A">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report shows that these risks are a result of the inherent nature of day-to-end activities such as inadequate staff at service, failure in maintenance, or poor management. Providing employee training programs, invest in preventive maintenance, and develop management systems using technology.</w:t>
      </w:r>
    </w:p>
    <w:p w:rsidR="00000000" w:rsidDel="00000000" w:rsidP="00000000" w:rsidRDefault="00000000" w:rsidRPr="00000000" w14:paraId="0000006B">
      <w:pPr>
        <w:pStyle w:val="Heading2"/>
        <w:spacing w:after="0" w:before="40" w:line="480" w:lineRule="auto"/>
        <w:jc w:val="both"/>
        <w:rPr>
          <w:rFonts w:ascii="Times New Roman" w:cs="Times New Roman" w:eastAsia="Times New Roman" w:hAnsi="Times New Roman"/>
          <w:b w:val="1"/>
          <w:sz w:val="24"/>
          <w:szCs w:val="24"/>
        </w:rPr>
      </w:pPr>
      <w:bookmarkStart w:colFirst="0" w:colLast="0" w:name="_z337ya" w:id="18"/>
      <w:bookmarkEnd w:id="18"/>
      <w:r w:rsidDel="00000000" w:rsidR="00000000" w:rsidRPr="00000000">
        <w:rPr>
          <w:rFonts w:ascii="Times New Roman" w:cs="Times New Roman" w:eastAsia="Times New Roman" w:hAnsi="Times New Roman"/>
          <w:b w:val="1"/>
          <w:sz w:val="24"/>
          <w:szCs w:val="24"/>
          <w:rtl w:val="0"/>
        </w:rPr>
        <w:t xml:space="preserve">Financial Risk</w:t>
      </w:r>
    </w:p>
    <w:p w:rsidR="00000000" w:rsidDel="00000000" w:rsidP="00000000" w:rsidRDefault="00000000" w:rsidRPr="00000000" w14:paraId="0000006C">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analysis reports that The hotel has financial risks, mainly during periods when it is at the downward slope of its profitability curve. The cash flow risks lie in increasing operating costs and potential debt problems. Checking the cash flow closely, limit spending appropriately, and generate diversified revenue streams such as co-working and local events hosting (Muramalla et al., 2019).</w:t>
      </w:r>
    </w:p>
    <w:p w:rsidR="00000000" w:rsidDel="00000000" w:rsidP="00000000" w:rsidRDefault="00000000" w:rsidRPr="00000000" w14:paraId="0000006D">
      <w:pPr>
        <w:pStyle w:val="Heading2"/>
        <w:spacing w:after="0" w:before="40" w:line="480" w:lineRule="auto"/>
        <w:jc w:val="both"/>
        <w:rPr>
          <w:rFonts w:ascii="Times New Roman" w:cs="Times New Roman" w:eastAsia="Times New Roman" w:hAnsi="Times New Roman"/>
          <w:b w:val="1"/>
          <w:sz w:val="24"/>
          <w:szCs w:val="24"/>
        </w:rPr>
      </w:pPr>
      <w:bookmarkStart w:colFirst="0" w:colLast="0" w:name="_3j2qqm3" w:id="19"/>
      <w:bookmarkEnd w:id="19"/>
      <w:r w:rsidDel="00000000" w:rsidR="00000000" w:rsidRPr="00000000">
        <w:rPr>
          <w:rFonts w:ascii="Times New Roman" w:cs="Times New Roman" w:eastAsia="Times New Roman" w:hAnsi="Times New Roman"/>
          <w:b w:val="1"/>
          <w:sz w:val="24"/>
          <w:szCs w:val="24"/>
          <w:rtl w:val="0"/>
        </w:rPr>
        <w:t xml:space="preserve">Market Risk:</w:t>
      </w:r>
    </w:p>
    <w:p w:rsidR="00000000" w:rsidDel="00000000" w:rsidP="00000000" w:rsidRDefault="00000000" w:rsidRPr="00000000" w14:paraId="0000006E">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risks are external, owing to economic recession and depressed tourism or highly competitive markets. Develop a solid marketing plan. Market to different segments of customers. Partner with the local tourist attractions and agencies to have more bookings.</w:t>
      </w:r>
    </w:p>
    <w:p w:rsidR="00000000" w:rsidDel="00000000" w:rsidP="00000000" w:rsidRDefault="00000000" w:rsidRPr="00000000" w14:paraId="0000006F">
      <w:pPr>
        <w:pStyle w:val="Heading2"/>
        <w:spacing w:after="0" w:before="40" w:line="480" w:lineRule="auto"/>
        <w:jc w:val="both"/>
        <w:rPr>
          <w:rFonts w:ascii="Times New Roman" w:cs="Times New Roman" w:eastAsia="Times New Roman" w:hAnsi="Times New Roman"/>
          <w:b w:val="1"/>
          <w:sz w:val="24"/>
          <w:szCs w:val="24"/>
        </w:rPr>
      </w:pPr>
      <w:bookmarkStart w:colFirst="0" w:colLast="0" w:name="_1y810tw" w:id="20"/>
      <w:bookmarkEnd w:id="20"/>
      <w:r w:rsidDel="00000000" w:rsidR="00000000" w:rsidRPr="00000000">
        <w:rPr>
          <w:rFonts w:ascii="Times New Roman" w:cs="Times New Roman" w:eastAsia="Times New Roman" w:hAnsi="Times New Roman"/>
          <w:b w:val="1"/>
          <w:sz w:val="24"/>
          <w:szCs w:val="24"/>
          <w:rtl w:val="0"/>
        </w:rPr>
        <w:t xml:space="preserve">Reputational Risk:</w:t>
      </w:r>
    </w:p>
    <w:p w:rsidR="00000000" w:rsidDel="00000000" w:rsidP="00000000" w:rsidRDefault="00000000" w:rsidRPr="00000000" w14:paraId="00000070">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Some critical issues relating to service and clientele can adversely affect the reputation of the hotel. Improve service towards the customers. The analysis recommends that Monitorng reviews online and excel with efficient performance in order to have contented guests can be helful for the hotel (Osama, 2024).</w:t>
      </w:r>
    </w:p>
    <w:p w:rsidR="00000000" w:rsidDel="00000000" w:rsidP="00000000" w:rsidRDefault="00000000" w:rsidRPr="00000000" w14:paraId="00000071">
      <w:pPr>
        <w:pStyle w:val="Heading1"/>
        <w:spacing w:after="80" w:before="360" w:line="480" w:lineRule="auto"/>
        <w:jc w:val="both"/>
        <w:rPr>
          <w:rFonts w:ascii="Times New Roman" w:cs="Times New Roman" w:eastAsia="Times New Roman" w:hAnsi="Times New Roman"/>
          <w:b w:val="1"/>
          <w:sz w:val="24"/>
          <w:szCs w:val="24"/>
        </w:rPr>
      </w:pPr>
      <w:bookmarkStart w:colFirst="0" w:colLast="0" w:name="_4i7ojhp" w:id="21"/>
      <w:bookmarkEnd w:id="21"/>
      <w:r w:rsidDel="00000000" w:rsidR="00000000" w:rsidRPr="00000000">
        <w:rPr>
          <w:rFonts w:ascii="Times New Roman" w:cs="Times New Roman" w:eastAsia="Times New Roman" w:hAnsi="Times New Roman"/>
          <w:b w:val="1"/>
          <w:sz w:val="24"/>
          <w:szCs w:val="24"/>
          <w:rtl w:val="0"/>
        </w:rPr>
        <w:t xml:space="preserve">Conclusion</w:t>
      </w:r>
    </w:p>
    <w:p w:rsidR="00000000" w:rsidDel="00000000" w:rsidP="00000000" w:rsidRDefault="00000000" w:rsidRPr="00000000" w14:paraId="00000072">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financial review calls on City Hotel to implement speedy strategic changes in its cost structure, revenue models, and liabilities. The City Hotel is faced with financial problems of a rare kind that require immediate attention. Internal operational issues and external market risks, including the challenges taken on the part, must be placed in the context. The management must take a proactive stance and look at ways and means to cut costs, optimise operations, and increase revenue to bring the hotel back to life from its present downward curve. Strategic investment in marketing and relationship management with its customers shall increase its reputation to attract more guests to the hotel. It will ensure cash flow and liquidity to have sound financial stability at all times, searching for opportunities to expand offerings and income streams. Finally, it will ensure long-term sustainability within the hospitality industry, which is growing increasingly competitive and environmentally aware through reducing risks concerning cyber security and the environment. So, through strategic planning, risk mitigation, and a proper focus on customer satisfaction, City Hotel shall recover from the declining phase and come out strong in the hospitality sector.</w:t>
      </w:r>
    </w:p>
    <w:p w:rsidR="00000000" w:rsidDel="00000000" w:rsidP="00000000" w:rsidRDefault="00000000" w:rsidRPr="00000000" w14:paraId="00000073">
      <w:pPr>
        <w:pStyle w:val="Heading1"/>
        <w:spacing w:after="80" w:before="360" w:line="480" w:lineRule="auto"/>
        <w:jc w:val="both"/>
        <w:rPr>
          <w:rFonts w:ascii="Times New Roman" w:cs="Times New Roman" w:eastAsia="Times New Roman" w:hAnsi="Times New Roman"/>
          <w:b w:val="1"/>
          <w:sz w:val="24"/>
          <w:szCs w:val="24"/>
        </w:rPr>
      </w:pPr>
      <w:bookmarkStart w:colFirst="0" w:colLast="0" w:name="_2xcytpi" w:id="22"/>
      <w:bookmarkEnd w:id="22"/>
      <w:r w:rsidDel="00000000" w:rsidR="00000000" w:rsidRPr="00000000">
        <w:rPr>
          <w:rFonts w:ascii="Times New Roman" w:cs="Times New Roman" w:eastAsia="Times New Roman" w:hAnsi="Times New Roman"/>
          <w:b w:val="1"/>
          <w:sz w:val="24"/>
          <w:szCs w:val="24"/>
          <w:rtl w:val="0"/>
        </w:rPr>
        <w:t xml:space="preserve">Strategic Imperatives for Financial Revival</w:t>
      </w:r>
    </w:p>
    <w:p w:rsidR="00000000" w:rsidDel="00000000" w:rsidP="00000000" w:rsidRDefault="00000000" w:rsidRPr="00000000" w14:paraId="00000074">
      <w:pPr>
        <w:pStyle w:val="Heading2"/>
        <w:spacing w:after="0" w:before="40" w:line="480" w:lineRule="auto"/>
        <w:jc w:val="both"/>
        <w:rPr>
          <w:rFonts w:ascii="Times New Roman" w:cs="Times New Roman" w:eastAsia="Times New Roman" w:hAnsi="Times New Roman"/>
          <w:b w:val="1"/>
          <w:sz w:val="24"/>
          <w:szCs w:val="24"/>
        </w:rPr>
      </w:pPr>
      <w:bookmarkStart w:colFirst="0" w:colLast="0" w:name="_1ci93xb" w:id="23"/>
      <w:bookmarkEnd w:id="23"/>
      <w:r w:rsidDel="00000000" w:rsidR="00000000" w:rsidRPr="00000000">
        <w:rPr>
          <w:rFonts w:ascii="Times New Roman" w:cs="Times New Roman" w:eastAsia="Times New Roman" w:hAnsi="Times New Roman"/>
          <w:b w:val="1"/>
          <w:sz w:val="24"/>
          <w:szCs w:val="24"/>
          <w:rtl w:val="0"/>
        </w:rPr>
        <w:t xml:space="preserve">Dynamic Pricing and Revenue Diversification:</w:t>
      </w:r>
    </w:p>
    <w:p w:rsidR="00000000" w:rsidDel="00000000" w:rsidP="00000000" w:rsidRDefault="00000000" w:rsidRPr="00000000" w14:paraId="00000075">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Developing a dynamic pricing structure where the room rates are altered to fit the possibility of future demand can help City Hotel increase its revenue during peak seasons. Strategies for ancillary revenue diversification, such as hosting events and offering packages, are also something that should be implemented by City Hotel to derive additional income streams outside of the room (Ren et al., 2016).</w:t>
      </w:r>
    </w:p>
    <w:p w:rsidR="00000000" w:rsidDel="00000000" w:rsidP="00000000" w:rsidRDefault="00000000" w:rsidRPr="00000000" w14:paraId="00000076">
      <w:pPr>
        <w:pStyle w:val="Heading2"/>
        <w:spacing w:after="0" w:before="40" w:line="480" w:lineRule="auto"/>
        <w:jc w:val="both"/>
        <w:rPr>
          <w:rFonts w:ascii="Times New Roman" w:cs="Times New Roman" w:eastAsia="Times New Roman" w:hAnsi="Times New Roman"/>
          <w:b w:val="1"/>
          <w:sz w:val="24"/>
          <w:szCs w:val="24"/>
        </w:rPr>
      </w:pPr>
      <w:bookmarkStart w:colFirst="0" w:colLast="0" w:name="_3whwml4" w:id="24"/>
      <w:bookmarkEnd w:id="24"/>
      <w:r w:rsidDel="00000000" w:rsidR="00000000" w:rsidRPr="00000000">
        <w:rPr>
          <w:rFonts w:ascii="Times New Roman" w:cs="Times New Roman" w:eastAsia="Times New Roman" w:hAnsi="Times New Roman"/>
          <w:b w:val="1"/>
          <w:sz w:val="24"/>
          <w:szCs w:val="24"/>
          <w:rtl w:val="0"/>
        </w:rPr>
        <w:t xml:space="preserve">Operational Streamlining</w:t>
      </w:r>
    </w:p>
    <w:p w:rsidR="00000000" w:rsidDel="00000000" w:rsidP="00000000" w:rsidRDefault="00000000" w:rsidRPr="00000000" w14:paraId="00000077">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Improving cost efficiency may be achieved through an integration approach focusing on non-essential services and optimising supply chain costs. Other technological solutions, such as energy management systems or inventory tracking software, can help reduce external expenses and increase the productivity of operations (Villagrasa et al., 2024).</w:t>
      </w:r>
    </w:p>
    <w:p w:rsidR="00000000" w:rsidDel="00000000" w:rsidP="00000000" w:rsidRDefault="00000000" w:rsidRPr="00000000" w14:paraId="00000078">
      <w:pPr>
        <w:pStyle w:val="Heading2"/>
        <w:spacing w:after="0" w:before="40" w:line="480" w:lineRule="auto"/>
        <w:jc w:val="both"/>
        <w:rPr>
          <w:rFonts w:ascii="Times New Roman" w:cs="Times New Roman" w:eastAsia="Times New Roman" w:hAnsi="Times New Roman"/>
          <w:b w:val="1"/>
          <w:sz w:val="24"/>
          <w:szCs w:val="24"/>
        </w:rPr>
      </w:pPr>
      <w:bookmarkStart w:colFirst="0" w:colLast="0" w:name="_2bn6wsx" w:id="25"/>
      <w:bookmarkEnd w:id="25"/>
      <w:r w:rsidDel="00000000" w:rsidR="00000000" w:rsidRPr="00000000">
        <w:rPr>
          <w:rFonts w:ascii="Times New Roman" w:cs="Times New Roman" w:eastAsia="Times New Roman" w:hAnsi="Times New Roman"/>
          <w:b w:val="1"/>
          <w:sz w:val="24"/>
          <w:szCs w:val="24"/>
          <w:rtl w:val="0"/>
        </w:rPr>
        <w:t xml:space="preserve">Management of cost through debt restructuring</w:t>
      </w:r>
    </w:p>
    <w:p w:rsidR="00000000" w:rsidDel="00000000" w:rsidP="00000000" w:rsidRDefault="00000000" w:rsidRPr="00000000" w14:paraId="00000079">
      <w:pPr>
        <w:spacing w:after="160" w:line="48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Because the business has a very high amount of liabilities, City Hotel may decide to refinance or renegotiate terms with lending institutions by having adjusted lease terms. This will reduce the short-term pressure on the hotel's finances while giving it increased freedom to spend the cash towards more beneficial operational upgrades (McKinsey, 2018).</w:t>
      </w:r>
    </w:p>
    <w:p w:rsidR="00000000" w:rsidDel="00000000" w:rsidP="00000000" w:rsidRDefault="00000000" w:rsidRPr="00000000" w14:paraId="0000007A">
      <w:pPr>
        <w:pStyle w:val="Heading2"/>
        <w:spacing w:after="0" w:before="40" w:line="480" w:lineRule="auto"/>
        <w:jc w:val="both"/>
        <w:rPr>
          <w:rFonts w:ascii="Times New Roman" w:cs="Times New Roman" w:eastAsia="Times New Roman" w:hAnsi="Times New Roman"/>
          <w:b w:val="1"/>
          <w:sz w:val="24"/>
          <w:szCs w:val="24"/>
        </w:rPr>
      </w:pPr>
      <w:bookmarkStart w:colFirst="0" w:colLast="0" w:name="_qsh70q" w:id="26"/>
      <w:bookmarkEnd w:id="26"/>
      <w:r w:rsidDel="00000000" w:rsidR="00000000" w:rsidRPr="00000000">
        <w:rPr>
          <w:rFonts w:ascii="Times New Roman" w:cs="Times New Roman" w:eastAsia="Times New Roman" w:hAnsi="Times New Roman"/>
          <w:b w:val="1"/>
          <w:sz w:val="24"/>
          <w:szCs w:val="24"/>
          <w:rtl w:val="0"/>
        </w:rPr>
        <w:t xml:space="preserve">Strategic Options for Ownership</w:t>
      </w:r>
    </w:p>
    <w:p w:rsidR="00000000" w:rsidDel="00000000" w:rsidP="00000000" w:rsidRDefault="00000000" w:rsidRPr="00000000" w14:paraId="0000007B">
      <w:pPr>
        <w:spacing w:after="160" w:line="480" w:lineRule="auto"/>
        <w:jc w:val="both"/>
        <w:rPr>
          <w:rFonts w:ascii="Times New Roman" w:cs="Times New Roman" w:eastAsia="Times New Roman" w:hAnsi="Times New Roman"/>
          <w:sz w:val="24"/>
          <w:szCs w:val="24"/>
        </w:rPr>
      </w:pPr>
      <w:bookmarkStart w:colFirst="0" w:colLast="0" w:name="_3as4poj" w:id="27"/>
      <w:bookmarkEnd w:id="27"/>
      <w:r w:rsidDel="00000000" w:rsidR="00000000" w:rsidRPr="00000000">
        <w:rPr>
          <w:rFonts w:ascii="Times New Roman" w:cs="Times New Roman" w:eastAsia="Times New Roman" w:hAnsi="Times New Roman"/>
          <w:sz w:val="24"/>
          <w:szCs w:val="24"/>
          <w:rtl w:val="0"/>
        </w:rPr>
        <w:t xml:space="preserve">If profitability cannot be rebuilt, the owner may seek one of the other financial terms through a merger with a well-capped hospitality group, or outright sale to another investor. In those circumstances, at least ownership value and stability could be guaranteed in tough market conditions.</w:t>
      </w: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1"/>
        <w:spacing w:after="80" w:before="360" w:line="254"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w:t>
      </w:r>
    </w:p>
    <w:p w:rsidR="00000000" w:rsidDel="00000000" w:rsidP="00000000" w:rsidRDefault="00000000" w:rsidRPr="00000000" w14:paraId="0000007D">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Alon, T., Berger, D., Dent, R. and Pugsley, B. (2018) 'Older and slower: The startup deficit’s lasting effects on aggregate productivity growth'. </w:t>
      </w:r>
      <w:r w:rsidDel="00000000" w:rsidR="00000000" w:rsidRPr="00000000">
        <w:rPr>
          <w:rFonts w:ascii="Times New Roman" w:cs="Times New Roman" w:eastAsia="Times New Roman" w:hAnsi="Times New Roman"/>
          <w:i w:val="1"/>
          <w:rtl w:val="0"/>
        </w:rPr>
        <w:t xml:space="preserve">Journal of Monetary Economics</w:t>
      </w:r>
      <w:r w:rsidDel="00000000" w:rsidR="00000000" w:rsidRPr="00000000">
        <w:rPr>
          <w:rFonts w:ascii="Times New Roman" w:cs="Times New Roman" w:eastAsia="Times New Roman" w:hAnsi="Times New Roman"/>
          <w:rtl w:val="0"/>
        </w:rPr>
        <w:t xml:space="preserve">. pp. 68-85. Available at: </w:t>
      </w:r>
      <w:hyperlink r:id="rId6">
        <w:r w:rsidDel="00000000" w:rsidR="00000000" w:rsidRPr="00000000">
          <w:rPr>
            <w:rFonts w:ascii="Times New Roman" w:cs="Times New Roman" w:eastAsia="Times New Roman" w:hAnsi="Times New Roman"/>
            <w:color w:val="0563c1"/>
            <w:u w:val="single"/>
            <w:rtl w:val="0"/>
          </w:rPr>
          <w:t xml:space="preserve">https://www.sciencedirect.com/science/article/abs/pii/S0304393217301113</w:t>
        </w:r>
      </w:hyperlink>
      <w:r w:rsidDel="00000000" w:rsidR="00000000" w:rsidRPr="00000000">
        <w:rPr>
          <w:rFonts w:ascii="Times New Roman" w:cs="Times New Roman" w:eastAsia="Times New Roman" w:hAnsi="Times New Roman"/>
          <w:rtl w:val="0"/>
        </w:rPr>
        <w:t xml:space="preserve"> (Accessed: 2 November 2024).</w:t>
      </w:r>
    </w:p>
    <w:p w:rsidR="00000000" w:rsidDel="00000000" w:rsidP="00000000" w:rsidRDefault="00000000" w:rsidRPr="00000000" w14:paraId="0000007E">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Caldeira, C., De-Laurentiis, V., Ghose, A., Corrado, S. and Sala, S. (2021) 'Grown and Thrown: Exploring Approaches to Estimate Food Waste in EU Countries'. </w:t>
      </w:r>
      <w:r w:rsidDel="00000000" w:rsidR="00000000" w:rsidRPr="00000000">
        <w:rPr>
          <w:rFonts w:ascii="Times New Roman" w:cs="Times New Roman" w:eastAsia="Times New Roman" w:hAnsi="Times New Roman"/>
          <w:i w:val="1"/>
          <w:rtl w:val="0"/>
        </w:rPr>
        <w:t xml:space="preserve">Resources, Conservation and Recycling</w:t>
      </w:r>
      <w:r w:rsidDel="00000000" w:rsidR="00000000" w:rsidRPr="00000000">
        <w:rPr>
          <w:rFonts w:ascii="Times New Roman" w:cs="Times New Roman" w:eastAsia="Times New Roman" w:hAnsi="Times New Roman"/>
          <w:rtl w:val="0"/>
        </w:rPr>
        <w:t xml:space="preserve">. p. 105426. Available at: </w:t>
      </w:r>
      <w:hyperlink r:id="rId7">
        <w:r w:rsidDel="00000000" w:rsidR="00000000" w:rsidRPr="00000000">
          <w:rPr>
            <w:rFonts w:ascii="Times New Roman" w:cs="Times New Roman" w:eastAsia="Times New Roman" w:hAnsi="Times New Roman"/>
            <w:color w:val="0563c1"/>
            <w:u w:val="single"/>
            <w:rtl w:val="0"/>
          </w:rPr>
          <w:t xml:space="preserve">https://www.sciencedirect.com/science/article/pii/S0921344921000331</w:t>
        </w:r>
      </w:hyperlink>
      <w:r w:rsidDel="00000000" w:rsidR="00000000" w:rsidRPr="00000000">
        <w:rPr>
          <w:rFonts w:ascii="Times New Roman" w:cs="Times New Roman" w:eastAsia="Times New Roman" w:hAnsi="Times New Roman"/>
          <w:rtl w:val="0"/>
        </w:rPr>
        <w:t xml:space="preserve"> (Accessed: 2 November 2024).</w:t>
      </w:r>
    </w:p>
    <w:p w:rsidR="00000000" w:rsidDel="00000000" w:rsidP="00000000" w:rsidRDefault="00000000" w:rsidRPr="00000000" w14:paraId="0000007F">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Febiyanti, Angel, Rini, T. and Hastuti (2024) 'FINANCIAL ANALYSIS OF TOURISM, RESTAURANT, HOTEL COMPANIES: PRE-PANDEMIC AND COVID-19PANDEMIC PERIOD'. </w:t>
      </w:r>
      <w:r w:rsidDel="00000000" w:rsidR="00000000" w:rsidRPr="00000000">
        <w:rPr>
          <w:rFonts w:ascii="Times New Roman" w:cs="Times New Roman" w:eastAsia="Times New Roman" w:hAnsi="Times New Roman"/>
          <w:i w:val="1"/>
          <w:rtl w:val="0"/>
        </w:rPr>
        <w:t xml:space="preserve">International Journal of Application on Economics and Business</w:t>
      </w:r>
      <w:r w:rsidDel="00000000" w:rsidR="00000000" w:rsidRPr="00000000">
        <w:rPr>
          <w:rFonts w:ascii="Times New Roman" w:cs="Times New Roman" w:eastAsia="Times New Roman" w:hAnsi="Times New Roman"/>
          <w:rtl w:val="0"/>
        </w:rPr>
        <w:t xml:space="preserve">. pp. 318-326. Available at: </w:t>
      </w:r>
      <w:hyperlink r:id="rId8">
        <w:r w:rsidDel="00000000" w:rsidR="00000000" w:rsidRPr="00000000">
          <w:rPr>
            <w:rFonts w:ascii="Times New Roman" w:cs="Times New Roman" w:eastAsia="Times New Roman" w:hAnsi="Times New Roman"/>
            <w:color w:val="0563c1"/>
            <w:u w:val="single"/>
            <w:rtl w:val="0"/>
          </w:rPr>
          <w:t xml:space="preserve">https://journal.untar.ac.id/index.php/ijaeb/article/view/31823</w:t>
        </w:r>
      </w:hyperlink>
      <w:r w:rsidDel="00000000" w:rsidR="00000000" w:rsidRPr="00000000">
        <w:rPr>
          <w:rFonts w:ascii="Times New Roman" w:cs="Times New Roman" w:eastAsia="Times New Roman" w:hAnsi="Times New Roman"/>
          <w:rtl w:val="0"/>
        </w:rPr>
        <w:t xml:space="preserve"> (Accessed: 1 November 2024).</w:t>
      </w:r>
    </w:p>
    <w:p w:rsidR="00000000" w:rsidDel="00000000" w:rsidP="00000000" w:rsidRDefault="00000000" w:rsidRPr="00000000" w14:paraId="00000080">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Hongpukdee, Napaporn and Somboon, S. (2024) 'Management Accounting Practices and Financial Performance of Hotel Business in Thailand: Are Contingency Theory Perspectives Still Relevant During the Covid-19 Pandemic?'. </w:t>
      </w:r>
      <w:r w:rsidDel="00000000" w:rsidR="00000000" w:rsidRPr="00000000">
        <w:rPr>
          <w:rFonts w:ascii="Times New Roman" w:cs="Times New Roman" w:eastAsia="Times New Roman" w:hAnsi="Times New Roman"/>
          <w:i w:val="1"/>
          <w:rtl w:val="0"/>
        </w:rPr>
        <w:t xml:space="preserve">ABAC Journal</w:t>
      </w:r>
      <w:r w:rsidDel="00000000" w:rsidR="00000000" w:rsidRPr="00000000">
        <w:rPr>
          <w:rFonts w:ascii="Times New Roman" w:cs="Times New Roman" w:eastAsia="Times New Roman" w:hAnsi="Times New Roman"/>
          <w:rtl w:val="0"/>
        </w:rPr>
        <w:t xml:space="preserve">. Available at: </w:t>
      </w:r>
      <w:hyperlink r:id="rId9">
        <w:r w:rsidDel="00000000" w:rsidR="00000000" w:rsidRPr="00000000">
          <w:rPr>
            <w:rFonts w:ascii="Times New Roman" w:cs="Times New Roman" w:eastAsia="Times New Roman" w:hAnsi="Times New Roman"/>
            <w:color w:val="0563c1"/>
            <w:u w:val="single"/>
            <w:rtl w:val="0"/>
          </w:rPr>
          <w:t xml:space="preserve">http://www.assumptionjournal.au.edu/index.php/abacjournal/article/view/8752</w:t>
        </w:r>
      </w:hyperlink>
      <w:r w:rsidDel="00000000" w:rsidR="00000000" w:rsidRPr="00000000">
        <w:rPr>
          <w:rFonts w:ascii="Times New Roman" w:cs="Times New Roman" w:eastAsia="Times New Roman" w:hAnsi="Times New Roman"/>
          <w:rtl w:val="0"/>
        </w:rPr>
        <w:t xml:space="preserve"> (Accessed: 12 November 2024).</w:t>
      </w:r>
    </w:p>
    <w:p w:rsidR="00000000" w:rsidDel="00000000" w:rsidP="00000000" w:rsidRDefault="00000000" w:rsidRPr="00000000" w14:paraId="00000081">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Ji, K.M., Wang, J., Boccardo, L., Brown, H., Wong, I.A. and Wu, J. (2024) 'Interactive effects of financial leverage with asset-light strategies: The agency theory perspective'. </w:t>
      </w:r>
      <w:r w:rsidDel="00000000" w:rsidR="00000000" w:rsidRPr="00000000">
        <w:rPr>
          <w:rFonts w:ascii="Times New Roman" w:cs="Times New Roman" w:eastAsia="Times New Roman" w:hAnsi="Times New Roman"/>
          <w:i w:val="1"/>
          <w:rtl w:val="0"/>
        </w:rPr>
        <w:t xml:space="preserve">International Journal of Hospitality Management</w:t>
      </w:r>
      <w:r w:rsidDel="00000000" w:rsidR="00000000" w:rsidRPr="00000000">
        <w:rPr>
          <w:rFonts w:ascii="Times New Roman" w:cs="Times New Roman" w:eastAsia="Times New Roman" w:hAnsi="Times New Roman"/>
          <w:rtl w:val="0"/>
        </w:rPr>
        <w:t xml:space="preserve">. Available at: </w:t>
      </w:r>
      <w:hyperlink r:id="rId10">
        <w:r w:rsidDel="00000000" w:rsidR="00000000" w:rsidRPr="00000000">
          <w:rPr>
            <w:rFonts w:ascii="Times New Roman" w:cs="Times New Roman" w:eastAsia="Times New Roman" w:hAnsi="Times New Roman"/>
            <w:color w:val="0563c1"/>
            <w:u w:val="single"/>
            <w:rtl w:val="0"/>
          </w:rPr>
          <w:t xml:space="preserve">https://www.sciencedirect.com/science/article/abs/pii/S0278431923001937</w:t>
        </w:r>
      </w:hyperlink>
      <w:r w:rsidDel="00000000" w:rsidR="00000000" w:rsidRPr="00000000">
        <w:rPr>
          <w:rFonts w:ascii="Times New Roman" w:cs="Times New Roman" w:eastAsia="Times New Roman" w:hAnsi="Times New Roman"/>
          <w:rtl w:val="0"/>
        </w:rPr>
        <w:t xml:space="preserve"> (Accessed: 4 November 2024).</w:t>
      </w:r>
    </w:p>
    <w:p w:rsidR="00000000" w:rsidDel="00000000" w:rsidP="00000000" w:rsidRDefault="00000000" w:rsidRPr="00000000" w14:paraId="00000082">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Kim, C.W. and Mauborgne, R. (2017) </w:t>
      </w:r>
      <w:r w:rsidDel="00000000" w:rsidR="00000000" w:rsidRPr="00000000">
        <w:rPr>
          <w:rFonts w:ascii="Times New Roman" w:cs="Times New Roman" w:eastAsia="Times New Roman" w:hAnsi="Times New Roman"/>
          <w:i w:val="1"/>
          <w:rtl w:val="0"/>
        </w:rPr>
        <w:t xml:space="preserve">Blue Ocean Shift: Beyond Competing—Proven Steps to Inspire Confidence and Seize New Growth</w:t>
      </w:r>
      <w:r w:rsidDel="00000000" w:rsidR="00000000" w:rsidRPr="00000000">
        <w:rPr>
          <w:rFonts w:ascii="Times New Roman" w:cs="Times New Roman" w:eastAsia="Times New Roman" w:hAnsi="Times New Roman"/>
          <w:rtl w:val="0"/>
        </w:rPr>
        <w:t xml:space="preserve">. New York: Hachette Books.</w:t>
      </w:r>
    </w:p>
    <w:p w:rsidR="00000000" w:rsidDel="00000000" w:rsidP="00000000" w:rsidRDefault="00000000" w:rsidRPr="00000000" w14:paraId="00000083">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Kranzbuhler, A.M., Kleijnen, M.H., Morgan, R.E. and Teerling, M. (2018) 'The multilevel nature of customer experience research: an integrative review and research agenda'. </w:t>
      </w:r>
      <w:r w:rsidDel="00000000" w:rsidR="00000000" w:rsidRPr="00000000">
        <w:rPr>
          <w:rFonts w:ascii="Times New Roman" w:cs="Times New Roman" w:eastAsia="Times New Roman" w:hAnsi="Times New Roman"/>
          <w:i w:val="1"/>
          <w:rtl w:val="0"/>
        </w:rPr>
        <w:t xml:space="preserve">International Journal of Management Reviews</w:t>
      </w:r>
      <w:r w:rsidDel="00000000" w:rsidR="00000000" w:rsidRPr="00000000">
        <w:rPr>
          <w:rFonts w:ascii="Times New Roman" w:cs="Times New Roman" w:eastAsia="Times New Roman" w:hAnsi="Times New Roman"/>
          <w:rtl w:val="0"/>
        </w:rPr>
        <w:t xml:space="preserve">. pp. 433-456. Available at: </w:t>
      </w:r>
      <w:hyperlink r:id="rId11">
        <w:r w:rsidDel="00000000" w:rsidR="00000000" w:rsidRPr="00000000">
          <w:rPr>
            <w:rFonts w:ascii="Times New Roman" w:cs="Times New Roman" w:eastAsia="Times New Roman" w:hAnsi="Times New Roman"/>
            <w:color w:val="0563c1"/>
            <w:u w:val="single"/>
            <w:rtl w:val="0"/>
          </w:rPr>
          <w:t xml:space="preserve">https://onlinelibrary.wiley.com/doi/full/10.1111/ijmr.12140</w:t>
        </w:r>
      </w:hyperlink>
      <w:r w:rsidDel="00000000" w:rsidR="00000000" w:rsidRPr="00000000">
        <w:rPr>
          <w:rFonts w:ascii="Times New Roman" w:cs="Times New Roman" w:eastAsia="Times New Roman" w:hAnsi="Times New Roman"/>
          <w:rtl w:val="0"/>
        </w:rPr>
        <w:t xml:space="preserve"> (Accessed: 3 Nov 2024).</w:t>
      </w:r>
    </w:p>
    <w:p w:rsidR="00000000" w:rsidDel="00000000" w:rsidP="00000000" w:rsidRDefault="00000000" w:rsidRPr="00000000" w14:paraId="00000084">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 Y., Hang, L. and Yun, T. (2022) 'Distribution Differentiation and Influencing Factors of the High-Quality Development of the Hotel Industry from the Perspective of Customer Satisfaction: A Case Study of Sanya'. </w:t>
      </w:r>
      <w:r w:rsidDel="00000000" w:rsidR="00000000" w:rsidRPr="00000000">
        <w:rPr>
          <w:rFonts w:ascii="Times New Roman" w:cs="Times New Roman" w:eastAsia="Times New Roman" w:hAnsi="Times New Roman"/>
          <w:i w:val="1"/>
          <w:rtl w:val="0"/>
        </w:rPr>
        <w:t xml:space="preserve">Sustainability 14, no. 11</w:t>
      </w:r>
      <w:r w:rsidDel="00000000" w:rsidR="00000000" w:rsidRPr="00000000">
        <w:rPr>
          <w:rFonts w:ascii="Times New Roman" w:cs="Times New Roman" w:eastAsia="Times New Roman" w:hAnsi="Times New Roman"/>
          <w:rtl w:val="0"/>
        </w:rPr>
        <w:t xml:space="preserve">. p. 6476. Available at: </w:t>
      </w:r>
      <w:hyperlink r:id="rId12">
        <w:r w:rsidDel="00000000" w:rsidR="00000000" w:rsidRPr="00000000">
          <w:rPr>
            <w:rFonts w:ascii="Times New Roman" w:cs="Times New Roman" w:eastAsia="Times New Roman" w:hAnsi="Times New Roman"/>
            <w:color w:val="0563c1"/>
            <w:u w:val="single"/>
            <w:rtl w:val="0"/>
          </w:rPr>
          <w:t xml:space="preserve">https://www.mdpi.com/2071-1050/14/11/6476</w:t>
        </w:r>
      </w:hyperlink>
      <w:r w:rsidDel="00000000" w:rsidR="00000000" w:rsidRPr="00000000">
        <w:rPr>
          <w:rFonts w:ascii="Times New Roman" w:cs="Times New Roman" w:eastAsia="Times New Roman" w:hAnsi="Times New Roman"/>
          <w:rtl w:val="0"/>
        </w:rPr>
        <w:t xml:space="preserve"> (Accessed: 5 November 2024).</w:t>
      </w:r>
    </w:p>
    <w:p w:rsidR="00000000" w:rsidDel="00000000" w:rsidP="00000000" w:rsidRDefault="00000000" w:rsidRPr="00000000" w14:paraId="00000085">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Mazaraki, A., Kulyk, M. and Zubko, T. (2024) 'REVENUE FORECASTING SCENARIOS FOR INTERNATIONAL HOTEL CHAINS'. </w:t>
      </w:r>
      <w:r w:rsidDel="00000000" w:rsidR="00000000" w:rsidRPr="00000000">
        <w:rPr>
          <w:rFonts w:ascii="Times New Roman" w:cs="Times New Roman" w:eastAsia="Times New Roman" w:hAnsi="Times New Roman"/>
          <w:i w:val="1"/>
          <w:rtl w:val="0"/>
        </w:rPr>
        <w:t xml:space="preserve">Baltic Journal of Economic Studies</w:t>
      </w:r>
      <w:r w:rsidDel="00000000" w:rsidR="00000000" w:rsidRPr="00000000">
        <w:rPr>
          <w:rFonts w:ascii="Times New Roman" w:cs="Times New Roman" w:eastAsia="Times New Roman" w:hAnsi="Times New Roman"/>
          <w:rtl w:val="0"/>
        </w:rPr>
        <w:t xml:space="preserve">. pp. 207-214. Available at: </w:t>
      </w:r>
      <w:hyperlink r:id="rId13">
        <w:r w:rsidDel="00000000" w:rsidR="00000000" w:rsidRPr="00000000">
          <w:rPr>
            <w:rFonts w:ascii="Times New Roman" w:cs="Times New Roman" w:eastAsia="Times New Roman" w:hAnsi="Times New Roman"/>
            <w:color w:val="0563c1"/>
            <w:u w:val="single"/>
            <w:rtl w:val="0"/>
          </w:rPr>
          <w:t xml:space="preserve">http://baltijapublishing.lv/index.php/issue/article/view/2499</w:t>
        </w:r>
      </w:hyperlink>
      <w:r w:rsidDel="00000000" w:rsidR="00000000" w:rsidRPr="00000000">
        <w:rPr>
          <w:rFonts w:ascii="Times New Roman" w:cs="Times New Roman" w:eastAsia="Times New Roman" w:hAnsi="Times New Roman"/>
          <w:rtl w:val="0"/>
        </w:rPr>
        <w:t xml:space="preserve"> (Accessed: 4 November 2024).</w:t>
      </w:r>
    </w:p>
    <w:p w:rsidR="00000000" w:rsidDel="00000000" w:rsidP="00000000" w:rsidRDefault="00000000" w:rsidRPr="00000000" w14:paraId="00000086">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McKinsey (2018) </w:t>
      </w:r>
      <w:r w:rsidDel="00000000" w:rsidR="00000000" w:rsidRPr="00000000">
        <w:rPr>
          <w:rFonts w:ascii="Times New Roman" w:cs="Times New Roman" w:eastAsia="Times New Roman" w:hAnsi="Times New Roman"/>
          <w:i w:val="1"/>
          <w:rtl w:val="0"/>
        </w:rPr>
        <w:t xml:space="preserve">Digital Reinvention: The New Age of Financial Services</w:t>
      </w:r>
      <w:r w:rsidDel="00000000" w:rsidR="00000000" w:rsidRPr="00000000">
        <w:rPr>
          <w:rFonts w:ascii="Times New Roman" w:cs="Times New Roman" w:eastAsia="Times New Roman" w:hAnsi="Times New Roman"/>
          <w:rtl w:val="0"/>
        </w:rPr>
        <w:t xml:space="preserve">. Chicago: McKinsey Publishing. Available at: &lt;https://www.mckinsey.com/~/media/mckinsey/business%20functions/mckinsey%20digital/our%20insights/digital%20reinvention%20unlocking%20the%20how/digital-reinvention_unlocking-the-how.pdf (Accessed: 9 November 2024).</w:t>
      </w:r>
    </w:p>
    <w:p w:rsidR="00000000" w:rsidDel="00000000" w:rsidP="00000000" w:rsidRDefault="00000000" w:rsidRPr="00000000" w14:paraId="00000087">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Milton, T. (2024) 'Exploring the Synergy of Artificial Intelligence and Financial Management in the Hotel Industry: A Critical Review of Innovations, Challenges, and Strategic Implications for Enhancing Operational Efficiency and Competitive Advantage'. </w:t>
      </w:r>
      <w:r w:rsidDel="00000000" w:rsidR="00000000" w:rsidRPr="00000000">
        <w:rPr>
          <w:rFonts w:ascii="Times New Roman" w:cs="Times New Roman" w:eastAsia="Times New Roman" w:hAnsi="Times New Roman"/>
          <w:i w:val="1"/>
          <w:rtl w:val="0"/>
        </w:rPr>
        <w:t xml:space="preserve">International Journal for Multidimensional Research Perspectives</w:t>
      </w:r>
      <w:r w:rsidDel="00000000" w:rsidR="00000000" w:rsidRPr="00000000">
        <w:rPr>
          <w:rFonts w:ascii="Times New Roman" w:cs="Times New Roman" w:eastAsia="Times New Roman" w:hAnsi="Times New Roman"/>
          <w:rtl w:val="0"/>
        </w:rPr>
        <w:t xml:space="preserve">. pp. 79-95. Available at: </w:t>
      </w:r>
      <w:hyperlink r:id="rId14">
        <w:r w:rsidDel="00000000" w:rsidR="00000000" w:rsidRPr="00000000">
          <w:rPr>
            <w:rFonts w:ascii="Times New Roman" w:cs="Times New Roman" w:eastAsia="Times New Roman" w:hAnsi="Times New Roman"/>
            <w:color w:val="0563c1"/>
            <w:u w:val="single"/>
            <w:rtl w:val="0"/>
          </w:rPr>
          <w:t xml:space="preserve">https://chandigarhphilosophers.com/index.php/ijmrp/article/view/120</w:t>
        </w:r>
      </w:hyperlink>
      <w:r w:rsidDel="00000000" w:rsidR="00000000" w:rsidRPr="00000000">
        <w:rPr>
          <w:rFonts w:ascii="Times New Roman" w:cs="Times New Roman" w:eastAsia="Times New Roman" w:hAnsi="Times New Roman"/>
          <w:rtl w:val="0"/>
        </w:rPr>
        <w:t xml:space="preserve"> (Accessed: 3 Nov 2024).</w:t>
      </w:r>
    </w:p>
    <w:p w:rsidR="00000000" w:rsidDel="00000000" w:rsidP="00000000" w:rsidRDefault="00000000" w:rsidRPr="00000000" w14:paraId="00000088">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Mucharreira, Pedro, R., Marina, G., Nuno, A., Maria, R. and Joaquín, T. (2019) 'The relevance of tourism in financial sustainability of hotels'. </w:t>
      </w:r>
      <w:r w:rsidDel="00000000" w:rsidR="00000000" w:rsidRPr="00000000">
        <w:rPr>
          <w:rFonts w:ascii="Times New Roman" w:cs="Times New Roman" w:eastAsia="Times New Roman" w:hAnsi="Times New Roman"/>
          <w:i w:val="1"/>
          <w:rtl w:val="0"/>
        </w:rPr>
        <w:t xml:space="preserve">European Research on Management and Business Economics</w:t>
      </w:r>
      <w:r w:rsidDel="00000000" w:rsidR="00000000" w:rsidRPr="00000000">
        <w:rPr>
          <w:rFonts w:ascii="Times New Roman" w:cs="Times New Roman" w:eastAsia="Times New Roman" w:hAnsi="Times New Roman"/>
          <w:rtl w:val="0"/>
        </w:rPr>
        <w:t xml:space="preserve">. pp. 165-174. Available at: </w:t>
      </w:r>
      <w:hyperlink r:id="rId15">
        <w:r w:rsidDel="00000000" w:rsidR="00000000" w:rsidRPr="00000000">
          <w:rPr>
            <w:rFonts w:ascii="Times New Roman" w:cs="Times New Roman" w:eastAsia="Times New Roman" w:hAnsi="Times New Roman"/>
            <w:color w:val="0563c1"/>
            <w:u w:val="single"/>
            <w:rtl w:val="0"/>
          </w:rPr>
          <w:t xml:space="preserve">https://www.sciencedirect.com/science/article/pii/S2444883419301019</w:t>
        </w:r>
      </w:hyperlink>
      <w:r w:rsidDel="00000000" w:rsidR="00000000" w:rsidRPr="00000000">
        <w:rPr>
          <w:rFonts w:ascii="Times New Roman" w:cs="Times New Roman" w:eastAsia="Times New Roman" w:hAnsi="Times New Roman"/>
          <w:rtl w:val="0"/>
        </w:rPr>
        <w:t xml:space="preserve"> (Accessed: 12 Nov 2024).</w:t>
      </w:r>
    </w:p>
    <w:p w:rsidR="00000000" w:rsidDel="00000000" w:rsidP="00000000" w:rsidRDefault="00000000" w:rsidRPr="00000000" w14:paraId="00000089">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Muramalla, R, V.S.S. and Al-Hazza, A.M. (2019) 'Entrepreneurial strategies and factors stimulate the business of tech startups'. </w:t>
      </w:r>
      <w:r w:rsidDel="00000000" w:rsidR="00000000" w:rsidRPr="00000000">
        <w:rPr>
          <w:rFonts w:ascii="Times New Roman" w:cs="Times New Roman" w:eastAsia="Times New Roman" w:hAnsi="Times New Roman"/>
          <w:i w:val="1"/>
          <w:rtl w:val="0"/>
        </w:rPr>
        <w:t xml:space="preserve">International Journal of Financial Research</w:t>
      </w:r>
      <w:r w:rsidDel="00000000" w:rsidR="00000000" w:rsidRPr="00000000">
        <w:rPr>
          <w:rFonts w:ascii="Times New Roman" w:cs="Times New Roman" w:eastAsia="Times New Roman" w:hAnsi="Times New Roman"/>
          <w:rtl w:val="0"/>
        </w:rPr>
        <w:t xml:space="preserve">. p. 360. Available at: </w:t>
      </w:r>
      <w:hyperlink r:id="rId16">
        <w:r w:rsidDel="00000000" w:rsidR="00000000" w:rsidRPr="00000000">
          <w:rPr>
            <w:rFonts w:ascii="Times New Roman" w:cs="Times New Roman" w:eastAsia="Times New Roman" w:hAnsi="Times New Roman"/>
            <w:color w:val="0563c1"/>
            <w:u w:val="single"/>
            <w:rtl w:val="0"/>
          </w:rPr>
          <w:t xml:space="preserve">https://papers.ssrn.com/sol3/papers.cfm?abstract_id=3506966</w:t>
        </w:r>
      </w:hyperlink>
      <w:r w:rsidDel="00000000" w:rsidR="00000000" w:rsidRPr="00000000">
        <w:rPr>
          <w:rFonts w:ascii="Times New Roman" w:cs="Times New Roman" w:eastAsia="Times New Roman" w:hAnsi="Times New Roman"/>
          <w:rtl w:val="0"/>
        </w:rPr>
        <w:t xml:space="preserve"> (Accessed: 6 Nov 2024).</w:t>
      </w:r>
    </w:p>
    <w:p w:rsidR="00000000" w:rsidDel="00000000" w:rsidP="00000000" w:rsidRDefault="00000000" w:rsidRPr="00000000" w14:paraId="0000008A">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Osama, K. (2024) 'Eco-innovation and customer satisfaction in the hospitality industry in Dubai'. </w:t>
      </w:r>
      <w:r w:rsidDel="00000000" w:rsidR="00000000" w:rsidRPr="00000000">
        <w:rPr>
          <w:rFonts w:ascii="Times New Roman" w:cs="Times New Roman" w:eastAsia="Times New Roman" w:hAnsi="Times New Roman"/>
          <w:i w:val="1"/>
          <w:rtl w:val="0"/>
        </w:rPr>
        <w:t xml:space="preserve">the role of green leadership</w:t>
      </w:r>
      <w:r w:rsidDel="00000000" w:rsidR="00000000" w:rsidRPr="00000000">
        <w:rPr>
          <w:rFonts w:ascii="Times New Roman" w:cs="Times New Roman" w:eastAsia="Times New Roman" w:hAnsi="Times New Roman"/>
          <w:rtl w:val="0"/>
        </w:rPr>
        <w:t xml:space="preserve">. Available at: </w:t>
      </w:r>
      <w:hyperlink r:id="rId17">
        <w:r w:rsidDel="00000000" w:rsidR="00000000" w:rsidRPr="00000000">
          <w:rPr>
            <w:rFonts w:ascii="Times New Roman" w:cs="Times New Roman" w:eastAsia="Times New Roman" w:hAnsi="Times New Roman"/>
            <w:color w:val="0563c1"/>
            <w:u w:val="single"/>
            <w:rtl w:val="0"/>
          </w:rPr>
          <w:t xml:space="preserve">https://www.tandfonline.com/doi/abs/10.1080/15332845.2024.2335120</w:t>
        </w:r>
      </w:hyperlink>
      <w:r w:rsidDel="00000000" w:rsidR="00000000" w:rsidRPr="00000000">
        <w:rPr>
          <w:rFonts w:ascii="Times New Roman" w:cs="Times New Roman" w:eastAsia="Times New Roman" w:hAnsi="Times New Roman"/>
          <w:rtl w:val="0"/>
        </w:rPr>
        <w:t xml:space="preserve"> (Accessed: 7 November 2024).</w:t>
      </w:r>
    </w:p>
    <w:p w:rsidR="00000000" w:rsidDel="00000000" w:rsidP="00000000" w:rsidRDefault="00000000" w:rsidRPr="00000000" w14:paraId="0000008B">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Ren, L., Qiu, H., Wang, P. and Lin, P.M. (2016) 'Exploring customer experience with budget hotels: Dimensionality and satisfaction'. </w:t>
      </w:r>
      <w:r w:rsidDel="00000000" w:rsidR="00000000" w:rsidRPr="00000000">
        <w:rPr>
          <w:rFonts w:ascii="Times New Roman" w:cs="Times New Roman" w:eastAsia="Times New Roman" w:hAnsi="Times New Roman"/>
          <w:i w:val="1"/>
          <w:rtl w:val="0"/>
        </w:rPr>
        <w:t xml:space="preserve">International Journal of Hospitality Management</w:t>
      </w:r>
      <w:r w:rsidDel="00000000" w:rsidR="00000000" w:rsidRPr="00000000">
        <w:rPr>
          <w:rFonts w:ascii="Times New Roman" w:cs="Times New Roman" w:eastAsia="Times New Roman" w:hAnsi="Times New Roman"/>
          <w:rtl w:val="0"/>
        </w:rPr>
        <w:t xml:space="preserve">. pp. 13-23. Available at: </w:t>
      </w:r>
      <w:hyperlink r:id="rId18">
        <w:r w:rsidDel="00000000" w:rsidR="00000000" w:rsidRPr="00000000">
          <w:rPr>
            <w:rFonts w:ascii="Times New Roman" w:cs="Times New Roman" w:eastAsia="Times New Roman" w:hAnsi="Times New Roman"/>
            <w:color w:val="0563c1"/>
            <w:u w:val="single"/>
            <w:rtl w:val="0"/>
          </w:rPr>
          <w:t xml:space="preserve">https://www.sciencedirect.com/science/article/abs/pii/S0278431915001486</w:t>
        </w:r>
      </w:hyperlink>
      <w:r w:rsidDel="00000000" w:rsidR="00000000" w:rsidRPr="00000000">
        <w:rPr>
          <w:rFonts w:ascii="Times New Roman" w:cs="Times New Roman" w:eastAsia="Times New Roman" w:hAnsi="Times New Roman"/>
          <w:rtl w:val="0"/>
        </w:rPr>
        <w:t xml:space="preserve"> (Accessed: 1 November 2024).</w:t>
      </w:r>
    </w:p>
    <w:p w:rsidR="00000000" w:rsidDel="00000000" w:rsidP="00000000" w:rsidRDefault="00000000" w:rsidRPr="00000000" w14:paraId="0000008C">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Seh, T., Irene and Awo, K. (2018) 'Investigating the Effectiveness of Branding on Customer Loyalty in Some Selected Hotels in Accra, Ghana'. </w:t>
      </w:r>
      <w:r w:rsidDel="00000000" w:rsidR="00000000" w:rsidRPr="00000000">
        <w:rPr>
          <w:rFonts w:ascii="Times New Roman" w:cs="Times New Roman" w:eastAsia="Times New Roman" w:hAnsi="Times New Roman"/>
          <w:i w:val="1"/>
          <w:rtl w:val="0"/>
        </w:rPr>
        <w:t xml:space="preserve">Global Journal of Educational Studies 4</w:t>
      </w:r>
      <w:r w:rsidDel="00000000" w:rsidR="00000000" w:rsidRPr="00000000">
        <w:rPr>
          <w:rFonts w:ascii="Times New Roman" w:cs="Times New Roman" w:eastAsia="Times New Roman" w:hAnsi="Times New Roman"/>
          <w:rtl w:val="0"/>
        </w:rPr>
        <w:t xml:space="preserve">. p. 38. Available at: &lt;</w:t>
      </w:r>
      <w:hyperlink r:id="rId19">
        <w:r w:rsidDel="00000000" w:rsidR="00000000" w:rsidRPr="00000000">
          <w:rPr>
            <w:rFonts w:ascii="Times New Roman" w:cs="Times New Roman" w:eastAsia="Times New Roman" w:hAnsi="Times New Roman"/>
            <w:color w:val="0563c1"/>
            <w:u w:val="single"/>
            <w:rtl w:val="0"/>
          </w:rPr>
          <w:t xml:space="preserve">https://d1wqtxts1xzle7.cloudfront.net/83809062/3814c2ce7f4e01caa0eafcc1d45f0820dc53-libre.pdf?1649700007=&amp;response-content-disposition=inline%3B+filename%3DRole_of_Branding_in_Achieving_Customer_L.pdf&amp;Expires=1731441834&amp;Signature=grjqnpMr8l2Sh7BA1e~4mk2Az</w:t>
        </w:r>
      </w:hyperlink>
      <w:r w:rsidDel="00000000" w:rsidR="00000000" w:rsidRPr="00000000">
        <w:rPr>
          <w:rFonts w:ascii="Times New Roman" w:cs="Times New Roman" w:eastAsia="Times New Roman" w:hAnsi="Times New Roman"/>
          <w:rtl w:val="0"/>
        </w:rPr>
        <w:t xml:space="preserve"> (Accessed: 5 November 2024).</w:t>
      </w:r>
    </w:p>
    <w:p w:rsidR="00000000" w:rsidDel="00000000" w:rsidP="00000000" w:rsidRDefault="00000000" w:rsidRPr="00000000" w14:paraId="0000008D">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Vazquez, J. (2020) </w:t>
      </w:r>
      <w:r w:rsidDel="00000000" w:rsidR="00000000" w:rsidRPr="00000000">
        <w:rPr>
          <w:rFonts w:ascii="Times New Roman" w:cs="Times New Roman" w:eastAsia="Times New Roman" w:hAnsi="Times New Roman"/>
          <w:i w:val="1"/>
          <w:rtl w:val="0"/>
        </w:rPr>
        <w:t xml:space="preserve">Digital Transformation in Financial Services: How JPMorgan Chase Leads the Way</w:t>
      </w:r>
      <w:r w:rsidDel="00000000" w:rsidR="00000000" w:rsidRPr="00000000">
        <w:rPr>
          <w:rFonts w:ascii="Times New Roman" w:cs="Times New Roman" w:eastAsia="Times New Roman" w:hAnsi="Times New Roman"/>
          <w:rtl w:val="0"/>
        </w:rPr>
        <w:t xml:space="preserve">. London: Palgrave Macmillan.</w:t>
      </w:r>
    </w:p>
    <w:p w:rsidR="00000000" w:rsidDel="00000000" w:rsidP="00000000" w:rsidRDefault="00000000" w:rsidRPr="00000000" w14:paraId="0000008E">
      <w:pPr>
        <w:spacing w:after="160" w:line="360" w:lineRule="auto"/>
        <w:jc w:val="both"/>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Villagrasa, J., Sánchez, F. and Donaldson, C. (2024) 'Firms financial strength during crisis periods: does “familiness” matter?'. </w:t>
      </w:r>
      <w:r w:rsidDel="00000000" w:rsidR="00000000" w:rsidRPr="00000000">
        <w:rPr>
          <w:rFonts w:ascii="Times New Roman" w:cs="Times New Roman" w:eastAsia="Times New Roman" w:hAnsi="Times New Roman"/>
          <w:i w:val="1"/>
          <w:rtl w:val="0"/>
        </w:rPr>
        <w:t xml:space="preserve">Journal of Family Business Management</w:t>
      </w:r>
      <w:r w:rsidDel="00000000" w:rsidR="00000000" w:rsidRPr="00000000">
        <w:rPr>
          <w:rFonts w:ascii="Times New Roman" w:cs="Times New Roman" w:eastAsia="Times New Roman" w:hAnsi="Times New Roman"/>
          <w:rtl w:val="0"/>
        </w:rPr>
        <w:t xml:space="preserve">. pp. 943-955. Available at: </w:t>
      </w:r>
      <w:hyperlink r:id="rId20">
        <w:r w:rsidDel="00000000" w:rsidR="00000000" w:rsidRPr="00000000">
          <w:rPr>
            <w:rFonts w:ascii="Times New Roman" w:cs="Times New Roman" w:eastAsia="Times New Roman" w:hAnsi="Times New Roman"/>
            <w:color w:val="0563c1"/>
            <w:u w:val="single"/>
            <w:rtl w:val="0"/>
          </w:rPr>
          <w:t xml:space="preserve">https://www.emerald.com/insight/content/doi/10.1108/jfbm-02-2024-0042/full/html</w:t>
        </w:r>
      </w:hyperlink>
      <w:r w:rsidDel="00000000" w:rsidR="00000000" w:rsidRPr="00000000">
        <w:rPr>
          <w:rFonts w:ascii="Times New Roman" w:cs="Times New Roman" w:eastAsia="Times New Roman" w:hAnsi="Times New Roman"/>
          <w:rtl w:val="0"/>
        </w:rPr>
        <w:t xml:space="preserve"> (Accessed: 5 November 2024).</w:t>
      </w:r>
    </w:p>
    <w:p w:rsidR="00000000" w:rsidDel="00000000" w:rsidP="00000000" w:rsidRDefault="00000000" w:rsidRPr="00000000" w14:paraId="0000008F">
      <w:pPr>
        <w:spacing w:after="16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0">
      <w:pPr>
        <w:spacing w:after="160"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0"/>
      <w:numFmt w:val="bullet"/>
      <w:lvlText w:val="•"/>
      <w:lvlJc w:val="left"/>
      <w:pPr>
        <w:ind w:left="720" w:hanging="360"/>
      </w:pPr>
      <w:rPr>
        <w:u w:val="none"/>
      </w:rPr>
    </w:lvl>
    <w:lvl w:ilvl="1">
      <w:start w:val="1"/>
      <w:numFmt w:val="bullet"/>
      <w:lvlText w:val="o"/>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o"/>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o"/>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ro"/>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emerald.com/insight/content/doi/10.1108/jfbm-02-2024-0042/full/html" TargetMode="External"/><Relationship Id="rId11" Type="http://schemas.openxmlformats.org/officeDocument/2006/relationships/hyperlink" Target="https://onlinelibrary.wiley.com/doi/full/10.1111/ijmr.12140" TargetMode="External"/><Relationship Id="rId10" Type="http://schemas.openxmlformats.org/officeDocument/2006/relationships/hyperlink" Target="https://www.sciencedirect.com/science/article/abs/pii/S0278431923001937" TargetMode="External"/><Relationship Id="rId13" Type="http://schemas.openxmlformats.org/officeDocument/2006/relationships/hyperlink" Target="http://baltijapublishing.lv/index.php/issue/article/view/2499" TargetMode="External"/><Relationship Id="rId12" Type="http://schemas.openxmlformats.org/officeDocument/2006/relationships/hyperlink" Target="https://www.mdpi.com/2071-1050/14/11/647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assumptionjournal.au.edu/index.php/abacjournal/article/view/8752" TargetMode="External"/><Relationship Id="rId15" Type="http://schemas.openxmlformats.org/officeDocument/2006/relationships/hyperlink" Target="https://www.sciencedirect.com/science/article/pii/S2444883419301019" TargetMode="External"/><Relationship Id="rId14" Type="http://schemas.openxmlformats.org/officeDocument/2006/relationships/hyperlink" Target="https://chandigarhphilosophers.com/index.php/ijmrp/article/view/120" TargetMode="External"/><Relationship Id="rId17" Type="http://schemas.openxmlformats.org/officeDocument/2006/relationships/hyperlink" Target="https://www.tandfonline.com/doi/abs/10.1080/15332845.2024.2335120" TargetMode="External"/><Relationship Id="rId16" Type="http://schemas.openxmlformats.org/officeDocument/2006/relationships/hyperlink" Target="https://papers.ssrn.com/sol3/papers.cfm?abstract_id=3506966" TargetMode="External"/><Relationship Id="rId5" Type="http://schemas.openxmlformats.org/officeDocument/2006/relationships/styles" Target="styles.xml"/><Relationship Id="rId19" Type="http://schemas.openxmlformats.org/officeDocument/2006/relationships/hyperlink" Target="https://d1wqtxts1xzle7.cloudfront.net/83809062/3814c2ce7f4e01caa0eafcc1d45f0820dc53-libre.pdf?1649700007=&amp;response-content-disposition=inline%3B+filename%3DRole_of_Branding_in_Achieving_Customer_L.pdf&amp;Expires=1731441834&amp;Signature=grjqnpMr8l2Sh7BA1e~4mk2Az" TargetMode="External"/><Relationship Id="rId6" Type="http://schemas.openxmlformats.org/officeDocument/2006/relationships/hyperlink" Target="https://www.sciencedirect.com/science/article/abs/pii/S0304393217301113" TargetMode="External"/><Relationship Id="rId18" Type="http://schemas.openxmlformats.org/officeDocument/2006/relationships/hyperlink" Target="https://www.sciencedirect.com/science/article/abs/pii/S0278431915001486" TargetMode="External"/><Relationship Id="rId7" Type="http://schemas.openxmlformats.org/officeDocument/2006/relationships/hyperlink" Target="https://www.sciencedirect.com/science/article/pii/S0921344921000331" TargetMode="External"/><Relationship Id="rId8" Type="http://schemas.openxmlformats.org/officeDocument/2006/relationships/hyperlink" Target="https://journal.untar.ac.id/index.php/ijaeb/article/view/318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