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016" w:type="dxa"/>
        <w:tblCellMar>
          <w:left w:w="10" w:type="dxa"/>
          <w:right w:w="10" w:type="dxa"/>
        </w:tblCellMar>
        <w:tblLook w:val="0000" w:firstRow="0" w:lastRow="0" w:firstColumn="0" w:lastColumn="0" w:noHBand="0" w:noVBand="0"/>
      </w:tblPr>
      <w:tblGrid>
        <w:gridCol w:w="4508"/>
        <w:gridCol w:w="4508"/>
      </w:tblGrid>
      <w:tr w:rsidR="00EE2193" w14:paraId="50666769"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7A0459" w14:textId="77777777" w:rsidR="00EE2193" w:rsidRDefault="00106B3B">
            <w:pPr>
              <w:spacing w:after="0" w:line="240" w:lineRule="auto"/>
            </w:pPr>
            <w:r>
              <w:t>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05B110" w14:textId="77777777" w:rsidR="00EE2193" w:rsidRDefault="00106B3B">
            <w:pPr>
              <w:spacing w:after="0" w:line="240" w:lineRule="auto"/>
            </w:pPr>
            <w:r>
              <w:t>Cojocaru Gabriel-Valentin</w:t>
            </w:r>
          </w:p>
        </w:tc>
      </w:tr>
      <w:tr w:rsidR="00EE2193" w14:paraId="608DBE16"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9A149E" w14:textId="77777777" w:rsidR="00EE2193" w:rsidRDefault="00106B3B">
            <w:pPr>
              <w:spacing w:after="0" w:line="240" w:lineRule="auto"/>
            </w:pPr>
            <w:r>
              <w:t>Student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15B356" w14:textId="77777777" w:rsidR="00EE2193" w:rsidRDefault="00106B3B">
            <w:pPr>
              <w:spacing w:after="0" w:line="240" w:lineRule="auto"/>
            </w:pPr>
            <w:r>
              <w:t>2990195</w:t>
            </w:r>
          </w:p>
        </w:tc>
      </w:tr>
      <w:tr w:rsidR="00EE2193" w14:paraId="0B9867CB" w14:textId="77777777">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C235A6" w14:textId="77777777" w:rsidR="00EE2193" w:rsidRDefault="00106B3B">
            <w:pPr>
              <w:spacing w:after="0" w:line="240" w:lineRule="auto"/>
            </w:pPr>
            <w:r>
              <w:t>Module code and title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90EB1D" w14:textId="77777777" w:rsidR="00EE2193" w:rsidRDefault="00106B3B">
            <w:pPr>
              <w:spacing w:after="0" w:line="240" w:lineRule="auto"/>
            </w:pPr>
            <w:r>
              <w:t>LCLM4001 - Academic Skills</w:t>
            </w:r>
          </w:p>
        </w:tc>
      </w:tr>
    </w:tbl>
    <w:p w14:paraId="70D28952" w14:textId="77777777" w:rsidR="00EE2193" w:rsidRDefault="00EE2193"/>
    <w:p w14:paraId="57EAFFEE" w14:textId="77777777" w:rsidR="00EE2193" w:rsidRDefault="00EE2193"/>
    <w:p w14:paraId="6D6931F0" w14:textId="77777777" w:rsidR="00EE2193" w:rsidRDefault="00EE2193"/>
    <w:p w14:paraId="77ADB447" w14:textId="77777777" w:rsidR="00EE2193" w:rsidRDefault="00106B3B">
      <w:pPr>
        <w:jc w:val="center"/>
        <w:rPr>
          <w:b/>
          <w:bCs/>
          <w:lang w:val="en-US"/>
        </w:rPr>
      </w:pPr>
      <w:r>
        <w:rPr>
          <w:b/>
          <w:bCs/>
          <w:lang w:val="en-US"/>
        </w:rPr>
        <w:t>Task 3 – Reflective Report</w:t>
      </w:r>
    </w:p>
    <w:p w14:paraId="5DE9FDCE" w14:textId="77777777" w:rsidR="00EE2193" w:rsidRDefault="00EE2193">
      <w:pPr>
        <w:rPr>
          <w:b/>
          <w:bCs/>
          <w:lang w:val="en-US"/>
        </w:rPr>
      </w:pPr>
    </w:p>
    <w:p w14:paraId="515502BC"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color w:val="000000"/>
          <w:kern w:val="0"/>
          <w:sz w:val="27"/>
          <w:szCs w:val="27"/>
          <w:lang w:eastAsia="en-GB"/>
        </w:rPr>
      </w:pPr>
      <w:r w:rsidRPr="00D64198">
        <w:rPr>
          <w:rFonts w:ascii="Arial" w:eastAsiaTheme="minorEastAsia" w:hAnsi="Arial" w:cs="Arial"/>
          <w:b/>
          <w:bCs/>
          <w:color w:val="000000"/>
          <w:kern w:val="0"/>
          <w:sz w:val="30"/>
          <w:szCs w:val="30"/>
          <w:lang w:eastAsia="en-GB"/>
        </w:rPr>
        <w:t>Introduction</w:t>
      </w:r>
    </w:p>
    <w:p w14:paraId="4556C621"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The Academic Skills part taught me college basics.   Last semester, I attended workshops on citing sources, taking notes, and critical thinking, submitted Task 1 and Task 2, and participated in peer discussions.   This account recounts such events in first-person.   Gibbs' reflective cycle—description, thoughts, evaluation, analysis, conclusion, and action plan—helps me think critically.   Reflecting on my project performance, skills and limitations, and class lessons can help me identify areas for improvement and study strategies.</w:t>
      </w:r>
    </w:p>
    <w:p w14:paraId="2CFBC60B" w14:textId="77777777" w:rsidR="00D64198" w:rsidRPr="00D64198" w:rsidRDefault="00D64198" w:rsidP="00D64198">
      <w:pPr>
        <w:suppressAutoHyphens w:val="0"/>
        <w:autoSpaceDN/>
        <w:spacing w:before="180" w:after="0" w:line="240" w:lineRule="auto"/>
        <w:jc w:val="center"/>
        <w:divId w:val="69547672"/>
        <w:rPr>
          <w:rFonts w:ascii="Times New Roman" w:eastAsiaTheme="minorEastAsia" w:hAnsi="Times New Roman"/>
          <w:color w:val="000000"/>
          <w:kern w:val="0"/>
          <w:sz w:val="18"/>
          <w:szCs w:val="18"/>
          <w:lang w:eastAsia="en-GB"/>
        </w:rPr>
      </w:pPr>
      <w:bookmarkStart w:id="0" w:name="_Toc203947598"/>
      <w:bookmarkEnd w:id="0"/>
      <w:r w:rsidRPr="00D64198">
        <w:rPr>
          <w:rFonts w:ascii="Arial" w:eastAsiaTheme="minorEastAsia" w:hAnsi="Arial" w:cs="Arial"/>
          <w:b/>
          <w:bCs/>
          <w:color w:val="000000"/>
          <w:kern w:val="0"/>
          <w:sz w:val="30"/>
          <w:szCs w:val="30"/>
          <w:lang w:eastAsia="en-GB"/>
        </w:rPr>
        <w:t>MAIN BODY:</w:t>
      </w:r>
    </w:p>
    <w:p w14:paraId="51E9569B"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18"/>
          <w:szCs w:val="18"/>
          <w:lang w:eastAsia="en-GB"/>
        </w:rPr>
      </w:pPr>
      <w:bookmarkStart w:id="1" w:name="_Toc203947599"/>
      <w:bookmarkEnd w:id="1"/>
      <w:r w:rsidRPr="00D64198">
        <w:rPr>
          <w:rFonts w:ascii="Times New Roman" w:eastAsiaTheme="minorEastAsia" w:hAnsi="Times New Roman"/>
          <w:color w:val="117A02"/>
          <w:kern w:val="0"/>
          <w:sz w:val="27"/>
          <w:szCs w:val="27"/>
          <w:lang w:eastAsia="en-GB"/>
        </w:rPr>
        <w:t>Description of experiences</w:t>
      </w:r>
    </w:p>
    <w:p w14:paraId="7FAC6480"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The module began with an orientation and referencing workshop.   Participants learnt about plagiarism, citation, and reference in this interactive program.   People learnt how to use keywords to discover sources, analyse their merits and downsides, and properly reference them.   Students learnt why taking notes is necessary, how to take notes differently when reading and during lectures, and how to take notes in different styles in a later note-taking course.   We practiced Task 1, a 1,000-word essay on a topical issue using Harvard-style citations.   I read journals, took notes, prepared an essay, and submitted it via the module site (Realising Opportunities, 2021).</w:t>
      </w:r>
    </w:p>
    <w:p w14:paraId="13988DCB"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 During the term, a subject matter expert spoke.   This event seemed like a college course and let us practise taking notes, something we had recently learnt.   We met in small groups to review our notes and discuss next steps after class.   These occurrences led to Task 2, a group presentation.   We worked in groups of four to choose a course-related topic, research it, and make a 10-minute presentation with a Q&amp;A.   Weekly class topics included academic honesty, digital literacy, and critical thinking.</w:t>
      </w:r>
    </w:p>
    <w:p w14:paraId="5E8471FF"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My reflective diary recorded my feelings regarding class activities in addition to my formal tasks.   Students can demonstrate complex learning, develop strong work habits, and become more independent by writing in reflective journals, according to the University of Edinburgh's handbook.   Writing daily helped me remember my feelings immediately and reflect on them later (Scientific American, 2024).</w:t>
      </w:r>
    </w:p>
    <w:p w14:paraId="1A1627E5"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18"/>
          <w:szCs w:val="18"/>
          <w:lang w:eastAsia="en-GB"/>
        </w:rPr>
      </w:pPr>
      <w:bookmarkStart w:id="2" w:name="_Toc203947600"/>
      <w:bookmarkEnd w:id="2"/>
      <w:r w:rsidRPr="00D64198">
        <w:rPr>
          <w:rFonts w:ascii="Times New Roman" w:eastAsiaTheme="minorEastAsia" w:hAnsi="Times New Roman"/>
          <w:color w:val="117A02"/>
          <w:kern w:val="0"/>
          <w:sz w:val="27"/>
          <w:szCs w:val="27"/>
          <w:lang w:eastAsia="en-GB"/>
        </w:rPr>
        <w:lastRenderedPageBreak/>
        <w:t>Analysis and personal reflection</w:t>
      </w:r>
    </w:p>
    <w:p w14:paraId="5F053104"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3" w:name="_Toc203947601"/>
      <w:bookmarkEnd w:id="3"/>
      <w:r w:rsidRPr="00D64198">
        <w:rPr>
          <w:rFonts w:ascii="Times New Roman" w:eastAsiaTheme="minorEastAsia" w:hAnsi="Times New Roman"/>
          <w:color w:val="0B5101"/>
          <w:kern w:val="0"/>
          <w:sz w:val="27"/>
          <w:szCs w:val="27"/>
          <w:lang w:eastAsia="en-GB"/>
        </w:rPr>
        <w:t>Referencing and academic integrity</w:t>
      </w:r>
    </w:p>
    <w:p w14:paraId="6536427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 xml:space="preserve">Not expected to learn so much about effective citation throughout the referencing session.   I sometimes used internet quotes without attribution, but the session showed me that proper citing aids research and distinguishes my thoughts.   The seminar stressed that proper citations reinforce points and maintain academic integrity, and that not referencing could be considered dishonest.   I struggled to properly cite references in Task 1.   First draft had missing page numbers and incomplete sources.   After reviewing the training materials and using the university's citation generator, I improved my references.   I discovered that correctly citing sources prevents plagiarism, shows respect for earlier work, and strengthens my writing.   This supports </w:t>
      </w:r>
      <w:proofErr w:type="spellStart"/>
      <w:r w:rsidRPr="00D64198">
        <w:rPr>
          <w:rFonts w:ascii="Times New Roman" w:eastAsiaTheme="minorEastAsia" w:hAnsi="Times New Roman"/>
          <w:color w:val="000000"/>
          <w:kern w:val="0"/>
          <w:sz w:val="27"/>
          <w:szCs w:val="27"/>
          <w:lang w:eastAsia="en-GB"/>
        </w:rPr>
        <w:t>Paperpal's</w:t>
      </w:r>
      <w:proofErr w:type="spellEnd"/>
      <w:r w:rsidRPr="00D64198">
        <w:rPr>
          <w:rFonts w:ascii="Times New Roman" w:eastAsiaTheme="minorEastAsia" w:hAnsi="Times New Roman"/>
          <w:color w:val="000000"/>
          <w:kern w:val="0"/>
          <w:sz w:val="27"/>
          <w:szCs w:val="27"/>
          <w:lang w:eastAsia="en-GB"/>
        </w:rPr>
        <w:t xml:space="preserve"> claim that reference strengthens academic writing and provides evidence.</w:t>
      </w:r>
    </w:p>
    <w:p w14:paraId="6DA0AB2A"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4" w:name="_Toc203947602"/>
      <w:bookmarkEnd w:id="4"/>
      <w:proofErr w:type="spellStart"/>
      <w:r w:rsidRPr="00D64198">
        <w:rPr>
          <w:rFonts w:ascii="Times New Roman" w:eastAsiaTheme="minorEastAsia" w:hAnsi="Times New Roman"/>
          <w:color w:val="0B5101"/>
          <w:kern w:val="0"/>
          <w:sz w:val="27"/>
          <w:szCs w:val="27"/>
          <w:lang w:eastAsia="en-GB"/>
        </w:rPr>
        <w:t>Notetaking</w:t>
      </w:r>
      <w:proofErr w:type="spellEnd"/>
      <w:r w:rsidRPr="00D64198">
        <w:rPr>
          <w:rFonts w:ascii="Times New Roman" w:eastAsiaTheme="minorEastAsia" w:hAnsi="Times New Roman"/>
          <w:color w:val="0B5101"/>
          <w:kern w:val="0"/>
          <w:sz w:val="27"/>
          <w:szCs w:val="27"/>
          <w:lang w:eastAsia="en-GB"/>
        </w:rPr>
        <w:t xml:space="preserve"> and active listening</w:t>
      </w:r>
    </w:p>
    <w:p w14:paraId="47D3659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The note-taking lesson transformed my class focus.   I used to input material word-for-word on my laptop, which didn't offer me much time to ponder.   According to a Scientific American research, handwriting employs more brain regions than typing and forces children to actively process their writing.   I recalled more and was more engaged when we practiced handwriting notes throughout class.   Recapping crucial topics by hand helped me understand them better than typing.   I learnt about the Cornell method and mind maps at the workshop, which helped me organise my notes.   Later lectures alternated between outlining the basic points and adding specifics from what I read.   Smaller group discussions with classmates revealed how clear and complete the notes were.   Note-taking improved my Task 1 study and made finding relevant sources faster (Scientific American, 2024).</w:t>
      </w:r>
    </w:p>
    <w:p w14:paraId="13ED2AF3"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5" w:name="_Toc203947603"/>
      <w:bookmarkEnd w:id="5"/>
      <w:r w:rsidRPr="00D64198">
        <w:rPr>
          <w:rFonts w:ascii="Times New Roman" w:eastAsiaTheme="minorEastAsia" w:hAnsi="Times New Roman"/>
          <w:color w:val="0B5101"/>
          <w:kern w:val="0"/>
          <w:sz w:val="27"/>
          <w:szCs w:val="27"/>
          <w:lang w:eastAsia="en-GB"/>
        </w:rPr>
        <w:t>Task 1: Individual research essay</w:t>
      </w:r>
    </w:p>
    <w:p w14:paraId="0C955EA2"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Task 1 required me to research a contemporary issue and produce a Harvard-style essay.   I used the university's online library and keyword search strategies to obtain sources on digital citizenship.   I analysed my process using Gibbs' reflective cycle.  I was initially overwhelmed by the volume of books, but reading and choosing scholarly sources made me feel more safe.   I contacted my professor for advice because I was unsure, and he suggested peer-reviewed publications.   I realised I was good at critical reading and ideation when I looked back.  I could simplify complex issues and tie them to my thesis.   My time management was poor.   I didn't have enough time to write and proofread, so it ended quickly.   I will soon create a detailed timeline with due dates as part of my action plan.</w:t>
      </w:r>
    </w:p>
    <w:p w14:paraId="595C22B9"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i/>
          <w:iCs/>
          <w:color w:val="000000"/>
          <w:kern w:val="0"/>
          <w:sz w:val="27"/>
          <w:szCs w:val="27"/>
          <w:lang w:eastAsia="en-GB"/>
        </w:rPr>
      </w:pPr>
      <w:r w:rsidRPr="00D64198">
        <w:rPr>
          <w:rFonts w:ascii="Times New Roman" w:eastAsiaTheme="minorEastAsia" w:hAnsi="Times New Roman"/>
          <w:i/>
          <w:iCs/>
          <w:color w:val="000000"/>
          <w:kern w:val="0"/>
          <w:sz w:val="27"/>
          <w:szCs w:val="27"/>
          <w:lang w:eastAsia="en-GB"/>
        </w:rPr>
        <w:t>I also realised that writing about what you've learnt increases learning.   The Academic Skills Module requires students to produce a reflection on their learning to improve their writing, self-awareness, and clarity.   Writing about the learning process made me question my knowledge and where I needed to learn more.   Writing reduces plagiarism and reflecting about what you've written can help you learn, according to the reflective journal.   Writing down my thoughts improved my academic style (Realising Opportunities, 2021).</w:t>
      </w:r>
    </w:p>
    <w:p w14:paraId="3EAD040D"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6" w:name="_Toc203947604"/>
      <w:bookmarkEnd w:id="6"/>
      <w:r w:rsidRPr="00D64198">
        <w:rPr>
          <w:rFonts w:ascii="Times New Roman" w:eastAsiaTheme="minorEastAsia" w:hAnsi="Times New Roman"/>
          <w:color w:val="0B5101"/>
          <w:kern w:val="0"/>
          <w:sz w:val="27"/>
          <w:szCs w:val="27"/>
          <w:lang w:eastAsia="en-GB"/>
        </w:rPr>
        <w:lastRenderedPageBreak/>
        <w:t>Task 2: Group presentation</w:t>
      </w:r>
    </w:p>
    <w:p w14:paraId="0E812F55"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Task 2's group presentation improved my teamwork and communication.   I was nervous my first time working with strangers.   Like Gibbs' reflective group work scenario, we assigned tasks based on strengths.   While others worked on case studies and conclusions, I researched the theoretical framework and made slides.   We discovered midway through the job that our parts didn't fit.   Since much of our communication was by text, we were growing angry.   As with Gibbs' model, the group didn't think they needed to do this.   We resolved the issue by scheduling an online meeting to improve our teamwork.   It improved our collaboration and assisted us during the presentation.</w:t>
      </w:r>
    </w:p>
    <w:p w14:paraId="0D0183BC"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The event showed me how well I can present information and make things appear attractive.   I liked simplifying complex research into slides and utilising diagrams to highlight relationships.   I found that practicing with others helped me calm down.   Sometimes I spoke too rapidly and didn't look at the crowd, so I didn't sound confident.   Reflective practice literature suggests that students can improve as professionals by reflecting on their failures and planning ahead.   I'll practise public speaking in casual settings and get feedback on my pace and delivery as part of my action plan (University of Edinburgh, 2024b).</w:t>
      </w:r>
    </w:p>
    <w:p w14:paraId="0E276B16"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7" w:name="_Toc203947605"/>
      <w:bookmarkEnd w:id="7"/>
      <w:r w:rsidRPr="00D64198">
        <w:rPr>
          <w:rFonts w:ascii="Times New Roman" w:eastAsiaTheme="minorEastAsia" w:hAnsi="Times New Roman"/>
          <w:color w:val="0B5101"/>
          <w:kern w:val="0"/>
          <w:sz w:val="27"/>
          <w:szCs w:val="27"/>
          <w:lang w:eastAsia="en-GB"/>
        </w:rPr>
        <w:t>Class discussions and reflective journal</w:t>
      </w:r>
    </w:p>
    <w:p w14:paraId="1943EFC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Weekly class discussions regarding digital literacy, academic honesty, and time management taught me more.   Active participation allowed me to express my opinions and hear others.   One conversation covered ethical creative AI tool use.   I first trusted AI help, but my pals worried about data privacy and uniqueness.   After thinking about what we discussed, I recognised how crucial critical thinking and moral decision-making are.   Writing my book about these discussions helped me relate them to my beliefs.</w:t>
      </w:r>
    </w:p>
    <w:p w14:paraId="5E527564"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I struggled to keep a reflective journal since I didn't know what to write.   Some pupils may not know how to write reflectively or may not like being forced to.   I first didn't want to keep the notebook because it was extra work.   However, regular participation enhanced my working habits and gave me a place to reflect.   I learnt that reflection involves examining feelings and consequences and planning how to improve things.   My diary notes demonstrated how I procrastinated and included helpful ideas like checklists and dividing chores into smaller chunks (</w:t>
      </w:r>
      <w:proofErr w:type="spellStart"/>
      <w:r w:rsidRPr="00D64198">
        <w:rPr>
          <w:rFonts w:ascii="Times New Roman" w:eastAsiaTheme="minorEastAsia" w:hAnsi="Times New Roman"/>
          <w:color w:val="000000"/>
          <w:kern w:val="0"/>
          <w:sz w:val="27"/>
          <w:szCs w:val="27"/>
          <w:lang w:eastAsia="en-GB"/>
        </w:rPr>
        <w:t>Paperpal</w:t>
      </w:r>
      <w:proofErr w:type="spellEnd"/>
      <w:r w:rsidRPr="00D64198">
        <w:rPr>
          <w:rFonts w:ascii="Times New Roman" w:eastAsiaTheme="minorEastAsia" w:hAnsi="Times New Roman"/>
          <w:color w:val="000000"/>
          <w:kern w:val="0"/>
          <w:sz w:val="27"/>
          <w:szCs w:val="27"/>
          <w:lang w:eastAsia="en-GB"/>
        </w:rPr>
        <w:t>, 2024).</w:t>
      </w:r>
    </w:p>
    <w:p w14:paraId="1C6E5DD7" w14:textId="77777777" w:rsidR="00D64198" w:rsidRPr="00D64198" w:rsidRDefault="00D64198" w:rsidP="00D64198">
      <w:pPr>
        <w:suppressAutoHyphens w:val="0"/>
        <w:autoSpaceDN/>
        <w:spacing w:before="30" w:after="0" w:line="240" w:lineRule="auto"/>
        <w:jc w:val="both"/>
        <w:divId w:val="69547672"/>
        <w:rPr>
          <w:rFonts w:ascii="Times New Roman" w:eastAsiaTheme="minorEastAsia" w:hAnsi="Times New Roman"/>
          <w:color w:val="000000"/>
          <w:kern w:val="0"/>
          <w:sz w:val="27"/>
          <w:szCs w:val="27"/>
          <w:lang w:eastAsia="en-GB"/>
        </w:rPr>
      </w:pPr>
      <w:bookmarkStart w:id="8" w:name="_Toc203947606"/>
      <w:bookmarkEnd w:id="8"/>
      <w:r w:rsidRPr="00D64198">
        <w:rPr>
          <w:rFonts w:ascii="Times New Roman" w:eastAsiaTheme="minorEastAsia" w:hAnsi="Times New Roman"/>
          <w:color w:val="0B5101"/>
          <w:kern w:val="0"/>
          <w:sz w:val="27"/>
          <w:szCs w:val="27"/>
          <w:lang w:eastAsia="en-GB"/>
        </w:rPr>
        <w:t>Strengths, areas for improvement and personal growth</w:t>
      </w:r>
    </w:p>
    <w:p w14:paraId="5112B2C8"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I discovered some skills in this module.   First, I'm a diligent researcher.  I enjoy reading academic literature and combining facts.   The referencing lesson taught me which sources to trust and which to avoid.   Second, I'm strong at writing; I can structure and support my ideas.   Third, group projects showed my collaboration skills and willingness to adapt plans.</w:t>
      </w:r>
    </w:p>
    <w:p w14:paraId="55618CE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 xml:space="preserve">It's obvious that things can be improved.   I struggle to organise my time to study, write, and edit.   I need to practise public speaking by varying my pitch and engaging others.   My digital skills, notably internet source evaluation and academic database </w:t>
      </w:r>
      <w:r w:rsidRPr="00D64198">
        <w:rPr>
          <w:rFonts w:ascii="Times New Roman" w:eastAsiaTheme="minorEastAsia" w:hAnsi="Times New Roman"/>
          <w:color w:val="000000"/>
          <w:kern w:val="0"/>
          <w:sz w:val="27"/>
          <w:szCs w:val="27"/>
          <w:lang w:eastAsia="en-GB"/>
        </w:rPr>
        <w:lastRenderedPageBreak/>
        <w:t>utilisation, must also be improved.   Making my introspective writing less detailed and more critical and analytical is my final goal (</w:t>
      </w:r>
      <w:proofErr w:type="spellStart"/>
      <w:r w:rsidRPr="00D64198">
        <w:rPr>
          <w:rFonts w:ascii="Times New Roman" w:eastAsiaTheme="minorEastAsia" w:hAnsi="Times New Roman"/>
          <w:color w:val="000000"/>
          <w:kern w:val="0"/>
          <w:sz w:val="27"/>
          <w:szCs w:val="27"/>
          <w:lang w:eastAsia="en-GB"/>
        </w:rPr>
        <w:t>Paperpal</w:t>
      </w:r>
      <w:proofErr w:type="spellEnd"/>
      <w:r w:rsidRPr="00D64198">
        <w:rPr>
          <w:rFonts w:ascii="Times New Roman" w:eastAsiaTheme="minorEastAsia" w:hAnsi="Times New Roman"/>
          <w:color w:val="000000"/>
          <w:kern w:val="0"/>
          <w:sz w:val="27"/>
          <w:szCs w:val="27"/>
          <w:lang w:eastAsia="en-GB"/>
        </w:rPr>
        <w:t>, 2024).</w:t>
      </w:r>
    </w:p>
    <w:p w14:paraId="1A67697D"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 Overall, the module shaped my intellectual and personal progress.   I learnt learning is more than memorising facts.  It's also about examining your knowledge and reflecting on your actions.   Reflection helps physician assistant students plan for success and grow professionally, according to the reflective practice assignment.   I discovered that contemplation improves self-awareness and performance.   Gibbs' cycle helps me plan for the future and create actionable solutions.</w:t>
      </w:r>
    </w:p>
    <w:p w14:paraId="0C46A5A6"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color w:val="000000"/>
          <w:kern w:val="0"/>
          <w:sz w:val="27"/>
          <w:szCs w:val="27"/>
          <w:lang w:eastAsia="en-GB"/>
        </w:rPr>
      </w:pPr>
      <w:bookmarkStart w:id="9" w:name="_Toc203947607"/>
      <w:bookmarkEnd w:id="9"/>
      <w:r w:rsidRPr="00D64198">
        <w:rPr>
          <w:rFonts w:ascii="Arial" w:eastAsiaTheme="minorEastAsia" w:hAnsi="Arial" w:cs="Arial"/>
          <w:b/>
          <w:bCs/>
          <w:color w:val="000000"/>
          <w:kern w:val="0"/>
          <w:sz w:val="30"/>
          <w:szCs w:val="30"/>
          <w:lang w:eastAsia="en-GB"/>
        </w:rPr>
        <w:t>Conclusion</w:t>
      </w:r>
    </w:p>
    <w:p w14:paraId="0D4D7E7D"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Times New Roman" w:eastAsiaTheme="minorEastAsia" w:hAnsi="Times New Roman"/>
          <w:color w:val="000000"/>
          <w:kern w:val="0"/>
          <w:sz w:val="27"/>
          <w:szCs w:val="27"/>
          <w:lang w:eastAsia="en-GB"/>
        </w:rPr>
        <w:t>The Academic Skills module improved my first college term.   Classes, homework, and self-reflection taught me how to cite sources, take notes, research, and collaborate.   Being honest in school, writing with proof, and thinking about oneself were stressed in the lesson.   Gibbs' reflective cycle helped me describe my experiences and strengths, like studies and writing.  I mentioned my time management and public speaking weaknesses.   The reflective book helped me track my learning and realise how vital self-reflection is.   The class made me more confident in my learning abilities and given me the tools to succeed in school for life.   I will continue to reflect to learn and progress (University of Edinburgh, 2024a).</w:t>
      </w:r>
    </w:p>
    <w:p w14:paraId="70FA4930"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4CD6B717"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643AC28C"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3D4662DB"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504B37E9" w14:textId="77777777" w:rsidR="00D64198" w:rsidRPr="00D64198" w:rsidRDefault="00D64198" w:rsidP="00D64198">
      <w:pPr>
        <w:suppressAutoHyphens w:val="0"/>
        <w:autoSpaceDN/>
        <w:spacing w:before="75" w:after="75" w:line="240" w:lineRule="auto"/>
        <w:jc w:val="both"/>
        <w:divId w:val="69547672"/>
        <w:rPr>
          <w:rFonts w:ascii="-webkit-standard" w:eastAsiaTheme="minorEastAsia" w:hAnsi="-webkit-standard"/>
          <w:color w:val="000000"/>
          <w:kern w:val="0"/>
          <w:sz w:val="27"/>
          <w:szCs w:val="27"/>
          <w:lang w:eastAsia="en-GB"/>
        </w:rPr>
      </w:pPr>
      <w:r w:rsidRPr="00D64198">
        <w:rPr>
          <w:rFonts w:ascii="-webkit-standard" w:eastAsiaTheme="minorEastAsia" w:hAnsi="-webkit-standard"/>
          <w:color w:val="000000"/>
          <w:kern w:val="0"/>
          <w:sz w:val="27"/>
          <w:szCs w:val="27"/>
          <w:lang w:eastAsia="en-GB"/>
        </w:rPr>
        <w:t> </w:t>
      </w:r>
    </w:p>
    <w:p w14:paraId="70ACC301" w14:textId="77777777" w:rsidR="00D64198" w:rsidRPr="00D64198" w:rsidRDefault="00D64198" w:rsidP="00D64198">
      <w:pPr>
        <w:suppressAutoHyphens w:val="0"/>
        <w:autoSpaceDN/>
        <w:spacing w:before="180" w:after="0" w:line="240" w:lineRule="auto"/>
        <w:jc w:val="center"/>
        <w:divId w:val="69547672"/>
        <w:rPr>
          <w:rFonts w:ascii="-webkit-standard" w:eastAsiaTheme="minorEastAsia" w:hAnsi="-webkit-standard"/>
          <w:color w:val="000000"/>
          <w:kern w:val="0"/>
          <w:sz w:val="27"/>
          <w:szCs w:val="27"/>
          <w:lang w:eastAsia="en-GB"/>
        </w:rPr>
      </w:pPr>
      <w:bookmarkStart w:id="10" w:name="_Toc203947608"/>
      <w:bookmarkEnd w:id="10"/>
      <w:r w:rsidRPr="00D64198">
        <w:rPr>
          <w:rFonts w:ascii="Arial" w:eastAsiaTheme="minorEastAsia" w:hAnsi="Arial" w:cs="Arial"/>
          <w:b/>
          <w:bCs/>
          <w:color w:val="000000"/>
          <w:kern w:val="0"/>
          <w:sz w:val="30"/>
          <w:szCs w:val="30"/>
          <w:lang w:eastAsia="en-GB"/>
        </w:rPr>
        <w:t>References</w:t>
      </w:r>
    </w:p>
    <w:p w14:paraId="2EC1E3A4" w14:textId="77777777" w:rsidR="00D64198" w:rsidRPr="00D64198" w:rsidRDefault="00D64198" w:rsidP="00D64198">
      <w:pPr>
        <w:suppressAutoHyphens w:val="0"/>
        <w:autoSpaceDN/>
        <w:spacing w:after="75" w:line="240" w:lineRule="auto"/>
        <w:ind w:hanging="270"/>
        <w:jc w:val="both"/>
        <w:divId w:val="390537913"/>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proofErr w:type="spellStart"/>
      <w:r w:rsidRPr="00D64198">
        <w:rPr>
          <w:rFonts w:ascii="Times New Roman" w:eastAsia="Times New Roman" w:hAnsi="Times New Roman"/>
          <w:color w:val="000000"/>
          <w:kern w:val="0"/>
          <w:sz w:val="27"/>
          <w:szCs w:val="27"/>
          <w:lang w:eastAsia="en-GB"/>
        </w:rPr>
        <w:t>Paperpal</w:t>
      </w:r>
      <w:proofErr w:type="spellEnd"/>
      <w:r w:rsidRPr="00D64198">
        <w:rPr>
          <w:rFonts w:ascii="Times New Roman" w:eastAsia="Times New Roman" w:hAnsi="Times New Roman"/>
          <w:color w:val="000000"/>
          <w:kern w:val="0"/>
          <w:sz w:val="27"/>
          <w:szCs w:val="27"/>
          <w:lang w:eastAsia="en-GB"/>
        </w:rPr>
        <w:t xml:space="preserve"> (2024) ‘Why is referencing important in academic writing?’ The </w:t>
      </w:r>
      <w:proofErr w:type="spellStart"/>
      <w:r w:rsidRPr="00D64198">
        <w:rPr>
          <w:rFonts w:ascii="Times New Roman" w:eastAsia="Times New Roman" w:hAnsi="Times New Roman"/>
          <w:color w:val="000000"/>
          <w:kern w:val="0"/>
          <w:sz w:val="27"/>
          <w:szCs w:val="27"/>
          <w:lang w:eastAsia="en-GB"/>
        </w:rPr>
        <w:t>Paperpal</w:t>
      </w:r>
      <w:proofErr w:type="spellEnd"/>
      <w:r w:rsidRPr="00D64198">
        <w:rPr>
          <w:rFonts w:ascii="Times New Roman" w:eastAsia="Times New Roman" w:hAnsi="Times New Roman"/>
          <w:color w:val="000000"/>
          <w:kern w:val="0"/>
          <w:sz w:val="27"/>
          <w:szCs w:val="27"/>
          <w:lang w:eastAsia="en-GB"/>
        </w:rPr>
        <w:t xml:space="preserve"> blog, 26 December. Available at: /blog/academic-writing-guides/</w:t>
      </w:r>
    </w:p>
    <w:p w14:paraId="5F46E22B" w14:textId="77777777" w:rsidR="00D64198" w:rsidRPr="00D64198" w:rsidRDefault="00D64198" w:rsidP="00D64198">
      <w:pPr>
        <w:suppressAutoHyphens w:val="0"/>
        <w:autoSpaceDN/>
        <w:spacing w:after="75" w:line="240" w:lineRule="auto"/>
        <w:ind w:hanging="270"/>
        <w:jc w:val="both"/>
        <w:divId w:val="598635689"/>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proofErr w:type="spellStart"/>
      <w:r w:rsidRPr="00D64198">
        <w:rPr>
          <w:rFonts w:ascii="Times New Roman" w:eastAsia="Times New Roman" w:hAnsi="Times New Roman"/>
          <w:color w:val="000000"/>
          <w:kern w:val="0"/>
          <w:sz w:val="27"/>
          <w:szCs w:val="27"/>
          <w:lang w:eastAsia="en-GB"/>
        </w:rPr>
        <w:t>Pestka</w:t>
      </w:r>
      <w:proofErr w:type="spellEnd"/>
      <w:r w:rsidRPr="00D64198">
        <w:rPr>
          <w:rFonts w:ascii="Times New Roman" w:eastAsia="Times New Roman" w:hAnsi="Times New Roman"/>
          <w:color w:val="000000"/>
          <w:kern w:val="0"/>
          <w:sz w:val="27"/>
          <w:szCs w:val="27"/>
          <w:lang w:eastAsia="en-GB"/>
        </w:rPr>
        <w:t>, B. (2024) ‘Using reflective practice to enhance student professionalism’. Journal of Medical Education and Curricular Development, 11, May, 23821205241250172. Available at: /articles/PMC11084998/.</w:t>
      </w:r>
    </w:p>
    <w:p w14:paraId="3D5F726C" w14:textId="77777777" w:rsidR="00D64198" w:rsidRPr="00D64198" w:rsidRDefault="00D64198" w:rsidP="00D64198">
      <w:pPr>
        <w:suppressAutoHyphens w:val="0"/>
        <w:autoSpaceDN/>
        <w:spacing w:after="75" w:line="240" w:lineRule="auto"/>
        <w:ind w:hanging="270"/>
        <w:jc w:val="both"/>
        <w:divId w:val="335426970"/>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Realising Opportunities (2021) Academic skills module: Cohort 12 student guide. Newcastle upon Tyne: Realising Opportunities. Available at: /</w:t>
      </w:r>
      <w:proofErr w:type="spellStart"/>
      <w:r w:rsidRPr="00D64198">
        <w:rPr>
          <w:rFonts w:ascii="Times New Roman" w:eastAsia="Times New Roman" w:hAnsi="Times New Roman"/>
          <w:color w:val="000000"/>
          <w:kern w:val="0"/>
          <w:sz w:val="27"/>
          <w:szCs w:val="27"/>
          <w:lang w:eastAsia="en-GB"/>
        </w:rPr>
        <w:t>wp-content</w:t>
      </w:r>
      <w:proofErr w:type="spellEnd"/>
      <w:r w:rsidRPr="00D64198">
        <w:rPr>
          <w:rFonts w:ascii="Times New Roman" w:eastAsia="Times New Roman" w:hAnsi="Times New Roman"/>
          <w:color w:val="000000"/>
          <w:kern w:val="0"/>
          <w:sz w:val="27"/>
          <w:szCs w:val="27"/>
          <w:lang w:eastAsia="en-GB"/>
        </w:rPr>
        <w:t>/uploads/2021/07/</w:t>
      </w:r>
    </w:p>
    <w:p w14:paraId="11B57B2B" w14:textId="77777777" w:rsidR="00D64198" w:rsidRPr="00D64198" w:rsidRDefault="00D64198" w:rsidP="00D64198">
      <w:pPr>
        <w:suppressAutoHyphens w:val="0"/>
        <w:autoSpaceDN/>
        <w:spacing w:after="75" w:line="240" w:lineRule="auto"/>
        <w:ind w:hanging="270"/>
        <w:jc w:val="both"/>
        <w:divId w:val="2140565523"/>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Scientific American (2024) ‘Why writing by hand is better for memory and learning’ by Charlotte Hu. Scientific American, 21 February. Available at: /article/why-writing-by-hand-is-better-for-memory-and-learning/.</w:t>
      </w:r>
    </w:p>
    <w:p w14:paraId="7A42E39B" w14:textId="77777777" w:rsidR="00D64198" w:rsidRPr="00D64198" w:rsidRDefault="00D64198" w:rsidP="00D64198">
      <w:pPr>
        <w:suppressAutoHyphens w:val="0"/>
        <w:autoSpaceDN/>
        <w:spacing w:after="75" w:line="240" w:lineRule="auto"/>
        <w:ind w:hanging="270"/>
        <w:jc w:val="both"/>
        <w:divId w:val="791172902"/>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t>• </w:t>
      </w:r>
      <w:r w:rsidRPr="00D64198">
        <w:rPr>
          <w:rFonts w:ascii="Times New Roman" w:eastAsia="Times New Roman" w:hAnsi="Times New Roman"/>
          <w:color w:val="000000"/>
          <w:kern w:val="0"/>
          <w:sz w:val="27"/>
          <w:szCs w:val="27"/>
          <w:lang w:eastAsia="en-GB"/>
        </w:rPr>
        <w:t>University of Edinburgh (2024a) ‘Gibbs’ reflective cycle’. Reflection Toolkit. Available at: /reflectors-toolkit/reflecting-on-experience/</w:t>
      </w:r>
    </w:p>
    <w:p w14:paraId="732299FB" w14:textId="77777777" w:rsidR="00D64198" w:rsidRPr="00D64198" w:rsidRDefault="00D64198" w:rsidP="00D64198">
      <w:pPr>
        <w:suppressAutoHyphens w:val="0"/>
        <w:autoSpaceDN/>
        <w:spacing w:after="75" w:line="240" w:lineRule="auto"/>
        <w:ind w:hanging="270"/>
        <w:jc w:val="both"/>
        <w:divId w:val="1609434089"/>
        <w:rPr>
          <w:rFonts w:ascii="-webkit-standard" w:eastAsia="Times New Roman" w:hAnsi="-webkit-standard"/>
          <w:color w:val="000000"/>
          <w:kern w:val="0"/>
          <w:sz w:val="27"/>
          <w:szCs w:val="27"/>
          <w:lang w:eastAsia="en-GB"/>
        </w:rPr>
      </w:pPr>
      <w:r w:rsidRPr="00D64198">
        <w:rPr>
          <w:rFonts w:ascii="Symbol" w:eastAsia="Times New Roman" w:hAnsi="Symbol"/>
          <w:color w:val="000000"/>
          <w:kern w:val="0"/>
          <w:sz w:val="15"/>
          <w:szCs w:val="15"/>
          <w:lang w:eastAsia="en-GB"/>
        </w:rPr>
        <w:lastRenderedPageBreak/>
        <w:t>• </w:t>
      </w:r>
      <w:r w:rsidRPr="00D64198">
        <w:rPr>
          <w:rFonts w:ascii="Times New Roman" w:eastAsia="Times New Roman" w:hAnsi="Times New Roman"/>
          <w:color w:val="000000"/>
          <w:kern w:val="0"/>
          <w:sz w:val="27"/>
          <w:szCs w:val="27"/>
          <w:lang w:eastAsia="en-GB"/>
        </w:rPr>
        <w:t>University of Edinburgh (2024b) ‘Reflective journals’. Institute for Academic Development. Available at: /learning-teaching/staff/assessment/online-remote/types/reflective-journals.</w:t>
      </w:r>
    </w:p>
    <w:p w14:paraId="5DC86CE1" w14:textId="77777777" w:rsidR="00EE2193" w:rsidRDefault="00EE2193">
      <w:pPr>
        <w:jc w:val="center"/>
        <w:rPr>
          <w:lang w:val="en-US"/>
        </w:rPr>
      </w:pPr>
    </w:p>
    <w:sectPr w:rsidR="00EE219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379FA" w14:textId="77777777" w:rsidR="00106B3B" w:rsidRDefault="00106B3B">
      <w:pPr>
        <w:spacing w:after="0" w:line="240" w:lineRule="auto"/>
      </w:pPr>
      <w:r>
        <w:separator/>
      </w:r>
    </w:p>
  </w:endnote>
  <w:endnote w:type="continuationSeparator" w:id="0">
    <w:p w14:paraId="6FB9DEE0" w14:textId="77777777" w:rsidR="00106B3B" w:rsidRDefault="0010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E4CA5" w14:textId="77777777" w:rsidR="00106B3B" w:rsidRDefault="00106B3B">
      <w:pPr>
        <w:spacing w:after="0" w:line="240" w:lineRule="auto"/>
      </w:pPr>
      <w:r>
        <w:rPr>
          <w:color w:val="000000"/>
        </w:rPr>
        <w:separator/>
      </w:r>
    </w:p>
  </w:footnote>
  <w:footnote w:type="continuationSeparator" w:id="0">
    <w:p w14:paraId="676C94D9" w14:textId="77777777" w:rsidR="00106B3B" w:rsidRDefault="00106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512AC"/>
    <w:multiLevelType w:val="multilevel"/>
    <w:tmpl w:val="02885D9A"/>
    <w:lvl w:ilvl="0">
      <w:start w:val="1"/>
      <w:numFmt w:val="decimal"/>
      <w:lvlText w:val="%1."/>
      <w:lvlJc w:val="left"/>
      <w:pPr>
        <w:ind w:left="720" w:hanging="360"/>
      </w:pPr>
    </w:lvl>
    <w:lvl w:ilvl="1">
      <w:numFmt w:val="bullet"/>
      <w:lvlText w:val="o"/>
      <w:lvlJc w:val="left"/>
      <w:pPr>
        <w:ind w:left="1440" w:hanging="360"/>
      </w:pPr>
      <w:rPr>
        <w:rFonts w:ascii="Courier New" w:hAnsi="Courier New" w:cs="Times New Roman"/>
        <w:sz w:val="20"/>
      </w:r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86184895">
    <w:abstractNumId w:val="0"/>
  </w:num>
  <w:num w:numId="2" w16cid:durableId="3756670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193"/>
    <w:rsid w:val="00106B3B"/>
    <w:rsid w:val="001E2A39"/>
    <w:rsid w:val="004510A0"/>
    <w:rsid w:val="00737C61"/>
    <w:rsid w:val="00D64198"/>
    <w:rsid w:val="00D97BDD"/>
    <w:rsid w:val="00EE219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D2CBA15"/>
  <w15:docId w15:val="{98F50399-86E1-4996-AB99-E99B647A3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customStyle="1" w:styleId="s17">
    <w:name w:val="s17"/>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19">
    <w:name w:val="s19"/>
    <w:basedOn w:val="DefaultParagraphFont"/>
    <w:rsid w:val="00D64198"/>
  </w:style>
  <w:style w:type="paragraph" w:customStyle="1" w:styleId="s21">
    <w:name w:val="s21"/>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20">
    <w:name w:val="s20"/>
    <w:basedOn w:val="DefaultParagraphFont"/>
    <w:rsid w:val="00D64198"/>
  </w:style>
  <w:style w:type="paragraph" w:customStyle="1" w:styleId="s22">
    <w:name w:val="s22"/>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paragraph" w:customStyle="1" w:styleId="s24">
    <w:name w:val="s24"/>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bumpedfont15">
    <w:name w:val="bumpedfont15"/>
    <w:basedOn w:val="DefaultParagraphFont"/>
    <w:rsid w:val="00D64198"/>
  </w:style>
  <w:style w:type="paragraph" w:customStyle="1" w:styleId="s26">
    <w:name w:val="s26"/>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25">
    <w:name w:val="s25"/>
    <w:basedOn w:val="DefaultParagraphFont"/>
    <w:rsid w:val="00D64198"/>
  </w:style>
  <w:style w:type="paragraph" w:customStyle="1" w:styleId="s27">
    <w:name w:val="s27"/>
    <w:basedOn w:val="Normal"/>
    <w:rsid w:val="00D64198"/>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apple-converted-space">
    <w:name w:val="apple-converted-space"/>
    <w:basedOn w:val="DefaultParagraphFont"/>
    <w:rsid w:val="00D64198"/>
  </w:style>
  <w:style w:type="character" w:customStyle="1" w:styleId="s28">
    <w:name w:val="s28"/>
    <w:basedOn w:val="DefaultParagraphFont"/>
    <w:rsid w:val="00D64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47672">
      <w:bodyDiv w:val="1"/>
      <w:marLeft w:val="0"/>
      <w:marRight w:val="0"/>
      <w:marTop w:val="0"/>
      <w:marBottom w:val="0"/>
      <w:divBdr>
        <w:top w:val="none" w:sz="0" w:space="0" w:color="auto"/>
        <w:left w:val="none" w:sz="0" w:space="0" w:color="auto"/>
        <w:bottom w:val="none" w:sz="0" w:space="0" w:color="auto"/>
        <w:right w:val="none" w:sz="0" w:space="0" w:color="auto"/>
      </w:divBdr>
      <w:divsChild>
        <w:div w:id="390537913">
          <w:marLeft w:val="540"/>
          <w:marRight w:val="0"/>
          <w:marTop w:val="75"/>
          <w:marBottom w:val="75"/>
          <w:divBdr>
            <w:top w:val="none" w:sz="0" w:space="0" w:color="auto"/>
            <w:left w:val="none" w:sz="0" w:space="0" w:color="auto"/>
            <w:bottom w:val="none" w:sz="0" w:space="0" w:color="auto"/>
            <w:right w:val="none" w:sz="0" w:space="0" w:color="auto"/>
          </w:divBdr>
        </w:div>
        <w:div w:id="598635689">
          <w:marLeft w:val="540"/>
          <w:marRight w:val="0"/>
          <w:marTop w:val="75"/>
          <w:marBottom w:val="75"/>
          <w:divBdr>
            <w:top w:val="none" w:sz="0" w:space="0" w:color="auto"/>
            <w:left w:val="none" w:sz="0" w:space="0" w:color="auto"/>
            <w:bottom w:val="none" w:sz="0" w:space="0" w:color="auto"/>
            <w:right w:val="none" w:sz="0" w:space="0" w:color="auto"/>
          </w:divBdr>
        </w:div>
        <w:div w:id="335426970">
          <w:marLeft w:val="540"/>
          <w:marRight w:val="0"/>
          <w:marTop w:val="75"/>
          <w:marBottom w:val="75"/>
          <w:divBdr>
            <w:top w:val="none" w:sz="0" w:space="0" w:color="auto"/>
            <w:left w:val="none" w:sz="0" w:space="0" w:color="auto"/>
            <w:bottom w:val="none" w:sz="0" w:space="0" w:color="auto"/>
            <w:right w:val="none" w:sz="0" w:space="0" w:color="auto"/>
          </w:divBdr>
        </w:div>
        <w:div w:id="2140565523">
          <w:marLeft w:val="540"/>
          <w:marRight w:val="0"/>
          <w:marTop w:val="75"/>
          <w:marBottom w:val="75"/>
          <w:divBdr>
            <w:top w:val="none" w:sz="0" w:space="0" w:color="auto"/>
            <w:left w:val="none" w:sz="0" w:space="0" w:color="auto"/>
            <w:bottom w:val="none" w:sz="0" w:space="0" w:color="auto"/>
            <w:right w:val="none" w:sz="0" w:space="0" w:color="auto"/>
          </w:divBdr>
        </w:div>
        <w:div w:id="791172902">
          <w:marLeft w:val="540"/>
          <w:marRight w:val="0"/>
          <w:marTop w:val="75"/>
          <w:marBottom w:val="75"/>
          <w:divBdr>
            <w:top w:val="none" w:sz="0" w:space="0" w:color="auto"/>
            <w:left w:val="none" w:sz="0" w:space="0" w:color="auto"/>
            <w:bottom w:val="none" w:sz="0" w:space="0" w:color="auto"/>
            <w:right w:val="none" w:sz="0" w:space="0" w:color="auto"/>
          </w:divBdr>
        </w:div>
        <w:div w:id="1609434089">
          <w:marLeft w:val="540"/>
          <w:marRight w:val="0"/>
          <w:marTop w:val="75"/>
          <w:marBottom w:val="75"/>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1661</Words>
  <Characters>9469</Characters>
  <Application>Microsoft Office Word</Application>
  <DocSecurity>0</DocSecurity>
  <Lines>78</Lines>
  <Paragraphs>22</Paragraphs>
  <ScaleCrop>false</ScaleCrop>
  <Company/>
  <LinksUpToDate>false</LinksUpToDate>
  <CharactersWithSpaces>11108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Gabriel-Valentin Cojocaru (2440195)</dc:creator>
  <dc:description/>
  <cp:lastModifiedBy>Gabriel-Valentin Cojocaru (2440195)</cp:lastModifiedBy>
  <cp:revision>2</cp:revision>
  <dcterms:created xsi:type="dcterms:W3CDTF">2025-07-21T22:31:00Z</dcterms:created>
  <dcterms:modified xsi:type="dcterms:W3CDTF">2025-07-21T22:31:00Z</dcterms:modified>
</cp:coreProperties>
</file>