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9245C" w14:textId="77777777" w:rsidR="00F043FC" w:rsidRDefault="00F043FC" w:rsidP="00F043FC">
      <w:pPr>
        <w:rPr>
          <w:rFonts w:ascii="Arial" w:hAnsi="Arial" w:cs="Arial"/>
          <w:sz w:val="36"/>
          <w:szCs w:val="36"/>
        </w:rPr>
      </w:pPr>
      <w:r w:rsidRPr="00181665">
        <w:rPr>
          <w:rFonts w:ascii="Arial" w:hAnsi="Arial" w:cs="Arial"/>
          <w:sz w:val="36"/>
          <w:szCs w:val="36"/>
        </w:rPr>
        <w:t>Abbi Crocker</w:t>
      </w:r>
      <w:r>
        <w:rPr>
          <w:rFonts w:ascii="Arial" w:hAnsi="Arial" w:cs="Arial"/>
          <w:sz w:val="36"/>
          <w:szCs w:val="36"/>
        </w:rPr>
        <w:t xml:space="preserve">                                                 Student No. 1901489</w:t>
      </w:r>
    </w:p>
    <w:p w14:paraId="4DD4B097" w14:textId="77777777" w:rsidR="00F043FC" w:rsidRDefault="00F043FC" w:rsidP="00F043FC">
      <w:pPr>
        <w:rPr>
          <w:rFonts w:ascii="Arial" w:hAnsi="Arial" w:cs="Arial"/>
          <w:sz w:val="36"/>
          <w:szCs w:val="36"/>
        </w:rPr>
      </w:pPr>
    </w:p>
    <w:p w14:paraId="73878285" w14:textId="77777777" w:rsidR="00F043FC" w:rsidRDefault="00F043FC" w:rsidP="00F043FC">
      <w:pPr>
        <w:rPr>
          <w:rFonts w:ascii="Arial" w:hAnsi="Arial" w:cs="Arial"/>
          <w:sz w:val="36"/>
          <w:szCs w:val="36"/>
        </w:rPr>
      </w:pPr>
    </w:p>
    <w:p w14:paraId="30A71736" w14:textId="77777777" w:rsidR="00F043FC" w:rsidRDefault="00F043FC" w:rsidP="00F043FC">
      <w:pPr>
        <w:rPr>
          <w:rFonts w:ascii="Arial" w:hAnsi="Arial" w:cs="Arial"/>
          <w:sz w:val="36"/>
          <w:szCs w:val="36"/>
        </w:rPr>
      </w:pPr>
    </w:p>
    <w:p w14:paraId="153245DE" w14:textId="77777777" w:rsidR="00F043FC" w:rsidRDefault="00F043FC" w:rsidP="00F043FC">
      <w:pPr>
        <w:jc w:val="center"/>
        <w:rPr>
          <w:rFonts w:ascii="Arial" w:hAnsi="Arial" w:cs="Arial"/>
          <w:sz w:val="36"/>
          <w:szCs w:val="36"/>
        </w:rPr>
      </w:pPr>
    </w:p>
    <w:p w14:paraId="44AF018E" w14:textId="77777777" w:rsidR="00F043FC" w:rsidRDefault="00F043FC" w:rsidP="00F043FC">
      <w:pPr>
        <w:jc w:val="center"/>
        <w:rPr>
          <w:rFonts w:ascii="Arial" w:hAnsi="Arial" w:cs="Arial"/>
          <w:sz w:val="36"/>
          <w:szCs w:val="36"/>
        </w:rPr>
      </w:pPr>
    </w:p>
    <w:p w14:paraId="08DB8F5D" w14:textId="77777777" w:rsidR="00F043FC" w:rsidRDefault="00F043FC" w:rsidP="00F043FC">
      <w:pPr>
        <w:jc w:val="center"/>
        <w:rPr>
          <w:rFonts w:ascii="Arial" w:hAnsi="Arial" w:cs="Arial"/>
          <w:sz w:val="36"/>
          <w:szCs w:val="36"/>
        </w:rPr>
      </w:pPr>
    </w:p>
    <w:p w14:paraId="6A17900A" w14:textId="77777777" w:rsidR="00F043FC" w:rsidRDefault="00F043FC" w:rsidP="00F043FC">
      <w:pPr>
        <w:jc w:val="center"/>
        <w:rPr>
          <w:rFonts w:ascii="Arial" w:hAnsi="Arial" w:cs="Arial"/>
          <w:sz w:val="72"/>
          <w:szCs w:val="72"/>
        </w:rPr>
      </w:pPr>
      <w:r w:rsidRPr="00181665">
        <w:rPr>
          <w:rFonts w:ascii="Arial" w:hAnsi="Arial" w:cs="Arial"/>
          <w:sz w:val="72"/>
          <w:szCs w:val="72"/>
        </w:rPr>
        <w:t>Critically evaluate how the Criminal Justice System responds to victims of crime</w:t>
      </w:r>
    </w:p>
    <w:p w14:paraId="24FDC4BF" w14:textId="77777777" w:rsidR="00F043FC" w:rsidRDefault="00F043FC" w:rsidP="00F043FC">
      <w:pPr>
        <w:jc w:val="center"/>
        <w:rPr>
          <w:rFonts w:ascii="Arial" w:hAnsi="Arial" w:cs="Arial"/>
          <w:sz w:val="72"/>
          <w:szCs w:val="72"/>
        </w:rPr>
      </w:pPr>
    </w:p>
    <w:p w14:paraId="3671A98E" w14:textId="77777777" w:rsidR="00F043FC" w:rsidRDefault="00F043FC" w:rsidP="00F043FC">
      <w:pPr>
        <w:jc w:val="center"/>
        <w:rPr>
          <w:rFonts w:ascii="Arial" w:hAnsi="Arial" w:cs="Arial"/>
          <w:sz w:val="72"/>
          <w:szCs w:val="72"/>
        </w:rPr>
      </w:pPr>
    </w:p>
    <w:p w14:paraId="41828214" w14:textId="77777777" w:rsidR="00F043FC" w:rsidRDefault="00F043FC" w:rsidP="00F043FC">
      <w:pPr>
        <w:jc w:val="center"/>
        <w:rPr>
          <w:rFonts w:ascii="Arial" w:hAnsi="Arial" w:cs="Arial"/>
          <w:sz w:val="72"/>
          <w:szCs w:val="72"/>
        </w:rPr>
      </w:pPr>
    </w:p>
    <w:p w14:paraId="46C51CC5" w14:textId="77777777" w:rsidR="00F043FC" w:rsidRDefault="00F043FC" w:rsidP="00F043FC">
      <w:pPr>
        <w:jc w:val="center"/>
        <w:rPr>
          <w:rFonts w:ascii="Arial" w:hAnsi="Arial" w:cs="Arial"/>
          <w:sz w:val="72"/>
          <w:szCs w:val="72"/>
        </w:rPr>
      </w:pPr>
    </w:p>
    <w:p w14:paraId="12ED93CD" w14:textId="77777777" w:rsidR="00F043FC" w:rsidRDefault="00F043FC" w:rsidP="00F043FC">
      <w:pPr>
        <w:jc w:val="center"/>
        <w:rPr>
          <w:rFonts w:ascii="Arial" w:hAnsi="Arial" w:cs="Arial"/>
          <w:sz w:val="72"/>
          <w:szCs w:val="72"/>
        </w:rPr>
      </w:pPr>
    </w:p>
    <w:p w14:paraId="3F4BD7F8" w14:textId="77777777" w:rsidR="00F043FC" w:rsidRDefault="00F043FC" w:rsidP="00F043FC">
      <w:pPr>
        <w:jc w:val="center"/>
        <w:rPr>
          <w:rFonts w:ascii="Arial" w:hAnsi="Arial" w:cs="Arial"/>
          <w:sz w:val="72"/>
          <w:szCs w:val="72"/>
        </w:rPr>
      </w:pPr>
    </w:p>
    <w:p w14:paraId="5BA91D48" w14:textId="77777777" w:rsidR="00F043FC" w:rsidRDefault="00F043FC" w:rsidP="00F043FC">
      <w:pPr>
        <w:jc w:val="center"/>
        <w:rPr>
          <w:rFonts w:ascii="Arial" w:hAnsi="Arial" w:cs="Arial"/>
          <w:sz w:val="72"/>
          <w:szCs w:val="72"/>
        </w:rPr>
      </w:pPr>
    </w:p>
    <w:p w14:paraId="470D1EB7" w14:textId="77777777" w:rsidR="00C4547A" w:rsidRDefault="00F043FC" w:rsidP="00C4547A">
      <w:pPr>
        <w:jc w:val="center"/>
        <w:rPr>
          <w:rFonts w:ascii="Arial" w:hAnsi="Arial" w:cs="Arial"/>
          <w:sz w:val="52"/>
          <w:szCs w:val="52"/>
        </w:rPr>
      </w:pPr>
      <w:r w:rsidRPr="00181665">
        <w:rPr>
          <w:rFonts w:ascii="Arial" w:hAnsi="Arial" w:cs="Arial"/>
          <w:sz w:val="52"/>
          <w:szCs w:val="52"/>
        </w:rPr>
        <w:t>Vulnerability, Welfare and Risk (BMPL6007)</w:t>
      </w:r>
    </w:p>
    <w:p w14:paraId="3A8DE6E7" w14:textId="2F97AEA2" w:rsidR="00F043FC" w:rsidRPr="00D058FB" w:rsidRDefault="00C4547A" w:rsidP="00D058FB">
      <w:pPr>
        <w:spacing w:line="480" w:lineRule="auto"/>
        <w:rPr>
          <w:rFonts w:ascii="Arial" w:hAnsi="Arial" w:cs="Arial"/>
          <w:sz w:val="24"/>
          <w:szCs w:val="24"/>
        </w:rPr>
      </w:pPr>
      <w:r>
        <w:rPr>
          <w:rFonts w:ascii="Arial" w:hAnsi="Arial" w:cs="Arial"/>
          <w:sz w:val="24"/>
          <w:szCs w:val="24"/>
        </w:rPr>
        <w:lastRenderedPageBreak/>
        <w:t xml:space="preserve">          </w:t>
      </w:r>
      <w:r w:rsidR="00F043FC" w:rsidRPr="00D058FB">
        <w:rPr>
          <w:rFonts w:ascii="Arial" w:hAnsi="Arial" w:cs="Arial"/>
          <w:sz w:val="24"/>
          <w:szCs w:val="24"/>
        </w:rPr>
        <w:t>In the occurrence of a criminal offence, there is</w:t>
      </w:r>
      <w:r w:rsidRPr="00D058FB">
        <w:rPr>
          <w:rFonts w:ascii="Arial" w:hAnsi="Arial" w:cs="Arial"/>
          <w:sz w:val="24"/>
          <w:szCs w:val="24"/>
        </w:rPr>
        <w:t xml:space="preserve"> almost </w:t>
      </w:r>
      <w:r w:rsidR="00D058FB" w:rsidRPr="00D058FB">
        <w:rPr>
          <w:rFonts w:ascii="Arial" w:hAnsi="Arial" w:cs="Arial"/>
          <w:sz w:val="24"/>
          <w:szCs w:val="24"/>
        </w:rPr>
        <w:t xml:space="preserve">a </w:t>
      </w:r>
      <w:r w:rsidR="00F043FC" w:rsidRPr="00D058FB">
        <w:rPr>
          <w:rFonts w:ascii="Arial" w:hAnsi="Arial" w:cs="Arial"/>
          <w:sz w:val="24"/>
          <w:szCs w:val="24"/>
        </w:rPr>
        <w:t>guaranteed certainty that there will be at least one victim, and the recognition of victims is as paramount as the recognition of the perpetrator. The Criminal Justice System hold</w:t>
      </w:r>
      <w:r w:rsidR="00DD553F" w:rsidRPr="00D058FB">
        <w:rPr>
          <w:rFonts w:ascii="Arial" w:hAnsi="Arial" w:cs="Arial"/>
          <w:sz w:val="24"/>
          <w:szCs w:val="24"/>
        </w:rPr>
        <w:t>s</w:t>
      </w:r>
      <w:r w:rsidR="00F043FC" w:rsidRPr="00D058FB">
        <w:rPr>
          <w:rFonts w:ascii="Arial" w:hAnsi="Arial" w:cs="Arial"/>
          <w:sz w:val="24"/>
          <w:szCs w:val="24"/>
        </w:rPr>
        <w:t xml:space="preserve"> responsibility for providing justice for victims and appointing an appropriate sentence for criminal offenders, which provides a balance in the relevance of both victims and offenders (Garside, R, 2008). The Criminal Justice System contains four key classifications, which are law agencies, the courts, penal systems and crime prevention services. It works to provide a liable, adequate and most of all, fair justice process for all members of society (GOV.UK</w:t>
      </w:r>
      <w:r w:rsidR="007E61C2" w:rsidRPr="00D058FB">
        <w:rPr>
          <w:rFonts w:ascii="Arial" w:hAnsi="Arial" w:cs="Arial"/>
          <w:sz w:val="24"/>
          <w:szCs w:val="24"/>
        </w:rPr>
        <w:t>, 2021</w:t>
      </w:r>
      <w:r w:rsidR="00F043FC" w:rsidRPr="00D058FB">
        <w:rPr>
          <w:rFonts w:ascii="Arial" w:hAnsi="Arial" w:cs="Arial"/>
          <w:sz w:val="24"/>
          <w:szCs w:val="24"/>
        </w:rPr>
        <w:t>). Although victims in today’s society receive recognition and justice, before the discovery and movement of victimology, the importance of victims was obliterated.</w:t>
      </w:r>
      <w:r w:rsidR="007E61C2" w:rsidRPr="00D058FB">
        <w:rPr>
          <w:rFonts w:ascii="Arial" w:hAnsi="Arial" w:cs="Arial"/>
          <w:sz w:val="24"/>
          <w:szCs w:val="24"/>
        </w:rPr>
        <w:t xml:space="preserve"> Victimology has developed with the attributions of criminologists, feminist movement and victimology being recognised as its own topic in criminology.</w:t>
      </w:r>
      <w:r w:rsidR="00DA5139" w:rsidRPr="00D058FB">
        <w:rPr>
          <w:rFonts w:ascii="Arial" w:hAnsi="Arial" w:cs="Arial"/>
          <w:sz w:val="24"/>
          <w:szCs w:val="24"/>
        </w:rPr>
        <w:t xml:space="preserve"> The discovery of victimology is crucial to providing a fair and legal Criminal Justice System. </w:t>
      </w:r>
    </w:p>
    <w:p w14:paraId="6E3FA7E6" w14:textId="77777777" w:rsidR="00A430B8" w:rsidRPr="00D058FB" w:rsidRDefault="00A430B8" w:rsidP="00D058FB">
      <w:pPr>
        <w:spacing w:line="480" w:lineRule="auto"/>
        <w:rPr>
          <w:rFonts w:ascii="Arial" w:hAnsi="Arial" w:cs="Arial"/>
          <w:sz w:val="24"/>
          <w:szCs w:val="24"/>
        </w:rPr>
      </w:pPr>
    </w:p>
    <w:p w14:paraId="42DC0E58" w14:textId="305572F7" w:rsidR="00DD553F" w:rsidRPr="00D058FB" w:rsidRDefault="00C4547A" w:rsidP="00D058FB">
      <w:pPr>
        <w:spacing w:line="480" w:lineRule="auto"/>
        <w:rPr>
          <w:rFonts w:ascii="Arial" w:hAnsi="Arial" w:cs="Arial"/>
          <w:sz w:val="24"/>
          <w:szCs w:val="24"/>
        </w:rPr>
      </w:pPr>
      <w:r w:rsidRPr="00D058FB">
        <w:rPr>
          <w:rFonts w:ascii="Arial" w:hAnsi="Arial" w:cs="Arial"/>
          <w:sz w:val="24"/>
          <w:szCs w:val="24"/>
        </w:rPr>
        <w:t xml:space="preserve">          </w:t>
      </w:r>
      <w:r w:rsidR="005A4287" w:rsidRPr="00D058FB">
        <w:rPr>
          <w:rFonts w:ascii="Arial" w:hAnsi="Arial" w:cs="Arial"/>
          <w:sz w:val="24"/>
          <w:szCs w:val="24"/>
        </w:rPr>
        <w:t>Victimology is</w:t>
      </w:r>
      <w:r w:rsidR="00DC11A3" w:rsidRPr="00D058FB">
        <w:rPr>
          <w:rFonts w:ascii="Arial" w:hAnsi="Arial" w:cs="Arial"/>
          <w:sz w:val="24"/>
          <w:szCs w:val="24"/>
        </w:rPr>
        <w:t xml:space="preserve">, as illustrated by </w:t>
      </w:r>
      <w:proofErr w:type="spellStart"/>
      <w:r w:rsidR="00DC11A3" w:rsidRPr="00D058FB">
        <w:rPr>
          <w:rFonts w:ascii="Arial" w:hAnsi="Arial" w:cs="Arial"/>
          <w:sz w:val="24"/>
          <w:szCs w:val="24"/>
        </w:rPr>
        <w:t>Spalek</w:t>
      </w:r>
      <w:proofErr w:type="spellEnd"/>
      <w:r w:rsidR="00DC11A3" w:rsidRPr="00D058FB">
        <w:rPr>
          <w:rFonts w:ascii="Arial" w:hAnsi="Arial" w:cs="Arial"/>
          <w:sz w:val="24"/>
          <w:szCs w:val="24"/>
        </w:rPr>
        <w:t xml:space="preserve">, B (2016, p 3), “a broad area of study, encompassing theory, policy and practice”. </w:t>
      </w:r>
      <w:r w:rsidR="00DD553F" w:rsidRPr="00D058FB">
        <w:rPr>
          <w:rFonts w:ascii="Arial" w:hAnsi="Arial" w:cs="Arial"/>
          <w:sz w:val="24"/>
          <w:szCs w:val="24"/>
        </w:rPr>
        <w:t xml:space="preserve">The </w:t>
      </w:r>
      <w:r w:rsidR="006A5052" w:rsidRPr="00D058FB">
        <w:rPr>
          <w:rFonts w:ascii="Arial" w:hAnsi="Arial" w:cs="Arial"/>
          <w:sz w:val="24"/>
          <w:szCs w:val="24"/>
        </w:rPr>
        <w:t xml:space="preserve">purpose of </w:t>
      </w:r>
      <w:r w:rsidR="00DD553F" w:rsidRPr="00D058FB">
        <w:rPr>
          <w:rFonts w:ascii="Arial" w:hAnsi="Arial" w:cs="Arial"/>
          <w:sz w:val="24"/>
          <w:szCs w:val="24"/>
        </w:rPr>
        <w:t xml:space="preserve">victimology is to provide </w:t>
      </w:r>
      <w:r w:rsidR="006A5052" w:rsidRPr="00D058FB">
        <w:rPr>
          <w:rFonts w:ascii="Arial" w:hAnsi="Arial" w:cs="Arial"/>
          <w:sz w:val="24"/>
          <w:szCs w:val="24"/>
        </w:rPr>
        <w:t>an in-depth analysis of the reasons for which certain individuals are more prone to victimisation than others (</w:t>
      </w:r>
      <w:proofErr w:type="spellStart"/>
      <w:r w:rsidR="006A5052" w:rsidRPr="00D058FB">
        <w:rPr>
          <w:rFonts w:ascii="Arial" w:hAnsi="Arial" w:cs="Arial"/>
          <w:sz w:val="24"/>
          <w:szCs w:val="24"/>
        </w:rPr>
        <w:t>Spalek</w:t>
      </w:r>
      <w:proofErr w:type="spellEnd"/>
      <w:r w:rsidR="006A5052" w:rsidRPr="00D058FB">
        <w:rPr>
          <w:rFonts w:ascii="Arial" w:hAnsi="Arial" w:cs="Arial"/>
          <w:sz w:val="24"/>
          <w:szCs w:val="24"/>
        </w:rPr>
        <w:t xml:space="preserve">, B, 2016, p 3). </w:t>
      </w:r>
      <w:r w:rsidR="00DD553F" w:rsidRPr="00D058FB">
        <w:rPr>
          <w:rFonts w:ascii="Arial" w:hAnsi="Arial" w:cs="Arial"/>
          <w:sz w:val="24"/>
          <w:szCs w:val="24"/>
        </w:rPr>
        <w:t>However, a</w:t>
      </w:r>
      <w:r w:rsidR="005A4287" w:rsidRPr="00D058FB">
        <w:rPr>
          <w:rFonts w:ascii="Arial" w:hAnsi="Arial" w:cs="Arial"/>
          <w:sz w:val="24"/>
          <w:szCs w:val="24"/>
        </w:rPr>
        <w:t>lthough victimology has provided immense consideration for victims, it has also allowed a more thorough understanding of criminal offender behaviour (Wolfgang</w:t>
      </w:r>
      <w:r w:rsidR="00E1349D" w:rsidRPr="00D058FB">
        <w:rPr>
          <w:rFonts w:ascii="Arial" w:hAnsi="Arial" w:cs="Arial"/>
          <w:sz w:val="24"/>
          <w:szCs w:val="24"/>
        </w:rPr>
        <w:t xml:space="preserve"> and </w:t>
      </w:r>
      <w:proofErr w:type="spellStart"/>
      <w:r w:rsidR="00E1349D" w:rsidRPr="00D058FB">
        <w:rPr>
          <w:rFonts w:ascii="Arial" w:hAnsi="Arial" w:cs="Arial"/>
          <w:sz w:val="24"/>
          <w:szCs w:val="24"/>
        </w:rPr>
        <w:t>Sellin</w:t>
      </w:r>
      <w:proofErr w:type="spellEnd"/>
      <w:r w:rsidR="00E1349D" w:rsidRPr="00D058FB">
        <w:rPr>
          <w:rFonts w:ascii="Arial" w:hAnsi="Arial" w:cs="Arial"/>
          <w:sz w:val="24"/>
          <w:szCs w:val="24"/>
        </w:rPr>
        <w:t>, 2016</w:t>
      </w:r>
      <w:r w:rsidR="005A4287" w:rsidRPr="00D058FB">
        <w:rPr>
          <w:rFonts w:ascii="Arial" w:hAnsi="Arial" w:cs="Arial"/>
          <w:sz w:val="24"/>
          <w:szCs w:val="24"/>
        </w:rPr>
        <w:t xml:space="preserve">, p 3). </w:t>
      </w:r>
      <w:r w:rsidR="00E81277" w:rsidRPr="00D058FB">
        <w:rPr>
          <w:rFonts w:ascii="Arial" w:hAnsi="Arial" w:cs="Arial"/>
          <w:sz w:val="24"/>
          <w:szCs w:val="24"/>
        </w:rPr>
        <w:t xml:space="preserve">The historical development of victimology commenced from the studies from criminal lawyers and criminologists, and since the beginning of their studies, victimology has advanced in ways that provide today’s society with a lawful Criminal Justice System. </w:t>
      </w:r>
    </w:p>
    <w:p w14:paraId="7436755A" w14:textId="77777777" w:rsidR="001B798F" w:rsidRPr="00D058FB" w:rsidRDefault="001B798F" w:rsidP="00D058FB">
      <w:pPr>
        <w:spacing w:line="480" w:lineRule="auto"/>
        <w:rPr>
          <w:rFonts w:ascii="Arial" w:hAnsi="Arial" w:cs="Arial"/>
          <w:sz w:val="24"/>
          <w:szCs w:val="24"/>
        </w:rPr>
      </w:pPr>
    </w:p>
    <w:p w14:paraId="35452882" w14:textId="59549BB5" w:rsidR="005A4287" w:rsidRPr="00D058FB" w:rsidRDefault="00C4547A" w:rsidP="00D058FB">
      <w:pPr>
        <w:spacing w:line="480" w:lineRule="auto"/>
        <w:rPr>
          <w:rFonts w:ascii="Arial" w:hAnsi="Arial" w:cs="Arial"/>
          <w:sz w:val="24"/>
          <w:szCs w:val="24"/>
        </w:rPr>
      </w:pPr>
      <w:r w:rsidRPr="00D058FB">
        <w:rPr>
          <w:rFonts w:ascii="Arial" w:hAnsi="Arial" w:cs="Arial"/>
          <w:sz w:val="24"/>
          <w:szCs w:val="24"/>
        </w:rPr>
        <w:t xml:space="preserve">          </w:t>
      </w:r>
      <w:r w:rsidR="00DD553F" w:rsidRPr="00D058FB">
        <w:rPr>
          <w:rFonts w:ascii="Arial" w:hAnsi="Arial" w:cs="Arial"/>
          <w:sz w:val="24"/>
          <w:szCs w:val="24"/>
        </w:rPr>
        <w:t xml:space="preserve">The study of victimology originated in the 1930s and 1940s but had the initial interest of the manner in which victims collaborated with offenders (Wright, M. 1991, p27). </w:t>
      </w:r>
      <w:r w:rsidR="00E81277" w:rsidRPr="00D058FB">
        <w:rPr>
          <w:rFonts w:ascii="Arial" w:hAnsi="Arial" w:cs="Arial"/>
          <w:sz w:val="24"/>
          <w:szCs w:val="24"/>
        </w:rPr>
        <w:t xml:space="preserve">One of the earliest evolutions of victimology began in 1948, by Hans von </w:t>
      </w:r>
      <w:proofErr w:type="spellStart"/>
      <w:r w:rsidR="00E81277" w:rsidRPr="00D058FB">
        <w:rPr>
          <w:rFonts w:ascii="Arial" w:hAnsi="Arial" w:cs="Arial"/>
          <w:sz w:val="24"/>
          <w:szCs w:val="24"/>
        </w:rPr>
        <w:t>Hentig</w:t>
      </w:r>
      <w:proofErr w:type="spellEnd"/>
      <w:r w:rsidR="00FC2781" w:rsidRPr="00D058FB">
        <w:rPr>
          <w:rFonts w:ascii="Arial" w:hAnsi="Arial" w:cs="Arial"/>
          <w:sz w:val="24"/>
          <w:szCs w:val="24"/>
        </w:rPr>
        <w:t xml:space="preserve">, a German scholar. </w:t>
      </w:r>
      <w:r w:rsidR="007827F7" w:rsidRPr="00D058FB">
        <w:rPr>
          <w:rFonts w:ascii="Arial" w:hAnsi="Arial" w:cs="Arial"/>
          <w:sz w:val="24"/>
          <w:szCs w:val="24"/>
        </w:rPr>
        <w:t xml:space="preserve">The field study conducted by von </w:t>
      </w:r>
      <w:proofErr w:type="spellStart"/>
      <w:r w:rsidR="007827F7" w:rsidRPr="00D058FB">
        <w:rPr>
          <w:rFonts w:ascii="Arial" w:hAnsi="Arial" w:cs="Arial"/>
          <w:sz w:val="24"/>
          <w:szCs w:val="24"/>
        </w:rPr>
        <w:t>Hentig</w:t>
      </w:r>
      <w:proofErr w:type="spellEnd"/>
      <w:r w:rsidR="007C14F6" w:rsidRPr="00D058FB">
        <w:rPr>
          <w:rFonts w:ascii="Arial" w:hAnsi="Arial" w:cs="Arial"/>
          <w:sz w:val="24"/>
          <w:szCs w:val="24"/>
        </w:rPr>
        <w:t xml:space="preserve"> lead to the theory that victims could instigate victimisation</w:t>
      </w:r>
      <w:r w:rsidR="00CA5F5D" w:rsidRPr="00D058FB">
        <w:rPr>
          <w:rFonts w:ascii="Arial" w:hAnsi="Arial" w:cs="Arial"/>
          <w:sz w:val="24"/>
          <w:szCs w:val="24"/>
        </w:rPr>
        <w:t xml:space="preserve">, and that a victim could demonstrate certain characteristics which made them more prone to victimisation. </w:t>
      </w:r>
      <w:r w:rsidR="00FA783C" w:rsidRPr="00D058FB">
        <w:rPr>
          <w:rFonts w:ascii="Arial" w:hAnsi="Arial" w:cs="Arial"/>
          <w:sz w:val="24"/>
          <w:szCs w:val="24"/>
        </w:rPr>
        <w:lastRenderedPageBreak/>
        <w:t xml:space="preserve">Hans von </w:t>
      </w:r>
      <w:proofErr w:type="spellStart"/>
      <w:r w:rsidR="00FA783C" w:rsidRPr="00D058FB">
        <w:rPr>
          <w:rFonts w:ascii="Arial" w:hAnsi="Arial" w:cs="Arial"/>
          <w:sz w:val="24"/>
          <w:szCs w:val="24"/>
        </w:rPr>
        <w:t>Hentig</w:t>
      </w:r>
      <w:proofErr w:type="spellEnd"/>
      <w:r w:rsidR="00FA783C" w:rsidRPr="00D058FB">
        <w:rPr>
          <w:rFonts w:ascii="Arial" w:hAnsi="Arial" w:cs="Arial"/>
          <w:sz w:val="24"/>
          <w:szCs w:val="24"/>
        </w:rPr>
        <w:t xml:space="preserve"> analysed that there were thirteen predispositions that could arouse victimisation, some of which, according to </w:t>
      </w:r>
      <w:r w:rsidR="008A5EB3" w:rsidRPr="00D058FB">
        <w:rPr>
          <w:rFonts w:ascii="Arial" w:hAnsi="Arial" w:cs="Arial"/>
          <w:sz w:val="24"/>
          <w:szCs w:val="24"/>
        </w:rPr>
        <w:t xml:space="preserve">Fisher and Lab (2010, </w:t>
      </w:r>
      <w:r w:rsidR="00FA783C" w:rsidRPr="00D058FB">
        <w:rPr>
          <w:rFonts w:ascii="Arial" w:hAnsi="Arial" w:cs="Arial"/>
          <w:sz w:val="24"/>
          <w:szCs w:val="24"/>
        </w:rPr>
        <w:t xml:space="preserve">p </w:t>
      </w:r>
      <w:r w:rsidR="008A5EB3" w:rsidRPr="00D058FB">
        <w:rPr>
          <w:rFonts w:ascii="Arial" w:hAnsi="Arial" w:cs="Arial"/>
          <w:sz w:val="24"/>
          <w:szCs w:val="24"/>
        </w:rPr>
        <w:t>997</w:t>
      </w:r>
      <w:r w:rsidR="00FA783C" w:rsidRPr="00D058FB">
        <w:rPr>
          <w:rFonts w:ascii="Arial" w:hAnsi="Arial" w:cs="Arial"/>
          <w:sz w:val="24"/>
          <w:szCs w:val="24"/>
        </w:rPr>
        <w:t xml:space="preserve">) were “young persons, women, the elderly, immigrants, people with diminished mental capacities, </w:t>
      </w:r>
      <w:r w:rsidR="003D5483" w:rsidRPr="00D058FB">
        <w:rPr>
          <w:rFonts w:ascii="Arial" w:hAnsi="Arial" w:cs="Arial"/>
          <w:sz w:val="24"/>
          <w:szCs w:val="24"/>
        </w:rPr>
        <w:t xml:space="preserve">and </w:t>
      </w:r>
      <w:r w:rsidR="00FA783C" w:rsidRPr="00D058FB">
        <w:rPr>
          <w:rFonts w:ascii="Arial" w:hAnsi="Arial" w:cs="Arial"/>
          <w:sz w:val="24"/>
          <w:szCs w:val="24"/>
        </w:rPr>
        <w:t>wanton persons</w:t>
      </w:r>
      <w:r w:rsidR="003D5483" w:rsidRPr="00D058FB">
        <w:rPr>
          <w:rFonts w:ascii="Arial" w:hAnsi="Arial" w:cs="Arial"/>
          <w:sz w:val="24"/>
          <w:szCs w:val="24"/>
        </w:rPr>
        <w:t xml:space="preserve">”. </w:t>
      </w:r>
      <w:r w:rsidR="008A5EB3" w:rsidRPr="00D058FB">
        <w:rPr>
          <w:rFonts w:ascii="Arial" w:hAnsi="Arial" w:cs="Arial"/>
          <w:sz w:val="24"/>
          <w:szCs w:val="24"/>
        </w:rPr>
        <w:t xml:space="preserve">Von </w:t>
      </w:r>
      <w:proofErr w:type="spellStart"/>
      <w:r w:rsidR="008A5EB3" w:rsidRPr="00D058FB">
        <w:rPr>
          <w:rFonts w:ascii="Arial" w:hAnsi="Arial" w:cs="Arial"/>
          <w:sz w:val="24"/>
          <w:szCs w:val="24"/>
        </w:rPr>
        <w:t>Hentig</w:t>
      </w:r>
      <w:proofErr w:type="spellEnd"/>
      <w:r w:rsidR="008A5EB3" w:rsidRPr="00D058FB">
        <w:rPr>
          <w:rFonts w:ascii="Arial" w:hAnsi="Arial" w:cs="Arial"/>
          <w:sz w:val="24"/>
          <w:szCs w:val="24"/>
        </w:rPr>
        <w:t xml:space="preserve"> believed if an individual portrayed any of these characteristics, it would mean they are less capable to defend themselves from victimisation</w:t>
      </w:r>
      <w:r w:rsidR="001B798F" w:rsidRPr="00D058FB">
        <w:rPr>
          <w:rFonts w:ascii="Arial" w:hAnsi="Arial" w:cs="Arial"/>
          <w:sz w:val="24"/>
          <w:szCs w:val="24"/>
        </w:rPr>
        <w:t xml:space="preserve">. Hans von </w:t>
      </w:r>
      <w:proofErr w:type="spellStart"/>
      <w:r w:rsidR="001B798F" w:rsidRPr="00D058FB">
        <w:rPr>
          <w:rFonts w:ascii="Arial" w:hAnsi="Arial" w:cs="Arial"/>
          <w:sz w:val="24"/>
          <w:szCs w:val="24"/>
        </w:rPr>
        <w:t>Hentig’s</w:t>
      </w:r>
      <w:proofErr w:type="spellEnd"/>
      <w:r w:rsidR="001B798F" w:rsidRPr="00D058FB">
        <w:rPr>
          <w:rFonts w:ascii="Arial" w:hAnsi="Arial" w:cs="Arial"/>
          <w:sz w:val="24"/>
          <w:szCs w:val="24"/>
        </w:rPr>
        <w:t xml:space="preserve"> research </w:t>
      </w:r>
      <w:r w:rsidR="00D66D26" w:rsidRPr="00D058FB">
        <w:rPr>
          <w:rFonts w:ascii="Arial" w:hAnsi="Arial" w:cs="Arial"/>
          <w:sz w:val="24"/>
          <w:szCs w:val="24"/>
        </w:rPr>
        <w:t>assisted the identification of such individuals</w:t>
      </w:r>
      <w:r w:rsidR="00A216DB" w:rsidRPr="00D058FB">
        <w:rPr>
          <w:rFonts w:ascii="Arial" w:hAnsi="Arial" w:cs="Arial"/>
          <w:sz w:val="24"/>
          <w:szCs w:val="24"/>
        </w:rPr>
        <w:t xml:space="preserve">, </w:t>
      </w:r>
      <w:r w:rsidR="008A5EB3" w:rsidRPr="00D058FB">
        <w:rPr>
          <w:rFonts w:ascii="Arial" w:hAnsi="Arial" w:cs="Arial"/>
          <w:sz w:val="24"/>
          <w:szCs w:val="24"/>
        </w:rPr>
        <w:t xml:space="preserve">which in today’s terms would symbolise them as a vulnerable person. </w:t>
      </w:r>
      <w:r w:rsidR="00A216DB" w:rsidRPr="00D058FB">
        <w:rPr>
          <w:rFonts w:ascii="Arial" w:hAnsi="Arial" w:cs="Arial"/>
          <w:sz w:val="24"/>
          <w:szCs w:val="24"/>
        </w:rPr>
        <w:t xml:space="preserve">However it must be considered that during this time period, if an individual had any of these attributes, they would not be granted any means of protection of their vulnerability. </w:t>
      </w:r>
    </w:p>
    <w:p w14:paraId="1DE6630C" w14:textId="77777777" w:rsidR="00C4547A" w:rsidRPr="00D058FB" w:rsidRDefault="00C4547A" w:rsidP="00D058FB">
      <w:pPr>
        <w:spacing w:line="480" w:lineRule="auto"/>
        <w:rPr>
          <w:rFonts w:ascii="Arial" w:hAnsi="Arial" w:cs="Arial"/>
          <w:sz w:val="24"/>
          <w:szCs w:val="24"/>
        </w:rPr>
      </w:pPr>
    </w:p>
    <w:p w14:paraId="0032F3C9" w14:textId="262D9D86" w:rsidR="0042043F" w:rsidRPr="00D058FB" w:rsidRDefault="00C4547A" w:rsidP="00D058FB">
      <w:pPr>
        <w:spacing w:line="480" w:lineRule="auto"/>
        <w:rPr>
          <w:rFonts w:ascii="Arial" w:hAnsi="Arial" w:cs="Arial"/>
          <w:sz w:val="24"/>
          <w:szCs w:val="24"/>
        </w:rPr>
      </w:pPr>
      <w:r w:rsidRPr="00D058FB">
        <w:rPr>
          <w:rFonts w:ascii="Arial" w:hAnsi="Arial" w:cs="Arial"/>
          <w:sz w:val="24"/>
          <w:szCs w:val="24"/>
        </w:rPr>
        <w:t xml:space="preserve">          </w:t>
      </w:r>
      <w:r w:rsidR="00A216DB" w:rsidRPr="00D058FB">
        <w:rPr>
          <w:rFonts w:ascii="Arial" w:hAnsi="Arial" w:cs="Arial"/>
          <w:sz w:val="24"/>
          <w:szCs w:val="24"/>
        </w:rPr>
        <w:t xml:space="preserve">During the 1940s, specifically 1948, Marvin Wolfgang also carried out a field study in which he intended to </w:t>
      </w:r>
      <w:r w:rsidR="00766BE3" w:rsidRPr="00D058FB">
        <w:rPr>
          <w:rFonts w:ascii="Arial" w:hAnsi="Arial" w:cs="Arial"/>
          <w:sz w:val="24"/>
          <w:szCs w:val="24"/>
        </w:rPr>
        <w:t xml:space="preserve">identify the role that a victim plays in their own decease. Wolfgang interpreted information from a series of homicides which </w:t>
      </w:r>
      <w:r w:rsidR="00A430B8" w:rsidRPr="00D058FB">
        <w:rPr>
          <w:rFonts w:ascii="Arial" w:hAnsi="Arial" w:cs="Arial"/>
          <w:sz w:val="24"/>
          <w:szCs w:val="24"/>
        </w:rPr>
        <w:t xml:space="preserve">arose in Philadelphia between 1948 and 1952, which was later followed by the publication of his book ‘Patterns in Criminal Homicide’ in 1958 (Fisher and Lab, 2010, p 998). </w:t>
      </w:r>
      <w:r w:rsidR="009942B3" w:rsidRPr="00D058FB">
        <w:rPr>
          <w:rFonts w:ascii="Arial" w:hAnsi="Arial" w:cs="Arial"/>
          <w:sz w:val="24"/>
          <w:szCs w:val="24"/>
        </w:rPr>
        <w:t xml:space="preserve">From his study, Wolfgang concluded that 26% of the 588 homicides in Philadelphia were self-inflicted by the victim. </w:t>
      </w:r>
      <w:r w:rsidR="000F7A79" w:rsidRPr="00D058FB">
        <w:rPr>
          <w:rFonts w:ascii="Arial" w:hAnsi="Arial" w:cs="Arial"/>
          <w:sz w:val="24"/>
          <w:szCs w:val="24"/>
        </w:rPr>
        <w:t xml:space="preserve">Similar to the research of Hans von </w:t>
      </w:r>
      <w:proofErr w:type="spellStart"/>
      <w:r w:rsidR="000F7A79" w:rsidRPr="00D058FB">
        <w:rPr>
          <w:rFonts w:ascii="Arial" w:hAnsi="Arial" w:cs="Arial"/>
          <w:sz w:val="24"/>
          <w:szCs w:val="24"/>
        </w:rPr>
        <w:t>Hentig</w:t>
      </w:r>
      <w:proofErr w:type="spellEnd"/>
      <w:r w:rsidR="000F7A79" w:rsidRPr="00D058FB">
        <w:rPr>
          <w:rFonts w:ascii="Arial" w:hAnsi="Arial" w:cs="Arial"/>
          <w:sz w:val="24"/>
          <w:szCs w:val="24"/>
        </w:rPr>
        <w:t xml:space="preserve">, Wolfgang’s research findings created </w:t>
      </w:r>
      <w:r w:rsidR="008054D0" w:rsidRPr="00D058FB">
        <w:rPr>
          <w:rFonts w:ascii="Arial" w:hAnsi="Arial" w:cs="Arial"/>
          <w:sz w:val="24"/>
          <w:szCs w:val="24"/>
        </w:rPr>
        <w:t>the assumption that victims were whom to blame in the</w:t>
      </w:r>
      <w:r w:rsidR="00C50A0C" w:rsidRPr="00D058FB">
        <w:rPr>
          <w:rFonts w:ascii="Arial" w:hAnsi="Arial" w:cs="Arial"/>
          <w:sz w:val="24"/>
          <w:szCs w:val="24"/>
        </w:rPr>
        <w:t xml:space="preserve"> </w:t>
      </w:r>
      <w:r w:rsidR="00147448" w:rsidRPr="00D058FB">
        <w:rPr>
          <w:rFonts w:ascii="Arial" w:hAnsi="Arial" w:cs="Arial"/>
          <w:sz w:val="24"/>
          <w:szCs w:val="24"/>
        </w:rPr>
        <w:t>occurrence</w:t>
      </w:r>
      <w:r w:rsidR="008054D0" w:rsidRPr="00D058FB">
        <w:rPr>
          <w:rFonts w:ascii="Arial" w:hAnsi="Arial" w:cs="Arial"/>
          <w:sz w:val="24"/>
          <w:szCs w:val="24"/>
        </w:rPr>
        <w:t xml:space="preserve"> of a criminal offence</w:t>
      </w:r>
      <w:r w:rsidR="00843D71" w:rsidRPr="00D058FB">
        <w:rPr>
          <w:rFonts w:ascii="Arial" w:hAnsi="Arial" w:cs="Arial"/>
          <w:sz w:val="24"/>
          <w:szCs w:val="24"/>
        </w:rPr>
        <w:t xml:space="preserve">. </w:t>
      </w:r>
      <w:r w:rsidR="00C50A0C" w:rsidRPr="00D058FB">
        <w:rPr>
          <w:rFonts w:ascii="Arial" w:hAnsi="Arial" w:cs="Arial"/>
          <w:sz w:val="24"/>
          <w:szCs w:val="24"/>
        </w:rPr>
        <w:t xml:space="preserve">Wolfgang also studied a series of forcible rapes in Philadelphia, 646 in total, and arguably added that 19% of these were initiated by the victims as they retracted to the sexual performances that they earlier agreed to. </w:t>
      </w:r>
      <w:r w:rsidR="00766AAA" w:rsidRPr="00D058FB">
        <w:rPr>
          <w:rFonts w:ascii="Arial" w:hAnsi="Arial" w:cs="Arial"/>
          <w:sz w:val="24"/>
          <w:szCs w:val="24"/>
        </w:rPr>
        <w:t xml:space="preserve">Similar allegations were made against women in early modern England which proves that this was a worldwide concern. </w:t>
      </w:r>
      <w:r w:rsidR="00560891" w:rsidRPr="00D058FB">
        <w:rPr>
          <w:rFonts w:ascii="Arial" w:hAnsi="Arial" w:cs="Arial"/>
          <w:sz w:val="24"/>
          <w:szCs w:val="24"/>
        </w:rPr>
        <w:t xml:space="preserve">There is supporting evidence of this statement by </w:t>
      </w:r>
      <w:bookmarkStart w:id="0" w:name="_Hlk86780611"/>
      <w:r w:rsidR="00560891" w:rsidRPr="00D058FB">
        <w:rPr>
          <w:rFonts w:ascii="Arial" w:hAnsi="Arial" w:cs="Arial"/>
          <w:sz w:val="24"/>
          <w:szCs w:val="24"/>
        </w:rPr>
        <w:t xml:space="preserve">Kermode and Walker (1994, p 37) </w:t>
      </w:r>
      <w:bookmarkEnd w:id="0"/>
      <w:r w:rsidR="00560891" w:rsidRPr="00D058FB">
        <w:rPr>
          <w:rFonts w:ascii="Arial" w:hAnsi="Arial" w:cs="Arial"/>
          <w:sz w:val="24"/>
          <w:szCs w:val="24"/>
        </w:rPr>
        <w:t xml:space="preserve">as they </w:t>
      </w:r>
      <w:r w:rsidR="00D03796" w:rsidRPr="00D058FB">
        <w:rPr>
          <w:rFonts w:ascii="Arial" w:hAnsi="Arial" w:cs="Arial"/>
          <w:sz w:val="24"/>
          <w:szCs w:val="24"/>
        </w:rPr>
        <w:t>state,</w:t>
      </w:r>
      <w:r w:rsidR="00560891" w:rsidRPr="00D058FB">
        <w:rPr>
          <w:rFonts w:ascii="Arial" w:hAnsi="Arial" w:cs="Arial"/>
          <w:sz w:val="24"/>
          <w:szCs w:val="24"/>
        </w:rPr>
        <w:t xml:space="preserve"> “men regularly sued women for their attempts to fix sexual responsibility on them”, which is suggesting evidence that allegations made by women were overpowered by the actions of men, who for many years prior to the 21</w:t>
      </w:r>
      <w:r w:rsidR="00560891" w:rsidRPr="00D058FB">
        <w:rPr>
          <w:rFonts w:ascii="Arial" w:hAnsi="Arial" w:cs="Arial"/>
          <w:sz w:val="24"/>
          <w:szCs w:val="24"/>
          <w:vertAlign w:val="superscript"/>
        </w:rPr>
        <w:t>st</w:t>
      </w:r>
      <w:r w:rsidR="00560891" w:rsidRPr="00D058FB">
        <w:rPr>
          <w:rFonts w:ascii="Arial" w:hAnsi="Arial" w:cs="Arial"/>
          <w:sz w:val="24"/>
          <w:szCs w:val="24"/>
        </w:rPr>
        <w:t xml:space="preserve"> Century had higher levels of respect than women. </w:t>
      </w:r>
      <w:r w:rsidR="00D03796" w:rsidRPr="00D058FB">
        <w:rPr>
          <w:rFonts w:ascii="Arial" w:hAnsi="Arial" w:cs="Arial"/>
          <w:sz w:val="24"/>
          <w:szCs w:val="24"/>
        </w:rPr>
        <w:t xml:space="preserve">The imbalance in respect for men and women is also evidently proven by Kermode and Walker (1994, p 37) as they explain “the stories that man told about sex automatically received more credit than those of women”, which relates to Wolfgang’s belief that women were </w:t>
      </w:r>
      <w:r w:rsidR="00B36B6C" w:rsidRPr="00D058FB">
        <w:rPr>
          <w:rFonts w:ascii="Arial" w:hAnsi="Arial" w:cs="Arial"/>
          <w:sz w:val="24"/>
          <w:szCs w:val="24"/>
        </w:rPr>
        <w:t xml:space="preserve">responsible and could be blamed in the </w:t>
      </w:r>
      <w:r w:rsidR="00B36B6C" w:rsidRPr="00D058FB">
        <w:rPr>
          <w:rFonts w:ascii="Arial" w:hAnsi="Arial" w:cs="Arial"/>
          <w:sz w:val="24"/>
          <w:szCs w:val="24"/>
        </w:rPr>
        <w:lastRenderedPageBreak/>
        <w:t xml:space="preserve">occurrence of rape and sexual offences. </w:t>
      </w:r>
      <w:r w:rsidR="005625D7" w:rsidRPr="00D058FB">
        <w:rPr>
          <w:rFonts w:ascii="Arial" w:hAnsi="Arial" w:cs="Arial"/>
          <w:sz w:val="24"/>
          <w:szCs w:val="24"/>
        </w:rPr>
        <w:t xml:space="preserve">Wolfgang’s research was highly criticized by feminists due to women in England being labelled as “whores” and men </w:t>
      </w:r>
      <w:r w:rsidR="003B0147" w:rsidRPr="00D058FB">
        <w:rPr>
          <w:rFonts w:ascii="Arial" w:hAnsi="Arial" w:cs="Arial"/>
          <w:sz w:val="24"/>
          <w:szCs w:val="24"/>
        </w:rPr>
        <w:t xml:space="preserve">only spoke with courage for their own sexual conducts (Kermode and Walker, 1994, p 37). </w:t>
      </w:r>
    </w:p>
    <w:p w14:paraId="3F00E1F1" w14:textId="77777777" w:rsidR="00D75CE7" w:rsidRPr="00D058FB" w:rsidRDefault="00D75CE7" w:rsidP="00D058FB">
      <w:pPr>
        <w:spacing w:line="480" w:lineRule="auto"/>
        <w:rPr>
          <w:rFonts w:ascii="Arial" w:hAnsi="Arial" w:cs="Arial"/>
          <w:sz w:val="24"/>
          <w:szCs w:val="24"/>
        </w:rPr>
      </w:pPr>
    </w:p>
    <w:p w14:paraId="6F9AF172" w14:textId="60EE8E21" w:rsidR="00D75CE7" w:rsidRPr="00D058FB" w:rsidRDefault="00D75CE7" w:rsidP="00D058FB">
      <w:pPr>
        <w:spacing w:line="480" w:lineRule="auto"/>
        <w:rPr>
          <w:rFonts w:ascii="Arial" w:hAnsi="Arial" w:cs="Arial"/>
          <w:sz w:val="24"/>
          <w:szCs w:val="24"/>
        </w:rPr>
      </w:pPr>
      <w:r w:rsidRPr="00D058FB">
        <w:rPr>
          <w:rFonts w:ascii="Arial" w:hAnsi="Arial" w:cs="Arial"/>
          <w:sz w:val="24"/>
          <w:szCs w:val="24"/>
        </w:rPr>
        <w:t xml:space="preserve">          In line with the work carried out by Marvin Wolfgang and Hans von </w:t>
      </w:r>
      <w:proofErr w:type="spellStart"/>
      <w:r w:rsidRPr="00D058FB">
        <w:rPr>
          <w:rFonts w:ascii="Arial" w:hAnsi="Arial" w:cs="Arial"/>
          <w:sz w:val="24"/>
          <w:szCs w:val="24"/>
        </w:rPr>
        <w:t>Hentig</w:t>
      </w:r>
      <w:proofErr w:type="spellEnd"/>
      <w:r w:rsidRPr="00D058FB">
        <w:rPr>
          <w:rFonts w:ascii="Arial" w:hAnsi="Arial" w:cs="Arial"/>
          <w:sz w:val="24"/>
          <w:szCs w:val="24"/>
        </w:rPr>
        <w:t>, the Criminal Justice System have now made huge advances to recognising the importance of victims and supporting their needs. As stated by the Criminal Justice Joint Inspection (2015, p 4) “victims of criminal conduct are entitled to a range of services from organisations in the criminal justice system”. </w:t>
      </w:r>
      <w:r w:rsidRPr="00D058FB">
        <w:rPr>
          <w:rFonts w:ascii="Arial" w:hAnsi="Arial" w:cs="Arial"/>
          <w:sz w:val="24"/>
          <w:szCs w:val="24"/>
        </w:rPr>
        <w:t xml:space="preserve">The work by these historical criminologists has been used effectively to create a recognition and consideration, and evidently suggest that actually, victims are just as important, if not more important than the criminal offenders. </w:t>
      </w:r>
    </w:p>
    <w:p w14:paraId="51ED5F26" w14:textId="56F109BA" w:rsidR="005E3826" w:rsidRPr="00D058FB" w:rsidRDefault="005E3826" w:rsidP="00D058FB">
      <w:pPr>
        <w:spacing w:line="480" w:lineRule="auto"/>
        <w:rPr>
          <w:rFonts w:ascii="Arial" w:hAnsi="Arial" w:cs="Arial"/>
          <w:sz w:val="24"/>
          <w:szCs w:val="24"/>
        </w:rPr>
      </w:pPr>
    </w:p>
    <w:p w14:paraId="6D5C5491" w14:textId="2B24309E" w:rsidR="003B4856" w:rsidRPr="00D058FB" w:rsidRDefault="00C4547A" w:rsidP="00D058FB">
      <w:pPr>
        <w:spacing w:line="480" w:lineRule="auto"/>
        <w:rPr>
          <w:rFonts w:ascii="Arial" w:hAnsi="Arial" w:cs="Arial"/>
          <w:sz w:val="24"/>
          <w:szCs w:val="24"/>
        </w:rPr>
      </w:pPr>
      <w:r w:rsidRPr="00D058FB">
        <w:rPr>
          <w:rFonts w:ascii="Arial" w:hAnsi="Arial" w:cs="Arial"/>
          <w:sz w:val="24"/>
          <w:szCs w:val="24"/>
        </w:rPr>
        <w:t xml:space="preserve">          </w:t>
      </w:r>
      <w:r w:rsidR="007A2C83" w:rsidRPr="00D058FB">
        <w:rPr>
          <w:rFonts w:ascii="Arial" w:hAnsi="Arial" w:cs="Arial"/>
          <w:sz w:val="24"/>
          <w:szCs w:val="24"/>
        </w:rPr>
        <w:t xml:space="preserve">During the recent movement of victimology, the Victims’ Code </w:t>
      </w:r>
      <w:r w:rsidR="00AF35D6" w:rsidRPr="00D058FB">
        <w:rPr>
          <w:rFonts w:ascii="Arial" w:hAnsi="Arial" w:cs="Arial"/>
          <w:sz w:val="24"/>
          <w:szCs w:val="24"/>
        </w:rPr>
        <w:t xml:space="preserve">2015 </w:t>
      </w:r>
      <w:r w:rsidR="007A2C83" w:rsidRPr="00D058FB">
        <w:rPr>
          <w:rFonts w:ascii="Arial" w:hAnsi="Arial" w:cs="Arial"/>
          <w:sz w:val="24"/>
          <w:szCs w:val="24"/>
        </w:rPr>
        <w:t xml:space="preserve">was introduced which </w:t>
      </w:r>
      <w:r w:rsidR="008509D7" w:rsidRPr="00D058FB">
        <w:rPr>
          <w:rFonts w:ascii="Arial" w:hAnsi="Arial" w:cs="Arial"/>
          <w:sz w:val="24"/>
          <w:szCs w:val="24"/>
        </w:rPr>
        <w:t xml:space="preserve">is a code of statutory requirements and of the rights of victims that they should be granted with if they become a victim of crime (Ministry of Justice, 2020). </w:t>
      </w:r>
      <w:r w:rsidR="00D058DF" w:rsidRPr="00D058FB">
        <w:rPr>
          <w:rFonts w:ascii="Arial" w:hAnsi="Arial" w:cs="Arial"/>
          <w:sz w:val="24"/>
          <w:szCs w:val="24"/>
        </w:rPr>
        <w:t xml:space="preserve">This is the most crucial document when a crime is reported and a victim is created. </w:t>
      </w:r>
      <w:r w:rsidR="00803039" w:rsidRPr="00D058FB">
        <w:rPr>
          <w:rFonts w:ascii="Arial" w:hAnsi="Arial" w:cs="Arial"/>
          <w:sz w:val="24"/>
          <w:szCs w:val="24"/>
        </w:rPr>
        <w:t xml:space="preserve">The Victims’ Code defines a ‘victim’ as “a person </w:t>
      </w:r>
      <w:r w:rsidR="00803039" w:rsidRPr="00D058FB">
        <w:rPr>
          <w:rFonts w:ascii="Arial" w:hAnsi="Arial" w:cs="Arial"/>
          <w:sz w:val="24"/>
          <w:szCs w:val="24"/>
        </w:rPr>
        <w:t>who has suffered harm, including physical, mental or emotional harm or economic loss which was directly caused by a criminal offence</w:t>
      </w:r>
      <w:r w:rsidR="00803039" w:rsidRPr="00D058FB">
        <w:rPr>
          <w:rFonts w:ascii="Arial" w:hAnsi="Arial" w:cs="Arial"/>
          <w:sz w:val="24"/>
          <w:szCs w:val="24"/>
        </w:rPr>
        <w:t xml:space="preserve">” or “a close relative </w:t>
      </w:r>
      <w:r w:rsidR="00803039" w:rsidRPr="00D058FB">
        <w:rPr>
          <w:rFonts w:ascii="Arial" w:hAnsi="Arial" w:cs="Arial"/>
          <w:sz w:val="24"/>
          <w:szCs w:val="24"/>
        </w:rPr>
        <w:t>(or a nominated family spokesperson) of a person whose death was directly caused by a criminal offence</w:t>
      </w:r>
      <w:r w:rsidR="00803039" w:rsidRPr="00D058FB">
        <w:rPr>
          <w:rFonts w:ascii="Arial" w:hAnsi="Arial" w:cs="Arial"/>
          <w:sz w:val="24"/>
          <w:szCs w:val="24"/>
        </w:rPr>
        <w:t>”, contrary to the Ministry of Justice (2020, p 3). This in itself</w:t>
      </w:r>
      <w:r w:rsidR="00897520" w:rsidRPr="00D058FB">
        <w:rPr>
          <w:rFonts w:ascii="Arial" w:hAnsi="Arial" w:cs="Arial"/>
          <w:sz w:val="24"/>
          <w:szCs w:val="24"/>
        </w:rPr>
        <w:t xml:space="preserve"> is a satisfactory response to victims</w:t>
      </w:r>
      <w:r w:rsidR="00803039" w:rsidRPr="00D058FB">
        <w:rPr>
          <w:rFonts w:ascii="Arial" w:hAnsi="Arial" w:cs="Arial"/>
          <w:sz w:val="24"/>
          <w:szCs w:val="24"/>
        </w:rPr>
        <w:t xml:space="preserve"> </w:t>
      </w:r>
      <w:r w:rsidR="00897520" w:rsidRPr="00D058FB">
        <w:rPr>
          <w:rFonts w:ascii="Arial" w:hAnsi="Arial" w:cs="Arial"/>
          <w:sz w:val="24"/>
          <w:szCs w:val="24"/>
        </w:rPr>
        <w:t xml:space="preserve">as the Ministry of Justice </w:t>
      </w:r>
      <w:r w:rsidR="00803039" w:rsidRPr="00D058FB">
        <w:rPr>
          <w:rFonts w:ascii="Arial" w:hAnsi="Arial" w:cs="Arial"/>
          <w:sz w:val="24"/>
          <w:szCs w:val="24"/>
        </w:rPr>
        <w:t xml:space="preserve">recognises that victims are not only those affected directly from the offence itself, </w:t>
      </w:r>
      <w:r w:rsidR="00897520" w:rsidRPr="00D058FB">
        <w:rPr>
          <w:rFonts w:ascii="Arial" w:hAnsi="Arial" w:cs="Arial"/>
          <w:sz w:val="24"/>
          <w:szCs w:val="24"/>
        </w:rPr>
        <w:t xml:space="preserve">but also those who are closely related to this individual. </w:t>
      </w:r>
      <w:r w:rsidR="003B4856" w:rsidRPr="00D058FB">
        <w:rPr>
          <w:rFonts w:ascii="Arial" w:hAnsi="Arial" w:cs="Arial"/>
          <w:sz w:val="24"/>
          <w:szCs w:val="24"/>
        </w:rPr>
        <w:t>The Victims Code 2015 also recognises victims of the most serious crime and protects them with enhanced rights. This is applicable</w:t>
      </w:r>
      <w:r w:rsidR="00E7786B" w:rsidRPr="00D058FB">
        <w:rPr>
          <w:rFonts w:ascii="Arial" w:hAnsi="Arial" w:cs="Arial"/>
          <w:sz w:val="24"/>
          <w:szCs w:val="24"/>
        </w:rPr>
        <w:t xml:space="preserve"> “</w:t>
      </w:r>
      <w:r w:rsidR="00E7786B" w:rsidRPr="00D058FB">
        <w:rPr>
          <w:rFonts w:ascii="Arial" w:hAnsi="Arial" w:cs="Arial"/>
          <w:sz w:val="24"/>
          <w:szCs w:val="24"/>
        </w:rPr>
        <w:t>if you are a close relative bereaved by a criminal offence, a victim of domestic abuse, hate crime, terrorism, sexual offences, human trafficking, modern slavery, attempted murder, kidnap, false imprisonment, arson with intent to endanger life and wounding or causing grievous bodily harm with intent</w:t>
      </w:r>
      <w:r w:rsidR="00E7786B" w:rsidRPr="00D058FB">
        <w:rPr>
          <w:rFonts w:ascii="Arial" w:hAnsi="Arial" w:cs="Arial"/>
          <w:sz w:val="24"/>
          <w:szCs w:val="24"/>
        </w:rPr>
        <w:t xml:space="preserve">” as explained by the Ministry of Justice (2020, p 11). </w:t>
      </w:r>
    </w:p>
    <w:p w14:paraId="416C3587" w14:textId="20EB4042" w:rsidR="00AF35D6" w:rsidRPr="00D058FB" w:rsidRDefault="00E7786B" w:rsidP="00D058FB">
      <w:pPr>
        <w:spacing w:line="480" w:lineRule="auto"/>
        <w:rPr>
          <w:rFonts w:ascii="Arial" w:hAnsi="Arial" w:cs="Arial"/>
          <w:sz w:val="24"/>
          <w:szCs w:val="24"/>
        </w:rPr>
      </w:pPr>
      <w:r w:rsidRPr="00D058FB">
        <w:rPr>
          <w:rFonts w:ascii="Arial" w:hAnsi="Arial" w:cs="Arial"/>
          <w:sz w:val="24"/>
          <w:szCs w:val="24"/>
        </w:rPr>
        <w:lastRenderedPageBreak/>
        <w:t xml:space="preserve">            </w:t>
      </w:r>
      <w:r w:rsidR="00AF35D6" w:rsidRPr="00D058FB">
        <w:rPr>
          <w:rFonts w:ascii="Arial" w:hAnsi="Arial" w:cs="Arial"/>
          <w:sz w:val="24"/>
          <w:szCs w:val="24"/>
        </w:rPr>
        <w:t xml:space="preserve">However, the alternation of the Victims’ Code 2015 has the possible cause for an additional cost made to the Police and the Police and Crime Commissioners, which would be considered an implication. The reasons for this being the broadened definition of who is classed as a ‘victim’ may result in more people requiring the support that is given to victims, resulting in more resources required leading to additional costs (Ministry of Justice, 2015). </w:t>
      </w:r>
    </w:p>
    <w:p w14:paraId="06AA24A1" w14:textId="4DFD52CA" w:rsidR="00C4547A" w:rsidRPr="00D058FB" w:rsidRDefault="00C4547A" w:rsidP="00D058FB">
      <w:pPr>
        <w:spacing w:line="480" w:lineRule="auto"/>
        <w:rPr>
          <w:rFonts w:ascii="Arial" w:hAnsi="Arial" w:cs="Arial"/>
          <w:sz w:val="24"/>
          <w:szCs w:val="24"/>
        </w:rPr>
      </w:pPr>
    </w:p>
    <w:p w14:paraId="0A5DE913" w14:textId="27E52554" w:rsidR="00987E7D" w:rsidRPr="00D058FB" w:rsidRDefault="00987E7D" w:rsidP="00D058FB">
      <w:pPr>
        <w:spacing w:line="480" w:lineRule="auto"/>
        <w:rPr>
          <w:rFonts w:ascii="Arial" w:hAnsi="Arial" w:cs="Arial"/>
          <w:sz w:val="24"/>
          <w:szCs w:val="24"/>
        </w:rPr>
      </w:pPr>
      <w:r w:rsidRPr="00D058FB">
        <w:rPr>
          <w:rFonts w:ascii="Arial" w:hAnsi="Arial" w:cs="Arial"/>
          <w:sz w:val="24"/>
          <w:szCs w:val="24"/>
        </w:rPr>
        <w:t xml:space="preserve">          One of the ways in which the Criminal Justice System responds to victims is by providing them with adequate services which they are entitled to receive under the Victims’ Code 2015. </w:t>
      </w:r>
      <w:r w:rsidR="00D058DF" w:rsidRPr="00D058FB">
        <w:rPr>
          <w:rFonts w:ascii="Arial" w:hAnsi="Arial" w:cs="Arial"/>
          <w:sz w:val="24"/>
          <w:szCs w:val="24"/>
        </w:rPr>
        <w:t xml:space="preserve">An advance made from the developments in victimology is the creation of services </w:t>
      </w:r>
      <w:r w:rsidR="008C551B" w:rsidRPr="00D058FB">
        <w:rPr>
          <w:rFonts w:ascii="Arial" w:hAnsi="Arial" w:cs="Arial"/>
          <w:sz w:val="24"/>
          <w:szCs w:val="24"/>
        </w:rPr>
        <w:t xml:space="preserve">who are </w:t>
      </w:r>
      <w:r w:rsidR="00D058DF" w:rsidRPr="00D058FB">
        <w:rPr>
          <w:rFonts w:ascii="Arial" w:hAnsi="Arial" w:cs="Arial"/>
          <w:sz w:val="24"/>
          <w:szCs w:val="24"/>
        </w:rPr>
        <w:t>dedicated to providing support to victims. An example of this is Victim Support UK, who are an individual charity who hold dedication to providing specialist services to victims of crime and traumatic experiences in England and Wales (Victim Support, 2021)</w:t>
      </w:r>
      <w:r w:rsidR="00EB1C72" w:rsidRPr="00D058FB">
        <w:rPr>
          <w:rFonts w:ascii="Arial" w:hAnsi="Arial" w:cs="Arial"/>
          <w:sz w:val="24"/>
          <w:szCs w:val="24"/>
        </w:rPr>
        <w:t xml:space="preserve">. </w:t>
      </w:r>
      <w:r w:rsidR="006B0116" w:rsidRPr="00D058FB">
        <w:rPr>
          <w:rFonts w:ascii="Arial" w:hAnsi="Arial" w:cs="Arial"/>
          <w:sz w:val="24"/>
          <w:szCs w:val="24"/>
        </w:rPr>
        <w:t>As stated by Victim Support (2021) “o</w:t>
      </w:r>
      <w:r w:rsidR="006B0116" w:rsidRPr="00D058FB">
        <w:rPr>
          <w:rFonts w:ascii="Arial" w:hAnsi="Arial" w:cs="Arial"/>
          <w:sz w:val="24"/>
          <w:szCs w:val="24"/>
        </w:rPr>
        <w:t>ur services help people affected by all types of crime and we provide free confidential support 24 hours a day, 365 days a year for people affected by crime and traumatic events</w:t>
      </w:r>
      <w:r w:rsidR="006B0116" w:rsidRPr="00D058FB">
        <w:rPr>
          <w:rFonts w:ascii="Arial" w:hAnsi="Arial" w:cs="Arial"/>
          <w:sz w:val="24"/>
          <w:szCs w:val="24"/>
        </w:rPr>
        <w:t xml:space="preserve">”, which is an example of the work they carry out and how it can help victims of crime. Victim Support UK also offers a variety of services contrary to the type of crime the victim has been effected by. It is understood that different crimes can impact victims in different ways, because some are more serious than others such as sexual assault, rape and murder. </w:t>
      </w:r>
      <w:r w:rsidR="003C693C" w:rsidRPr="00D058FB">
        <w:rPr>
          <w:rFonts w:ascii="Arial" w:hAnsi="Arial" w:cs="Arial"/>
          <w:sz w:val="24"/>
          <w:szCs w:val="24"/>
        </w:rPr>
        <w:t xml:space="preserve">This is also another way in which the Criminal Justice System recognises victims, as they now recognise victims of the most serious crimes. </w:t>
      </w:r>
    </w:p>
    <w:p w14:paraId="0F5FAE5B" w14:textId="3A95D45A" w:rsidR="002626FE" w:rsidRPr="00D058FB" w:rsidRDefault="002626FE" w:rsidP="00D058FB">
      <w:pPr>
        <w:spacing w:line="480" w:lineRule="auto"/>
        <w:rPr>
          <w:rFonts w:ascii="Arial" w:hAnsi="Arial" w:cs="Arial"/>
          <w:sz w:val="24"/>
          <w:szCs w:val="24"/>
        </w:rPr>
      </w:pPr>
    </w:p>
    <w:p w14:paraId="210056B7" w14:textId="77777777" w:rsidR="008C551B" w:rsidRPr="00D058FB" w:rsidRDefault="008C551B" w:rsidP="00D058FB">
      <w:pPr>
        <w:spacing w:line="480" w:lineRule="auto"/>
        <w:rPr>
          <w:rFonts w:ascii="Arial" w:hAnsi="Arial" w:cs="Arial"/>
          <w:sz w:val="24"/>
          <w:szCs w:val="24"/>
        </w:rPr>
      </w:pPr>
    </w:p>
    <w:p w14:paraId="06C2E43E" w14:textId="77777777" w:rsidR="004321D7" w:rsidRPr="00D058FB" w:rsidRDefault="00C4547A" w:rsidP="00D058FB">
      <w:pPr>
        <w:spacing w:line="480" w:lineRule="auto"/>
        <w:rPr>
          <w:rFonts w:ascii="Arial" w:hAnsi="Arial" w:cs="Arial"/>
          <w:sz w:val="24"/>
          <w:szCs w:val="24"/>
        </w:rPr>
      </w:pPr>
      <w:r w:rsidRPr="00D058FB">
        <w:rPr>
          <w:rFonts w:ascii="Arial" w:hAnsi="Arial" w:cs="Arial"/>
          <w:sz w:val="24"/>
          <w:szCs w:val="24"/>
        </w:rPr>
        <w:t xml:space="preserve">          </w:t>
      </w:r>
      <w:r w:rsidR="0042043F" w:rsidRPr="00D058FB">
        <w:rPr>
          <w:rFonts w:ascii="Arial" w:hAnsi="Arial" w:cs="Arial"/>
          <w:sz w:val="24"/>
          <w:szCs w:val="24"/>
        </w:rPr>
        <w:t xml:space="preserve">A key area of which the Criminal Justice System responds to victims is recognising their vulnerability, which demonstrates how the research findings </w:t>
      </w:r>
      <w:r w:rsidR="005E3826" w:rsidRPr="00D058FB">
        <w:rPr>
          <w:rFonts w:ascii="Arial" w:hAnsi="Arial" w:cs="Arial"/>
          <w:sz w:val="24"/>
          <w:szCs w:val="24"/>
        </w:rPr>
        <w:t xml:space="preserve">Hans von </w:t>
      </w:r>
      <w:proofErr w:type="spellStart"/>
      <w:r w:rsidR="005E3826" w:rsidRPr="00D058FB">
        <w:rPr>
          <w:rFonts w:ascii="Arial" w:hAnsi="Arial" w:cs="Arial"/>
          <w:sz w:val="24"/>
          <w:szCs w:val="24"/>
        </w:rPr>
        <w:t>Hentig</w:t>
      </w:r>
      <w:proofErr w:type="spellEnd"/>
      <w:r w:rsidR="005E3826" w:rsidRPr="00D058FB">
        <w:rPr>
          <w:rFonts w:ascii="Arial" w:hAnsi="Arial" w:cs="Arial"/>
          <w:sz w:val="24"/>
          <w:szCs w:val="24"/>
        </w:rPr>
        <w:t xml:space="preserve"> </w:t>
      </w:r>
      <w:r w:rsidR="0042043F" w:rsidRPr="00D058FB">
        <w:rPr>
          <w:rFonts w:ascii="Arial" w:hAnsi="Arial" w:cs="Arial"/>
          <w:sz w:val="24"/>
          <w:szCs w:val="24"/>
        </w:rPr>
        <w:t>have been developed. Nowadays, in substitute for blaming vulnerable victims, the characteristics that contribute to their vulnerability are protected. </w:t>
      </w:r>
      <w:r w:rsidR="008733A5" w:rsidRPr="00D058FB">
        <w:rPr>
          <w:rFonts w:ascii="Arial" w:hAnsi="Arial" w:cs="Arial"/>
          <w:sz w:val="24"/>
          <w:szCs w:val="24"/>
        </w:rPr>
        <w:t xml:space="preserve">Vulnerability is one of the most important areas in </w:t>
      </w:r>
      <w:r w:rsidR="008733A5" w:rsidRPr="00D058FB">
        <w:rPr>
          <w:rFonts w:ascii="Arial" w:hAnsi="Arial" w:cs="Arial"/>
          <w:sz w:val="24"/>
          <w:szCs w:val="24"/>
        </w:rPr>
        <w:lastRenderedPageBreak/>
        <w:t>victimology, as some individuals are more prone to victimisation than others, but this is something they should be protected for rather than blamed for.</w:t>
      </w:r>
      <w:r w:rsidR="00440E3E" w:rsidRPr="00D058FB">
        <w:rPr>
          <w:rFonts w:ascii="Arial" w:hAnsi="Arial" w:cs="Arial"/>
          <w:sz w:val="24"/>
          <w:szCs w:val="24"/>
        </w:rPr>
        <w:t xml:space="preserve"> </w:t>
      </w:r>
      <w:r w:rsidR="003B4856" w:rsidRPr="00D058FB">
        <w:rPr>
          <w:rFonts w:ascii="Arial" w:hAnsi="Arial" w:cs="Arial"/>
          <w:sz w:val="24"/>
          <w:szCs w:val="24"/>
        </w:rPr>
        <w:t>There are a range of characteristics that can contribute to the declaration of a ‘vulnerable’ person. This can range from</w:t>
      </w:r>
      <w:r w:rsidR="00585DCB" w:rsidRPr="00D058FB">
        <w:rPr>
          <w:rFonts w:ascii="Arial" w:hAnsi="Arial" w:cs="Arial"/>
          <w:sz w:val="24"/>
          <w:szCs w:val="24"/>
        </w:rPr>
        <w:t xml:space="preserve"> their age, minority group and gender, which is supported by </w:t>
      </w:r>
      <w:proofErr w:type="spellStart"/>
      <w:r w:rsidR="00585DCB" w:rsidRPr="00D058FB">
        <w:rPr>
          <w:rFonts w:ascii="Arial" w:hAnsi="Arial" w:cs="Arial"/>
          <w:sz w:val="24"/>
          <w:szCs w:val="24"/>
        </w:rPr>
        <w:t>Blackstones</w:t>
      </w:r>
      <w:proofErr w:type="spellEnd"/>
      <w:r w:rsidR="00585DCB" w:rsidRPr="00D058FB">
        <w:rPr>
          <w:rFonts w:ascii="Arial" w:hAnsi="Arial" w:cs="Arial"/>
          <w:sz w:val="24"/>
          <w:szCs w:val="24"/>
        </w:rPr>
        <w:t xml:space="preserve"> (2021, p 171) as they outline “women are not a minority group but could be considered to be more vulnerable than men in some circumstances”. </w:t>
      </w:r>
      <w:r w:rsidR="004321D7" w:rsidRPr="00D058FB">
        <w:rPr>
          <w:rFonts w:ascii="Arial" w:hAnsi="Arial" w:cs="Arial"/>
          <w:sz w:val="24"/>
          <w:szCs w:val="24"/>
        </w:rPr>
        <w:t xml:space="preserve">Vulnerability can also be influenced by mental health, which is now recognised and protected under the Mental Capacity Act 2005. </w:t>
      </w:r>
    </w:p>
    <w:p w14:paraId="5F088FA7" w14:textId="72276D83" w:rsidR="003F68D3" w:rsidRPr="00D058FB" w:rsidRDefault="004321D7" w:rsidP="00D058FB">
      <w:pPr>
        <w:spacing w:line="480" w:lineRule="auto"/>
        <w:rPr>
          <w:rFonts w:ascii="Arial" w:hAnsi="Arial" w:cs="Arial"/>
          <w:sz w:val="24"/>
          <w:szCs w:val="24"/>
        </w:rPr>
      </w:pPr>
      <w:r w:rsidRPr="00D058FB">
        <w:rPr>
          <w:rFonts w:ascii="Arial" w:hAnsi="Arial" w:cs="Arial"/>
          <w:sz w:val="24"/>
          <w:szCs w:val="24"/>
        </w:rPr>
        <w:t xml:space="preserve">          </w:t>
      </w:r>
      <w:r w:rsidR="00BF787D" w:rsidRPr="00D058FB">
        <w:rPr>
          <w:rFonts w:ascii="Arial" w:hAnsi="Arial" w:cs="Arial"/>
          <w:sz w:val="24"/>
          <w:szCs w:val="24"/>
        </w:rPr>
        <w:t xml:space="preserve">Evidence suggests that women have always been vulnerable, for instance, Wolfgang’s research made the allegation that women were being raped in the mid 1900’s, and Kermode and Walker’s (1994) research suggests their vulnerability was overlooked due to the lack of respect hey received from men at this period. </w:t>
      </w:r>
      <w:r w:rsidR="00277B37" w:rsidRPr="00D058FB">
        <w:rPr>
          <w:rFonts w:ascii="Arial" w:hAnsi="Arial" w:cs="Arial"/>
          <w:sz w:val="24"/>
          <w:szCs w:val="24"/>
        </w:rPr>
        <w:t>There are evidently still myths about rape, which are suggested by Milne et al (2018</w:t>
      </w:r>
      <w:r w:rsidR="00D7153F" w:rsidRPr="00D058FB">
        <w:rPr>
          <w:rFonts w:ascii="Arial" w:hAnsi="Arial" w:cs="Arial"/>
          <w:sz w:val="24"/>
          <w:szCs w:val="24"/>
        </w:rPr>
        <w:t>, p17</w:t>
      </w:r>
      <w:r w:rsidR="00277B37" w:rsidRPr="00D058FB">
        <w:rPr>
          <w:rFonts w:ascii="Arial" w:hAnsi="Arial" w:cs="Arial"/>
          <w:sz w:val="24"/>
          <w:szCs w:val="24"/>
        </w:rPr>
        <w:t>) as “women sa</w:t>
      </w:r>
      <w:r w:rsidR="00D7153F" w:rsidRPr="00D058FB">
        <w:rPr>
          <w:rFonts w:ascii="Arial" w:hAnsi="Arial" w:cs="Arial"/>
          <w:sz w:val="24"/>
          <w:szCs w:val="24"/>
        </w:rPr>
        <w:t>y</w:t>
      </w:r>
      <w:r w:rsidR="00277B37" w:rsidRPr="00D058FB">
        <w:rPr>
          <w:rFonts w:ascii="Arial" w:hAnsi="Arial" w:cs="Arial"/>
          <w:sz w:val="24"/>
          <w:szCs w:val="24"/>
        </w:rPr>
        <w:t xml:space="preserve"> ‘no’ when they mean ‘yes’</w:t>
      </w:r>
      <w:r w:rsidR="006B557A" w:rsidRPr="00D058FB">
        <w:rPr>
          <w:rFonts w:ascii="Arial" w:hAnsi="Arial" w:cs="Arial"/>
          <w:sz w:val="24"/>
          <w:szCs w:val="24"/>
        </w:rPr>
        <w:t xml:space="preserve">” and “women who get drunk, or wear revealing clothing”. </w:t>
      </w:r>
      <w:r w:rsidR="00AA26F4" w:rsidRPr="00D058FB">
        <w:rPr>
          <w:rFonts w:ascii="Arial" w:hAnsi="Arial" w:cs="Arial"/>
          <w:sz w:val="24"/>
          <w:szCs w:val="24"/>
        </w:rPr>
        <w:t>These were also some of the reasons Wolfgang gave in his research which blame women for their own rape, rather than treating them as a victim and blaming the men who carried out the offence on them. Women are now offered support should they unfortunately become a victim of rape</w:t>
      </w:r>
      <w:r w:rsidR="0029344C" w:rsidRPr="00D058FB">
        <w:rPr>
          <w:rFonts w:ascii="Arial" w:hAnsi="Arial" w:cs="Arial"/>
          <w:sz w:val="24"/>
          <w:szCs w:val="24"/>
        </w:rPr>
        <w:t xml:space="preserve">. An example of which being from Victim Support UK. One of the ways in which they do this is by referring sexual assault and rape victims to the Independent Sexual Violence Advocates, who according to Victim Support (2021) “are specially trained advisors”. They can help the victim decide on the course of action they would like to take and offer the support the victim feels is suitable for them (Victim Support, 2021). </w:t>
      </w:r>
    </w:p>
    <w:p w14:paraId="2EB8672F" w14:textId="58E68BFF" w:rsidR="003F68D3" w:rsidRPr="00D058FB" w:rsidRDefault="003F68D3" w:rsidP="00D058FB">
      <w:pPr>
        <w:spacing w:line="480" w:lineRule="auto"/>
        <w:rPr>
          <w:rFonts w:ascii="Arial" w:hAnsi="Arial" w:cs="Arial"/>
          <w:sz w:val="24"/>
          <w:szCs w:val="24"/>
        </w:rPr>
      </w:pPr>
      <w:r w:rsidRPr="00D058FB">
        <w:rPr>
          <w:rFonts w:ascii="Arial" w:hAnsi="Arial" w:cs="Arial"/>
          <w:sz w:val="24"/>
          <w:szCs w:val="24"/>
        </w:rPr>
        <w:t xml:space="preserve">          However, the implication to this, which lies outside of the responsibility of the Criminal Justice System is that not all acts of rape and sexual assault are reported so therefore support cannot be offered to victims. This is an issue that has been suggestibly evident for a long period of time, supported by </w:t>
      </w:r>
      <w:proofErr w:type="spellStart"/>
      <w:r w:rsidRPr="00D058FB">
        <w:rPr>
          <w:rFonts w:ascii="Arial" w:hAnsi="Arial" w:cs="Arial"/>
          <w:sz w:val="24"/>
          <w:szCs w:val="24"/>
        </w:rPr>
        <w:t>Walklate</w:t>
      </w:r>
      <w:proofErr w:type="spellEnd"/>
      <w:r w:rsidRPr="00D058FB">
        <w:rPr>
          <w:rFonts w:ascii="Arial" w:hAnsi="Arial" w:cs="Arial"/>
          <w:sz w:val="24"/>
          <w:szCs w:val="24"/>
        </w:rPr>
        <w:t xml:space="preserve"> (2001, p 106) as she states</w:t>
      </w:r>
      <w:r w:rsidR="00D7153F" w:rsidRPr="00D058FB">
        <w:rPr>
          <w:rFonts w:ascii="Arial" w:hAnsi="Arial" w:cs="Arial"/>
          <w:sz w:val="24"/>
          <w:szCs w:val="24"/>
        </w:rPr>
        <w:t>,</w:t>
      </w:r>
      <w:r w:rsidRPr="00D058FB">
        <w:rPr>
          <w:rFonts w:ascii="Arial" w:hAnsi="Arial" w:cs="Arial"/>
          <w:sz w:val="24"/>
          <w:szCs w:val="24"/>
        </w:rPr>
        <w:t xml:space="preserve"> “the 1988 British Crime Survey offers an </w:t>
      </w:r>
      <w:r w:rsidR="001B64DD" w:rsidRPr="00D058FB">
        <w:rPr>
          <w:rFonts w:ascii="Arial" w:hAnsi="Arial" w:cs="Arial"/>
          <w:sz w:val="24"/>
          <w:szCs w:val="24"/>
        </w:rPr>
        <w:t xml:space="preserve">incidence estimate of 60,000 sexual offences against women for 1987 of which about 13,000 were reported”. </w:t>
      </w:r>
    </w:p>
    <w:p w14:paraId="175DE7B2" w14:textId="77777777" w:rsidR="0076551D" w:rsidRPr="00D058FB" w:rsidRDefault="0076551D" w:rsidP="00D058FB">
      <w:pPr>
        <w:spacing w:line="480" w:lineRule="auto"/>
        <w:rPr>
          <w:rFonts w:ascii="Arial" w:hAnsi="Arial" w:cs="Arial"/>
          <w:sz w:val="24"/>
          <w:szCs w:val="24"/>
        </w:rPr>
      </w:pPr>
    </w:p>
    <w:p w14:paraId="7695675A" w14:textId="595FD6AE" w:rsidR="00E86A5B" w:rsidRPr="00D058FB" w:rsidRDefault="00781DDB" w:rsidP="00D058FB">
      <w:pPr>
        <w:spacing w:line="480" w:lineRule="auto"/>
        <w:rPr>
          <w:rFonts w:ascii="Arial" w:hAnsi="Arial" w:cs="Arial"/>
          <w:sz w:val="24"/>
          <w:szCs w:val="24"/>
        </w:rPr>
      </w:pPr>
      <w:r w:rsidRPr="00D058FB">
        <w:rPr>
          <w:rFonts w:ascii="Arial" w:hAnsi="Arial" w:cs="Arial"/>
          <w:sz w:val="24"/>
          <w:szCs w:val="24"/>
        </w:rPr>
        <w:lastRenderedPageBreak/>
        <w:t xml:space="preserve">          </w:t>
      </w:r>
      <w:r w:rsidR="002E5F72" w:rsidRPr="00D058FB">
        <w:rPr>
          <w:rFonts w:ascii="Arial" w:hAnsi="Arial" w:cs="Arial"/>
          <w:sz w:val="24"/>
          <w:szCs w:val="24"/>
        </w:rPr>
        <w:t xml:space="preserve">Another way in which the Criminal Justice System responds to victims of crime, which comes under their rights outlined by the Victims’ Code 2015 is their right to make a Victim Personal Statement (VPS). </w:t>
      </w:r>
      <w:r w:rsidR="00B703B7" w:rsidRPr="00D058FB">
        <w:rPr>
          <w:rFonts w:ascii="Arial" w:hAnsi="Arial" w:cs="Arial"/>
          <w:sz w:val="24"/>
          <w:szCs w:val="24"/>
        </w:rPr>
        <w:t>A VPS, as explained by GOV.UK (2018) “</w:t>
      </w:r>
      <w:r w:rsidR="00B703B7" w:rsidRPr="00D058FB">
        <w:rPr>
          <w:rFonts w:ascii="Arial" w:hAnsi="Arial" w:cs="Arial"/>
          <w:sz w:val="24"/>
          <w:szCs w:val="24"/>
        </w:rPr>
        <w:t>gives victims an opportunity to explain how the crime has affected them, physically, emotionally, psychologically, financially or in any other way</w:t>
      </w:r>
      <w:r w:rsidR="00B703B7" w:rsidRPr="00D058FB">
        <w:rPr>
          <w:rFonts w:ascii="Arial" w:hAnsi="Arial" w:cs="Arial"/>
          <w:sz w:val="24"/>
          <w:szCs w:val="24"/>
        </w:rPr>
        <w:t>”. The purpose of a VPS is to allow a victims’ voice to be heard in the criminal justice procedure by providing an understanding to others of the affect the crime has had on them. Should the offender be found guilty, the VPS will be taken into consideration by the court with subsiding evidence during the process of deciding the sentence (GOV.UK, 2018)</w:t>
      </w:r>
      <w:r w:rsidR="00E86A5B" w:rsidRPr="00D058FB">
        <w:rPr>
          <w:rFonts w:ascii="Arial" w:hAnsi="Arial" w:cs="Arial"/>
          <w:sz w:val="24"/>
          <w:szCs w:val="24"/>
        </w:rPr>
        <w:t>. However, it was identified by</w:t>
      </w:r>
      <w:r w:rsidR="001F4567" w:rsidRPr="00D058FB">
        <w:rPr>
          <w:rFonts w:ascii="Arial" w:hAnsi="Arial" w:cs="Arial"/>
          <w:sz w:val="24"/>
          <w:szCs w:val="24"/>
        </w:rPr>
        <w:t xml:space="preserve"> Roberts and </w:t>
      </w:r>
      <w:proofErr w:type="spellStart"/>
      <w:r w:rsidR="001F4567" w:rsidRPr="00D058FB">
        <w:rPr>
          <w:rFonts w:ascii="Arial" w:hAnsi="Arial" w:cs="Arial"/>
          <w:sz w:val="24"/>
          <w:szCs w:val="24"/>
        </w:rPr>
        <w:t>Manikis</w:t>
      </w:r>
      <w:proofErr w:type="spellEnd"/>
      <w:r w:rsidR="00D657AF" w:rsidRPr="00D058FB">
        <w:rPr>
          <w:rFonts w:ascii="Arial" w:hAnsi="Arial" w:cs="Arial"/>
          <w:sz w:val="24"/>
          <w:szCs w:val="24"/>
        </w:rPr>
        <w:t xml:space="preserve"> (</w:t>
      </w:r>
      <w:r w:rsidR="001F4567" w:rsidRPr="00D058FB">
        <w:rPr>
          <w:rFonts w:ascii="Arial" w:hAnsi="Arial" w:cs="Arial"/>
          <w:sz w:val="24"/>
          <w:szCs w:val="24"/>
        </w:rPr>
        <w:t xml:space="preserve">2012, </w:t>
      </w:r>
      <w:r w:rsidR="00D657AF" w:rsidRPr="00D058FB">
        <w:rPr>
          <w:rFonts w:ascii="Arial" w:hAnsi="Arial" w:cs="Arial"/>
          <w:sz w:val="24"/>
          <w:szCs w:val="24"/>
        </w:rPr>
        <w:t>p 250),</w:t>
      </w:r>
      <w:r w:rsidR="00E86A5B" w:rsidRPr="00D058FB">
        <w:rPr>
          <w:rFonts w:ascii="Arial" w:hAnsi="Arial" w:cs="Arial"/>
          <w:sz w:val="24"/>
          <w:szCs w:val="24"/>
        </w:rPr>
        <w:t xml:space="preserve"> </w:t>
      </w:r>
      <w:r w:rsidR="001F4567" w:rsidRPr="00D058FB">
        <w:rPr>
          <w:rFonts w:ascii="Arial" w:hAnsi="Arial" w:cs="Arial"/>
          <w:sz w:val="24"/>
          <w:szCs w:val="24"/>
        </w:rPr>
        <w:t xml:space="preserve">that </w:t>
      </w:r>
      <w:r w:rsidR="00E86A5B" w:rsidRPr="00D058FB">
        <w:rPr>
          <w:rFonts w:ascii="Arial" w:hAnsi="Arial" w:cs="Arial"/>
          <w:sz w:val="24"/>
          <w:szCs w:val="24"/>
        </w:rPr>
        <w:t>“</w:t>
      </w:r>
      <w:r w:rsidR="00D657AF" w:rsidRPr="00D058FB">
        <w:rPr>
          <w:rFonts w:ascii="Arial" w:hAnsi="Arial" w:cs="Arial"/>
          <w:sz w:val="24"/>
          <w:szCs w:val="24"/>
        </w:rPr>
        <w:t>i</w:t>
      </w:r>
      <w:r w:rsidR="00E86A5B" w:rsidRPr="00D058FB">
        <w:rPr>
          <w:rFonts w:ascii="Arial" w:hAnsi="Arial" w:cs="Arial"/>
          <w:sz w:val="24"/>
          <w:szCs w:val="24"/>
        </w:rPr>
        <w:t>n the most recent (and last) administration of the survey (2009/2010), less than half (43%) of victims recalled being offered a statement</w:t>
      </w:r>
      <w:r w:rsidR="00E86A5B" w:rsidRPr="00D058FB">
        <w:rPr>
          <w:rFonts w:ascii="Arial" w:hAnsi="Arial" w:cs="Arial"/>
          <w:sz w:val="24"/>
          <w:szCs w:val="24"/>
        </w:rPr>
        <w:t>”, which is evidence suggesting that not all victims were offered the opportunity to make a VPS. This is a contradiction to the Victims’ Code 2015 as the right to make a Victim Personal Statement is highlighted under Right number 7 (</w:t>
      </w:r>
      <w:r w:rsidR="00D657AF" w:rsidRPr="00D058FB">
        <w:rPr>
          <w:rFonts w:ascii="Arial" w:hAnsi="Arial" w:cs="Arial"/>
          <w:sz w:val="24"/>
          <w:szCs w:val="24"/>
        </w:rPr>
        <w:t xml:space="preserve">Ministry of Justice, 2020). </w:t>
      </w:r>
      <w:r w:rsidR="0060179B" w:rsidRPr="00D058FB">
        <w:rPr>
          <w:rFonts w:ascii="Arial" w:hAnsi="Arial" w:cs="Arial"/>
          <w:sz w:val="24"/>
          <w:szCs w:val="24"/>
        </w:rPr>
        <w:t xml:space="preserve">Nonetheless, this source is fairly back dated, so this issue may have been consolidated and resolved. </w:t>
      </w:r>
    </w:p>
    <w:p w14:paraId="5AFE61E0" w14:textId="16A6127E" w:rsidR="00F34611" w:rsidRPr="00D058FB" w:rsidRDefault="00F34611" w:rsidP="00D058FB">
      <w:pPr>
        <w:spacing w:line="480" w:lineRule="auto"/>
        <w:rPr>
          <w:rFonts w:ascii="Arial" w:hAnsi="Arial" w:cs="Arial"/>
          <w:sz w:val="24"/>
          <w:szCs w:val="24"/>
        </w:rPr>
      </w:pPr>
      <w:r w:rsidRPr="00D058FB">
        <w:rPr>
          <w:rFonts w:ascii="Arial" w:hAnsi="Arial" w:cs="Arial"/>
          <w:sz w:val="24"/>
          <w:szCs w:val="24"/>
        </w:rPr>
        <w:t xml:space="preserve">          Finally, another way in which the criminal justice responds to victims of crime is by the use of restorative justice. </w:t>
      </w:r>
      <w:r w:rsidR="00FC1CA5" w:rsidRPr="00D058FB">
        <w:rPr>
          <w:rFonts w:ascii="Arial" w:hAnsi="Arial" w:cs="Arial"/>
          <w:sz w:val="24"/>
          <w:szCs w:val="24"/>
        </w:rPr>
        <w:t xml:space="preserve">Restorative justice is a process that enables engagement between the victim and the offender either through direct or in-direct contact (Crown Prosecution Service, 2019). The purpose of restorative justice, as demonstrated by </w:t>
      </w:r>
      <w:proofErr w:type="spellStart"/>
      <w:r w:rsidR="00FC1CA5" w:rsidRPr="00D058FB">
        <w:rPr>
          <w:rFonts w:ascii="Arial" w:hAnsi="Arial" w:cs="Arial"/>
          <w:sz w:val="24"/>
          <w:szCs w:val="24"/>
        </w:rPr>
        <w:t>Liebmann</w:t>
      </w:r>
      <w:proofErr w:type="spellEnd"/>
      <w:r w:rsidR="00FC1CA5" w:rsidRPr="00D058FB">
        <w:rPr>
          <w:rFonts w:ascii="Arial" w:hAnsi="Arial" w:cs="Arial"/>
          <w:sz w:val="24"/>
          <w:szCs w:val="24"/>
        </w:rPr>
        <w:t xml:space="preserve"> (2007) is that “it</w:t>
      </w:r>
      <w:r w:rsidR="00014D64" w:rsidRPr="00D058FB">
        <w:rPr>
          <w:rFonts w:ascii="Arial" w:hAnsi="Arial" w:cs="Arial"/>
          <w:sz w:val="24"/>
          <w:szCs w:val="24"/>
        </w:rPr>
        <w:t xml:space="preserve"> </w:t>
      </w:r>
      <w:r w:rsidR="00FC1CA5" w:rsidRPr="00D058FB">
        <w:rPr>
          <w:rFonts w:ascii="Arial" w:hAnsi="Arial" w:cs="Arial"/>
          <w:color w:val="000000"/>
          <w:sz w:val="24"/>
          <w:szCs w:val="24"/>
        </w:rPr>
        <w:t>encourages those</w:t>
      </w:r>
      <w:r w:rsidR="00FC1CA5" w:rsidRPr="00D058FB">
        <w:rPr>
          <w:rFonts w:ascii="Arial" w:hAnsi="Arial" w:cs="Arial"/>
          <w:color w:val="000000"/>
          <w:sz w:val="24"/>
          <w:szCs w:val="24"/>
        </w:rPr>
        <w:t xml:space="preserve"> </w:t>
      </w:r>
      <w:r w:rsidR="00FC1CA5" w:rsidRPr="00D058FB">
        <w:rPr>
          <w:rFonts w:ascii="Arial" w:hAnsi="Arial" w:cs="Arial"/>
          <w:color w:val="000000"/>
          <w:sz w:val="24"/>
          <w:szCs w:val="24"/>
        </w:rPr>
        <w:t>who have caused harm to acknowledge the impact of what they have done and</w:t>
      </w:r>
      <w:r w:rsidR="00FC1CA5" w:rsidRPr="00D058FB">
        <w:rPr>
          <w:rFonts w:ascii="Arial" w:hAnsi="Arial" w:cs="Arial"/>
          <w:color w:val="000000"/>
          <w:sz w:val="24"/>
          <w:szCs w:val="24"/>
        </w:rPr>
        <w:t xml:space="preserve"> </w:t>
      </w:r>
      <w:r w:rsidR="00FC1CA5" w:rsidRPr="00D058FB">
        <w:rPr>
          <w:rFonts w:ascii="Arial" w:hAnsi="Arial" w:cs="Arial"/>
          <w:color w:val="000000"/>
          <w:sz w:val="24"/>
          <w:szCs w:val="24"/>
        </w:rPr>
        <w:t>gives them an opportunity to make reparation</w:t>
      </w:r>
      <w:r w:rsidR="00FC1CA5" w:rsidRPr="00D058FB">
        <w:rPr>
          <w:rFonts w:ascii="Arial" w:hAnsi="Arial" w:cs="Arial"/>
          <w:color w:val="000000"/>
          <w:sz w:val="24"/>
          <w:szCs w:val="24"/>
        </w:rPr>
        <w:t xml:space="preserve">”. </w:t>
      </w:r>
      <w:r w:rsidR="00014D64" w:rsidRPr="00D058FB">
        <w:rPr>
          <w:rFonts w:ascii="Arial" w:hAnsi="Arial" w:cs="Arial"/>
          <w:color w:val="000000"/>
          <w:sz w:val="24"/>
          <w:szCs w:val="24"/>
        </w:rPr>
        <w:t xml:space="preserve">Restorative justice aims to discourage the offender from reoffending due to them witnessing the real life impact that their offence has had upon the victim of the crime. </w:t>
      </w:r>
      <w:r w:rsidR="004307DE" w:rsidRPr="00D058FB">
        <w:rPr>
          <w:rFonts w:ascii="Arial" w:hAnsi="Arial" w:cs="Arial"/>
          <w:color w:val="000000"/>
          <w:sz w:val="24"/>
          <w:szCs w:val="24"/>
        </w:rPr>
        <w:t>The restorative justice system is thought to be successful, which is proven from the Restorative Justice Council (2021) by the statement “t</w:t>
      </w:r>
      <w:r w:rsidR="004307DE" w:rsidRPr="00D058FB">
        <w:rPr>
          <w:rFonts w:ascii="Arial" w:hAnsi="Arial" w:cs="Arial"/>
          <w:color w:val="333333"/>
          <w:sz w:val="24"/>
          <w:szCs w:val="24"/>
          <w:shd w:val="clear" w:color="auto" w:fill="FFFFFF"/>
        </w:rPr>
        <w:t>he government’s analysis of this research has </w:t>
      </w:r>
      <w:r w:rsidR="004307DE" w:rsidRPr="00D058FB">
        <w:rPr>
          <w:rFonts w:ascii="Arial" w:hAnsi="Arial" w:cs="Arial"/>
          <w:sz w:val="24"/>
          <w:szCs w:val="24"/>
          <w:shd w:val="clear" w:color="auto" w:fill="FFFFFF"/>
        </w:rPr>
        <w:t>concluded</w:t>
      </w:r>
      <w:r w:rsidR="004307DE" w:rsidRPr="00D058FB">
        <w:rPr>
          <w:rFonts w:ascii="Arial" w:hAnsi="Arial" w:cs="Arial"/>
          <w:color w:val="333333"/>
          <w:sz w:val="24"/>
          <w:szCs w:val="24"/>
          <w:shd w:val="clear" w:color="auto" w:fill="FFFFFF"/>
        </w:rPr>
        <w:t> that restorative justice reduces the frequency of reoffending by 14%</w:t>
      </w:r>
      <w:r w:rsidR="004307DE" w:rsidRPr="00D058FB">
        <w:rPr>
          <w:rFonts w:ascii="Arial" w:hAnsi="Arial" w:cs="Arial"/>
          <w:color w:val="333333"/>
          <w:sz w:val="24"/>
          <w:szCs w:val="24"/>
          <w:shd w:val="clear" w:color="auto" w:fill="FFFFFF"/>
        </w:rPr>
        <w:t>”. This was conducted from a research proposal set by the Government in 2001, which also lead to the conclusion that 85% of victims who participated were content with the process.</w:t>
      </w:r>
      <w:r w:rsidR="00FC1CA5" w:rsidRPr="00D058FB">
        <w:rPr>
          <w:rFonts w:ascii="Arial" w:hAnsi="Arial" w:cs="Arial"/>
          <w:color w:val="000000"/>
          <w:sz w:val="24"/>
          <w:szCs w:val="24"/>
        </w:rPr>
        <w:br/>
      </w:r>
    </w:p>
    <w:p w14:paraId="22152DC9" w14:textId="3CEEE3F4" w:rsidR="0042043F" w:rsidRPr="00D058FB" w:rsidRDefault="00C4547A" w:rsidP="00D058FB">
      <w:pPr>
        <w:spacing w:line="480" w:lineRule="auto"/>
        <w:rPr>
          <w:rFonts w:ascii="Arial" w:hAnsi="Arial" w:cs="Arial"/>
          <w:sz w:val="24"/>
          <w:szCs w:val="24"/>
        </w:rPr>
      </w:pPr>
      <w:r w:rsidRPr="00D058FB">
        <w:rPr>
          <w:rFonts w:ascii="Arial" w:hAnsi="Arial" w:cs="Arial"/>
          <w:sz w:val="24"/>
          <w:szCs w:val="24"/>
        </w:rPr>
        <w:lastRenderedPageBreak/>
        <w:t xml:space="preserve">          </w:t>
      </w:r>
      <w:r w:rsidR="0042043F" w:rsidRPr="00D058FB">
        <w:rPr>
          <w:rFonts w:ascii="Arial" w:hAnsi="Arial" w:cs="Arial"/>
          <w:sz w:val="24"/>
          <w:szCs w:val="24"/>
        </w:rPr>
        <w:t>The advances in the findings by criminologists in the 1900’s have also led to a wider understanding of victims’ rights and needs by other services as well as the Criminal Justice System, one of which being the police force. </w:t>
      </w:r>
      <w:r w:rsidR="0041176B" w:rsidRPr="00D058FB">
        <w:rPr>
          <w:rFonts w:ascii="Arial" w:hAnsi="Arial" w:cs="Arial"/>
          <w:sz w:val="24"/>
          <w:szCs w:val="24"/>
        </w:rPr>
        <w:t>The police as a whole have adapted to the way in which they respond to victims of crime, and also recognise their importance and vulnerability. An example given by the College of Policing (</w:t>
      </w:r>
      <w:r w:rsidR="00BF48F0" w:rsidRPr="00D058FB">
        <w:rPr>
          <w:rFonts w:ascii="Arial" w:hAnsi="Arial" w:cs="Arial"/>
          <w:sz w:val="24"/>
          <w:szCs w:val="24"/>
        </w:rPr>
        <w:t>2021</w:t>
      </w:r>
      <w:r w:rsidR="0041176B" w:rsidRPr="00D058FB">
        <w:rPr>
          <w:rFonts w:ascii="Arial" w:hAnsi="Arial" w:cs="Arial"/>
          <w:sz w:val="24"/>
          <w:szCs w:val="24"/>
        </w:rPr>
        <w:t>), in regard to dealing with victims of domestic abuse</w:t>
      </w:r>
      <w:r w:rsidR="00BF48F0" w:rsidRPr="00D058FB">
        <w:rPr>
          <w:rFonts w:ascii="Arial" w:hAnsi="Arial" w:cs="Arial"/>
          <w:sz w:val="24"/>
          <w:szCs w:val="24"/>
        </w:rPr>
        <w:t xml:space="preserve">, is within the first working day they are responsible for informing the victim of significant information such as “arrest, interview under caution and release without charge”. The Metropolitan Police also </w:t>
      </w:r>
      <w:r w:rsidR="00603259" w:rsidRPr="00D058FB">
        <w:rPr>
          <w:rFonts w:ascii="Arial" w:hAnsi="Arial" w:cs="Arial"/>
          <w:sz w:val="24"/>
          <w:szCs w:val="24"/>
        </w:rPr>
        <w:t>outline the crucialness of reporting a crime, as without notification to the police, the crime is unlikely to be dealt with. The Metropolitan Police (2021) state “i</w:t>
      </w:r>
      <w:r w:rsidR="00603259" w:rsidRPr="00D058FB">
        <w:rPr>
          <w:rFonts w:ascii="Arial" w:hAnsi="Arial" w:cs="Arial"/>
          <w:sz w:val="24"/>
          <w:szCs w:val="24"/>
        </w:rPr>
        <w:t>t's important to report all crimes to the police. It helps us to bring offenders to justice and stop more crimes from happening</w:t>
      </w:r>
      <w:r w:rsidR="00603259" w:rsidRPr="00D058FB">
        <w:rPr>
          <w:rFonts w:ascii="Arial" w:hAnsi="Arial" w:cs="Arial"/>
          <w:sz w:val="24"/>
          <w:szCs w:val="24"/>
        </w:rPr>
        <w:t>”, however they also explain that victims can receive help from Victim Support should they wish not to report the crime.</w:t>
      </w:r>
      <w:r w:rsidR="001D034D" w:rsidRPr="00D058FB">
        <w:rPr>
          <w:rFonts w:ascii="Arial" w:hAnsi="Arial" w:cs="Arial"/>
          <w:sz w:val="24"/>
          <w:szCs w:val="24"/>
        </w:rPr>
        <w:t xml:space="preserve"> The police also have a recognition of vulnerable victims as previously stated. This is crucial for the force as Asquith et al (2017, p 4) state “failing to respond to vulnerability in the context of policing and justice is costly for policing organisations in two broad ways: costs to police personnel, and costs to police services”. </w:t>
      </w:r>
    </w:p>
    <w:p w14:paraId="530B7D0C" w14:textId="77777777" w:rsidR="00EB1C72" w:rsidRPr="00D058FB" w:rsidRDefault="00EB1C72" w:rsidP="00D058FB">
      <w:pPr>
        <w:spacing w:line="480" w:lineRule="auto"/>
        <w:rPr>
          <w:rFonts w:ascii="Arial" w:hAnsi="Arial" w:cs="Arial"/>
          <w:sz w:val="24"/>
          <w:szCs w:val="24"/>
        </w:rPr>
      </w:pPr>
    </w:p>
    <w:p w14:paraId="7914EF43" w14:textId="1B3ACC3D" w:rsidR="00EB1C72" w:rsidRPr="00D058FB" w:rsidRDefault="00EB1C72" w:rsidP="00D058FB">
      <w:pPr>
        <w:spacing w:line="480" w:lineRule="auto"/>
        <w:rPr>
          <w:rFonts w:ascii="Arial" w:hAnsi="Arial" w:cs="Arial"/>
          <w:sz w:val="24"/>
          <w:szCs w:val="24"/>
        </w:rPr>
      </w:pPr>
      <w:r w:rsidRPr="00D058FB">
        <w:rPr>
          <w:rFonts w:ascii="Arial" w:hAnsi="Arial" w:cs="Arial"/>
          <w:sz w:val="24"/>
          <w:szCs w:val="24"/>
        </w:rPr>
        <w:t xml:space="preserve">          </w:t>
      </w:r>
      <w:r w:rsidRPr="00D058FB">
        <w:rPr>
          <w:rFonts w:ascii="Arial" w:hAnsi="Arial" w:cs="Arial"/>
          <w:sz w:val="24"/>
          <w:szCs w:val="24"/>
        </w:rPr>
        <w:t>Although the Criminal Justice System ha</w:t>
      </w:r>
      <w:r w:rsidR="00BF48F0" w:rsidRPr="00D058FB">
        <w:rPr>
          <w:rFonts w:ascii="Arial" w:hAnsi="Arial" w:cs="Arial"/>
          <w:sz w:val="24"/>
          <w:szCs w:val="24"/>
        </w:rPr>
        <w:t xml:space="preserve">s </w:t>
      </w:r>
      <w:r w:rsidRPr="00D058FB">
        <w:rPr>
          <w:rFonts w:ascii="Arial" w:hAnsi="Arial" w:cs="Arial"/>
          <w:sz w:val="24"/>
          <w:szCs w:val="24"/>
        </w:rPr>
        <w:t>evidently improved their service in regard to dealing with and responding to victims of crime as previously analysed, there are some sources that suggest there is still room for improvement. For instance, i</w:t>
      </w:r>
      <w:r w:rsidRPr="00D058FB">
        <w:rPr>
          <w:rFonts w:ascii="Arial" w:hAnsi="Arial" w:cs="Arial"/>
          <w:sz w:val="24"/>
          <w:szCs w:val="24"/>
        </w:rPr>
        <w:t xml:space="preserve">n a research report conducted by the Criminal Justice Joint Inspection, a vast assortment of information was accumulated which demonstrates both advantages and disadvantages of the Criminal Justice System. However, this source is considerable and provides a response to disadvantages that are detected. One of the areas that is addressed in this report is that there are appropriate strengths in specialist teams, of which are described as “generally highly motivated and well trained” (Criminal Justice Joint Inspection, 2015, p 5) but the level of consistency provided to victims was inadmissible, leaving room for improvement (Criminal Justice Joint Inspection, 2015, p 6). </w:t>
      </w:r>
    </w:p>
    <w:p w14:paraId="659881F3" w14:textId="77777777" w:rsidR="0042043F" w:rsidRPr="00D058FB" w:rsidRDefault="0042043F" w:rsidP="00D058FB">
      <w:pPr>
        <w:spacing w:line="480" w:lineRule="auto"/>
        <w:rPr>
          <w:rFonts w:ascii="Arial" w:hAnsi="Arial" w:cs="Arial"/>
          <w:sz w:val="24"/>
          <w:szCs w:val="24"/>
        </w:rPr>
      </w:pPr>
    </w:p>
    <w:p w14:paraId="3A277315" w14:textId="77777777" w:rsidR="00833151" w:rsidRPr="00D058FB" w:rsidRDefault="00833151" w:rsidP="00D058FB">
      <w:pPr>
        <w:spacing w:line="480" w:lineRule="auto"/>
        <w:rPr>
          <w:rFonts w:ascii="Arial" w:hAnsi="Arial" w:cs="Arial"/>
          <w:sz w:val="24"/>
          <w:szCs w:val="24"/>
        </w:rPr>
      </w:pPr>
    </w:p>
    <w:p w14:paraId="7A6BE8DB" w14:textId="2C95F244" w:rsidR="00DC11A3" w:rsidRPr="00D058FB" w:rsidRDefault="004321D7" w:rsidP="00D058FB">
      <w:pPr>
        <w:spacing w:line="480" w:lineRule="auto"/>
        <w:rPr>
          <w:rFonts w:ascii="Arial" w:hAnsi="Arial" w:cs="Arial"/>
          <w:sz w:val="24"/>
          <w:szCs w:val="24"/>
        </w:rPr>
      </w:pPr>
      <w:r w:rsidRPr="00D058FB">
        <w:rPr>
          <w:rFonts w:ascii="Arial" w:hAnsi="Arial" w:cs="Arial"/>
          <w:sz w:val="24"/>
          <w:szCs w:val="24"/>
        </w:rPr>
        <w:t xml:space="preserve">          </w:t>
      </w:r>
      <w:r w:rsidR="006F2B7A" w:rsidRPr="00D058FB">
        <w:rPr>
          <w:rFonts w:ascii="Arial" w:hAnsi="Arial" w:cs="Arial"/>
          <w:sz w:val="24"/>
          <w:szCs w:val="24"/>
        </w:rPr>
        <w:t xml:space="preserve">To summarise everything that has been stated throughout, it could evidently be suggested that the Criminal Justice System provides </w:t>
      </w:r>
      <w:r w:rsidR="00833151" w:rsidRPr="00D058FB">
        <w:rPr>
          <w:rFonts w:ascii="Arial" w:hAnsi="Arial" w:cs="Arial"/>
          <w:sz w:val="24"/>
          <w:szCs w:val="24"/>
        </w:rPr>
        <w:t xml:space="preserve">a </w:t>
      </w:r>
      <w:r w:rsidR="006F2B7A" w:rsidRPr="00D058FB">
        <w:rPr>
          <w:rFonts w:ascii="Arial" w:hAnsi="Arial" w:cs="Arial"/>
          <w:sz w:val="24"/>
          <w:szCs w:val="24"/>
        </w:rPr>
        <w:t>significant re</w:t>
      </w:r>
      <w:r w:rsidR="00833151" w:rsidRPr="00D058FB">
        <w:rPr>
          <w:rFonts w:ascii="Arial" w:hAnsi="Arial" w:cs="Arial"/>
          <w:sz w:val="24"/>
          <w:szCs w:val="24"/>
        </w:rPr>
        <w:t>sponse</w:t>
      </w:r>
      <w:r w:rsidR="006F2B7A" w:rsidRPr="00D058FB">
        <w:rPr>
          <w:rFonts w:ascii="Arial" w:hAnsi="Arial" w:cs="Arial"/>
          <w:sz w:val="24"/>
          <w:szCs w:val="24"/>
        </w:rPr>
        <w:t xml:space="preserve"> to victims of crime.</w:t>
      </w:r>
      <w:r w:rsidR="00833151" w:rsidRPr="00D058FB">
        <w:rPr>
          <w:rFonts w:ascii="Arial" w:hAnsi="Arial" w:cs="Arial"/>
          <w:sz w:val="24"/>
          <w:szCs w:val="24"/>
        </w:rPr>
        <w:t xml:space="preserve"> This is suggested to be evident as a result of understanding vulnerability, identifying the types of crime in</w:t>
      </w:r>
      <w:r w:rsidR="00E52277" w:rsidRPr="00D058FB">
        <w:rPr>
          <w:rFonts w:ascii="Arial" w:hAnsi="Arial" w:cs="Arial"/>
          <w:sz w:val="24"/>
          <w:szCs w:val="24"/>
        </w:rPr>
        <w:t>cluding</w:t>
      </w:r>
      <w:r w:rsidR="00833151" w:rsidRPr="00D058FB">
        <w:rPr>
          <w:rFonts w:ascii="Arial" w:hAnsi="Arial" w:cs="Arial"/>
          <w:sz w:val="24"/>
          <w:szCs w:val="24"/>
        </w:rPr>
        <w:t xml:space="preserve"> the most serious crimes and </w:t>
      </w:r>
      <w:r w:rsidR="003B05E5" w:rsidRPr="00D058FB">
        <w:rPr>
          <w:rFonts w:ascii="Arial" w:hAnsi="Arial" w:cs="Arial"/>
          <w:sz w:val="24"/>
          <w:szCs w:val="24"/>
        </w:rPr>
        <w:t>the concession of the impact that criminal offences can have on a victim.</w:t>
      </w:r>
      <w:r w:rsidR="006F2B7A" w:rsidRPr="00D058FB">
        <w:rPr>
          <w:rFonts w:ascii="Arial" w:hAnsi="Arial" w:cs="Arial"/>
          <w:sz w:val="24"/>
          <w:szCs w:val="24"/>
        </w:rPr>
        <w:t xml:space="preserve"> The research and findings of historical criminologists, for example, Marvin Wolfgang and Hans von </w:t>
      </w:r>
      <w:proofErr w:type="spellStart"/>
      <w:r w:rsidR="006F2B7A" w:rsidRPr="00D058FB">
        <w:rPr>
          <w:rFonts w:ascii="Arial" w:hAnsi="Arial" w:cs="Arial"/>
          <w:sz w:val="24"/>
          <w:szCs w:val="24"/>
        </w:rPr>
        <w:t>Hentig</w:t>
      </w:r>
      <w:proofErr w:type="spellEnd"/>
      <w:r w:rsidR="006F2B7A" w:rsidRPr="00D058FB">
        <w:rPr>
          <w:rFonts w:ascii="Arial" w:hAnsi="Arial" w:cs="Arial"/>
          <w:sz w:val="24"/>
          <w:szCs w:val="24"/>
        </w:rPr>
        <w:t xml:space="preserve"> have</w:t>
      </w:r>
      <w:r w:rsidR="003B05E5" w:rsidRPr="00D058FB">
        <w:rPr>
          <w:rFonts w:ascii="Arial" w:hAnsi="Arial" w:cs="Arial"/>
          <w:sz w:val="24"/>
          <w:szCs w:val="24"/>
        </w:rPr>
        <w:t xml:space="preserve"> evidently</w:t>
      </w:r>
      <w:r w:rsidR="006F2B7A" w:rsidRPr="00D058FB">
        <w:rPr>
          <w:rFonts w:ascii="Arial" w:hAnsi="Arial" w:cs="Arial"/>
          <w:sz w:val="24"/>
          <w:szCs w:val="24"/>
        </w:rPr>
        <w:t xml:space="preserve"> been analysed and developed appropriately to provide a satisfying level </w:t>
      </w:r>
      <w:r w:rsidR="00833151" w:rsidRPr="00D058FB">
        <w:rPr>
          <w:rFonts w:ascii="Arial" w:hAnsi="Arial" w:cs="Arial"/>
          <w:sz w:val="24"/>
          <w:szCs w:val="24"/>
        </w:rPr>
        <w:t xml:space="preserve">of protection to victims of crime and has created many pathways to understanding vulnerability and proneness to victimisation. The process of the discovery of </w:t>
      </w:r>
      <w:r w:rsidR="003B05E5" w:rsidRPr="00D058FB">
        <w:rPr>
          <w:rFonts w:ascii="Arial" w:hAnsi="Arial" w:cs="Arial"/>
          <w:sz w:val="24"/>
          <w:szCs w:val="24"/>
        </w:rPr>
        <w:t>victimology has also helped other services as well as the Criminal Justice System</w:t>
      </w:r>
      <w:r w:rsidR="00E52277" w:rsidRPr="00D058FB">
        <w:rPr>
          <w:rFonts w:ascii="Arial" w:hAnsi="Arial" w:cs="Arial"/>
          <w:sz w:val="24"/>
          <w:szCs w:val="24"/>
        </w:rPr>
        <w:t xml:space="preserve">, such as the police. However, there are evidently some implications that </w:t>
      </w:r>
      <w:r w:rsidR="005F008C" w:rsidRPr="00D058FB">
        <w:rPr>
          <w:rFonts w:ascii="Arial" w:hAnsi="Arial" w:cs="Arial"/>
          <w:sz w:val="24"/>
          <w:szCs w:val="24"/>
        </w:rPr>
        <w:t xml:space="preserve">limit the Criminal Justice System’s response to victims of crime, such as the accounts of not all victims being offered their right to make a Victim Personal Statement, so by taking this into consideration it could be appropriate to outline that the response to victims is satisfactory but evidently holds room for improvement. </w:t>
      </w:r>
    </w:p>
    <w:p w14:paraId="2A5D0E00" w14:textId="4EEEDEFB" w:rsidR="00DC11A3" w:rsidRPr="00282F46" w:rsidRDefault="00DC11A3" w:rsidP="00F043FC">
      <w:pPr>
        <w:rPr>
          <w:rFonts w:ascii="Arial" w:hAnsi="Arial" w:cs="Arial"/>
          <w:sz w:val="24"/>
          <w:szCs w:val="24"/>
        </w:rPr>
      </w:pPr>
    </w:p>
    <w:p w14:paraId="3CED19E0" w14:textId="6F068648" w:rsidR="00DC11A3" w:rsidRPr="00282F46" w:rsidRDefault="00DC11A3" w:rsidP="00F043FC">
      <w:pPr>
        <w:rPr>
          <w:rFonts w:ascii="Arial" w:hAnsi="Arial" w:cs="Arial"/>
          <w:sz w:val="24"/>
          <w:szCs w:val="24"/>
        </w:rPr>
      </w:pPr>
    </w:p>
    <w:p w14:paraId="685A652D" w14:textId="0594E69E" w:rsidR="00DC11A3" w:rsidRDefault="00DC11A3" w:rsidP="00F043FC">
      <w:pPr>
        <w:rPr>
          <w:rFonts w:ascii="Arial" w:hAnsi="Arial" w:cs="Arial"/>
          <w:sz w:val="24"/>
          <w:szCs w:val="24"/>
        </w:rPr>
      </w:pPr>
    </w:p>
    <w:p w14:paraId="3C5FF804" w14:textId="48BA8945" w:rsidR="00D058FB" w:rsidRDefault="00D058FB" w:rsidP="00F043FC">
      <w:pPr>
        <w:rPr>
          <w:rFonts w:ascii="Arial" w:hAnsi="Arial" w:cs="Arial"/>
          <w:sz w:val="24"/>
          <w:szCs w:val="24"/>
        </w:rPr>
      </w:pPr>
    </w:p>
    <w:p w14:paraId="3730F169" w14:textId="6BAA1EB6" w:rsidR="00D058FB" w:rsidRDefault="00D058FB" w:rsidP="00F043FC">
      <w:pPr>
        <w:rPr>
          <w:rFonts w:ascii="Arial" w:hAnsi="Arial" w:cs="Arial"/>
          <w:sz w:val="24"/>
          <w:szCs w:val="24"/>
        </w:rPr>
      </w:pPr>
    </w:p>
    <w:p w14:paraId="78691696" w14:textId="72947D0A" w:rsidR="00D058FB" w:rsidRDefault="00D058FB" w:rsidP="00F043FC">
      <w:pPr>
        <w:rPr>
          <w:rFonts w:ascii="Arial" w:hAnsi="Arial" w:cs="Arial"/>
          <w:sz w:val="24"/>
          <w:szCs w:val="24"/>
        </w:rPr>
      </w:pPr>
    </w:p>
    <w:p w14:paraId="458DCEE9" w14:textId="6C47983C" w:rsidR="00D058FB" w:rsidRDefault="00D058FB" w:rsidP="00F043FC">
      <w:pPr>
        <w:rPr>
          <w:rFonts w:ascii="Arial" w:hAnsi="Arial" w:cs="Arial"/>
          <w:sz w:val="24"/>
          <w:szCs w:val="24"/>
        </w:rPr>
      </w:pPr>
    </w:p>
    <w:p w14:paraId="11A81C9A" w14:textId="795DFB83" w:rsidR="00D058FB" w:rsidRDefault="00D058FB" w:rsidP="00F043FC">
      <w:pPr>
        <w:rPr>
          <w:rFonts w:ascii="Arial" w:hAnsi="Arial" w:cs="Arial"/>
          <w:sz w:val="24"/>
          <w:szCs w:val="24"/>
        </w:rPr>
      </w:pPr>
    </w:p>
    <w:p w14:paraId="2586B9F1" w14:textId="3C981503" w:rsidR="00D058FB" w:rsidRDefault="00D058FB" w:rsidP="00F043FC">
      <w:pPr>
        <w:rPr>
          <w:rFonts w:ascii="Arial" w:hAnsi="Arial" w:cs="Arial"/>
          <w:sz w:val="24"/>
          <w:szCs w:val="24"/>
        </w:rPr>
      </w:pPr>
    </w:p>
    <w:p w14:paraId="316AF25A" w14:textId="6EE02D80" w:rsidR="00D058FB" w:rsidRDefault="00D058FB" w:rsidP="00F043FC">
      <w:pPr>
        <w:rPr>
          <w:rFonts w:ascii="Arial" w:hAnsi="Arial" w:cs="Arial"/>
          <w:sz w:val="24"/>
          <w:szCs w:val="24"/>
        </w:rPr>
      </w:pPr>
    </w:p>
    <w:p w14:paraId="293E7A4B" w14:textId="5CE64D36" w:rsidR="00D058FB" w:rsidRDefault="00D058FB" w:rsidP="00F043FC">
      <w:pPr>
        <w:rPr>
          <w:rFonts w:ascii="Arial" w:hAnsi="Arial" w:cs="Arial"/>
          <w:sz w:val="24"/>
          <w:szCs w:val="24"/>
        </w:rPr>
      </w:pPr>
    </w:p>
    <w:p w14:paraId="0A2CF2C7" w14:textId="796A6DD1" w:rsidR="00D058FB" w:rsidRDefault="00D058FB" w:rsidP="00F043FC">
      <w:pPr>
        <w:rPr>
          <w:rFonts w:ascii="Arial" w:hAnsi="Arial" w:cs="Arial"/>
          <w:sz w:val="24"/>
          <w:szCs w:val="24"/>
        </w:rPr>
      </w:pPr>
    </w:p>
    <w:p w14:paraId="0303ED9B" w14:textId="48BEFE64" w:rsidR="00D058FB" w:rsidRDefault="00D058FB" w:rsidP="00F043FC">
      <w:pPr>
        <w:rPr>
          <w:rFonts w:ascii="Arial" w:hAnsi="Arial" w:cs="Arial"/>
          <w:sz w:val="24"/>
          <w:szCs w:val="24"/>
        </w:rPr>
      </w:pPr>
    </w:p>
    <w:p w14:paraId="62322D2D" w14:textId="39FC08F1" w:rsidR="00D058FB" w:rsidRDefault="00D058FB" w:rsidP="00F043FC">
      <w:pPr>
        <w:rPr>
          <w:rFonts w:ascii="Arial" w:hAnsi="Arial" w:cs="Arial"/>
          <w:sz w:val="24"/>
          <w:szCs w:val="24"/>
        </w:rPr>
      </w:pPr>
    </w:p>
    <w:p w14:paraId="14EFC71E" w14:textId="77777777" w:rsidR="00D058FB" w:rsidRPr="00282F46" w:rsidRDefault="00D058FB" w:rsidP="00F043FC">
      <w:pPr>
        <w:rPr>
          <w:rFonts w:ascii="Arial" w:hAnsi="Arial" w:cs="Arial"/>
          <w:sz w:val="24"/>
          <w:szCs w:val="24"/>
        </w:rPr>
      </w:pPr>
    </w:p>
    <w:p w14:paraId="61F5F4F8" w14:textId="33C3AB88" w:rsidR="00DC11A3" w:rsidRPr="00282F46" w:rsidRDefault="00DC11A3" w:rsidP="00F043FC">
      <w:pPr>
        <w:rPr>
          <w:rFonts w:ascii="Arial" w:hAnsi="Arial" w:cs="Arial"/>
          <w:sz w:val="24"/>
          <w:szCs w:val="24"/>
        </w:rPr>
      </w:pPr>
    </w:p>
    <w:p w14:paraId="683DBE7A"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lastRenderedPageBreak/>
        <w:t xml:space="preserve">Asquith, N. </w:t>
      </w:r>
      <w:proofErr w:type="spellStart"/>
      <w:r w:rsidRPr="00D058FB">
        <w:rPr>
          <w:rFonts w:ascii="Arial" w:hAnsi="Arial" w:cs="Arial"/>
          <w:sz w:val="24"/>
          <w:szCs w:val="24"/>
        </w:rPr>
        <w:t>Bartkowiak</w:t>
      </w:r>
      <w:proofErr w:type="spellEnd"/>
      <w:r w:rsidRPr="00D058FB">
        <w:rPr>
          <w:rFonts w:ascii="Arial" w:hAnsi="Arial" w:cs="Arial"/>
          <w:sz w:val="24"/>
          <w:szCs w:val="24"/>
        </w:rPr>
        <w:t xml:space="preserve">-Theron, I and Roberts, K (2017) </w:t>
      </w:r>
      <w:r w:rsidRPr="00D058FB">
        <w:rPr>
          <w:rFonts w:ascii="Arial" w:hAnsi="Arial" w:cs="Arial"/>
          <w:i/>
          <w:iCs/>
          <w:sz w:val="24"/>
          <w:szCs w:val="24"/>
        </w:rPr>
        <w:t>Policing Encounters with Vulnerability</w:t>
      </w:r>
      <w:r w:rsidRPr="00D058FB">
        <w:rPr>
          <w:rFonts w:ascii="Arial" w:hAnsi="Arial" w:cs="Arial"/>
          <w:sz w:val="24"/>
          <w:szCs w:val="24"/>
        </w:rPr>
        <w:t xml:space="preserve">, [Online] Available: </w:t>
      </w:r>
      <w:hyperlink r:id="rId5" w:history="1">
        <w:r w:rsidRPr="00D058FB">
          <w:rPr>
            <w:rStyle w:val="Hyperlink"/>
            <w:rFonts w:ascii="Arial" w:hAnsi="Arial" w:cs="Arial"/>
            <w:sz w:val="24"/>
            <w:szCs w:val="24"/>
          </w:rPr>
          <w:t>https://ebookcentral.proquest.com/lib/trinity/detail.action?pq-origsite=primo&amp;docID=4855522</w:t>
        </w:r>
      </w:hyperlink>
      <w:r w:rsidRPr="00D058FB">
        <w:rPr>
          <w:rFonts w:ascii="Arial" w:hAnsi="Arial" w:cs="Arial"/>
          <w:sz w:val="24"/>
          <w:szCs w:val="24"/>
        </w:rPr>
        <w:t xml:space="preserve"> [Accessed: 3 November 2021].</w:t>
      </w:r>
    </w:p>
    <w:p w14:paraId="23C131E7"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Bibliography</w:t>
      </w:r>
    </w:p>
    <w:p w14:paraId="45A42DC1"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Blackstone’s (2021) </w:t>
      </w:r>
      <w:r w:rsidRPr="00D058FB">
        <w:rPr>
          <w:rFonts w:ascii="Arial" w:hAnsi="Arial" w:cs="Arial"/>
          <w:i/>
          <w:iCs/>
          <w:sz w:val="24"/>
          <w:szCs w:val="24"/>
        </w:rPr>
        <w:t>Handbook For Policing Students</w:t>
      </w:r>
      <w:r w:rsidRPr="00D058FB">
        <w:rPr>
          <w:rFonts w:ascii="Arial" w:hAnsi="Arial" w:cs="Arial"/>
          <w:sz w:val="24"/>
          <w:szCs w:val="24"/>
        </w:rPr>
        <w:t>, Fifteenth Edition, Oxford: Oxford University Press.</w:t>
      </w:r>
      <w:r w:rsidRPr="00D058FB">
        <w:rPr>
          <w:rFonts w:ascii="Arial" w:hAnsi="Arial" w:cs="Arial"/>
          <w:sz w:val="24"/>
          <w:szCs w:val="24"/>
        </w:rPr>
        <w:t xml:space="preserve"> </w:t>
      </w:r>
    </w:p>
    <w:p w14:paraId="467C1FDA"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College of Policing (2021) Victim Safety and Support, [Online] Available:</w:t>
      </w:r>
      <w:r w:rsidRPr="00D058FB">
        <w:rPr>
          <w:sz w:val="24"/>
          <w:szCs w:val="24"/>
        </w:rPr>
        <w:t xml:space="preserve"> </w:t>
      </w:r>
      <w:hyperlink r:id="rId6" w:history="1">
        <w:r w:rsidRPr="00D058FB">
          <w:rPr>
            <w:rStyle w:val="Hyperlink"/>
            <w:rFonts w:ascii="Arial" w:hAnsi="Arial" w:cs="Arial"/>
            <w:sz w:val="24"/>
            <w:szCs w:val="24"/>
          </w:rPr>
          <w:t>https://www.app.college.police.uk/app-content/major-investigation-and-public-protection/domestic-abuse/victim-safety-and-support/#communication-with-the-victim</w:t>
        </w:r>
      </w:hyperlink>
      <w:r w:rsidRPr="00D058FB">
        <w:rPr>
          <w:rFonts w:ascii="Arial" w:hAnsi="Arial" w:cs="Arial"/>
          <w:sz w:val="24"/>
          <w:szCs w:val="24"/>
        </w:rPr>
        <w:t xml:space="preserve"> [Accessed: 2 November 2021].</w:t>
      </w:r>
    </w:p>
    <w:p w14:paraId="22DEC6C3"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Criminal Justice Joint Inspection, (2015) </w:t>
      </w:r>
      <w:r w:rsidRPr="00D058FB">
        <w:rPr>
          <w:rFonts w:ascii="Arial" w:hAnsi="Arial" w:cs="Arial"/>
          <w:i/>
          <w:iCs/>
          <w:sz w:val="24"/>
          <w:szCs w:val="24"/>
        </w:rPr>
        <w:t>Meeting the Needs of Victims in the Criminal Justice System</w:t>
      </w:r>
      <w:r w:rsidRPr="00D058FB">
        <w:rPr>
          <w:rFonts w:ascii="Arial" w:hAnsi="Arial" w:cs="Arial"/>
          <w:sz w:val="24"/>
          <w:szCs w:val="24"/>
        </w:rPr>
        <w:t xml:space="preserve">, [Online] Available: </w:t>
      </w:r>
      <w:hyperlink r:id="rId7" w:history="1">
        <w:r w:rsidRPr="00D058FB">
          <w:rPr>
            <w:rStyle w:val="Hyperlink"/>
            <w:rFonts w:ascii="Arial" w:hAnsi="Arial" w:cs="Arial"/>
            <w:sz w:val="24"/>
            <w:szCs w:val="24"/>
          </w:rPr>
          <w:t>https://www.justiceinspectorates.gov.uk/cjji/wp-content/uploads/sites/2/2015/12/meeting-the-needs-of-victims-in-the-criminal-justice-system.pdf</w:t>
        </w:r>
      </w:hyperlink>
      <w:r w:rsidRPr="00D058FB">
        <w:rPr>
          <w:rFonts w:ascii="Arial" w:hAnsi="Arial" w:cs="Arial"/>
          <w:sz w:val="24"/>
          <w:szCs w:val="24"/>
        </w:rPr>
        <w:t xml:space="preserve"> [Accessed: 1 November 2021].</w:t>
      </w:r>
    </w:p>
    <w:p w14:paraId="577BF524"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Crown Prosecution Service (2019) </w:t>
      </w:r>
      <w:r w:rsidRPr="00D058FB">
        <w:rPr>
          <w:rFonts w:ascii="Arial" w:hAnsi="Arial" w:cs="Arial"/>
          <w:i/>
          <w:iCs/>
          <w:sz w:val="24"/>
          <w:szCs w:val="24"/>
        </w:rPr>
        <w:t>Restorative Justice</w:t>
      </w:r>
      <w:r w:rsidRPr="00D058FB">
        <w:rPr>
          <w:rFonts w:ascii="Arial" w:hAnsi="Arial" w:cs="Arial"/>
          <w:sz w:val="24"/>
          <w:szCs w:val="24"/>
        </w:rPr>
        <w:t xml:space="preserve">, [Online] Available: </w:t>
      </w:r>
      <w:hyperlink r:id="rId8" w:history="1">
        <w:r w:rsidRPr="00D058FB">
          <w:rPr>
            <w:rStyle w:val="Hyperlink"/>
            <w:rFonts w:ascii="Arial" w:hAnsi="Arial" w:cs="Arial"/>
            <w:sz w:val="24"/>
            <w:szCs w:val="24"/>
          </w:rPr>
          <w:t>https://www.cps.gov.uk/legal-guidance/restorative-justice</w:t>
        </w:r>
      </w:hyperlink>
      <w:r w:rsidRPr="00D058FB">
        <w:rPr>
          <w:rFonts w:ascii="Arial" w:hAnsi="Arial" w:cs="Arial"/>
          <w:sz w:val="24"/>
          <w:szCs w:val="24"/>
        </w:rPr>
        <w:t xml:space="preserve"> [Accessed: 3 November 2021].</w:t>
      </w:r>
    </w:p>
    <w:p w14:paraId="497838CC"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Fisher, B and Lab. (2010) </w:t>
      </w:r>
      <w:r w:rsidRPr="00D058FB">
        <w:rPr>
          <w:rFonts w:ascii="Arial" w:hAnsi="Arial" w:cs="Arial"/>
          <w:i/>
          <w:iCs/>
          <w:sz w:val="24"/>
          <w:szCs w:val="24"/>
        </w:rPr>
        <w:t xml:space="preserve">Encyclopaedia of victimology and Crime Prevention, </w:t>
      </w:r>
      <w:r w:rsidRPr="00D058FB">
        <w:rPr>
          <w:rFonts w:ascii="Arial" w:hAnsi="Arial" w:cs="Arial"/>
          <w:sz w:val="24"/>
          <w:szCs w:val="24"/>
        </w:rPr>
        <w:t>Vol. 1, pp. 997-1003.</w:t>
      </w:r>
      <w:r w:rsidRPr="00D058FB">
        <w:rPr>
          <w:rFonts w:ascii="Arial" w:hAnsi="Arial" w:cs="Arial"/>
          <w:i/>
          <w:iCs/>
          <w:sz w:val="24"/>
          <w:szCs w:val="24"/>
        </w:rPr>
        <w:t xml:space="preserve"> </w:t>
      </w:r>
      <w:r w:rsidRPr="00D058FB">
        <w:rPr>
          <w:rFonts w:ascii="Arial" w:hAnsi="Arial" w:cs="Arial"/>
          <w:sz w:val="24"/>
          <w:szCs w:val="24"/>
        </w:rPr>
        <w:t xml:space="preserve">[Online] Available: </w:t>
      </w:r>
      <w:hyperlink r:id="rId9" w:history="1">
        <w:r w:rsidRPr="00D058FB">
          <w:rPr>
            <w:rStyle w:val="Hyperlink"/>
            <w:rFonts w:ascii="Arial" w:hAnsi="Arial" w:cs="Arial"/>
            <w:sz w:val="24"/>
            <w:szCs w:val="24"/>
          </w:rPr>
          <w:t>https://sk-sagepub-com.ezproxy.uwtsd.ac.uk/reference/victimologyandcrime/n341.xml</w:t>
        </w:r>
      </w:hyperlink>
      <w:r w:rsidRPr="00D058FB">
        <w:rPr>
          <w:rFonts w:ascii="Arial" w:hAnsi="Arial" w:cs="Arial"/>
          <w:sz w:val="24"/>
          <w:szCs w:val="24"/>
        </w:rPr>
        <w:t xml:space="preserve"> [Accessed: 28 October 2021].  </w:t>
      </w:r>
    </w:p>
    <w:p w14:paraId="2427D855"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Garside, R. (2008) </w:t>
      </w:r>
      <w:r w:rsidRPr="00D058FB">
        <w:rPr>
          <w:rFonts w:ascii="Arial" w:hAnsi="Arial" w:cs="Arial"/>
          <w:i/>
          <w:iCs/>
          <w:sz w:val="24"/>
          <w:szCs w:val="24"/>
        </w:rPr>
        <w:t xml:space="preserve">The Purpose of the Criminal Justice System, </w:t>
      </w:r>
      <w:r w:rsidRPr="00D058FB">
        <w:rPr>
          <w:rFonts w:ascii="Arial" w:hAnsi="Arial" w:cs="Arial"/>
          <w:sz w:val="24"/>
          <w:szCs w:val="24"/>
        </w:rPr>
        <w:t xml:space="preserve">[Online] Available: </w:t>
      </w:r>
      <w:hyperlink r:id="rId10" w:history="1">
        <w:r w:rsidRPr="00D058FB">
          <w:rPr>
            <w:rStyle w:val="Hyperlink"/>
            <w:rFonts w:ascii="Arial" w:hAnsi="Arial" w:cs="Arial"/>
            <w:sz w:val="24"/>
            <w:szCs w:val="24"/>
          </w:rPr>
          <w:t>https://www.crimeandjustice.org.uk/resources/purpose-criminal-justice-system</w:t>
        </w:r>
      </w:hyperlink>
      <w:r w:rsidRPr="00D058FB">
        <w:rPr>
          <w:rFonts w:ascii="Arial" w:hAnsi="Arial" w:cs="Arial"/>
          <w:sz w:val="24"/>
          <w:szCs w:val="24"/>
        </w:rPr>
        <w:t xml:space="preserve"> [Accessed: 27 November 2021].</w:t>
      </w:r>
    </w:p>
    <w:p w14:paraId="27A2EFC6"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GOV.UK (2018) </w:t>
      </w:r>
      <w:r w:rsidRPr="00D058FB">
        <w:rPr>
          <w:rFonts w:ascii="Arial" w:hAnsi="Arial" w:cs="Arial"/>
          <w:i/>
          <w:iCs/>
          <w:sz w:val="24"/>
          <w:szCs w:val="24"/>
        </w:rPr>
        <w:t>Victim Personal Statement</w:t>
      </w:r>
      <w:r w:rsidRPr="00D058FB">
        <w:rPr>
          <w:rFonts w:ascii="Arial" w:hAnsi="Arial" w:cs="Arial"/>
          <w:sz w:val="24"/>
          <w:szCs w:val="24"/>
        </w:rPr>
        <w:t xml:space="preserve">, [Online] Available: </w:t>
      </w:r>
      <w:hyperlink r:id="rId11" w:history="1">
        <w:r w:rsidRPr="00D058FB">
          <w:rPr>
            <w:rStyle w:val="Hyperlink"/>
            <w:rFonts w:ascii="Arial" w:hAnsi="Arial" w:cs="Arial"/>
            <w:sz w:val="24"/>
            <w:szCs w:val="24"/>
          </w:rPr>
          <w:t>https://www.gov.uk/government/publications/victim-personal-statement</w:t>
        </w:r>
      </w:hyperlink>
      <w:r w:rsidRPr="00D058FB">
        <w:rPr>
          <w:rFonts w:ascii="Arial" w:hAnsi="Arial" w:cs="Arial"/>
          <w:sz w:val="24"/>
          <w:szCs w:val="24"/>
        </w:rPr>
        <w:t xml:space="preserve"> [Accessed: 2 November 2021].</w:t>
      </w:r>
    </w:p>
    <w:p w14:paraId="30D54FEE"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lastRenderedPageBreak/>
        <w:t xml:space="preserve">GOV.UK. (2021) </w:t>
      </w:r>
      <w:r w:rsidRPr="00D058FB">
        <w:rPr>
          <w:rFonts w:ascii="Arial" w:hAnsi="Arial" w:cs="Arial"/>
          <w:i/>
          <w:iCs/>
          <w:sz w:val="24"/>
          <w:szCs w:val="24"/>
        </w:rPr>
        <w:t xml:space="preserve">Ministry of Justice, </w:t>
      </w:r>
      <w:r w:rsidRPr="00D058FB">
        <w:rPr>
          <w:rFonts w:ascii="Arial" w:hAnsi="Arial" w:cs="Arial"/>
          <w:sz w:val="24"/>
          <w:szCs w:val="24"/>
        </w:rPr>
        <w:t xml:space="preserve">[Online] Available: </w:t>
      </w:r>
      <w:hyperlink r:id="rId12" w:history="1">
        <w:r w:rsidRPr="00D058FB">
          <w:rPr>
            <w:rStyle w:val="Hyperlink"/>
            <w:rFonts w:ascii="Arial" w:hAnsi="Arial" w:cs="Arial"/>
            <w:sz w:val="24"/>
            <w:szCs w:val="24"/>
          </w:rPr>
          <w:t>https://www.gov.uk/government/organisations/ministry-of-justice</w:t>
        </w:r>
      </w:hyperlink>
      <w:r w:rsidRPr="00D058FB">
        <w:rPr>
          <w:rFonts w:ascii="Arial" w:hAnsi="Arial" w:cs="Arial"/>
          <w:sz w:val="24"/>
          <w:szCs w:val="24"/>
        </w:rPr>
        <w:t xml:space="preserve"> [Accessed: 27 November 2021].</w:t>
      </w:r>
    </w:p>
    <w:p w14:paraId="02681E81"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Kermode, J and Walker, G. (1994) </w:t>
      </w:r>
      <w:r w:rsidRPr="00D058FB">
        <w:rPr>
          <w:rFonts w:ascii="Arial" w:hAnsi="Arial" w:cs="Arial"/>
          <w:i/>
          <w:iCs/>
          <w:sz w:val="24"/>
          <w:szCs w:val="24"/>
        </w:rPr>
        <w:t>Women, Crime and the Courts</w:t>
      </w:r>
      <w:r w:rsidRPr="00D058FB">
        <w:rPr>
          <w:rFonts w:ascii="Arial" w:hAnsi="Arial" w:cs="Arial"/>
          <w:sz w:val="24"/>
          <w:szCs w:val="24"/>
        </w:rPr>
        <w:t xml:space="preserve">, London: UCL Press Limited. </w:t>
      </w:r>
    </w:p>
    <w:p w14:paraId="6F66E173" w14:textId="77777777" w:rsidR="00D058FB" w:rsidRPr="00D058FB" w:rsidRDefault="00D058FB" w:rsidP="00D058FB">
      <w:pPr>
        <w:spacing w:line="480" w:lineRule="auto"/>
        <w:rPr>
          <w:rFonts w:ascii="Arial" w:hAnsi="Arial" w:cs="Arial"/>
          <w:sz w:val="24"/>
          <w:szCs w:val="24"/>
        </w:rPr>
      </w:pPr>
      <w:proofErr w:type="spellStart"/>
      <w:r w:rsidRPr="00D058FB">
        <w:rPr>
          <w:rFonts w:ascii="Arial" w:hAnsi="Arial" w:cs="Arial"/>
          <w:sz w:val="24"/>
          <w:szCs w:val="24"/>
        </w:rPr>
        <w:t>Liebmann</w:t>
      </w:r>
      <w:proofErr w:type="spellEnd"/>
      <w:r w:rsidRPr="00D058FB">
        <w:rPr>
          <w:rFonts w:ascii="Arial" w:hAnsi="Arial" w:cs="Arial"/>
          <w:sz w:val="24"/>
          <w:szCs w:val="24"/>
        </w:rPr>
        <w:t xml:space="preserve">, M (2007) </w:t>
      </w:r>
      <w:r w:rsidRPr="00D058FB">
        <w:rPr>
          <w:rFonts w:ascii="Arial" w:hAnsi="Arial" w:cs="Arial"/>
          <w:i/>
          <w:iCs/>
          <w:sz w:val="24"/>
          <w:szCs w:val="24"/>
        </w:rPr>
        <w:t>Restorative Justice How It Works</w:t>
      </w:r>
      <w:r w:rsidRPr="00D058FB">
        <w:rPr>
          <w:rFonts w:ascii="Arial" w:hAnsi="Arial" w:cs="Arial"/>
          <w:sz w:val="24"/>
          <w:szCs w:val="24"/>
        </w:rPr>
        <w:t xml:space="preserve">, Philadelphia: </w:t>
      </w:r>
      <w:r w:rsidRPr="00D058FB">
        <w:rPr>
          <w:rFonts w:ascii="Arial" w:hAnsi="Arial" w:cs="Arial"/>
          <w:sz w:val="24"/>
          <w:szCs w:val="24"/>
        </w:rPr>
        <w:t>Jessica Kingsley Publisher</w:t>
      </w:r>
      <w:r w:rsidRPr="00D058FB">
        <w:rPr>
          <w:rFonts w:ascii="Arial" w:hAnsi="Arial" w:cs="Arial"/>
          <w:sz w:val="24"/>
          <w:szCs w:val="24"/>
        </w:rPr>
        <w:t xml:space="preserve">s, [Online] Available: </w:t>
      </w:r>
      <w:hyperlink r:id="rId13" w:history="1">
        <w:r w:rsidRPr="00D058FB">
          <w:rPr>
            <w:rStyle w:val="Hyperlink"/>
            <w:rFonts w:ascii="Arial" w:hAnsi="Arial" w:cs="Arial"/>
            <w:sz w:val="24"/>
            <w:szCs w:val="24"/>
          </w:rPr>
          <w:t>https://web-p-ebscohost-com.ezproxy.uwtsd.ac.uk/ehost/ebookviewer/ebook/bmxlYmtfXzIwMjM0M19fQU41?sid=d3aaaaf4-8924-4c13-b79f-e036cf181bb7@redis&amp;vid=0&amp;format=EB&amp;rid=1</w:t>
        </w:r>
      </w:hyperlink>
      <w:r w:rsidRPr="00D058FB">
        <w:rPr>
          <w:rFonts w:ascii="Arial" w:hAnsi="Arial" w:cs="Arial"/>
          <w:sz w:val="24"/>
          <w:szCs w:val="24"/>
        </w:rPr>
        <w:t xml:space="preserve"> [Accessed: 3 November 2021].</w:t>
      </w:r>
    </w:p>
    <w:p w14:paraId="58E3E786"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Metropolitan Police (2021) </w:t>
      </w:r>
      <w:r w:rsidRPr="00D058FB">
        <w:rPr>
          <w:rFonts w:ascii="Arial" w:hAnsi="Arial" w:cs="Arial"/>
          <w:i/>
          <w:iCs/>
          <w:sz w:val="24"/>
          <w:szCs w:val="24"/>
        </w:rPr>
        <w:t>Support for Victims and Witnesses of Crime</w:t>
      </w:r>
      <w:r w:rsidRPr="00D058FB">
        <w:rPr>
          <w:rFonts w:ascii="Arial" w:hAnsi="Arial" w:cs="Arial"/>
          <w:sz w:val="24"/>
          <w:szCs w:val="24"/>
        </w:rPr>
        <w:t xml:space="preserve">, [Online] Available: </w:t>
      </w:r>
      <w:hyperlink r:id="rId14" w:history="1">
        <w:r w:rsidRPr="00D058FB">
          <w:rPr>
            <w:rStyle w:val="Hyperlink"/>
            <w:rFonts w:ascii="Arial" w:hAnsi="Arial" w:cs="Arial"/>
            <w:sz w:val="24"/>
            <w:szCs w:val="24"/>
          </w:rPr>
          <w:t>https://www.met.police.uk/advice/advice-and-information/victim-support/victim-witness-support/</w:t>
        </w:r>
      </w:hyperlink>
      <w:r w:rsidRPr="00D058FB">
        <w:rPr>
          <w:rFonts w:ascii="Arial" w:hAnsi="Arial" w:cs="Arial"/>
          <w:sz w:val="24"/>
          <w:szCs w:val="24"/>
        </w:rPr>
        <w:t xml:space="preserve"> [Accessed: 3 November 2021].</w:t>
      </w:r>
    </w:p>
    <w:p w14:paraId="3A35DC11"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Milne, E</w:t>
      </w:r>
      <w:r w:rsidRPr="00D058FB">
        <w:rPr>
          <w:rFonts w:ascii="Arial" w:hAnsi="Arial" w:cs="Arial"/>
          <w:sz w:val="24"/>
          <w:szCs w:val="24"/>
        </w:rPr>
        <w:t xml:space="preserve">. </w:t>
      </w:r>
      <w:r w:rsidRPr="00D058FB">
        <w:rPr>
          <w:rFonts w:ascii="Arial" w:hAnsi="Arial" w:cs="Arial"/>
          <w:sz w:val="24"/>
          <w:szCs w:val="24"/>
        </w:rPr>
        <w:t>Brennan, K</w:t>
      </w:r>
      <w:r w:rsidRPr="00D058FB">
        <w:rPr>
          <w:rFonts w:ascii="Arial" w:hAnsi="Arial" w:cs="Arial"/>
          <w:sz w:val="24"/>
          <w:szCs w:val="24"/>
        </w:rPr>
        <w:t xml:space="preserve">. </w:t>
      </w:r>
      <w:r w:rsidRPr="00D058FB">
        <w:rPr>
          <w:rFonts w:ascii="Arial" w:hAnsi="Arial" w:cs="Arial"/>
          <w:sz w:val="24"/>
          <w:szCs w:val="24"/>
        </w:rPr>
        <w:t>South, N</w:t>
      </w:r>
      <w:r w:rsidRPr="00D058FB">
        <w:rPr>
          <w:rFonts w:ascii="Arial" w:hAnsi="Arial" w:cs="Arial"/>
          <w:sz w:val="24"/>
          <w:szCs w:val="24"/>
        </w:rPr>
        <w:t>. and</w:t>
      </w:r>
      <w:r w:rsidRPr="00D058FB">
        <w:rPr>
          <w:rFonts w:ascii="Arial" w:hAnsi="Arial" w:cs="Arial"/>
          <w:sz w:val="24"/>
          <w:szCs w:val="24"/>
        </w:rPr>
        <w:t xml:space="preserve"> Turton, J (2018</w:t>
      </w:r>
      <w:r w:rsidRPr="00D058FB">
        <w:rPr>
          <w:rFonts w:ascii="Arial" w:hAnsi="Arial" w:cs="Arial"/>
          <w:sz w:val="24"/>
          <w:szCs w:val="24"/>
        </w:rPr>
        <w:t>)</w:t>
      </w:r>
      <w:r w:rsidRPr="00D058FB">
        <w:rPr>
          <w:rFonts w:ascii="Arial" w:hAnsi="Arial" w:cs="Arial"/>
          <w:sz w:val="24"/>
          <w:szCs w:val="24"/>
        </w:rPr>
        <w:t xml:space="preserve">, </w:t>
      </w:r>
      <w:r w:rsidRPr="00D058FB">
        <w:rPr>
          <w:rFonts w:ascii="Arial" w:hAnsi="Arial" w:cs="Arial"/>
          <w:i/>
          <w:iCs/>
          <w:sz w:val="24"/>
          <w:szCs w:val="24"/>
        </w:rPr>
        <w:t>Women and the Criminal Justice System: Failing Victims and Offenders?,</w:t>
      </w:r>
      <w:r w:rsidRPr="00D058FB">
        <w:rPr>
          <w:rFonts w:ascii="Arial" w:hAnsi="Arial" w:cs="Arial"/>
          <w:sz w:val="24"/>
          <w:szCs w:val="24"/>
        </w:rPr>
        <w:t xml:space="preserve"> [Online] Available: </w:t>
      </w:r>
      <w:hyperlink r:id="rId15" w:history="1">
        <w:r w:rsidRPr="00D058FB">
          <w:rPr>
            <w:rStyle w:val="Hyperlink"/>
            <w:rFonts w:ascii="Arial" w:hAnsi="Arial" w:cs="Arial"/>
            <w:sz w:val="24"/>
            <w:szCs w:val="24"/>
          </w:rPr>
          <w:t>https://ebookcentral.proquest.com/lib/trinity/detail.action?pq-origsite=primo&amp;docID=5387340#</w:t>
        </w:r>
      </w:hyperlink>
      <w:r w:rsidRPr="00D058FB">
        <w:rPr>
          <w:rFonts w:ascii="Arial" w:hAnsi="Arial" w:cs="Arial"/>
          <w:sz w:val="24"/>
          <w:szCs w:val="24"/>
        </w:rPr>
        <w:t xml:space="preserve"> [Accessed: 2 November 2021]. </w:t>
      </w:r>
    </w:p>
    <w:p w14:paraId="3F485097"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Ministry of Justice (2015) </w:t>
      </w:r>
      <w:r w:rsidRPr="00D058FB">
        <w:rPr>
          <w:rFonts w:ascii="Arial" w:hAnsi="Arial" w:cs="Arial"/>
          <w:i/>
          <w:iCs/>
          <w:sz w:val="24"/>
          <w:szCs w:val="24"/>
        </w:rPr>
        <w:t>Revising the Victims’ Code Consultation Response</w:t>
      </w:r>
      <w:r w:rsidRPr="00D058FB">
        <w:rPr>
          <w:rFonts w:ascii="Arial" w:hAnsi="Arial" w:cs="Arial"/>
          <w:sz w:val="24"/>
          <w:szCs w:val="24"/>
        </w:rPr>
        <w:t xml:space="preserve">, [Online] Available: </w:t>
      </w:r>
      <w:hyperlink r:id="rId16" w:history="1">
        <w:r w:rsidRPr="00D058FB">
          <w:rPr>
            <w:rStyle w:val="Hyperlink"/>
            <w:rFonts w:ascii="Arial" w:hAnsi="Arial" w:cs="Arial"/>
            <w:sz w:val="24"/>
            <w:szCs w:val="24"/>
          </w:rPr>
          <w:t>https://assets.publishing.service.gov.uk/government/uploads/system/uploads/attachment_data/file/470214/impact-assessment.pdf</w:t>
        </w:r>
      </w:hyperlink>
      <w:r w:rsidRPr="00D058FB">
        <w:rPr>
          <w:rFonts w:ascii="Arial" w:hAnsi="Arial" w:cs="Arial"/>
          <w:sz w:val="24"/>
          <w:szCs w:val="24"/>
        </w:rPr>
        <w:t xml:space="preserve"> [Accessed: 2 November 2021].</w:t>
      </w:r>
    </w:p>
    <w:p w14:paraId="54489795"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Ministry of Justice, (2020) </w:t>
      </w:r>
      <w:r w:rsidRPr="00D058FB">
        <w:rPr>
          <w:rFonts w:ascii="Arial" w:hAnsi="Arial" w:cs="Arial"/>
          <w:i/>
          <w:iCs/>
          <w:sz w:val="24"/>
          <w:szCs w:val="24"/>
        </w:rPr>
        <w:t>Code of Practice for Victims of Crime in England and Wales</w:t>
      </w:r>
      <w:r w:rsidRPr="00D058FB">
        <w:rPr>
          <w:rFonts w:ascii="Arial" w:hAnsi="Arial" w:cs="Arial"/>
          <w:i/>
          <w:iCs/>
          <w:sz w:val="24"/>
          <w:szCs w:val="24"/>
        </w:rPr>
        <w:t xml:space="preserve">, </w:t>
      </w:r>
      <w:r w:rsidRPr="00D058FB">
        <w:rPr>
          <w:rFonts w:ascii="Arial" w:hAnsi="Arial" w:cs="Arial"/>
          <w:sz w:val="24"/>
          <w:szCs w:val="24"/>
        </w:rPr>
        <w:t xml:space="preserve">[Online] Available: </w:t>
      </w:r>
      <w:hyperlink r:id="rId17" w:history="1">
        <w:r w:rsidRPr="00D058FB">
          <w:rPr>
            <w:rStyle w:val="Hyperlink"/>
            <w:rFonts w:ascii="Arial" w:hAnsi="Arial" w:cs="Arial"/>
            <w:sz w:val="24"/>
            <w:szCs w:val="24"/>
          </w:rPr>
          <w:t>https://assets.publishing.service.gov.uk/government/uploads/system/uploads/attachment_data/file/936239/victims-code-2020.pdf</w:t>
        </w:r>
      </w:hyperlink>
      <w:r w:rsidRPr="00D058FB">
        <w:rPr>
          <w:rFonts w:ascii="Arial" w:hAnsi="Arial" w:cs="Arial"/>
          <w:sz w:val="24"/>
          <w:szCs w:val="24"/>
        </w:rPr>
        <w:t xml:space="preserve"> [Accessed: 2 November 2021].</w:t>
      </w:r>
    </w:p>
    <w:p w14:paraId="7FEC0A17" w14:textId="77777777" w:rsidR="00D058FB" w:rsidRPr="00D058FB" w:rsidRDefault="00D058FB" w:rsidP="00D058FB">
      <w:pPr>
        <w:spacing w:line="480" w:lineRule="auto"/>
        <w:rPr>
          <w:rFonts w:ascii="Arial" w:hAnsi="Arial" w:cs="Arial"/>
          <w:i/>
          <w:iCs/>
          <w:sz w:val="24"/>
          <w:szCs w:val="24"/>
        </w:rPr>
      </w:pPr>
      <w:r w:rsidRPr="00D058FB">
        <w:rPr>
          <w:rFonts w:ascii="Arial" w:hAnsi="Arial" w:cs="Arial"/>
          <w:sz w:val="24"/>
          <w:szCs w:val="24"/>
        </w:rPr>
        <w:t xml:space="preserve">Restorative Justice Council (2021) Evidence Supporting The Use Of Restorative Justice, [Online] Available: </w:t>
      </w:r>
      <w:hyperlink r:id="rId18" w:history="1">
        <w:r w:rsidRPr="00D058FB">
          <w:rPr>
            <w:rStyle w:val="Hyperlink"/>
            <w:rFonts w:ascii="Arial" w:hAnsi="Arial" w:cs="Arial"/>
            <w:sz w:val="24"/>
            <w:szCs w:val="24"/>
          </w:rPr>
          <w:t>https://restorativejustice.org.uk/resources/evidence-supporting-use-restorative-justice</w:t>
        </w:r>
      </w:hyperlink>
      <w:r w:rsidRPr="00D058FB">
        <w:rPr>
          <w:rFonts w:ascii="Arial" w:hAnsi="Arial" w:cs="Arial"/>
          <w:sz w:val="24"/>
          <w:szCs w:val="24"/>
        </w:rPr>
        <w:t xml:space="preserve"> [Accessed: 3 November 2021].</w:t>
      </w:r>
      <w:r w:rsidRPr="00D058FB">
        <w:rPr>
          <w:rFonts w:ascii="Arial" w:hAnsi="Arial" w:cs="Arial"/>
          <w:sz w:val="24"/>
          <w:szCs w:val="24"/>
        </w:rPr>
        <w:br/>
      </w:r>
    </w:p>
    <w:p w14:paraId="1D4C01D4"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lastRenderedPageBreak/>
        <w:t xml:space="preserve">Roberts, J and </w:t>
      </w:r>
      <w:proofErr w:type="spellStart"/>
      <w:r w:rsidRPr="00D058FB">
        <w:rPr>
          <w:rFonts w:ascii="Arial" w:hAnsi="Arial" w:cs="Arial"/>
          <w:sz w:val="24"/>
          <w:szCs w:val="24"/>
        </w:rPr>
        <w:t>Manikis</w:t>
      </w:r>
      <w:proofErr w:type="spellEnd"/>
      <w:r w:rsidRPr="00D058FB">
        <w:rPr>
          <w:rFonts w:ascii="Arial" w:hAnsi="Arial" w:cs="Arial"/>
          <w:sz w:val="24"/>
          <w:szCs w:val="24"/>
        </w:rPr>
        <w:t xml:space="preserve">, M (2013) ‘Victim </w:t>
      </w:r>
      <w:r w:rsidRPr="00D058FB">
        <w:rPr>
          <w:rFonts w:ascii="Arial" w:hAnsi="Arial" w:cs="Arial"/>
          <w:sz w:val="24"/>
          <w:szCs w:val="24"/>
        </w:rPr>
        <w:t>P</w:t>
      </w:r>
      <w:r w:rsidRPr="00D058FB">
        <w:rPr>
          <w:rFonts w:ascii="Arial" w:hAnsi="Arial" w:cs="Arial"/>
          <w:sz w:val="24"/>
          <w:szCs w:val="24"/>
        </w:rPr>
        <w:t xml:space="preserve">ersonal </w:t>
      </w:r>
      <w:r w:rsidRPr="00D058FB">
        <w:rPr>
          <w:rFonts w:ascii="Arial" w:hAnsi="Arial" w:cs="Arial"/>
          <w:sz w:val="24"/>
          <w:szCs w:val="24"/>
        </w:rPr>
        <w:t>S</w:t>
      </w:r>
      <w:r w:rsidRPr="00D058FB">
        <w:rPr>
          <w:rFonts w:ascii="Arial" w:hAnsi="Arial" w:cs="Arial"/>
          <w:sz w:val="24"/>
          <w:szCs w:val="24"/>
        </w:rPr>
        <w:t xml:space="preserve">tatements in England and Wales: Latest (and last) </w:t>
      </w:r>
      <w:r w:rsidRPr="00D058FB">
        <w:rPr>
          <w:rFonts w:ascii="Arial" w:hAnsi="Arial" w:cs="Arial"/>
          <w:sz w:val="24"/>
          <w:szCs w:val="24"/>
        </w:rPr>
        <w:t>T</w:t>
      </w:r>
      <w:r w:rsidRPr="00D058FB">
        <w:rPr>
          <w:rFonts w:ascii="Arial" w:hAnsi="Arial" w:cs="Arial"/>
          <w:sz w:val="24"/>
          <w:szCs w:val="24"/>
        </w:rPr>
        <w:t>rends from the Witness and Victim Experience Survey’, </w:t>
      </w:r>
      <w:r w:rsidRPr="00D058FB">
        <w:rPr>
          <w:rFonts w:ascii="Arial" w:hAnsi="Arial" w:cs="Arial"/>
          <w:i/>
          <w:iCs/>
          <w:sz w:val="24"/>
          <w:szCs w:val="24"/>
        </w:rPr>
        <w:t>Criminology &amp; Criminal Justice</w:t>
      </w:r>
      <w:r w:rsidRPr="00D058FB">
        <w:rPr>
          <w:rFonts w:ascii="Arial" w:hAnsi="Arial" w:cs="Arial"/>
          <w:sz w:val="24"/>
          <w:szCs w:val="24"/>
        </w:rPr>
        <w:t xml:space="preserve">, </w:t>
      </w:r>
      <w:r w:rsidRPr="00D058FB">
        <w:rPr>
          <w:rFonts w:ascii="Arial" w:hAnsi="Arial" w:cs="Arial"/>
          <w:sz w:val="24"/>
          <w:szCs w:val="24"/>
        </w:rPr>
        <w:t xml:space="preserve">Vol </w:t>
      </w:r>
      <w:r w:rsidRPr="00D058FB">
        <w:rPr>
          <w:rFonts w:ascii="Arial" w:hAnsi="Arial" w:cs="Arial"/>
          <w:sz w:val="24"/>
          <w:szCs w:val="24"/>
        </w:rPr>
        <w:t>13,</w:t>
      </w:r>
      <w:r w:rsidRPr="00D058FB">
        <w:rPr>
          <w:rFonts w:ascii="Arial" w:hAnsi="Arial" w:cs="Arial"/>
          <w:sz w:val="24"/>
          <w:szCs w:val="24"/>
        </w:rPr>
        <w:t xml:space="preserve"> Issue 3,</w:t>
      </w:r>
      <w:r w:rsidRPr="00D058FB">
        <w:rPr>
          <w:rFonts w:ascii="Arial" w:hAnsi="Arial" w:cs="Arial"/>
          <w:sz w:val="24"/>
          <w:szCs w:val="24"/>
        </w:rPr>
        <w:t xml:space="preserve"> </w:t>
      </w:r>
      <w:r w:rsidRPr="00D058FB">
        <w:rPr>
          <w:rFonts w:ascii="Arial" w:hAnsi="Arial" w:cs="Arial"/>
          <w:sz w:val="24"/>
          <w:szCs w:val="24"/>
        </w:rPr>
        <w:t xml:space="preserve">P </w:t>
      </w:r>
      <w:r w:rsidRPr="00D058FB">
        <w:rPr>
          <w:rFonts w:ascii="Arial" w:hAnsi="Arial" w:cs="Arial"/>
          <w:sz w:val="24"/>
          <w:szCs w:val="24"/>
        </w:rPr>
        <w:t>245–261</w:t>
      </w:r>
      <w:r w:rsidRPr="00D058FB">
        <w:rPr>
          <w:rFonts w:ascii="Arial" w:hAnsi="Arial" w:cs="Arial"/>
          <w:sz w:val="24"/>
          <w:szCs w:val="24"/>
        </w:rPr>
        <w:t xml:space="preserve">, [Online] Available: </w:t>
      </w:r>
      <w:hyperlink r:id="rId19" w:history="1">
        <w:r w:rsidRPr="00D058FB">
          <w:rPr>
            <w:rStyle w:val="Hyperlink"/>
            <w:rFonts w:ascii="Arial" w:hAnsi="Arial" w:cs="Arial"/>
            <w:sz w:val="24"/>
            <w:szCs w:val="24"/>
          </w:rPr>
          <w:t>https://journals-sagepub-com.ezproxy.uwtsd.ac.uk/doi/full/10.1177/1748895812452281</w:t>
        </w:r>
      </w:hyperlink>
      <w:r w:rsidRPr="00D058FB">
        <w:rPr>
          <w:rFonts w:ascii="Arial" w:hAnsi="Arial" w:cs="Arial"/>
          <w:sz w:val="24"/>
          <w:szCs w:val="24"/>
        </w:rPr>
        <w:t xml:space="preserve"> [Accessed: 2 November 2021].</w:t>
      </w:r>
    </w:p>
    <w:p w14:paraId="07EEE408" w14:textId="77777777" w:rsidR="00D058FB" w:rsidRPr="00D058FB" w:rsidRDefault="00D058FB" w:rsidP="00D058FB">
      <w:pPr>
        <w:spacing w:line="480" w:lineRule="auto"/>
        <w:rPr>
          <w:rFonts w:ascii="Arial" w:hAnsi="Arial" w:cs="Arial"/>
          <w:sz w:val="24"/>
          <w:szCs w:val="24"/>
        </w:rPr>
      </w:pPr>
      <w:proofErr w:type="spellStart"/>
      <w:r w:rsidRPr="00D058FB">
        <w:rPr>
          <w:rFonts w:ascii="Arial" w:hAnsi="Arial" w:cs="Arial"/>
          <w:sz w:val="24"/>
          <w:szCs w:val="24"/>
        </w:rPr>
        <w:t>Spalek</w:t>
      </w:r>
      <w:proofErr w:type="spellEnd"/>
      <w:r w:rsidRPr="00D058FB">
        <w:rPr>
          <w:rFonts w:ascii="Arial" w:hAnsi="Arial" w:cs="Arial"/>
          <w:sz w:val="24"/>
          <w:szCs w:val="24"/>
        </w:rPr>
        <w:t xml:space="preserve">, B. (2016) </w:t>
      </w:r>
      <w:r w:rsidRPr="00D058FB">
        <w:rPr>
          <w:rFonts w:ascii="Arial" w:hAnsi="Arial" w:cs="Arial"/>
          <w:i/>
          <w:iCs/>
          <w:sz w:val="24"/>
          <w:szCs w:val="24"/>
        </w:rPr>
        <w:t>Crime Victims: Theory, Policy and Practice</w:t>
      </w:r>
      <w:r w:rsidRPr="00D058FB">
        <w:rPr>
          <w:rFonts w:ascii="Arial" w:hAnsi="Arial" w:cs="Arial"/>
          <w:sz w:val="24"/>
          <w:szCs w:val="24"/>
        </w:rPr>
        <w:t xml:space="preserve">, [Online] Available: </w:t>
      </w:r>
      <w:hyperlink r:id="rId20" w:history="1">
        <w:r w:rsidRPr="00D058FB">
          <w:rPr>
            <w:rStyle w:val="Hyperlink"/>
            <w:rFonts w:ascii="Arial" w:hAnsi="Arial" w:cs="Arial"/>
            <w:sz w:val="24"/>
            <w:szCs w:val="24"/>
          </w:rPr>
          <w:t>https://www-vlebooks-com.ezproxy.uwtsd.ac.uk/Vleweb/Product/Index/913550?page=0</w:t>
        </w:r>
      </w:hyperlink>
      <w:r w:rsidRPr="00D058FB">
        <w:rPr>
          <w:rFonts w:ascii="Arial" w:hAnsi="Arial" w:cs="Arial"/>
          <w:sz w:val="24"/>
          <w:szCs w:val="24"/>
        </w:rPr>
        <w:t xml:space="preserve"> [Accessed: 27 November 2021].</w:t>
      </w:r>
    </w:p>
    <w:p w14:paraId="72AEBB5A"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Victim Support, (2021) </w:t>
      </w:r>
      <w:r w:rsidRPr="00D058FB">
        <w:rPr>
          <w:rFonts w:ascii="Arial" w:hAnsi="Arial" w:cs="Arial"/>
          <w:i/>
          <w:iCs/>
          <w:sz w:val="24"/>
          <w:szCs w:val="24"/>
        </w:rPr>
        <w:t xml:space="preserve">Victim Support, </w:t>
      </w:r>
      <w:r w:rsidRPr="00D058FB">
        <w:rPr>
          <w:rFonts w:ascii="Arial" w:hAnsi="Arial" w:cs="Arial"/>
          <w:sz w:val="24"/>
          <w:szCs w:val="24"/>
        </w:rPr>
        <w:t xml:space="preserve">[Online] Available: </w:t>
      </w:r>
      <w:hyperlink r:id="rId21" w:history="1">
        <w:r w:rsidRPr="00D058FB">
          <w:rPr>
            <w:rStyle w:val="Hyperlink"/>
            <w:rFonts w:ascii="Arial" w:hAnsi="Arial" w:cs="Arial"/>
            <w:sz w:val="24"/>
            <w:szCs w:val="24"/>
          </w:rPr>
          <w:t>https://www.victimsupport.org.uk/</w:t>
        </w:r>
      </w:hyperlink>
      <w:r w:rsidRPr="00D058FB">
        <w:rPr>
          <w:rFonts w:ascii="Arial" w:hAnsi="Arial" w:cs="Arial"/>
          <w:sz w:val="24"/>
          <w:szCs w:val="24"/>
        </w:rPr>
        <w:t xml:space="preserve"> [Accessed: 2 November 2021]. </w:t>
      </w:r>
    </w:p>
    <w:p w14:paraId="34567198" w14:textId="77777777" w:rsidR="00D058FB" w:rsidRPr="00D058FB" w:rsidRDefault="00D058FB" w:rsidP="00D058FB">
      <w:pPr>
        <w:spacing w:line="480" w:lineRule="auto"/>
        <w:rPr>
          <w:rFonts w:ascii="Arial" w:hAnsi="Arial" w:cs="Arial"/>
          <w:sz w:val="24"/>
          <w:szCs w:val="24"/>
        </w:rPr>
      </w:pPr>
      <w:proofErr w:type="spellStart"/>
      <w:r w:rsidRPr="00D058FB">
        <w:rPr>
          <w:rFonts w:ascii="Arial" w:hAnsi="Arial" w:cs="Arial"/>
          <w:sz w:val="24"/>
          <w:szCs w:val="24"/>
        </w:rPr>
        <w:t>Walklate</w:t>
      </w:r>
      <w:proofErr w:type="spellEnd"/>
      <w:r w:rsidRPr="00D058FB">
        <w:rPr>
          <w:rFonts w:ascii="Arial" w:hAnsi="Arial" w:cs="Arial"/>
          <w:sz w:val="24"/>
          <w:szCs w:val="24"/>
        </w:rPr>
        <w:t xml:space="preserve">, S (2001) </w:t>
      </w:r>
      <w:r w:rsidRPr="00D058FB">
        <w:rPr>
          <w:rFonts w:ascii="Arial" w:hAnsi="Arial" w:cs="Arial"/>
          <w:i/>
          <w:iCs/>
          <w:sz w:val="24"/>
          <w:szCs w:val="24"/>
        </w:rPr>
        <w:t xml:space="preserve">Gender, Crime and Criminal Justice’, </w:t>
      </w:r>
      <w:r w:rsidRPr="00D058FB">
        <w:rPr>
          <w:rFonts w:ascii="Arial" w:hAnsi="Arial" w:cs="Arial"/>
          <w:sz w:val="24"/>
          <w:szCs w:val="24"/>
        </w:rPr>
        <w:t>USA: Willan Publishing.</w:t>
      </w:r>
    </w:p>
    <w:p w14:paraId="73509E78"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Wolfgang, M and </w:t>
      </w:r>
      <w:proofErr w:type="spellStart"/>
      <w:r w:rsidRPr="00D058FB">
        <w:rPr>
          <w:rFonts w:ascii="Arial" w:hAnsi="Arial" w:cs="Arial"/>
          <w:sz w:val="24"/>
          <w:szCs w:val="24"/>
        </w:rPr>
        <w:t>Sellin</w:t>
      </w:r>
      <w:proofErr w:type="spellEnd"/>
      <w:r w:rsidRPr="00D058FB">
        <w:rPr>
          <w:rFonts w:ascii="Arial" w:hAnsi="Arial" w:cs="Arial"/>
          <w:sz w:val="24"/>
          <w:szCs w:val="24"/>
        </w:rPr>
        <w:t>, T. (2016) </w:t>
      </w:r>
      <w:r w:rsidRPr="00D058FB">
        <w:rPr>
          <w:rFonts w:ascii="Arial" w:hAnsi="Arial" w:cs="Arial"/>
          <w:i/>
          <w:iCs/>
          <w:sz w:val="24"/>
          <w:szCs w:val="24"/>
        </w:rPr>
        <w:t>Patterns in Criminal Homicide</w:t>
      </w:r>
      <w:r w:rsidRPr="00D058FB">
        <w:rPr>
          <w:rFonts w:ascii="Arial" w:hAnsi="Arial" w:cs="Arial"/>
          <w:sz w:val="24"/>
          <w:szCs w:val="24"/>
        </w:rPr>
        <w:t xml:space="preserve">, Reprint 2016, Philadelphia: University of Pennsylvania Press [Online] Available: </w:t>
      </w:r>
      <w:hyperlink r:id="rId22" w:history="1">
        <w:r w:rsidRPr="00D058FB">
          <w:rPr>
            <w:rStyle w:val="Hyperlink"/>
            <w:rFonts w:ascii="Arial" w:hAnsi="Arial" w:cs="Arial"/>
            <w:sz w:val="24"/>
            <w:szCs w:val="24"/>
          </w:rPr>
          <w:t>https://www-jstor-org.ezproxy.uwtsd.ac.uk/stable/j.ctv4s7hx0</w:t>
        </w:r>
      </w:hyperlink>
      <w:r w:rsidRPr="00D058FB">
        <w:rPr>
          <w:rFonts w:ascii="Arial" w:hAnsi="Arial" w:cs="Arial"/>
          <w:sz w:val="24"/>
          <w:szCs w:val="24"/>
        </w:rPr>
        <w:t xml:space="preserve"> [Accessed: 28 October 2021]. </w:t>
      </w:r>
    </w:p>
    <w:p w14:paraId="76DC6205" w14:textId="77777777" w:rsidR="00D058FB" w:rsidRPr="00D058FB" w:rsidRDefault="00D058FB" w:rsidP="00D058FB">
      <w:pPr>
        <w:spacing w:line="480" w:lineRule="auto"/>
        <w:rPr>
          <w:rFonts w:ascii="Arial" w:hAnsi="Arial" w:cs="Arial"/>
          <w:sz w:val="24"/>
          <w:szCs w:val="24"/>
        </w:rPr>
      </w:pPr>
      <w:r w:rsidRPr="00D058FB">
        <w:rPr>
          <w:rFonts w:ascii="Arial" w:hAnsi="Arial" w:cs="Arial"/>
          <w:sz w:val="24"/>
          <w:szCs w:val="24"/>
        </w:rPr>
        <w:t xml:space="preserve">Wright, M. (1991) </w:t>
      </w:r>
      <w:r w:rsidRPr="00D058FB">
        <w:rPr>
          <w:rFonts w:ascii="Arial" w:hAnsi="Arial" w:cs="Arial"/>
          <w:i/>
          <w:iCs/>
          <w:sz w:val="24"/>
          <w:szCs w:val="24"/>
        </w:rPr>
        <w:t xml:space="preserve">Justice for Victims and Offenders, </w:t>
      </w:r>
      <w:r w:rsidRPr="00D058FB">
        <w:rPr>
          <w:rFonts w:ascii="Arial" w:hAnsi="Arial" w:cs="Arial"/>
          <w:sz w:val="24"/>
          <w:szCs w:val="24"/>
        </w:rPr>
        <w:t>Buckingham: Open University Press.</w:t>
      </w:r>
    </w:p>
    <w:p w14:paraId="569103CB" w14:textId="77777777" w:rsidR="002626FE" w:rsidRPr="00282F46" w:rsidRDefault="002626FE" w:rsidP="00DC11A3">
      <w:pPr>
        <w:rPr>
          <w:rFonts w:ascii="Arial" w:hAnsi="Arial" w:cs="Arial"/>
          <w:sz w:val="24"/>
          <w:szCs w:val="24"/>
        </w:rPr>
      </w:pPr>
    </w:p>
    <w:p w14:paraId="5099DEC8" w14:textId="77777777" w:rsidR="00DC11A3" w:rsidRPr="00282F46" w:rsidRDefault="00DC11A3" w:rsidP="00F043FC">
      <w:pPr>
        <w:rPr>
          <w:rFonts w:ascii="Arial" w:hAnsi="Arial" w:cs="Arial"/>
          <w:i/>
          <w:iCs/>
          <w:sz w:val="24"/>
          <w:szCs w:val="24"/>
        </w:rPr>
      </w:pPr>
    </w:p>
    <w:sectPr w:rsidR="00DC11A3" w:rsidRPr="00282F46" w:rsidSect="002453A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8217A2"/>
    <w:multiLevelType w:val="multilevel"/>
    <w:tmpl w:val="974A8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453A5"/>
    <w:rsid w:val="00014D64"/>
    <w:rsid w:val="0009501A"/>
    <w:rsid w:val="000B2FF0"/>
    <w:rsid w:val="000F7A79"/>
    <w:rsid w:val="0010451D"/>
    <w:rsid w:val="001300A9"/>
    <w:rsid w:val="00147448"/>
    <w:rsid w:val="001B64DD"/>
    <w:rsid w:val="001B798F"/>
    <w:rsid w:val="001D034D"/>
    <w:rsid w:val="001F4567"/>
    <w:rsid w:val="002171CB"/>
    <w:rsid w:val="00222290"/>
    <w:rsid w:val="002453A5"/>
    <w:rsid w:val="002626FE"/>
    <w:rsid w:val="00277B37"/>
    <w:rsid w:val="00282F46"/>
    <w:rsid w:val="00283FA0"/>
    <w:rsid w:val="0029344C"/>
    <w:rsid w:val="002E5F72"/>
    <w:rsid w:val="00324DC5"/>
    <w:rsid w:val="003B0147"/>
    <w:rsid w:val="003B05E5"/>
    <w:rsid w:val="003B4856"/>
    <w:rsid w:val="003C693C"/>
    <w:rsid w:val="003C7809"/>
    <w:rsid w:val="003D5483"/>
    <w:rsid w:val="003F68D3"/>
    <w:rsid w:val="0041176B"/>
    <w:rsid w:val="0042043F"/>
    <w:rsid w:val="004307DE"/>
    <w:rsid w:val="004321D7"/>
    <w:rsid w:val="00440E3E"/>
    <w:rsid w:val="0045585B"/>
    <w:rsid w:val="004B6094"/>
    <w:rsid w:val="0054028C"/>
    <w:rsid w:val="00560891"/>
    <w:rsid w:val="005625D7"/>
    <w:rsid w:val="00585DCB"/>
    <w:rsid w:val="005A4287"/>
    <w:rsid w:val="005E3826"/>
    <w:rsid w:val="005F008C"/>
    <w:rsid w:val="0060179B"/>
    <w:rsid w:val="00603259"/>
    <w:rsid w:val="00664FB3"/>
    <w:rsid w:val="006A5052"/>
    <w:rsid w:val="006B0116"/>
    <w:rsid w:val="006B557A"/>
    <w:rsid w:val="006F2B7A"/>
    <w:rsid w:val="0076551D"/>
    <w:rsid w:val="00766AAA"/>
    <w:rsid w:val="00766BE3"/>
    <w:rsid w:val="00781DDB"/>
    <w:rsid w:val="007827F7"/>
    <w:rsid w:val="00787E81"/>
    <w:rsid w:val="007A2C83"/>
    <w:rsid w:val="007C14F6"/>
    <w:rsid w:val="007E61C2"/>
    <w:rsid w:val="00803039"/>
    <w:rsid w:val="008054D0"/>
    <w:rsid w:val="00833151"/>
    <w:rsid w:val="00843D71"/>
    <w:rsid w:val="008509D7"/>
    <w:rsid w:val="008733A5"/>
    <w:rsid w:val="00897520"/>
    <w:rsid w:val="008A5EB3"/>
    <w:rsid w:val="008C16B9"/>
    <w:rsid w:val="008C551B"/>
    <w:rsid w:val="00987E7D"/>
    <w:rsid w:val="009942B3"/>
    <w:rsid w:val="009B4761"/>
    <w:rsid w:val="00A216DB"/>
    <w:rsid w:val="00A30FA7"/>
    <w:rsid w:val="00A430B8"/>
    <w:rsid w:val="00A51106"/>
    <w:rsid w:val="00A61D91"/>
    <w:rsid w:val="00AA26F4"/>
    <w:rsid w:val="00AF35D6"/>
    <w:rsid w:val="00B36B6C"/>
    <w:rsid w:val="00B703B7"/>
    <w:rsid w:val="00BA4A95"/>
    <w:rsid w:val="00BE0446"/>
    <w:rsid w:val="00BF48F0"/>
    <w:rsid w:val="00BF757F"/>
    <w:rsid w:val="00BF787D"/>
    <w:rsid w:val="00C4547A"/>
    <w:rsid w:val="00C50A0C"/>
    <w:rsid w:val="00C931AE"/>
    <w:rsid w:val="00CA1DAF"/>
    <w:rsid w:val="00CA529B"/>
    <w:rsid w:val="00CA5F5D"/>
    <w:rsid w:val="00D03796"/>
    <w:rsid w:val="00D058DF"/>
    <w:rsid w:val="00D058FB"/>
    <w:rsid w:val="00D6154E"/>
    <w:rsid w:val="00D657AF"/>
    <w:rsid w:val="00D66D26"/>
    <w:rsid w:val="00D7153F"/>
    <w:rsid w:val="00D75CE7"/>
    <w:rsid w:val="00D83034"/>
    <w:rsid w:val="00DA5139"/>
    <w:rsid w:val="00DC11A3"/>
    <w:rsid w:val="00DD553F"/>
    <w:rsid w:val="00E015F3"/>
    <w:rsid w:val="00E1349D"/>
    <w:rsid w:val="00E13AF5"/>
    <w:rsid w:val="00E52277"/>
    <w:rsid w:val="00E7786B"/>
    <w:rsid w:val="00E81277"/>
    <w:rsid w:val="00E86A5B"/>
    <w:rsid w:val="00EB1C72"/>
    <w:rsid w:val="00F005E5"/>
    <w:rsid w:val="00F043FC"/>
    <w:rsid w:val="00F20603"/>
    <w:rsid w:val="00F24FEB"/>
    <w:rsid w:val="00F34611"/>
    <w:rsid w:val="00F56F7B"/>
    <w:rsid w:val="00FA022F"/>
    <w:rsid w:val="00FA2D66"/>
    <w:rsid w:val="00FA783C"/>
    <w:rsid w:val="00FC1CA5"/>
    <w:rsid w:val="00FC2781"/>
    <w:rsid w:val="00FF5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96564"/>
  <w15:docId w15:val="{0C5C3B1F-7996-49F7-971A-EB67350DE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3F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11A3"/>
    <w:rPr>
      <w:color w:val="0563C1" w:themeColor="hyperlink"/>
      <w:u w:val="single"/>
    </w:rPr>
  </w:style>
  <w:style w:type="character" w:styleId="UnresolvedMention">
    <w:name w:val="Unresolved Mention"/>
    <w:basedOn w:val="DefaultParagraphFont"/>
    <w:uiPriority w:val="99"/>
    <w:semiHidden/>
    <w:unhideWhenUsed/>
    <w:rsid w:val="006A50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352255">
      <w:bodyDiv w:val="1"/>
      <w:marLeft w:val="0"/>
      <w:marRight w:val="0"/>
      <w:marTop w:val="0"/>
      <w:marBottom w:val="0"/>
      <w:divBdr>
        <w:top w:val="none" w:sz="0" w:space="0" w:color="auto"/>
        <w:left w:val="none" w:sz="0" w:space="0" w:color="auto"/>
        <w:bottom w:val="none" w:sz="0" w:space="0" w:color="auto"/>
        <w:right w:val="none" w:sz="0" w:space="0" w:color="auto"/>
      </w:divBdr>
    </w:div>
    <w:div w:id="10902776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restorative-justice" TargetMode="External"/><Relationship Id="rId13" Type="http://schemas.openxmlformats.org/officeDocument/2006/relationships/hyperlink" Target="https://web-p-ebscohost-com.ezproxy.uwtsd.ac.uk/ehost/ebookviewer/ebook/bmxlYmtfXzIwMjM0M19fQU41?sid=d3aaaaf4-8924-4c13-b79f-e036cf181bb7@redis&amp;vid=0&amp;format=EB&amp;rid=1" TargetMode="External"/><Relationship Id="rId18" Type="http://schemas.openxmlformats.org/officeDocument/2006/relationships/hyperlink" Target="https://restorativejustice.org.uk/resources/evidence-supporting-use-restorative-justice" TargetMode="External"/><Relationship Id="rId3" Type="http://schemas.openxmlformats.org/officeDocument/2006/relationships/settings" Target="settings.xml"/><Relationship Id="rId21" Type="http://schemas.openxmlformats.org/officeDocument/2006/relationships/hyperlink" Target="https://www.victimsupport.org.uk/" TargetMode="External"/><Relationship Id="rId7" Type="http://schemas.openxmlformats.org/officeDocument/2006/relationships/hyperlink" Target="https://www.justiceinspectorates.gov.uk/cjji/wp-content/uploads/sites/2/2015/12/meeting-the-needs-of-victims-in-the-criminal-justice-system.pdf" TargetMode="External"/><Relationship Id="rId12" Type="http://schemas.openxmlformats.org/officeDocument/2006/relationships/hyperlink" Target="https://www.gov.uk/government/organisations/ministry-of-justice" TargetMode="External"/><Relationship Id="rId17" Type="http://schemas.openxmlformats.org/officeDocument/2006/relationships/hyperlink" Target="https://assets.publishing.service.gov.uk/government/uploads/system/uploads/attachment_data/file/936239/victims-code-2020.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70214/impact-assessment.pdf" TargetMode="External"/><Relationship Id="rId20" Type="http://schemas.openxmlformats.org/officeDocument/2006/relationships/hyperlink" Target="https://www-vlebooks-com.ezproxy.uwtsd.ac.uk/Vleweb/Product/Index/913550?page=0" TargetMode="External"/><Relationship Id="rId1" Type="http://schemas.openxmlformats.org/officeDocument/2006/relationships/numbering" Target="numbering.xml"/><Relationship Id="rId6" Type="http://schemas.openxmlformats.org/officeDocument/2006/relationships/hyperlink" Target="https://www.app.college.police.uk/app-content/major-investigation-and-public-protection/domestic-abuse/victim-safety-and-support/#communication-with-the-victim" TargetMode="External"/><Relationship Id="rId11" Type="http://schemas.openxmlformats.org/officeDocument/2006/relationships/hyperlink" Target="https://www.gov.uk/government/publications/victim-personal-statement" TargetMode="External"/><Relationship Id="rId24" Type="http://schemas.openxmlformats.org/officeDocument/2006/relationships/theme" Target="theme/theme1.xml"/><Relationship Id="rId5" Type="http://schemas.openxmlformats.org/officeDocument/2006/relationships/hyperlink" Target="https://ebookcentral.proquest.com/lib/trinity/detail.action?pq-origsite=primo&amp;docID=4855522" TargetMode="External"/><Relationship Id="rId15" Type="http://schemas.openxmlformats.org/officeDocument/2006/relationships/hyperlink" Target="https://ebookcentral.proquest.com/lib/trinity/detail.action?pq-origsite=primo&amp;docID=5387340#" TargetMode="External"/><Relationship Id="rId23" Type="http://schemas.openxmlformats.org/officeDocument/2006/relationships/fontTable" Target="fontTable.xml"/><Relationship Id="rId10" Type="http://schemas.openxmlformats.org/officeDocument/2006/relationships/hyperlink" Target="https://www.crimeandjustice.org.uk/resources/purpose-criminal-justice-system" TargetMode="External"/><Relationship Id="rId19" Type="http://schemas.openxmlformats.org/officeDocument/2006/relationships/hyperlink" Target="https://journals-sagepub-com.ezproxy.uwtsd.ac.uk/doi/full/10.1177/1748895812452281" TargetMode="External"/><Relationship Id="rId4" Type="http://schemas.openxmlformats.org/officeDocument/2006/relationships/webSettings" Target="webSettings.xml"/><Relationship Id="rId9" Type="http://schemas.openxmlformats.org/officeDocument/2006/relationships/hyperlink" Target="https://sk-sagepub-com.ezproxy.uwtsd.ac.uk/reference/victimologyandcrime/n341.xml" TargetMode="External"/><Relationship Id="rId14" Type="http://schemas.openxmlformats.org/officeDocument/2006/relationships/hyperlink" Target="https://www.met.police.uk/advice/advice-and-information/victim-support/victim-witness-support/" TargetMode="External"/><Relationship Id="rId22" Type="http://schemas.openxmlformats.org/officeDocument/2006/relationships/hyperlink" Target="https://www-jstor-org.ezproxy.uwtsd.ac.uk/stable/j.ctv4s7hx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6519</TotalTime>
  <Pages>12</Pages>
  <Words>3631</Words>
  <Characters>20700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39</cp:revision>
  <dcterms:created xsi:type="dcterms:W3CDTF">2021-10-27T02:00:00Z</dcterms:created>
  <dcterms:modified xsi:type="dcterms:W3CDTF">2021-11-05T20:52:00Z</dcterms:modified>
</cp:coreProperties>
</file>