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A05B9" w14:textId="77777777" w:rsidR="00B772FC" w:rsidRDefault="00B772FC">
      <w:pPr>
        <w:spacing w:before="1200"/>
      </w:pPr>
    </w:p>
    <w:p w14:paraId="458A4C85" w14:textId="77777777" w:rsidR="00B772FC" w:rsidRDefault="00624618">
      <w:pPr>
        <w:spacing w:after="120"/>
        <w:jc w:val="center"/>
      </w:pPr>
      <w:r>
        <w:rPr>
          <w:b/>
          <w:bCs/>
          <w:sz w:val="28"/>
          <w:szCs w:val="28"/>
        </w:rPr>
        <w:t>UNIVERSITY OF WALES TRINITY SAINT DAVID</w:t>
      </w:r>
    </w:p>
    <w:p w14:paraId="65A65AA3" w14:textId="77777777" w:rsidR="00B772FC" w:rsidRDefault="00624618">
      <w:pPr>
        <w:spacing w:after="480"/>
        <w:jc w:val="center"/>
      </w:pPr>
      <w:r>
        <w:rPr>
          <w:sz w:val="24"/>
          <w:szCs w:val="24"/>
        </w:rPr>
        <w:t>BSc Health and Social Care</w:t>
      </w:r>
    </w:p>
    <w:p w14:paraId="39F014A1" w14:textId="77777777" w:rsidR="00B772FC" w:rsidRDefault="00624618">
      <w:pPr>
        <w:spacing w:after="120"/>
        <w:jc w:val="center"/>
      </w:pPr>
      <w:r>
        <w:rPr>
          <w:b/>
          <w:bCs/>
          <w:sz w:val="26"/>
          <w:szCs w:val="26"/>
        </w:rPr>
        <w:t>Principles of Health and Social Care Practice</w:t>
      </w:r>
    </w:p>
    <w:p w14:paraId="4A54302A" w14:textId="77777777" w:rsidR="00B772FC" w:rsidRDefault="00624618">
      <w:pPr>
        <w:spacing w:after="720"/>
        <w:jc w:val="center"/>
      </w:pPr>
      <w:r>
        <w:rPr>
          <w:b/>
          <w:bCs/>
          <w:sz w:val="26"/>
          <w:szCs w:val="26"/>
        </w:rPr>
        <w:t>Component 1: Written Assignment (Reflective Report)</w:t>
      </w:r>
    </w:p>
    <w:p w14:paraId="1AC8A6A2" w14:textId="77777777" w:rsidR="00B772FC" w:rsidRDefault="00624618">
      <w:pPr>
        <w:spacing w:after="120"/>
        <w:jc w:val="center"/>
      </w:pPr>
      <w:r>
        <w:t>Student Name: Rabia Raja</w:t>
      </w:r>
    </w:p>
    <w:p w14:paraId="1EAD537E" w14:textId="77777777" w:rsidR="00B772FC" w:rsidRDefault="00624618">
      <w:pPr>
        <w:spacing w:after="120"/>
        <w:jc w:val="center"/>
      </w:pPr>
      <w:r>
        <w:t>Student Number: 2504610</w:t>
      </w:r>
    </w:p>
    <w:p w14:paraId="7A68DCEA" w14:textId="77777777" w:rsidR="00B772FC" w:rsidRDefault="00624618">
      <w:pPr>
        <w:spacing w:after="120"/>
        <w:jc w:val="center"/>
      </w:pPr>
      <w:r>
        <w:t xml:space="preserve">Module Code: </w:t>
      </w:r>
      <w:proofErr w:type="spellStart"/>
      <w:r>
        <w:t>BMHP5016</w:t>
      </w:r>
      <w:proofErr w:type="spellEnd"/>
    </w:p>
    <w:p w14:paraId="23EFFC8A" w14:textId="77777777" w:rsidR="00B772FC" w:rsidRDefault="00624618">
      <w:pPr>
        <w:spacing w:after="120"/>
        <w:jc w:val="center"/>
      </w:pPr>
      <w:r>
        <w:t>Module Title: Principles of Health and Social Care Practice</w:t>
      </w:r>
    </w:p>
    <w:p w14:paraId="48B7F39A" w14:textId="6260594A" w:rsidR="00B772FC" w:rsidRDefault="00624618">
      <w:pPr>
        <w:spacing w:after="120"/>
        <w:jc w:val="center"/>
      </w:pPr>
      <w:r>
        <w:t>Lecturers: Azida Zainol</w:t>
      </w:r>
    </w:p>
    <w:p w14:paraId="540940FF" w14:textId="77777777" w:rsidR="00B772FC" w:rsidRDefault="00624618">
      <w:pPr>
        <w:spacing w:after="480"/>
        <w:jc w:val="center"/>
      </w:pPr>
      <w:r>
        <w:t>Submission Date: 28 October 2026</w:t>
      </w:r>
    </w:p>
    <w:p w14:paraId="020F5F9E" w14:textId="7EDC090C" w:rsidR="00B772FC" w:rsidRDefault="00624618">
      <w:pPr>
        <w:spacing w:after="120"/>
        <w:jc w:val="center"/>
      </w:pPr>
      <w:r>
        <w:t>Word count: 21</w:t>
      </w:r>
      <w:r w:rsidR="009932E8">
        <w:t>96</w:t>
      </w:r>
      <w:r>
        <w:t xml:space="preserve"> words (excluding title page, contents and reference list)</w:t>
      </w:r>
    </w:p>
    <w:p w14:paraId="22D3CFDF" w14:textId="77777777" w:rsidR="00B772FC" w:rsidRDefault="00624618">
      <w:r>
        <w:br w:type="page"/>
      </w:r>
    </w:p>
    <w:p w14:paraId="32DA5C95" w14:textId="77777777" w:rsidR="00B772FC" w:rsidRDefault="00624618">
      <w:pPr>
        <w:pStyle w:val="Heading1"/>
        <w:spacing w:before="320" w:after="200"/>
      </w:pPr>
      <w:r>
        <w:rPr>
          <w:b/>
          <w:bCs/>
          <w:color w:val="000000"/>
          <w:sz w:val="28"/>
          <w:szCs w:val="28"/>
        </w:rPr>
        <w:lastRenderedPageBreak/>
        <w:t>Contents</w:t>
      </w:r>
    </w:p>
    <w:p w14:paraId="7E1E7DF1" w14:textId="77777777" w:rsidR="00B772FC" w:rsidRDefault="00624618">
      <w:pPr>
        <w:tabs>
          <w:tab w:val="right" w:leader="dot" w:pos="9026"/>
        </w:tabs>
        <w:spacing w:after="120"/>
        <w:jc w:val="left"/>
      </w:pPr>
      <w:r>
        <w:t>Introduction</w:t>
      </w:r>
      <w:r>
        <w:tab/>
        <w:t>3</w:t>
      </w:r>
    </w:p>
    <w:p w14:paraId="72D28121" w14:textId="77777777" w:rsidR="00B772FC" w:rsidRDefault="00624618">
      <w:pPr>
        <w:tabs>
          <w:tab w:val="right" w:leader="dot" w:pos="9026"/>
        </w:tabs>
        <w:spacing w:after="120"/>
        <w:jc w:val="left"/>
      </w:pPr>
      <w:r>
        <w:t>Task 1: Reflection on the Importance of the Principles</w:t>
      </w:r>
      <w:r>
        <w:tab/>
        <w:t>3</w:t>
      </w:r>
    </w:p>
    <w:p w14:paraId="10B0D57D" w14:textId="77777777" w:rsidR="00B772FC" w:rsidRDefault="00624618">
      <w:pPr>
        <w:tabs>
          <w:tab w:val="right" w:leader="dot" w:pos="9026"/>
        </w:tabs>
        <w:spacing w:after="120"/>
        <w:jc w:val="left"/>
      </w:pPr>
      <w:r>
        <w:t>Task 2: Application to Joan's Case Study</w:t>
      </w:r>
      <w:r>
        <w:tab/>
        <w:t>4</w:t>
      </w:r>
    </w:p>
    <w:p w14:paraId="6AFAD1AF" w14:textId="77777777" w:rsidR="00B772FC" w:rsidRDefault="00624618">
      <w:pPr>
        <w:tabs>
          <w:tab w:val="right" w:leader="dot" w:pos="9026"/>
        </w:tabs>
        <w:spacing w:after="120"/>
        <w:jc w:val="left"/>
      </w:pPr>
      <w:r>
        <w:t>Task 3: Self-Reflection as a Health and Social Care Professional</w:t>
      </w:r>
      <w:r>
        <w:tab/>
        <w:t>5</w:t>
      </w:r>
    </w:p>
    <w:p w14:paraId="334B0609" w14:textId="77777777" w:rsidR="00B772FC" w:rsidRDefault="00624618">
      <w:pPr>
        <w:tabs>
          <w:tab w:val="right" w:leader="dot" w:pos="9026"/>
        </w:tabs>
        <w:spacing w:after="120"/>
        <w:jc w:val="left"/>
      </w:pPr>
      <w:r>
        <w:t>Conclusion</w:t>
      </w:r>
      <w:r>
        <w:tab/>
        <w:t>7</w:t>
      </w:r>
    </w:p>
    <w:p w14:paraId="60334AA1" w14:textId="77777777" w:rsidR="00B772FC" w:rsidRDefault="00624618">
      <w:pPr>
        <w:tabs>
          <w:tab w:val="right" w:leader="dot" w:pos="9026"/>
        </w:tabs>
        <w:spacing w:after="120"/>
        <w:jc w:val="left"/>
      </w:pPr>
      <w:r>
        <w:t>Reference List</w:t>
      </w:r>
      <w:r>
        <w:tab/>
        <w:t>8</w:t>
      </w:r>
    </w:p>
    <w:p w14:paraId="2AC2E7A5" w14:textId="77777777" w:rsidR="00B772FC" w:rsidRDefault="00624618">
      <w:r>
        <w:br w:type="page"/>
      </w:r>
    </w:p>
    <w:p w14:paraId="123D60AA" w14:textId="77777777" w:rsidR="00B772FC" w:rsidRDefault="00624618" w:rsidP="00D26FCD">
      <w:pPr>
        <w:pStyle w:val="Heading1"/>
        <w:spacing w:before="320" w:after="200"/>
      </w:pPr>
      <w:r>
        <w:rPr>
          <w:b/>
          <w:bCs/>
          <w:color w:val="000000"/>
          <w:sz w:val="28"/>
          <w:szCs w:val="28"/>
        </w:rPr>
        <w:lastRenderedPageBreak/>
        <w:t>Introduction</w:t>
      </w:r>
    </w:p>
    <w:p w14:paraId="57B20451" w14:textId="17D2039A" w:rsidR="00B772FC" w:rsidRDefault="00673112" w:rsidP="00CC5D77">
      <w:pPr>
        <w:spacing w:after="200"/>
      </w:pPr>
      <w:r>
        <w:t xml:space="preserve">Modern day health and social care require experts to look outside clinical </w:t>
      </w:r>
      <w:r w:rsidR="00695DE0">
        <w:t>signs</w:t>
      </w:r>
      <w:r>
        <w:t xml:space="preserve"> and technical tasks, hiring a person's </w:t>
      </w:r>
      <w:r w:rsidR="00695DE0">
        <w:t>likings</w:t>
      </w:r>
      <w:r>
        <w:t xml:space="preserve">, emotions and </w:t>
      </w:r>
      <w:r w:rsidR="000D349A">
        <w:t>conditions</w:t>
      </w:r>
      <w:r>
        <w:t xml:space="preserve"> at the centre of everyday decisions. This reflective report examines three </w:t>
      </w:r>
      <w:r w:rsidR="00695DE0">
        <w:t>initial</w:t>
      </w:r>
      <w:r>
        <w:t xml:space="preserve"> principles governing professional practice in the United Kingdom: </w:t>
      </w:r>
      <w:r w:rsidR="000D349A">
        <w:t>individualised care</w:t>
      </w:r>
      <w:r>
        <w:t xml:space="preserve">, partnership working and ethical </w:t>
      </w:r>
      <w:r w:rsidR="000D349A">
        <w:t>preparation</w:t>
      </w:r>
      <w:r>
        <w:t xml:space="preserve">. It </w:t>
      </w:r>
      <w:r w:rsidR="00F47D2A">
        <w:t>examines</w:t>
      </w:r>
      <w:r>
        <w:t xml:space="preserve"> them through academic theory, </w:t>
      </w:r>
      <w:r w:rsidR="00695DE0">
        <w:t>state</w:t>
      </w:r>
      <w:r>
        <w:t xml:space="preserve"> policy and professional codes of </w:t>
      </w:r>
      <w:r w:rsidR="000D349A">
        <w:t>behaviour</w:t>
      </w:r>
      <w:r>
        <w:t xml:space="preserve">, then applies them to Joan's case study, </w:t>
      </w:r>
      <w:r w:rsidR="000D349A">
        <w:t>an</w:t>
      </w:r>
      <w:r>
        <w:t xml:space="preserve"> </w:t>
      </w:r>
      <w:r w:rsidR="000D349A">
        <w:t>available</w:t>
      </w:r>
      <w:r>
        <w:t xml:space="preserve"> </w:t>
      </w:r>
      <w:r w:rsidR="000D349A">
        <w:t>explanation</w:t>
      </w:r>
      <w:r>
        <w:t xml:space="preserve"> of a woman living with chronic illness. A personal reflection </w:t>
      </w:r>
      <w:r w:rsidR="000D349A">
        <w:t>planned</w:t>
      </w:r>
      <w:r>
        <w:t xml:space="preserve"> around Gibb</w:t>
      </w:r>
      <w:r w:rsidR="000D349A">
        <w:t>’</w:t>
      </w:r>
      <w:r>
        <w:t>s (1988) cycle identifies the skills and areas for development I will carry into my future practice.</w:t>
      </w:r>
    </w:p>
    <w:p w14:paraId="635C77DB" w14:textId="77777777" w:rsidR="00B772FC" w:rsidRDefault="00624618" w:rsidP="00D26FCD">
      <w:pPr>
        <w:pStyle w:val="Heading1"/>
        <w:spacing w:before="320" w:after="200"/>
      </w:pPr>
      <w:r>
        <w:rPr>
          <w:b/>
          <w:bCs/>
          <w:color w:val="000000"/>
          <w:sz w:val="28"/>
          <w:szCs w:val="28"/>
        </w:rPr>
        <w:t>Task 1: Reflection on the Importance of the Principles</w:t>
      </w:r>
    </w:p>
    <w:p w14:paraId="74E7B881" w14:textId="1C78D4FC" w:rsidR="00091E62" w:rsidRPr="00091E62" w:rsidRDefault="00EA6229" w:rsidP="00CC5D77">
      <w:pPr>
        <w:spacing w:after="200"/>
      </w:pPr>
      <w:r>
        <w:t xml:space="preserve">Individualised care is now the principle of health and social care in the United Kingdom. Professionals held decision making power </w:t>
      </w:r>
      <w:r w:rsidR="00B574AC">
        <w:t>while patients had no real choice</w:t>
      </w:r>
      <w:r>
        <w:t xml:space="preserve">, but </w:t>
      </w:r>
      <w:r w:rsidR="00B574AC">
        <w:t>modern</w:t>
      </w:r>
      <w:r>
        <w:t xml:space="preserve"> care plans are </w:t>
      </w:r>
      <w:r w:rsidR="00B574AC">
        <w:t>designed</w:t>
      </w:r>
      <w:r>
        <w:t xml:space="preserve"> by </w:t>
      </w:r>
      <w:r w:rsidR="00B574AC">
        <w:t>everyone’s</w:t>
      </w:r>
      <w:r>
        <w:t xml:space="preserve"> culture, financial </w:t>
      </w:r>
      <w:r w:rsidR="005F514D">
        <w:t>situations</w:t>
      </w:r>
      <w:r>
        <w:t xml:space="preserve"> and emotional needs. The Care Act 2014 </w:t>
      </w:r>
      <w:r w:rsidR="005F514D">
        <w:t>employed</w:t>
      </w:r>
      <w:r>
        <w:t xml:space="preserve"> </w:t>
      </w:r>
      <w:r w:rsidR="00F47D2A">
        <w:t xml:space="preserve">personal comfort within the law </w:t>
      </w:r>
      <w:r>
        <w:t xml:space="preserve">and Regulation 9 of the </w:t>
      </w:r>
      <w:r w:rsidR="005F514D">
        <w:t>connected</w:t>
      </w:r>
      <w:r>
        <w:t xml:space="preserve"> </w:t>
      </w:r>
      <w:r w:rsidR="00B574AC">
        <w:t>controlling</w:t>
      </w:r>
      <w:r>
        <w:t xml:space="preserve"> framework requires </w:t>
      </w:r>
      <w:r w:rsidR="00F47D2A">
        <w:t>workers</w:t>
      </w:r>
      <w:r>
        <w:t xml:space="preserve"> to deliver care that meets service user</w:t>
      </w:r>
      <w:r w:rsidR="00B574AC">
        <w:t>’</w:t>
      </w:r>
      <w:r>
        <w:t xml:space="preserve">s needs and </w:t>
      </w:r>
      <w:r w:rsidR="00B574AC">
        <w:t>reproduces</w:t>
      </w:r>
      <w:r>
        <w:t xml:space="preserve"> their preferences (Care Quality Commission, 2015). Maslow's (1943) </w:t>
      </w:r>
      <w:r w:rsidR="00B574AC">
        <w:t>order</w:t>
      </w:r>
      <w:r>
        <w:t xml:space="preserve"> of needs </w:t>
      </w:r>
      <w:r w:rsidR="00666274">
        <w:t xml:space="preserve">helps explain why this is important because clinical treatment deals with </w:t>
      </w:r>
      <w:r>
        <w:t xml:space="preserve">physiological and safety needs, </w:t>
      </w:r>
      <w:r w:rsidR="00666274">
        <w:t>but people also need to have their own place</w:t>
      </w:r>
      <w:r>
        <w:t xml:space="preserve">, dignity and </w:t>
      </w:r>
      <w:r w:rsidR="00B574AC">
        <w:t>confidence before they can succeed</w:t>
      </w:r>
      <w:r>
        <w:t>.</w:t>
      </w:r>
    </w:p>
    <w:p w14:paraId="6878883B" w14:textId="3378E26F" w:rsidR="00091E62" w:rsidRDefault="00091E62" w:rsidP="00CC5D77">
      <w:pPr>
        <w:rPr>
          <w:color w:val="C00000"/>
        </w:rPr>
      </w:pPr>
      <w:r w:rsidRPr="00091E62">
        <w:t>This means having open conversation with the person in relation to their privacy and right to be involved in decisions regarding their care including their own choices in their daily lives.</w:t>
      </w:r>
    </w:p>
    <w:p w14:paraId="56F915A4" w14:textId="6D3D70DF" w:rsidR="00B772FC" w:rsidRDefault="007F6890" w:rsidP="00CC5D77">
      <w:r w:rsidRPr="00A90481">
        <w:rPr>
          <w:color w:val="C00000"/>
        </w:rPr>
        <w:t xml:space="preserve"> </w:t>
      </w:r>
      <w:r>
        <w:t xml:space="preserve">NICE (2021) guidance on shared decision making explains that better outcomes can happen when professional medical knowledge is combined with the patient’s own values, wishes and personal priorities. </w:t>
      </w:r>
      <w:r w:rsidR="00666274">
        <w:t>A person’s choice cannot come before safety and if a request is unsafe</w:t>
      </w:r>
      <w:r w:rsidR="008D767F">
        <w:t>, professionals should explain this honestly and discuss a safer alternative.</w:t>
      </w:r>
      <w:r w:rsidR="00E85B56">
        <w:t xml:space="preserve"> </w:t>
      </w:r>
    </w:p>
    <w:p w14:paraId="031E9472" w14:textId="47DFBC09" w:rsidR="00091E62" w:rsidRPr="00AA4E79" w:rsidRDefault="00091E62" w:rsidP="00CC5D77">
      <w:r w:rsidRPr="00AA4E79">
        <w:t>individualized care does not mean that the carer has agreed to everything but rather discussing care options with the person and engaging them in their own care.</w:t>
      </w:r>
    </w:p>
    <w:p w14:paraId="12DAFF41" w14:textId="77777777" w:rsidR="00091E62" w:rsidRDefault="00091E62" w:rsidP="00CC5D77"/>
    <w:p w14:paraId="2E344555" w14:textId="3283CB2D" w:rsidR="00FC5074" w:rsidRDefault="00666274" w:rsidP="00CC5D77">
      <w:pPr>
        <w:spacing w:after="200"/>
      </w:pPr>
      <w:r>
        <w:t xml:space="preserve">Care works best when </w:t>
      </w:r>
      <w:r w:rsidR="008D767F">
        <w:t>professionals do not work alone</w:t>
      </w:r>
      <w:r w:rsidR="00624618">
        <w:t xml:space="preserve">. Partnership working brings together doctors, nurses, health professionals, social workers, families and unpaid carers around a shared plan. The Social Care Institute for Excellence (2015) describes co-production as </w:t>
      </w:r>
      <w:r w:rsidR="00E85B56">
        <w:t>a</w:t>
      </w:r>
      <w:r w:rsidR="00624618">
        <w:t xml:space="preserve"> </w:t>
      </w:r>
      <w:r w:rsidR="00E85B56">
        <w:t>method</w:t>
      </w:r>
      <w:r w:rsidR="00624618">
        <w:t xml:space="preserve"> in which service users and professionals share power and design support together, </w:t>
      </w:r>
      <w:r>
        <w:t>instead of services being given to someone. Bronfenbrenner’s</w:t>
      </w:r>
      <w:r w:rsidR="008D767F">
        <w:t xml:space="preserve"> (1979) ecological systems </w:t>
      </w:r>
      <w:r w:rsidR="008D767F">
        <w:lastRenderedPageBreak/>
        <w:t>theory supports this approach because a person’s health can be unfair by their family, community, services and wider policies</w:t>
      </w:r>
      <w:r w:rsidR="00624618">
        <w:t>.</w:t>
      </w:r>
    </w:p>
    <w:p w14:paraId="622C0B8E" w14:textId="1D0241F1" w:rsidR="00B772FC" w:rsidRPr="00FC5074" w:rsidRDefault="00FC5074" w:rsidP="00D26FCD">
      <w:pPr>
        <w:spacing w:after="200"/>
        <w:rPr>
          <w:b/>
          <w:bCs/>
        </w:rPr>
      </w:pPr>
      <w:r w:rsidRPr="00FC5074">
        <w:rPr>
          <w:b/>
          <w:bCs/>
        </w:rPr>
        <w:t>It can be difficult to achieve partnership working because of professional jargon, different management and record-keeping systems, budgetary constraints and different management and reporting systems</w:t>
      </w:r>
      <w:r>
        <w:rPr>
          <w:b/>
          <w:bCs/>
        </w:rPr>
        <w:t xml:space="preserve">. </w:t>
      </w:r>
      <w:r w:rsidR="008D767F">
        <w:t>The Health and Care Act 2022 established Integrated Care Systems to support partnership working between the NHS, local authorities and the voluntary sector</w:t>
      </w:r>
      <w:r w:rsidR="00624618">
        <w:t xml:space="preserve">. </w:t>
      </w:r>
      <w:r w:rsidR="0074497F">
        <w:t>Active</w:t>
      </w:r>
      <w:r w:rsidR="00624618">
        <w:t xml:space="preserve"> partnership depends on respect between professions, clear and communication and a goal </w:t>
      </w:r>
      <w:r w:rsidR="0074497F">
        <w:t>focussed</w:t>
      </w:r>
      <w:r w:rsidR="00624618">
        <w:t xml:space="preserve"> on the person rather than on organisational convenience.</w:t>
      </w:r>
    </w:p>
    <w:p w14:paraId="167E0C3F" w14:textId="79F69685" w:rsidR="00FC5074" w:rsidRPr="00A90481" w:rsidRDefault="00810B72" w:rsidP="00D26FCD">
      <w:pPr>
        <w:spacing w:after="200"/>
        <w:rPr>
          <w:color w:val="C00000"/>
        </w:rPr>
      </w:pPr>
      <w:r w:rsidRPr="00FC5074">
        <w:rPr>
          <w:b/>
          <w:bCs/>
        </w:rPr>
        <w:t>Good practice brings these principles together</w:t>
      </w:r>
      <w:r w:rsidR="00FC5074" w:rsidRPr="00FC5074">
        <w:rPr>
          <w:b/>
          <w:bCs/>
        </w:rPr>
        <w:t xml:space="preserve"> and</w:t>
      </w:r>
      <w:r w:rsidR="00751372" w:rsidRPr="00FC5074">
        <w:t xml:space="preserve"> </w:t>
      </w:r>
      <w:r w:rsidR="00751372">
        <w:t xml:space="preserve">requires respect, so that a person with capacity may accept or refuse treatment, while the Mental Capacity Act 2005 sets out how decisions should be in a person's best interests where capacity is absent. </w:t>
      </w:r>
      <w:r w:rsidR="007F6890">
        <w:t xml:space="preserve">Charity and not causing harm mean that professionals should do what is best for the person and try to avoid causing harm. This is also supported by the World Health Organization’s (2021) patient safety action plan. Respecting a person’s privacy helps them feel safe when talking about their personal information, while the Health and Care Professions Council (2024) standards give guidance about good communication, having the right skills and keeping information private. </w:t>
      </w:r>
      <w:r w:rsidR="00FC5074" w:rsidRPr="00FC5074">
        <w:rPr>
          <w:b/>
          <w:bCs/>
        </w:rPr>
        <w:t>unregistered support workers do not have a legal obligation to follow professional codes, they can use the above standards to develop their practices.</w:t>
      </w:r>
    </w:p>
    <w:p w14:paraId="56A3B5AE" w14:textId="24E4F2CD" w:rsidR="00B772FC" w:rsidRDefault="00624618" w:rsidP="00D26FCD">
      <w:pPr>
        <w:spacing w:after="200"/>
      </w:pPr>
      <w:r>
        <w:rPr>
          <w:b/>
          <w:bCs/>
          <w:color w:val="000000"/>
          <w:sz w:val="28"/>
          <w:szCs w:val="28"/>
        </w:rPr>
        <w:t>Task 2: Application to Joan's Case Study</w:t>
      </w:r>
    </w:p>
    <w:p w14:paraId="0D1D28BA" w14:textId="043DBE79" w:rsidR="005E4F06" w:rsidRPr="005E4F06" w:rsidRDefault="005E4F06" w:rsidP="00D26FCD">
      <w:pPr>
        <w:pStyle w:val="NormalWeb"/>
        <w:spacing w:before="0" w:beforeAutospacing="0" w:after="0" w:afterAutospacing="0" w:line="360" w:lineRule="auto"/>
        <w:jc w:val="both"/>
        <w:rPr>
          <w:rFonts w:ascii="Arial" w:hAnsi="Arial" w:cs="Arial"/>
          <w:sz w:val="22"/>
          <w:szCs w:val="22"/>
        </w:rPr>
      </w:pPr>
      <w:r w:rsidRPr="005E4F06">
        <w:rPr>
          <w:rFonts w:ascii="Arial" w:hAnsi="Arial" w:cs="Arial"/>
          <w:sz w:val="22"/>
          <w:szCs w:val="22"/>
        </w:rPr>
        <w:t xml:space="preserve">Joan’s case shows why it is important to understand why a person behaves in a certain way instead of simply calling them </w:t>
      </w:r>
      <w:r w:rsidR="00E262ED" w:rsidRPr="00E262ED">
        <w:rPr>
          <w:rFonts w:ascii="Arial" w:hAnsi="Arial" w:cs="Arial"/>
          <w:sz w:val="22"/>
          <w:szCs w:val="22"/>
        </w:rPr>
        <w:t>cooperating or not cooperating</w:t>
      </w:r>
      <w:r w:rsidR="00E262ED" w:rsidRPr="005E4F06">
        <w:rPr>
          <w:rFonts w:ascii="Arial" w:hAnsi="Arial" w:cs="Arial"/>
          <w:sz w:val="22"/>
          <w:szCs w:val="22"/>
        </w:rPr>
        <w:t xml:space="preserve"> </w:t>
      </w:r>
      <w:r w:rsidRPr="005E4F06">
        <w:rPr>
          <w:rFonts w:ascii="Arial" w:hAnsi="Arial" w:cs="Arial"/>
          <w:sz w:val="22"/>
          <w:szCs w:val="22"/>
        </w:rPr>
        <w:t>(Joan's Story, 2026).</w:t>
      </w:r>
    </w:p>
    <w:p w14:paraId="617DBC96" w14:textId="3201E0E3" w:rsidR="00B772FC" w:rsidRDefault="00624618" w:rsidP="00D26FCD">
      <w:r>
        <w:t xml:space="preserve">Joan lives with Chronic Obstructive Pulmonary Disease (COPD) and was </w:t>
      </w:r>
      <w:r w:rsidR="006D4399">
        <w:t>firstly</w:t>
      </w:r>
      <w:r>
        <w:t xml:space="preserve"> viewed as failing to follow advice because she missed outpatient appointments and repeatedly required emergency admission. </w:t>
      </w:r>
      <w:r w:rsidR="00226B2E">
        <w:t>The therapy team used the Patient Activation Measure (PAM), a validated measure of a person’s knowledge, skills and confidence in managing their own health</w:t>
      </w:r>
      <w:r>
        <w:t xml:space="preserve"> (Hibbard et al., 2004). Joan scored at level one, the lowest activation level, indicating low confidence, limited understanding of her condition and a sense of being </w:t>
      </w:r>
      <w:r w:rsidR="006D4399">
        <w:t>overcome</w:t>
      </w:r>
      <w:r>
        <w:t xml:space="preserve"> by her treatment </w:t>
      </w:r>
      <w:r w:rsidR="006D4399">
        <w:t>management</w:t>
      </w:r>
      <w:r>
        <w:t>.</w:t>
      </w:r>
    </w:p>
    <w:p w14:paraId="095137DA" w14:textId="043AC3FB" w:rsidR="00723891" w:rsidRDefault="00624618" w:rsidP="00D26FCD">
      <w:pPr>
        <w:spacing w:after="200"/>
      </w:pPr>
      <w:r>
        <w:t xml:space="preserve">The shift toward </w:t>
      </w:r>
      <w:r w:rsidR="00535D55">
        <w:t>individualized</w:t>
      </w:r>
      <w:r>
        <w:t xml:space="preserve"> care came when a member of the therapy team held regular, </w:t>
      </w:r>
      <w:r w:rsidR="00535D55">
        <w:t>slow</w:t>
      </w:r>
      <w:r>
        <w:t xml:space="preserve"> conversations with Joan in her own home and at her practice. </w:t>
      </w:r>
      <w:r w:rsidR="005A1A57">
        <w:t>Rather than assuming that her non-attendance was caused by a lack of motivation, the doctor explored the difficulties she experienced in her daily life</w:t>
      </w:r>
      <w:r>
        <w:t xml:space="preserve">. These discussions </w:t>
      </w:r>
      <w:r w:rsidR="00535D55">
        <w:t>exposed</w:t>
      </w:r>
      <w:r>
        <w:t xml:space="preserve"> that Joan also had uncontrolled Crohn's disease and that her fear of sudden bowel symptoms in public made leaving the house </w:t>
      </w:r>
      <w:r>
        <w:lastRenderedPageBreak/>
        <w:t xml:space="preserve">feel impossible. </w:t>
      </w:r>
      <w:r w:rsidR="00562ABF">
        <w:t>The team did not only focus on Joan’s breathing problem and whether she attended.</w:t>
      </w:r>
      <w:r w:rsidR="00535D55">
        <w:t xml:space="preserve"> </w:t>
      </w:r>
      <w:r w:rsidR="00562ABF">
        <w:t xml:space="preserve">Instead, they looked at Joan as a whole person. This follows </w:t>
      </w:r>
      <w:r w:rsidR="00562ABF" w:rsidRPr="00562ABF">
        <w:rPr>
          <w:rStyle w:val="Strong"/>
          <w:b w:val="0"/>
          <w:bCs w:val="0"/>
        </w:rPr>
        <w:t>NICE (2021) guidance on shared decisions</w:t>
      </w:r>
      <w:r w:rsidR="00562ABF" w:rsidRPr="00562ABF">
        <w:rPr>
          <w:b/>
          <w:bCs/>
        </w:rPr>
        <w:t xml:space="preserve"> </w:t>
      </w:r>
      <w:r w:rsidR="00562ABF" w:rsidRPr="00562ABF">
        <w:t>and</w:t>
      </w:r>
      <w:r w:rsidR="00562ABF" w:rsidRPr="00562ABF">
        <w:rPr>
          <w:b/>
          <w:bCs/>
        </w:rPr>
        <w:t xml:space="preserve"> </w:t>
      </w:r>
      <w:r w:rsidR="00562ABF" w:rsidRPr="00562ABF">
        <w:rPr>
          <w:rStyle w:val="Strong"/>
          <w:b w:val="0"/>
          <w:bCs w:val="0"/>
        </w:rPr>
        <w:t>CQC Regulation 9</w:t>
      </w:r>
      <w:r w:rsidR="00562ABF">
        <w:t xml:space="preserve"> rules for person-centred care. </w:t>
      </w:r>
      <w:r w:rsidR="00FC5074" w:rsidRPr="00FC5074">
        <w:rPr>
          <w:b/>
          <w:bCs/>
        </w:rPr>
        <w:t>This demanded a co-ordinated partnership approach as no specialist could deal with both issues.</w:t>
      </w:r>
      <w:r w:rsidR="00FC5074" w:rsidRPr="00FC5074">
        <w:t xml:space="preserve"> </w:t>
      </w:r>
      <w:r w:rsidR="00FC5074">
        <w:t>The</w:t>
      </w:r>
      <w:r>
        <w:t xml:space="preserve"> therapy team worked with Joan's general </w:t>
      </w:r>
      <w:r w:rsidR="00535D55">
        <w:t>doctor</w:t>
      </w:r>
      <w:r>
        <w:t xml:space="preserve">, who reviewed the management of her Crohn's disease, while the team </w:t>
      </w:r>
      <w:r w:rsidR="00535D55">
        <w:t>focussed</w:t>
      </w:r>
      <w:r>
        <w:t xml:space="preserve"> on rebuilding her confidence and agreeing goals. </w:t>
      </w:r>
      <w:r w:rsidR="00562ABF">
        <w:t xml:space="preserve">This shows the main idea of the Health and Care Act 2022. </w:t>
      </w:r>
      <w:r w:rsidR="0025028A" w:rsidRPr="0025028A">
        <w:rPr>
          <w:b/>
          <w:bCs/>
        </w:rPr>
        <w:t>By working together and sharing information, the services were able to meet Joan's needs, which one service alone would not have been able to achieve</w:t>
      </w:r>
      <w:r w:rsidR="0025028A" w:rsidRPr="0025028A">
        <w:rPr>
          <w:color w:val="C00000"/>
        </w:rPr>
        <w:t>.</w:t>
      </w:r>
      <w:r w:rsidR="00562ABF">
        <w:t xml:space="preserve"> </w:t>
      </w:r>
      <w:r>
        <w:t xml:space="preserve">Bronfenbrenner's (1979) model is visible here as well, since the </w:t>
      </w:r>
      <w:r w:rsidR="000F7A46">
        <w:t>involvement</w:t>
      </w:r>
      <w:r>
        <w:t xml:space="preserve"> addressed not only Joan's physiology but also her home </w:t>
      </w:r>
      <w:r w:rsidR="00535D55">
        <w:t>conditions</w:t>
      </w:r>
      <w:r>
        <w:t xml:space="preserve"> and her relationship with services.</w:t>
      </w:r>
    </w:p>
    <w:p w14:paraId="6B7B8B3F" w14:textId="20B5E006" w:rsidR="00723891" w:rsidRDefault="00723891" w:rsidP="00D26FCD">
      <w:pPr>
        <w:spacing w:after="200"/>
      </w:pPr>
      <w:r>
        <w:t>The importance of this approach can be seen in the way the team did not try to blame Joan. The staff did not blame her for missing appointments</w:t>
      </w:r>
      <w:r w:rsidR="000F7A46">
        <w:t>.</w:t>
      </w:r>
      <w:r>
        <w:t xml:space="preserve"> </w:t>
      </w:r>
      <w:r w:rsidR="00562ABF">
        <w:t xml:space="preserve">hey respected her independence and dignity by including her in decisions about her own care plan. </w:t>
      </w:r>
      <w:r>
        <w:t xml:space="preserve">Reducing emergency hospital </w:t>
      </w:r>
      <w:r w:rsidR="000F7A46">
        <w:t>charges</w:t>
      </w:r>
      <w:r>
        <w:t xml:space="preserve"> also helped the team meet their duty to keep Joan safe, as explained by the World Health Organization (2021).</w:t>
      </w:r>
    </w:p>
    <w:p w14:paraId="762A66C6" w14:textId="25877CB3" w:rsidR="00723891" w:rsidRDefault="00723891" w:rsidP="00D26FCD">
      <w:pPr>
        <w:spacing w:after="200"/>
      </w:pPr>
      <w:r>
        <w:t xml:space="preserve">The results </w:t>
      </w:r>
      <w:r w:rsidR="0014709A">
        <w:t>displayed</w:t>
      </w:r>
      <w:r>
        <w:t xml:space="preserve"> that this </w:t>
      </w:r>
      <w:r w:rsidR="0014709A">
        <w:t>method</w:t>
      </w:r>
      <w:r>
        <w:t xml:space="preserve"> was helpful. After seven months, Joan’s PAM score had increased by more than 40%. In the previous year, she attended six out of nine outpatient appointments and had two emergency admissions. In the following year, she missed only one out of ten appointments and had one emergency admission. She was also able to go Christmas shopping with her daughter and </w:t>
      </w:r>
      <w:r w:rsidR="0014709A">
        <w:t>organized her own community lung exercises</w:t>
      </w:r>
      <w:r>
        <w:t xml:space="preserve">. </w:t>
      </w:r>
      <w:r w:rsidR="0014709A">
        <w:t>Ethical and personal care is not just about being kind. It also helps people take part in their own treatment and makes better use of health and social care services.</w:t>
      </w:r>
    </w:p>
    <w:p w14:paraId="4EF9D7E5" w14:textId="77777777" w:rsidR="00B772FC" w:rsidRDefault="00624618" w:rsidP="00D26FCD">
      <w:pPr>
        <w:pStyle w:val="Heading1"/>
        <w:spacing w:before="320" w:after="200"/>
      </w:pPr>
      <w:r>
        <w:rPr>
          <w:b/>
          <w:bCs/>
          <w:color w:val="000000"/>
          <w:sz w:val="28"/>
          <w:szCs w:val="28"/>
        </w:rPr>
        <w:t>Task 3: Self-Reflection as a Health and Social Care Professional</w:t>
      </w:r>
    </w:p>
    <w:p w14:paraId="61DC56F6" w14:textId="3CF35F7F" w:rsidR="00B772FC" w:rsidRPr="0025028A" w:rsidRDefault="0025028A" w:rsidP="00D26FCD">
      <w:pPr>
        <w:spacing w:after="200"/>
        <w:rPr>
          <w:b/>
          <w:bCs/>
        </w:rPr>
      </w:pPr>
      <w:r w:rsidRPr="0025028A">
        <w:rPr>
          <w:b/>
          <w:bCs/>
        </w:rPr>
        <w:t>To explore how these principles may influence my own practices, I have chosen Gibbs’ (1988) reflective cycle to aid the process, the stages of which include describing the experience, identifying feelings, evaluating the events, analysing the situation, drawing conclusions and planning future action. An example from my early placement forms the basis of the following account, and the individual concerned has been asked to remain anonymous in order to respect confidentiality.</w:t>
      </w:r>
    </w:p>
    <w:p w14:paraId="5D011559" w14:textId="69899758" w:rsidR="00B772FC" w:rsidRDefault="00624618" w:rsidP="00D26FCD">
      <w:pPr>
        <w:spacing w:after="200"/>
      </w:pPr>
      <w:r>
        <w:t xml:space="preserve">During a morning shift on a busy ward, I was asked to support an older man with his personal care. When I </w:t>
      </w:r>
      <w:r w:rsidR="00FC3B90">
        <w:t>entered,</w:t>
      </w:r>
      <w:r>
        <w:t xml:space="preserve"> he appeared withdrawn and anxious, and he told me that he wanted to wash and dress himself. My first thought was that the ward was short of time and that allowing </w:t>
      </w:r>
      <w:r>
        <w:lastRenderedPageBreak/>
        <w:t>him to do this alone would delay the remainder of the round. I paused and listened</w:t>
      </w:r>
      <w:r w:rsidR="0025028A">
        <w:rPr>
          <w:color w:val="C00000"/>
        </w:rPr>
        <w:t>.</w:t>
      </w:r>
      <w:r>
        <w:t xml:space="preserve"> We agreed that I would lay out his washing items and clothing, then step outside the curtain while remaining close by, and assist with his lower legs only when he asked. Afterwards I recorded his preference in his care notes and informed the nurse in charge so that the approach would continue across shifts.</w:t>
      </w:r>
    </w:p>
    <w:p w14:paraId="655C64D1" w14:textId="75C38131" w:rsidR="0025028A" w:rsidRDefault="0025028A" w:rsidP="00D26FCD">
      <w:pPr>
        <w:spacing w:after="200"/>
      </w:pPr>
      <w:r>
        <w:t>O</w:t>
      </w:r>
      <w:r w:rsidRPr="0025028A">
        <w:t>ne morning shift, I was asked to assist an older man with his personal care. When I came to him, he seemed reserved and anxious and told me that he wanted to wash and dress himself. The first thought that came to my mind was that the ward was busy, and it was a waste of time, and I had other patients to attend to. However, I stopped, took a deep breath, and asked him what I could do for him. I offered to lay out his washing things and clothes and told him that I would step outside the curtain but be near him in case he needed help with anything. He agreed, and I left the curtain down, only helping him with his legs when he asked. After that, I ensured his preferences were noted in his care plan and reminded the other nurses to respect his wishes.</w:t>
      </w:r>
    </w:p>
    <w:p w14:paraId="5827A795" w14:textId="39402C72" w:rsidR="00B772FC" w:rsidRDefault="00D26FCD" w:rsidP="00D26FCD">
      <w:pPr>
        <w:spacing w:after="200"/>
      </w:pPr>
      <w:r w:rsidRPr="00D26FCD">
        <w:rPr>
          <w:b/>
          <w:bCs/>
        </w:rPr>
        <w:t>The strongest part of the episode was the decision to prioritise communication over speed, which safeguarded his dignity, independence and sense of control. Passing on his preference to senior staff allowed a person-centred approach to extend beyond my single interaction and become part of the team's shared record</w:t>
      </w:r>
      <w:r w:rsidR="00624618" w:rsidRPr="00A90481">
        <w:rPr>
          <w:color w:val="C00000"/>
        </w:rPr>
        <w:t xml:space="preserve">. </w:t>
      </w:r>
      <w:r w:rsidR="00624618">
        <w:t>The clearest weakness was that I had not asked about his wishes before I began. I adjusted part-way through the task, which left him briefly exposed and placed him in the position of having to assert himself while already feeling vulnerable.</w:t>
      </w:r>
    </w:p>
    <w:p w14:paraId="02ADF179" w14:textId="0F0509EC" w:rsidR="00562ABF" w:rsidRDefault="00624618" w:rsidP="00D26FCD">
      <w:pPr>
        <w:spacing w:after="200"/>
      </w:pPr>
      <w:r>
        <w:t xml:space="preserve">Maslow's (1943) hierarchy explains why this mattered. My immediate task addressed physiological and safety </w:t>
      </w:r>
      <w:r w:rsidR="00FC3B90">
        <w:t>needs but</w:t>
      </w:r>
      <w:r>
        <w:t xml:space="preserve"> imposing unnecessary help would have undermined his esteem and autonomy, which for him were as significant as cleanliness. The Care Act 2014 requires that wellbeing, including control over day-to-day life, is central to the support a person receives, and Regulation 9 requires care to reflect individual preferences (Care Quality Commission, 2015). </w:t>
      </w:r>
      <w:r w:rsidR="00D26FCD" w:rsidRPr="00D26FCD">
        <w:rPr>
          <w:b/>
          <w:bCs/>
        </w:rPr>
        <w:t>Ethically, the episode highlights that autonomy is demonstrated through everyday decisions, not just formal consent to treatment</w:t>
      </w:r>
      <w:r w:rsidRPr="00D26FCD">
        <w:rPr>
          <w:b/>
          <w:bCs/>
        </w:rPr>
        <w:t>.</w:t>
      </w:r>
      <w:r>
        <w:t xml:space="preserve"> The Mental Capacity Act 2005 begins from the presumption that an adult has capacity, and nothing in his presentation displaced that presumption. </w:t>
      </w:r>
      <w:r w:rsidR="00562ABF">
        <w:t>Telling the nurse in charge about his preference followed the Health and Care Professions Council (2024) guidance on keeping records and communicating clearly. It also shows Bronfenbrenner’s (1979) idea that a person’s experience is affected by the systems around them, such as the ward’s procedures and the way staff share information during handovers.</w:t>
      </w:r>
    </w:p>
    <w:p w14:paraId="274C7F3B" w14:textId="075CBB98" w:rsidR="005A1A57" w:rsidRDefault="00D26FCD" w:rsidP="00D26FCD">
      <w:pPr>
        <w:spacing w:after="200"/>
      </w:pPr>
      <w:r w:rsidRPr="00D26FCD">
        <w:rPr>
          <w:b/>
          <w:bCs/>
        </w:rPr>
        <w:lastRenderedPageBreak/>
        <w:t>This experience taught me that theory cannot dictate what one should do in every situatio</w:t>
      </w:r>
      <w:r>
        <w:rPr>
          <w:b/>
          <w:bCs/>
        </w:rPr>
        <w:t>n.</w:t>
      </w:r>
      <w:r w:rsidR="00562ABF" w:rsidRPr="00091E62">
        <w:rPr>
          <w:color w:val="C00000"/>
        </w:rPr>
        <w:t xml:space="preserve"> </w:t>
      </w:r>
      <w:r w:rsidR="00562ABF">
        <w:t>The main ideas and principles gave me a clear guide, but using them in practice depended on watching carefully, listening to the person and being ready to question my own ideas about doing things quickly. If I had not stopped and listened to him, I might have given care that was acceptable, but it would not have fully respected his wishes.</w:t>
      </w:r>
    </w:p>
    <w:p w14:paraId="1DB601F0" w14:textId="708CDDAC" w:rsidR="00B772FC" w:rsidRDefault="00D26FCD" w:rsidP="00D26FCD">
      <w:pPr>
        <w:spacing w:after="200"/>
      </w:pPr>
      <w:r w:rsidRPr="00D26FCD">
        <w:rPr>
          <w:b/>
          <w:bCs/>
        </w:rPr>
        <w:t xml:space="preserve">My current strengths are being able to listen actively, read body language and adapt my </w:t>
      </w:r>
      <w:r w:rsidR="00AA4E79" w:rsidRPr="00D26FCD">
        <w:rPr>
          <w:b/>
          <w:bCs/>
        </w:rPr>
        <w:t>behaviour</w:t>
      </w:r>
      <w:r w:rsidRPr="00D26FCD">
        <w:rPr>
          <w:b/>
          <w:bCs/>
        </w:rPr>
        <w:t xml:space="preserve"> based on the feedback I get. I am good at explaining things in a simple manner and I can keep track of the exact details and timely updates</w:t>
      </w:r>
      <w:r w:rsidR="00FC3B90" w:rsidRPr="00D26FCD">
        <w:rPr>
          <w:b/>
          <w:bCs/>
        </w:rPr>
        <w:t>.</w:t>
      </w:r>
      <w:r w:rsidR="00FC3B90">
        <w:t xml:space="preserve"> </w:t>
      </w:r>
      <w:r w:rsidR="005A1A57">
        <w:t>My main area for improvement is having the confidence to speak up about a person’s preferences to the wider multidisciplinary team, especially when their preferred option takes more time</w:t>
      </w:r>
      <w:r w:rsidR="00FC3B90">
        <w:t xml:space="preserve">. I am </w:t>
      </w:r>
      <w:r w:rsidR="00315023">
        <w:t>aware</w:t>
      </w:r>
      <w:r w:rsidR="00FC3B90">
        <w:t xml:space="preserve"> of being junior and I have at times hesitated to raise concerns with senior colleagues. I also need to deepen my working knowledge of the legal frameworks underpinning practice, especially the Mental Capacity Act 2005 and local safeguarding procedures, </w:t>
      </w:r>
      <w:r w:rsidR="005A1A57">
        <w:t>so that I can base my decisions on legislation rather than only on my own judgement</w:t>
      </w:r>
      <w:r w:rsidR="00FC3B90">
        <w:t>. A third area is my understanding of the roles of partner agencies, which would allow me to contribute more effectively to the integrated working promoted by the Health and Care Act 2022. Within an Integrated Care System, support workers are often the people who notice a change first, so knowing who to escalate to, and how, is a practical skill rather than an abstract one.</w:t>
      </w:r>
    </w:p>
    <w:p w14:paraId="08C0D5D4" w14:textId="77777777" w:rsidR="009932E8" w:rsidRDefault="00624618" w:rsidP="00D26FCD">
      <w:pPr>
        <w:spacing w:after="200"/>
      </w:pPr>
      <w:r>
        <w:t>My development plan therefore has four elements. First, I will make a consistent habit of asking every person about their preferred level of independence before beginning any episode of personal care, and of recording the answer. Second, I will complete training on consent, mental capacity and safeguarding during my next placement, and ask my practice supervisor to observe and give feedback on how I raise a person's preferences during handover. Third, I will maintain a private reflective log of communication episodes using Gibb</w:t>
      </w:r>
      <w:r w:rsidR="00505669">
        <w:t>’</w:t>
      </w:r>
      <w:r>
        <w:t xml:space="preserve">s cycle, </w:t>
      </w:r>
      <w:r w:rsidR="00505669">
        <w:t>reviewing it monthly with my mentor so that I can learn from my experiences on a regular basis</w:t>
      </w:r>
      <w:r>
        <w:t xml:space="preserve">. Fourth, I will seek opportunities to shadow colleagues from other professions, such as occupational therapy and social work, </w:t>
      </w:r>
      <w:r w:rsidR="009932E8">
        <w:t>to</w:t>
      </w:r>
      <w:r>
        <w:t xml:space="preserve"> understand their contribution and build the confidence to work across professional boundaries. </w:t>
      </w:r>
      <w:r w:rsidR="009932E8">
        <w:t>Together, these steps should help me provide care that is suitable for each person, involves them in decisions and follows good ethical practice.</w:t>
      </w:r>
    </w:p>
    <w:p w14:paraId="27746DC4" w14:textId="5CFA489F" w:rsidR="00B772FC" w:rsidRDefault="00624618" w:rsidP="00D26FCD">
      <w:pPr>
        <w:spacing w:after="200"/>
      </w:pPr>
      <w:r>
        <w:rPr>
          <w:b/>
          <w:bCs/>
          <w:color w:val="000000"/>
          <w:sz w:val="28"/>
          <w:szCs w:val="28"/>
        </w:rPr>
        <w:t>Conclusion</w:t>
      </w:r>
    </w:p>
    <w:p w14:paraId="38A3CA07" w14:textId="514386EE" w:rsidR="00B772FC" w:rsidRDefault="00505669" w:rsidP="00D26FCD">
      <w:pPr>
        <w:spacing w:after="200"/>
      </w:pPr>
      <w:r>
        <w:t>Individualised care, partnership working and ethical practice are important for providing quality health and social care</w:t>
      </w:r>
      <w:r w:rsidR="00315023">
        <w:t xml:space="preserve">. Individualized care confirms that support responds to the person rather than to the diagnosis partnership working draws together the professionals, agencies and </w:t>
      </w:r>
      <w:r w:rsidR="00315023">
        <w:lastRenderedPageBreak/>
        <w:t>families needed to address complex and interconnected needs; and ethical practice ensures that care remains respectful, safe and protective of human dignity.</w:t>
      </w:r>
    </w:p>
    <w:p w14:paraId="7E8A2F81" w14:textId="10A4A831" w:rsidR="00B772FC" w:rsidRDefault="00505669" w:rsidP="00D26FCD">
      <w:pPr>
        <w:spacing w:after="200"/>
      </w:pPr>
      <w:r>
        <w:t>Joan’s case shows how coordinated and feeling care can support a person’s freedom while also reducing unnecessary pressure on services</w:t>
      </w:r>
      <w:r w:rsidR="00624618">
        <w:t xml:space="preserve"> and my own ward reflection shows that these principles are </w:t>
      </w:r>
      <w:r>
        <w:t>passed</w:t>
      </w:r>
      <w:r w:rsidR="00624618">
        <w:t xml:space="preserve"> through small everyday decisions rather than policy alone. Looking ahead, I am committed to strengthening my communication, my knowledge of relevant legislation and my confidence in collaborative working, so that my practice remains consistently person-centred, ethical and safe.</w:t>
      </w:r>
    </w:p>
    <w:p w14:paraId="10AE541F" w14:textId="77777777" w:rsidR="00D26FCD" w:rsidRDefault="00D26FCD" w:rsidP="00673112">
      <w:pPr>
        <w:spacing w:after="200"/>
        <w:jc w:val="left"/>
      </w:pPr>
    </w:p>
    <w:p w14:paraId="164D5436" w14:textId="22293801" w:rsidR="00B772FC" w:rsidRDefault="00B772FC" w:rsidP="00673112">
      <w:pPr>
        <w:jc w:val="left"/>
      </w:pPr>
    </w:p>
    <w:p w14:paraId="2FA46845" w14:textId="77777777" w:rsidR="00B772FC" w:rsidRDefault="00624618" w:rsidP="00673112">
      <w:pPr>
        <w:pStyle w:val="Heading1"/>
        <w:spacing w:before="320" w:after="200"/>
        <w:jc w:val="left"/>
      </w:pPr>
      <w:r>
        <w:rPr>
          <w:b/>
          <w:bCs/>
          <w:color w:val="000000"/>
          <w:sz w:val="28"/>
          <w:szCs w:val="28"/>
        </w:rPr>
        <w:t>Reference List</w:t>
      </w:r>
    </w:p>
    <w:p w14:paraId="5140F1F0" w14:textId="77777777" w:rsidR="00B772FC" w:rsidRDefault="00624618" w:rsidP="00D26FCD">
      <w:pPr>
        <w:spacing w:after="200"/>
        <w:ind w:left="567" w:hanging="567"/>
        <w:jc w:val="left"/>
      </w:pPr>
      <w:r>
        <w:t>Bronfenbrenner, U. (1979) The Ecology of Human Development: Experiments by Nature and Design. Cambridge, MA: Harvard University Press.</w:t>
      </w:r>
    </w:p>
    <w:p w14:paraId="438E59FB" w14:textId="77777777" w:rsidR="00B772FC" w:rsidRDefault="00624618" w:rsidP="00D26FCD">
      <w:pPr>
        <w:spacing w:after="200"/>
        <w:ind w:left="567" w:hanging="567"/>
        <w:jc w:val="left"/>
      </w:pPr>
      <w:r>
        <w:t xml:space="preserve">Care Act 2014, c. 23. London: The Stationery Office. Available at: </w:t>
      </w:r>
      <w:hyperlink r:id="rId7" w:history="1">
        <w:r w:rsidR="00B772FC">
          <w:rPr>
            <w:rStyle w:val="Hyperlink"/>
          </w:rPr>
          <w:t>https://</w:t>
        </w:r>
        <w:proofErr w:type="spellStart"/>
        <w:r w:rsidR="00B772FC">
          <w:rPr>
            <w:rStyle w:val="Hyperlink"/>
          </w:rPr>
          <w:t>www.legislation.gov.uk</w:t>
        </w:r>
        <w:proofErr w:type="spellEnd"/>
        <w:r w:rsidR="00B772FC">
          <w:rPr>
            <w:rStyle w:val="Hyperlink"/>
          </w:rPr>
          <w:t>/</w:t>
        </w:r>
        <w:proofErr w:type="spellStart"/>
        <w:r w:rsidR="00B772FC">
          <w:rPr>
            <w:rStyle w:val="Hyperlink"/>
          </w:rPr>
          <w:t>ukpga</w:t>
        </w:r>
        <w:proofErr w:type="spellEnd"/>
        <w:r w:rsidR="00B772FC">
          <w:rPr>
            <w:rStyle w:val="Hyperlink"/>
          </w:rPr>
          <w:t>/2014/23/contents</w:t>
        </w:r>
      </w:hyperlink>
      <w:r>
        <w:t xml:space="preserve"> (Accessed: 18 September 2026).</w:t>
      </w:r>
    </w:p>
    <w:p w14:paraId="471ECB33" w14:textId="77777777" w:rsidR="00B772FC" w:rsidRDefault="00624618" w:rsidP="00D26FCD">
      <w:pPr>
        <w:spacing w:after="200"/>
        <w:ind w:left="567" w:hanging="567"/>
        <w:jc w:val="left"/>
      </w:pPr>
      <w:r>
        <w:t xml:space="preserve">Care Quality Commission (2015) Regulation 9: Person-centred care. Available at: </w:t>
      </w:r>
      <w:hyperlink r:id="rId8" w:history="1">
        <w:r w:rsidR="00B772FC">
          <w:rPr>
            <w:rStyle w:val="Hyperlink"/>
          </w:rPr>
          <w:t>https://www.cqc.org.uk/guidance-regulation/providers/regulations-service-providers-and-managers/health-social-care-act/regulation-9</w:t>
        </w:r>
      </w:hyperlink>
      <w:r>
        <w:t xml:space="preserve"> (Accessed: 18 September 2026).</w:t>
      </w:r>
    </w:p>
    <w:p w14:paraId="03663547" w14:textId="77777777" w:rsidR="00B772FC" w:rsidRDefault="00624618" w:rsidP="00D26FCD">
      <w:pPr>
        <w:spacing w:after="200"/>
        <w:ind w:left="567" w:hanging="567"/>
        <w:jc w:val="left"/>
      </w:pPr>
      <w:r>
        <w:t>Gibbs, G. (1988) Learning by Doing: A Guide to Teaching and Learning Methods. Oxford: Further Education Unit, Oxford Polytechnic.</w:t>
      </w:r>
    </w:p>
    <w:p w14:paraId="03169ECB" w14:textId="77777777" w:rsidR="00B772FC" w:rsidRDefault="00624618" w:rsidP="00D26FCD">
      <w:pPr>
        <w:spacing w:after="200"/>
        <w:ind w:left="567" w:hanging="567"/>
        <w:jc w:val="left"/>
      </w:pPr>
      <w:r>
        <w:t xml:space="preserve">Health and Care Act 2022, c. 31. London: The Stationery Office. Available at: </w:t>
      </w:r>
      <w:hyperlink r:id="rId9" w:history="1">
        <w:r w:rsidR="00B772FC">
          <w:rPr>
            <w:rStyle w:val="Hyperlink"/>
          </w:rPr>
          <w:t>https://</w:t>
        </w:r>
        <w:proofErr w:type="spellStart"/>
        <w:r w:rsidR="00B772FC">
          <w:rPr>
            <w:rStyle w:val="Hyperlink"/>
          </w:rPr>
          <w:t>www.legislation.gov.uk</w:t>
        </w:r>
        <w:proofErr w:type="spellEnd"/>
        <w:r w:rsidR="00B772FC">
          <w:rPr>
            <w:rStyle w:val="Hyperlink"/>
          </w:rPr>
          <w:t>/</w:t>
        </w:r>
        <w:proofErr w:type="spellStart"/>
        <w:r w:rsidR="00B772FC">
          <w:rPr>
            <w:rStyle w:val="Hyperlink"/>
          </w:rPr>
          <w:t>ukpga</w:t>
        </w:r>
        <w:proofErr w:type="spellEnd"/>
        <w:r w:rsidR="00B772FC">
          <w:rPr>
            <w:rStyle w:val="Hyperlink"/>
          </w:rPr>
          <w:t>/2022/31/contents</w:t>
        </w:r>
      </w:hyperlink>
      <w:r>
        <w:t xml:space="preserve"> (Accessed: 18 September 2026).</w:t>
      </w:r>
    </w:p>
    <w:p w14:paraId="15D6757D" w14:textId="77777777" w:rsidR="00B772FC" w:rsidRDefault="00624618" w:rsidP="00D26FCD">
      <w:pPr>
        <w:spacing w:after="200"/>
        <w:ind w:left="567" w:hanging="567"/>
        <w:jc w:val="left"/>
      </w:pPr>
      <w:r>
        <w:t xml:space="preserve">Health and Care Professions Council (2024) Standards of Conduct, Performance and Ethics. Available at: </w:t>
      </w:r>
      <w:hyperlink r:id="rId10" w:history="1">
        <w:r w:rsidR="00B772FC">
          <w:rPr>
            <w:rStyle w:val="Hyperlink"/>
          </w:rPr>
          <w:t>https://www.hcpc-uk.org/standards/standards-of-conduct-performance-and-ethics/</w:t>
        </w:r>
      </w:hyperlink>
      <w:r>
        <w:t xml:space="preserve"> (Accessed: 18 September 2026).</w:t>
      </w:r>
    </w:p>
    <w:p w14:paraId="5F66088A" w14:textId="77777777" w:rsidR="00B772FC" w:rsidRDefault="00624618" w:rsidP="00D26FCD">
      <w:pPr>
        <w:spacing w:after="200"/>
        <w:ind w:left="567" w:hanging="567"/>
        <w:jc w:val="left"/>
      </w:pPr>
      <w:r>
        <w:t>Hibbard, J.H., Stockard, J., Mahoney, E.R. and Tusler, M. (2004) 'Development of the Patient Activation Measure (PAM): conceptualizing and measuring activation in patients and consumers', Health Services Research, 39(4 Pt 1), pp. 1005-1026.</w:t>
      </w:r>
    </w:p>
    <w:p w14:paraId="68627597" w14:textId="77777777" w:rsidR="00B772FC" w:rsidRDefault="00624618" w:rsidP="00D26FCD">
      <w:pPr>
        <w:spacing w:after="200"/>
        <w:ind w:left="567" w:hanging="567"/>
        <w:jc w:val="left"/>
      </w:pPr>
      <w:r>
        <w:lastRenderedPageBreak/>
        <w:t xml:space="preserve">Joan's Story (2026) Health and Social Care Practice Case Studies. Carmarthen: </w:t>
      </w:r>
      <w:proofErr w:type="spellStart"/>
      <w:r>
        <w:t>UWTSD</w:t>
      </w:r>
      <w:proofErr w:type="spellEnd"/>
      <w:r>
        <w:t xml:space="preserve"> Module Resource, </w:t>
      </w:r>
      <w:proofErr w:type="spellStart"/>
      <w:r>
        <w:t>BMHP5016</w:t>
      </w:r>
      <w:proofErr w:type="spellEnd"/>
      <w:r>
        <w:t>.</w:t>
      </w:r>
    </w:p>
    <w:p w14:paraId="24460B6E" w14:textId="77777777" w:rsidR="00B772FC" w:rsidRDefault="00624618" w:rsidP="00D26FCD">
      <w:pPr>
        <w:spacing w:after="200"/>
        <w:ind w:left="567" w:hanging="567"/>
        <w:jc w:val="left"/>
      </w:pPr>
      <w:r>
        <w:t>Maslow, A.H. (1943) 'A theory of human motivation', Psychological Review, 50(4), pp. 370-396.</w:t>
      </w:r>
    </w:p>
    <w:p w14:paraId="2E31522E" w14:textId="77777777" w:rsidR="00B772FC" w:rsidRDefault="00624618" w:rsidP="00D26FCD">
      <w:pPr>
        <w:spacing w:after="200"/>
        <w:ind w:left="567" w:hanging="567"/>
        <w:jc w:val="left"/>
      </w:pPr>
      <w:r>
        <w:t xml:space="preserve">Mental Capacity Act 2005, c. 9. London: The Stationery Office. Available at: </w:t>
      </w:r>
      <w:hyperlink r:id="rId11" w:history="1">
        <w:r w:rsidR="00B772FC">
          <w:rPr>
            <w:rStyle w:val="Hyperlink"/>
          </w:rPr>
          <w:t>https://</w:t>
        </w:r>
        <w:proofErr w:type="spellStart"/>
        <w:r w:rsidR="00B772FC">
          <w:rPr>
            <w:rStyle w:val="Hyperlink"/>
          </w:rPr>
          <w:t>www.legislation.gov.uk</w:t>
        </w:r>
        <w:proofErr w:type="spellEnd"/>
        <w:r w:rsidR="00B772FC">
          <w:rPr>
            <w:rStyle w:val="Hyperlink"/>
          </w:rPr>
          <w:t>/</w:t>
        </w:r>
        <w:proofErr w:type="spellStart"/>
        <w:r w:rsidR="00B772FC">
          <w:rPr>
            <w:rStyle w:val="Hyperlink"/>
          </w:rPr>
          <w:t>ukpga</w:t>
        </w:r>
        <w:proofErr w:type="spellEnd"/>
        <w:r w:rsidR="00B772FC">
          <w:rPr>
            <w:rStyle w:val="Hyperlink"/>
          </w:rPr>
          <w:t>/2005/9/contents</w:t>
        </w:r>
      </w:hyperlink>
      <w:r>
        <w:t xml:space="preserve"> (Accessed: 18 September 2026).</w:t>
      </w:r>
    </w:p>
    <w:p w14:paraId="352A72AC" w14:textId="77777777" w:rsidR="00B772FC" w:rsidRDefault="00624618" w:rsidP="00D26FCD">
      <w:pPr>
        <w:spacing w:after="200"/>
        <w:ind w:left="567" w:hanging="567"/>
        <w:jc w:val="left"/>
      </w:pPr>
      <w:r>
        <w:t xml:space="preserve">National Institute for Health and Care Excellence (2021) Shared Decision Making. NICE guideline </w:t>
      </w:r>
      <w:proofErr w:type="spellStart"/>
      <w:r>
        <w:t>NG197</w:t>
      </w:r>
      <w:proofErr w:type="spellEnd"/>
      <w:r>
        <w:t xml:space="preserve">. Available at: </w:t>
      </w:r>
      <w:hyperlink r:id="rId12" w:history="1">
        <w:r w:rsidR="00B772FC">
          <w:rPr>
            <w:rStyle w:val="Hyperlink"/>
          </w:rPr>
          <w:t>https://</w:t>
        </w:r>
        <w:proofErr w:type="spellStart"/>
        <w:r w:rsidR="00B772FC">
          <w:rPr>
            <w:rStyle w:val="Hyperlink"/>
          </w:rPr>
          <w:t>www.nice.org.uk</w:t>
        </w:r>
        <w:proofErr w:type="spellEnd"/>
        <w:r w:rsidR="00B772FC">
          <w:rPr>
            <w:rStyle w:val="Hyperlink"/>
          </w:rPr>
          <w:t>/guidance/</w:t>
        </w:r>
        <w:proofErr w:type="spellStart"/>
        <w:r w:rsidR="00B772FC">
          <w:rPr>
            <w:rStyle w:val="Hyperlink"/>
          </w:rPr>
          <w:t>ng197</w:t>
        </w:r>
        <w:proofErr w:type="spellEnd"/>
      </w:hyperlink>
      <w:r>
        <w:t xml:space="preserve"> (Accessed: 18 September 2026).</w:t>
      </w:r>
    </w:p>
    <w:p w14:paraId="387E00A9" w14:textId="77777777" w:rsidR="00B772FC" w:rsidRDefault="00624618" w:rsidP="00673112">
      <w:pPr>
        <w:spacing w:after="200"/>
        <w:ind w:left="567" w:hanging="567"/>
        <w:jc w:val="left"/>
      </w:pPr>
      <w:r>
        <w:t xml:space="preserve">Social Care Institute for Excellence (2015) Co-production: What It Is and How to Do It. Guide 51. Available at: </w:t>
      </w:r>
      <w:hyperlink r:id="rId13" w:history="1">
        <w:r w:rsidR="00B772FC">
          <w:rPr>
            <w:rStyle w:val="Hyperlink"/>
          </w:rPr>
          <w:t>https://</w:t>
        </w:r>
        <w:proofErr w:type="spellStart"/>
        <w:r w:rsidR="00B772FC">
          <w:rPr>
            <w:rStyle w:val="Hyperlink"/>
          </w:rPr>
          <w:t>www.scie.org.uk</w:t>
        </w:r>
        <w:proofErr w:type="spellEnd"/>
        <w:r w:rsidR="00B772FC">
          <w:rPr>
            <w:rStyle w:val="Hyperlink"/>
          </w:rPr>
          <w:t>/publications/guides/</w:t>
        </w:r>
        <w:proofErr w:type="spellStart"/>
        <w:r w:rsidR="00B772FC">
          <w:rPr>
            <w:rStyle w:val="Hyperlink"/>
          </w:rPr>
          <w:t>guide51</w:t>
        </w:r>
        <w:proofErr w:type="spellEnd"/>
        <w:r w:rsidR="00B772FC">
          <w:rPr>
            <w:rStyle w:val="Hyperlink"/>
          </w:rPr>
          <w:t>/</w:t>
        </w:r>
      </w:hyperlink>
      <w:r>
        <w:t xml:space="preserve"> (Accessed: 18 September 2026).</w:t>
      </w:r>
    </w:p>
    <w:p w14:paraId="54EC1482" w14:textId="77777777" w:rsidR="00B772FC" w:rsidRDefault="00624618" w:rsidP="00673112">
      <w:pPr>
        <w:spacing w:after="200"/>
        <w:ind w:left="567" w:hanging="567"/>
        <w:jc w:val="left"/>
      </w:pPr>
      <w:r>
        <w:t>World Health Organization (2021) Global Patient Safety Action Plan 2021-2030: Towards Eliminating Avoidable Harm in Health Care. Geneva: World Health Organization.</w:t>
      </w:r>
    </w:p>
    <w:sectPr w:rsidR="00B772FC">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DE77E" w14:textId="77777777" w:rsidR="008A5E1E" w:rsidRDefault="008A5E1E">
      <w:pPr>
        <w:spacing w:line="240" w:lineRule="auto"/>
      </w:pPr>
      <w:r>
        <w:separator/>
      </w:r>
    </w:p>
  </w:endnote>
  <w:endnote w:type="continuationSeparator" w:id="0">
    <w:p w14:paraId="54BC0303" w14:textId="77777777" w:rsidR="008A5E1E" w:rsidRDefault="008A5E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948A4" w14:textId="77777777" w:rsidR="00B772FC" w:rsidRDefault="00624618">
    <w:pPr>
      <w:jc w:val="center"/>
    </w:pPr>
    <w:r>
      <w:rPr>
        <w:sz w:val="20"/>
        <w:szCs w:val="20"/>
      </w:rPr>
      <w:fldChar w:fldCharType="begin"/>
    </w:r>
    <w:r>
      <w:rPr>
        <w:sz w:val="20"/>
        <w:szCs w:val="20"/>
      </w:rPr>
      <w:instrText>PAGE</w:instrText>
    </w:r>
    <w:r>
      <w:rPr>
        <w:sz w:val="20"/>
        <w:szCs w:val="20"/>
      </w:rPr>
      <w:fldChar w:fldCharType="separate"/>
    </w:r>
    <w:r w:rsidR="00673112">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874CC" w14:textId="77777777" w:rsidR="008A5E1E" w:rsidRDefault="008A5E1E">
      <w:pPr>
        <w:spacing w:line="240" w:lineRule="auto"/>
      </w:pPr>
      <w:r>
        <w:separator/>
      </w:r>
    </w:p>
  </w:footnote>
  <w:footnote w:type="continuationSeparator" w:id="0">
    <w:p w14:paraId="54A91947" w14:textId="77777777" w:rsidR="008A5E1E" w:rsidRDefault="008A5E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A3112"/>
    <w:multiLevelType w:val="hybridMultilevel"/>
    <w:tmpl w:val="D8781A52"/>
    <w:lvl w:ilvl="0" w:tplc="3CCA9772">
      <w:start w:val="1"/>
      <w:numFmt w:val="bullet"/>
      <w:lvlText w:val="●"/>
      <w:lvlJc w:val="left"/>
      <w:pPr>
        <w:ind w:left="720" w:hanging="360"/>
      </w:pPr>
    </w:lvl>
    <w:lvl w:ilvl="1" w:tplc="9584664E">
      <w:start w:val="1"/>
      <w:numFmt w:val="bullet"/>
      <w:lvlText w:val="○"/>
      <w:lvlJc w:val="left"/>
      <w:pPr>
        <w:ind w:left="1440" w:hanging="360"/>
      </w:pPr>
    </w:lvl>
    <w:lvl w:ilvl="2" w:tplc="200E234E">
      <w:start w:val="1"/>
      <w:numFmt w:val="bullet"/>
      <w:lvlText w:val="■"/>
      <w:lvlJc w:val="left"/>
      <w:pPr>
        <w:ind w:left="2160" w:hanging="360"/>
      </w:pPr>
    </w:lvl>
    <w:lvl w:ilvl="3" w:tplc="C09CD01E">
      <w:start w:val="1"/>
      <w:numFmt w:val="bullet"/>
      <w:lvlText w:val="●"/>
      <w:lvlJc w:val="left"/>
      <w:pPr>
        <w:ind w:left="2880" w:hanging="360"/>
      </w:pPr>
    </w:lvl>
    <w:lvl w:ilvl="4" w:tplc="B4665BCC">
      <w:start w:val="1"/>
      <w:numFmt w:val="bullet"/>
      <w:lvlText w:val="○"/>
      <w:lvlJc w:val="left"/>
      <w:pPr>
        <w:ind w:left="3600" w:hanging="360"/>
      </w:pPr>
    </w:lvl>
    <w:lvl w:ilvl="5" w:tplc="0B82FC66">
      <w:start w:val="1"/>
      <w:numFmt w:val="bullet"/>
      <w:lvlText w:val="■"/>
      <w:lvlJc w:val="left"/>
      <w:pPr>
        <w:ind w:left="4320" w:hanging="360"/>
      </w:pPr>
    </w:lvl>
    <w:lvl w:ilvl="6" w:tplc="850C9E98">
      <w:start w:val="1"/>
      <w:numFmt w:val="bullet"/>
      <w:lvlText w:val="●"/>
      <w:lvlJc w:val="left"/>
      <w:pPr>
        <w:ind w:left="5040" w:hanging="360"/>
      </w:pPr>
    </w:lvl>
    <w:lvl w:ilvl="7" w:tplc="BEEAB8EC">
      <w:start w:val="1"/>
      <w:numFmt w:val="bullet"/>
      <w:lvlText w:val="●"/>
      <w:lvlJc w:val="left"/>
      <w:pPr>
        <w:ind w:left="5760" w:hanging="360"/>
      </w:pPr>
    </w:lvl>
    <w:lvl w:ilvl="8" w:tplc="B80A0D54">
      <w:start w:val="1"/>
      <w:numFmt w:val="bullet"/>
      <w:lvlText w:val="●"/>
      <w:lvlJc w:val="left"/>
      <w:pPr>
        <w:ind w:left="6480" w:hanging="360"/>
      </w:pPr>
    </w:lvl>
  </w:abstractNum>
  <w:num w:numId="1" w16cid:durableId="19230904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2FC"/>
    <w:rsid w:val="00091E62"/>
    <w:rsid w:val="000D349A"/>
    <w:rsid w:val="000F6250"/>
    <w:rsid w:val="000F7A46"/>
    <w:rsid w:val="001266AB"/>
    <w:rsid w:val="00135EF7"/>
    <w:rsid w:val="0014709A"/>
    <w:rsid w:val="00180A24"/>
    <w:rsid w:val="00183584"/>
    <w:rsid w:val="001F3E9A"/>
    <w:rsid w:val="00215056"/>
    <w:rsid w:val="00226B2E"/>
    <w:rsid w:val="0025028A"/>
    <w:rsid w:val="00315023"/>
    <w:rsid w:val="003B630A"/>
    <w:rsid w:val="004B57B5"/>
    <w:rsid w:val="004F142B"/>
    <w:rsid w:val="00505669"/>
    <w:rsid w:val="00535D55"/>
    <w:rsid w:val="00562ABF"/>
    <w:rsid w:val="00591364"/>
    <w:rsid w:val="005A1A57"/>
    <w:rsid w:val="005E019D"/>
    <w:rsid w:val="005E2B8B"/>
    <w:rsid w:val="005E4F06"/>
    <w:rsid w:val="005F514D"/>
    <w:rsid w:val="00624618"/>
    <w:rsid w:val="00666274"/>
    <w:rsid w:val="00673112"/>
    <w:rsid w:val="00695DE0"/>
    <w:rsid w:val="006D4399"/>
    <w:rsid w:val="00723891"/>
    <w:rsid w:val="0074497F"/>
    <w:rsid w:val="00751372"/>
    <w:rsid w:val="00773B2E"/>
    <w:rsid w:val="007F6890"/>
    <w:rsid w:val="00810B72"/>
    <w:rsid w:val="0089072D"/>
    <w:rsid w:val="008A5E1E"/>
    <w:rsid w:val="008D767F"/>
    <w:rsid w:val="00956303"/>
    <w:rsid w:val="00964A96"/>
    <w:rsid w:val="009932E8"/>
    <w:rsid w:val="00A90481"/>
    <w:rsid w:val="00AA4E79"/>
    <w:rsid w:val="00B2109C"/>
    <w:rsid w:val="00B55838"/>
    <w:rsid w:val="00B574AC"/>
    <w:rsid w:val="00B772FC"/>
    <w:rsid w:val="00C534C3"/>
    <w:rsid w:val="00CC5D77"/>
    <w:rsid w:val="00CD4DDE"/>
    <w:rsid w:val="00D10305"/>
    <w:rsid w:val="00D26FCD"/>
    <w:rsid w:val="00D30F11"/>
    <w:rsid w:val="00E061DB"/>
    <w:rsid w:val="00E262ED"/>
    <w:rsid w:val="00E85B56"/>
    <w:rsid w:val="00EA6229"/>
    <w:rsid w:val="00EF614E"/>
    <w:rsid w:val="00F47D2A"/>
    <w:rsid w:val="00F86251"/>
    <w:rsid w:val="00FB3E55"/>
    <w:rsid w:val="00FC3B90"/>
    <w:rsid w:val="00FC5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DA63D"/>
  <w15:docId w15:val="{8392BAE6-F533-46F6-A602-D3EAC85CF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751372"/>
    <w:rPr>
      <w:b/>
      <w:bCs/>
    </w:rPr>
  </w:style>
  <w:style w:type="paragraph" w:styleId="NormalWeb">
    <w:name w:val="Normal (Web)"/>
    <w:basedOn w:val="Normal"/>
    <w:uiPriority w:val="99"/>
    <w:semiHidden/>
    <w:unhideWhenUsed/>
    <w:rsid w:val="005E4F06"/>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9" TargetMode="External"/><Relationship Id="rId13" Type="http://schemas.openxmlformats.org/officeDocument/2006/relationships/hyperlink" Target="https://www.scie.org.uk/publications/guides/guide51/" TargetMode="Externa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nice.org.uk/guidance/ng19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5/9/conten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cpc-uk.org/standards/standards-of-conduct-performance-and-ethics/" TargetMode="External"/><Relationship Id="rId4" Type="http://schemas.openxmlformats.org/officeDocument/2006/relationships/webSettings" Target="webSettings.xml"/><Relationship Id="rId9" Type="http://schemas.openxmlformats.org/officeDocument/2006/relationships/hyperlink" Target="https://www.legislation.gov.uk/ukpga/2022/31/conten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334</TotalTime>
  <Pages>1</Pages>
  <Words>2674</Words>
  <Characters>15246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Rabia Rashid (2504610)</cp:lastModifiedBy>
  <cp:revision>21</cp:revision>
  <dcterms:created xsi:type="dcterms:W3CDTF">2026-09-18T14:16:00Z</dcterms:created>
  <dcterms:modified xsi:type="dcterms:W3CDTF">2026-10-08T20:34:00Z</dcterms:modified>
</cp:coreProperties>
</file>