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569958" w14:textId="16009A04" w:rsidR="00714B46" w:rsidRDefault="0023188D" w:rsidP="0023188D">
      <w:pPr>
        <w:jc w:val="center"/>
        <w:rPr>
          <w:sz w:val="24"/>
          <w:u w:val="single"/>
        </w:rPr>
      </w:pPr>
      <w:r>
        <w:rPr>
          <w:sz w:val="24"/>
          <w:u w:val="single"/>
        </w:rPr>
        <w:t xml:space="preserve">Ancient Complex Societies by </w:t>
      </w:r>
      <w:r w:rsidR="0087380D">
        <w:rPr>
          <w:sz w:val="24"/>
          <w:u w:val="single"/>
        </w:rPr>
        <w:t>J. C. Ross and S. R. Steadman</w:t>
      </w:r>
      <w:r w:rsidR="0087380D">
        <w:rPr>
          <w:sz w:val="24"/>
          <w:u w:val="single"/>
        </w:rPr>
        <w:br/>
        <w:t>Chapter 2: Human Cultural Institutions – Critical Elements in Complex Society</w:t>
      </w:r>
    </w:p>
    <w:p w14:paraId="30215555" w14:textId="325AD8D0" w:rsidR="0087380D" w:rsidRDefault="006D296E" w:rsidP="0087380D">
      <w:r>
        <w:t xml:space="preserve">Ross and Steadman’s book </w:t>
      </w:r>
      <w:r>
        <w:rPr>
          <w:i/>
        </w:rPr>
        <w:t>Ancient Complex Societies</w:t>
      </w:r>
      <w:r>
        <w:t xml:space="preserve"> looks at how societies have developed within the ancient world. Their </w:t>
      </w:r>
      <w:proofErr w:type="gramStart"/>
      <w:r>
        <w:t>main focus</w:t>
      </w:r>
      <w:proofErr w:type="gramEnd"/>
      <w:r>
        <w:t xml:space="preserve"> was on the archaeological evidence and how it could reveal how these societies functioned.</w:t>
      </w:r>
      <w:r w:rsidR="00142EA8">
        <w:t xml:space="preserve"> Throughout the work they look at case studies from around the world to help discuss how different societies could be considered complex. C</w:t>
      </w:r>
      <w:r w:rsidR="0087380D">
        <w:t>hapter</w:t>
      </w:r>
      <w:r w:rsidR="00142EA8">
        <w:t xml:space="preserve"> two</w:t>
      </w:r>
      <w:r w:rsidR="0087380D">
        <w:t xml:space="preserve"> looks at what Ross and Steadman call “cultural institutions”. It begins by stating that there are many factors within a society that could be considered a cultural institution, such as art and education</w:t>
      </w:r>
      <w:r w:rsidR="00D90A70">
        <w:t>.</w:t>
      </w:r>
      <w:r w:rsidR="0087380D">
        <w:rPr>
          <w:rStyle w:val="FootnoteReference"/>
        </w:rPr>
        <w:footnoteReference w:id="1"/>
      </w:r>
      <w:r w:rsidR="00D90A70">
        <w:t xml:space="preserve"> This chapter focuses on four institutions that </w:t>
      </w:r>
      <w:proofErr w:type="gramStart"/>
      <w:r w:rsidR="00D90A70">
        <w:t>are seen as</w:t>
      </w:r>
      <w:proofErr w:type="gramEnd"/>
      <w:r w:rsidR="00D90A70">
        <w:t xml:space="preserve"> “elements of </w:t>
      </w:r>
      <w:r w:rsidR="00F6548E">
        <w:t>‘</w:t>
      </w:r>
      <w:r w:rsidR="00D90A70">
        <w:t>complexity</w:t>
      </w:r>
      <w:r w:rsidR="00F6548E">
        <w:t>’</w:t>
      </w:r>
      <w:r w:rsidR="00D90A70">
        <w:t xml:space="preserve"> in ancient civilizations”</w:t>
      </w:r>
      <w:r w:rsidR="00D90A70">
        <w:rPr>
          <w:rStyle w:val="FootnoteReference"/>
        </w:rPr>
        <w:footnoteReference w:id="2"/>
      </w:r>
      <w:r w:rsidR="00D90A70">
        <w:t xml:space="preserve">: </w:t>
      </w:r>
      <w:r w:rsidR="00F6548E">
        <w:t>social relationships, belief systems, economic systems and political structures.</w:t>
      </w:r>
      <w:r w:rsidR="00F6548E">
        <w:rPr>
          <w:rStyle w:val="FootnoteReference"/>
        </w:rPr>
        <w:footnoteReference w:id="3"/>
      </w:r>
    </w:p>
    <w:p w14:paraId="677A1407" w14:textId="5C361221" w:rsidR="00440FF4" w:rsidRDefault="00440FF4" w:rsidP="0087380D">
      <w:r>
        <w:t xml:space="preserve">A key concept that is important to understand is the concept of “cultural institutions”. Ross and Steadman seek to identify four main areas they call </w:t>
      </w:r>
      <w:r w:rsidR="00DE6484">
        <w:t>cultural institutions in order to explore critical elements in complex society. This framework enables them to look at different areas in isolation within a society.</w:t>
      </w:r>
    </w:p>
    <w:p w14:paraId="15ED0E16" w14:textId="584EFE0C" w:rsidR="00A65B3D" w:rsidRDefault="007D7946" w:rsidP="0087380D">
      <w:r>
        <w:t>Firstly, k</w:t>
      </w:r>
      <w:r w:rsidR="00A65B3D">
        <w:t xml:space="preserve">inship </w:t>
      </w:r>
      <w:proofErr w:type="gramStart"/>
      <w:r w:rsidR="00A65B3D">
        <w:t>can be seen as</w:t>
      </w:r>
      <w:proofErr w:type="gramEnd"/>
      <w:r w:rsidR="00A65B3D">
        <w:t xml:space="preserve"> important for survival, with dependence and cooperation between family members particularly, according to Ross and Steadman, in smaller, less complex societies. They suggest that kinship becomes less important within “state societies”. In this brief introduction on kinship they do not explain how this conclusion has been reached but they do raise questions about how kinship may be linked to ownership of property, labour, resources, power and politics.</w:t>
      </w:r>
      <w:r w:rsidR="00772296">
        <w:rPr>
          <w:rStyle w:val="FootnoteReference"/>
        </w:rPr>
        <w:footnoteReference w:id="4"/>
      </w:r>
    </w:p>
    <w:p w14:paraId="7AD778AA" w14:textId="79C6144D" w:rsidR="00B41C48" w:rsidRDefault="007D7946" w:rsidP="0087380D">
      <w:r>
        <w:t xml:space="preserve">In addition to this, </w:t>
      </w:r>
      <w:r w:rsidR="00A62F5C">
        <w:t xml:space="preserve">Ross and Steadman state that in complex societies religion becomes more state-based than in a smaller society, where religion is practiced within the family. </w:t>
      </w:r>
      <w:r w:rsidR="00062D7B">
        <w:t xml:space="preserve">They </w:t>
      </w:r>
      <w:r w:rsidR="00A62F5C">
        <w:t xml:space="preserve">suggest that religion reflects a society’s economic and social aspects and show </w:t>
      </w:r>
      <w:r w:rsidR="007956F2">
        <w:t>characteristics</w:t>
      </w:r>
      <w:r w:rsidR="00A62F5C">
        <w:t xml:space="preserve"> of its social complexity. </w:t>
      </w:r>
      <w:r w:rsidR="00E82B77">
        <w:t xml:space="preserve">While </w:t>
      </w:r>
      <w:r w:rsidR="009266C5">
        <w:t>it is not</w:t>
      </w:r>
      <w:r w:rsidR="00E82B77">
        <w:t xml:space="preserve"> explain</w:t>
      </w:r>
      <w:r w:rsidR="009266C5">
        <w:t>ed</w:t>
      </w:r>
      <w:r w:rsidR="00E82B77">
        <w:t xml:space="preserve"> why this is the case, it could suggest that a complex society </w:t>
      </w:r>
      <w:r w:rsidR="009266C5">
        <w:t>has a higher likelihood</w:t>
      </w:r>
      <w:r w:rsidR="00E82B77">
        <w:t xml:space="preserve"> </w:t>
      </w:r>
      <w:r w:rsidR="009266C5">
        <w:t>of having</w:t>
      </w:r>
      <w:r w:rsidR="00E82B77">
        <w:t xml:space="preserve"> a structured and hierarchical religious organisation. </w:t>
      </w:r>
    </w:p>
    <w:p w14:paraId="7669BC66" w14:textId="6462E150" w:rsidR="0010117B" w:rsidRDefault="0010117B" w:rsidP="0087380D">
      <w:r>
        <w:t xml:space="preserve">Not much is known about </w:t>
      </w:r>
      <w:r w:rsidR="008551AF">
        <w:t>religion in the Achaemenid period.</w:t>
      </w:r>
      <w:r w:rsidR="008023AF">
        <w:t xml:space="preserve"> </w:t>
      </w:r>
      <w:r w:rsidR="008551AF">
        <w:t xml:space="preserve">It can be seen in artwork and architecture from the time that </w:t>
      </w:r>
      <w:r w:rsidR="008023AF">
        <w:t>the Persian Empire was following the teachings of Zoroastrianism</w:t>
      </w:r>
      <w:r w:rsidR="008551AF">
        <w:t>.</w:t>
      </w:r>
      <w:r w:rsidR="008023AF">
        <w:rPr>
          <w:rStyle w:val="FootnoteReference"/>
        </w:rPr>
        <w:footnoteReference w:id="5"/>
      </w:r>
      <w:r w:rsidR="008551AF">
        <w:t xml:space="preserve"> The only known part of ritual is the existence of fire altars that held the sacred flame.</w:t>
      </w:r>
      <w:r w:rsidR="008551AF">
        <w:rPr>
          <w:rStyle w:val="FootnoteReference"/>
        </w:rPr>
        <w:footnoteReference w:id="6"/>
      </w:r>
      <w:r w:rsidR="008551AF">
        <w:t xml:space="preserve"> This lack of knowledge means it is difficult to say </w:t>
      </w:r>
      <w:r w:rsidR="008023AF">
        <w:t xml:space="preserve">how the religious organisation was structured. What this artwork does provide us with is knowledge that religion played a role in the state, often depicting priests being stood with the king. </w:t>
      </w:r>
    </w:p>
    <w:p w14:paraId="75F8D841" w14:textId="15C57EB7" w:rsidR="00652CC4" w:rsidRDefault="007D7946" w:rsidP="0087380D">
      <w:r>
        <w:t>On a further point, e</w:t>
      </w:r>
      <w:r w:rsidR="0010117B">
        <w:t>conomy is described as the institution that maintains the household in all societies.</w:t>
      </w:r>
      <w:r w:rsidR="0010117B">
        <w:rPr>
          <w:rStyle w:val="FootnoteReference"/>
        </w:rPr>
        <w:footnoteReference w:id="7"/>
      </w:r>
      <w:r w:rsidR="00652CC4">
        <w:t xml:space="preserve">Within the bracket of economy, Ross and Steadman look at </w:t>
      </w:r>
      <w:proofErr w:type="gramStart"/>
      <w:r w:rsidR="00652CC4">
        <w:t>a number of</w:t>
      </w:r>
      <w:proofErr w:type="gramEnd"/>
      <w:r w:rsidR="00652CC4">
        <w:t xml:space="preserve"> factors, including resources, technology and exchange. The one that could be considered the most important is resources. The way in which a society uses its resources</w:t>
      </w:r>
      <w:r w:rsidR="001D21C8">
        <w:t xml:space="preserve"> impacts upon its economic organisation.</w:t>
      </w:r>
      <w:r w:rsidR="001D21C8">
        <w:rPr>
          <w:rStyle w:val="FootnoteReference"/>
        </w:rPr>
        <w:footnoteReference w:id="8"/>
      </w:r>
    </w:p>
    <w:p w14:paraId="6E400FA0" w14:textId="4469533F" w:rsidR="00FE529E" w:rsidRPr="00652CC4" w:rsidRDefault="00FE529E" w:rsidP="0087380D">
      <w:r>
        <w:lastRenderedPageBreak/>
        <w:t>The Persian Empire worked on a tribute economy.</w:t>
      </w:r>
      <w:r>
        <w:rPr>
          <w:rStyle w:val="FootnoteReference"/>
        </w:rPr>
        <w:footnoteReference w:id="9"/>
      </w:r>
      <w:r w:rsidR="000A167B">
        <w:t xml:space="preserve"> </w:t>
      </w:r>
      <w:r w:rsidR="00DA0DE0">
        <w:t>Some aspects of t</w:t>
      </w:r>
      <w:r w:rsidR="000A167B">
        <w:t xml:space="preserve">he way this economy worked can be seen on </w:t>
      </w:r>
      <w:r w:rsidR="00E64896">
        <w:t xml:space="preserve">two </w:t>
      </w:r>
      <w:r w:rsidR="000A167B">
        <w:t>set</w:t>
      </w:r>
      <w:r w:rsidR="00E64896">
        <w:t>s</w:t>
      </w:r>
      <w:r w:rsidR="000A167B">
        <w:t xml:space="preserve"> of tablets</w:t>
      </w:r>
      <w:r w:rsidR="00A6342C">
        <w:t>, called the Fortification tablets and Treasury tablets,</w:t>
      </w:r>
      <w:r w:rsidR="000A167B">
        <w:t xml:space="preserve"> discovered at Persepolis</w:t>
      </w:r>
      <w:r w:rsidR="00E64896">
        <w:t>.</w:t>
      </w:r>
      <w:r w:rsidR="00E64896">
        <w:rPr>
          <w:rStyle w:val="FootnoteReference"/>
        </w:rPr>
        <w:footnoteReference w:id="10"/>
      </w:r>
      <w:r w:rsidR="00A6342C">
        <w:t xml:space="preserve"> The Fortification tablets focus on foodstuffs and how it is stored and distributed.</w:t>
      </w:r>
      <w:r w:rsidR="00A6342C">
        <w:rPr>
          <w:rStyle w:val="FootnoteReference"/>
        </w:rPr>
        <w:footnoteReference w:id="11"/>
      </w:r>
      <w:r w:rsidR="00A6342C">
        <w:t xml:space="preserve"> The Treasury tablets </w:t>
      </w:r>
      <w:r w:rsidR="00DA0DE0">
        <w:t>focus on rations given to workers of the construction sites of Persepolis.</w:t>
      </w:r>
      <w:r w:rsidR="00DA0DE0">
        <w:rPr>
          <w:rStyle w:val="FootnoteReference"/>
        </w:rPr>
        <w:footnoteReference w:id="12"/>
      </w:r>
      <w:r w:rsidR="00DA0DE0">
        <w:t xml:space="preserve"> This shows how the Persian Empire distributed its goods throughout the empire and displays how they used the resources they had available. </w:t>
      </w:r>
    </w:p>
    <w:p w14:paraId="3A7F7FF3" w14:textId="16C78F23" w:rsidR="00577B97" w:rsidRPr="00195B8D" w:rsidRDefault="007D7946" w:rsidP="0087380D">
      <w:r>
        <w:t xml:space="preserve">Finally, </w:t>
      </w:r>
      <w:r w:rsidR="00195B8D">
        <w:t xml:space="preserve">Ross and Steadman state that politics is </w:t>
      </w:r>
      <w:r>
        <w:t>the ability for an individual to make decisions the impact on people outside of their kin.</w:t>
      </w:r>
      <w:r>
        <w:rPr>
          <w:rStyle w:val="FootnoteReference"/>
        </w:rPr>
        <w:footnoteReference w:id="13"/>
      </w:r>
      <w:r>
        <w:t xml:space="preserve"> This </w:t>
      </w:r>
      <w:proofErr w:type="gramStart"/>
      <w:r>
        <w:t>can be seen as</w:t>
      </w:r>
      <w:proofErr w:type="gramEnd"/>
      <w:r>
        <w:t xml:space="preserve"> saying that for a complex society to work, there must be an element of strong leadership with a person who is able to stay level headed when making important decisions.</w:t>
      </w:r>
    </w:p>
    <w:p w14:paraId="7955560C" w14:textId="0ACBB6FC" w:rsidR="00E266A2" w:rsidRDefault="00824F30" w:rsidP="0087380D">
      <w:r>
        <w:t>Overall, t</w:t>
      </w:r>
      <w:r w:rsidR="00E266A2">
        <w:t xml:space="preserve">his chapter </w:t>
      </w:r>
      <w:r>
        <w:t>is</w:t>
      </w:r>
      <w:r w:rsidR="00E266A2">
        <w:t xml:space="preserve"> more of an introduction to broad concepts that will discussed at greater length and detail later in the book. It gives the reader a basic overview of the institutions that they can use as a basis of understanding throughout the rest of the book.</w:t>
      </w:r>
      <w:r>
        <w:t xml:space="preserve"> </w:t>
      </w:r>
      <w:r w:rsidR="00E266A2">
        <w:t xml:space="preserve">One of the aspects of the work that is of note is the link given between the institutions. </w:t>
      </w:r>
      <w:r w:rsidR="00E11718">
        <w:t xml:space="preserve">The four institutions focused on don’t work in independence of each other but rather, they are interlinked. </w:t>
      </w:r>
      <w:r w:rsidR="00516217">
        <w:t>Ross and Steadman write that religion is tied the other social institutions such as marriage and politics.</w:t>
      </w:r>
      <w:r w:rsidR="00516217">
        <w:rPr>
          <w:rStyle w:val="FootnoteReference"/>
        </w:rPr>
        <w:footnoteReference w:id="14"/>
      </w:r>
    </w:p>
    <w:p w14:paraId="44378ECE" w14:textId="1E2BD4D5" w:rsidR="00615177" w:rsidRDefault="00615177" w:rsidP="0087380D">
      <w:pPr>
        <w:rPr>
          <w:u w:val="single"/>
        </w:rPr>
      </w:pPr>
      <w:r>
        <w:rPr>
          <w:u w:val="single"/>
        </w:rPr>
        <w:t>Bibliography</w:t>
      </w:r>
    </w:p>
    <w:p w14:paraId="1290BF98" w14:textId="2EF3AA9A" w:rsidR="00615177" w:rsidRDefault="00BD465A" w:rsidP="0087380D">
      <w:r>
        <w:t>Allen, L. (2005)</w:t>
      </w:r>
      <w:r>
        <w:rPr>
          <w:i/>
        </w:rPr>
        <w:t xml:space="preserve"> The Persian Empire</w:t>
      </w:r>
      <w:r>
        <w:t>, London: The British Museum Press</w:t>
      </w:r>
    </w:p>
    <w:p w14:paraId="54E4B434" w14:textId="237E67D8" w:rsidR="00BD465A" w:rsidRDefault="00BD465A" w:rsidP="0087380D">
      <w:proofErr w:type="spellStart"/>
      <w:r>
        <w:t>Briant</w:t>
      </w:r>
      <w:proofErr w:type="spellEnd"/>
      <w:r>
        <w:t xml:space="preserve">, P. (2002) </w:t>
      </w:r>
      <w:r>
        <w:rPr>
          <w:i/>
        </w:rPr>
        <w:t xml:space="preserve">A History of the Persian Empire, </w:t>
      </w:r>
      <w:r>
        <w:t xml:space="preserve">Pennsylvania: </w:t>
      </w:r>
      <w:proofErr w:type="spellStart"/>
      <w:r>
        <w:t>Eisenbrauns</w:t>
      </w:r>
      <w:proofErr w:type="spellEnd"/>
    </w:p>
    <w:p w14:paraId="43628E8E" w14:textId="62278B2F" w:rsidR="00BD465A" w:rsidRPr="00BD465A" w:rsidRDefault="00BD465A" w:rsidP="0087380D">
      <w:r>
        <w:t xml:space="preserve">Ross, J. C. and Steadman, S. R. (2017) </w:t>
      </w:r>
      <w:r>
        <w:rPr>
          <w:i/>
        </w:rPr>
        <w:t xml:space="preserve">Ancient Complex Societies, </w:t>
      </w:r>
      <w:r>
        <w:t>New York: Routledge</w:t>
      </w:r>
      <w:bookmarkStart w:id="0" w:name="_GoBack"/>
      <w:bookmarkEnd w:id="0"/>
    </w:p>
    <w:sectPr w:rsidR="00BD465A" w:rsidRPr="00BD46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ECC80" w14:textId="77777777" w:rsidR="00F11A8A" w:rsidRDefault="00F11A8A" w:rsidP="0087380D">
      <w:pPr>
        <w:spacing w:after="0" w:line="240" w:lineRule="auto"/>
      </w:pPr>
      <w:r>
        <w:separator/>
      </w:r>
    </w:p>
  </w:endnote>
  <w:endnote w:type="continuationSeparator" w:id="0">
    <w:p w14:paraId="3A0874F8" w14:textId="77777777" w:rsidR="00F11A8A" w:rsidRDefault="00F11A8A" w:rsidP="00873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0E5B18" w14:textId="77777777" w:rsidR="00F11A8A" w:rsidRDefault="00F11A8A" w:rsidP="0087380D">
      <w:pPr>
        <w:spacing w:after="0" w:line="240" w:lineRule="auto"/>
      </w:pPr>
      <w:r>
        <w:separator/>
      </w:r>
    </w:p>
  </w:footnote>
  <w:footnote w:type="continuationSeparator" w:id="0">
    <w:p w14:paraId="2AF9E8E4" w14:textId="77777777" w:rsidR="00F11A8A" w:rsidRDefault="00F11A8A" w:rsidP="0087380D">
      <w:pPr>
        <w:spacing w:after="0" w:line="240" w:lineRule="auto"/>
      </w:pPr>
      <w:r>
        <w:continuationSeparator/>
      </w:r>
    </w:p>
  </w:footnote>
  <w:footnote w:id="1">
    <w:p w14:paraId="401EB688" w14:textId="555FFF34" w:rsidR="0087380D" w:rsidRDefault="0087380D">
      <w:pPr>
        <w:pStyle w:val="FootnoteText"/>
      </w:pPr>
      <w:r>
        <w:rPr>
          <w:rStyle w:val="FootnoteReference"/>
        </w:rPr>
        <w:footnoteRef/>
      </w:r>
      <w:r>
        <w:t xml:space="preserve"> Ross and Steadman, </w:t>
      </w:r>
      <w:r w:rsidR="00D90A70">
        <w:t>2017, p. 6</w:t>
      </w:r>
    </w:p>
  </w:footnote>
  <w:footnote w:id="2">
    <w:p w14:paraId="286450EB" w14:textId="5ECE5FDB" w:rsidR="00D90A70" w:rsidRDefault="00D90A70">
      <w:pPr>
        <w:pStyle w:val="FootnoteText"/>
      </w:pPr>
      <w:r>
        <w:rPr>
          <w:rStyle w:val="FootnoteReference"/>
        </w:rPr>
        <w:footnoteRef/>
      </w:r>
      <w:r>
        <w:t xml:space="preserve"> Ross and Steadman, 2017, p. 6</w:t>
      </w:r>
    </w:p>
  </w:footnote>
  <w:footnote w:id="3">
    <w:p w14:paraId="67066663" w14:textId="5B84D306" w:rsidR="00F6548E" w:rsidRDefault="00F6548E">
      <w:pPr>
        <w:pStyle w:val="FootnoteText"/>
      </w:pPr>
      <w:r>
        <w:rPr>
          <w:rStyle w:val="FootnoteReference"/>
        </w:rPr>
        <w:footnoteRef/>
      </w:r>
      <w:r>
        <w:t xml:space="preserve"> Ross and Steadman, 2017, p. 6</w:t>
      </w:r>
    </w:p>
  </w:footnote>
  <w:footnote w:id="4">
    <w:p w14:paraId="3A10A8F6" w14:textId="6AFBD45B" w:rsidR="00772296" w:rsidRDefault="00772296">
      <w:pPr>
        <w:pStyle w:val="FootnoteText"/>
      </w:pPr>
      <w:r>
        <w:rPr>
          <w:rStyle w:val="FootnoteReference"/>
        </w:rPr>
        <w:footnoteRef/>
      </w:r>
      <w:r>
        <w:t xml:space="preserve"> Ross and Steadman, 2017, p. </w:t>
      </w:r>
      <w:r w:rsidR="005530EF">
        <w:t>7</w:t>
      </w:r>
    </w:p>
  </w:footnote>
  <w:footnote w:id="5">
    <w:p w14:paraId="3F73ABB9" w14:textId="7526F83A" w:rsidR="008023AF" w:rsidRDefault="008023AF">
      <w:pPr>
        <w:pStyle w:val="FootnoteText"/>
      </w:pPr>
      <w:r>
        <w:rPr>
          <w:rStyle w:val="FootnoteReference"/>
        </w:rPr>
        <w:footnoteRef/>
      </w:r>
      <w:r>
        <w:t xml:space="preserve"> Allen, 2005, p. 128</w:t>
      </w:r>
    </w:p>
  </w:footnote>
  <w:footnote w:id="6">
    <w:p w14:paraId="5CE87482" w14:textId="77619411" w:rsidR="008551AF" w:rsidRDefault="008551AF">
      <w:pPr>
        <w:pStyle w:val="FootnoteText"/>
      </w:pPr>
      <w:r>
        <w:rPr>
          <w:rStyle w:val="FootnoteReference"/>
        </w:rPr>
        <w:footnoteRef/>
      </w:r>
      <w:r>
        <w:t xml:space="preserve"> Allen, 2005, p. 129</w:t>
      </w:r>
    </w:p>
  </w:footnote>
  <w:footnote w:id="7">
    <w:p w14:paraId="376B3181" w14:textId="424B013D" w:rsidR="0010117B" w:rsidRDefault="0010117B">
      <w:pPr>
        <w:pStyle w:val="FootnoteText"/>
      </w:pPr>
      <w:r>
        <w:rPr>
          <w:rStyle w:val="FootnoteReference"/>
        </w:rPr>
        <w:footnoteRef/>
      </w:r>
      <w:r>
        <w:t xml:space="preserve"> Ross and Steadman, 2017, p. 8</w:t>
      </w:r>
    </w:p>
  </w:footnote>
  <w:footnote w:id="8">
    <w:p w14:paraId="0F3CB8C5" w14:textId="6985590A" w:rsidR="001D21C8" w:rsidRDefault="001D21C8">
      <w:pPr>
        <w:pStyle w:val="FootnoteText"/>
      </w:pPr>
      <w:r>
        <w:rPr>
          <w:rStyle w:val="FootnoteReference"/>
        </w:rPr>
        <w:footnoteRef/>
      </w:r>
      <w:r>
        <w:t xml:space="preserve"> Ross and Steadman, 2017, p. 8</w:t>
      </w:r>
    </w:p>
  </w:footnote>
  <w:footnote w:id="9">
    <w:p w14:paraId="511C7C3D" w14:textId="293DF91C" w:rsidR="00FE529E" w:rsidRDefault="00FE529E">
      <w:pPr>
        <w:pStyle w:val="FootnoteText"/>
      </w:pPr>
      <w:r>
        <w:rPr>
          <w:rStyle w:val="FootnoteReference"/>
        </w:rPr>
        <w:footnoteRef/>
      </w:r>
      <w:r>
        <w:t xml:space="preserve"> </w:t>
      </w:r>
      <w:proofErr w:type="spellStart"/>
      <w:r w:rsidR="00E64896">
        <w:t>Briant</w:t>
      </w:r>
      <w:proofErr w:type="spellEnd"/>
      <w:r w:rsidR="00E64896">
        <w:t>, 2002, p. 422</w:t>
      </w:r>
    </w:p>
  </w:footnote>
  <w:footnote w:id="10">
    <w:p w14:paraId="4C50770F" w14:textId="089CA9DA" w:rsidR="00E64896" w:rsidRDefault="00E64896">
      <w:pPr>
        <w:pStyle w:val="FootnoteText"/>
      </w:pPr>
      <w:r>
        <w:rPr>
          <w:rStyle w:val="FootnoteReference"/>
        </w:rPr>
        <w:footnoteRef/>
      </w:r>
      <w:r>
        <w:t xml:space="preserve"> </w:t>
      </w:r>
      <w:proofErr w:type="spellStart"/>
      <w:r>
        <w:t>Briant</w:t>
      </w:r>
      <w:proofErr w:type="spellEnd"/>
      <w:r>
        <w:t>, 2002, p. 422</w:t>
      </w:r>
    </w:p>
  </w:footnote>
  <w:footnote w:id="11">
    <w:p w14:paraId="49813AAA" w14:textId="7A61A638" w:rsidR="00A6342C" w:rsidRDefault="00A6342C">
      <w:pPr>
        <w:pStyle w:val="FootnoteText"/>
      </w:pPr>
      <w:r>
        <w:rPr>
          <w:rStyle w:val="FootnoteReference"/>
        </w:rPr>
        <w:footnoteRef/>
      </w:r>
      <w:r>
        <w:t xml:space="preserve"> </w:t>
      </w:r>
      <w:proofErr w:type="spellStart"/>
      <w:r>
        <w:t>Briant</w:t>
      </w:r>
      <w:proofErr w:type="spellEnd"/>
      <w:r>
        <w:t>, 2002, p. 422</w:t>
      </w:r>
    </w:p>
  </w:footnote>
  <w:footnote w:id="12">
    <w:p w14:paraId="24B19E2E" w14:textId="20DC1993" w:rsidR="00DA0DE0" w:rsidRDefault="00DA0DE0">
      <w:pPr>
        <w:pStyle w:val="FootnoteText"/>
      </w:pPr>
      <w:r>
        <w:rPr>
          <w:rStyle w:val="FootnoteReference"/>
        </w:rPr>
        <w:footnoteRef/>
      </w:r>
      <w:r>
        <w:t xml:space="preserve"> </w:t>
      </w:r>
      <w:proofErr w:type="spellStart"/>
      <w:r>
        <w:t>Briant</w:t>
      </w:r>
      <w:proofErr w:type="spellEnd"/>
      <w:r>
        <w:t>, 2002, p. 422</w:t>
      </w:r>
    </w:p>
  </w:footnote>
  <w:footnote w:id="13">
    <w:p w14:paraId="1DE4EC50" w14:textId="31C031E0" w:rsidR="007D7946" w:rsidRDefault="007D7946">
      <w:pPr>
        <w:pStyle w:val="FootnoteText"/>
      </w:pPr>
      <w:r>
        <w:rPr>
          <w:rStyle w:val="FootnoteReference"/>
        </w:rPr>
        <w:footnoteRef/>
      </w:r>
      <w:r>
        <w:t xml:space="preserve"> Ross and Steadman, 2017, p. 12</w:t>
      </w:r>
    </w:p>
  </w:footnote>
  <w:footnote w:id="14">
    <w:p w14:paraId="7792228F" w14:textId="55A2ADC3" w:rsidR="00516217" w:rsidRDefault="00516217">
      <w:pPr>
        <w:pStyle w:val="FootnoteText"/>
      </w:pPr>
      <w:r>
        <w:rPr>
          <w:rStyle w:val="FootnoteReference"/>
        </w:rPr>
        <w:footnoteRef/>
      </w:r>
      <w:r>
        <w:t xml:space="preserve"> Ross and Steadman, 2017, p. 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B7E"/>
    <w:rsid w:val="00062D7B"/>
    <w:rsid w:val="000A167B"/>
    <w:rsid w:val="0010117B"/>
    <w:rsid w:val="001374FC"/>
    <w:rsid w:val="00142EA8"/>
    <w:rsid w:val="00195B8D"/>
    <w:rsid w:val="001D21C8"/>
    <w:rsid w:val="0023188D"/>
    <w:rsid w:val="003A34BF"/>
    <w:rsid w:val="003D4509"/>
    <w:rsid w:val="003D4EC2"/>
    <w:rsid w:val="00400C1E"/>
    <w:rsid w:val="00440FF4"/>
    <w:rsid w:val="00516217"/>
    <w:rsid w:val="005530EF"/>
    <w:rsid w:val="00577B97"/>
    <w:rsid w:val="005F6AB2"/>
    <w:rsid w:val="00615177"/>
    <w:rsid w:val="00652CC4"/>
    <w:rsid w:val="00673C38"/>
    <w:rsid w:val="006D296E"/>
    <w:rsid w:val="00732046"/>
    <w:rsid w:val="00772296"/>
    <w:rsid w:val="007956F2"/>
    <w:rsid w:val="007D7946"/>
    <w:rsid w:val="008023AF"/>
    <w:rsid w:val="00824F30"/>
    <w:rsid w:val="008551AF"/>
    <w:rsid w:val="0087380D"/>
    <w:rsid w:val="009266C5"/>
    <w:rsid w:val="00967DF4"/>
    <w:rsid w:val="00A15B7E"/>
    <w:rsid w:val="00A62F5C"/>
    <w:rsid w:val="00A6342C"/>
    <w:rsid w:val="00A65B3D"/>
    <w:rsid w:val="00AC1DD2"/>
    <w:rsid w:val="00B41C48"/>
    <w:rsid w:val="00BD465A"/>
    <w:rsid w:val="00C26EA7"/>
    <w:rsid w:val="00CD6AA7"/>
    <w:rsid w:val="00D90A70"/>
    <w:rsid w:val="00DA0DE0"/>
    <w:rsid w:val="00DE6484"/>
    <w:rsid w:val="00E11718"/>
    <w:rsid w:val="00E266A2"/>
    <w:rsid w:val="00E64896"/>
    <w:rsid w:val="00E82B77"/>
    <w:rsid w:val="00EC0599"/>
    <w:rsid w:val="00F11A8A"/>
    <w:rsid w:val="00F6548E"/>
    <w:rsid w:val="00FE52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10C13"/>
  <w15:chartTrackingRefBased/>
  <w15:docId w15:val="{6B5CD200-B8E7-45A3-8FBA-9445915E0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738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380D"/>
    <w:rPr>
      <w:sz w:val="20"/>
      <w:szCs w:val="20"/>
    </w:rPr>
  </w:style>
  <w:style w:type="character" w:styleId="FootnoteReference">
    <w:name w:val="footnote reference"/>
    <w:basedOn w:val="DefaultParagraphFont"/>
    <w:uiPriority w:val="99"/>
    <w:semiHidden/>
    <w:unhideWhenUsed/>
    <w:rsid w:val="008738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9A7FE-A3A1-4C89-9288-0917C45F9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2</Pages>
  <Words>715</Words>
  <Characters>4078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Watts-Robinson</dc:creator>
  <cp:keywords/>
  <dc:description/>
  <cp:lastModifiedBy>Rhiannon Watts-Robinson</cp:lastModifiedBy>
  <cp:revision>10</cp:revision>
  <dcterms:created xsi:type="dcterms:W3CDTF">2019-01-12T11:14:00Z</dcterms:created>
  <dcterms:modified xsi:type="dcterms:W3CDTF">2019-01-16T21:16:00Z</dcterms:modified>
</cp:coreProperties>
</file>