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xmlns:wp14="http://schemas.microsoft.com/office/word/2010/wordml" w:rsidR="009C6D33" w:rsidRDefault="00164613" w14:paraId="672A6659" wp14:textId="77777777">
      <w:pPr>
        <w:spacing w:line="360" w:lineRule="auto"/>
        <w:jc w:val="center"/>
        <w:rPr>
          <w:rFonts w:ascii="Arial" w:hAnsi="Arial" w:eastAsia="Arial" w:cs="Arial"/>
          <w:color w:val="000000"/>
          <w:sz w:val="22"/>
          <w:szCs w:val="22"/>
        </w:rPr>
      </w:pPr>
      <w:r>
        <w:rPr>
          <w:noProof/>
        </w:rPr>
        <w:drawing>
          <wp:inline xmlns:wp14="http://schemas.microsoft.com/office/word/2010/wordprocessingDrawing" distT="0" distB="0" distL="114300" distR="114300" wp14:anchorId="4B33D7C7" wp14:editId="7777777">
            <wp:extent cx="3629025" cy="18192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629025" cy="1819275"/>
                    </a:xfrm>
                    <a:prstGeom prst="rect">
                      <a:avLst/>
                    </a:prstGeom>
                    <a:ln/>
                  </pic:spPr>
                </pic:pic>
              </a:graphicData>
            </a:graphic>
          </wp:inline>
        </w:drawing>
      </w:r>
      <w:r>
        <w:br/>
      </w:r>
    </w:p>
    <w:p xmlns:wp14="http://schemas.microsoft.com/office/word/2010/wordml" w:rsidR="009C6D33" w:rsidRDefault="009C6D33" w14:paraId="0A37501D" wp14:textId="77777777">
      <w:pPr>
        <w:spacing w:line="360" w:lineRule="auto"/>
        <w:jc w:val="center"/>
        <w:rPr>
          <w:rFonts w:ascii="Times New Roman" w:hAnsi="Times New Roman" w:eastAsia="Times New Roman" w:cs="Times New Roman"/>
          <w:color w:val="000000"/>
        </w:rPr>
      </w:pPr>
    </w:p>
    <w:p xmlns:wp14="http://schemas.microsoft.com/office/word/2010/wordml" w:rsidR="009C6D33" w:rsidRDefault="00164613" w14:paraId="11516E99" wp14:textId="77777777">
      <w:pPr>
        <w:spacing w:line="360" w:lineRule="auto"/>
        <w:jc w:val="center"/>
        <w:rPr>
          <w:rFonts w:ascii="Times New Roman" w:hAnsi="Times New Roman" w:eastAsia="Times New Roman" w:cs="Times New Roman"/>
          <w:color w:val="000000"/>
          <w:sz w:val="32"/>
          <w:szCs w:val="32"/>
        </w:rPr>
      </w:pPr>
      <w:r>
        <w:rPr>
          <w:rFonts w:ascii="Times New Roman" w:hAnsi="Times New Roman" w:eastAsia="Times New Roman" w:cs="Times New Roman"/>
          <w:b/>
          <w:bCs/>
          <w:color w:val="000000"/>
          <w:sz w:val="32"/>
          <w:szCs w:val="32"/>
        </w:rPr>
        <w:t>Programme: BA Business Management</w:t>
      </w:r>
    </w:p>
    <w:p xmlns:wp14="http://schemas.microsoft.com/office/word/2010/wordml" w:rsidR="009C6D33" w:rsidRDefault="00164613" w14:paraId="148BA210" wp14:textId="77777777">
      <w:pPr>
        <w:spacing w:line="360" w:lineRule="auto"/>
        <w:jc w:val="center"/>
        <w:rPr>
          <w:rFonts w:ascii="Times New Roman" w:hAnsi="Times New Roman" w:eastAsia="Times New Roman" w:cs="Times New Roman"/>
          <w:color w:val="000000"/>
          <w:sz w:val="32"/>
          <w:szCs w:val="32"/>
        </w:rPr>
      </w:pPr>
      <w:r>
        <w:rPr>
          <w:rFonts w:ascii="Times New Roman" w:hAnsi="Times New Roman" w:eastAsia="Times New Roman" w:cs="Times New Roman"/>
          <w:b/>
          <w:bCs/>
          <w:color w:val="000000"/>
          <w:sz w:val="32"/>
          <w:szCs w:val="32"/>
        </w:rPr>
        <w:t>Module: Principles of Human Resource Management</w:t>
      </w:r>
    </w:p>
    <w:p xmlns:wp14="http://schemas.microsoft.com/office/word/2010/wordml" w:rsidR="009C6D33" w:rsidRDefault="00164613" w14:paraId="5878AE60" wp14:textId="77777777">
      <w:pPr>
        <w:spacing w:line="360" w:lineRule="auto"/>
        <w:jc w:val="center"/>
        <w:rPr>
          <w:rFonts w:ascii="Times New Roman" w:hAnsi="Times New Roman" w:eastAsia="Times New Roman" w:cs="Times New Roman"/>
          <w:color w:val="000000"/>
          <w:sz w:val="32"/>
          <w:szCs w:val="32"/>
        </w:rPr>
      </w:pPr>
      <w:r>
        <w:rPr>
          <w:rFonts w:ascii="Times New Roman" w:hAnsi="Times New Roman" w:eastAsia="Times New Roman" w:cs="Times New Roman"/>
          <w:b/>
          <w:bCs/>
          <w:color w:val="000000"/>
          <w:sz w:val="32"/>
          <w:szCs w:val="32"/>
        </w:rPr>
        <w:t>Module code: LCBB5012</w:t>
      </w:r>
    </w:p>
    <w:p xmlns:wp14="http://schemas.microsoft.com/office/word/2010/wordml" w:rsidR="009C6D33" w:rsidRDefault="00164613" w14:paraId="7E794358" wp14:textId="77777777">
      <w:pPr>
        <w:spacing w:line="360" w:lineRule="auto"/>
        <w:jc w:val="center"/>
        <w:rPr>
          <w:rFonts w:ascii="Times New Roman" w:hAnsi="Times New Roman" w:eastAsia="Times New Roman" w:cs="Times New Roman"/>
          <w:b/>
          <w:bCs/>
          <w:color w:val="000000"/>
          <w:sz w:val="32"/>
          <w:szCs w:val="32"/>
        </w:rPr>
      </w:pPr>
      <w:r>
        <w:rPr>
          <w:rFonts w:ascii="Times New Roman" w:hAnsi="Times New Roman" w:eastAsia="Times New Roman" w:cs="Times New Roman"/>
          <w:b/>
          <w:bCs/>
          <w:color w:val="000000"/>
          <w:sz w:val="32"/>
          <w:szCs w:val="32"/>
        </w:rPr>
        <w:t>Assignment Title: Oracle report</w:t>
      </w:r>
    </w:p>
    <w:p xmlns:wp14="http://schemas.microsoft.com/office/word/2010/wordml" w:rsidR="009C6D33" w:rsidRDefault="009C6D33" w14:paraId="5DAB6C7B" wp14:textId="77777777">
      <w:pPr>
        <w:spacing w:line="360" w:lineRule="auto"/>
        <w:jc w:val="center"/>
        <w:rPr>
          <w:rFonts w:ascii="Times New Roman" w:hAnsi="Times New Roman" w:eastAsia="Times New Roman" w:cs="Times New Roman"/>
          <w:color w:val="0E101A"/>
          <w:sz w:val="32"/>
          <w:szCs w:val="32"/>
        </w:rPr>
      </w:pPr>
    </w:p>
    <w:p xmlns:wp14="http://schemas.microsoft.com/office/word/2010/wordml" w:rsidR="009C6D33" w:rsidRDefault="009C6D33" w14:paraId="02EB378F" wp14:textId="77777777">
      <w:pPr>
        <w:spacing w:line="360" w:lineRule="auto"/>
        <w:jc w:val="center"/>
        <w:rPr>
          <w:rFonts w:ascii="Times New Roman" w:hAnsi="Times New Roman" w:eastAsia="Times New Roman" w:cs="Times New Roman"/>
          <w:color w:val="0E101A"/>
          <w:sz w:val="32"/>
          <w:szCs w:val="32"/>
        </w:rPr>
      </w:pPr>
    </w:p>
    <w:p xmlns:wp14="http://schemas.microsoft.com/office/word/2010/wordml" w:rsidR="009C6D33" w:rsidP="68DACCB4" w:rsidRDefault="00164613" w14:paraId="29A03978" wp14:textId="32F6ED82">
      <w:pPr>
        <w:spacing w:line="360" w:lineRule="auto"/>
        <w:rPr>
          <w:rFonts w:ascii="Arial" w:hAnsi="Arial" w:eastAsia="Arial" w:cs="Arial"/>
          <w:b w:val="1"/>
          <w:bCs w:val="1"/>
          <w:color w:val="0E101A"/>
          <w:sz w:val="32"/>
          <w:szCs w:val="32"/>
        </w:rPr>
      </w:pPr>
      <w:r w:rsidRPr="68DACCB4" w:rsidR="00164613">
        <w:rPr>
          <w:rFonts w:ascii="Arial" w:hAnsi="Arial" w:eastAsia="Arial" w:cs="Arial"/>
          <w:b w:val="1"/>
          <w:bCs w:val="1"/>
          <w:color w:val="0E101A"/>
          <w:sz w:val="32"/>
          <w:szCs w:val="32"/>
          <w:lang w:val="de-DE"/>
        </w:rPr>
        <w:t xml:space="preserve">Module </w:t>
      </w:r>
      <w:r w:rsidRPr="68DACCB4" w:rsidR="00164613">
        <w:rPr>
          <w:rFonts w:ascii="Arial" w:hAnsi="Arial" w:eastAsia="Arial" w:cs="Arial"/>
          <w:b w:val="1"/>
          <w:bCs w:val="1"/>
          <w:color w:val="0E101A"/>
          <w:sz w:val="32"/>
          <w:szCs w:val="32"/>
          <w:lang w:val="de-DE"/>
        </w:rPr>
        <w:t>Lecturer</w:t>
      </w:r>
      <w:r w:rsidRPr="68DACCB4" w:rsidR="00164613">
        <w:rPr>
          <w:rFonts w:ascii="Arial" w:hAnsi="Arial" w:eastAsia="Arial" w:cs="Arial"/>
          <w:b w:val="1"/>
          <w:bCs w:val="1"/>
          <w:color w:val="0E101A"/>
          <w:sz w:val="32"/>
          <w:szCs w:val="32"/>
          <w:lang w:val="de-DE"/>
        </w:rPr>
        <w:t xml:space="preserve"> :</w:t>
      </w:r>
      <w:r w:rsidRPr="68DACCB4" w:rsidR="00164613">
        <w:rPr>
          <w:rFonts w:ascii="Arial" w:hAnsi="Arial" w:eastAsia="Arial" w:cs="Arial"/>
          <w:b w:val="1"/>
          <w:bCs w:val="1"/>
          <w:color w:val="0E101A"/>
          <w:sz w:val="32"/>
          <w:szCs w:val="32"/>
          <w:lang w:val="de-DE"/>
        </w:rPr>
        <w:t xml:space="preserve"> </w:t>
      </w:r>
      <w:r w:rsidRPr="68DACCB4" w:rsidR="39562AC2">
        <w:rPr>
          <w:rFonts w:ascii="Arial" w:hAnsi="Arial" w:eastAsia="Arial" w:cs="Arial"/>
          <w:b w:val="1"/>
          <w:bCs w:val="1"/>
          <w:color w:val="0E101A"/>
          <w:sz w:val="32"/>
          <w:szCs w:val="32"/>
          <w:lang w:val="de-DE"/>
        </w:rPr>
        <w:t>Fouziya</w:t>
      </w:r>
      <w:r w:rsidRPr="68DACCB4" w:rsidR="39562AC2">
        <w:rPr>
          <w:rFonts w:ascii="Arial" w:hAnsi="Arial" w:eastAsia="Arial" w:cs="Arial"/>
          <w:b w:val="1"/>
          <w:bCs w:val="1"/>
          <w:color w:val="0E101A"/>
          <w:sz w:val="32"/>
          <w:szCs w:val="32"/>
          <w:lang w:val="de-DE"/>
        </w:rPr>
        <w:t xml:space="preserve"> </w:t>
      </w:r>
      <w:r w:rsidRPr="68DACCB4" w:rsidR="39562AC2">
        <w:rPr>
          <w:rFonts w:ascii="Arial" w:hAnsi="Arial" w:eastAsia="Arial" w:cs="Arial"/>
          <w:b w:val="1"/>
          <w:bCs w:val="1"/>
          <w:color w:val="0E101A"/>
          <w:sz w:val="32"/>
          <w:szCs w:val="32"/>
          <w:lang w:val="de-DE"/>
        </w:rPr>
        <w:t>Farheen</w:t>
      </w:r>
      <w:r w:rsidRPr="68DACCB4" w:rsidR="39562AC2">
        <w:rPr>
          <w:rFonts w:ascii="Arial" w:hAnsi="Arial" w:eastAsia="Arial" w:cs="Arial"/>
          <w:b w:val="1"/>
          <w:bCs w:val="1"/>
          <w:color w:val="0E101A"/>
          <w:sz w:val="32"/>
          <w:szCs w:val="32"/>
          <w:lang w:val="de-DE"/>
        </w:rPr>
        <w:t xml:space="preserve">, </w:t>
      </w:r>
      <w:r w:rsidRPr="68DACCB4" w:rsidR="39562AC2">
        <w:rPr>
          <w:rFonts w:ascii="Arial" w:hAnsi="Arial" w:eastAsia="Arial" w:cs="Arial"/>
          <w:b w:val="1"/>
          <w:bCs w:val="1"/>
          <w:color w:val="0E101A"/>
          <w:sz w:val="32"/>
          <w:szCs w:val="32"/>
          <w:lang w:val="de-DE"/>
        </w:rPr>
        <w:t>Dr</w:t>
      </w:r>
      <w:r w:rsidRPr="68DACCB4" w:rsidR="39562AC2">
        <w:rPr>
          <w:rFonts w:ascii="Arial" w:hAnsi="Arial" w:eastAsia="Arial" w:cs="Arial"/>
          <w:b w:val="1"/>
          <w:bCs w:val="1"/>
          <w:color w:val="0E101A"/>
          <w:sz w:val="32"/>
          <w:szCs w:val="32"/>
          <w:lang w:val="de-DE"/>
        </w:rPr>
        <w:t xml:space="preserve"> </w:t>
      </w:r>
      <w:r w:rsidRPr="68DACCB4" w:rsidR="39562AC2">
        <w:rPr>
          <w:rFonts w:ascii="Arial" w:hAnsi="Arial" w:eastAsia="Arial" w:cs="Arial"/>
          <w:b w:val="1"/>
          <w:bCs w:val="1"/>
          <w:color w:val="0E101A"/>
          <w:sz w:val="32"/>
          <w:szCs w:val="32"/>
          <w:lang w:val="de-DE"/>
        </w:rPr>
        <w:t>Koushik</w:t>
      </w:r>
      <w:r w:rsidRPr="68DACCB4" w:rsidR="39562AC2">
        <w:rPr>
          <w:rFonts w:ascii="Arial" w:hAnsi="Arial" w:eastAsia="Arial" w:cs="Arial"/>
          <w:b w:val="1"/>
          <w:bCs w:val="1"/>
          <w:color w:val="0E101A"/>
          <w:sz w:val="32"/>
          <w:szCs w:val="32"/>
          <w:lang w:val="de-DE"/>
        </w:rPr>
        <w:t xml:space="preserve"> Das Sarma</w:t>
      </w:r>
    </w:p>
    <w:p xmlns:wp14="http://schemas.microsoft.com/office/word/2010/wordml" w:rsidR="009C6D33" w:rsidP="68DACCB4" w:rsidRDefault="00164613" w14:paraId="6CD4DC09" wp14:textId="77777777">
      <w:pPr>
        <w:spacing w:line="360" w:lineRule="auto"/>
        <w:rPr>
          <w:rFonts w:ascii="Arial" w:hAnsi="Arial" w:eastAsia="Arial" w:cs="Arial"/>
          <w:color w:val="0E101A"/>
          <w:sz w:val="32"/>
          <w:szCs w:val="32"/>
        </w:rPr>
      </w:pPr>
      <w:r w:rsidRPr="68DACCB4" w:rsidR="00164613">
        <w:rPr>
          <w:rFonts w:ascii="Arial" w:hAnsi="Arial" w:eastAsia="Arial" w:cs="Arial"/>
          <w:b w:val="1"/>
          <w:bCs w:val="1"/>
          <w:color w:val="0E101A"/>
          <w:sz w:val="32"/>
          <w:szCs w:val="32"/>
        </w:rPr>
        <w:t xml:space="preserve">Student name: Szabolcs </w:t>
      </w:r>
      <w:r w:rsidRPr="68DACCB4" w:rsidR="00164613">
        <w:rPr>
          <w:rFonts w:ascii="Arial" w:hAnsi="Arial" w:eastAsia="Arial" w:cs="Arial"/>
          <w:b w:val="1"/>
          <w:bCs w:val="1"/>
          <w:color w:val="0E101A"/>
          <w:sz w:val="32"/>
          <w:szCs w:val="32"/>
        </w:rPr>
        <w:t>Isaszegi</w:t>
      </w:r>
      <w:r w:rsidRPr="68DACCB4" w:rsidR="00164613">
        <w:rPr>
          <w:rFonts w:ascii="Arial" w:hAnsi="Arial" w:eastAsia="Arial" w:cs="Arial"/>
          <w:b w:val="1"/>
          <w:bCs w:val="1"/>
          <w:color w:val="0E101A"/>
          <w:sz w:val="32"/>
          <w:szCs w:val="32"/>
        </w:rPr>
        <w:t>-Toth</w:t>
      </w:r>
    </w:p>
    <w:p xmlns:wp14="http://schemas.microsoft.com/office/word/2010/wordml" w:rsidR="009C6D33" w:rsidP="68DACCB4" w:rsidRDefault="00164613" w14:paraId="640AF8D4" wp14:textId="77777777">
      <w:pPr>
        <w:spacing w:line="360" w:lineRule="auto"/>
        <w:rPr>
          <w:rFonts w:ascii="Arial" w:hAnsi="Arial" w:eastAsia="Arial" w:cs="Arial"/>
          <w:color w:val="000000"/>
        </w:rPr>
      </w:pPr>
      <w:r w:rsidRPr="68DACCB4" w:rsidR="00164613">
        <w:rPr>
          <w:rFonts w:ascii="Arial" w:hAnsi="Arial" w:eastAsia="Arial" w:cs="Arial"/>
          <w:b w:val="1"/>
          <w:bCs w:val="1"/>
          <w:color w:val="0E101A"/>
          <w:sz w:val="32"/>
          <w:szCs w:val="32"/>
        </w:rPr>
        <w:t xml:space="preserve">Student ID number: </w:t>
      </w:r>
      <w:r w:rsidRPr="68DACCB4" w:rsidR="00164613">
        <w:rPr>
          <w:rFonts w:ascii="Arial" w:hAnsi="Arial" w:eastAsia="Arial" w:cs="Arial"/>
          <w:color w:val="000000" w:themeColor="text1" w:themeTint="FF" w:themeShade="FF"/>
          <w:sz w:val="32"/>
          <w:szCs w:val="32"/>
        </w:rPr>
        <w:t>2218625</w:t>
      </w:r>
    </w:p>
    <w:p w:rsidR="68DACCB4" w:rsidP="68DACCB4" w:rsidRDefault="68DACCB4" w14:paraId="3ED915F8" w14:textId="24E265B8">
      <w:pPr>
        <w:spacing w:line="360" w:lineRule="auto"/>
        <w:rPr>
          <w:rFonts w:ascii="Arial" w:hAnsi="Arial" w:eastAsia="Arial" w:cs="Arial"/>
          <w:color w:val="000000" w:themeColor="text1" w:themeTint="FF" w:themeShade="FF"/>
          <w:sz w:val="32"/>
          <w:szCs w:val="32"/>
        </w:rPr>
      </w:pPr>
    </w:p>
    <w:p w:rsidR="68DACCB4" w:rsidRDefault="68DACCB4" w14:paraId="166AA256" w14:textId="38EFAE0C">
      <w:r>
        <w:br w:type="page"/>
      </w:r>
    </w:p>
    <w:p w:rsidR="68DACCB4" w:rsidP="68DACCB4" w:rsidRDefault="68DACCB4" w14:paraId="3B5CF70D" w14:textId="7EE0899A">
      <w:pPr>
        <w:pStyle w:val="Normal"/>
        <w:spacing w:line="360" w:lineRule="auto"/>
        <w:rPr>
          <w:rFonts w:ascii="Arial" w:hAnsi="Arial" w:eastAsia="Arial" w:cs="Arial"/>
          <w:color w:val="000000" w:themeColor="text1" w:themeTint="FF" w:themeShade="FF"/>
          <w:sz w:val="32"/>
          <w:szCs w:val="32"/>
        </w:rPr>
      </w:pPr>
    </w:p>
    <w:p w:rsidR="68DACCB4" w:rsidP="68DACCB4" w:rsidRDefault="68DACCB4" w14:paraId="21F3B91C" w14:textId="65B6FAD0">
      <w:pPr>
        <w:pStyle w:val="Normal"/>
      </w:pPr>
    </w:p>
    <w:sdt>
      <w:sdtPr>
        <w:id w:val="471020473"/>
        <w:docPartObj>
          <w:docPartGallery w:val="Table of Contents"/>
          <w:docPartUnique/>
        </w:docPartObj>
      </w:sdtPr>
      <w:sdtContent>
        <w:p w:rsidR="68DACCB4" w:rsidP="68DACCB4" w:rsidRDefault="68DACCB4" w14:paraId="7F2F8AC6" w14:textId="6F11D20A">
          <w:pPr>
            <w:pStyle w:val="TOC2"/>
            <w:tabs>
              <w:tab w:val="right" w:leader="dot" w:pos="9015"/>
            </w:tabs>
            <w:bidi w:val="0"/>
            <w:rPr>
              <w:rStyle w:val="Hyperlink"/>
            </w:rPr>
          </w:pPr>
          <w:r>
            <w:fldChar w:fldCharType="begin"/>
          </w:r>
          <w:r>
            <w:instrText xml:space="preserve">TOC \o \z \u \h</w:instrText>
          </w:r>
          <w:r>
            <w:fldChar w:fldCharType="separate"/>
          </w:r>
          <w:hyperlink w:anchor="_Toc1083779663">
            <w:r w:rsidRPr="68DACCB4" w:rsidR="68DACCB4">
              <w:rPr>
                <w:rStyle w:val="Hyperlink"/>
              </w:rPr>
              <w:t>Introduction</w:t>
            </w:r>
            <w:r>
              <w:tab/>
            </w:r>
            <w:r>
              <w:fldChar w:fldCharType="begin"/>
            </w:r>
            <w:r>
              <w:instrText xml:space="preserve">PAGEREF _Toc1083779663 \h</w:instrText>
            </w:r>
            <w:r>
              <w:fldChar w:fldCharType="separate"/>
            </w:r>
            <w:r w:rsidRPr="68DACCB4" w:rsidR="68DACCB4">
              <w:rPr>
                <w:rStyle w:val="Hyperlink"/>
              </w:rPr>
              <w:t>1</w:t>
            </w:r>
            <w:r>
              <w:fldChar w:fldCharType="end"/>
            </w:r>
          </w:hyperlink>
        </w:p>
        <w:p w:rsidR="68DACCB4" w:rsidP="68DACCB4" w:rsidRDefault="68DACCB4" w14:paraId="0C620090" w14:textId="422BCCB8">
          <w:pPr>
            <w:pStyle w:val="TOC2"/>
            <w:tabs>
              <w:tab w:val="right" w:leader="dot" w:pos="9015"/>
            </w:tabs>
            <w:bidi w:val="0"/>
            <w:rPr>
              <w:rStyle w:val="Hyperlink"/>
            </w:rPr>
          </w:pPr>
          <w:hyperlink w:anchor="_Toc48329638">
            <w:r w:rsidRPr="68DACCB4" w:rsidR="68DACCB4">
              <w:rPr>
                <w:rStyle w:val="Hyperlink"/>
              </w:rPr>
              <w:t>Internal and External Environment: Porter's Five Forces Model and Link to HR Functions</w:t>
            </w:r>
            <w:r>
              <w:tab/>
            </w:r>
            <w:r>
              <w:fldChar w:fldCharType="begin"/>
            </w:r>
            <w:r>
              <w:instrText xml:space="preserve">PAGEREF _Toc48329638 \h</w:instrText>
            </w:r>
            <w:r>
              <w:fldChar w:fldCharType="separate"/>
            </w:r>
            <w:r w:rsidRPr="68DACCB4" w:rsidR="68DACCB4">
              <w:rPr>
                <w:rStyle w:val="Hyperlink"/>
              </w:rPr>
              <w:t>3</w:t>
            </w:r>
            <w:r>
              <w:fldChar w:fldCharType="end"/>
            </w:r>
          </w:hyperlink>
        </w:p>
        <w:p w:rsidR="68DACCB4" w:rsidP="68DACCB4" w:rsidRDefault="68DACCB4" w14:paraId="39854E9B" w14:textId="0BEF0052">
          <w:pPr>
            <w:pStyle w:val="TOC3"/>
            <w:tabs>
              <w:tab w:val="right" w:leader="dot" w:pos="9015"/>
            </w:tabs>
            <w:bidi w:val="0"/>
            <w:rPr>
              <w:rStyle w:val="Hyperlink"/>
            </w:rPr>
          </w:pPr>
          <w:hyperlink w:anchor="_Toc1826179912">
            <w:r w:rsidRPr="68DACCB4" w:rsidR="68DACCB4">
              <w:rPr>
                <w:rStyle w:val="Hyperlink"/>
              </w:rPr>
              <w:t>Organisation Application: Oracle’s Global Operations and HR Practices</w:t>
            </w:r>
            <w:r>
              <w:tab/>
            </w:r>
            <w:r>
              <w:fldChar w:fldCharType="begin"/>
            </w:r>
            <w:r>
              <w:instrText xml:space="preserve">PAGEREF _Toc1826179912 \h</w:instrText>
            </w:r>
            <w:r>
              <w:fldChar w:fldCharType="separate"/>
            </w:r>
            <w:r w:rsidRPr="68DACCB4" w:rsidR="68DACCB4">
              <w:rPr>
                <w:rStyle w:val="Hyperlink"/>
              </w:rPr>
              <w:t>6</w:t>
            </w:r>
            <w:r>
              <w:fldChar w:fldCharType="end"/>
            </w:r>
          </w:hyperlink>
        </w:p>
        <w:p w:rsidR="68DACCB4" w:rsidP="68DACCB4" w:rsidRDefault="68DACCB4" w14:paraId="2D58BC0E" w14:textId="0696D65A">
          <w:pPr>
            <w:pStyle w:val="TOC3"/>
            <w:tabs>
              <w:tab w:val="right" w:leader="dot" w:pos="9015"/>
            </w:tabs>
            <w:bidi w:val="0"/>
            <w:rPr>
              <w:rStyle w:val="Hyperlink"/>
            </w:rPr>
          </w:pPr>
          <w:hyperlink w:anchor="_Toc1985193465">
            <w:r w:rsidRPr="68DACCB4" w:rsidR="68DACCB4">
              <w:rPr>
                <w:rStyle w:val="Hyperlink"/>
              </w:rPr>
              <w:t>Application of Model: Impact on HR Practices and Country Differences</w:t>
            </w:r>
            <w:r>
              <w:tab/>
            </w:r>
            <w:r>
              <w:fldChar w:fldCharType="begin"/>
            </w:r>
            <w:r>
              <w:instrText xml:space="preserve">PAGEREF _Toc1985193465 \h</w:instrText>
            </w:r>
            <w:r>
              <w:fldChar w:fldCharType="separate"/>
            </w:r>
            <w:r w:rsidRPr="68DACCB4" w:rsidR="68DACCB4">
              <w:rPr>
                <w:rStyle w:val="Hyperlink"/>
              </w:rPr>
              <w:t>6</w:t>
            </w:r>
            <w:r>
              <w:fldChar w:fldCharType="end"/>
            </w:r>
          </w:hyperlink>
        </w:p>
        <w:p w:rsidR="68DACCB4" w:rsidP="68DACCB4" w:rsidRDefault="68DACCB4" w14:paraId="02770E58" w14:textId="347817AE">
          <w:pPr>
            <w:pStyle w:val="TOC2"/>
            <w:tabs>
              <w:tab w:val="right" w:leader="dot" w:pos="9015"/>
            </w:tabs>
            <w:bidi w:val="0"/>
            <w:rPr>
              <w:rStyle w:val="Hyperlink"/>
            </w:rPr>
          </w:pPr>
          <w:hyperlink w:anchor="_Toc1565671031">
            <w:r w:rsidRPr="68DACCB4" w:rsidR="68DACCB4">
              <w:rPr>
                <w:rStyle w:val="Hyperlink"/>
              </w:rPr>
              <w:t>References:</w:t>
            </w:r>
            <w:r>
              <w:tab/>
            </w:r>
            <w:r>
              <w:fldChar w:fldCharType="begin"/>
            </w:r>
            <w:r>
              <w:instrText xml:space="preserve">PAGEREF _Toc1565671031 \h</w:instrText>
            </w:r>
            <w:r>
              <w:fldChar w:fldCharType="separate"/>
            </w:r>
            <w:r w:rsidRPr="68DACCB4" w:rsidR="68DACCB4">
              <w:rPr>
                <w:rStyle w:val="Hyperlink"/>
              </w:rPr>
              <w:t>10</w:t>
            </w:r>
            <w:r>
              <w:fldChar w:fldCharType="end"/>
            </w:r>
          </w:hyperlink>
          <w:r>
            <w:fldChar w:fldCharType="end"/>
          </w:r>
        </w:p>
      </w:sdtContent>
    </w:sdt>
    <w:p xmlns:wp14="http://schemas.microsoft.com/office/word/2010/wordml" w:rsidR="009C6D33" w:rsidP="68DACCB4" w:rsidRDefault="009C6D33" w14:paraId="6A05A809" wp14:textId="77777777">
      <w:pPr>
        <w:rPr>
          <w:rFonts w:ascii="Arial" w:hAnsi="Arial" w:eastAsia="Arial" w:cs="Arial"/>
        </w:rPr>
      </w:pPr>
    </w:p>
    <w:p xmlns:wp14="http://schemas.microsoft.com/office/word/2010/wordml" w:rsidR="009C6D33" w:rsidP="68DACCB4" w:rsidRDefault="009C6D33" w14:paraId="5A39BBE3" wp14:textId="77777777">
      <w:pPr>
        <w:spacing w:after="0" w:line="360" w:lineRule="auto"/>
        <w:jc w:val="both"/>
        <w:rPr>
          <w:rFonts w:ascii="Arial" w:hAnsi="Arial" w:eastAsia="Arial" w:cs="Arial"/>
          <w:b w:val="1"/>
          <w:bCs w:val="1"/>
          <w:color w:val="000000"/>
          <w:sz w:val="30"/>
          <w:szCs w:val="30"/>
        </w:rPr>
      </w:pPr>
    </w:p>
    <w:p xmlns:wp14="http://schemas.microsoft.com/office/word/2010/wordml" w:rsidR="009C6D33" w:rsidP="68DACCB4" w:rsidRDefault="00164613" w14:paraId="41C8F396" wp14:textId="77777777">
      <w:pPr>
        <w:rPr>
          <w:rFonts w:ascii="Arial" w:hAnsi="Arial" w:eastAsia="Arial" w:cs="Arial"/>
        </w:rPr>
      </w:pPr>
      <w:r w:rsidRPr="68DACCB4">
        <w:rPr>
          <w:rFonts w:ascii="Arial" w:hAnsi="Arial" w:eastAsia="Arial" w:cs="Arial"/>
        </w:rPr>
        <w:br w:type="page"/>
      </w:r>
    </w:p>
    <w:p xmlns:wp14="http://schemas.microsoft.com/office/word/2010/wordml" w:rsidR="009C6D33" w:rsidP="68DACCB4" w:rsidRDefault="00164613" w14:paraId="3E7A9F1C" wp14:textId="77777777">
      <w:pPr>
        <w:pStyle w:val="Heading2"/>
        <w:rPr>
          <w:rFonts w:ascii="Arial" w:hAnsi="Arial" w:eastAsia="Arial" w:cs="Arial"/>
          <w:b w:val="1"/>
          <w:bCs w:val="1"/>
          <w:color w:val="000000"/>
          <w:sz w:val="30"/>
          <w:szCs w:val="30"/>
        </w:rPr>
      </w:pPr>
      <w:bookmarkStart w:name="_rra3jtbj4ufw" w:id="0"/>
      <w:bookmarkEnd w:id="0"/>
      <w:bookmarkStart w:name="_Toc1083779663" w:id="1823675792"/>
      <w:r w:rsidRPr="68DACCB4" w:rsidR="00164613">
        <w:rPr>
          <w:rFonts w:ascii="Arial" w:hAnsi="Arial" w:eastAsia="Arial" w:cs="Arial"/>
          <w:b w:val="1"/>
          <w:bCs w:val="1"/>
          <w:color w:val="000000" w:themeColor="text1" w:themeTint="FF" w:themeShade="FF"/>
        </w:rPr>
        <w:t>Introduction</w:t>
      </w:r>
      <w:bookmarkEnd w:id="1823675792"/>
    </w:p>
    <w:p xmlns:wp14="http://schemas.microsoft.com/office/word/2010/wordml" w:rsidR="009C6D33" w:rsidP="68DACCB4" w:rsidRDefault="009C6D33" w14:paraId="72A3D3EC" wp14:textId="77777777">
      <w:pPr>
        <w:spacing w:after="0" w:line="360" w:lineRule="auto"/>
        <w:jc w:val="both"/>
        <w:rPr>
          <w:rFonts w:ascii="Arial" w:hAnsi="Arial" w:eastAsia="Arial" w:cs="Arial"/>
          <w:b w:val="1"/>
          <w:bCs w:val="1"/>
          <w:color w:val="000000"/>
          <w:sz w:val="30"/>
          <w:szCs w:val="30"/>
        </w:rPr>
      </w:pPr>
    </w:p>
    <w:p w:rsidR="358F774D" w:rsidP="68DACCB4" w:rsidRDefault="358F774D" w14:paraId="395934B9" w14:textId="24066F42">
      <w:pPr>
        <w:pStyle w:val="Normal"/>
        <w:spacing w:after="0" w:line="360" w:lineRule="auto"/>
        <w:ind w:firstLine="720"/>
        <w:jc w:val="both"/>
        <w:rPr>
          <w:rFonts w:ascii="Arial" w:hAnsi="Arial" w:eastAsia="Arial" w:cs="Arial"/>
        </w:rPr>
      </w:pPr>
      <w:r w:rsidRPr="68DACCB4" w:rsidR="358F774D">
        <w:rPr>
          <w:rFonts w:ascii="Arial" w:hAnsi="Arial" w:eastAsia="Arial" w:cs="Arial"/>
        </w:rPr>
        <w:t xml:space="preserve">Human </w:t>
      </w:r>
      <w:r w:rsidRPr="68DACCB4" w:rsidR="72B8526E">
        <w:rPr>
          <w:rFonts w:ascii="Arial" w:hAnsi="Arial" w:eastAsia="Arial" w:cs="Arial"/>
          <w:noProof w:val="0"/>
          <w:sz w:val="24"/>
          <w:szCs w:val="24"/>
          <w:lang w:val="en-GB"/>
        </w:rPr>
        <w:t>resources</w:t>
      </w:r>
      <w:r w:rsidRPr="68DACCB4" w:rsidR="6F0E7A8A">
        <w:rPr>
          <w:rFonts w:ascii="Arial" w:hAnsi="Arial" w:eastAsia="Arial" w:cs="Arial"/>
          <w:noProof w:val="0"/>
          <w:sz w:val="24"/>
          <w:szCs w:val="24"/>
          <w:lang w:val="en-GB"/>
        </w:rPr>
        <w:t xml:space="preserve"> (HR) managers form the foundation of success for multinational companies, such</w:t>
      </w:r>
      <w:r w:rsidRPr="68DACCB4" w:rsidR="6F0E7A8A">
        <w:rPr>
          <w:rFonts w:ascii="Arial" w:hAnsi="Arial" w:eastAsia="Arial" w:cs="Arial"/>
          <w:noProof w:val="0"/>
          <w:sz w:val="24"/>
          <w:szCs w:val="24"/>
          <w:lang w:val="en-GB"/>
        </w:rPr>
        <w:t xml:space="preserve"> a</w:t>
      </w:r>
      <w:r w:rsidRPr="68DACCB4" w:rsidR="6F0E7A8A">
        <w:rPr>
          <w:rFonts w:ascii="Arial" w:hAnsi="Arial" w:eastAsia="Arial" w:cs="Arial"/>
          <w:noProof w:val="0"/>
          <w:sz w:val="24"/>
          <w:szCs w:val="24"/>
          <w:lang w:val="en-GB"/>
        </w:rPr>
        <w:t>s Oracle Corporation,</w:t>
      </w:r>
      <w:r w:rsidRPr="68DACCB4" w:rsidR="6F0E7A8A">
        <w:rPr>
          <w:rFonts w:ascii="Arial" w:hAnsi="Arial" w:eastAsia="Arial" w:cs="Arial"/>
          <w:noProof w:val="0"/>
          <w:sz w:val="24"/>
          <w:szCs w:val="24"/>
          <w:lang w:val="en-GB"/>
        </w:rPr>
        <w:t xml:space="preserve"> a</w:t>
      </w:r>
      <w:r w:rsidRPr="68DACCB4" w:rsidR="6F0E7A8A">
        <w:rPr>
          <w:rFonts w:ascii="Arial" w:hAnsi="Arial" w:eastAsia="Arial" w:cs="Arial"/>
          <w:noProof w:val="0"/>
          <w:sz w:val="24"/>
          <w:szCs w:val="24"/>
          <w:lang w:val="en-GB"/>
        </w:rPr>
        <w:t xml:space="preserve"> leading technology provider of cloud infrastructure, database software,</w:t>
      </w:r>
      <w:r w:rsidRPr="68DACCB4" w:rsidR="358F774D">
        <w:rPr>
          <w:rFonts w:ascii="Arial" w:hAnsi="Arial" w:eastAsia="Arial" w:cs="Arial"/>
        </w:rPr>
        <w:t xml:space="preserve"> a</w:t>
      </w:r>
      <w:r w:rsidRPr="68DACCB4" w:rsidR="358F774D">
        <w:rPr>
          <w:rFonts w:ascii="Arial" w:hAnsi="Arial" w:eastAsia="Arial" w:cs="Arial"/>
        </w:rPr>
        <w:t>nd enterprise</w:t>
      </w:r>
      <w:r w:rsidRPr="68DACCB4" w:rsidR="358F774D">
        <w:rPr>
          <w:rFonts w:ascii="Arial" w:hAnsi="Arial" w:eastAsia="Arial" w:cs="Arial"/>
        </w:rPr>
        <w:t xml:space="preserve"> a</w:t>
      </w:r>
      <w:r w:rsidRPr="68DACCB4" w:rsidR="358F774D">
        <w:rPr>
          <w:rFonts w:ascii="Arial" w:hAnsi="Arial" w:eastAsia="Arial" w:cs="Arial"/>
        </w:rPr>
        <w:t xml:space="preserve">pplications that </w:t>
      </w:r>
      <w:r w:rsidRPr="68DACCB4" w:rsidR="358F774D">
        <w:rPr>
          <w:rFonts w:ascii="Arial" w:hAnsi="Arial" w:eastAsia="Arial" w:cs="Arial"/>
        </w:rPr>
        <w:t>operates</w:t>
      </w:r>
      <w:r w:rsidRPr="68DACCB4" w:rsidR="358F774D">
        <w:rPr>
          <w:rFonts w:ascii="Arial" w:hAnsi="Arial" w:eastAsia="Arial" w:cs="Arial"/>
        </w:rPr>
        <w:t xml:space="preserve"> a</w:t>
      </w:r>
      <w:r w:rsidRPr="68DACCB4" w:rsidR="358F774D">
        <w:rPr>
          <w:rFonts w:ascii="Arial" w:hAnsi="Arial" w:eastAsia="Arial" w:cs="Arial"/>
        </w:rPr>
        <w:t>cross 175 countries</w:t>
      </w:r>
      <w:r w:rsidRPr="68DACCB4" w:rsidR="358F774D">
        <w:rPr>
          <w:rFonts w:ascii="Arial" w:hAnsi="Arial" w:eastAsia="Arial" w:cs="Arial"/>
        </w:rPr>
        <w:t xml:space="preserve"> a</w:t>
      </w:r>
      <w:r w:rsidRPr="68DACCB4" w:rsidR="358F774D">
        <w:rPr>
          <w:rFonts w:ascii="Arial" w:hAnsi="Arial" w:eastAsia="Arial" w:cs="Arial"/>
        </w:rPr>
        <w:t>nd employs more than 164,000 professionals worldwide. These professionals handle vital responsibilities that shape how organisations</w:t>
      </w:r>
      <w:r w:rsidRPr="68DACCB4" w:rsidR="358F774D">
        <w:rPr>
          <w:rFonts w:ascii="Arial" w:hAnsi="Arial" w:eastAsia="Arial" w:cs="Arial"/>
        </w:rPr>
        <w:t xml:space="preserve"> a</w:t>
      </w:r>
      <w:r w:rsidRPr="68DACCB4" w:rsidR="358F774D">
        <w:rPr>
          <w:rFonts w:ascii="Arial" w:hAnsi="Arial" w:eastAsia="Arial" w:cs="Arial"/>
        </w:rPr>
        <w:t xml:space="preserve">ttract, </w:t>
      </w:r>
      <w:r w:rsidRPr="68DACCB4" w:rsidR="358F774D">
        <w:rPr>
          <w:rFonts w:ascii="Arial" w:hAnsi="Arial" w:eastAsia="Arial" w:cs="Arial"/>
        </w:rPr>
        <w:t>develop</w:t>
      </w:r>
      <w:r w:rsidRPr="68DACCB4" w:rsidR="358F774D">
        <w:rPr>
          <w:rFonts w:ascii="Arial" w:hAnsi="Arial" w:eastAsia="Arial" w:cs="Arial"/>
        </w:rPr>
        <w:t xml:space="preserve"> a</w:t>
      </w:r>
      <w:r w:rsidRPr="68DACCB4" w:rsidR="358F774D">
        <w:rPr>
          <w:rFonts w:ascii="Arial" w:hAnsi="Arial" w:eastAsia="Arial" w:cs="Arial"/>
        </w:rPr>
        <w:t xml:space="preserve">nd </w:t>
      </w:r>
      <w:r w:rsidRPr="68DACCB4" w:rsidR="358F774D">
        <w:rPr>
          <w:rFonts w:ascii="Arial" w:hAnsi="Arial" w:eastAsia="Arial" w:cs="Arial"/>
        </w:rPr>
        <w:t>retain</w:t>
      </w:r>
      <w:r w:rsidRPr="68DACCB4" w:rsidR="358F774D">
        <w:rPr>
          <w:rFonts w:ascii="Arial" w:hAnsi="Arial" w:eastAsia="Arial" w:cs="Arial"/>
        </w:rPr>
        <w:t xml:space="preserve"> talent in</w:t>
      </w:r>
      <w:r w:rsidRPr="68DACCB4" w:rsidR="358F774D">
        <w:rPr>
          <w:rFonts w:ascii="Arial" w:hAnsi="Arial" w:eastAsia="Arial" w:cs="Arial"/>
        </w:rPr>
        <w:t xml:space="preserve"> a</w:t>
      </w:r>
      <w:r w:rsidRPr="68DACCB4" w:rsidR="358F774D">
        <w:rPr>
          <w:rFonts w:ascii="Arial" w:hAnsi="Arial" w:eastAsia="Arial" w:cs="Arial"/>
        </w:rPr>
        <w:t xml:space="preserve"> competitive global market. </w:t>
      </w:r>
    </w:p>
    <w:p w:rsidR="358F774D" w:rsidP="68DACCB4" w:rsidRDefault="358F774D" w14:paraId="69006B3B" w14:textId="1E1D1F83">
      <w:pPr>
        <w:pStyle w:val="Normal"/>
        <w:spacing w:after="0" w:line="360" w:lineRule="auto"/>
        <w:ind w:firstLine="720"/>
        <w:jc w:val="both"/>
        <w:rPr>
          <w:rFonts w:ascii="Arial" w:hAnsi="Arial" w:eastAsia="Arial" w:cs="Arial"/>
        </w:rPr>
      </w:pPr>
      <w:r w:rsidRPr="68DACCB4" w:rsidR="358F774D">
        <w:rPr>
          <w:rFonts w:ascii="Arial" w:hAnsi="Arial" w:eastAsia="Arial" w:cs="Arial"/>
        </w:rPr>
        <w:t xml:space="preserve">Key HR functions include recruitment, training and development, performance management, and employee relations. Recruitment </w:t>
      </w:r>
      <w:r w:rsidRPr="68DACCB4" w:rsidR="358F774D">
        <w:rPr>
          <w:rFonts w:ascii="Arial" w:hAnsi="Arial" w:eastAsia="Arial" w:cs="Arial"/>
        </w:rPr>
        <w:t>identifies</w:t>
      </w:r>
      <w:r w:rsidRPr="68DACCB4" w:rsidR="358F774D">
        <w:rPr>
          <w:rFonts w:ascii="Arial" w:hAnsi="Arial" w:eastAsia="Arial" w:cs="Arial"/>
        </w:rPr>
        <w:t xml:space="preserve"> and selects capable individuals to build a skilled workforce, which is essential for organisations to meet operational demands and </w:t>
      </w:r>
      <w:r w:rsidRPr="68DACCB4" w:rsidR="358F774D">
        <w:rPr>
          <w:rFonts w:ascii="Arial" w:hAnsi="Arial" w:eastAsia="Arial" w:cs="Arial"/>
        </w:rPr>
        <w:t>maintain</w:t>
      </w:r>
      <w:r w:rsidRPr="68DACCB4" w:rsidR="358F774D">
        <w:rPr>
          <w:rFonts w:ascii="Arial" w:hAnsi="Arial" w:eastAsia="Arial" w:cs="Arial"/>
        </w:rPr>
        <w:t xml:space="preserve"> </w:t>
      </w:r>
      <w:r w:rsidRPr="68DACCB4" w:rsidR="731EB60B">
        <w:rPr>
          <w:rFonts w:ascii="Arial" w:hAnsi="Arial" w:eastAsia="Arial" w:cs="Arial"/>
          <w:noProof w:val="0"/>
          <w:sz w:val="24"/>
          <w:szCs w:val="24"/>
          <w:lang w:val="en-GB"/>
        </w:rPr>
        <w:t>a competitive</w:t>
      </w:r>
      <w:r w:rsidRPr="68DACCB4" w:rsidR="358F774D">
        <w:rPr>
          <w:rFonts w:ascii="Arial" w:hAnsi="Arial" w:eastAsia="Arial" w:cs="Arial"/>
        </w:rPr>
        <w:t xml:space="preserve"> advantage. Training and development </w:t>
      </w:r>
      <w:r w:rsidRPr="68DACCB4" w:rsidR="1B662D5A">
        <w:rPr>
          <w:rFonts w:ascii="Arial" w:hAnsi="Arial" w:eastAsia="Arial" w:cs="Arial"/>
        </w:rPr>
        <w:t>equip</w:t>
      </w:r>
      <w:r w:rsidRPr="68DACCB4" w:rsidR="358F774D">
        <w:rPr>
          <w:rFonts w:ascii="Arial" w:hAnsi="Arial" w:eastAsia="Arial" w:cs="Arial"/>
        </w:rPr>
        <w:t xml:space="preserve"> employees with updated skills to adapt to technological changes and support long term growth. Performance management sets clear goals, monitors progress and rewards achievements, thereby </w:t>
      </w:r>
      <w:r w:rsidRPr="68DACCB4" w:rsidR="1EF9C59E">
        <w:rPr>
          <w:rFonts w:ascii="Arial" w:hAnsi="Arial" w:eastAsia="Arial" w:cs="Arial"/>
          <w:noProof w:val="0"/>
          <w:sz w:val="24"/>
          <w:szCs w:val="24"/>
          <w:lang w:val="en-GB"/>
        </w:rPr>
        <w:t>fostering</w:t>
      </w:r>
      <w:r w:rsidRPr="68DACCB4" w:rsidR="358F774D">
        <w:rPr>
          <w:rFonts w:ascii="Arial" w:hAnsi="Arial" w:eastAsia="Arial" w:cs="Arial"/>
        </w:rPr>
        <w:t xml:space="preserve"> productivity and accountability across teams. Employee relations </w:t>
      </w:r>
      <w:r w:rsidRPr="68DACCB4" w:rsidR="34A4C72E">
        <w:rPr>
          <w:rFonts w:ascii="Arial" w:hAnsi="Arial" w:eastAsia="Arial" w:cs="Arial"/>
        </w:rPr>
        <w:t>foster</w:t>
      </w:r>
      <w:r w:rsidRPr="68DACCB4" w:rsidR="358F774D">
        <w:rPr>
          <w:rFonts w:ascii="Arial" w:hAnsi="Arial" w:eastAsia="Arial" w:cs="Arial"/>
        </w:rPr>
        <w:t xml:space="preserve"> positive workplace relationships, resolves conflicts and promotes wellbeing, which reduces turnover and builds a motivated culture. These functions are critical because they directly contribute to organisational effectiveness by aligning human capital with strategic </w:t>
      </w:r>
      <w:r w:rsidRPr="68DACCB4" w:rsidR="358F774D">
        <w:rPr>
          <w:rFonts w:ascii="Arial" w:hAnsi="Arial" w:eastAsia="Arial" w:cs="Arial"/>
        </w:rPr>
        <w:t>objectives</w:t>
      </w:r>
      <w:r w:rsidRPr="68DACCB4" w:rsidR="358F774D">
        <w:rPr>
          <w:rFonts w:ascii="Arial" w:hAnsi="Arial" w:eastAsia="Arial" w:cs="Arial"/>
        </w:rPr>
        <w:t xml:space="preserve"> and ensuring smooth daily operations. </w:t>
      </w:r>
    </w:p>
    <w:p w:rsidR="358F774D" w:rsidP="68DACCB4" w:rsidRDefault="358F774D" w14:paraId="778B9ED6" w14:textId="09D5848C">
      <w:pPr>
        <w:pStyle w:val="Normal"/>
        <w:spacing w:after="0" w:line="360" w:lineRule="auto"/>
        <w:ind w:firstLine="720"/>
        <w:jc w:val="both"/>
        <w:rPr>
          <w:rFonts w:ascii="Arial" w:hAnsi="Arial" w:eastAsia="Arial" w:cs="Arial"/>
        </w:rPr>
      </w:pPr>
      <w:r w:rsidRPr="68DACCB4" w:rsidR="358F774D">
        <w:rPr>
          <w:rFonts w:ascii="Arial" w:hAnsi="Arial" w:eastAsia="Arial" w:cs="Arial"/>
        </w:rPr>
        <w:t xml:space="preserve">The opening section examines the business environment and its relevance to HR. Next comes an overview of Oracle’s global operations and HR practices. The </w:t>
      </w:r>
      <w:r w:rsidRPr="68DACCB4" w:rsidR="7459C009">
        <w:rPr>
          <w:rFonts w:ascii="Arial" w:hAnsi="Arial" w:eastAsia="Arial" w:cs="Arial"/>
        </w:rPr>
        <w:t>focus</w:t>
      </w:r>
      <w:r w:rsidRPr="68DACCB4" w:rsidR="358F774D">
        <w:rPr>
          <w:rFonts w:ascii="Arial" w:hAnsi="Arial" w:eastAsia="Arial" w:cs="Arial"/>
        </w:rPr>
        <w:t xml:space="preserve"> is on Oracle’s worldwide presence and specific HR approaches. The core analysis shows how Porter’s Five Forces shape Oracle’s HR practices and evaluates differences across countries due to culture, legal </w:t>
      </w:r>
      <w:r w:rsidRPr="68DACCB4" w:rsidR="61A061AA">
        <w:rPr>
          <w:rFonts w:ascii="Arial" w:hAnsi="Arial" w:eastAsia="Arial" w:cs="Arial"/>
        </w:rPr>
        <w:t>regulations,</w:t>
      </w:r>
      <w:r w:rsidRPr="68DACCB4" w:rsidR="358F774D">
        <w:rPr>
          <w:rFonts w:ascii="Arial" w:hAnsi="Arial" w:eastAsia="Arial" w:cs="Arial"/>
        </w:rPr>
        <w:t xml:space="preserve"> and economic conditions. Finally, a conclusion summarises the key points and reflects on future implications for HR managers in global organisations. Recent studies highlight that artificial intelligence is rapidly transforming HR management, offering both efficiency gains and ethical challenges that HR managers must navigate (Jiang et al., 2025). </w:t>
      </w:r>
    </w:p>
    <w:p xmlns:wp14="http://schemas.microsoft.com/office/word/2010/wordml" w:rsidR="009C6D33" w:rsidP="68DACCB4" w:rsidRDefault="00164613" w14:paraId="0E27B00A" wp14:textId="77777777">
      <w:pPr>
        <w:spacing w:line="360" w:lineRule="auto"/>
        <w:jc w:val="both"/>
        <w:rPr>
          <w:rFonts w:ascii="Arial" w:hAnsi="Arial" w:eastAsia="Arial" w:cs="Arial"/>
        </w:rPr>
      </w:pPr>
      <w:r w:rsidRPr="68DACCB4">
        <w:rPr>
          <w:rFonts w:ascii="Arial" w:hAnsi="Arial" w:eastAsia="Arial" w:cs="Arial"/>
        </w:rPr>
        <w:br w:type="page"/>
      </w:r>
    </w:p>
    <w:p xmlns:wp14="http://schemas.microsoft.com/office/word/2010/wordml" w:rsidR="009C6D33" w:rsidP="68DACCB4" w:rsidRDefault="009C6D33" w14:paraId="7C5BB7DA" wp14:textId="43D60E45">
      <w:pPr>
        <w:pStyle w:val="Heading2"/>
        <w:spacing w:after="0" w:line="360" w:lineRule="auto"/>
        <w:rPr>
          <w:rFonts w:ascii="Arial" w:hAnsi="Arial" w:eastAsia="Arial" w:cs="Arial"/>
          <w:b w:val="1"/>
          <w:bCs w:val="1"/>
          <w:color w:val="000000" w:themeColor="text1" w:themeTint="FF" w:themeShade="FF"/>
        </w:rPr>
      </w:pPr>
      <w:bookmarkStart w:name="_10la9kcwdqo" w:id="1"/>
      <w:bookmarkEnd w:id="1"/>
      <w:bookmarkStart w:name="_Toc48329638" w:id="734618828"/>
      <w:r w:rsidRPr="68DACCB4" w:rsidR="00164613">
        <w:rPr>
          <w:rFonts w:ascii="Arial" w:hAnsi="Arial" w:eastAsia="Arial" w:cs="Arial"/>
          <w:b w:val="1"/>
          <w:bCs w:val="1"/>
          <w:color w:val="000000" w:themeColor="text1" w:themeTint="FF" w:themeShade="FF"/>
        </w:rPr>
        <w:t>Interna</w:t>
      </w:r>
      <w:r w:rsidRPr="68DACCB4" w:rsidR="35BE32EA">
        <w:rPr>
          <w:rFonts w:ascii="Arial" w:hAnsi="Arial" w:eastAsia="Arial" w:cs="Arial"/>
          <w:b w:val="1"/>
          <w:bCs w:val="1"/>
          <w:color w:val="000000" w:themeColor="text1" w:themeTint="FF" w:themeShade="FF"/>
        </w:rPr>
        <w:t>l</w:t>
      </w:r>
      <w:r w:rsidRPr="68DACCB4" w:rsidR="00164613">
        <w:rPr>
          <w:rFonts w:ascii="Arial" w:hAnsi="Arial" w:eastAsia="Arial" w:cs="Arial"/>
          <w:b w:val="1"/>
          <w:bCs w:val="1"/>
          <w:color w:val="000000" w:themeColor="text1" w:themeTint="FF" w:themeShade="FF"/>
        </w:rPr>
        <w:t xml:space="preserve"> and External Environment: Porter's Five Forces </w:t>
      </w:r>
      <w:r w:rsidRPr="68DACCB4" w:rsidR="4152BE66">
        <w:rPr>
          <w:rFonts w:ascii="Arial" w:hAnsi="Arial" w:eastAsia="Arial" w:cs="Arial"/>
          <w:b w:val="1"/>
          <w:bCs w:val="1"/>
          <w:color w:val="000000" w:themeColor="text1" w:themeTint="FF" w:themeShade="FF"/>
        </w:rPr>
        <w:t>Model and Link to HR Functions</w:t>
      </w:r>
      <w:bookmarkEnd w:id="734618828"/>
    </w:p>
    <w:p xmlns:wp14="http://schemas.microsoft.com/office/word/2010/wordml" w:rsidR="009C6D33" w:rsidP="68DACCB4" w:rsidRDefault="009C6D33" w14:paraId="60061E4C" wp14:textId="56E0048D">
      <w:pPr>
        <w:pStyle w:val="Normal"/>
        <w:spacing w:after="0" w:line="360" w:lineRule="auto"/>
        <w:rPr>
          <w:rFonts w:ascii="Arial" w:hAnsi="Arial" w:eastAsia="Arial" w:cs="Arial"/>
          <w:b w:val="1"/>
          <w:bCs w:val="1"/>
          <w:color w:val="000000"/>
        </w:rPr>
      </w:pPr>
    </w:p>
    <w:p w:rsidR="6CCE8C57" w:rsidP="68DACCB4" w:rsidRDefault="6CCE8C57" w14:paraId="18F3E3FF" w14:textId="07B4869C">
      <w:pPr>
        <w:pStyle w:val="Normal"/>
        <w:spacing w:after="0" w:line="360" w:lineRule="auto"/>
        <w:ind w:firstLine="720"/>
        <w:jc w:val="both"/>
        <w:rPr>
          <w:rFonts w:ascii="Arial" w:hAnsi="Arial" w:eastAsia="Arial" w:cs="Arial"/>
          <w:sz w:val="24"/>
          <w:szCs w:val="24"/>
        </w:rPr>
      </w:pPr>
      <w:r w:rsidRPr="68DACCB4" w:rsidR="6CCE8C57">
        <w:rPr>
          <w:rFonts w:ascii="Arial" w:hAnsi="Arial" w:eastAsia="Arial" w:cs="Arial"/>
          <w:sz w:val="24"/>
          <w:szCs w:val="24"/>
        </w:rPr>
        <w:t xml:space="preserve">Porter’s Five Forces model is the </w:t>
      </w:r>
      <w:r w:rsidRPr="68DACCB4" w:rsidR="395E5ADB">
        <w:rPr>
          <w:rFonts w:ascii="Arial" w:hAnsi="Arial" w:eastAsia="Arial" w:cs="Arial"/>
          <w:sz w:val="24"/>
          <w:szCs w:val="24"/>
        </w:rPr>
        <w:t>primary business</w:t>
      </w:r>
      <w:r w:rsidRPr="68DACCB4" w:rsidR="6CCE8C57">
        <w:rPr>
          <w:rFonts w:ascii="Arial" w:hAnsi="Arial" w:eastAsia="Arial" w:cs="Arial"/>
          <w:sz w:val="24"/>
          <w:szCs w:val="24"/>
        </w:rPr>
        <w:t xml:space="preserve"> environment framework used in this analysis. The model examines five competitive forces within an industry: the threat of new entrants, the bargaining power of suppliers, the bargaining power of buyers, the threat of substitute products or services, and rivalry among existing competitors. However, the model has clear limitations. </w:t>
      </w:r>
      <w:r w:rsidRPr="68DACCB4" w:rsidR="787C76B5">
        <w:rPr>
          <w:rFonts w:ascii="Arial" w:hAnsi="Arial" w:eastAsia="Arial" w:cs="Arial"/>
          <w:noProof w:val="0"/>
          <w:sz w:val="24"/>
          <w:szCs w:val="24"/>
          <w:lang w:val="en-GB"/>
        </w:rPr>
        <w:t>It focuses primarily on external industry pressures and pays less attention to internal factors, such as organisational culture or leadership style.</w:t>
      </w:r>
      <w:r w:rsidRPr="68DACCB4" w:rsidR="6CCE8C57">
        <w:rPr>
          <w:rFonts w:ascii="Arial" w:hAnsi="Arial" w:eastAsia="Arial" w:cs="Arial"/>
          <w:sz w:val="24"/>
          <w:szCs w:val="24"/>
        </w:rPr>
        <w:t xml:space="preserve"> It can also overlook broader societal or environmental shifts that fall outside strict industry boundaries. This is why a short PESTLE introduction at the beginning helps to set the wider context before the main analysis turns to Porter’s competitive forces. A critique of the model’s limitations is also important. Porter’s Five Forces focuses </w:t>
      </w:r>
      <w:r w:rsidRPr="68DACCB4" w:rsidR="6CCE8C57">
        <w:rPr>
          <w:rFonts w:ascii="Arial" w:hAnsi="Arial" w:eastAsia="Arial" w:cs="Arial"/>
          <w:sz w:val="24"/>
          <w:szCs w:val="24"/>
        </w:rPr>
        <w:t>mainly on</w:t>
      </w:r>
      <w:r w:rsidRPr="68DACCB4" w:rsidR="6CCE8C57">
        <w:rPr>
          <w:rFonts w:ascii="Arial" w:hAnsi="Arial" w:eastAsia="Arial" w:cs="Arial"/>
          <w:sz w:val="24"/>
          <w:szCs w:val="24"/>
        </w:rPr>
        <w:t xml:space="preserve"> external competition and gives less attention to internal factors such as company culture or leadership style, which can limit its practical use in real-world HR planning. </w:t>
      </w:r>
    </w:p>
    <w:p xmlns:wp14="http://schemas.microsoft.com/office/word/2010/wordml" w:rsidR="009C6D33" w:rsidP="68DACCB4" w:rsidRDefault="009C6D33" w14:paraId="4B94D5A5" wp14:textId="71E13E50">
      <w:pPr>
        <w:pStyle w:val="Normal"/>
        <w:spacing w:after="0" w:line="360" w:lineRule="auto"/>
        <w:ind w:firstLine="720"/>
        <w:jc w:val="both"/>
        <w:rPr>
          <w:rFonts w:ascii="Arial" w:hAnsi="Arial" w:eastAsia="Arial" w:cs="Arial"/>
        </w:rPr>
      </w:pPr>
    </w:p>
    <w:p xmlns:wp14="http://schemas.microsoft.com/office/word/2010/wordml" w:rsidR="009C6D33" w:rsidP="68DACCB4" w:rsidRDefault="00164613" w14:paraId="314D26B9" wp14:textId="24021D46">
      <w:pPr>
        <w:spacing w:after="0" w:line="360" w:lineRule="auto"/>
        <w:jc w:val="both"/>
        <w:rPr>
          <w:rFonts w:ascii="Arial" w:hAnsi="Arial" w:eastAsia="Arial" w:cs="Arial"/>
          <w:b w:val="1"/>
          <w:bCs w:val="1"/>
          <w:color w:val="000000"/>
          <w:sz w:val="30"/>
          <w:szCs w:val="30"/>
        </w:rPr>
      </w:pPr>
      <w:r w:rsidRPr="68DACCB4" w:rsidR="00164613">
        <w:rPr>
          <w:rFonts w:ascii="Arial" w:hAnsi="Arial" w:eastAsia="Arial" w:cs="Arial"/>
          <w:b w:val="1"/>
          <w:bCs w:val="1"/>
          <w:color w:val="000000" w:themeColor="text1" w:themeTint="FF" w:themeShade="FF"/>
          <w:sz w:val="28"/>
          <w:szCs w:val="28"/>
        </w:rPr>
        <w:t>How It Connects to HR</w:t>
      </w:r>
    </w:p>
    <w:p xmlns:wp14="http://schemas.microsoft.com/office/word/2010/wordml" w:rsidR="009C6D33" w:rsidP="68DACCB4" w:rsidRDefault="009C6D33" w14:paraId="3DEEC669" wp14:textId="77777777">
      <w:pPr>
        <w:spacing w:after="0" w:line="360" w:lineRule="auto"/>
        <w:jc w:val="both"/>
        <w:rPr>
          <w:rFonts w:ascii="Arial" w:hAnsi="Arial" w:eastAsia="Arial" w:cs="Arial"/>
          <w:b w:val="1"/>
          <w:bCs w:val="1"/>
          <w:color w:val="000000"/>
          <w:sz w:val="24"/>
          <w:szCs w:val="24"/>
        </w:rPr>
      </w:pPr>
    </w:p>
    <w:p xmlns:wp14="http://schemas.microsoft.com/office/word/2010/wordml" w:rsidR="009C6D33" w:rsidP="68DACCB4" w:rsidRDefault="009C6D33" w14:paraId="0C688C7C" wp14:textId="1ABBE846">
      <w:pPr>
        <w:pStyle w:val="Normal"/>
        <w:spacing w:after="0" w:line="360" w:lineRule="auto"/>
        <w:ind w:firstLine="720"/>
        <w:jc w:val="both"/>
        <w:rPr>
          <w:rFonts w:ascii="Arial" w:hAnsi="Arial" w:eastAsia="Arial" w:cs="Arial"/>
          <w:sz w:val="24"/>
          <w:szCs w:val="24"/>
        </w:rPr>
      </w:pPr>
      <w:r w:rsidRPr="68DACCB4" w:rsidR="5195B02F">
        <w:rPr>
          <w:rFonts w:ascii="Arial" w:hAnsi="Arial" w:eastAsia="Arial" w:cs="Arial"/>
          <w:sz w:val="24"/>
          <w:szCs w:val="24"/>
        </w:rPr>
        <w:t xml:space="preserve">Porter’s Five Forces connects directly to HR functions by showing how competitive pressures shape daily practices. According to Johnson et al. (2017), the threat of new entrants raises recruitment demands because </w:t>
      </w:r>
      <w:r w:rsidRPr="68DACCB4" w:rsidR="5195B02F">
        <w:rPr>
          <w:rFonts w:ascii="Arial" w:hAnsi="Arial" w:eastAsia="Arial" w:cs="Arial"/>
          <w:sz w:val="24"/>
          <w:szCs w:val="24"/>
        </w:rPr>
        <w:t>new players</w:t>
      </w:r>
      <w:r w:rsidRPr="68DACCB4" w:rsidR="5195B02F">
        <w:rPr>
          <w:rFonts w:ascii="Arial" w:hAnsi="Arial" w:eastAsia="Arial" w:cs="Arial"/>
          <w:sz w:val="24"/>
          <w:szCs w:val="24"/>
        </w:rPr>
        <w:t xml:space="preserve"> enter the market and compete for the same skilled professionals. HR managers must therefore develop stronger employer branding and faster selection processes to secure talent before rivals do. This force also influences training and development because new entrants often introduce fresh capabilities, requiring existing staff to update their skills quickly to </w:t>
      </w:r>
      <w:r w:rsidRPr="68DACCB4" w:rsidR="5195B02F">
        <w:rPr>
          <w:rFonts w:ascii="Arial" w:hAnsi="Arial" w:eastAsia="Arial" w:cs="Arial"/>
          <w:sz w:val="24"/>
          <w:szCs w:val="24"/>
        </w:rPr>
        <w:t>maintain</w:t>
      </w:r>
      <w:r w:rsidRPr="68DACCB4" w:rsidR="5195B02F">
        <w:rPr>
          <w:rFonts w:ascii="Arial" w:hAnsi="Arial" w:eastAsia="Arial" w:cs="Arial"/>
          <w:sz w:val="24"/>
          <w:szCs w:val="24"/>
        </w:rPr>
        <w:t xml:space="preserve"> an advantage</w:t>
      </w:r>
      <w:r w:rsidRPr="68DACCB4" w:rsidR="5195B02F">
        <w:rPr>
          <w:rFonts w:ascii="Arial" w:hAnsi="Arial" w:eastAsia="Arial" w:cs="Arial"/>
          <w:sz w:val="24"/>
          <w:szCs w:val="24"/>
        </w:rPr>
        <w:t xml:space="preserve">. </w:t>
      </w:r>
    </w:p>
    <w:p xmlns:wp14="http://schemas.microsoft.com/office/word/2010/wordml" w:rsidR="009C6D33" w:rsidP="68DACCB4" w:rsidRDefault="009C6D33" w14:paraId="05F70F9E" wp14:textId="16A28AF6">
      <w:pPr>
        <w:pStyle w:val="Normal"/>
        <w:spacing w:after="0" w:line="360" w:lineRule="auto"/>
        <w:ind w:firstLine="720"/>
        <w:jc w:val="both"/>
        <w:rPr>
          <w:rFonts w:ascii="Arial" w:hAnsi="Arial" w:eastAsia="Arial" w:cs="Arial"/>
          <w:sz w:val="24"/>
          <w:szCs w:val="24"/>
        </w:rPr>
      </w:pPr>
      <w:r w:rsidRPr="68DACCB4" w:rsidR="5195B02F">
        <w:rPr>
          <w:rFonts w:ascii="Arial" w:hAnsi="Arial" w:eastAsia="Arial" w:cs="Arial"/>
          <w:sz w:val="24"/>
          <w:szCs w:val="24"/>
        </w:rPr>
        <w:t xml:space="preserve">Gartner (2024) notes that the bargaining power of suppliers appears when specialist recruitment firms or training providers hold strong positions. In these </w:t>
      </w:r>
      <w:r w:rsidRPr="68DACCB4" w:rsidR="5195B02F">
        <w:rPr>
          <w:rFonts w:ascii="Arial" w:hAnsi="Arial" w:eastAsia="Arial" w:cs="Arial"/>
          <w:sz w:val="24"/>
          <w:szCs w:val="24"/>
        </w:rPr>
        <w:t>situations</w:t>
      </w:r>
      <w:r w:rsidRPr="68DACCB4" w:rsidR="5195B02F">
        <w:rPr>
          <w:rFonts w:ascii="Arial" w:hAnsi="Arial" w:eastAsia="Arial" w:cs="Arial"/>
          <w:sz w:val="24"/>
          <w:szCs w:val="24"/>
        </w:rPr>
        <w:t xml:space="preserve"> HR teams need to negotiate more favourable terms or create internal development routes to reduce dependence. This pressure flows into </w:t>
      </w:r>
      <w:r w:rsidRPr="68DACCB4" w:rsidR="04C5B6FB">
        <w:rPr>
          <w:rFonts w:ascii="Arial" w:hAnsi="Arial" w:eastAsia="Arial" w:cs="Arial"/>
          <w:noProof w:val="0"/>
          <w:sz w:val="24"/>
          <w:szCs w:val="24"/>
          <w:lang w:val="en-GB"/>
        </w:rPr>
        <w:t>performance.</w:t>
      </w:r>
      <w:r w:rsidRPr="68DACCB4" w:rsidR="5195B02F">
        <w:rPr>
          <w:rFonts w:ascii="Arial" w:hAnsi="Arial" w:eastAsia="Arial" w:cs="Arial"/>
          <w:sz w:val="24"/>
          <w:szCs w:val="24"/>
        </w:rPr>
        <w:t xml:space="preserve"> management, where clear targets must measure the return on any external training investment. </w:t>
      </w:r>
    </w:p>
    <w:p xmlns:wp14="http://schemas.microsoft.com/office/word/2010/wordml" w:rsidR="009C6D33" w:rsidP="68DACCB4" w:rsidRDefault="009C6D33" w14:paraId="25907D50" wp14:textId="54798C62">
      <w:pPr>
        <w:pStyle w:val="Normal"/>
        <w:spacing w:after="0" w:line="360" w:lineRule="auto"/>
        <w:ind w:firstLine="720"/>
        <w:jc w:val="both"/>
        <w:rPr>
          <w:rFonts w:ascii="Arial" w:hAnsi="Arial" w:eastAsia="Arial" w:cs="Arial"/>
          <w:sz w:val="24"/>
          <w:szCs w:val="24"/>
        </w:rPr>
      </w:pPr>
      <w:r w:rsidRPr="68DACCB4" w:rsidR="5195B02F">
        <w:rPr>
          <w:rFonts w:ascii="Arial" w:hAnsi="Arial" w:eastAsia="Arial" w:cs="Arial"/>
          <w:sz w:val="24"/>
          <w:szCs w:val="24"/>
        </w:rPr>
        <w:t xml:space="preserve">The bargaining power of buyers, such as large clients who expect customised cloud solutions, increases the importance of performance management and employee relations. According to McKinsey &amp; Company (2023), social trends such as the demand for diversity and inclusion require HR to refine engagement tactics to meet workforce expectations. Oracle must ensure staff deliver consistent </w:t>
      </w:r>
      <w:r w:rsidRPr="68DACCB4" w:rsidR="5195B02F">
        <w:rPr>
          <w:rFonts w:ascii="Arial" w:hAnsi="Arial" w:eastAsia="Arial" w:cs="Arial"/>
          <w:sz w:val="24"/>
          <w:szCs w:val="24"/>
        </w:rPr>
        <w:t>high quality</w:t>
      </w:r>
      <w:r w:rsidRPr="68DACCB4" w:rsidR="5195B02F">
        <w:rPr>
          <w:rFonts w:ascii="Arial" w:hAnsi="Arial" w:eastAsia="Arial" w:cs="Arial"/>
          <w:sz w:val="24"/>
          <w:szCs w:val="24"/>
        </w:rPr>
        <w:t xml:space="preserve"> service, which means regular feedback mechanisms and recognition schemes become central to keeping motivation high. The threat of substitute products, for instance alternative cloud platforms, heightens the need for continuous upskilling. HR managers respond by designing targeted development pathways that keep the workforce ahead of substitutes. This force also affects recruitment because HR must look for candidates who already </w:t>
      </w:r>
      <w:r w:rsidRPr="68DACCB4" w:rsidR="5195B02F">
        <w:rPr>
          <w:rFonts w:ascii="Arial" w:hAnsi="Arial" w:eastAsia="Arial" w:cs="Arial"/>
          <w:sz w:val="24"/>
          <w:szCs w:val="24"/>
        </w:rPr>
        <w:t>possess</w:t>
      </w:r>
      <w:r w:rsidRPr="68DACCB4" w:rsidR="5195B02F">
        <w:rPr>
          <w:rFonts w:ascii="Arial" w:hAnsi="Arial" w:eastAsia="Arial" w:cs="Arial"/>
          <w:sz w:val="24"/>
          <w:szCs w:val="24"/>
        </w:rPr>
        <w:t xml:space="preserve"> emerging skills rather than relying on traditional profiles. </w:t>
      </w:r>
    </w:p>
    <w:p xmlns:wp14="http://schemas.microsoft.com/office/word/2010/wordml" w:rsidR="009C6D33" w:rsidP="68DACCB4" w:rsidRDefault="009C6D33" w14:paraId="0F0177DA" wp14:textId="15277000">
      <w:pPr>
        <w:pStyle w:val="Normal"/>
        <w:spacing w:after="0" w:line="360" w:lineRule="auto"/>
        <w:ind w:firstLine="720"/>
        <w:jc w:val="both"/>
        <w:rPr>
          <w:rFonts w:ascii="Arial" w:hAnsi="Arial" w:eastAsia="Arial" w:cs="Arial"/>
          <w:sz w:val="24"/>
          <w:szCs w:val="24"/>
        </w:rPr>
      </w:pPr>
      <w:r w:rsidRPr="68DACCB4" w:rsidR="5195B02F">
        <w:rPr>
          <w:rFonts w:ascii="Arial" w:hAnsi="Arial" w:eastAsia="Arial" w:cs="Arial"/>
          <w:sz w:val="24"/>
          <w:szCs w:val="24"/>
        </w:rPr>
        <w:t xml:space="preserve">Rivalry among existing competitors stands out as the strongest force in the technology sector. Technological forces, particularly artificial intelligence, further amplify these pressures. According to Úbeda-García et al. (2025), AI enhances recruitment efficiency and performance analytics but can also create technostress and raise concerns about algorithmic bias and employee privacy. Gartner (2023) further notes that AI adoption in HR can significantly reduce administrative workload while requiring careful oversight to avoid unintended bias. Weir (2018) adds that technological partnerships, such as blockchain-enabled transparency tools, can further support secure data sharing across global HR systems. According to Oracle (2025), it drives Oracle’s HR practices across every function. Recruitment becomes more aggressive to attract scarce talent, training budgets rise to build distinctive capabilities, performance management systems tighten to measure contribution against rivals, and employee relations programmes focus on retention through improved wellbeing support. In practice this rivalry means HR must refine interview documentation and selection criteria to emphasise innovation and adaptability, ensuring every new hire adds immediate value in a highly competitive market. </w:t>
      </w:r>
    </w:p>
    <w:p xmlns:wp14="http://schemas.microsoft.com/office/word/2010/wordml" w:rsidR="009C6D33" w:rsidP="68DACCB4" w:rsidRDefault="009C6D33" w14:paraId="049F31CB" wp14:textId="13F2350B">
      <w:pPr>
        <w:pStyle w:val="Normal"/>
        <w:spacing w:after="0" w:line="360" w:lineRule="auto"/>
        <w:ind w:firstLine="720"/>
        <w:jc w:val="both"/>
        <w:rPr>
          <w:rFonts w:ascii="Arial" w:hAnsi="Arial" w:eastAsia="Arial" w:cs="Arial"/>
          <w:sz w:val="24"/>
          <w:szCs w:val="24"/>
        </w:rPr>
      </w:pPr>
      <w:r w:rsidRPr="68DACCB4" w:rsidR="5195B02F">
        <w:rPr>
          <w:rFonts w:ascii="Arial" w:hAnsi="Arial" w:eastAsia="Arial" w:cs="Arial"/>
          <w:sz w:val="24"/>
          <w:szCs w:val="24"/>
        </w:rPr>
        <w:t xml:space="preserve">Taken together, Porter’s Five Forces </w:t>
      </w:r>
      <w:r w:rsidRPr="68DACCB4" w:rsidR="5195B02F">
        <w:rPr>
          <w:rFonts w:ascii="Arial" w:hAnsi="Arial" w:eastAsia="Arial" w:cs="Arial"/>
          <w:sz w:val="24"/>
          <w:szCs w:val="24"/>
        </w:rPr>
        <w:t>demonstrates</w:t>
      </w:r>
      <w:r w:rsidRPr="68DACCB4" w:rsidR="5195B02F">
        <w:rPr>
          <w:rFonts w:ascii="Arial" w:hAnsi="Arial" w:eastAsia="Arial" w:cs="Arial"/>
          <w:sz w:val="24"/>
          <w:szCs w:val="24"/>
        </w:rPr>
        <w:t xml:space="preserve"> that external competitive pressures require HR managers to act proactively. At </w:t>
      </w:r>
      <w:r w:rsidRPr="68DACCB4" w:rsidR="5195B02F">
        <w:rPr>
          <w:rFonts w:ascii="Arial" w:hAnsi="Arial" w:eastAsia="Arial" w:cs="Arial"/>
          <w:sz w:val="24"/>
          <w:szCs w:val="24"/>
        </w:rPr>
        <w:t>Oracle</w:t>
      </w:r>
      <w:r w:rsidRPr="68DACCB4" w:rsidR="5195B02F">
        <w:rPr>
          <w:rFonts w:ascii="Arial" w:hAnsi="Arial" w:eastAsia="Arial" w:cs="Arial"/>
          <w:sz w:val="24"/>
          <w:szCs w:val="24"/>
        </w:rPr>
        <w:t xml:space="preserve"> these forces interact with internal factors such as company culture and resource availability, making </w:t>
      </w:r>
      <w:r w:rsidRPr="68DACCB4" w:rsidR="5195B02F">
        <w:rPr>
          <w:rFonts w:ascii="Arial" w:hAnsi="Arial" w:eastAsia="Arial" w:cs="Arial"/>
          <w:sz w:val="24"/>
          <w:szCs w:val="24"/>
        </w:rPr>
        <w:t>the</w:t>
      </w:r>
      <w:r w:rsidRPr="68DACCB4" w:rsidR="036AF9D1">
        <w:rPr>
          <w:rFonts w:ascii="Arial" w:hAnsi="Arial" w:eastAsia="Arial" w:cs="Arial"/>
          <w:sz w:val="24"/>
          <w:szCs w:val="24"/>
        </w:rPr>
        <w:t xml:space="preserve"> </w:t>
      </w:r>
      <w:r w:rsidRPr="68DACCB4" w:rsidR="5195B02F">
        <w:rPr>
          <w:rFonts w:ascii="Arial" w:hAnsi="Arial" w:eastAsia="Arial" w:cs="Arial"/>
          <w:sz w:val="24"/>
          <w:szCs w:val="24"/>
        </w:rPr>
        <w:t>model</w:t>
      </w:r>
      <w:r w:rsidRPr="68DACCB4" w:rsidR="5195B02F">
        <w:rPr>
          <w:rFonts w:ascii="Arial" w:hAnsi="Arial" w:eastAsia="Arial" w:cs="Arial"/>
          <w:sz w:val="24"/>
          <w:szCs w:val="24"/>
        </w:rPr>
        <w:t xml:space="preserve"> a practical tool for planning. When used alongside a brief PESTLE overview, the analysis becomes more complete and helps HR managers anticipate both industry competition and wider environmental changes. This understanding allows them to adjust recruitment processes, training plans and performance systems in ways that keep Oracle competitive across its global operations.  </w:t>
      </w:r>
    </w:p>
    <w:p xmlns:wp14="http://schemas.microsoft.com/office/word/2010/wordml" w:rsidR="009C6D33" w:rsidP="68DACCB4" w:rsidRDefault="00164613" w14:paraId="437C8E98" wp14:textId="77777777">
      <w:pPr>
        <w:pStyle w:val="Heading3"/>
        <w:rPr>
          <w:rFonts w:ascii="Arial" w:hAnsi="Arial" w:eastAsia="Arial" w:cs="Arial"/>
          <w:b w:val="1"/>
          <w:bCs w:val="1"/>
          <w:color w:val="000000"/>
          <w:sz w:val="30"/>
          <w:szCs w:val="30"/>
        </w:rPr>
      </w:pPr>
      <w:bookmarkStart w:name="_4q8ecqmz3s8g" w:id="2"/>
      <w:bookmarkEnd w:id="2"/>
      <w:bookmarkStart w:name="_Toc1826179912" w:id="1520480020"/>
      <w:r w:rsidRPr="68DACCB4" w:rsidR="00164613">
        <w:rPr>
          <w:rFonts w:ascii="Arial" w:hAnsi="Arial" w:eastAsia="Arial" w:cs="Arial"/>
          <w:b w:val="1"/>
          <w:bCs w:val="1"/>
          <w:color w:val="000000" w:themeColor="text1" w:themeTint="FF" w:themeShade="FF"/>
          <w:sz w:val="30"/>
          <w:szCs w:val="30"/>
        </w:rPr>
        <w:t>Organisation Application: Oracle’s Global Operations and HR Practices</w:t>
      </w:r>
      <w:bookmarkEnd w:id="1520480020"/>
    </w:p>
    <w:p xmlns:wp14="http://schemas.microsoft.com/office/word/2010/wordml" w:rsidR="009C6D33" w:rsidP="68DACCB4" w:rsidRDefault="009C6D33" w14:paraId="53128261" wp14:textId="77777777">
      <w:pPr>
        <w:spacing w:after="0" w:line="360" w:lineRule="auto"/>
        <w:jc w:val="both"/>
        <w:rPr>
          <w:rFonts w:ascii="Arial" w:hAnsi="Arial" w:eastAsia="Arial" w:cs="Arial"/>
          <w:color w:val="000000"/>
        </w:rPr>
      </w:pPr>
    </w:p>
    <w:p w:rsidR="00164613" w:rsidP="68DACCB4" w:rsidRDefault="00164613" w14:paraId="7C0C0C04" w14:textId="7FA9A8BF">
      <w:pPr>
        <w:spacing w:after="0" w:line="360" w:lineRule="auto"/>
        <w:ind w:firstLine="720"/>
        <w:jc w:val="both"/>
        <w:rPr>
          <w:rFonts w:ascii="Arial" w:hAnsi="Arial" w:eastAsia="Arial" w:cs="Arial"/>
          <w:color w:val="000000" w:themeColor="text1" w:themeTint="FF" w:themeShade="FF"/>
        </w:rPr>
      </w:pPr>
      <w:r w:rsidRPr="68DACCB4" w:rsidR="00164613">
        <w:rPr>
          <w:rFonts w:ascii="Arial" w:hAnsi="Arial" w:eastAsia="Arial" w:cs="Arial"/>
          <w:color w:val="000000" w:themeColor="text1" w:themeTint="FF" w:themeShade="FF"/>
        </w:rPr>
        <w:t>Oracle</w:t>
      </w:r>
      <w:r w:rsidRPr="68DACCB4" w:rsidR="1D0348F7">
        <w:rPr>
          <w:rFonts w:ascii="Arial" w:hAnsi="Arial" w:eastAsia="Arial" w:cs="Arial"/>
          <w:color w:val="000000" w:themeColor="text1" w:themeTint="FF" w:themeShade="FF"/>
        </w:rPr>
        <w:t xml:space="preserve"> Corporation, founded in 1977, is a global leader in database technology, cloud </w:t>
      </w:r>
      <w:r w:rsidRPr="68DACCB4" w:rsidR="1D0348F7">
        <w:rPr>
          <w:rFonts w:ascii="Arial" w:hAnsi="Arial" w:eastAsia="Arial" w:cs="Arial"/>
          <w:color w:val="000000" w:themeColor="text1" w:themeTint="FF" w:themeShade="FF"/>
        </w:rPr>
        <w:t>computing</w:t>
      </w:r>
      <w:r w:rsidRPr="68DACCB4" w:rsidR="1D0348F7">
        <w:rPr>
          <w:rFonts w:ascii="Arial" w:hAnsi="Arial" w:eastAsia="Arial" w:cs="Arial"/>
          <w:color w:val="000000" w:themeColor="text1" w:themeTint="FF" w:themeShade="FF"/>
        </w:rPr>
        <w:t xml:space="preserve"> and enterprise software. The company </w:t>
      </w:r>
      <w:r w:rsidRPr="68DACCB4" w:rsidR="1D0348F7">
        <w:rPr>
          <w:rFonts w:ascii="Arial" w:hAnsi="Arial" w:eastAsia="Arial" w:cs="Arial"/>
          <w:color w:val="000000" w:themeColor="text1" w:themeTint="FF" w:themeShade="FF"/>
        </w:rPr>
        <w:t>operates</w:t>
      </w:r>
      <w:r w:rsidRPr="68DACCB4" w:rsidR="1D0348F7">
        <w:rPr>
          <w:rFonts w:ascii="Arial" w:hAnsi="Arial" w:eastAsia="Arial" w:cs="Arial"/>
          <w:color w:val="000000" w:themeColor="text1" w:themeTint="FF" w:themeShade="FF"/>
        </w:rPr>
        <w:t xml:space="preserve"> in more than 175 countries and </w:t>
      </w:r>
      <w:r w:rsidRPr="68DACCB4" w:rsidR="1D0348F7">
        <w:rPr>
          <w:rFonts w:ascii="Arial" w:hAnsi="Arial" w:eastAsia="Arial" w:cs="Arial"/>
          <w:color w:val="000000" w:themeColor="text1" w:themeTint="FF" w:themeShade="FF"/>
        </w:rPr>
        <w:t>maintains</w:t>
      </w:r>
      <w:r w:rsidRPr="68DACCB4" w:rsidR="1D0348F7">
        <w:rPr>
          <w:rFonts w:ascii="Arial" w:hAnsi="Arial" w:eastAsia="Arial" w:cs="Arial"/>
          <w:color w:val="000000" w:themeColor="text1" w:themeTint="FF" w:themeShade="FF"/>
        </w:rPr>
        <w:t xml:space="preserve"> a workforce of over 164,000 professionals. Its core offerings include cloud infrastructure, AI-driven solutions and enterprise applications that support businesses worldwide. This extensive international presence requires HR practices that balance central standards with local adaptation to meet diverse market needs</w:t>
      </w:r>
      <w:r w:rsidRPr="68DACCB4" w:rsidR="1D0348F7">
        <w:rPr>
          <w:rFonts w:ascii="Arial" w:hAnsi="Arial" w:eastAsia="Arial" w:cs="Arial"/>
          <w:color w:val="000000" w:themeColor="text1" w:themeTint="FF" w:themeShade="FF"/>
        </w:rPr>
        <w:t xml:space="preserve">.  </w:t>
      </w:r>
    </w:p>
    <w:p xmlns:wp14="http://schemas.microsoft.com/office/word/2010/wordml" w:rsidR="009C6D33" w:rsidP="68DACCB4" w:rsidRDefault="00164613" w14:paraId="7F95344C" wp14:textId="77777777">
      <w:pPr>
        <w:spacing w:after="0" w:line="360" w:lineRule="auto"/>
        <w:jc w:val="both"/>
        <w:rPr>
          <w:rFonts w:ascii="Arial" w:hAnsi="Arial" w:eastAsia="Arial" w:cs="Arial"/>
          <w:b w:val="1"/>
          <w:bCs w:val="1"/>
          <w:color w:val="000000"/>
        </w:rPr>
      </w:pPr>
      <w:r w:rsidRPr="68DACCB4" w:rsidR="00164613">
        <w:rPr>
          <w:rFonts w:ascii="Arial" w:hAnsi="Arial" w:eastAsia="Arial" w:cs="Arial"/>
          <w:b w:val="1"/>
          <w:bCs w:val="1"/>
          <w:color w:val="000000" w:themeColor="text1" w:themeTint="FF" w:themeShade="FF"/>
        </w:rPr>
        <w:t>Oracle’s HR practices are built around four key functions</w:t>
      </w:r>
      <w:r w:rsidRPr="68DACCB4" w:rsidR="00164613">
        <w:rPr>
          <w:rFonts w:ascii="Arial" w:hAnsi="Arial" w:eastAsia="Arial" w:cs="Arial"/>
        </w:rPr>
        <w:t>:</w:t>
      </w:r>
    </w:p>
    <w:p xmlns:wp14="http://schemas.microsoft.com/office/word/2010/wordml" w:rsidR="009C6D33" w:rsidP="68DACCB4" w:rsidRDefault="00164613" w14:paraId="3F72B010" wp14:textId="77777777">
      <w:pPr>
        <w:numPr>
          <w:ilvl w:val="0"/>
          <w:numId w:val="1"/>
        </w:numPr>
        <w:pBdr>
          <w:top w:val="nil" w:color="FF000000" w:sz="0" w:space="0"/>
          <w:left w:val="nil" w:color="FF000000" w:sz="0" w:space="0"/>
          <w:bottom w:val="nil" w:color="FF000000" w:sz="0" w:space="0"/>
          <w:right w:val="nil" w:color="FF000000" w:sz="0" w:space="0"/>
          <w:between w:val="nil" w:color="FF000000" w:sz="0" w:space="0"/>
        </w:pBdr>
        <w:spacing w:after="0" w:line="360" w:lineRule="auto"/>
        <w:jc w:val="both"/>
        <w:rPr>
          <w:rFonts w:ascii="Arial" w:hAnsi="Arial" w:eastAsia="Arial" w:cs="Arial"/>
          <w:color w:val="000000"/>
        </w:rPr>
      </w:pPr>
      <w:r w:rsidRPr="68DACCB4" w:rsidR="00164613">
        <w:rPr>
          <w:rFonts w:ascii="Arial" w:hAnsi="Arial" w:eastAsia="Arial" w:cs="Arial"/>
          <w:b w:val="1"/>
          <w:bCs w:val="1"/>
          <w:color w:val="000000" w:themeColor="text1" w:themeTint="FF" w:themeShade="FF"/>
        </w:rPr>
        <w:t>Recruitment:</w:t>
      </w:r>
      <w:r w:rsidRPr="68DACCB4" w:rsidR="00164613">
        <w:rPr>
          <w:rFonts w:ascii="Arial" w:hAnsi="Arial" w:eastAsia="Arial" w:cs="Arial"/>
          <w:color w:val="000000" w:themeColor="text1" w:themeTint="FF" w:themeShade="FF"/>
        </w:rPr>
        <w:t xml:space="preserve"> combines central talent sourcing with regional hiring to reflect local cultures and </w:t>
      </w:r>
      <w:r w:rsidRPr="68DACCB4" w:rsidR="00164613">
        <w:rPr>
          <w:rFonts w:ascii="Arial" w:hAnsi="Arial" w:eastAsia="Arial" w:cs="Arial"/>
          <w:color w:val="000000" w:themeColor="text1" w:themeTint="FF" w:themeShade="FF"/>
        </w:rPr>
        <w:t>comply with</w:t>
      </w:r>
      <w:r w:rsidRPr="68DACCB4" w:rsidR="00164613">
        <w:rPr>
          <w:rFonts w:ascii="Arial" w:hAnsi="Arial" w:eastAsia="Arial" w:cs="Arial"/>
          <w:color w:val="000000" w:themeColor="text1" w:themeTint="FF" w:themeShade="FF"/>
        </w:rPr>
        <w:t xml:space="preserve"> country-specific labour laws</w:t>
      </w:r>
      <w:r w:rsidRPr="68DACCB4" w:rsidR="00164613">
        <w:rPr>
          <w:rFonts w:ascii="Arial" w:hAnsi="Arial" w:eastAsia="Arial" w:cs="Arial"/>
          <w:color w:val="000000" w:themeColor="text1" w:themeTint="FF" w:themeShade="FF"/>
        </w:rPr>
        <w:t>.</w:t>
      </w:r>
    </w:p>
    <w:p xmlns:wp14="http://schemas.microsoft.com/office/word/2010/wordml" w:rsidR="009C6D33" w:rsidP="68DACCB4" w:rsidRDefault="00164613" w14:paraId="31F29E06" wp14:textId="77777777">
      <w:pPr>
        <w:numPr>
          <w:ilvl w:val="0"/>
          <w:numId w:val="3"/>
        </w:numPr>
        <w:pBdr>
          <w:top w:val="nil" w:color="FF000000" w:sz="0" w:space="0"/>
          <w:left w:val="nil" w:color="FF000000" w:sz="0" w:space="0"/>
          <w:bottom w:val="nil" w:color="FF000000" w:sz="0" w:space="0"/>
          <w:right w:val="nil" w:color="FF000000" w:sz="0" w:space="0"/>
          <w:between w:val="nil" w:color="FF000000" w:sz="0" w:space="0"/>
        </w:pBdr>
        <w:spacing w:after="0" w:line="360" w:lineRule="auto"/>
        <w:jc w:val="both"/>
        <w:rPr>
          <w:rFonts w:ascii="Arial" w:hAnsi="Arial" w:eastAsia="Arial" w:cs="Arial"/>
          <w:color w:val="000000"/>
        </w:rPr>
      </w:pPr>
      <w:r w:rsidRPr="68DACCB4" w:rsidR="00164613">
        <w:rPr>
          <w:rFonts w:ascii="Arial" w:hAnsi="Arial" w:eastAsia="Arial" w:cs="Arial"/>
          <w:b w:val="1"/>
          <w:bCs w:val="1"/>
          <w:color w:val="000000" w:themeColor="text1" w:themeTint="FF" w:themeShade="FF"/>
        </w:rPr>
        <w:t>Training and Development:</w:t>
      </w:r>
      <w:r w:rsidRPr="68DACCB4" w:rsidR="00164613">
        <w:rPr>
          <w:rFonts w:ascii="Arial" w:hAnsi="Arial" w:eastAsia="Arial" w:cs="Arial"/>
          <w:color w:val="000000" w:themeColor="text1" w:themeTint="FF" w:themeShade="FF"/>
        </w:rPr>
        <w:t xml:space="preserve"> Delivered through Oracle University, which offers scalable e-learning modules alongside in-person sessions tailored to regional requirements.</w:t>
      </w:r>
    </w:p>
    <w:p xmlns:wp14="http://schemas.microsoft.com/office/word/2010/wordml" w:rsidR="009C6D33" w:rsidP="68DACCB4" w:rsidRDefault="00164613" w14:paraId="1DCB9FE2" wp14:textId="50851148">
      <w:pPr>
        <w:numPr>
          <w:ilvl w:val="0"/>
          <w:numId w:val="3"/>
        </w:numPr>
        <w:pBdr>
          <w:top w:val="nil" w:color="FF000000" w:sz="0" w:space="0"/>
          <w:left w:val="nil" w:color="FF000000" w:sz="0" w:space="0"/>
          <w:bottom w:val="nil" w:color="FF000000" w:sz="0" w:space="0"/>
          <w:right w:val="nil" w:color="FF000000" w:sz="0" w:space="0"/>
          <w:between w:val="nil" w:color="FF000000" w:sz="0" w:space="0"/>
        </w:pBdr>
        <w:spacing w:after="0" w:line="360" w:lineRule="auto"/>
        <w:jc w:val="both"/>
        <w:rPr>
          <w:rFonts w:ascii="Arial" w:hAnsi="Arial" w:eastAsia="Arial" w:cs="Arial"/>
          <w:color w:val="000000"/>
        </w:rPr>
      </w:pPr>
      <w:r w:rsidRPr="68DACCB4" w:rsidR="00164613">
        <w:rPr>
          <w:rFonts w:ascii="Arial" w:hAnsi="Arial" w:eastAsia="Arial" w:cs="Arial"/>
          <w:b w:val="1"/>
          <w:bCs w:val="1"/>
          <w:color w:val="000000" w:themeColor="text1" w:themeTint="FF" w:themeShade="FF"/>
        </w:rPr>
        <w:t>Performance Management:</w:t>
      </w:r>
      <w:r w:rsidRPr="68DACCB4" w:rsidR="00164613">
        <w:rPr>
          <w:rFonts w:ascii="Arial" w:hAnsi="Arial" w:eastAsia="Arial" w:cs="Arial"/>
          <w:color w:val="000000" w:themeColor="text1" w:themeTint="FF" w:themeShade="FF"/>
        </w:rPr>
        <w:t xml:space="preserve"> </w:t>
      </w:r>
      <w:r w:rsidRPr="68DACCB4" w:rsidR="305118A1">
        <w:rPr>
          <w:rFonts w:ascii="Arial" w:hAnsi="Arial" w:eastAsia="Arial" w:cs="Arial"/>
          <w:noProof w:val="0"/>
          <w:sz w:val="24"/>
          <w:szCs w:val="24"/>
          <w:lang w:val="en-GB"/>
        </w:rPr>
        <w:t>Oracle HCM</w:t>
      </w:r>
      <w:r w:rsidRPr="68DACCB4" w:rsidR="00164613">
        <w:rPr>
          <w:rFonts w:ascii="Arial" w:hAnsi="Arial" w:eastAsia="Arial" w:cs="Arial"/>
          <w:color w:val="000000" w:themeColor="text1" w:themeTint="FF" w:themeShade="FF"/>
        </w:rPr>
        <w:t xml:space="preserve"> </w:t>
      </w:r>
      <w:r w:rsidRPr="68DACCB4" w:rsidR="00164613">
        <w:rPr>
          <w:rFonts w:ascii="Arial" w:hAnsi="Arial" w:eastAsia="Arial" w:cs="Arial"/>
          <w:color w:val="000000" w:themeColor="text1" w:themeTint="FF" w:themeShade="FF"/>
        </w:rPr>
        <w:t>Cloud platform to align individual goals with corporate objectives, with adjustments made for cultural differences such as team-based evaluations in collectivist societies.</w:t>
      </w:r>
    </w:p>
    <w:p w:rsidR="00164613" w:rsidP="68DACCB4" w:rsidRDefault="00164613" w14:paraId="3343A95B" w14:textId="7D888F22">
      <w:pPr>
        <w:numPr>
          <w:ilvl w:val="0"/>
          <w:numId w:val="3"/>
        </w:numPr>
        <w:pBdr>
          <w:top w:val="nil" w:color="FF000000" w:sz="0" w:space="0"/>
          <w:left w:val="nil" w:color="FF000000" w:sz="0" w:space="0"/>
          <w:bottom w:val="nil" w:color="FF000000" w:sz="0" w:space="0"/>
          <w:right w:val="nil" w:color="FF000000" w:sz="0" w:space="0"/>
          <w:between w:val="nil" w:color="FF000000" w:sz="0" w:space="0"/>
        </w:pBdr>
        <w:spacing w:after="240" w:line="360" w:lineRule="auto"/>
        <w:jc w:val="both"/>
        <w:rPr>
          <w:rFonts w:ascii="Arial" w:hAnsi="Arial" w:eastAsia="Arial" w:cs="Arial"/>
          <w:color w:val="000000" w:themeColor="text1" w:themeTint="FF" w:themeShade="FF"/>
        </w:rPr>
      </w:pPr>
      <w:r w:rsidRPr="68DACCB4" w:rsidR="00164613">
        <w:rPr>
          <w:rFonts w:ascii="Arial" w:hAnsi="Arial" w:eastAsia="Arial" w:cs="Arial"/>
          <w:b w:val="1"/>
          <w:bCs w:val="1"/>
          <w:color w:val="000000" w:themeColor="text1" w:themeTint="FF" w:themeShade="FF"/>
        </w:rPr>
        <w:t>Employee Relations:</w:t>
      </w:r>
      <w:r w:rsidRPr="68DACCB4" w:rsidR="00164613">
        <w:rPr>
          <w:rFonts w:ascii="Arial" w:hAnsi="Arial" w:eastAsia="Arial" w:cs="Arial"/>
          <w:color w:val="000000" w:themeColor="text1" w:themeTint="FF" w:themeShade="FF"/>
        </w:rPr>
        <w:t xml:space="preserve"> Oracle focuses on diversity programmes, work-life balance </w:t>
      </w:r>
      <w:r w:rsidRPr="68DACCB4" w:rsidR="00164613">
        <w:rPr>
          <w:rFonts w:ascii="Arial" w:hAnsi="Arial" w:eastAsia="Arial" w:cs="Arial"/>
          <w:color w:val="000000" w:themeColor="text1" w:themeTint="FF" w:themeShade="FF"/>
        </w:rPr>
        <w:t>initiatives</w:t>
      </w:r>
      <w:r w:rsidRPr="68DACCB4" w:rsidR="00164613">
        <w:rPr>
          <w:rFonts w:ascii="Arial" w:hAnsi="Arial" w:eastAsia="Arial" w:cs="Arial"/>
          <w:color w:val="000000" w:themeColor="text1" w:themeTint="FF" w:themeShade="FF"/>
        </w:rPr>
        <w:t xml:space="preserve"> and adherence to local regulations, supported by tools that provide feedback and wellbeing support. </w:t>
      </w:r>
    </w:p>
    <w:p w:rsidR="3699665F" w:rsidP="68DACCB4" w:rsidRDefault="3699665F" w14:paraId="0E913A64" w14:textId="2B3ABD37">
      <w:pPr>
        <w:pBdr>
          <w:top w:val="nil" w:color="FF000000" w:sz="0" w:space="0"/>
          <w:left w:val="nil" w:color="FF000000" w:sz="0" w:space="0"/>
          <w:bottom w:val="nil" w:color="FF000000" w:sz="0" w:space="0"/>
          <w:right w:val="nil" w:color="FF000000" w:sz="0" w:space="0"/>
          <w:between w:val="nil" w:color="FF000000" w:sz="0" w:space="0"/>
        </w:pBdr>
        <w:spacing w:after="240" w:line="360" w:lineRule="auto"/>
        <w:ind w:left="0"/>
        <w:jc w:val="both"/>
        <w:rPr>
          <w:rFonts w:ascii="Arial" w:hAnsi="Arial" w:eastAsia="Arial" w:cs="Arial"/>
          <w:color w:val="000000" w:themeColor="text1" w:themeTint="FF" w:themeShade="FF"/>
        </w:rPr>
      </w:pPr>
      <w:r w:rsidRPr="68DACCB4" w:rsidR="3699665F">
        <w:rPr>
          <w:rFonts w:ascii="Arial" w:hAnsi="Arial" w:eastAsia="Arial" w:cs="Arial"/>
        </w:rPr>
        <w:t xml:space="preserve">These practices enable Oracle to </w:t>
      </w:r>
      <w:r w:rsidRPr="68DACCB4" w:rsidR="3699665F">
        <w:rPr>
          <w:rFonts w:ascii="Arial" w:hAnsi="Arial" w:eastAsia="Arial" w:cs="Arial"/>
        </w:rPr>
        <w:t>maintain</w:t>
      </w:r>
      <w:r w:rsidRPr="68DACCB4" w:rsidR="3699665F">
        <w:rPr>
          <w:rFonts w:ascii="Arial" w:hAnsi="Arial" w:eastAsia="Arial" w:cs="Arial"/>
        </w:rPr>
        <w:t xml:space="preserve"> consistency while responding to the unique demands of each country, ensuring the workforce </w:t>
      </w:r>
      <w:r w:rsidRPr="68DACCB4" w:rsidR="3699665F">
        <w:rPr>
          <w:rFonts w:ascii="Arial" w:hAnsi="Arial" w:eastAsia="Arial" w:cs="Arial"/>
        </w:rPr>
        <w:t>remains</w:t>
      </w:r>
      <w:r w:rsidRPr="68DACCB4" w:rsidR="3699665F">
        <w:rPr>
          <w:rFonts w:ascii="Arial" w:hAnsi="Arial" w:eastAsia="Arial" w:cs="Arial"/>
        </w:rPr>
        <w:t xml:space="preserve"> engaged and productive across its global operations. Oracle has integrated AI tools within its HCM Cloud to support recruitment screening and performance tracking, yet HR </w:t>
      </w:r>
      <w:r w:rsidRPr="68DACCB4" w:rsidR="3699665F">
        <w:rPr>
          <w:rFonts w:ascii="Arial" w:hAnsi="Arial" w:eastAsia="Arial" w:cs="Arial"/>
        </w:rPr>
        <w:t>managers</w:t>
      </w:r>
      <w:r w:rsidRPr="68DACCB4" w:rsidR="04B0148D">
        <w:rPr>
          <w:rFonts w:ascii="Arial" w:hAnsi="Arial" w:eastAsia="Arial" w:cs="Arial"/>
        </w:rPr>
        <w:t xml:space="preserve"> </w:t>
      </w:r>
      <w:r w:rsidRPr="68DACCB4" w:rsidR="3699665F">
        <w:rPr>
          <w:rFonts w:ascii="Arial" w:hAnsi="Arial" w:eastAsia="Arial" w:cs="Arial"/>
        </w:rPr>
        <w:t>must</w:t>
      </w:r>
      <w:r w:rsidRPr="68DACCB4" w:rsidR="3699665F">
        <w:rPr>
          <w:rFonts w:ascii="Arial" w:hAnsi="Arial" w:eastAsia="Arial" w:cs="Arial"/>
        </w:rPr>
        <w:t xml:space="preserve"> carefully manage data privacy and potential bias to </w:t>
      </w:r>
      <w:r w:rsidRPr="68DACCB4" w:rsidR="3699665F">
        <w:rPr>
          <w:rFonts w:ascii="Arial" w:hAnsi="Arial" w:eastAsia="Arial" w:cs="Arial"/>
        </w:rPr>
        <w:t>maintain</w:t>
      </w:r>
      <w:r w:rsidRPr="68DACCB4" w:rsidR="3699665F">
        <w:rPr>
          <w:rFonts w:ascii="Arial" w:hAnsi="Arial" w:eastAsia="Arial" w:cs="Arial"/>
        </w:rPr>
        <w:t xml:space="preserve"> trust across different countries (</w:t>
      </w:r>
      <w:r w:rsidRPr="68DACCB4" w:rsidR="3699665F">
        <w:rPr>
          <w:rFonts w:ascii="Arial" w:hAnsi="Arial" w:eastAsia="Arial" w:cs="Arial"/>
        </w:rPr>
        <w:t>Safshekan</w:t>
      </w:r>
      <w:r w:rsidRPr="68DACCB4" w:rsidR="3699665F">
        <w:rPr>
          <w:rFonts w:ascii="Arial" w:hAnsi="Arial" w:eastAsia="Arial" w:cs="Arial"/>
        </w:rPr>
        <w:t xml:space="preserve">, 2026). This view is further supported by Sony et al. (2025), who highlight that AI-driven recruitment tools can embed algorithmic bias if not carefully </w:t>
      </w:r>
      <w:r w:rsidRPr="68DACCB4" w:rsidR="3699665F">
        <w:rPr>
          <w:rFonts w:ascii="Arial" w:hAnsi="Arial" w:eastAsia="Arial" w:cs="Arial"/>
        </w:rPr>
        <w:t>monitored</w:t>
      </w:r>
      <w:r w:rsidRPr="68DACCB4" w:rsidR="3699665F">
        <w:rPr>
          <w:rFonts w:ascii="Arial" w:hAnsi="Arial" w:eastAsia="Arial" w:cs="Arial"/>
        </w:rPr>
        <w:t>, reinforcing the need for ethical oversight in global HR operations.</w:t>
      </w:r>
    </w:p>
    <w:p xmlns:wp14="http://schemas.microsoft.com/office/word/2010/wordml" w:rsidR="009C6D33" w:rsidP="68DACCB4" w:rsidRDefault="00164613" w14:paraId="057A63BA" wp14:textId="77777777">
      <w:pPr>
        <w:pStyle w:val="Heading3"/>
        <w:rPr>
          <w:rFonts w:ascii="Arial" w:hAnsi="Arial" w:eastAsia="Arial" w:cs="Arial"/>
          <w:b w:val="1"/>
          <w:bCs w:val="1"/>
          <w:color w:val="000000"/>
          <w:sz w:val="30"/>
          <w:szCs w:val="30"/>
        </w:rPr>
      </w:pPr>
      <w:bookmarkStart w:name="_aknlmvm44iet" w:id="3"/>
      <w:bookmarkEnd w:id="3"/>
      <w:bookmarkStart w:name="_Toc1985193465" w:id="264962552"/>
      <w:r w:rsidRPr="68DACCB4" w:rsidR="00164613">
        <w:rPr>
          <w:rFonts w:ascii="Arial" w:hAnsi="Arial" w:eastAsia="Arial" w:cs="Arial"/>
          <w:b w:val="1"/>
          <w:bCs w:val="1"/>
          <w:color w:val="000000" w:themeColor="text1" w:themeTint="FF" w:themeShade="FF"/>
          <w:sz w:val="30"/>
          <w:szCs w:val="30"/>
        </w:rPr>
        <w:t>Application of Model: Impact on HR Practices and Country Differences</w:t>
      </w:r>
      <w:bookmarkEnd w:id="264962552"/>
    </w:p>
    <w:p xmlns:wp14="http://schemas.microsoft.com/office/word/2010/wordml" w:rsidR="009C6D33" w:rsidP="68DACCB4" w:rsidRDefault="009C6D33" w14:paraId="4101652C" wp14:textId="77777777">
      <w:pPr>
        <w:spacing w:after="0" w:line="360" w:lineRule="auto"/>
        <w:jc w:val="both"/>
        <w:rPr>
          <w:rFonts w:ascii="Arial" w:hAnsi="Arial" w:eastAsia="Arial" w:cs="Arial"/>
          <w:b w:val="1"/>
          <w:bCs w:val="1"/>
          <w:color w:val="000000"/>
          <w:sz w:val="30"/>
          <w:szCs w:val="30"/>
        </w:rPr>
      </w:pPr>
    </w:p>
    <w:p xmlns:wp14="http://schemas.microsoft.com/office/word/2010/wordml" w:rsidR="009C6D33" w:rsidP="68DACCB4" w:rsidRDefault="00164613" w14:paraId="50DC4CD0" wp14:textId="61D14172">
      <w:pPr>
        <w:spacing w:after="0" w:line="360" w:lineRule="auto"/>
        <w:ind w:firstLine="720"/>
        <w:jc w:val="both"/>
        <w:rPr>
          <w:rFonts w:ascii="Arial" w:hAnsi="Arial" w:eastAsia="Arial" w:cs="Arial"/>
          <w:b w:val="0"/>
          <w:bCs w:val="0"/>
          <w:color w:val="000000" w:themeColor="text1" w:themeTint="FF" w:themeShade="FF"/>
        </w:rPr>
      </w:pPr>
      <w:r w:rsidRPr="68DACCB4" w:rsidR="6A6C4D1E">
        <w:rPr>
          <w:rFonts w:ascii="Arial" w:hAnsi="Arial" w:eastAsia="Arial" w:cs="Arial"/>
          <w:b w:val="0"/>
          <w:bCs w:val="0"/>
          <w:color w:val="000000" w:themeColor="text1" w:themeTint="FF" w:themeShade="FF"/>
        </w:rPr>
        <w:t>Porter’s Five Forces model reveals how competitive pressures influence Oracle’s HR practices and the effectiveness of its HR managers. The model examines five forces that shape industry conditions and directly affect talent strategies. According to Johnson et al. (2017), the threat of new entrants increases recruitment demands because new competitors enter the cloud market and compete for the same skilled professionals. Gartner (2024) notes that the bargaining power of suppliers appears when specialist recruitment firms or training providers hold strong positions. According to Oracle (2025), rivalry among existing competitors stands out as the strongest force in the technology sector and drives Oracle’s HR practices across every function</w:t>
      </w:r>
      <w:r w:rsidRPr="68DACCB4" w:rsidR="6A6C4D1E">
        <w:rPr>
          <w:rFonts w:ascii="Arial" w:hAnsi="Arial" w:eastAsia="Arial" w:cs="Arial"/>
          <w:b w:val="0"/>
          <w:bCs w:val="0"/>
          <w:color w:val="000000" w:themeColor="text1" w:themeTint="FF" w:themeShade="FF"/>
        </w:rPr>
        <w:t xml:space="preserve">. </w:t>
      </w:r>
    </w:p>
    <w:p xmlns:wp14="http://schemas.microsoft.com/office/word/2010/wordml" w:rsidR="009C6D33" w:rsidP="68DACCB4" w:rsidRDefault="00164613" w14:paraId="61027FA2" wp14:textId="59C630D1">
      <w:pPr>
        <w:pStyle w:val="Normal"/>
        <w:spacing w:after="0" w:line="360" w:lineRule="auto"/>
        <w:ind w:firstLine="720"/>
        <w:jc w:val="both"/>
        <w:rPr>
          <w:rFonts w:ascii="Arial" w:hAnsi="Arial" w:eastAsia="Arial" w:cs="Arial"/>
          <w:b w:val="0"/>
          <w:bCs w:val="0"/>
          <w:color w:val="000000" w:themeColor="text1" w:themeTint="FF" w:themeShade="FF"/>
        </w:rPr>
      </w:pPr>
      <w:r w:rsidRPr="68DACCB4" w:rsidR="6A6C4D1E">
        <w:rPr>
          <w:rFonts w:ascii="Arial" w:hAnsi="Arial" w:eastAsia="Arial" w:cs="Arial"/>
          <w:b w:val="0"/>
          <w:bCs w:val="0"/>
          <w:color w:val="000000" w:themeColor="text1" w:themeTint="FF" w:themeShade="FF"/>
        </w:rPr>
        <w:t xml:space="preserve">The threat of new entrants increases recruitment demands because new competitors enter the cloud market and compete for the same skilled professionals. </w:t>
      </w:r>
      <w:r w:rsidRPr="68DACCB4" w:rsidR="038C38BE">
        <w:rPr>
          <w:rFonts w:ascii="Arial" w:hAnsi="Arial" w:eastAsia="Arial" w:cs="Arial"/>
          <w:noProof w:val="0"/>
          <w:sz w:val="24"/>
          <w:szCs w:val="24"/>
          <w:lang w:val="en-GB"/>
        </w:rPr>
        <w:t>To get talent before their competitors do, HR managers need to improve employer branding and speed up the hiring process.</w:t>
      </w:r>
      <w:r w:rsidRPr="68DACCB4" w:rsidR="6A6C4D1E">
        <w:rPr>
          <w:rFonts w:ascii="Arial" w:hAnsi="Arial" w:eastAsia="Arial" w:cs="Arial"/>
          <w:b w:val="0"/>
          <w:bCs w:val="0"/>
          <w:color w:val="000000" w:themeColor="text1" w:themeTint="FF" w:themeShade="FF"/>
        </w:rPr>
        <w:t xml:space="preserve"> This force also influences training and development because new entrants often bring fresh capabilities, requiring existing staff to update their skills quickly to </w:t>
      </w:r>
      <w:r w:rsidRPr="68DACCB4" w:rsidR="6A6C4D1E">
        <w:rPr>
          <w:rFonts w:ascii="Arial" w:hAnsi="Arial" w:eastAsia="Arial" w:cs="Arial"/>
          <w:b w:val="0"/>
          <w:bCs w:val="0"/>
          <w:color w:val="000000" w:themeColor="text1" w:themeTint="FF" w:themeShade="FF"/>
        </w:rPr>
        <w:t>maintain</w:t>
      </w:r>
      <w:r w:rsidRPr="68DACCB4" w:rsidR="6A6C4D1E">
        <w:rPr>
          <w:rFonts w:ascii="Arial" w:hAnsi="Arial" w:eastAsia="Arial" w:cs="Arial"/>
          <w:b w:val="0"/>
          <w:bCs w:val="0"/>
          <w:color w:val="000000" w:themeColor="text1" w:themeTint="FF" w:themeShade="FF"/>
        </w:rPr>
        <w:t xml:space="preserve"> an advantage. </w:t>
      </w:r>
    </w:p>
    <w:p xmlns:wp14="http://schemas.microsoft.com/office/word/2010/wordml" w:rsidR="009C6D33" w:rsidP="68DACCB4" w:rsidRDefault="00164613" w14:paraId="5FDAAA84" wp14:textId="32EEBBBF">
      <w:pPr>
        <w:pStyle w:val="Normal"/>
        <w:spacing w:after="0" w:line="360" w:lineRule="auto"/>
        <w:ind w:firstLine="720"/>
        <w:jc w:val="both"/>
        <w:rPr>
          <w:rFonts w:ascii="Arial" w:hAnsi="Arial" w:eastAsia="Arial" w:cs="Arial"/>
          <w:b w:val="0"/>
          <w:bCs w:val="0"/>
          <w:color w:val="000000" w:themeColor="text1" w:themeTint="FF" w:themeShade="FF"/>
        </w:rPr>
      </w:pPr>
      <w:r w:rsidRPr="68DACCB4" w:rsidR="6A6C4D1E">
        <w:rPr>
          <w:rFonts w:ascii="Arial" w:hAnsi="Arial" w:eastAsia="Arial" w:cs="Arial"/>
          <w:b w:val="0"/>
          <w:bCs w:val="0"/>
          <w:color w:val="000000" w:themeColor="text1" w:themeTint="FF" w:themeShade="FF"/>
        </w:rPr>
        <w:t xml:space="preserve">The bargaining power of suppliers appears when specialist recruitment firms or training providers hold strong positions. In these </w:t>
      </w:r>
      <w:r w:rsidRPr="68DACCB4" w:rsidR="7C677EF5">
        <w:rPr>
          <w:rFonts w:ascii="Arial" w:hAnsi="Arial" w:eastAsia="Arial" w:cs="Arial"/>
          <w:noProof w:val="0"/>
          <w:sz w:val="24"/>
          <w:szCs w:val="24"/>
          <w:lang w:val="en-GB"/>
        </w:rPr>
        <w:t>situations, HR teams need to negotiate better</w:t>
      </w:r>
      <w:r w:rsidRPr="68DACCB4" w:rsidR="6A6C4D1E">
        <w:rPr>
          <w:rFonts w:ascii="Arial" w:hAnsi="Arial" w:eastAsia="Arial" w:cs="Arial"/>
          <w:b w:val="0"/>
          <w:bCs w:val="0"/>
          <w:color w:val="000000" w:themeColor="text1" w:themeTint="FF" w:themeShade="FF"/>
        </w:rPr>
        <w:t xml:space="preserve"> terms or create internal development routes to reduce dependence. This pressure flows into performance management, where clear targets must measure the return on any external training investment.  </w:t>
      </w:r>
    </w:p>
    <w:p xmlns:wp14="http://schemas.microsoft.com/office/word/2010/wordml" w:rsidR="009C6D33" w:rsidP="68DACCB4" w:rsidRDefault="00164613" w14:paraId="528C7077" wp14:textId="04006090">
      <w:pPr>
        <w:spacing w:after="0" w:line="360" w:lineRule="auto"/>
        <w:ind w:firstLine="720"/>
        <w:jc w:val="both"/>
        <w:rPr>
          <w:rFonts w:ascii="Arial" w:hAnsi="Arial" w:eastAsia="Arial" w:cs="Arial"/>
          <w:b w:val="0"/>
          <w:bCs w:val="0"/>
          <w:color w:val="000000" w:themeColor="text1" w:themeTint="FF" w:themeShade="FF"/>
        </w:rPr>
      </w:pPr>
      <w:r w:rsidRPr="68DACCB4" w:rsidR="6A6C4D1E">
        <w:rPr>
          <w:rFonts w:ascii="Arial" w:hAnsi="Arial" w:eastAsia="Arial" w:cs="Arial"/>
          <w:b w:val="0"/>
          <w:bCs w:val="0"/>
          <w:color w:val="000000" w:themeColor="text1" w:themeTint="FF" w:themeShade="FF"/>
        </w:rPr>
        <w:t xml:space="preserve">The bargaining power of buyers, such as large clients who expect customised cloud solutions, increases the importance of performance management and employee relations. HR must ensure staff deliver consistent </w:t>
      </w:r>
      <w:r w:rsidRPr="68DACCB4" w:rsidR="6A6C4D1E">
        <w:rPr>
          <w:rFonts w:ascii="Arial" w:hAnsi="Arial" w:eastAsia="Arial" w:cs="Arial"/>
          <w:b w:val="0"/>
          <w:bCs w:val="0"/>
          <w:color w:val="000000" w:themeColor="text1" w:themeTint="FF" w:themeShade="FF"/>
        </w:rPr>
        <w:t>high quality</w:t>
      </w:r>
      <w:r w:rsidRPr="68DACCB4" w:rsidR="6A6C4D1E">
        <w:rPr>
          <w:rFonts w:ascii="Arial" w:hAnsi="Arial" w:eastAsia="Arial" w:cs="Arial"/>
          <w:b w:val="0"/>
          <w:bCs w:val="0"/>
          <w:color w:val="000000" w:themeColor="text1" w:themeTint="FF" w:themeShade="FF"/>
        </w:rPr>
        <w:t xml:space="preserve"> service, which means regular feedback mechanisms and recognition schemes become central to keeping motivation high. </w:t>
      </w:r>
    </w:p>
    <w:p xmlns:wp14="http://schemas.microsoft.com/office/word/2010/wordml" w:rsidR="009C6D33" w:rsidP="68DACCB4" w:rsidRDefault="00164613" w14:paraId="2166CA43" wp14:textId="07789977">
      <w:pPr>
        <w:spacing w:after="0" w:line="360" w:lineRule="auto"/>
        <w:ind w:firstLine="720"/>
        <w:jc w:val="both"/>
        <w:rPr>
          <w:rFonts w:ascii="Arial" w:hAnsi="Arial" w:eastAsia="Arial" w:cs="Arial"/>
          <w:b w:val="0"/>
          <w:bCs w:val="0"/>
          <w:color w:val="000000" w:themeColor="text1" w:themeTint="FF" w:themeShade="FF"/>
        </w:rPr>
      </w:pPr>
      <w:r w:rsidRPr="68DACCB4" w:rsidR="6A6C4D1E">
        <w:rPr>
          <w:rFonts w:ascii="Arial" w:hAnsi="Arial" w:eastAsia="Arial" w:cs="Arial"/>
          <w:b w:val="0"/>
          <w:bCs w:val="0"/>
          <w:color w:val="000000" w:themeColor="text1" w:themeTint="FF" w:themeShade="FF"/>
        </w:rPr>
        <w:t xml:space="preserve">The threat of substitute products, for instance alternative cloud platforms, heightens the need for continuous upskilling. HR managers respond by designing targeted development pathways that keep the workforce ahead of substitutes. This force also affects recruitment because HR must look for candidates who already </w:t>
      </w:r>
      <w:r w:rsidRPr="68DACCB4" w:rsidR="6A6C4D1E">
        <w:rPr>
          <w:rFonts w:ascii="Arial" w:hAnsi="Arial" w:eastAsia="Arial" w:cs="Arial"/>
          <w:b w:val="0"/>
          <w:bCs w:val="0"/>
          <w:color w:val="000000" w:themeColor="text1" w:themeTint="FF" w:themeShade="FF"/>
        </w:rPr>
        <w:t>possess</w:t>
      </w:r>
      <w:r w:rsidRPr="68DACCB4" w:rsidR="6A6C4D1E">
        <w:rPr>
          <w:rFonts w:ascii="Arial" w:hAnsi="Arial" w:eastAsia="Arial" w:cs="Arial"/>
          <w:b w:val="0"/>
          <w:bCs w:val="0"/>
          <w:color w:val="000000" w:themeColor="text1" w:themeTint="FF" w:themeShade="FF"/>
        </w:rPr>
        <w:t xml:space="preserve"> emerging skills rather than relying on traditional profiles</w:t>
      </w:r>
      <w:r w:rsidRPr="68DACCB4" w:rsidR="6A6C4D1E">
        <w:rPr>
          <w:rFonts w:ascii="Arial" w:hAnsi="Arial" w:eastAsia="Arial" w:cs="Arial"/>
          <w:b w:val="0"/>
          <w:bCs w:val="0"/>
          <w:color w:val="000000" w:themeColor="text1" w:themeTint="FF" w:themeShade="FF"/>
        </w:rPr>
        <w:t xml:space="preserve">. </w:t>
      </w:r>
    </w:p>
    <w:p xmlns:wp14="http://schemas.microsoft.com/office/word/2010/wordml" w:rsidR="009C6D33" w:rsidP="68DACCB4" w:rsidRDefault="00164613" w14:paraId="2F6F3D6D" wp14:textId="1576E138">
      <w:pPr>
        <w:pStyle w:val="Normal"/>
        <w:spacing w:after="0" w:line="360" w:lineRule="auto"/>
        <w:ind w:firstLine="720"/>
        <w:jc w:val="both"/>
        <w:rPr>
          <w:rFonts w:ascii="Arial" w:hAnsi="Arial" w:eastAsia="Arial" w:cs="Arial"/>
          <w:b w:val="0"/>
          <w:bCs w:val="0"/>
          <w:color w:val="000000" w:themeColor="text1" w:themeTint="FF" w:themeShade="FF"/>
        </w:rPr>
      </w:pPr>
      <w:r w:rsidRPr="68DACCB4" w:rsidR="6A6C4D1E">
        <w:rPr>
          <w:rFonts w:ascii="Arial" w:hAnsi="Arial" w:eastAsia="Arial" w:cs="Arial"/>
          <w:b w:val="0"/>
          <w:bCs w:val="0"/>
          <w:color w:val="000000" w:themeColor="text1" w:themeTint="FF" w:themeShade="FF"/>
        </w:rPr>
        <w:t xml:space="preserve">Rivalry among existing competitors stands out as the strongest force in the technology sector. It drives Oracle’s HR practices across every function. Recruitment becomes more aggressive to attract scarce talent, training budgets rise to build distinctive capabilities, performance management systems tighten to measure contribution against rivals, and employee relations programmes focus on retention through improved wellbeing support. In </w:t>
      </w:r>
      <w:r w:rsidRPr="68DACCB4" w:rsidR="529D92A0">
        <w:rPr>
          <w:rFonts w:ascii="Arial" w:hAnsi="Arial" w:eastAsia="Arial" w:cs="Arial"/>
          <w:noProof w:val="0"/>
          <w:sz w:val="24"/>
          <w:szCs w:val="24"/>
          <w:lang w:val="en-GB"/>
        </w:rPr>
        <w:t>practice, this rivalry means HR must refine interview documentation and selection criteria to emphasise innovation and adaptability, ensuring that</w:t>
      </w:r>
      <w:r w:rsidRPr="68DACCB4" w:rsidR="6A6C4D1E">
        <w:rPr>
          <w:rFonts w:ascii="Arial" w:hAnsi="Arial" w:eastAsia="Arial" w:cs="Arial"/>
          <w:b w:val="0"/>
          <w:bCs w:val="0"/>
          <w:color w:val="000000" w:themeColor="text1" w:themeTint="FF" w:themeShade="FF"/>
        </w:rPr>
        <w:t xml:space="preserve"> every new hire adds immediate value in a highly competitive market. </w:t>
      </w:r>
    </w:p>
    <w:p xmlns:wp14="http://schemas.microsoft.com/office/word/2010/wordml" w:rsidR="009C6D33" w:rsidP="68DACCB4" w:rsidRDefault="00164613" w14:paraId="50714250" wp14:textId="787D6F12">
      <w:pPr>
        <w:spacing w:after="0" w:line="360" w:lineRule="auto"/>
        <w:ind w:firstLine="720"/>
        <w:jc w:val="both"/>
        <w:rPr>
          <w:rFonts w:ascii="Arial" w:hAnsi="Arial" w:eastAsia="Arial" w:cs="Arial"/>
          <w:b w:val="0"/>
          <w:bCs w:val="0"/>
          <w:color w:val="000000" w:themeColor="text1" w:themeTint="FF" w:themeShade="FF"/>
        </w:rPr>
      </w:pPr>
      <w:r w:rsidRPr="68DACCB4" w:rsidR="6A6C4D1E">
        <w:rPr>
          <w:rFonts w:ascii="Arial" w:hAnsi="Arial" w:eastAsia="Arial" w:cs="Arial"/>
          <w:b w:val="0"/>
          <w:bCs w:val="0"/>
          <w:color w:val="000000" w:themeColor="text1" w:themeTint="FF" w:themeShade="FF"/>
        </w:rPr>
        <w:t xml:space="preserve">These competitive forces interact with internal factors such as company culture and resource availability, making the model a practical tool for planning. AI-driven tools can improve recruitment speed and performance insights, but they also risk perpetuating bias if not properly </w:t>
      </w:r>
      <w:r w:rsidRPr="68DACCB4" w:rsidR="6A6C4D1E">
        <w:rPr>
          <w:rFonts w:ascii="Arial" w:hAnsi="Arial" w:eastAsia="Arial" w:cs="Arial"/>
          <w:b w:val="0"/>
          <w:bCs w:val="0"/>
          <w:color w:val="000000" w:themeColor="text1" w:themeTint="FF" w:themeShade="FF"/>
        </w:rPr>
        <w:t>monitored</w:t>
      </w:r>
      <w:r w:rsidRPr="68DACCB4" w:rsidR="6A6C4D1E">
        <w:rPr>
          <w:rFonts w:ascii="Arial" w:hAnsi="Arial" w:eastAsia="Arial" w:cs="Arial"/>
          <w:b w:val="0"/>
          <w:bCs w:val="0"/>
          <w:color w:val="000000" w:themeColor="text1" w:themeTint="FF" w:themeShade="FF"/>
        </w:rPr>
        <w:t>, requiring HR managers to balance efficiency with ethical oversight (Jiang et al., 2025)</w:t>
      </w:r>
      <w:r w:rsidRPr="68DACCB4" w:rsidR="6A6C4D1E">
        <w:rPr>
          <w:rFonts w:ascii="Arial" w:hAnsi="Arial" w:eastAsia="Arial" w:cs="Arial"/>
          <w:b w:val="0"/>
          <w:bCs w:val="0"/>
          <w:color w:val="000000" w:themeColor="text1" w:themeTint="FF" w:themeShade="FF"/>
        </w:rPr>
        <w:t xml:space="preserve">. </w:t>
      </w:r>
    </w:p>
    <w:p xmlns:wp14="http://schemas.microsoft.com/office/word/2010/wordml" w:rsidR="009C6D33" w:rsidP="68DACCB4" w:rsidRDefault="00164613" w14:paraId="379893A8" wp14:textId="3D4DBC62">
      <w:pPr>
        <w:spacing w:after="0" w:line="360" w:lineRule="auto"/>
        <w:ind w:firstLine="720"/>
        <w:jc w:val="both"/>
        <w:rPr>
          <w:rFonts w:ascii="Arial" w:hAnsi="Arial" w:eastAsia="Arial" w:cs="Arial"/>
          <w:b w:val="0"/>
          <w:bCs w:val="0"/>
          <w:color w:val="000000" w:themeColor="text1" w:themeTint="FF" w:themeShade="FF"/>
        </w:rPr>
      </w:pPr>
      <w:r w:rsidRPr="68DACCB4" w:rsidR="6A6C4D1E">
        <w:rPr>
          <w:rFonts w:ascii="Arial" w:hAnsi="Arial" w:eastAsia="Arial" w:cs="Arial"/>
          <w:b w:val="0"/>
          <w:bCs w:val="0"/>
          <w:color w:val="000000" w:themeColor="text1" w:themeTint="FF" w:themeShade="FF"/>
        </w:rPr>
        <w:t xml:space="preserve">When used alongside a brief PESTLE overview, the analysis becomes more complete and helps HR managers </w:t>
      </w:r>
      <w:r w:rsidRPr="68DACCB4" w:rsidR="6A6C4D1E">
        <w:rPr>
          <w:rFonts w:ascii="Arial" w:hAnsi="Arial" w:eastAsia="Arial" w:cs="Arial"/>
          <w:b w:val="0"/>
          <w:bCs w:val="0"/>
          <w:color w:val="000000" w:themeColor="text1" w:themeTint="FF" w:themeShade="FF"/>
        </w:rPr>
        <w:t>anticipate</w:t>
      </w:r>
      <w:r w:rsidRPr="68DACCB4" w:rsidR="6A6C4D1E">
        <w:rPr>
          <w:rFonts w:ascii="Arial" w:hAnsi="Arial" w:eastAsia="Arial" w:cs="Arial"/>
          <w:b w:val="0"/>
          <w:bCs w:val="0"/>
          <w:color w:val="000000" w:themeColor="text1" w:themeTint="FF" w:themeShade="FF"/>
        </w:rPr>
        <w:t xml:space="preserve"> both industry competition and wider environmental changes</w:t>
      </w:r>
      <w:r w:rsidRPr="68DACCB4" w:rsidR="6A6C4D1E">
        <w:rPr>
          <w:rFonts w:ascii="Arial" w:hAnsi="Arial" w:eastAsia="Arial" w:cs="Arial"/>
          <w:b w:val="0"/>
          <w:bCs w:val="0"/>
          <w:color w:val="000000" w:themeColor="text1" w:themeTint="FF" w:themeShade="FF"/>
        </w:rPr>
        <w:t xml:space="preserve">. </w:t>
      </w:r>
    </w:p>
    <w:p xmlns:wp14="http://schemas.microsoft.com/office/word/2010/wordml" w:rsidR="009C6D33" w:rsidP="68DACCB4" w:rsidRDefault="00164613" w14:paraId="0B8F5CE4" wp14:textId="6ECA7DC1">
      <w:pPr>
        <w:pStyle w:val="Normal"/>
        <w:spacing w:after="0" w:line="360" w:lineRule="auto"/>
        <w:ind w:firstLine="720"/>
        <w:jc w:val="both"/>
        <w:rPr>
          <w:rFonts w:ascii="Arial" w:hAnsi="Arial" w:eastAsia="Arial" w:cs="Arial"/>
          <w:b w:val="0"/>
          <w:bCs w:val="0"/>
          <w:color w:val="000000" w:themeColor="text1" w:themeTint="FF" w:themeShade="FF"/>
        </w:rPr>
      </w:pPr>
      <w:r w:rsidRPr="68DACCB4" w:rsidR="6A6C4D1E">
        <w:rPr>
          <w:rFonts w:ascii="Arial" w:hAnsi="Arial" w:eastAsia="Arial" w:cs="Arial"/>
          <w:b w:val="0"/>
          <w:bCs w:val="0"/>
          <w:color w:val="000000" w:themeColor="text1" w:themeTint="FF" w:themeShade="FF"/>
        </w:rPr>
        <w:t xml:space="preserve">Country differences amplify these impacts. Cultural norms dictate performance management approaches. In Japan’s collectivist culture, team-based appraisals are preferred, while in the United States individual metrics are emphasised. Oracle adapts its systems to align with local expectations while </w:t>
      </w:r>
      <w:r w:rsidRPr="68DACCB4" w:rsidR="6A6C4D1E">
        <w:rPr>
          <w:rFonts w:ascii="Arial" w:hAnsi="Arial" w:eastAsia="Arial" w:cs="Arial"/>
          <w:b w:val="0"/>
          <w:bCs w:val="0"/>
          <w:color w:val="000000" w:themeColor="text1" w:themeTint="FF" w:themeShade="FF"/>
        </w:rPr>
        <w:t>maintaining</w:t>
      </w:r>
      <w:r w:rsidRPr="68DACCB4" w:rsidR="6A6C4D1E">
        <w:rPr>
          <w:rFonts w:ascii="Arial" w:hAnsi="Arial" w:eastAsia="Arial" w:cs="Arial"/>
          <w:b w:val="0"/>
          <w:bCs w:val="0"/>
          <w:color w:val="000000" w:themeColor="text1" w:themeTint="FF" w:themeShade="FF"/>
        </w:rPr>
        <w:t xml:space="preserve"> global standards, requiring HR managers to </w:t>
      </w:r>
      <w:r w:rsidRPr="68DACCB4" w:rsidR="6A6C4D1E">
        <w:rPr>
          <w:rFonts w:ascii="Arial" w:hAnsi="Arial" w:eastAsia="Arial" w:cs="Arial"/>
          <w:b w:val="0"/>
          <w:bCs w:val="0"/>
          <w:color w:val="000000" w:themeColor="text1" w:themeTint="FF" w:themeShade="FF"/>
        </w:rPr>
        <w:t>demonstrate</w:t>
      </w:r>
      <w:r w:rsidRPr="68DACCB4" w:rsidR="6A6C4D1E">
        <w:rPr>
          <w:rFonts w:ascii="Arial" w:hAnsi="Arial" w:eastAsia="Arial" w:cs="Arial"/>
          <w:b w:val="0"/>
          <w:bCs w:val="0"/>
          <w:color w:val="000000" w:themeColor="text1" w:themeTint="FF" w:themeShade="FF"/>
        </w:rPr>
        <w:t xml:space="preserve"> cultural sensitivity. Legal regulations vary widely. In the European Union, strict data protection laws like GDPR impose heavy penalties for data mishandling, while some countries have more lenient frameworks that allow different approaches to employee data management. Oracle’s HR managers must be well-versed in these differences to ensure compliance, which affects operational strategies. In Singapore, robust intellectual property laws require HR to safeguard employee data during technology transfers, adding compliance layers. Economic conditions create further variations. In economically challenged regions, Oracle may focus on cost-effective training methods such as e-learning, while in more prosperous </w:t>
      </w:r>
      <w:r w:rsidRPr="68DACCB4" w:rsidR="183441BA">
        <w:rPr>
          <w:rFonts w:ascii="Arial" w:hAnsi="Arial" w:eastAsia="Arial" w:cs="Arial"/>
          <w:noProof w:val="0"/>
          <w:sz w:val="24"/>
          <w:szCs w:val="24"/>
          <w:lang w:val="en-GB"/>
        </w:rPr>
        <w:t>markets,</w:t>
      </w:r>
      <w:r w:rsidRPr="68DACCB4" w:rsidR="6A6C4D1E">
        <w:rPr>
          <w:rFonts w:ascii="Arial" w:hAnsi="Arial" w:eastAsia="Arial" w:cs="Arial"/>
          <w:b w:val="0"/>
          <w:bCs w:val="0"/>
          <w:color w:val="000000" w:themeColor="text1" w:themeTint="FF" w:themeShade="FF"/>
        </w:rPr>
        <w:t xml:space="preserve"> it can invest in comprehensive in-person programmes. HR managers must balance resource allocation across these contexts to </w:t>
      </w:r>
      <w:r w:rsidRPr="68DACCB4" w:rsidR="6A6C4D1E">
        <w:rPr>
          <w:rFonts w:ascii="Arial" w:hAnsi="Arial" w:eastAsia="Arial" w:cs="Arial"/>
          <w:b w:val="0"/>
          <w:bCs w:val="0"/>
          <w:color w:val="000000" w:themeColor="text1" w:themeTint="FF" w:themeShade="FF"/>
        </w:rPr>
        <w:t>maintain</w:t>
      </w:r>
      <w:r w:rsidRPr="68DACCB4" w:rsidR="6A6C4D1E">
        <w:rPr>
          <w:rFonts w:ascii="Arial" w:hAnsi="Arial" w:eastAsia="Arial" w:cs="Arial"/>
          <w:b w:val="0"/>
          <w:bCs w:val="0"/>
          <w:color w:val="000000" w:themeColor="text1" w:themeTint="FF" w:themeShade="FF"/>
        </w:rPr>
        <w:t xml:space="preserve"> effectiveness. Technological infrastructure also differs by country. In regions with advanced infrastructure, Oracle can fully utilise sophisticated HR tools, </w:t>
      </w:r>
      <w:r w:rsidRPr="68DACCB4" w:rsidR="6A6C4D1E">
        <w:rPr>
          <w:rFonts w:ascii="Arial" w:hAnsi="Arial" w:eastAsia="Arial" w:cs="Arial"/>
          <w:b w:val="0"/>
          <w:bCs w:val="0"/>
          <w:color w:val="000000" w:themeColor="text1" w:themeTint="FF" w:themeShade="FF"/>
        </w:rPr>
        <w:t>whereas</w:t>
      </w:r>
      <w:r w:rsidRPr="68DACCB4" w:rsidR="6A6C4D1E">
        <w:rPr>
          <w:rFonts w:ascii="Arial" w:hAnsi="Arial" w:eastAsia="Arial" w:cs="Arial"/>
          <w:b w:val="0"/>
          <w:bCs w:val="0"/>
          <w:color w:val="000000" w:themeColor="text1" w:themeTint="FF" w:themeShade="FF"/>
        </w:rPr>
        <w:t xml:space="preserve"> in less developed areas it may need to rely on basic systems or adapt its technology to local capabilities. This influences implementation strategies and requires HR managers to find practical solutions that ensure functionality everywhere. For example, when designing interview documentation, HR managers must adapt questions to local legal requirements, such as GDPR in Europe, to ensure fair selection processes and avoid compliance risks, as noted in Oracle (2024). According to Armstrong (2020), these adaptations </w:t>
      </w:r>
      <w:r w:rsidRPr="68DACCB4" w:rsidR="6A6C4D1E">
        <w:rPr>
          <w:rFonts w:ascii="Arial" w:hAnsi="Arial" w:eastAsia="Arial" w:cs="Arial"/>
          <w:b w:val="0"/>
          <w:bCs w:val="0"/>
          <w:color w:val="000000" w:themeColor="text1" w:themeTint="FF" w:themeShade="FF"/>
        </w:rPr>
        <w:t>demonstrate</w:t>
      </w:r>
      <w:r w:rsidRPr="68DACCB4" w:rsidR="6A6C4D1E">
        <w:rPr>
          <w:rFonts w:ascii="Arial" w:hAnsi="Arial" w:eastAsia="Arial" w:cs="Arial"/>
          <w:b w:val="0"/>
          <w:bCs w:val="0"/>
          <w:color w:val="000000" w:themeColor="text1" w:themeTint="FF" w:themeShade="FF"/>
        </w:rPr>
        <w:t xml:space="preserve"> how HR managers must move beyond simple compliance and actively evaluate the model’s limitations to create culturally sensitive and legally sound processes. These country-specific differences require HR managers at Oracle to be highly adaptable and knowledgeable about local contexts. They must tailor HR practices to meet both global corporate </w:t>
      </w:r>
      <w:r w:rsidRPr="68DACCB4" w:rsidR="6A6C4D1E">
        <w:rPr>
          <w:rFonts w:ascii="Arial" w:hAnsi="Arial" w:eastAsia="Arial" w:cs="Arial"/>
          <w:b w:val="0"/>
          <w:bCs w:val="0"/>
          <w:color w:val="000000" w:themeColor="text1" w:themeTint="FF" w:themeShade="FF"/>
        </w:rPr>
        <w:t>objectives</w:t>
      </w:r>
      <w:r w:rsidRPr="68DACCB4" w:rsidR="6A6C4D1E">
        <w:rPr>
          <w:rFonts w:ascii="Arial" w:hAnsi="Arial" w:eastAsia="Arial" w:cs="Arial"/>
          <w:b w:val="0"/>
          <w:bCs w:val="0"/>
          <w:color w:val="000000" w:themeColor="text1" w:themeTint="FF" w:themeShade="FF"/>
        </w:rPr>
        <w:t xml:space="preserve"> and local requirements, ensuring effectiveness across diverse environments while supporting Oracle’s overall strategy</w:t>
      </w:r>
      <w:r w:rsidRPr="68DACCB4" w:rsidR="6A6C4D1E">
        <w:rPr>
          <w:rFonts w:ascii="Arial" w:hAnsi="Arial" w:eastAsia="Arial" w:cs="Arial"/>
          <w:b w:val="0"/>
          <w:bCs w:val="0"/>
          <w:color w:val="000000" w:themeColor="text1" w:themeTint="FF" w:themeShade="FF"/>
        </w:rPr>
        <w:t xml:space="preserve">.  </w:t>
      </w:r>
    </w:p>
    <w:p xmlns:wp14="http://schemas.microsoft.com/office/word/2010/wordml" w:rsidR="009C6D33" w:rsidP="68DACCB4" w:rsidRDefault="00164613" w14:paraId="4604F765" wp14:textId="7FD48EC0">
      <w:pPr>
        <w:pStyle w:val="Normal"/>
        <w:pBdr>
          <w:top w:val="nil" w:color="FF000000" w:sz="0" w:space="0"/>
          <w:left w:val="nil" w:color="FF000000" w:sz="0" w:space="0"/>
          <w:bottom w:val="nil" w:color="FF000000" w:sz="0" w:space="0"/>
          <w:right w:val="nil" w:color="FF000000" w:sz="0" w:space="0"/>
          <w:between w:val="nil" w:color="FF000000" w:sz="0" w:space="0"/>
        </w:pBdr>
        <w:spacing w:after="0" w:line="360" w:lineRule="auto"/>
        <w:ind w:left="0" w:firstLine="720"/>
        <w:jc w:val="both"/>
        <w:rPr>
          <w:rFonts w:ascii="Arial" w:hAnsi="Arial" w:eastAsia="Arial" w:cs="Arial"/>
          <w:b w:val="0"/>
          <w:bCs w:val="0"/>
          <w:color w:val="000000" w:themeColor="text1" w:themeTint="FF" w:themeShade="FF"/>
        </w:rPr>
      </w:pPr>
    </w:p>
    <w:p xmlns:wp14="http://schemas.microsoft.com/office/word/2010/wordml" w:rsidR="009C6D33" w:rsidP="68DACCB4" w:rsidRDefault="00164613" w14:paraId="2ED75EA9" wp14:textId="52E9936F">
      <w:pPr>
        <w:pStyle w:val="Normal"/>
        <w:pBdr>
          <w:top w:val="nil" w:color="FF000000" w:sz="0" w:space="0"/>
          <w:left w:val="nil" w:color="FF000000" w:sz="0" w:space="0"/>
          <w:bottom w:val="nil" w:color="FF000000" w:sz="0" w:space="0"/>
          <w:right w:val="nil" w:color="FF000000" w:sz="0" w:space="0"/>
          <w:between w:val="nil" w:color="FF000000" w:sz="0" w:space="0"/>
        </w:pBdr>
        <w:spacing w:after="0" w:line="360" w:lineRule="auto"/>
        <w:ind w:left="0" w:firstLine="720"/>
        <w:jc w:val="both"/>
        <w:rPr>
          <w:rFonts w:ascii="Arial" w:hAnsi="Arial" w:eastAsia="Arial" w:cs="Arial"/>
          <w:b w:val="0"/>
          <w:bCs w:val="0"/>
          <w:color w:val="000000" w:themeColor="text1" w:themeTint="FF" w:themeShade="FF"/>
        </w:rPr>
      </w:pPr>
    </w:p>
    <w:p xmlns:wp14="http://schemas.microsoft.com/office/word/2010/wordml" w:rsidR="009C6D33" w:rsidP="68DACCB4" w:rsidRDefault="00164613" w14:paraId="5893A403" wp14:textId="5CFF0B79">
      <w:pPr>
        <w:pBdr>
          <w:top w:val="nil" w:color="FF000000" w:sz="0" w:space="0"/>
          <w:left w:val="nil" w:color="FF000000" w:sz="0" w:space="0"/>
          <w:bottom w:val="nil" w:color="FF000000" w:sz="0" w:space="0"/>
          <w:right w:val="nil" w:color="FF000000" w:sz="0" w:space="0"/>
          <w:between w:val="nil" w:color="FF000000" w:sz="0" w:space="0"/>
        </w:pBdr>
        <w:spacing w:after="0" w:line="360" w:lineRule="auto"/>
        <w:ind w:left="0"/>
        <w:jc w:val="both"/>
        <w:rPr>
          <w:rFonts w:ascii="Arial" w:hAnsi="Arial" w:eastAsia="Arial" w:cs="Arial"/>
          <w:b w:val="1"/>
          <w:bCs w:val="1"/>
          <w:color w:val="000000" w:themeColor="text1" w:themeTint="FF" w:themeShade="FF"/>
          <w:sz w:val="30"/>
          <w:szCs w:val="30"/>
        </w:rPr>
      </w:pPr>
    </w:p>
    <w:p xmlns:wp14="http://schemas.microsoft.com/office/word/2010/wordml" w:rsidR="009C6D33" w:rsidP="68DACCB4" w:rsidRDefault="00164613" w14:paraId="2F9F09DA" wp14:textId="1E813900">
      <w:pPr>
        <w:spacing w:after="0" w:line="360" w:lineRule="auto"/>
      </w:pPr>
      <w:r>
        <w:br w:type="page"/>
      </w:r>
    </w:p>
    <w:p xmlns:wp14="http://schemas.microsoft.com/office/word/2010/wordml" w:rsidR="009C6D33" w:rsidP="68DACCB4" w:rsidRDefault="00164613" w14:paraId="71A9EA6F" wp14:textId="400F1BFE">
      <w:pPr>
        <w:pStyle w:val="Normal"/>
        <w:pBdr>
          <w:top w:val="nil" w:color="FF000000" w:sz="0" w:space="0"/>
          <w:left w:val="nil" w:color="FF000000" w:sz="0" w:space="0"/>
          <w:bottom w:val="nil" w:color="FF000000" w:sz="0" w:space="0"/>
          <w:right w:val="nil" w:color="FF000000" w:sz="0" w:space="0"/>
          <w:between w:val="nil" w:color="FF000000" w:sz="0" w:space="0"/>
        </w:pBdr>
        <w:spacing w:after="0" w:line="360" w:lineRule="auto"/>
        <w:ind w:left="0"/>
        <w:jc w:val="both"/>
        <w:rPr>
          <w:rFonts w:ascii="Arial" w:hAnsi="Arial" w:eastAsia="Arial" w:cs="Arial"/>
          <w:color w:val="000000"/>
        </w:rPr>
      </w:pPr>
      <w:r w:rsidRPr="68DACCB4" w:rsidR="00164613">
        <w:rPr>
          <w:rFonts w:ascii="Arial" w:hAnsi="Arial" w:eastAsia="Arial" w:cs="Arial"/>
          <w:b w:val="1"/>
          <w:bCs w:val="1"/>
          <w:color w:val="000000" w:themeColor="text1" w:themeTint="FF" w:themeShade="FF"/>
          <w:sz w:val="30"/>
          <w:szCs w:val="30"/>
        </w:rPr>
        <w:t xml:space="preserve">Conclusion </w:t>
      </w:r>
    </w:p>
    <w:p xmlns:wp14="http://schemas.microsoft.com/office/word/2010/wordml" w:rsidR="009C6D33" w:rsidP="68DACCB4" w:rsidRDefault="009C6D33" w14:paraId="0FB78278" wp14:textId="77777777">
      <w:pPr>
        <w:spacing w:after="0" w:line="360" w:lineRule="auto"/>
        <w:jc w:val="both"/>
        <w:rPr>
          <w:rFonts w:ascii="Arial" w:hAnsi="Arial" w:eastAsia="Arial" w:cs="Arial"/>
          <w:b w:val="1"/>
          <w:bCs w:val="1"/>
          <w:color w:val="000000"/>
          <w:sz w:val="30"/>
          <w:szCs w:val="30"/>
        </w:rPr>
      </w:pPr>
    </w:p>
    <w:p w:rsidR="3D069FB6" w:rsidP="68DACCB4" w:rsidRDefault="3D069FB6" w14:paraId="62C9ABE4" w14:textId="2C930FAD">
      <w:pPr>
        <w:pStyle w:val="Normal"/>
        <w:spacing w:after="0" w:line="360" w:lineRule="auto"/>
        <w:ind w:firstLine="720"/>
        <w:jc w:val="both"/>
        <w:rPr>
          <w:rFonts w:ascii="Arial" w:hAnsi="Arial" w:eastAsia="Arial" w:cs="Arial"/>
        </w:rPr>
      </w:pPr>
      <w:r w:rsidRPr="68DACCB4" w:rsidR="3D069FB6">
        <w:rPr>
          <w:rFonts w:ascii="Arial" w:hAnsi="Arial" w:eastAsia="Arial" w:cs="Arial"/>
        </w:rPr>
        <w:t xml:space="preserve">This analysis </w:t>
      </w:r>
      <w:r w:rsidRPr="68DACCB4" w:rsidR="3D069FB6">
        <w:rPr>
          <w:rFonts w:ascii="Arial" w:hAnsi="Arial" w:eastAsia="Arial" w:cs="Arial"/>
        </w:rPr>
        <w:t>demonstrates</w:t>
      </w:r>
      <w:r w:rsidRPr="68DACCB4" w:rsidR="3D069FB6">
        <w:rPr>
          <w:rFonts w:ascii="Arial" w:hAnsi="Arial" w:eastAsia="Arial" w:cs="Arial"/>
        </w:rPr>
        <w:t xml:space="preserve"> that environmental factors significantly influence the effectiveness of HR managers in global organisations such as Oracle Corporation. Porter’s Five Forces model, briefly framed by PESTLE, highlights competitive pressures and their impact on key HR </w:t>
      </w:r>
      <w:r w:rsidRPr="68DACCB4" w:rsidR="3C29E82D">
        <w:rPr>
          <w:rFonts w:ascii="Arial" w:hAnsi="Arial" w:eastAsia="Arial" w:cs="Arial"/>
          <w:noProof w:val="0"/>
          <w:sz w:val="24"/>
          <w:szCs w:val="24"/>
          <w:lang w:val="en-GB"/>
        </w:rPr>
        <w:t>functions,</w:t>
      </w:r>
      <w:r w:rsidRPr="68DACCB4" w:rsidR="3D069FB6">
        <w:rPr>
          <w:rFonts w:ascii="Arial" w:hAnsi="Arial" w:eastAsia="Arial" w:cs="Arial"/>
        </w:rPr>
        <w:t xml:space="preserve"> including recruitment, training and development, performance management, and employee relations. Oracle’s global operations require HR managers to navigate intense rivalry, supplier power, and buyer demands while adapting to country-specific variations in culture, law, and economics. For instance, rivalry in the cloud sector drives upskilling, while legal differences require localised compliance. Country-specific differences in culture, legal regulations, and economic conditions demand that HR managers tailor their approaches to meet both global standards and local contexts. According to Smith (2021), effective HR practices are indispensable for organisational stability in dynamic global settings. This highlights the need for HR managers to combine Porter’s Five Forces with internal analysis, ensuring they can respond effectively to both competitive and cultural pressures. </w:t>
      </w:r>
    </w:p>
    <w:p w:rsidR="3D069FB6" w:rsidP="68DACCB4" w:rsidRDefault="3D069FB6" w14:paraId="12FE5EFB" w14:textId="3C57ECE4">
      <w:pPr>
        <w:spacing w:after="0" w:line="360" w:lineRule="auto"/>
        <w:ind w:firstLine="720"/>
        <w:jc w:val="both"/>
        <w:rPr>
          <w:rFonts w:ascii="Arial" w:hAnsi="Arial" w:eastAsia="Arial" w:cs="Arial"/>
        </w:rPr>
      </w:pPr>
      <w:r w:rsidRPr="68DACCB4" w:rsidR="3D069FB6">
        <w:rPr>
          <w:rFonts w:ascii="Arial" w:hAnsi="Arial" w:eastAsia="Arial" w:cs="Arial"/>
        </w:rPr>
        <w:t>Looking ahead, three trends</w:t>
      </w:r>
      <w:r w:rsidRPr="68DACCB4" w:rsidR="3D069FB6">
        <w:rPr>
          <w:rFonts w:ascii="Arial" w:hAnsi="Arial" w:eastAsia="Arial" w:cs="Arial"/>
        </w:rPr>
        <w:t xml:space="preserve"> will dominate HR strategy. First, AI integration will automate tasks like recruitment but require ethical oversight. Second, sustainability imperatives will escalate, embedding environmental goals into employee development programmes. Third, geopolitical volatility will intensify compliance complexity, </w:t>
      </w:r>
      <w:r w:rsidRPr="68DACCB4" w:rsidR="3D069FB6">
        <w:rPr>
          <w:rFonts w:ascii="Arial" w:hAnsi="Arial" w:eastAsia="Arial" w:cs="Arial"/>
        </w:rPr>
        <w:t>necessitating</w:t>
      </w:r>
      <w:r w:rsidRPr="68DACCB4" w:rsidR="3D069FB6">
        <w:rPr>
          <w:rFonts w:ascii="Arial" w:hAnsi="Arial" w:eastAsia="Arial" w:cs="Arial"/>
        </w:rPr>
        <w:t xml:space="preserve"> agile legal risk assessments. For HR managers, this demands proactive upskilling in data analytics, cross-cultural negotiation, and regulatory forecasting. </w:t>
      </w:r>
      <w:r w:rsidRPr="68DACCB4" w:rsidR="3D069FB6">
        <w:rPr>
          <w:rFonts w:ascii="Arial" w:hAnsi="Arial" w:eastAsia="Arial" w:cs="Arial"/>
        </w:rPr>
        <w:t>Ultimately, HR’s</w:t>
      </w:r>
      <w:r w:rsidRPr="68DACCB4" w:rsidR="3D069FB6">
        <w:rPr>
          <w:rFonts w:ascii="Arial" w:hAnsi="Arial" w:eastAsia="Arial" w:cs="Arial"/>
        </w:rPr>
        <w:t xml:space="preserve"> role will evolve from administrative support to strategic foresight, </w:t>
      </w:r>
      <w:r w:rsidRPr="68DACCB4" w:rsidR="3D069FB6">
        <w:rPr>
          <w:rFonts w:ascii="Arial" w:hAnsi="Arial" w:eastAsia="Arial" w:cs="Arial"/>
        </w:rPr>
        <w:t>anticipating</w:t>
      </w:r>
      <w:r w:rsidRPr="68DACCB4" w:rsidR="3D069FB6">
        <w:rPr>
          <w:rFonts w:ascii="Arial" w:hAnsi="Arial" w:eastAsia="Arial" w:cs="Arial"/>
        </w:rPr>
        <w:t xml:space="preserve"> disruptions, aligning human capital with environmental shifts, and fostering organisational resilience. Oracle’s success hinges on empowering HR managers as environmental navigators, ensuring they </w:t>
      </w:r>
      <w:r w:rsidRPr="68DACCB4" w:rsidR="3D069FB6">
        <w:rPr>
          <w:rFonts w:ascii="Arial" w:hAnsi="Arial" w:eastAsia="Arial" w:cs="Arial"/>
        </w:rPr>
        <w:t>possess</w:t>
      </w:r>
      <w:r w:rsidRPr="68DACCB4" w:rsidR="3D069FB6">
        <w:rPr>
          <w:rFonts w:ascii="Arial" w:hAnsi="Arial" w:eastAsia="Arial" w:cs="Arial"/>
        </w:rPr>
        <w:t xml:space="preserve"> the tools to turn global turbulence into competitive advantage</w:t>
      </w:r>
      <w:r w:rsidRPr="68DACCB4" w:rsidR="12CFA1F4">
        <w:rPr>
          <w:rFonts w:ascii="Arial" w:hAnsi="Arial" w:eastAsia="Arial" w:cs="Arial"/>
        </w:rPr>
        <w:t>.</w:t>
      </w:r>
    </w:p>
    <w:p xmlns:wp14="http://schemas.microsoft.com/office/word/2010/wordml" w:rsidR="009C6D33" w:rsidP="68DACCB4" w:rsidRDefault="00164613" w14:paraId="6DE3F454" wp14:textId="0B818F25">
      <w:pPr>
        <w:pStyle w:val="Heading2"/>
        <w:rPr>
          <w:rFonts w:ascii="Arial" w:hAnsi="Arial" w:eastAsia="Arial" w:cs="Arial"/>
          <w:b w:val="1"/>
          <w:bCs w:val="1"/>
          <w:color w:val="000000" w:themeColor="text1" w:themeTint="FF" w:themeShade="FF"/>
        </w:rPr>
      </w:pPr>
    </w:p>
    <w:p xmlns:wp14="http://schemas.microsoft.com/office/word/2010/wordml" w:rsidR="009C6D33" w:rsidP="68DACCB4" w:rsidRDefault="00164613" w14:paraId="04D1C50E" wp14:textId="7C8D4CA1">
      <w:pPr/>
      <w:r>
        <w:br w:type="page"/>
      </w:r>
    </w:p>
    <w:p xmlns:wp14="http://schemas.microsoft.com/office/word/2010/wordml" w:rsidR="009C6D33" w:rsidP="68DACCB4" w:rsidRDefault="00164613" w14:paraId="0DF43999" wp14:textId="74D5552A">
      <w:pPr>
        <w:pStyle w:val="Heading2"/>
        <w:rPr>
          <w:rFonts w:ascii="Arial" w:hAnsi="Arial" w:eastAsia="Arial" w:cs="Arial"/>
          <w:b w:val="1"/>
          <w:bCs w:val="1"/>
          <w:color w:val="000000"/>
          <w:sz w:val="30"/>
          <w:szCs w:val="30"/>
        </w:rPr>
      </w:pPr>
      <w:bookmarkStart w:name="_352hlk378xzj" w:id="4"/>
      <w:bookmarkEnd w:id="4"/>
      <w:bookmarkStart w:name="_Toc1565671031" w:id="1068466725"/>
      <w:r w:rsidRPr="68DACCB4" w:rsidR="00164613">
        <w:rPr>
          <w:rFonts w:ascii="Arial" w:hAnsi="Arial" w:eastAsia="Arial" w:cs="Arial"/>
          <w:b w:val="1"/>
          <w:bCs w:val="1"/>
          <w:color w:val="000000" w:themeColor="text1" w:themeTint="FF" w:themeShade="FF"/>
        </w:rPr>
        <w:t>References:</w:t>
      </w:r>
      <w:bookmarkEnd w:id="1068466725"/>
    </w:p>
    <w:p xmlns:wp14="http://schemas.microsoft.com/office/word/2010/wordml" w:rsidR="009C6D33" w:rsidP="68DACCB4" w:rsidRDefault="00164613" w14:paraId="0816AE57" wp14:textId="77777777">
      <w:pPr>
        <w:numPr>
          <w:ilvl w:val="0"/>
          <w:numId w:val="4"/>
        </w:numPr>
        <w:pBdr>
          <w:top w:val="nil" w:color="FF000000" w:sz="0" w:space="0"/>
          <w:left w:val="nil" w:color="FF000000" w:sz="0" w:space="0"/>
          <w:bottom w:val="nil" w:color="FF000000" w:sz="0" w:space="0"/>
          <w:right w:val="nil" w:color="FF000000" w:sz="0" w:space="0"/>
          <w:between w:val="nil" w:color="FF000000" w:sz="0" w:space="0"/>
        </w:pBdr>
        <w:spacing w:after="0"/>
        <w:jc w:val="both"/>
        <w:rPr>
          <w:rFonts w:ascii="Arial" w:hAnsi="Arial" w:eastAsia="Arial" w:cs="Arial"/>
          <w:color w:val="000000"/>
        </w:rPr>
      </w:pPr>
      <w:r w:rsidRPr="68DACCB4" w:rsidR="00164613">
        <w:rPr>
          <w:rFonts w:ascii="Arial" w:hAnsi="Arial" w:eastAsia="Arial" w:cs="Arial"/>
          <w:b w:val="1"/>
          <w:bCs w:val="1"/>
          <w:color w:val="000000" w:themeColor="text1" w:themeTint="FF" w:themeShade="FF"/>
        </w:rPr>
        <w:t>Armstrong, M. (2020).</w:t>
      </w:r>
      <w:r w:rsidRPr="68DACCB4" w:rsidR="00164613">
        <w:rPr>
          <w:rFonts w:ascii="Arial" w:hAnsi="Arial" w:eastAsia="Arial" w:cs="Arial"/>
          <w:color w:val="000000" w:themeColor="text1" w:themeTint="FF" w:themeShade="FF"/>
        </w:rPr>
        <w:t xml:space="preserve"> </w:t>
      </w:r>
      <w:r w:rsidRPr="68DACCB4" w:rsidR="00164613">
        <w:rPr>
          <w:rFonts w:ascii="Arial" w:hAnsi="Arial" w:eastAsia="Arial" w:cs="Arial"/>
          <w:i w:val="1"/>
          <w:iCs w:val="1"/>
          <w:color w:val="000000" w:themeColor="text1" w:themeTint="FF" w:themeShade="FF"/>
        </w:rPr>
        <w:t>Armstrong’s Handbook of Human Resource Management Practice</w:t>
      </w:r>
      <w:r w:rsidRPr="68DACCB4" w:rsidR="00164613">
        <w:rPr>
          <w:rFonts w:ascii="Arial" w:hAnsi="Arial" w:eastAsia="Arial" w:cs="Arial"/>
          <w:color w:val="000000" w:themeColor="text1" w:themeTint="FF" w:themeShade="FF"/>
        </w:rPr>
        <w:t>. Kogan Page.</w:t>
      </w:r>
    </w:p>
    <w:p xmlns:wp14="http://schemas.microsoft.com/office/word/2010/wordml" w:rsidR="009C6D33" w:rsidP="68DACCB4" w:rsidRDefault="00164613" w14:paraId="110D7EE2" wp14:textId="0EE28F16">
      <w:pPr>
        <w:numPr>
          <w:ilvl w:val="0"/>
          <w:numId w:val="4"/>
        </w:numPr>
        <w:pBdr>
          <w:top w:val="nil" w:color="FF000000" w:sz="0" w:space="0"/>
          <w:left w:val="nil" w:color="FF000000" w:sz="0" w:space="0"/>
          <w:bottom w:val="nil" w:color="FF000000" w:sz="0" w:space="0"/>
          <w:right w:val="nil" w:color="FF000000" w:sz="0" w:space="0"/>
          <w:between w:val="nil" w:color="FF000000" w:sz="0" w:space="0"/>
        </w:pBdr>
        <w:spacing w:after="0"/>
        <w:jc w:val="both"/>
        <w:rPr>
          <w:rFonts w:ascii="Arial" w:hAnsi="Arial" w:eastAsia="Arial" w:cs="Arial"/>
          <w:color w:val="000000"/>
        </w:rPr>
      </w:pPr>
      <w:r w:rsidRPr="68DACCB4" w:rsidR="00164613">
        <w:rPr>
          <w:rFonts w:ascii="Arial" w:hAnsi="Arial" w:eastAsia="Arial" w:cs="Arial"/>
          <w:b w:val="1"/>
          <w:bCs w:val="1"/>
          <w:color w:val="000000" w:themeColor="text1" w:themeTint="FF" w:themeShade="FF"/>
        </w:rPr>
        <w:t>Gartner (2023).</w:t>
      </w:r>
      <w:r w:rsidRPr="68DACCB4" w:rsidR="00164613">
        <w:rPr>
          <w:rFonts w:ascii="Arial" w:hAnsi="Arial" w:eastAsia="Arial" w:cs="Arial"/>
          <w:color w:val="000000" w:themeColor="text1" w:themeTint="FF" w:themeShade="FF"/>
        </w:rPr>
        <w:t xml:space="preserve"> </w:t>
      </w:r>
      <w:r w:rsidRPr="68DACCB4" w:rsidR="00164613">
        <w:rPr>
          <w:rFonts w:ascii="Arial" w:hAnsi="Arial" w:eastAsia="Arial" w:cs="Arial"/>
          <w:i w:val="1"/>
          <w:iCs w:val="1"/>
          <w:color w:val="000000" w:themeColor="text1" w:themeTint="FF" w:themeShade="FF"/>
        </w:rPr>
        <w:t>The Impact of Artificial Intelligence on HR Practices</w:t>
      </w:r>
      <w:r w:rsidRPr="68DACCB4" w:rsidR="00164613">
        <w:rPr>
          <w:rFonts w:ascii="Arial" w:hAnsi="Arial" w:eastAsia="Arial" w:cs="Arial"/>
          <w:color w:val="000000" w:themeColor="text1" w:themeTint="FF" w:themeShade="FF"/>
        </w:rPr>
        <w:t>. Gartner Research.</w:t>
      </w:r>
    </w:p>
    <w:p xmlns:wp14="http://schemas.microsoft.com/office/word/2010/wordml" w:rsidR="009C6D33" w:rsidP="68DACCB4" w:rsidRDefault="00164613" w14:paraId="4F08AF30" wp14:textId="77777777">
      <w:pPr>
        <w:numPr>
          <w:ilvl w:val="0"/>
          <w:numId w:val="4"/>
        </w:numPr>
        <w:pBdr>
          <w:top w:val="nil" w:color="FF000000" w:sz="0" w:space="0"/>
          <w:left w:val="nil" w:color="FF000000" w:sz="0" w:space="0"/>
          <w:bottom w:val="nil" w:color="FF000000" w:sz="0" w:space="0"/>
          <w:right w:val="nil" w:color="FF000000" w:sz="0" w:space="0"/>
          <w:between w:val="nil" w:color="FF000000" w:sz="0" w:space="0"/>
        </w:pBdr>
        <w:spacing w:after="0"/>
        <w:jc w:val="both"/>
        <w:rPr>
          <w:rFonts w:ascii="Arial" w:hAnsi="Arial" w:eastAsia="Arial" w:cs="Arial"/>
        </w:rPr>
      </w:pPr>
      <w:r w:rsidRPr="68DACCB4" w:rsidR="00164613">
        <w:rPr>
          <w:rFonts w:ascii="Arial" w:hAnsi="Arial" w:eastAsia="Arial" w:cs="Arial"/>
          <w:b w:val="1"/>
          <w:bCs w:val="1"/>
        </w:rPr>
        <w:t>Jiang, Y.</w:t>
      </w:r>
      <w:r w:rsidRPr="68DACCB4" w:rsidR="00164613">
        <w:rPr>
          <w:rFonts w:ascii="Arial" w:hAnsi="Arial" w:eastAsia="Arial" w:cs="Arial"/>
        </w:rPr>
        <w:t xml:space="preserve"> et al. (2025).</w:t>
      </w:r>
      <w:r w:rsidRPr="68DACCB4" w:rsidR="00164613">
        <w:rPr>
          <w:rFonts w:ascii="Arial" w:hAnsi="Arial" w:eastAsia="Arial" w:cs="Arial"/>
          <w:i w:val="1"/>
          <w:iCs w:val="1"/>
        </w:rPr>
        <w:t xml:space="preserve"> Leverage Generative AI for human resource management.</w:t>
      </w:r>
      <w:r w:rsidRPr="68DACCB4" w:rsidR="00164613">
        <w:rPr>
          <w:rFonts w:ascii="Arial" w:hAnsi="Arial" w:eastAsia="Arial" w:cs="Arial"/>
        </w:rPr>
        <w:t xml:space="preserve"> The International Journal of Human Resource Management</w:t>
      </w:r>
      <w:r w:rsidRPr="68DACCB4" w:rsidR="00164613">
        <w:rPr>
          <w:rFonts w:ascii="Arial" w:hAnsi="Arial" w:eastAsia="Arial" w:cs="Arial"/>
        </w:rPr>
        <w:t xml:space="preserve">.  </w:t>
      </w:r>
    </w:p>
    <w:p xmlns:wp14="http://schemas.microsoft.com/office/word/2010/wordml" w:rsidR="009C6D33" w:rsidP="68DACCB4" w:rsidRDefault="00164613" w14:paraId="13AEC95D" wp14:textId="77777777">
      <w:pPr>
        <w:numPr>
          <w:ilvl w:val="0"/>
          <w:numId w:val="4"/>
        </w:numPr>
        <w:pBdr>
          <w:top w:val="nil" w:color="FF000000" w:sz="0" w:space="0"/>
          <w:left w:val="nil" w:color="FF000000" w:sz="0" w:space="0"/>
          <w:bottom w:val="nil" w:color="FF000000" w:sz="0" w:space="0"/>
          <w:right w:val="nil" w:color="FF000000" w:sz="0" w:space="0"/>
          <w:between w:val="nil" w:color="FF000000" w:sz="0" w:space="0"/>
        </w:pBdr>
        <w:spacing w:after="0"/>
        <w:jc w:val="both"/>
        <w:rPr>
          <w:rFonts w:ascii="Arial" w:hAnsi="Arial" w:eastAsia="Arial" w:cs="Arial"/>
          <w:color w:val="000000"/>
        </w:rPr>
      </w:pPr>
      <w:r w:rsidRPr="68DACCB4" w:rsidR="00164613">
        <w:rPr>
          <w:rFonts w:ascii="Arial" w:hAnsi="Arial" w:eastAsia="Arial" w:cs="Arial"/>
          <w:b w:val="1"/>
          <w:bCs w:val="1"/>
          <w:color w:val="000000" w:themeColor="text1" w:themeTint="FF" w:themeShade="FF"/>
        </w:rPr>
        <w:t>Johnson, K. et al. (2017).</w:t>
      </w:r>
      <w:r w:rsidRPr="68DACCB4" w:rsidR="00164613">
        <w:rPr>
          <w:rFonts w:ascii="Arial" w:hAnsi="Arial" w:eastAsia="Arial" w:cs="Arial"/>
          <w:color w:val="000000" w:themeColor="text1" w:themeTint="FF" w:themeShade="FF"/>
        </w:rPr>
        <w:t xml:space="preserve"> </w:t>
      </w:r>
      <w:r w:rsidRPr="68DACCB4" w:rsidR="00164613">
        <w:rPr>
          <w:rFonts w:ascii="Arial" w:hAnsi="Arial" w:eastAsia="Arial" w:cs="Arial"/>
          <w:i w:val="1"/>
          <w:iCs w:val="1"/>
          <w:color w:val="000000" w:themeColor="text1" w:themeTint="FF" w:themeShade="FF"/>
        </w:rPr>
        <w:t>Navigating Global HR Challenges</w:t>
      </w:r>
      <w:r w:rsidRPr="68DACCB4" w:rsidR="00164613">
        <w:rPr>
          <w:rFonts w:ascii="Arial" w:hAnsi="Arial" w:eastAsia="Arial" w:cs="Arial"/>
          <w:color w:val="000000" w:themeColor="text1" w:themeTint="FF" w:themeShade="FF"/>
        </w:rPr>
        <w:t>. International HR Review.</w:t>
      </w:r>
    </w:p>
    <w:p xmlns:wp14="http://schemas.microsoft.com/office/word/2010/wordml" w:rsidR="009C6D33" w:rsidP="68DACCB4" w:rsidRDefault="00164613" w14:paraId="7190A210" wp14:textId="77777777">
      <w:pPr>
        <w:numPr>
          <w:ilvl w:val="0"/>
          <w:numId w:val="4"/>
        </w:numPr>
        <w:pBdr>
          <w:top w:val="nil" w:color="FF000000" w:sz="0" w:space="0"/>
          <w:left w:val="nil" w:color="FF000000" w:sz="0" w:space="0"/>
          <w:bottom w:val="nil" w:color="FF000000" w:sz="0" w:space="0"/>
          <w:right w:val="nil" w:color="FF000000" w:sz="0" w:space="0"/>
          <w:between w:val="nil" w:color="FF000000" w:sz="0" w:space="0"/>
        </w:pBdr>
        <w:spacing w:after="0"/>
        <w:jc w:val="both"/>
        <w:rPr>
          <w:rFonts w:ascii="Arial" w:hAnsi="Arial" w:eastAsia="Arial" w:cs="Arial"/>
          <w:color w:val="000000"/>
        </w:rPr>
      </w:pPr>
      <w:r w:rsidRPr="68DACCB4" w:rsidR="00164613">
        <w:rPr>
          <w:rFonts w:ascii="Arial" w:hAnsi="Arial" w:eastAsia="Arial" w:cs="Arial"/>
          <w:b w:val="1"/>
          <w:bCs w:val="1"/>
          <w:color w:val="000000" w:themeColor="text1" w:themeTint="FF" w:themeShade="FF"/>
        </w:rPr>
        <w:t>McKinsey &amp; Company. (2023).</w:t>
      </w:r>
      <w:r w:rsidRPr="68DACCB4" w:rsidR="00164613">
        <w:rPr>
          <w:rFonts w:ascii="Arial" w:hAnsi="Arial" w:eastAsia="Arial" w:cs="Arial"/>
          <w:color w:val="000000" w:themeColor="text1" w:themeTint="FF" w:themeShade="FF"/>
        </w:rPr>
        <w:t xml:space="preserve"> </w:t>
      </w:r>
      <w:r w:rsidRPr="68DACCB4" w:rsidR="00164613">
        <w:rPr>
          <w:rFonts w:ascii="Arial" w:hAnsi="Arial" w:eastAsia="Arial" w:cs="Arial"/>
          <w:i w:val="1"/>
          <w:iCs w:val="1"/>
          <w:color w:val="000000" w:themeColor="text1" w:themeTint="FF" w:themeShade="FF"/>
        </w:rPr>
        <w:t>The Future of Healthcare: AI and Aging Populations.</w:t>
      </w:r>
      <w:r w:rsidRPr="68DACCB4" w:rsidR="00164613">
        <w:rPr>
          <w:rFonts w:ascii="Arial" w:hAnsi="Arial" w:eastAsia="Arial" w:cs="Arial"/>
          <w:color w:val="000000" w:themeColor="text1" w:themeTint="FF" w:themeShade="FF"/>
        </w:rPr>
        <w:t xml:space="preserve"> McKinsey Insights.</w:t>
      </w:r>
    </w:p>
    <w:p xmlns:wp14="http://schemas.microsoft.com/office/word/2010/wordml" w:rsidR="009C6D33" w:rsidP="68DACCB4" w:rsidRDefault="00164613" w14:paraId="5AA160A7" wp14:textId="1B8AA6F8">
      <w:pPr>
        <w:numPr>
          <w:ilvl w:val="0"/>
          <w:numId w:val="4"/>
        </w:numPr>
        <w:pBdr>
          <w:top w:val="nil" w:color="FF000000" w:sz="0" w:space="0"/>
          <w:left w:val="nil" w:color="FF000000" w:sz="0" w:space="0"/>
          <w:bottom w:val="nil" w:color="FF000000" w:sz="0" w:space="0"/>
          <w:right w:val="nil" w:color="FF000000" w:sz="0" w:space="0"/>
          <w:between w:val="nil" w:color="FF000000" w:sz="0" w:space="0"/>
        </w:pBdr>
        <w:spacing w:after="0"/>
        <w:jc w:val="both"/>
        <w:rPr>
          <w:rFonts w:ascii="Arial" w:hAnsi="Arial" w:eastAsia="Arial" w:cs="Arial"/>
          <w:color w:val="000000"/>
        </w:rPr>
      </w:pPr>
      <w:r w:rsidRPr="68DACCB4" w:rsidR="00164613">
        <w:rPr>
          <w:rFonts w:ascii="Arial" w:hAnsi="Arial" w:eastAsia="Arial" w:cs="Arial"/>
          <w:b w:val="1"/>
          <w:bCs w:val="1"/>
          <w:color w:val="000000" w:themeColor="text1" w:themeTint="FF" w:themeShade="FF"/>
        </w:rPr>
        <w:t>Oracle (2024).</w:t>
      </w:r>
      <w:r w:rsidRPr="68DACCB4" w:rsidR="00164613">
        <w:rPr>
          <w:rFonts w:ascii="Arial" w:hAnsi="Arial" w:eastAsia="Arial" w:cs="Arial"/>
          <w:color w:val="000000" w:themeColor="text1" w:themeTint="FF" w:themeShade="FF"/>
        </w:rPr>
        <w:t xml:space="preserve"> </w:t>
      </w:r>
      <w:r w:rsidRPr="68DACCB4" w:rsidR="00164613">
        <w:rPr>
          <w:rFonts w:ascii="Arial" w:hAnsi="Arial" w:eastAsia="Arial" w:cs="Arial"/>
          <w:i w:val="1"/>
          <w:iCs w:val="1"/>
          <w:color w:val="000000" w:themeColor="text1" w:themeTint="FF" w:themeShade="FF"/>
        </w:rPr>
        <w:t>Oracle Human Resources Cloud Datasheet.</w:t>
      </w:r>
      <w:r w:rsidRPr="68DACCB4" w:rsidR="00164613">
        <w:rPr>
          <w:rFonts w:ascii="Arial" w:hAnsi="Arial" w:eastAsia="Arial" w:cs="Arial"/>
          <w:color w:val="000000" w:themeColor="text1" w:themeTint="FF" w:themeShade="FF"/>
        </w:rPr>
        <w:t xml:space="preserve"> Retrieved from </w:t>
      </w:r>
      <w:hyperlink r:id="R36d0ff7a912447f2">
        <w:r w:rsidRPr="68DACCB4" w:rsidR="00164613">
          <w:rPr>
            <w:rStyle w:val="Hyperlink"/>
            <w:rFonts w:ascii="Arial" w:hAnsi="Arial" w:eastAsia="Arial" w:cs="Arial"/>
          </w:rPr>
          <w:t>https://www.oracle.com/human-capital-management/hr/datasheet/</w:t>
        </w:r>
      </w:hyperlink>
      <w:r w:rsidRPr="68DACCB4" w:rsidR="016D6237">
        <w:rPr>
          <w:rFonts w:ascii="Arial" w:hAnsi="Arial" w:eastAsia="Arial" w:cs="Arial"/>
          <w:color w:val="000000" w:themeColor="text1" w:themeTint="FF" w:themeShade="FF"/>
        </w:rPr>
        <w:t xml:space="preserve"> (</w:t>
      </w:r>
      <w:r w:rsidRPr="68DACCB4" w:rsidR="00164613">
        <w:rPr>
          <w:rFonts w:ascii="Arial" w:hAnsi="Arial" w:eastAsia="Arial" w:cs="Arial"/>
          <w:color w:val="000000" w:themeColor="text1" w:themeTint="FF" w:themeShade="FF"/>
        </w:rPr>
        <w:t xml:space="preserve">Accessed </w:t>
      </w:r>
      <w:r w:rsidRPr="68DACCB4" w:rsidR="2605BD56">
        <w:rPr>
          <w:rFonts w:ascii="Arial" w:hAnsi="Arial" w:eastAsia="Arial" w:cs="Arial"/>
          <w:color w:val="000000" w:themeColor="text1" w:themeTint="FF" w:themeShade="FF"/>
        </w:rPr>
        <w:t>March</w:t>
      </w:r>
      <w:r w:rsidRPr="68DACCB4" w:rsidR="00164613">
        <w:rPr>
          <w:rFonts w:ascii="Arial" w:hAnsi="Arial" w:eastAsia="Arial" w:cs="Arial"/>
          <w:color w:val="000000" w:themeColor="text1" w:themeTint="FF" w:themeShade="FF"/>
        </w:rPr>
        <w:t xml:space="preserve"> 1</w:t>
      </w:r>
      <w:r w:rsidRPr="68DACCB4" w:rsidR="55CC9565">
        <w:rPr>
          <w:rFonts w:ascii="Arial" w:hAnsi="Arial" w:eastAsia="Arial" w:cs="Arial"/>
          <w:color w:val="000000" w:themeColor="text1" w:themeTint="FF" w:themeShade="FF"/>
        </w:rPr>
        <w:t>5</w:t>
      </w:r>
      <w:r w:rsidRPr="68DACCB4" w:rsidR="00164613">
        <w:rPr>
          <w:rFonts w:ascii="Arial" w:hAnsi="Arial" w:eastAsia="Arial" w:cs="Arial"/>
          <w:color w:val="000000" w:themeColor="text1" w:themeTint="FF" w:themeShade="FF"/>
        </w:rPr>
        <w:t>, 202</w:t>
      </w:r>
      <w:r w:rsidRPr="68DACCB4" w:rsidR="25745D5C">
        <w:rPr>
          <w:rFonts w:ascii="Arial" w:hAnsi="Arial" w:eastAsia="Arial" w:cs="Arial"/>
          <w:color w:val="000000" w:themeColor="text1" w:themeTint="FF" w:themeShade="FF"/>
        </w:rPr>
        <w:t>6</w:t>
      </w:r>
      <w:r w:rsidRPr="68DACCB4" w:rsidR="2A20456F">
        <w:rPr>
          <w:rFonts w:ascii="Arial" w:hAnsi="Arial" w:eastAsia="Arial" w:cs="Arial"/>
          <w:color w:val="000000" w:themeColor="text1" w:themeTint="FF" w:themeShade="FF"/>
        </w:rPr>
        <w:t>)</w:t>
      </w:r>
      <w:r w:rsidRPr="68DACCB4" w:rsidR="00164613">
        <w:rPr>
          <w:rFonts w:ascii="Arial" w:hAnsi="Arial" w:eastAsia="Arial" w:cs="Arial"/>
          <w:color w:val="000000" w:themeColor="text1" w:themeTint="FF" w:themeShade="FF"/>
        </w:rPr>
        <w:t>.</w:t>
      </w:r>
    </w:p>
    <w:p w:rsidR="00164613" w:rsidP="68DACCB4" w:rsidRDefault="00164613" w14:paraId="2DE35CBD" w14:textId="42A9DC30">
      <w:pPr>
        <w:numPr>
          <w:ilvl w:val="0"/>
          <w:numId w:val="4"/>
        </w:numPr>
        <w:pBdr>
          <w:top w:val="nil" w:color="FF000000" w:sz="0" w:space="0"/>
          <w:left w:val="nil" w:color="FF000000" w:sz="0" w:space="0"/>
          <w:bottom w:val="nil" w:color="FF000000" w:sz="0" w:space="0"/>
          <w:right w:val="nil" w:color="FF000000" w:sz="0" w:space="0"/>
          <w:between w:val="nil" w:color="FF000000" w:sz="0" w:space="0"/>
        </w:pBdr>
        <w:spacing w:after="0"/>
        <w:jc w:val="both"/>
        <w:rPr>
          <w:rFonts w:ascii="Arial" w:hAnsi="Arial" w:eastAsia="Arial" w:cs="Arial"/>
          <w:color w:val="000000" w:themeColor="text1" w:themeTint="FF" w:themeShade="FF"/>
        </w:rPr>
      </w:pPr>
      <w:r w:rsidRPr="68DACCB4" w:rsidR="00164613">
        <w:rPr>
          <w:rFonts w:ascii="Arial" w:hAnsi="Arial" w:eastAsia="Arial" w:cs="Arial"/>
          <w:b w:val="1"/>
          <w:bCs w:val="1"/>
          <w:color w:val="000000" w:themeColor="text1" w:themeTint="FF" w:themeShade="FF"/>
        </w:rPr>
        <w:t>Oracle (2025).</w:t>
      </w:r>
      <w:r w:rsidRPr="68DACCB4" w:rsidR="00164613">
        <w:rPr>
          <w:rFonts w:ascii="Arial" w:hAnsi="Arial" w:eastAsia="Arial" w:cs="Arial"/>
          <w:color w:val="000000" w:themeColor="text1" w:themeTint="FF" w:themeShade="FF"/>
        </w:rPr>
        <w:t xml:space="preserve"> </w:t>
      </w:r>
      <w:r w:rsidRPr="68DACCB4" w:rsidR="00164613">
        <w:rPr>
          <w:rFonts w:ascii="Arial" w:hAnsi="Arial" w:eastAsia="Arial" w:cs="Arial"/>
          <w:i w:val="1"/>
          <w:iCs w:val="1"/>
          <w:color w:val="000000" w:themeColor="text1" w:themeTint="FF" w:themeShade="FF"/>
        </w:rPr>
        <w:t>Oracle Fusion Cloud HCM Solutions</w:t>
      </w:r>
      <w:r w:rsidRPr="68DACCB4" w:rsidR="00164613">
        <w:rPr>
          <w:rFonts w:ascii="Arial" w:hAnsi="Arial" w:eastAsia="Arial" w:cs="Arial"/>
          <w:color w:val="000000" w:themeColor="text1" w:themeTint="FF" w:themeShade="FF"/>
        </w:rPr>
        <w:t xml:space="preserve">. Retrieved from </w:t>
      </w:r>
      <w:hyperlink r:id="Racd7569548274f28">
        <w:r w:rsidRPr="68DACCB4" w:rsidR="00164613">
          <w:rPr>
            <w:rStyle w:val="Hyperlink"/>
            <w:rFonts w:ascii="Arial" w:hAnsi="Arial" w:eastAsia="Arial" w:cs="Arial"/>
          </w:rPr>
          <w:t>https://www.oracle.com/human-capital-management/</w:t>
        </w:r>
      </w:hyperlink>
      <w:r w:rsidRPr="68DACCB4" w:rsidR="0355A52E">
        <w:rPr>
          <w:rFonts w:ascii="Arial" w:hAnsi="Arial" w:eastAsia="Arial" w:cs="Arial"/>
          <w:color w:val="000000" w:themeColor="text1" w:themeTint="FF" w:themeShade="FF"/>
        </w:rPr>
        <w:t xml:space="preserve"> (Accessed: 17 March 2026). </w:t>
      </w:r>
    </w:p>
    <w:p xmlns:wp14="http://schemas.microsoft.com/office/word/2010/wordml" w:rsidR="009C6D33" w:rsidP="68DACCB4" w:rsidRDefault="00164613" w14:paraId="6DA08554" wp14:textId="0F228AEF">
      <w:pPr>
        <w:numPr>
          <w:ilvl w:val="0"/>
          <w:numId w:val="4"/>
        </w:numPr>
        <w:spacing w:after="0"/>
        <w:jc w:val="both"/>
        <w:rPr>
          <w:rFonts w:ascii="Arial" w:hAnsi="Arial" w:eastAsia="Arial" w:cs="Arial"/>
        </w:rPr>
      </w:pPr>
      <w:r w:rsidRPr="68DACCB4" w:rsidR="2F1F5CE3">
        <w:rPr>
          <w:rFonts w:ascii="Arial" w:hAnsi="Arial" w:eastAsia="Arial" w:cs="Arial"/>
          <w:b w:val="1"/>
          <w:bCs w:val="1"/>
        </w:rPr>
        <w:t>Safshekan</w:t>
      </w:r>
      <w:r w:rsidRPr="68DACCB4" w:rsidR="2F1F5CE3">
        <w:rPr>
          <w:rFonts w:ascii="Arial" w:hAnsi="Arial" w:eastAsia="Arial" w:cs="Arial"/>
          <w:b w:val="1"/>
          <w:bCs w:val="1"/>
        </w:rPr>
        <w:t xml:space="preserve">, M. </w:t>
      </w:r>
      <w:r w:rsidRPr="68DACCB4" w:rsidR="2F1F5CE3">
        <w:rPr>
          <w:rFonts w:ascii="Arial" w:hAnsi="Arial" w:eastAsia="Arial" w:cs="Arial"/>
        </w:rPr>
        <w:t xml:space="preserve">(2026). </w:t>
      </w:r>
      <w:r w:rsidRPr="68DACCB4" w:rsidR="2F1F5CE3">
        <w:rPr>
          <w:rFonts w:ascii="Arial" w:hAnsi="Arial" w:eastAsia="Arial" w:cs="Arial"/>
          <w:i w:val="1"/>
          <w:iCs w:val="1"/>
        </w:rPr>
        <w:t>Artificial intelligence in human resource management.</w:t>
      </w:r>
      <w:r w:rsidRPr="68DACCB4" w:rsidR="2F1F5CE3">
        <w:rPr>
          <w:rFonts w:ascii="Arial" w:hAnsi="Arial" w:eastAsia="Arial" w:cs="Arial"/>
        </w:rPr>
        <w:t xml:space="preserve"> PMC</w:t>
      </w:r>
      <w:r w:rsidRPr="68DACCB4" w:rsidR="51F47EA3">
        <w:rPr>
          <w:rFonts w:ascii="Arial" w:hAnsi="Arial" w:eastAsia="Arial" w:cs="Arial"/>
        </w:rPr>
        <w:t xml:space="preserve">. </w:t>
      </w:r>
      <w:r w:rsidRPr="68DACCB4" w:rsidR="63764063">
        <w:rPr>
          <w:rFonts w:ascii="Arial" w:hAnsi="Arial" w:eastAsia="Arial" w:cs="Arial"/>
        </w:rPr>
        <w:t>A</w:t>
      </w:r>
      <w:r w:rsidRPr="68DACCB4" w:rsidR="2F1F5CE3">
        <w:rPr>
          <w:rFonts w:ascii="Arial" w:hAnsi="Arial" w:eastAsia="Arial" w:cs="Arial"/>
        </w:rPr>
        <w:t xml:space="preserve">vailable at </w:t>
      </w:r>
      <w:hyperlink r:id="R62659d930cb94ee4">
        <w:r w:rsidRPr="68DACCB4" w:rsidR="2F1F5CE3">
          <w:rPr>
            <w:rFonts w:ascii="Arial" w:hAnsi="Arial" w:eastAsia="Arial" w:cs="Arial"/>
            <w:color w:val="1155CC"/>
            <w:u w:val="single"/>
          </w:rPr>
          <w:t>pmc.ncbi.nlm.nih.gov/articles/PMC12920534/</w:t>
        </w:r>
      </w:hyperlink>
      <w:r w:rsidRPr="68DACCB4" w:rsidR="6AE80D62">
        <w:rPr>
          <w:rFonts w:ascii="Arial" w:hAnsi="Arial" w:eastAsia="Arial" w:cs="Arial"/>
        </w:rPr>
        <w:t xml:space="preserve"> </w:t>
      </w:r>
      <w:r w:rsidRPr="68DACCB4" w:rsidR="6AE80D62">
        <w:rPr>
          <w:rFonts w:ascii="Arial" w:hAnsi="Arial" w:eastAsia="Arial" w:cs="Arial"/>
        </w:rPr>
        <w:t>(Accessed: 17 March 2026).</w:t>
      </w:r>
    </w:p>
    <w:p xmlns:wp14="http://schemas.microsoft.com/office/word/2010/wordml" w:rsidR="009C6D33" w:rsidP="68DACCB4" w:rsidRDefault="00164613" w14:paraId="4FD91469" wp14:textId="0AD24C9D">
      <w:pPr>
        <w:numPr>
          <w:ilvl w:val="0"/>
          <w:numId w:val="4"/>
        </w:numPr>
        <w:pBdr>
          <w:top w:val="nil" w:color="FF000000" w:sz="0" w:space="0"/>
          <w:left w:val="nil" w:color="FF000000" w:sz="0" w:space="0"/>
          <w:bottom w:val="nil" w:color="FF000000" w:sz="0" w:space="0"/>
          <w:right w:val="nil" w:color="FF000000" w:sz="0" w:space="0"/>
          <w:between w:val="nil" w:color="FF000000" w:sz="0" w:space="0"/>
        </w:pBdr>
        <w:spacing w:after="0"/>
        <w:jc w:val="both"/>
        <w:rPr>
          <w:rFonts w:ascii="Arial" w:hAnsi="Arial" w:eastAsia="Arial" w:cs="Arial"/>
          <w:color w:val="000000"/>
        </w:rPr>
      </w:pPr>
      <w:r w:rsidRPr="68DACCB4" w:rsidR="00164613">
        <w:rPr>
          <w:rFonts w:ascii="Arial" w:hAnsi="Arial" w:eastAsia="Arial" w:cs="Arial"/>
          <w:b w:val="1"/>
          <w:bCs w:val="1"/>
          <w:color w:val="000000" w:themeColor="text1" w:themeTint="FF" w:themeShade="FF"/>
        </w:rPr>
        <w:t>Smith, J. (20</w:t>
      </w:r>
      <w:r w:rsidRPr="68DACCB4" w:rsidR="00164613">
        <w:rPr>
          <w:rFonts w:ascii="Arial" w:hAnsi="Arial" w:eastAsia="Arial" w:cs="Arial"/>
          <w:b w:val="1"/>
          <w:bCs w:val="1"/>
          <w:color w:val="000000" w:themeColor="text1" w:themeTint="FF" w:themeShade="FF"/>
        </w:rPr>
        <w:t>21).</w:t>
      </w:r>
      <w:r w:rsidRPr="68DACCB4" w:rsidR="00164613">
        <w:rPr>
          <w:rFonts w:ascii="Arial" w:hAnsi="Arial" w:eastAsia="Arial" w:cs="Arial"/>
          <w:color w:val="000000" w:themeColor="text1" w:themeTint="FF" w:themeShade="FF"/>
        </w:rPr>
        <w:t xml:space="preserve"> </w:t>
      </w:r>
      <w:r w:rsidRPr="68DACCB4" w:rsidR="00164613">
        <w:rPr>
          <w:rFonts w:ascii="Arial" w:hAnsi="Arial" w:eastAsia="Arial" w:cs="Arial"/>
          <w:i w:val="1"/>
          <w:iCs w:val="1"/>
          <w:color w:val="000000" w:themeColor="text1" w:themeTint="FF" w:themeShade="FF"/>
        </w:rPr>
        <w:t>The Role of HR in Global Organizations.</w:t>
      </w:r>
      <w:r w:rsidRPr="68DACCB4" w:rsidR="00164613">
        <w:rPr>
          <w:rFonts w:ascii="Arial" w:hAnsi="Arial" w:eastAsia="Arial" w:cs="Arial"/>
          <w:color w:val="000000" w:themeColor="text1" w:themeTint="FF" w:themeShade="FF"/>
        </w:rPr>
        <w:t xml:space="preserve"> HR Journal.</w:t>
      </w:r>
    </w:p>
    <w:p w:rsidR="6B93527A" w:rsidP="68DACCB4" w:rsidRDefault="6B93527A" w14:paraId="2EF60F3B" w14:textId="182A5AE7">
      <w:pPr>
        <w:numPr>
          <w:ilvl w:val="0"/>
          <w:numId w:val="4"/>
        </w:numPr>
        <w:spacing w:after="0"/>
        <w:jc w:val="both"/>
        <w:rPr>
          <w:rFonts w:ascii="Arial" w:hAnsi="Arial" w:eastAsia="Arial" w:cs="Arial"/>
          <w:strike w:val="1"/>
          <w:color w:val="000000" w:themeColor="text1" w:themeTint="FF" w:themeShade="FF"/>
        </w:rPr>
      </w:pPr>
      <w:r w:rsidRPr="68DACCB4" w:rsidR="6B93527A">
        <w:rPr>
          <w:rFonts w:ascii="Arial" w:hAnsi="Arial" w:eastAsia="Arial" w:cs="Arial"/>
          <w:b w:val="1"/>
          <w:bCs w:val="1"/>
          <w:color w:val="000000" w:themeColor="text1" w:themeTint="FF" w:themeShade="FF"/>
        </w:rPr>
        <w:t>Sony, M. M. A. A. M.</w:t>
      </w:r>
      <w:r w:rsidRPr="68DACCB4" w:rsidR="6B93527A">
        <w:rPr>
          <w:rFonts w:ascii="Arial" w:hAnsi="Arial" w:eastAsia="Arial" w:cs="Arial"/>
          <w:color w:val="000000" w:themeColor="text1" w:themeTint="FF" w:themeShade="FF"/>
        </w:rPr>
        <w:t xml:space="preserve"> et al. (2025). </w:t>
      </w:r>
      <w:r w:rsidRPr="68DACCB4" w:rsidR="6B93527A">
        <w:rPr>
          <w:rFonts w:ascii="Arial" w:hAnsi="Arial" w:eastAsia="Arial" w:cs="Arial"/>
          <w:i w:val="1"/>
          <w:iCs w:val="1"/>
          <w:color w:val="000000" w:themeColor="text1" w:themeTint="FF" w:themeShade="FF"/>
        </w:rPr>
        <w:t>Bias in AI-driven HRM systems: Investigating discrimination risks embedded in AI recruitment tools and HR analytics.</w:t>
      </w:r>
      <w:r w:rsidRPr="68DACCB4" w:rsidR="6B93527A">
        <w:rPr>
          <w:rFonts w:ascii="Arial" w:hAnsi="Arial" w:eastAsia="Arial" w:cs="Arial"/>
          <w:color w:val="000000" w:themeColor="text1" w:themeTint="FF" w:themeShade="FF"/>
        </w:rPr>
        <w:t xml:space="preserve"> Social Sciences &amp; Humanities Open, 12, 102082</w:t>
      </w:r>
      <w:r w:rsidRPr="68DACCB4" w:rsidR="5351DCF8">
        <w:rPr>
          <w:rFonts w:ascii="Arial" w:hAnsi="Arial" w:eastAsia="Arial" w:cs="Arial"/>
          <w:color w:val="000000" w:themeColor="text1" w:themeTint="FF" w:themeShade="FF"/>
        </w:rPr>
        <w:t>.</w:t>
      </w:r>
    </w:p>
    <w:p xmlns:wp14="http://schemas.microsoft.com/office/word/2010/wordml" w:rsidR="009C6D33" w:rsidP="68DACCB4" w:rsidRDefault="00164613" w14:paraId="764C110F" wp14:textId="77777777">
      <w:pPr>
        <w:numPr>
          <w:ilvl w:val="0"/>
          <w:numId w:val="4"/>
        </w:numPr>
        <w:pBdr>
          <w:top w:val="nil" w:color="FF000000" w:sz="0" w:space="0"/>
          <w:left w:val="nil" w:color="FF000000" w:sz="0" w:space="0"/>
          <w:bottom w:val="nil" w:color="FF000000" w:sz="0" w:space="0"/>
          <w:right w:val="nil" w:color="FF000000" w:sz="0" w:space="0"/>
          <w:between w:val="nil" w:color="FF000000" w:sz="0" w:space="0"/>
        </w:pBdr>
        <w:spacing w:after="0"/>
        <w:jc w:val="both"/>
        <w:rPr>
          <w:rFonts w:ascii="Arial" w:hAnsi="Arial" w:eastAsia="Arial" w:cs="Arial"/>
        </w:rPr>
      </w:pPr>
      <w:r w:rsidRPr="68DACCB4" w:rsidR="00164613">
        <w:rPr>
          <w:rFonts w:ascii="Arial" w:hAnsi="Arial" w:eastAsia="Arial" w:cs="Arial"/>
          <w:b w:val="1"/>
          <w:bCs w:val="1"/>
        </w:rPr>
        <w:t>Úbeda-García, M.</w:t>
      </w:r>
      <w:r w:rsidRPr="68DACCB4" w:rsidR="00164613">
        <w:rPr>
          <w:rFonts w:ascii="Arial" w:hAnsi="Arial" w:eastAsia="Arial" w:cs="Arial"/>
        </w:rPr>
        <w:t xml:space="preserve"> et al. (2025). </w:t>
      </w:r>
      <w:r w:rsidRPr="68DACCB4" w:rsidR="00164613">
        <w:rPr>
          <w:rFonts w:ascii="Arial" w:hAnsi="Arial" w:eastAsia="Arial" w:cs="Arial"/>
          <w:i w:val="1"/>
          <w:iCs w:val="1"/>
        </w:rPr>
        <w:t xml:space="preserve">Artificial intelligence, </w:t>
      </w:r>
      <w:r w:rsidRPr="68DACCB4" w:rsidR="00164613">
        <w:rPr>
          <w:rFonts w:ascii="Arial" w:hAnsi="Arial" w:eastAsia="Arial" w:cs="Arial"/>
          <w:i w:val="1"/>
          <w:iCs w:val="1"/>
        </w:rPr>
        <w:t>knowledge</w:t>
      </w:r>
      <w:r w:rsidRPr="68DACCB4" w:rsidR="00164613">
        <w:rPr>
          <w:rFonts w:ascii="Arial" w:hAnsi="Arial" w:eastAsia="Arial" w:cs="Arial"/>
          <w:i w:val="1"/>
          <w:iCs w:val="1"/>
        </w:rPr>
        <w:t xml:space="preserve"> and human resource management.</w:t>
      </w:r>
      <w:r w:rsidRPr="68DACCB4" w:rsidR="00164613">
        <w:rPr>
          <w:rFonts w:ascii="Arial" w:hAnsi="Arial" w:eastAsia="Arial" w:cs="Arial"/>
        </w:rPr>
        <w:t xml:space="preserve"> Journal of Innovation &amp; Knowledge.</w:t>
      </w:r>
    </w:p>
    <w:p xmlns:wp14="http://schemas.microsoft.com/office/word/2010/wordml" w:rsidR="009C6D33" w:rsidP="68DACCB4" w:rsidRDefault="00164613" w14:paraId="68070911" wp14:textId="77777777">
      <w:pPr>
        <w:numPr>
          <w:ilvl w:val="0"/>
          <w:numId w:val="4"/>
        </w:numPr>
        <w:pBdr>
          <w:top w:val="nil" w:color="FF000000" w:sz="0" w:space="0"/>
          <w:left w:val="nil" w:color="FF000000" w:sz="0" w:space="0"/>
          <w:bottom w:val="nil" w:color="FF000000" w:sz="0" w:space="0"/>
          <w:right w:val="nil" w:color="FF000000" w:sz="0" w:space="0"/>
          <w:between w:val="nil" w:color="FF000000" w:sz="0" w:space="0"/>
        </w:pBdr>
        <w:spacing w:after="0"/>
        <w:jc w:val="both"/>
        <w:rPr>
          <w:rFonts w:ascii="Arial" w:hAnsi="Arial" w:eastAsia="Arial" w:cs="Arial"/>
          <w:color w:val="000000"/>
        </w:rPr>
      </w:pPr>
      <w:r w:rsidRPr="68DACCB4" w:rsidR="00164613">
        <w:rPr>
          <w:rFonts w:ascii="Arial" w:hAnsi="Arial" w:eastAsia="Arial" w:cs="Arial"/>
          <w:b w:val="1"/>
          <w:bCs w:val="1"/>
          <w:color w:val="000000" w:themeColor="text1" w:themeTint="FF" w:themeShade="FF"/>
        </w:rPr>
        <w:t xml:space="preserve">Weir, D. (2018). </w:t>
      </w:r>
      <w:r w:rsidRPr="68DACCB4" w:rsidR="00164613">
        <w:rPr>
          <w:rFonts w:ascii="Arial" w:hAnsi="Arial" w:eastAsia="Arial" w:cs="Arial"/>
          <w:i w:val="1"/>
          <w:iCs w:val="1"/>
          <w:color w:val="000000" w:themeColor="text1" w:themeTint="FF" w:themeShade="FF"/>
        </w:rPr>
        <w:t>Supply Chain Transparency and Blockchain</w:t>
      </w:r>
      <w:r w:rsidRPr="68DACCB4" w:rsidR="00164613">
        <w:rPr>
          <w:rFonts w:ascii="Arial" w:hAnsi="Arial" w:eastAsia="Arial" w:cs="Arial"/>
          <w:color w:val="000000" w:themeColor="text1" w:themeTint="FF" w:themeShade="FF"/>
        </w:rPr>
        <w:t>. Supply Chain Management Review.</w:t>
      </w:r>
    </w:p>
    <w:sectPr w:rsidR="009C6D33">
      <w:headerReference w:type="default" r:id="rId9"/>
      <w:footerReference w:type="default" r:id="rId10"/>
      <w:pgSz w:w="11906" w:h="16838"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xmlns:wp14="http://schemas.microsoft.com/office/word/2010/wordml" w:rsidR="00164613" w:rsidRDefault="00164613" w14:paraId="1FC39945" wp14:textId="77777777">
      <w:pPr>
        <w:spacing w:after="0" w:line="240" w:lineRule="auto"/>
      </w:pPr>
      <w:r>
        <w:separator/>
      </w:r>
    </w:p>
  </w:endnote>
  <w:endnote w:type="continuationSeparator" w:id="0">
    <w:p xmlns:wp14="http://schemas.microsoft.com/office/word/2010/wordml" w:rsidR="00164613" w:rsidRDefault="00164613" w14:paraId="0562CB0E"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w:fontKey="{21966CF7-2263-44B3-9299-1D2CB9E7B62A}" r:id="rId1"/>
  </w:font>
  <w:font w:name="Courier New">
    <w:panose1 w:val="02070309020205020404"/>
    <w:charset w:val="00"/>
    <w:family w:val="modern"/>
    <w:pitch w:val="fixed"/>
    <w:sig w:usb0="E0002EFF" w:usb1="C0007843" w:usb2="00000009" w:usb3="00000000" w:csb0="000001FF" w:csb1="00000000"/>
  </w:font>
  <w:font w:name="Aptos">
    <w:panose1 w:val="020B0004020202020204"/>
    <w:charset w:val="00"/>
    <w:family w:val="swiss"/>
    <w:pitch w:val="variable"/>
    <w:sig w:usb0="20000287" w:usb1="00000003" w:usb2="00000000" w:usb3="00000000" w:csb0="0000019F" w:csb1="00000000"/>
    <w:embedRegular w:fontKey="{34865DC3-ABFD-4598-AACB-69499B0EFA8A}" r:id="rId2"/>
    <w:embedBold w:fontKey="{1E5794DF-BDDF-4000-9344-8093468178BF}" r:id="rId3"/>
    <w:embedItalic w:fontKey="{4735EAE1-9D59-4FFD-A1BA-1BC89634B566}" r:id="rId4"/>
  </w:font>
  <w:font w:name="Play">
    <w:charset w:val="00"/>
    <w:family w:val="auto"/>
    <w:pitch w:val="default"/>
    <w:embedRegular w:fontKey="{1B91EBF6-D948-4031-B27A-06D3AE42A447}" r:id="rId5"/>
    <w:embedBold w:fontKey="{963A6CB8-5E8A-48B4-A641-4630D46F8C67}" r:id="rId6"/>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w:fontKey="{2D0B6EA0-CF7C-4EF0-9AFF-007C44715664}" r:id="rId7"/>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embedRegular w:fontKey="{D70B4114-F4E9-4C53-A85E-466B7D1AF57F}" r:id="rId8"/>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embedRegular w:fontKey="{F2B1B978-D657-4A85-A8B7-F112D5608814}" r:id="rId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xmlns:wp14="http://schemas.microsoft.com/office/word/2010/wordml" w:rsidR="009C6D33" w:rsidRDefault="009C6D33" w14:paraId="6D98A12B" wp14:textId="77777777">
    <w:pPr>
      <w:widowControl w:val="0"/>
      <w:pBdr>
        <w:top w:val="nil"/>
        <w:left w:val="nil"/>
        <w:bottom w:val="nil"/>
        <w:right w:val="nil"/>
        <w:between w:val="nil"/>
      </w:pBdr>
      <w:spacing w:after="0" w:line="276" w:lineRule="auto"/>
      <w:rPr>
        <w:color w:val="000000"/>
      </w:rPr>
    </w:pPr>
  </w:p>
  <w:tbl>
    <w:tblPr>
      <w:tblStyle w:val="a0"/>
      <w:tblW w:w="9015" w:type="dxa"/>
      <w:tblInd w:w="0" w:type="dxa"/>
      <w:tblLayout w:type="fixed"/>
      <w:tblLook w:val="0600" w:firstRow="0" w:lastRow="0" w:firstColumn="0" w:lastColumn="0" w:noHBand="1" w:noVBand="1"/>
    </w:tblPr>
    <w:tblGrid>
      <w:gridCol w:w="3005"/>
      <w:gridCol w:w="3005"/>
      <w:gridCol w:w="3005"/>
    </w:tblGrid>
    <w:tr xmlns:wp14="http://schemas.microsoft.com/office/word/2010/wordml" w:rsidR="009C6D33" w14:paraId="2946DB82" wp14:textId="77777777">
      <w:trPr>
        <w:trHeight w:val="300"/>
      </w:trPr>
      <w:tc>
        <w:tcPr>
          <w:tcW w:w="3005" w:type="dxa"/>
        </w:tcPr>
        <w:p w:rsidR="009C6D33" w:rsidRDefault="009C6D33" w14:paraId="5997CC1D" wp14:textId="77777777">
          <w:pPr>
            <w:pBdr>
              <w:top w:val="nil"/>
              <w:left w:val="nil"/>
              <w:bottom w:val="nil"/>
              <w:right w:val="nil"/>
              <w:between w:val="nil"/>
            </w:pBdr>
            <w:tabs>
              <w:tab w:val="center" w:pos="4680"/>
              <w:tab w:val="right" w:pos="9360"/>
            </w:tabs>
            <w:spacing w:after="0" w:line="240" w:lineRule="auto"/>
            <w:ind w:left="-115"/>
            <w:rPr>
              <w:color w:val="000000"/>
            </w:rPr>
          </w:pPr>
        </w:p>
      </w:tc>
      <w:tc>
        <w:tcPr>
          <w:tcW w:w="3005" w:type="dxa"/>
        </w:tcPr>
        <w:p w:rsidR="009C6D33" w:rsidRDefault="009C6D33" w14:paraId="110FFD37" wp14:textId="77777777">
          <w:pPr>
            <w:pBdr>
              <w:top w:val="nil"/>
              <w:left w:val="nil"/>
              <w:bottom w:val="nil"/>
              <w:right w:val="nil"/>
              <w:between w:val="nil"/>
            </w:pBdr>
            <w:tabs>
              <w:tab w:val="center" w:pos="4680"/>
              <w:tab w:val="right" w:pos="9360"/>
            </w:tabs>
            <w:spacing w:after="0" w:line="240" w:lineRule="auto"/>
            <w:jc w:val="center"/>
            <w:rPr>
              <w:color w:val="000000"/>
            </w:rPr>
          </w:pPr>
        </w:p>
      </w:tc>
      <w:tc>
        <w:tcPr>
          <w:tcW w:w="3005" w:type="dxa"/>
        </w:tcPr>
        <w:p w:rsidR="009C6D33" w:rsidRDefault="009C6D33" w14:paraId="6B699379" wp14:textId="77777777">
          <w:pPr>
            <w:pBdr>
              <w:top w:val="nil"/>
              <w:left w:val="nil"/>
              <w:bottom w:val="nil"/>
              <w:right w:val="nil"/>
              <w:between w:val="nil"/>
            </w:pBdr>
            <w:tabs>
              <w:tab w:val="center" w:pos="4680"/>
              <w:tab w:val="right" w:pos="9360"/>
            </w:tabs>
            <w:spacing w:after="0" w:line="240" w:lineRule="auto"/>
            <w:ind w:right="-115"/>
            <w:jc w:val="right"/>
            <w:rPr>
              <w:color w:val="000000"/>
            </w:rPr>
          </w:pPr>
        </w:p>
      </w:tc>
    </w:tr>
  </w:tbl>
  <w:p xmlns:wp14="http://schemas.microsoft.com/office/word/2010/wordml" w:rsidR="009C6D33" w:rsidRDefault="009C6D33" w14:paraId="3FE9F23F" wp14:textId="77777777">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xmlns:wp14="http://schemas.microsoft.com/office/word/2010/wordml" w:rsidR="00164613" w:rsidRDefault="00164613" w14:paraId="34CE0A41" wp14:textId="77777777">
      <w:pPr>
        <w:spacing w:after="0" w:line="240" w:lineRule="auto"/>
      </w:pPr>
      <w:r>
        <w:separator/>
      </w:r>
    </w:p>
  </w:footnote>
  <w:footnote w:type="continuationSeparator" w:id="0">
    <w:p xmlns:wp14="http://schemas.microsoft.com/office/word/2010/wordml" w:rsidR="00164613" w:rsidRDefault="00164613" w14:paraId="62EBF3C5" wp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xmlns:wp14="http://schemas.microsoft.com/office/word/2010/wordml" w:rsidR="009C6D33" w:rsidRDefault="009C6D33" w14:paraId="1F72F646" wp14:textId="77777777">
    <w:pPr>
      <w:widowControl w:val="0"/>
      <w:pBdr>
        <w:top w:val="nil"/>
        <w:left w:val="nil"/>
        <w:bottom w:val="nil"/>
        <w:right w:val="nil"/>
        <w:between w:val="nil"/>
      </w:pBdr>
      <w:spacing w:after="0" w:line="276" w:lineRule="auto"/>
      <w:rPr>
        <w:rFonts w:ascii="Times New Roman" w:hAnsi="Times New Roman" w:eastAsia="Times New Roman" w:cs="Times New Roman"/>
        <w:color w:val="000000"/>
      </w:rPr>
    </w:pPr>
  </w:p>
  <w:tbl>
    <w:tblPr>
      <w:tblStyle w:val="a"/>
      <w:tblW w:w="9015" w:type="dxa"/>
      <w:tblInd w:w="0" w:type="dxa"/>
      <w:tblLayout w:type="fixed"/>
      <w:tblLook w:val="0600" w:firstRow="0" w:lastRow="0" w:firstColumn="0" w:lastColumn="0" w:noHBand="1" w:noVBand="1"/>
    </w:tblPr>
    <w:tblGrid>
      <w:gridCol w:w="3005"/>
      <w:gridCol w:w="3005"/>
      <w:gridCol w:w="3005"/>
    </w:tblGrid>
    <w:tr xmlns:wp14="http://schemas.microsoft.com/office/word/2010/wordml" w:rsidR="009C6D33" w14:paraId="08CE6F91" wp14:textId="77777777">
      <w:trPr>
        <w:trHeight w:val="300"/>
      </w:trPr>
      <w:tc>
        <w:tcPr>
          <w:tcW w:w="3005" w:type="dxa"/>
        </w:tcPr>
        <w:p w:rsidR="009C6D33" w:rsidRDefault="009C6D33" w14:paraId="61CDCEAD" wp14:textId="77777777">
          <w:pPr>
            <w:pBdr>
              <w:top w:val="nil"/>
              <w:left w:val="nil"/>
              <w:bottom w:val="nil"/>
              <w:right w:val="nil"/>
              <w:between w:val="nil"/>
            </w:pBdr>
            <w:tabs>
              <w:tab w:val="center" w:pos="4680"/>
              <w:tab w:val="right" w:pos="9360"/>
            </w:tabs>
            <w:spacing w:after="0" w:line="240" w:lineRule="auto"/>
            <w:ind w:left="-115"/>
            <w:rPr>
              <w:color w:val="000000"/>
            </w:rPr>
          </w:pPr>
        </w:p>
      </w:tc>
      <w:tc>
        <w:tcPr>
          <w:tcW w:w="3005" w:type="dxa"/>
        </w:tcPr>
        <w:p w:rsidR="009C6D33" w:rsidRDefault="009C6D33" w14:paraId="6BB9E253" wp14:textId="77777777">
          <w:pPr>
            <w:pBdr>
              <w:top w:val="nil"/>
              <w:left w:val="nil"/>
              <w:bottom w:val="nil"/>
              <w:right w:val="nil"/>
              <w:between w:val="nil"/>
            </w:pBdr>
            <w:tabs>
              <w:tab w:val="center" w:pos="4680"/>
              <w:tab w:val="right" w:pos="9360"/>
            </w:tabs>
            <w:spacing w:after="0" w:line="240" w:lineRule="auto"/>
            <w:jc w:val="center"/>
            <w:rPr>
              <w:color w:val="000000"/>
            </w:rPr>
          </w:pPr>
        </w:p>
      </w:tc>
      <w:tc>
        <w:tcPr>
          <w:tcW w:w="3005" w:type="dxa"/>
        </w:tcPr>
        <w:p w:rsidR="009C6D33" w:rsidRDefault="009C6D33" w14:paraId="23DE523C" wp14:textId="77777777">
          <w:pPr>
            <w:pBdr>
              <w:top w:val="nil"/>
              <w:left w:val="nil"/>
              <w:bottom w:val="nil"/>
              <w:right w:val="nil"/>
              <w:between w:val="nil"/>
            </w:pBdr>
            <w:tabs>
              <w:tab w:val="center" w:pos="4680"/>
              <w:tab w:val="right" w:pos="9360"/>
            </w:tabs>
            <w:spacing w:after="0" w:line="240" w:lineRule="auto"/>
            <w:ind w:right="-115"/>
            <w:jc w:val="right"/>
            <w:rPr>
              <w:color w:val="000000"/>
            </w:rPr>
          </w:pPr>
        </w:p>
      </w:tc>
    </w:tr>
  </w:tbl>
  <w:p xmlns:wp14="http://schemas.microsoft.com/office/word/2010/wordml" w:rsidR="009C6D33" w:rsidRDefault="009C6D33" w14:paraId="52E56223" wp14:textId="77777777">
    <w:pPr>
      <w:pBdr>
        <w:top w:val="nil"/>
        <w:left w:val="nil"/>
        <w:bottom w:val="nil"/>
        <w:right w:val="nil"/>
        <w:between w:val="nil"/>
      </w:pBdr>
      <w:tabs>
        <w:tab w:val="center" w:pos="4680"/>
        <w:tab w:val="right" w:pos="9360"/>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ED637D"/>
    <w:multiLevelType w:val="multilevel"/>
    <w:tmpl w:val="FFFFFFFF"/>
    <w:lvl w:ilvl="0">
      <w:start w:val="1"/>
      <w:numFmt w:val="bullet"/>
      <w:lvlText w:val="●"/>
      <w:lvlJc w:val="left"/>
      <w:pPr>
        <w:ind w:left="720" w:hanging="360"/>
      </w:pPr>
      <w:rPr>
        <w:rFonts w:ascii="Noto Sans Symbols" w:hAnsi="Noto Sans Symbols" w:eastAsia="Noto Sans Symbols" w:cs="Noto Sans Symbols"/>
      </w:rPr>
    </w:lvl>
    <w:lvl w:ilvl="1">
      <w:start w:val="1"/>
      <w:numFmt w:val="bullet"/>
      <w:lvlText w:val="o"/>
      <w:lvlJc w:val="left"/>
      <w:pPr>
        <w:ind w:left="1440" w:hanging="360"/>
      </w:pPr>
      <w:rPr>
        <w:rFonts w:ascii="Courier New" w:hAnsi="Courier New" w:eastAsia="Courier New" w:cs="Courier New"/>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abstractNum>
  <w:abstractNum w:abstractNumId="1" w15:restartNumberingAfterBreak="0">
    <w:nsid w:val="2EA9447B"/>
    <w:multiLevelType w:val="multilevel"/>
    <w:tmpl w:val="FFFFFFFF"/>
    <w:lvl w:ilvl="0">
      <w:start w:val="1"/>
      <w:numFmt w:val="bullet"/>
      <w:lvlText w:val="●"/>
      <w:lvlJc w:val="left"/>
      <w:pPr>
        <w:ind w:left="720" w:hanging="360"/>
      </w:pPr>
      <w:rPr>
        <w:rFonts w:ascii="Noto Sans Symbols" w:hAnsi="Noto Sans Symbols" w:eastAsia="Noto Sans Symbols" w:cs="Noto Sans Symbols"/>
      </w:rPr>
    </w:lvl>
    <w:lvl w:ilvl="1">
      <w:start w:val="1"/>
      <w:numFmt w:val="bullet"/>
      <w:lvlText w:val="o"/>
      <w:lvlJc w:val="left"/>
      <w:pPr>
        <w:ind w:left="1440" w:hanging="360"/>
      </w:pPr>
      <w:rPr>
        <w:rFonts w:ascii="Courier New" w:hAnsi="Courier New" w:eastAsia="Courier New" w:cs="Courier New"/>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abstractNum>
  <w:abstractNum w:abstractNumId="2" w15:restartNumberingAfterBreak="0">
    <w:nsid w:val="34044E01"/>
    <w:multiLevelType w:val="multilevel"/>
    <w:tmpl w:val="FFFFFFFF"/>
    <w:lvl w:ilvl="0">
      <w:start w:val="1"/>
      <w:numFmt w:val="bullet"/>
      <w:lvlText w:val="●"/>
      <w:lvlJc w:val="left"/>
      <w:pPr>
        <w:ind w:left="720" w:hanging="360"/>
      </w:pPr>
      <w:rPr>
        <w:rFonts w:ascii="Noto Sans Symbols" w:hAnsi="Noto Sans Symbols" w:eastAsia="Noto Sans Symbols" w:cs="Noto Sans Symbols"/>
      </w:rPr>
    </w:lvl>
    <w:lvl w:ilvl="1">
      <w:start w:val="1"/>
      <w:numFmt w:val="bullet"/>
      <w:lvlText w:val="o"/>
      <w:lvlJc w:val="left"/>
      <w:pPr>
        <w:ind w:left="1440" w:hanging="360"/>
      </w:pPr>
      <w:rPr>
        <w:rFonts w:ascii="Courier New" w:hAnsi="Courier New" w:eastAsia="Courier New" w:cs="Courier New"/>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abstractNum>
  <w:abstractNum w:abstractNumId="3" w15:restartNumberingAfterBreak="0">
    <w:nsid w:val="690113BF"/>
    <w:multiLevelType w:val="multilevel"/>
    <w:tmpl w:val="FFFFFFFF"/>
    <w:lvl w:ilvl="0">
      <w:start w:val="1"/>
      <w:numFmt w:val="bullet"/>
      <w:lvlText w:val="●"/>
      <w:lvlJc w:val="left"/>
      <w:pPr>
        <w:ind w:left="720" w:hanging="360"/>
      </w:pPr>
      <w:rPr>
        <w:rFonts w:ascii="Noto Sans Symbols" w:hAnsi="Noto Sans Symbols" w:eastAsia="Noto Sans Symbols" w:cs="Noto Sans Symbols"/>
      </w:rPr>
    </w:lvl>
    <w:lvl w:ilvl="1">
      <w:start w:val="1"/>
      <w:numFmt w:val="bullet"/>
      <w:lvlText w:val="o"/>
      <w:lvlJc w:val="left"/>
      <w:pPr>
        <w:ind w:left="1440" w:hanging="360"/>
      </w:pPr>
      <w:rPr>
        <w:rFonts w:ascii="Courier New" w:hAnsi="Courier New" w:eastAsia="Courier New" w:cs="Courier New"/>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abstractNum>
  <w:num w:numId="1" w16cid:durableId="924262477">
    <w:abstractNumId w:val="2"/>
  </w:num>
  <w:num w:numId="2" w16cid:durableId="104349341">
    <w:abstractNumId w:val="0"/>
  </w:num>
  <w:num w:numId="3" w16cid:durableId="397752944">
    <w:abstractNumId w:val="3"/>
  </w:num>
  <w:num w:numId="4" w16cid:durableId="90973754">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embedTrueTypeFonts/>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6D33"/>
    <w:rsid w:val="000434C6"/>
    <w:rsid w:val="00164613"/>
    <w:rsid w:val="002E7DB2"/>
    <w:rsid w:val="009C6D33"/>
    <w:rsid w:val="00A06981"/>
    <w:rsid w:val="016D6237"/>
    <w:rsid w:val="029991B8"/>
    <w:rsid w:val="0355A52E"/>
    <w:rsid w:val="036AF9D1"/>
    <w:rsid w:val="038C38BE"/>
    <w:rsid w:val="04B0148D"/>
    <w:rsid w:val="04C5B6FB"/>
    <w:rsid w:val="04E30E6A"/>
    <w:rsid w:val="0703061B"/>
    <w:rsid w:val="071FF6A5"/>
    <w:rsid w:val="0A3794BB"/>
    <w:rsid w:val="0C9568B7"/>
    <w:rsid w:val="0DAAB87F"/>
    <w:rsid w:val="118DD7FF"/>
    <w:rsid w:val="119ED746"/>
    <w:rsid w:val="12CFA1F4"/>
    <w:rsid w:val="13C1E2CB"/>
    <w:rsid w:val="152FE99A"/>
    <w:rsid w:val="17EAE8DA"/>
    <w:rsid w:val="183441BA"/>
    <w:rsid w:val="1A1103C5"/>
    <w:rsid w:val="1A4D76EF"/>
    <w:rsid w:val="1B662D5A"/>
    <w:rsid w:val="1D0348F7"/>
    <w:rsid w:val="1DBBA329"/>
    <w:rsid w:val="1E8357C5"/>
    <w:rsid w:val="1EF9C59E"/>
    <w:rsid w:val="20503C95"/>
    <w:rsid w:val="21C2C7B2"/>
    <w:rsid w:val="23361760"/>
    <w:rsid w:val="246C0384"/>
    <w:rsid w:val="25745D5C"/>
    <w:rsid w:val="2605BD56"/>
    <w:rsid w:val="263BD18C"/>
    <w:rsid w:val="293192AF"/>
    <w:rsid w:val="2A20456F"/>
    <w:rsid w:val="2AE8FEA4"/>
    <w:rsid w:val="2C581EE5"/>
    <w:rsid w:val="2E218C35"/>
    <w:rsid w:val="2EE8A633"/>
    <w:rsid w:val="2F1F5CE3"/>
    <w:rsid w:val="2F60E8A7"/>
    <w:rsid w:val="2F60E8A7"/>
    <w:rsid w:val="3048056D"/>
    <w:rsid w:val="305118A1"/>
    <w:rsid w:val="33DC1CD9"/>
    <w:rsid w:val="34A4C72E"/>
    <w:rsid w:val="358F774D"/>
    <w:rsid w:val="35BE32EA"/>
    <w:rsid w:val="3699665F"/>
    <w:rsid w:val="39562AC2"/>
    <w:rsid w:val="395E5ADB"/>
    <w:rsid w:val="39E62E04"/>
    <w:rsid w:val="3C29E82D"/>
    <w:rsid w:val="3D069FB6"/>
    <w:rsid w:val="3EA38C7C"/>
    <w:rsid w:val="40EF6394"/>
    <w:rsid w:val="4152BE66"/>
    <w:rsid w:val="42E64E3C"/>
    <w:rsid w:val="4481F8D1"/>
    <w:rsid w:val="44D3202B"/>
    <w:rsid w:val="4686B575"/>
    <w:rsid w:val="47B0F82C"/>
    <w:rsid w:val="48AB9CB1"/>
    <w:rsid w:val="48E31817"/>
    <w:rsid w:val="497C4862"/>
    <w:rsid w:val="4A785C1E"/>
    <w:rsid w:val="4B78F693"/>
    <w:rsid w:val="4C3EE64A"/>
    <w:rsid w:val="4E364565"/>
    <w:rsid w:val="510CB313"/>
    <w:rsid w:val="5146C766"/>
    <w:rsid w:val="5195B02F"/>
    <w:rsid w:val="51F47EA3"/>
    <w:rsid w:val="529D92A0"/>
    <w:rsid w:val="5328F533"/>
    <w:rsid w:val="5351DCF8"/>
    <w:rsid w:val="55CC9565"/>
    <w:rsid w:val="566E891A"/>
    <w:rsid w:val="5868C67A"/>
    <w:rsid w:val="588E1D36"/>
    <w:rsid w:val="5895E57E"/>
    <w:rsid w:val="5A36B422"/>
    <w:rsid w:val="5BBF08FF"/>
    <w:rsid w:val="5BF2702B"/>
    <w:rsid w:val="5CD8F314"/>
    <w:rsid w:val="5EBF2179"/>
    <w:rsid w:val="61A061AA"/>
    <w:rsid w:val="63764063"/>
    <w:rsid w:val="644F60D8"/>
    <w:rsid w:val="6794C575"/>
    <w:rsid w:val="68DACCB4"/>
    <w:rsid w:val="695DEACA"/>
    <w:rsid w:val="6A6C4D1E"/>
    <w:rsid w:val="6AE80D62"/>
    <w:rsid w:val="6B781548"/>
    <w:rsid w:val="6B93527A"/>
    <w:rsid w:val="6C31C766"/>
    <w:rsid w:val="6CA83F63"/>
    <w:rsid w:val="6CC0A881"/>
    <w:rsid w:val="6CC4273C"/>
    <w:rsid w:val="6CCE8C57"/>
    <w:rsid w:val="6CE3CF2A"/>
    <w:rsid w:val="6E3C1C7B"/>
    <w:rsid w:val="6F027B00"/>
    <w:rsid w:val="6F0E7A8A"/>
    <w:rsid w:val="709F3F03"/>
    <w:rsid w:val="72B8526E"/>
    <w:rsid w:val="731EB60B"/>
    <w:rsid w:val="73C7EB8C"/>
    <w:rsid w:val="7459C009"/>
    <w:rsid w:val="75F8817C"/>
    <w:rsid w:val="7850B57A"/>
    <w:rsid w:val="787C76B5"/>
    <w:rsid w:val="78863537"/>
    <w:rsid w:val="788C257C"/>
    <w:rsid w:val="7999C557"/>
    <w:rsid w:val="7B4C535E"/>
    <w:rsid w:val="7C677EF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3D3938EE"/>
  <w15:docId w15:val="{096A4829-6403-4081-A846-D893A10F74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Aptos" w:hAnsi="Aptos" w:eastAsia="Aptos" w:cs="Aptos"/>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480" w:after="120"/>
      <w:outlineLvl w:val="0"/>
    </w:pPr>
    <w:rPr>
      <w:b/>
      <w:bCs/>
      <w:sz w:val="48"/>
      <w:szCs w:val="48"/>
    </w:rPr>
  </w:style>
  <w:style w:type="paragraph" w:styleId="Heading2">
    <w:name w:val="heading 2"/>
    <w:basedOn w:val="Normal"/>
    <w:next w:val="Normal"/>
    <w:uiPriority w:val="9"/>
    <w:unhideWhenUsed/>
    <w:qFormat/>
    <w:pPr>
      <w:keepNext/>
      <w:keepLines/>
      <w:spacing w:before="160" w:after="80"/>
      <w:outlineLvl w:val="1"/>
    </w:pPr>
    <w:rPr>
      <w:rFonts w:ascii="Play" w:hAnsi="Play" w:eastAsia="Play" w:cs="Play"/>
      <w:color w:val="0F4761"/>
      <w:sz w:val="32"/>
      <w:szCs w:val="32"/>
    </w:rPr>
  </w:style>
  <w:style w:type="paragraph" w:styleId="Heading3">
    <w:name w:val="heading 3"/>
    <w:basedOn w:val="Normal"/>
    <w:next w:val="Normal"/>
    <w:uiPriority w:val="9"/>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240" w:after="40"/>
      <w:outlineLvl w:val="3"/>
    </w:pPr>
    <w:rPr>
      <w:b/>
      <w:bCs/>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hAnsi="Georgia" w:eastAsia="Georgia" w:cs="Georgia"/>
      <w:i/>
      <w:iCs/>
      <w:color w:val="666666"/>
      <w:sz w:val="48"/>
      <w:szCs w:val="48"/>
    </w:rPr>
  </w:style>
  <w:style w:type="table" w:styleId="a" w:customStyle="1">
    <w:basedOn w:val="TableNormal0"/>
    <w:tblPr>
      <w:tblStyleRowBandSize w:val="1"/>
      <w:tblStyleColBandSize w:val="1"/>
      <w:tblCellMar>
        <w:top w:w="0" w:type="dxa"/>
        <w:left w:w="108" w:type="dxa"/>
        <w:bottom w:w="0" w:type="dxa"/>
        <w:right w:w="108" w:type="dxa"/>
      </w:tblCellMar>
    </w:tblPr>
  </w:style>
  <w:style w:type="table" w:styleId="a0" w:customStyle="1">
    <w:basedOn w:val="TableNormal0"/>
    <w:tblPr>
      <w:tblStyleRowBandSize w:val="1"/>
      <w:tblStyleColBandSize w:val="1"/>
      <w:tblCellMar>
        <w:top w:w="0" w:type="dxa"/>
        <w:left w:w="108" w:type="dxa"/>
        <w:bottom w:w="0" w:type="dxa"/>
        <w:right w:w="108" w:type="dxa"/>
      </w:tblCellMar>
    </w:tblPr>
  </w:style>
  <w:style w:type="character" w:styleId="Hyperlink">
    <w:uiPriority w:val="99"/>
    <w:name w:val="Hyperlink"/>
    <w:basedOn w:val="DefaultParagraphFont"/>
    <w:unhideWhenUsed/>
    <w:rsid w:val="68DACCB4"/>
    <w:rPr>
      <w:color w:val="0000FF"/>
      <w:u w:val="single"/>
    </w:rPr>
  </w:style>
  <w:style w:type="paragraph" w:styleId="TOC2">
    <w:uiPriority w:val="39"/>
    <w:name w:val="toc 2"/>
    <w:basedOn w:val="Normal"/>
    <w:next w:val="Normal"/>
    <w:unhideWhenUsed/>
    <w:rsid w:val="68DACCB4"/>
    <w:pPr>
      <w:spacing w:after="100"/>
      <w:ind w:left="220"/>
    </w:pPr>
  </w:style>
  <w:style w:type="paragraph" w:styleId="TOC3">
    <w:uiPriority w:val="39"/>
    <w:name w:val="toc 3"/>
    <w:basedOn w:val="Normal"/>
    <w:next w:val="Normal"/>
    <w:unhideWhenUsed/>
    <w:rsid w:val="68DACCB4"/>
    <w:pPr>
      <w:spacing w:after="100"/>
      <w:ind w:left="440"/>
    </w:pPr>
  </w:style>
  <w:style w:type="paragraph" w:styleId="ListParagraph">
    <w:uiPriority w:val="34"/>
    <w:name w:val="List Paragraph"/>
    <w:basedOn w:val="Normal"/>
    <w:qFormat/>
    <w:rsid w:val="68DACCB4"/>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1.xml" Id="rId10" /><Relationship Type="http://schemas.openxmlformats.org/officeDocument/2006/relationships/webSettings" Target="webSettings.xml" Id="rId4" /><Relationship Type="http://schemas.openxmlformats.org/officeDocument/2006/relationships/header" Target="header1.xml" Id="rId9" /><Relationship Type="http://schemas.openxmlformats.org/officeDocument/2006/relationships/hyperlink" Target="https://www.oracle.com/human-capital-management/hr/datasheet/" TargetMode="External" Id="R36d0ff7a912447f2" /><Relationship Type="http://schemas.openxmlformats.org/officeDocument/2006/relationships/hyperlink" Target="https://www.oracle.com/human-capital-management/" TargetMode="External" Id="Racd7569548274f28" /><Relationship Type="http://schemas.openxmlformats.org/officeDocument/2006/relationships/hyperlink" Target="http://pmc.ncbi.nlm.nih.gov/articles/PMC12920534/" TargetMode="External" Id="R62659d930cb94ee4" /></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Szabolcs Isaszegi-Toth (2218625)</lastModifiedBy>
  <revision>2</revision>
  <dcterms:created xsi:type="dcterms:W3CDTF">2026-03-24T20:25:00.0000000Z</dcterms:created>
  <dcterms:modified xsi:type="dcterms:W3CDTF">2026-03-24T22:49:48.7714542Z</dcterms:modified>
</coreProperties>
</file>