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E2F3" w:themeFill="accent1" w:themeFillTint="33"/>
        <w:tblLook w:val="04A0" w:firstRow="1" w:lastRow="0" w:firstColumn="1" w:lastColumn="0" w:noHBand="0" w:noVBand="1"/>
      </w:tblPr>
      <w:tblGrid>
        <w:gridCol w:w="9782"/>
      </w:tblGrid>
      <w:tr w:rsidR="00AB17CA" w:rsidRPr="00AB17CA" w14:paraId="3190599A" w14:textId="77777777" w:rsidTr="00AB17CA">
        <w:tc>
          <w:tcPr>
            <w:tcW w:w="9782" w:type="dxa"/>
            <w:shd w:val="clear" w:color="auto" w:fill="D9E2F3" w:themeFill="accent1" w:themeFillTint="33"/>
          </w:tcPr>
          <w:p w14:paraId="1A686250" w14:textId="77777777" w:rsidR="00AB17CA" w:rsidRPr="00AB17CA" w:rsidRDefault="00AB17CA" w:rsidP="005855AA">
            <w:pPr>
              <w:pStyle w:val="Title"/>
            </w:pPr>
            <w:r w:rsidRPr="00AB17CA">
              <w:t>LCHS7006 Component 2</w:t>
            </w:r>
          </w:p>
        </w:tc>
      </w:tr>
      <w:tr w:rsidR="00AB17CA" w:rsidRPr="00AB17CA" w14:paraId="2B661940" w14:textId="77777777" w:rsidTr="00AB17CA">
        <w:tc>
          <w:tcPr>
            <w:tcW w:w="9782" w:type="dxa"/>
            <w:shd w:val="clear" w:color="auto" w:fill="D9E2F3" w:themeFill="accent1" w:themeFillTint="33"/>
          </w:tcPr>
          <w:p w14:paraId="09CA27D0" w14:textId="77777777" w:rsidR="00AB17CA" w:rsidRPr="00AB17CA" w:rsidRDefault="00AB17CA" w:rsidP="005855AA">
            <w:pPr>
              <w:pStyle w:val="Title"/>
            </w:pPr>
            <w:r w:rsidRPr="00AB17CA">
              <w:t>Service Improvement Report</w:t>
            </w:r>
          </w:p>
        </w:tc>
      </w:tr>
      <w:tr w:rsidR="00AB17CA" w:rsidRPr="00AB17CA" w14:paraId="5FA7C887" w14:textId="77777777" w:rsidTr="00AB17CA">
        <w:tc>
          <w:tcPr>
            <w:tcW w:w="9782" w:type="dxa"/>
            <w:shd w:val="clear" w:color="auto" w:fill="D9E2F3" w:themeFill="accent1" w:themeFillTint="33"/>
          </w:tcPr>
          <w:p w14:paraId="06E3790E" w14:textId="77777777" w:rsidR="00AB17CA" w:rsidRPr="00AB17CA" w:rsidRDefault="00AB17CA" w:rsidP="005855AA">
            <w:pPr>
              <w:pStyle w:val="Subtitle"/>
            </w:pPr>
            <w:r w:rsidRPr="00AB17CA">
              <w:t>Shrewsbury and Telford Hospital NHS Trust maternity safety failures</w:t>
            </w:r>
          </w:p>
        </w:tc>
      </w:tr>
    </w:tbl>
    <w:p w14:paraId="3F431908" w14:textId="77777777" w:rsidR="00B84E23" w:rsidRDefault="00B84E23" w:rsidP="00B84E23">
      <w:pPr>
        <w:pStyle w:val="Subtitle"/>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2EFD9" w:themeFill="accent6" w:themeFillTint="33"/>
        <w:tblLook w:val="04A0" w:firstRow="1" w:lastRow="0" w:firstColumn="1" w:lastColumn="0" w:noHBand="0" w:noVBand="1"/>
      </w:tblPr>
      <w:tblGrid>
        <w:gridCol w:w="9782"/>
      </w:tblGrid>
      <w:tr w:rsidR="00AB17CA" w:rsidRPr="00AB17CA" w14:paraId="777BFA8C" w14:textId="77777777" w:rsidTr="00AB17CA">
        <w:tc>
          <w:tcPr>
            <w:tcW w:w="9782" w:type="dxa"/>
            <w:shd w:val="clear" w:color="auto" w:fill="E2EFD9" w:themeFill="accent6" w:themeFillTint="33"/>
          </w:tcPr>
          <w:p w14:paraId="261B1186" w14:textId="77777777" w:rsidR="00AB17CA" w:rsidRPr="00AB17CA" w:rsidRDefault="00AB17CA" w:rsidP="00416E17">
            <w:pPr>
              <w:pStyle w:val="Subtitle"/>
              <w:rPr>
                <w:rFonts w:ascii="Times New Roman" w:hAnsi="Times New Roman" w:cs="Times New Roman"/>
                <w:color w:val="auto"/>
              </w:rPr>
            </w:pPr>
            <w:r w:rsidRPr="00AB17CA">
              <w:rPr>
                <w:rFonts w:ascii="Times New Roman" w:hAnsi="Times New Roman" w:cs="Times New Roman"/>
                <w:color w:val="auto"/>
              </w:rPr>
              <w:t>Student name: Tahia Haque</w:t>
            </w:r>
          </w:p>
        </w:tc>
      </w:tr>
      <w:tr w:rsidR="00AB17CA" w:rsidRPr="00AB17CA" w14:paraId="5ECC598E" w14:textId="77777777" w:rsidTr="00AB17CA">
        <w:tc>
          <w:tcPr>
            <w:tcW w:w="9782" w:type="dxa"/>
            <w:shd w:val="clear" w:color="auto" w:fill="E2EFD9" w:themeFill="accent6" w:themeFillTint="33"/>
          </w:tcPr>
          <w:p w14:paraId="6A47C7E4" w14:textId="77777777" w:rsidR="00AB17CA" w:rsidRPr="00AB17CA" w:rsidRDefault="00AB17CA" w:rsidP="00416E17">
            <w:pPr>
              <w:pStyle w:val="Subtitle"/>
              <w:rPr>
                <w:rFonts w:ascii="Times New Roman" w:hAnsi="Times New Roman" w:cs="Times New Roman"/>
                <w:color w:val="auto"/>
              </w:rPr>
            </w:pPr>
            <w:r w:rsidRPr="00AB17CA">
              <w:rPr>
                <w:rFonts w:ascii="Times New Roman" w:hAnsi="Times New Roman" w:cs="Times New Roman"/>
                <w:color w:val="auto"/>
              </w:rPr>
              <w:t>Student ID: 2513087</w:t>
            </w:r>
          </w:p>
        </w:tc>
      </w:tr>
      <w:tr w:rsidR="00AB17CA" w:rsidRPr="00AB17CA" w14:paraId="3EF3F2B4" w14:textId="77777777" w:rsidTr="00AB17CA">
        <w:tc>
          <w:tcPr>
            <w:tcW w:w="9782" w:type="dxa"/>
            <w:shd w:val="clear" w:color="auto" w:fill="E2EFD9" w:themeFill="accent6" w:themeFillTint="33"/>
          </w:tcPr>
          <w:p w14:paraId="609493B8" w14:textId="77777777" w:rsidR="00AB17CA" w:rsidRPr="00AB17CA" w:rsidRDefault="00AB17CA" w:rsidP="00416E17">
            <w:pPr>
              <w:pStyle w:val="Subtitle"/>
              <w:rPr>
                <w:rFonts w:ascii="Times New Roman" w:hAnsi="Times New Roman" w:cs="Times New Roman"/>
                <w:color w:val="auto"/>
              </w:rPr>
            </w:pPr>
            <w:proofErr w:type="spellStart"/>
            <w:r w:rsidRPr="00AB17CA">
              <w:rPr>
                <w:rFonts w:ascii="Times New Roman" w:hAnsi="Times New Roman" w:cs="Times New Roman"/>
                <w:color w:val="auto"/>
              </w:rPr>
              <w:t>Programme</w:t>
            </w:r>
            <w:proofErr w:type="spellEnd"/>
            <w:r w:rsidRPr="00AB17CA">
              <w:rPr>
                <w:rFonts w:ascii="Times New Roman" w:hAnsi="Times New Roman" w:cs="Times New Roman"/>
                <w:color w:val="auto"/>
              </w:rPr>
              <w:t>: MSc Public Health and Social Care in Practice</w:t>
            </w:r>
          </w:p>
        </w:tc>
      </w:tr>
      <w:tr w:rsidR="00AB17CA" w:rsidRPr="00AB17CA" w14:paraId="76FE3302" w14:textId="77777777" w:rsidTr="00AB17CA">
        <w:tc>
          <w:tcPr>
            <w:tcW w:w="9782" w:type="dxa"/>
            <w:shd w:val="clear" w:color="auto" w:fill="E2EFD9" w:themeFill="accent6" w:themeFillTint="33"/>
          </w:tcPr>
          <w:p w14:paraId="2FB2BCB5" w14:textId="77777777" w:rsidR="00AB17CA" w:rsidRPr="00AB17CA" w:rsidRDefault="00AB17CA" w:rsidP="00416E17">
            <w:pPr>
              <w:pStyle w:val="Subtitle"/>
              <w:rPr>
                <w:rFonts w:ascii="Times New Roman" w:hAnsi="Times New Roman" w:cs="Times New Roman"/>
                <w:color w:val="auto"/>
              </w:rPr>
            </w:pPr>
            <w:r w:rsidRPr="00AB17CA">
              <w:rPr>
                <w:rFonts w:ascii="Times New Roman" w:hAnsi="Times New Roman" w:cs="Times New Roman"/>
                <w:color w:val="auto"/>
              </w:rPr>
              <w:t>Module: Quality Assurance and Service Improvements</w:t>
            </w:r>
          </w:p>
        </w:tc>
      </w:tr>
      <w:tr w:rsidR="00AB17CA" w:rsidRPr="00AB17CA" w14:paraId="0D0BD47D" w14:textId="77777777" w:rsidTr="00AB17CA">
        <w:tc>
          <w:tcPr>
            <w:tcW w:w="9782" w:type="dxa"/>
            <w:shd w:val="clear" w:color="auto" w:fill="E2EFD9" w:themeFill="accent6" w:themeFillTint="33"/>
          </w:tcPr>
          <w:p w14:paraId="10F7C9F7" w14:textId="77777777" w:rsidR="00AB17CA" w:rsidRPr="00AB17CA" w:rsidRDefault="00AB17CA" w:rsidP="00416E17">
            <w:pPr>
              <w:pStyle w:val="Subtitle"/>
              <w:rPr>
                <w:rFonts w:ascii="Times New Roman" w:hAnsi="Times New Roman" w:cs="Times New Roman"/>
                <w:color w:val="auto"/>
              </w:rPr>
            </w:pPr>
            <w:r w:rsidRPr="00AB17CA">
              <w:rPr>
                <w:rFonts w:ascii="Times New Roman" w:hAnsi="Times New Roman" w:cs="Times New Roman"/>
                <w:color w:val="auto"/>
              </w:rPr>
              <w:t>Module code: LCHS7006</w:t>
            </w:r>
          </w:p>
        </w:tc>
      </w:tr>
      <w:tr w:rsidR="00AB17CA" w:rsidRPr="00AB17CA" w14:paraId="43A77810" w14:textId="77777777" w:rsidTr="00AB17CA">
        <w:tc>
          <w:tcPr>
            <w:tcW w:w="9782" w:type="dxa"/>
            <w:shd w:val="clear" w:color="auto" w:fill="E2EFD9" w:themeFill="accent6" w:themeFillTint="33"/>
          </w:tcPr>
          <w:p w14:paraId="19E36507" w14:textId="77777777" w:rsidR="00AB17CA" w:rsidRPr="00AB17CA" w:rsidRDefault="00AB17CA" w:rsidP="00416E17">
            <w:pPr>
              <w:pStyle w:val="Subtitle"/>
              <w:rPr>
                <w:rFonts w:ascii="Times New Roman" w:hAnsi="Times New Roman" w:cs="Times New Roman"/>
                <w:color w:val="auto"/>
              </w:rPr>
            </w:pPr>
            <w:r w:rsidRPr="00AB17CA">
              <w:rPr>
                <w:rFonts w:ascii="Times New Roman" w:hAnsi="Times New Roman" w:cs="Times New Roman"/>
                <w:color w:val="auto"/>
              </w:rPr>
              <w:t>Lecturer: Dr Fahad Khan</w:t>
            </w:r>
          </w:p>
        </w:tc>
      </w:tr>
    </w:tbl>
    <w:p w14:paraId="0D4CFD92" w14:textId="77777777" w:rsidR="00B84E23" w:rsidRDefault="00B84E23" w:rsidP="00B84E23">
      <w:pPr>
        <w:sectPr w:rsidR="00B84E23" w:rsidSect="00B84E23">
          <w:type w:val="continuous"/>
          <w:pgSz w:w="12240" w:h="15840" w:code="1"/>
          <w:pgMar w:top="1152" w:right="1152" w:bottom="1008" w:left="1296" w:header="720" w:footer="720" w:gutter="0"/>
          <w:cols w:space="720"/>
          <w:vAlign w:val="center"/>
          <w:docGrid w:linePitch="360"/>
        </w:sectPr>
      </w:pPr>
    </w:p>
    <w:sdt>
      <w:sdtPr>
        <w:id w:val="456148912"/>
        <w:docPartObj>
          <w:docPartGallery w:val="Table of Contents"/>
          <w:docPartUnique/>
        </w:docPartObj>
      </w:sdtPr>
      <w:sdtEndPr>
        <w:rPr>
          <w:rFonts w:ascii="Times New Roman" w:eastAsia="Arial" w:hAnsi="Times New Roman" w:cstheme="minorBidi"/>
          <w:b/>
          <w:bCs/>
          <w:noProof/>
          <w:color w:val="auto"/>
          <w:sz w:val="24"/>
          <w:szCs w:val="22"/>
        </w:rPr>
      </w:sdtEndPr>
      <w:sdtContent>
        <w:p w14:paraId="5AD580C7" w14:textId="24B2BCA0" w:rsidR="00AB17CA" w:rsidRPr="00AB17CA" w:rsidRDefault="00AB17CA">
          <w:pPr>
            <w:pStyle w:val="TOCHeading"/>
            <w:rPr>
              <w:rFonts w:ascii="Times New Roman" w:hAnsi="Times New Roman" w:cs="Times New Roman"/>
              <w:b/>
              <w:bCs/>
              <w:color w:val="auto"/>
            </w:rPr>
          </w:pPr>
          <w:r w:rsidRPr="00AB17CA">
            <w:rPr>
              <w:rFonts w:ascii="Times New Roman" w:hAnsi="Times New Roman" w:cs="Times New Roman"/>
              <w:b/>
              <w:bCs/>
              <w:color w:val="auto"/>
            </w:rPr>
            <w:t>Table of Contents</w:t>
          </w:r>
        </w:p>
        <w:p w14:paraId="50924D2C" w14:textId="4E4D7507" w:rsidR="00AB17CA" w:rsidRDefault="00AB17CA">
          <w:pPr>
            <w:pStyle w:val="TOC1"/>
            <w:tabs>
              <w:tab w:val="right" w:leader="dot" w:pos="9782"/>
            </w:tabs>
            <w:rPr>
              <w:noProof/>
            </w:rPr>
          </w:pPr>
          <w:r>
            <w:fldChar w:fldCharType="begin"/>
          </w:r>
          <w:r>
            <w:instrText xml:space="preserve"> TOC \o "1-3" \h \z \u </w:instrText>
          </w:r>
          <w:r>
            <w:fldChar w:fldCharType="separate"/>
          </w:r>
          <w:hyperlink w:anchor="_Toc225769219" w:history="1">
            <w:r w:rsidRPr="002E421C">
              <w:rPr>
                <w:rStyle w:val="Hyperlink"/>
                <w:noProof/>
              </w:rPr>
              <w:t>Chapter 1: Introduction</w:t>
            </w:r>
            <w:r>
              <w:rPr>
                <w:noProof/>
                <w:webHidden/>
              </w:rPr>
              <w:tab/>
            </w:r>
            <w:r>
              <w:rPr>
                <w:noProof/>
                <w:webHidden/>
              </w:rPr>
              <w:fldChar w:fldCharType="begin"/>
            </w:r>
            <w:r>
              <w:rPr>
                <w:noProof/>
                <w:webHidden/>
              </w:rPr>
              <w:instrText xml:space="preserve"> PAGEREF _Toc225769219 \h </w:instrText>
            </w:r>
            <w:r>
              <w:rPr>
                <w:noProof/>
                <w:webHidden/>
              </w:rPr>
            </w:r>
            <w:r>
              <w:rPr>
                <w:noProof/>
                <w:webHidden/>
              </w:rPr>
              <w:fldChar w:fldCharType="separate"/>
            </w:r>
            <w:r>
              <w:rPr>
                <w:noProof/>
                <w:webHidden/>
              </w:rPr>
              <w:t>3</w:t>
            </w:r>
            <w:r>
              <w:rPr>
                <w:noProof/>
                <w:webHidden/>
              </w:rPr>
              <w:fldChar w:fldCharType="end"/>
            </w:r>
          </w:hyperlink>
        </w:p>
        <w:p w14:paraId="17A783ED" w14:textId="72E5BEA3" w:rsidR="00AB17CA" w:rsidRDefault="00AB17CA">
          <w:pPr>
            <w:pStyle w:val="TOC1"/>
            <w:tabs>
              <w:tab w:val="right" w:leader="dot" w:pos="9782"/>
            </w:tabs>
            <w:rPr>
              <w:noProof/>
            </w:rPr>
          </w:pPr>
          <w:hyperlink w:anchor="_Toc225769220" w:history="1">
            <w:r w:rsidRPr="002E421C">
              <w:rPr>
                <w:rStyle w:val="Hyperlink"/>
                <w:noProof/>
              </w:rPr>
              <w:t>Chapter 2: Quality assurance and policy context</w:t>
            </w:r>
            <w:r>
              <w:rPr>
                <w:noProof/>
                <w:webHidden/>
              </w:rPr>
              <w:tab/>
            </w:r>
            <w:r>
              <w:rPr>
                <w:noProof/>
                <w:webHidden/>
              </w:rPr>
              <w:fldChar w:fldCharType="begin"/>
            </w:r>
            <w:r>
              <w:rPr>
                <w:noProof/>
                <w:webHidden/>
              </w:rPr>
              <w:instrText xml:space="preserve"> PAGEREF _Toc225769220 \h </w:instrText>
            </w:r>
            <w:r>
              <w:rPr>
                <w:noProof/>
                <w:webHidden/>
              </w:rPr>
            </w:r>
            <w:r>
              <w:rPr>
                <w:noProof/>
                <w:webHidden/>
              </w:rPr>
              <w:fldChar w:fldCharType="separate"/>
            </w:r>
            <w:r>
              <w:rPr>
                <w:noProof/>
                <w:webHidden/>
              </w:rPr>
              <w:t>5</w:t>
            </w:r>
            <w:r>
              <w:rPr>
                <w:noProof/>
                <w:webHidden/>
              </w:rPr>
              <w:fldChar w:fldCharType="end"/>
            </w:r>
          </w:hyperlink>
        </w:p>
        <w:p w14:paraId="107CE701" w14:textId="173053CD" w:rsidR="00AB17CA" w:rsidRDefault="00AB17CA">
          <w:pPr>
            <w:pStyle w:val="TOC1"/>
            <w:tabs>
              <w:tab w:val="right" w:leader="dot" w:pos="9782"/>
            </w:tabs>
            <w:rPr>
              <w:noProof/>
            </w:rPr>
          </w:pPr>
          <w:hyperlink w:anchor="_Toc225769221" w:history="1">
            <w:r w:rsidRPr="002E421C">
              <w:rPr>
                <w:rStyle w:val="Hyperlink"/>
                <w:noProof/>
              </w:rPr>
              <w:t>Chapter 3: Case analysis through the Donabedian model</w:t>
            </w:r>
            <w:r>
              <w:rPr>
                <w:noProof/>
                <w:webHidden/>
              </w:rPr>
              <w:tab/>
            </w:r>
            <w:r>
              <w:rPr>
                <w:noProof/>
                <w:webHidden/>
              </w:rPr>
              <w:fldChar w:fldCharType="begin"/>
            </w:r>
            <w:r>
              <w:rPr>
                <w:noProof/>
                <w:webHidden/>
              </w:rPr>
              <w:instrText xml:space="preserve"> PAGEREF _Toc225769221 \h </w:instrText>
            </w:r>
            <w:r>
              <w:rPr>
                <w:noProof/>
                <w:webHidden/>
              </w:rPr>
            </w:r>
            <w:r>
              <w:rPr>
                <w:noProof/>
                <w:webHidden/>
              </w:rPr>
              <w:fldChar w:fldCharType="separate"/>
            </w:r>
            <w:r>
              <w:rPr>
                <w:noProof/>
                <w:webHidden/>
              </w:rPr>
              <w:t>6</w:t>
            </w:r>
            <w:r>
              <w:rPr>
                <w:noProof/>
                <w:webHidden/>
              </w:rPr>
              <w:fldChar w:fldCharType="end"/>
            </w:r>
          </w:hyperlink>
        </w:p>
        <w:p w14:paraId="22B6C4EB" w14:textId="3A36CFC7" w:rsidR="00AB17CA" w:rsidRDefault="00AB17CA">
          <w:pPr>
            <w:pStyle w:val="TOC1"/>
            <w:tabs>
              <w:tab w:val="right" w:leader="dot" w:pos="9782"/>
            </w:tabs>
            <w:rPr>
              <w:noProof/>
            </w:rPr>
          </w:pPr>
          <w:hyperlink w:anchor="_Toc225769222" w:history="1">
            <w:r w:rsidRPr="002E421C">
              <w:rPr>
                <w:rStyle w:val="Hyperlink"/>
                <w:noProof/>
              </w:rPr>
              <w:t>Chapter 4: Root-cause analysis</w:t>
            </w:r>
            <w:r>
              <w:rPr>
                <w:noProof/>
                <w:webHidden/>
              </w:rPr>
              <w:tab/>
            </w:r>
            <w:r>
              <w:rPr>
                <w:noProof/>
                <w:webHidden/>
              </w:rPr>
              <w:fldChar w:fldCharType="begin"/>
            </w:r>
            <w:r>
              <w:rPr>
                <w:noProof/>
                <w:webHidden/>
              </w:rPr>
              <w:instrText xml:space="preserve"> PAGEREF _Toc225769222 \h </w:instrText>
            </w:r>
            <w:r>
              <w:rPr>
                <w:noProof/>
                <w:webHidden/>
              </w:rPr>
            </w:r>
            <w:r>
              <w:rPr>
                <w:noProof/>
                <w:webHidden/>
              </w:rPr>
              <w:fldChar w:fldCharType="separate"/>
            </w:r>
            <w:r>
              <w:rPr>
                <w:noProof/>
                <w:webHidden/>
              </w:rPr>
              <w:t>8</w:t>
            </w:r>
            <w:r>
              <w:rPr>
                <w:noProof/>
                <w:webHidden/>
              </w:rPr>
              <w:fldChar w:fldCharType="end"/>
            </w:r>
          </w:hyperlink>
        </w:p>
        <w:p w14:paraId="58AD1DA6" w14:textId="6CD622EF" w:rsidR="00AB17CA" w:rsidRDefault="00AB17CA">
          <w:pPr>
            <w:pStyle w:val="TOC2"/>
            <w:tabs>
              <w:tab w:val="right" w:leader="dot" w:pos="9782"/>
            </w:tabs>
            <w:rPr>
              <w:noProof/>
            </w:rPr>
          </w:pPr>
          <w:hyperlink w:anchor="_Toc225769223" w:history="1">
            <w:r w:rsidRPr="002E421C">
              <w:rPr>
                <w:rStyle w:val="Hyperlink"/>
                <w:bCs/>
                <w:noProof/>
              </w:rPr>
              <w:t>4.1.</w:t>
            </w:r>
            <w:r w:rsidRPr="002E421C">
              <w:rPr>
                <w:rStyle w:val="Hyperlink"/>
                <w:noProof/>
              </w:rPr>
              <w:t xml:space="preserve"> Five Whys summary</w:t>
            </w:r>
            <w:r>
              <w:rPr>
                <w:noProof/>
                <w:webHidden/>
              </w:rPr>
              <w:tab/>
            </w:r>
            <w:r>
              <w:rPr>
                <w:noProof/>
                <w:webHidden/>
              </w:rPr>
              <w:fldChar w:fldCharType="begin"/>
            </w:r>
            <w:r>
              <w:rPr>
                <w:noProof/>
                <w:webHidden/>
              </w:rPr>
              <w:instrText xml:space="preserve"> PAGEREF _Toc225769223 \h </w:instrText>
            </w:r>
            <w:r>
              <w:rPr>
                <w:noProof/>
                <w:webHidden/>
              </w:rPr>
            </w:r>
            <w:r>
              <w:rPr>
                <w:noProof/>
                <w:webHidden/>
              </w:rPr>
              <w:fldChar w:fldCharType="separate"/>
            </w:r>
            <w:r>
              <w:rPr>
                <w:noProof/>
                <w:webHidden/>
              </w:rPr>
              <w:t>8</w:t>
            </w:r>
            <w:r>
              <w:rPr>
                <w:noProof/>
                <w:webHidden/>
              </w:rPr>
              <w:fldChar w:fldCharType="end"/>
            </w:r>
          </w:hyperlink>
        </w:p>
        <w:p w14:paraId="04573E94" w14:textId="21CB9728" w:rsidR="00AB17CA" w:rsidRDefault="00AB17CA">
          <w:pPr>
            <w:pStyle w:val="TOC1"/>
            <w:tabs>
              <w:tab w:val="right" w:leader="dot" w:pos="9782"/>
            </w:tabs>
            <w:rPr>
              <w:noProof/>
            </w:rPr>
          </w:pPr>
          <w:hyperlink w:anchor="_Toc225769224" w:history="1">
            <w:r w:rsidRPr="002E421C">
              <w:rPr>
                <w:rStyle w:val="Hyperlink"/>
                <w:noProof/>
              </w:rPr>
              <w:t>Chapter 5: Strategic analysis and benchmarking</w:t>
            </w:r>
            <w:r>
              <w:rPr>
                <w:noProof/>
                <w:webHidden/>
              </w:rPr>
              <w:tab/>
            </w:r>
            <w:r>
              <w:rPr>
                <w:noProof/>
                <w:webHidden/>
              </w:rPr>
              <w:fldChar w:fldCharType="begin"/>
            </w:r>
            <w:r>
              <w:rPr>
                <w:noProof/>
                <w:webHidden/>
              </w:rPr>
              <w:instrText xml:space="preserve"> PAGEREF _Toc225769224 \h </w:instrText>
            </w:r>
            <w:r>
              <w:rPr>
                <w:noProof/>
                <w:webHidden/>
              </w:rPr>
            </w:r>
            <w:r>
              <w:rPr>
                <w:noProof/>
                <w:webHidden/>
              </w:rPr>
              <w:fldChar w:fldCharType="separate"/>
            </w:r>
            <w:r>
              <w:rPr>
                <w:noProof/>
                <w:webHidden/>
              </w:rPr>
              <w:t>10</w:t>
            </w:r>
            <w:r>
              <w:rPr>
                <w:noProof/>
                <w:webHidden/>
              </w:rPr>
              <w:fldChar w:fldCharType="end"/>
            </w:r>
          </w:hyperlink>
        </w:p>
        <w:p w14:paraId="22085C01" w14:textId="3B5E2BF2" w:rsidR="00AB17CA" w:rsidRDefault="00AB17CA">
          <w:pPr>
            <w:pStyle w:val="TOC1"/>
            <w:tabs>
              <w:tab w:val="right" w:leader="dot" w:pos="9782"/>
            </w:tabs>
            <w:rPr>
              <w:noProof/>
            </w:rPr>
          </w:pPr>
          <w:hyperlink w:anchor="_Toc225769225" w:history="1">
            <w:r w:rsidRPr="002E421C">
              <w:rPr>
                <w:rStyle w:val="Hyperlink"/>
                <w:noProof/>
              </w:rPr>
              <w:t>Chapter 6: Recommendations and implementation strategy</w:t>
            </w:r>
            <w:r>
              <w:rPr>
                <w:noProof/>
                <w:webHidden/>
              </w:rPr>
              <w:tab/>
            </w:r>
            <w:r>
              <w:rPr>
                <w:noProof/>
                <w:webHidden/>
              </w:rPr>
              <w:fldChar w:fldCharType="begin"/>
            </w:r>
            <w:r>
              <w:rPr>
                <w:noProof/>
                <w:webHidden/>
              </w:rPr>
              <w:instrText xml:space="preserve"> PAGEREF _Toc225769225 \h </w:instrText>
            </w:r>
            <w:r>
              <w:rPr>
                <w:noProof/>
                <w:webHidden/>
              </w:rPr>
            </w:r>
            <w:r>
              <w:rPr>
                <w:noProof/>
                <w:webHidden/>
              </w:rPr>
              <w:fldChar w:fldCharType="separate"/>
            </w:r>
            <w:r>
              <w:rPr>
                <w:noProof/>
                <w:webHidden/>
              </w:rPr>
              <w:t>12</w:t>
            </w:r>
            <w:r>
              <w:rPr>
                <w:noProof/>
                <w:webHidden/>
              </w:rPr>
              <w:fldChar w:fldCharType="end"/>
            </w:r>
          </w:hyperlink>
        </w:p>
        <w:p w14:paraId="35BE5A98" w14:textId="7D62D0C4" w:rsidR="00AB17CA" w:rsidRDefault="00AB17CA">
          <w:pPr>
            <w:pStyle w:val="TOC1"/>
            <w:tabs>
              <w:tab w:val="right" w:leader="dot" w:pos="9782"/>
            </w:tabs>
            <w:rPr>
              <w:noProof/>
            </w:rPr>
          </w:pPr>
          <w:hyperlink w:anchor="_Toc225769226" w:history="1">
            <w:r w:rsidRPr="002E421C">
              <w:rPr>
                <w:rStyle w:val="Hyperlink"/>
                <w:noProof/>
              </w:rPr>
              <w:t>Chapter 7: Conclusion</w:t>
            </w:r>
            <w:r>
              <w:rPr>
                <w:noProof/>
                <w:webHidden/>
              </w:rPr>
              <w:tab/>
            </w:r>
            <w:r>
              <w:rPr>
                <w:noProof/>
                <w:webHidden/>
              </w:rPr>
              <w:fldChar w:fldCharType="begin"/>
            </w:r>
            <w:r>
              <w:rPr>
                <w:noProof/>
                <w:webHidden/>
              </w:rPr>
              <w:instrText xml:space="preserve"> PAGEREF _Toc225769226 \h </w:instrText>
            </w:r>
            <w:r>
              <w:rPr>
                <w:noProof/>
                <w:webHidden/>
              </w:rPr>
            </w:r>
            <w:r>
              <w:rPr>
                <w:noProof/>
                <w:webHidden/>
              </w:rPr>
              <w:fldChar w:fldCharType="separate"/>
            </w:r>
            <w:r>
              <w:rPr>
                <w:noProof/>
                <w:webHidden/>
              </w:rPr>
              <w:t>15</w:t>
            </w:r>
            <w:r>
              <w:rPr>
                <w:noProof/>
                <w:webHidden/>
              </w:rPr>
              <w:fldChar w:fldCharType="end"/>
            </w:r>
          </w:hyperlink>
        </w:p>
        <w:p w14:paraId="62A656F4" w14:textId="5889C87E" w:rsidR="00AB17CA" w:rsidRDefault="00AB17CA">
          <w:pPr>
            <w:pStyle w:val="TOC1"/>
            <w:tabs>
              <w:tab w:val="right" w:leader="dot" w:pos="9782"/>
            </w:tabs>
            <w:rPr>
              <w:noProof/>
            </w:rPr>
          </w:pPr>
          <w:hyperlink w:anchor="_Toc225769227" w:history="1">
            <w:r w:rsidRPr="002E421C">
              <w:rPr>
                <w:rStyle w:val="Hyperlink"/>
                <w:noProof/>
              </w:rPr>
              <w:t>References</w:t>
            </w:r>
            <w:r>
              <w:rPr>
                <w:noProof/>
                <w:webHidden/>
              </w:rPr>
              <w:tab/>
            </w:r>
            <w:r>
              <w:rPr>
                <w:noProof/>
                <w:webHidden/>
              </w:rPr>
              <w:fldChar w:fldCharType="begin"/>
            </w:r>
            <w:r>
              <w:rPr>
                <w:noProof/>
                <w:webHidden/>
              </w:rPr>
              <w:instrText xml:space="preserve"> PAGEREF _Toc225769227 \h </w:instrText>
            </w:r>
            <w:r>
              <w:rPr>
                <w:noProof/>
                <w:webHidden/>
              </w:rPr>
            </w:r>
            <w:r>
              <w:rPr>
                <w:noProof/>
                <w:webHidden/>
              </w:rPr>
              <w:fldChar w:fldCharType="separate"/>
            </w:r>
            <w:r>
              <w:rPr>
                <w:noProof/>
                <w:webHidden/>
              </w:rPr>
              <w:t>16</w:t>
            </w:r>
            <w:r>
              <w:rPr>
                <w:noProof/>
                <w:webHidden/>
              </w:rPr>
              <w:fldChar w:fldCharType="end"/>
            </w:r>
          </w:hyperlink>
        </w:p>
        <w:p w14:paraId="4BBA3258" w14:textId="38DD8136" w:rsidR="00AB17CA" w:rsidRDefault="00AB17CA">
          <w:r>
            <w:rPr>
              <w:b/>
              <w:bCs/>
              <w:noProof/>
            </w:rPr>
            <w:fldChar w:fldCharType="end"/>
          </w:r>
        </w:p>
      </w:sdtContent>
    </w:sdt>
    <w:p w14:paraId="48B70627" w14:textId="77777777" w:rsidR="00B84E23" w:rsidRDefault="00B84E23" w:rsidP="00B84E23">
      <w:r>
        <w:br w:type="page"/>
      </w:r>
    </w:p>
    <w:p w14:paraId="3073F18B" w14:textId="77777777" w:rsidR="00B84E23" w:rsidRDefault="00B84E23" w:rsidP="00B84E23">
      <w:pPr>
        <w:pStyle w:val="Heading1"/>
      </w:pPr>
      <w:bookmarkStart w:id="0" w:name="_Toc225769219"/>
      <w:r>
        <w:lastRenderedPageBreak/>
        <w:t>Introduction</w:t>
      </w:r>
      <w:bookmarkEnd w:id="0"/>
    </w:p>
    <w:p w14:paraId="7B3EB4DA" w14:textId="77777777" w:rsidR="00B84E23" w:rsidRDefault="00B84E23" w:rsidP="00B84E23">
      <w:r>
        <w:t xml:space="preserve">The high rates of maternity mortality at the Shrewsbury and Telford Hospital NHS Trust have continued over decades and ended with preventable deaths and stillbirths, neonatal harm and traumatic family experiences. </w:t>
      </w:r>
      <w:proofErr w:type="spellStart"/>
      <w:r>
        <w:t>Ockenden</w:t>
      </w:r>
      <w:proofErr w:type="spellEnd"/>
      <w:r>
        <w:t xml:space="preserve"> review concluded that warning signs were systematically present but turned into neither learning nor decisive corrective action on time, which makes the case a significant quality assurance failure instead of a limited incident of bad individual </w:t>
      </w:r>
      <w:proofErr w:type="spellStart"/>
      <w:r>
        <w:t>practise</w:t>
      </w:r>
      <w:proofErr w:type="spellEnd"/>
      <w:r>
        <w:t xml:space="preserve"> (</w:t>
      </w:r>
      <w:proofErr w:type="spellStart"/>
      <w:r>
        <w:t>Ockenden</w:t>
      </w:r>
      <w:proofErr w:type="spellEnd"/>
      <w:r>
        <w:t xml:space="preserve">, 2020; </w:t>
      </w:r>
      <w:proofErr w:type="spellStart"/>
      <w:r>
        <w:t>Ockenden</w:t>
      </w:r>
      <w:proofErr w:type="spellEnd"/>
      <w:r>
        <w:t>, 2022).</w:t>
      </w:r>
    </w:p>
    <w:p w14:paraId="2FAD01E9" w14:textId="77777777" w:rsidR="00B84E23" w:rsidRDefault="00B84E23" w:rsidP="00B84E23">
      <w:r>
        <w:t xml:space="preserve">The gravest of defects included the suboptimal fetal monitoring, deficient timely intensification, insufficient multidisciplinary interaction, restricted executive review and recurrent underrating of danger in the </w:t>
      </w:r>
      <w:proofErr w:type="spellStart"/>
      <w:r>
        <w:t>labour</w:t>
      </w:r>
      <w:proofErr w:type="spellEnd"/>
      <w:r>
        <w:t xml:space="preserve"> and aftercare. Families stated that </w:t>
      </w:r>
      <w:proofErr w:type="spellStart"/>
      <w:r>
        <w:t>organisational</w:t>
      </w:r>
      <w:proofErr w:type="spellEnd"/>
      <w:r>
        <w:t xml:space="preserve"> defensiveness undermined openness and accountability, their concerns were ignored, incident review was not reliable, and their concerns were dismissed. The broader maternity safety literature indicates that damage is frequently caused by interactions between technical inconsistency, staffing pressure, leadership weakness and poor listening systems and not by a single technical error (Liberati et al., 2019; Turner et al., 2021).</w:t>
      </w:r>
    </w:p>
    <w:p w14:paraId="1B2F2515" w14:textId="77777777" w:rsidR="00B84E23" w:rsidRDefault="00B84E23" w:rsidP="00B84E23">
      <w:r>
        <w:t>Structures in the form of ensuring competent staffing and governance, processes that identify deterioration and react promptly, and outcomes that are constantly monitored by complaints, incident data, mortality review and family feedback are needed to guarantee quality assurance in maternity care. The theory by Donabedian is also beneficial as it connects these areas and can be used to understand how failures of the processes become repeated due to structural frailty and result in bad outcomes (Donabedian, 1988; Moore et al., 2015).</w:t>
      </w:r>
    </w:p>
    <w:p w14:paraId="7AAE5D82" w14:textId="77777777" w:rsidR="00B84E23" w:rsidRDefault="00B84E23" w:rsidP="00B84E23">
      <w:r>
        <w:t>The case is significant to service improvement since the Trust was working within a policy context, which already consisted of guidance and external control, but these mechanisms did not safeguard women and babies. The main issue was no lack of standards, but poor assurance, ineffective escalation and a risk-</w:t>
      </w:r>
      <w:proofErr w:type="spellStart"/>
      <w:r>
        <w:t>normalising</w:t>
      </w:r>
      <w:proofErr w:type="spellEnd"/>
      <w:r>
        <w:t xml:space="preserve"> culture. Staffing, learning systems, leadership development and speaking up are now more </w:t>
      </w:r>
      <w:proofErr w:type="spellStart"/>
      <w:r>
        <w:t>prioritised</w:t>
      </w:r>
      <w:proofErr w:type="spellEnd"/>
      <w:r>
        <w:t xml:space="preserve"> in national maternity reform and each of them directly addresses the defects identified by </w:t>
      </w:r>
      <w:proofErr w:type="spellStart"/>
      <w:r>
        <w:t>Ockenden</w:t>
      </w:r>
      <w:proofErr w:type="spellEnd"/>
      <w:r>
        <w:t xml:space="preserve"> (NHS England, 2023a; NHS England, 2023b).</w:t>
      </w:r>
    </w:p>
    <w:p w14:paraId="303F60DB" w14:textId="644FFA33" w:rsidR="00B84E23" w:rsidRDefault="00B84E23" w:rsidP="00B84E23">
      <w:r>
        <w:t xml:space="preserve">Service improvement should then be effective by identifying the location where the system went wrong, differentiating between root causes and symptoms, and creating an implementation plan that can withstand the operational stress. To transform diagnosis into action, the analysis below employs Donabedian model, fishbone analysis, Five Whys, PESTLE and benchmarking. The practical </w:t>
      </w:r>
      <w:r>
        <w:lastRenderedPageBreak/>
        <w:t xml:space="preserve">improvement method is then </w:t>
      </w:r>
      <w:proofErr w:type="spellStart"/>
      <w:r>
        <w:t>utilised</w:t>
      </w:r>
      <w:proofErr w:type="spellEnd"/>
      <w:r>
        <w:t xml:space="preserve"> through PDSA and the eight-step model by Kotter assists with the </w:t>
      </w:r>
      <w:proofErr w:type="spellStart"/>
      <w:r>
        <w:t>organisational</w:t>
      </w:r>
      <w:proofErr w:type="spellEnd"/>
      <w:r>
        <w:t xml:space="preserve"> aspect of change</w:t>
      </w:r>
      <w:r>
        <w:t xml:space="preserve"> </w:t>
      </w:r>
      <w:r>
        <w:t>(Taylor et al., 2014; Harrison et al., 2021).</w:t>
      </w:r>
    </w:p>
    <w:p w14:paraId="0E0CC216" w14:textId="77777777" w:rsidR="00B84E23" w:rsidRDefault="00B84E23">
      <w:pPr>
        <w:spacing w:after="160" w:line="278" w:lineRule="auto"/>
        <w:jc w:val="left"/>
        <w:rPr>
          <w:rFonts w:eastAsiaTheme="majorEastAsia" w:cstheme="majorBidi"/>
          <w:b/>
          <w:sz w:val="32"/>
          <w:szCs w:val="40"/>
        </w:rPr>
      </w:pPr>
      <w:r>
        <w:br w:type="page"/>
      </w:r>
    </w:p>
    <w:p w14:paraId="0A737CCA" w14:textId="7909F519" w:rsidR="00B84E23" w:rsidRDefault="00B84E23" w:rsidP="00B84E23">
      <w:pPr>
        <w:pStyle w:val="Heading1"/>
      </w:pPr>
      <w:bookmarkStart w:id="1" w:name="_Toc225769220"/>
      <w:r>
        <w:lastRenderedPageBreak/>
        <w:t>Quality assurance and policy context</w:t>
      </w:r>
      <w:bookmarkEnd w:id="1"/>
    </w:p>
    <w:p w14:paraId="1F880325" w14:textId="77777777" w:rsidR="00B84E23" w:rsidRDefault="00B84E23" w:rsidP="00B84E23">
      <w:r>
        <w:t xml:space="preserve">Clinical governance of maternity services is intended to make sure that the risks are identified in the early stages, standards are observed, and negative events are used as a learning experience, but not as a repetition. In the case of Shrewsbury and Telford, there was a lack of governance at ward, service and board level. </w:t>
      </w:r>
      <w:proofErr w:type="spellStart"/>
      <w:r>
        <w:t>Ockenden</w:t>
      </w:r>
      <w:proofErr w:type="spellEnd"/>
      <w:r>
        <w:t xml:space="preserve"> outlined perennial issues in </w:t>
      </w:r>
      <w:proofErr w:type="spellStart"/>
      <w:r>
        <w:t>foetal</w:t>
      </w:r>
      <w:proofErr w:type="spellEnd"/>
      <w:r>
        <w:t xml:space="preserve"> surveillance, reaction to harm, examination of misfortunes and alertness to households, whereas broader evidence indicates that patient complaints and staff worries are useful intelligence assets in case </w:t>
      </w:r>
      <w:proofErr w:type="spellStart"/>
      <w:r>
        <w:t>organisations</w:t>
      </w:r>
      <w:proofErr w:type="spellEnd"/>
      <w:r>
        <w:t xml:space="preserve"> are prepared to treat them as safety data rather than reputational risks (Reader et al., 2014; Gillespie and Reader, 2016; </w:t>
      </w:r>
      <w:proofErr w:type="spellStart"/>
      <w:r>
        <w:t>Ockenden</w:t>
      </w:r>
      <w:proofErr w:type="spellEnd"/>
      <w:r>
        <w:t>, 2022).</w:t>
      </w:r>
    </w:p>
    <w:p w14:paraId="3FED7098" w14:textId="77777777" w:rsidR="00B84E23" w:rsidRDefault="00B84E23" w:rsidP="00B84E23">
      <w:r>
        <w:t>The second governance failure was related to culture. Patient safety is a crucial aspect to speak up, whereas staff voice requires psychological safety, observable follow-up, and absence of repercussions. The analysis of the reviews in the field of healthcare demonstrates that silence is supported in case the hierarchy is high, feedback is lacking, and previous issues have not brought any significant change. The same issue is also indicated by maternity-specific evidence, where the power relations, lack of trust and fear of professional repercussions complicate whistleblowing (Okuyama et al., 2014; O'Donovan et al., 2020; Capper et al., 2024).</w:t>
      </w:r>
    </w:p>
    <w:p w14:paraId="79478D0D" w14:textId="41347FEA" w:rsidR="00B84E23" w:rsidRDefault="00B84E23" w:rsidP="00B84E23">
      <w:r>
        <w:t>Since the scandal, policy is now going in a more transparent direction. The three-year delivery plan of NHS England needs more robust staffing management, well-</w:t>
      </w:r>
      <w:proofErr w:type="spellStart"/>
      <w:r>
        <w:t>organised</w:t>
      </w:r>
      <w:proofErr w:type="spellEnd"/>
      <w:r>
        <w:t xml:space="preserve"> escalation pathways, leadership training, learning through PSIRF, and the increased participation of women and families. The arrangements on Freedom to Speak Up and the maternity safety improvement </w:t>
      </w:r>
      <w:proofErr w:type="spellStart"/>
      <w:r>
        <w:t>programmes</w:t>
      </w:r>
      <w:proofErr w:type="spellEnd"/>
      <w:r>
        <w:t xml:space="preserve"> are also indicative that the modern assurance ought to be proactive, information-based, and culturally transparent as opposed to defensive and intermittent</w:t>
      </w:r>
      <w:r>
        <w:t xml:space="preserve"> </w:t>
      </w:r>
      <w:r>
        <w:t>(NHS England, 2022; NHS England, 2023a; National Guardian's Office, 2024).</w:t>
      </w:r>
    </w:p>
    <w:p w14:paraId="4F04DE49" w14:textId="77777777" w:rsidR="00B84E23" w:rsidRDefault="00B84E23">
      <w:pPr>
        <w:spacing w:after="160" w:line="278" w:lineRule="auto"/>
        <w:jc w:val="left"/>
        <w:rPr>
          <w:rFonts w:eastAsiaTheme="majorEastAsia" w:cstheme="majorBidi"/>
          <w:b/>
          <w:sz w:val="32"/>
          <w:szCs w:val="40"/>
        </w:rPr>
      </w:pPr>
      <w:r>
        <w:br w:type="page"/>
      </w:r>
    </w:p>
    <w:p w14:paraId="48FB1A04" w14:textId="4734C8B7" w:rsidR="00B84E23" w:rsidRDefault="00B84E23" w:rsidP="00B84E23">
      <w:pPr>
        <w:pStyle w:val="Heading1"/>
      </w:pPr>
      <w:bookmarkStart w:id="2" w:name="_Toc225769221"/>
      <w:r>
        <w:lastRenderedPageBreak/>
        <w:t>Case analysis through the Donabedian model</w:t>
      </w:r>
      <w:bookmarkEnd w:id="2"/>
    </w:p>
    <w:p w14:paraId="6421F3AD" w14:textId="5400ABD6" w:rsidR="00B84E23" w:rsidRDefault="00B84E23" w:rsidP="00B84E23">
      <w:r w:rsidRPr="00B84E23">
        <w:t xml:space="preserve">The model by Donabedian can be especially handy in this case since it does not allow a shallow interpretation of the scandal as a problem with processes only. The structural inadequacies in staffing, board oversight, training, leadership </w:t>
      </w:r>
      <w:proofErr w:type="spellStart"/>
      <w:r w:rsidRPr="00B84E23">
        <w:t>behaviour</w:t>
      </w:r>
      <w:proofErr w:type="spellEnd"/>
      <w:r w:rsidRPr="00B84E23">
        <w:t xml:space="preserve"> and intelligence systems allowed the repeated failures in </w:t>
      </w:r>
      <w:proofErr w:type="spellStart"/>
      <w:r w:rsidRPr="00B84E23">
        <w:t>foetal</w:t>
      </w:r>
      <w:proofErr w:type="spellEnd"/>
      <w:r w:rsidRPr="00B84E23">
        <w:t xml:space="preserve"> monitoring, escalation and review to be maintained. The visible effects of a deeper structural and cultural malfunction therefore included the outcomes of avoidable deaths, birth injuries, lost trust and years of depression among families</w:t>
      </w:r>
      <w:r>
        <w:t xml:space="preserve"> </w:t>
      </w:r>
      <w:r>
        <w:t xml:space="preserve">(Donabedian, 1988; Mitchell et al., 1998; </w:t>
      </w:r>
      <w:proofErr w:type="spellStart"/>
      <w:r>
        <w:t>Ockenden</w:t>
      </w:r>
      <w:proofErr w:type="spellEnd"/>
      <w:r>
        <w:t>, 2022).</w:t>
      </w:r>
    </w:p>
    <w:p w14:paraId="058E2717" w14:textId="77777777" w:rsidR="00B84E23" w:rsidRDefault="00B84E23" w:rsidP="00B84E23">
      <w:r w:rsidRPr="00B84E23">
        <w:rPr>
          <w:b/>
          <w:bCs/>
        </w:rPr>
        <w:t>Table 1.</w:t>
      </w:r>
      <w:r>
        <w:t xml:space="preserve"> Donabedian diagnosis of the main quality failures</w:t>
      </w:r>
    </w:p>
    <w:tbl>
      <w:tblPr>
        <w:tblStyle w:val="GridTable3-Accent3"/>
        <w:tblW w:w="0" w:type="auto"/>
        <w:tblLook w:val="04A0" w:firstRow="1" w:lastRow="0" w:firstColumn="1" w:lastColumn="0" w:noHBand="0" w:noVBand="1"/>
      </w:tblPr>
      <w:tblGrid>
        <w:gridCol w:w="1365"/>
        <w:gridCol w:w="3405"/>
        <w:gridCol w:w="2520"/>
        <w:gridCol w:w="2502"/>
      </w:tblGrid>
      <w:tr w:rsidR="00B84E23" w:rsidRPr="00B84E23" w14:paraId="30F67A3A" w14:textId="77777777" w:rsidTr="00B84E2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65" w:type="dxa"/>
          </w:tcPr>
          <w:p w14:paraId="397E5EC5" w14:textId="77777777" w:rsidR="00B84E23" w:rsidRPr="00B84E23" w:rsidRDefault="00B84E23" w:rsidP="00B84E23">
            <w:pPr>
              <w:jc w:val="center"/>
              <w:rPr>
                <w:szCs w:val="24"/>
              </w:rPr>
            </w:pPr>
            <w:r w:rsidRPr="00B84E23">
              <w:rPr>
                <w:szCs w:val="24"/>
              </w:rPr>
              <w:t>Domain</w:t>
            </w:r>
          </w:p>
        </w:tc>
        <w:tc>
          <w:tcPr>
            <w:tcW w:w="3405" w:type="dxa"/>
          </w:tcPr>
          <w:p w14:paraId="400674FF" w14:textId="77777777" w:rsidR="00B84E23" w:rsidRPr="00B84E23" w:rsidRDefault="00B84E23" w:rsidP="00B84E23">
            <w:pPr>
              <w:jc w:val="center"/>
              <w:cnfStyle w:val="100000000000" w:firstRow="1" w:lastRow="0" w:firstColumn="0" w:lastColumn="0" w:oddVBand="0" w:evenVBand="0" w:oddHBand="0" w:evenHBand="0" w:firstRowFirstColumn="0" w:firstRowLastColumn="0" w:lastRowFirstColumn="0" w:lastRowLastColumn="0"/>
              <w:rPr>
                <w:szCs w:val="24"/>
              </w:rPr>
            </w:pPr>
            <w:r w:rsidRPr="00B84E23">
              <w:rPr>
                <w:szCs w:val="24"/>
              </w:rPr>
              <w:t>Key weaknesses</w:t>
            </w:r>
          </w:p>
        </w:tc>
        <w:tc>
          <w:tcPr>
            <w:tcW w:w="2520" w:type="dxa"/>
          </w:tcPr>
          <w:p w14:paraId="52C334C6" w14:textId="77777777" w:rsidR="00B84E23" w:rsidRPr="00B84E23" w:rsidRDefault="00B84E23" w:rsidP="00B84E23">
            <w:pPr>
              <w:jc w:val="center"/>
              <w:cnfStyle w:val="100000000000" w:firstRow="1" w:lastRow="0" w:firstColumn="0" w:lastColumn="0" w:oddVBand="0" w:evenVBand="0" w:oddHBand="0" w:evenHBand="0" w:firstRowFirstColumn="0" w:firstRowLastColumn="0" w:lastRowFirstColumn="0" w:lastRowLastColumn="0"/>
              <w:rPr>
                <w:szCs w:val="24"/>
              </w:rPr>
            </w:pPr>
            <w:r w:rsidRPr="00B84E23">
              <w:rPr>
                <w:szCs w:val="24"/>
              </w:rPr>
              <w:t>Impact on safety</w:t>
            </w:r>
          </w:p>
        </w:tc>
        <w:tc>
          <w:tcPr>
            <w:tcW w:w="2502" w:type="dxa"/>
          </w:tcPr>
          <w:p w14:paraId="25CC7D7A" w14:textId="77777777" w:rsidR="00B84E23" w:rsidRPr="00B84E23" w:rsidRDefault="00B84E23" w:rsidP="00B84E23">
            <w:pPr>
              <w:jc w:val="center"/>
              <w:cnfStyle w:val="100000000000" w:firstRow="1" w:lastRow="0" w:firstColumn="0" w:lastColumn="0" w:oddVBand="0" w:evenVBand="0" w:oddHBand="0" w:evenHBand="0" w:firstRowFirstColumn="0" w:firstRowLastColumn="0" w:lastRowFirstColumn="0" w:lastRowLastColumn="0"/>
              <w:rPr>
                <w:szCs w:val="24"/>
              </w:rPr>
            </w:pPr>
            <w:r w:rsidRPr="00B84E23">
              <w:rPr>
                <w:szCs w:val="24"/>
              </w:rPr>
              <w:t>Illustrative evidence</w:t>
            </w:r>
          </w:p>
        </w:tc>
      </w:tr>
      <w:tr w:rsidR="00B84E23" w:rsidRPr="00B84E23" w14:paraId="42AA3EFF" w14:textId="77777777" w:rsidTr="00B84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5" w:type="dxa"/>
          </w:tcPr>
          <w:p w14:paraId="7ABBD2CA" w14:textId="77777777" w:rsidR="00B84E23" w:rsidRPr="00B84E23" w:rsidRDefault="00B84E23" w:rsidP="00B84E23">
            <w:pPr>
              <w:rPr>
                <w:b/>
                <w:bCs/>
                <w:szCs w:val="24"/>
              </w:rPr>
            </w:pPr>
            <w:r w:rsidRPr="00B84E23">
              <w:rPr>
                <w:b/>
                <w:bCs/>
                <w:szCs w:val="24"/>
              </w:rPr>
              <w:t>Structure</w:t>
            </w:r>
          </w:p>
        </w:tc>
        <w:tc>
          <w:tcPr>
            <w:tcW w:w="3405" w:type="dxa"/>
          </w:tcPr>
          <w:p w14:paraId="129299C7"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Insufficient staffing resilience, weak CTG competence assurance, poor board scrutiny, fragile learning infrastructure</w:t>
            </w:r>
          </w:p>
        </w:tc>
        <w:tc>
          <w:tcPr>
            <w:tcW w:w="2520" w:type="dxa"/>
          </w:tcPr>
          <w:p w14:paraId="1D222DA7"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Raised exposure to missed deterioration, delayed review and repeated unsafe practice</w:t>
            </w:r>
          </w:p>
        </w:tc>
        <w:tc>
          <w:tcPr>
            <w:tcW w:w="2502" w:type="dxa"/>
          </w:tcPr>
          <w:p w14:paraId="433E28A6"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proofErr w:type="spellStart"/>
            <w:r w:rsidRPr="00B84E23">
              <w:rPr>
                <w:szCs w:val="24"/>
              </w:rPr>
              <w:t>Ockenden</w:t>
            </w:r>
            <w:proofErr w:type="spellEnd"/>
            <w:r w:rsidRPr="00B84E23">
              <w:rPr>
                <w:szCs w:val="24"/>
              </w:rPr>
              <w:t xml:space="preserve"> (2022); Turner et al. (2021); NHS England (2023a)</w:t>
            </w:r>
          </w:p>
        </w:tc>
      </w:tr>
      <w:tr w:rsidR="00B84E23" w:rsidRPr="00B84E23" w14:paraId="16ED6331" w14:textId="77777777" w:rsidTr="00B84E23">
        <w:tc>
          <w:tcPr>
            <w:cnfStyle w:val="001000000000" w:firstRow="0" w:lastRow="0" w:firstColumn="1" w:lastColumn="0" w:oddVBand="0" w:evenVBand="0" w:oddHBand="0" w:evenHBand="0" w:firstRowFirstColumn="0" w:firstRowLastColumn="0" w:lastRowFirstColumn="0" w:lastRowLastColumn="0"/>
            <w:tcW w:w="1365" w:type="dxa"/>
          </w:tcPr>
          <w:p w14:paraId="183F9C8C" w14:textId="77777777" w:rsidR="00B84E23" w:rsidRPr="00B84E23" w:rsidRDefault="00B84E23" w:rsidP="00B84E23">
            <w:pPr>
              <w:rPr>
                <w:b/>
                <w:bCs/>
                <w:szCs w:val="24"/>
              </w:rPr>
            </w:pPr>
            <w:r w:rsidRPr="00B84E23">
              <w:rPr>
                <w:b/>
                <w:bCs/>
                <w:szCs w:val="24"/>
              </w:rPr>
              <w:t>Process</w:t>
            </w:r>
          </w:p>
        </w:tc>
        <w:tc>
          <w:tcPr>
            <w:tcW w:w="3405" w:type="dxa"/>
          </w:tcPr>
          <w:p w14:paraId="5B656D84" w14:textId="77777777" w:rsidR="00B84E23" w:rsidRPr="00B84E23" w:rsidRDefault="00B84E23" w:rsidP="00B84E23">
            <w:pPr>
              <w:cnfStyle w:val="000000000000" w:firstRow="0" w:lastRow="0" w:firstColumn="0" w:lastColumn="0" w:oddVBand="0" w:evenVBand="0" w:oddHBand="0" w:evenHBand="0" w:firstRowFirstColumn="0" w:firstRowLastColumn="0" w:lastRowFirstColumn="0" w:lastRowLastColumn="0"/>
              <w:rPr>
                <w:szCs w:val="24"/>
              </w:rPr>
            </w:pPr>
            <w:r w:rsidRPr="00B84E23">
              <w:rPr>
                <w:szCs w:val="24"/>
              </w:rPr>
              <w:t>Inconsistent fetal surveillance, delayed escalation, poor multidisciplinary communication, weak incident investigation, complaint data underused</w:t>
            </w:r>
          </w:p>
        </w:tc>
        <w:tc>
          <w:tcPr>
            <w:tcW w:w="2520" w:type="dxa"/>
          </w:tcPr>
          <w:p w14:paraId="5D2745CE" w14:textId="77777777" w:rsidR="00B84E23" w:rsidRPr="00B84E23" w:rsidRDefault="00B84E23" w:rsidP="00B84E23">
            <w:pPr>
              <w:cnfStyle w:val="000000000000" w:firstRow="0" w:lastRow="0" w:firstColumn="0" w:lastColumn="0" w:oddVBand="0" w:evenVBand="0" w:oddHBand="0" w:evenHBand="0" w:firstRowFirstColumn="0" w:firstRowLastColumn="0" w:lastRowFirstColumn="0" w:lastRowLastColumn="0"/>
              <w:rPr>
                <w:szCs w:val="24"/>
              </w:rPr>
            </w:pPr>
            <w:r w:rsidRPr="00B84E23">
              <w:rPr>
                <w:szCs w:val="24"/>
              </w:rPr>
              <w:t xml:space="preserve">Warnings not translated into timely action or </w:t>
            </w:r>
            <w:proofErr w:type="spellStart"/>
            <w:r w:rsidRPr="00B84E23">
              <w:rPr>
                <w:szCs w:val="24"/>
              </w:rPr>
              <w:t>organisational</w:t>
            </w:r>
            <w:proofErr w:type="spellEnd"/>
            <w:r w:rsidRPr="00B84E23">
              <w:rPr>
                <w:szCs w:val="24"/>
              </w:rPr>
              <w:t xml:space="preserve"> learning</w:t>
            </w:r>
          </w:p>
        </w:tc>
        <w:tc>
          <w:tcPr>
            <w:tcW w:w="2502" w:type="dxa"/>
          </w:tcPr>
          <w:p w14:paraId="46ADDC68" w14:textId="77777777" w:rsidR="00B84E23" w:rsidRPr="00B84E23" w:rsidRDefault="00B84E23" w:rsidP="00B84E23">
            <w:pPr>
              <w:cnfStyle w:val="000000000000" w:firstRow="0" w:lastRow="0" w:firstColumn="0" w:lastColumn="0" w:oddVBand="0" w:evenVBand="0" w:oddHBand="0" w:evenHBand="0" w:firstRowFirstColumn="0" w:firstRowLastColumn="0" w:lastRowFirstColumn="0" w:lastRowLastColumn="0"/>
              <w:rPr>
                <w:szCs w:val="24"/>
              </w:rPr>
            </w:pPr>
            <w:r w:rsidRPr="00B84E23">
              <w:rPr>
                <w:szCs w:val="24"/>
              </w:rPr>
              <w:t xml:space="preserve">Gillespie and Reader (2016); Cheshire et al. (2021); </w:t>
            </w:r>
            <w:proofErr w:type="spellStart"/>
            <w:r w:rsidRPr="00B84E23">
              <w:rPr>
                <w:szCs w:val="24"/>
              </w:rPr>
              <w:t>Ockenden</w:t>
            </w:r>
            <w:proofErr w:type="spellEnd"/>
            <w:r w:rsidRPr="00B84E23">
              <w:rPr>
                <w:szCs w:val="24"/>
              </w:rPr>
              <w:t xml:space="preserve"> (2022)</w:t>
            </w:r>
          </w:p>
        </w:tc>
      </w:tr>
      <w:tr w:rsidR="00B84E23" w:rsidRPr="00B84E23" w14:paraId="1BCCF0C2" w14:textId="77777777" w:rsidTr="00B84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5" w:type="dxa"/>
          </w:tcPr>
          <w:p w14:paraId="2C030760" w14:textId="77777777" w:rsidR="00B84E23" w:rsidRPr="00B84E23" w:rsidRDefault="00B84E23" w:rsidP="00B84E23">
            <w:pPr>
              <w:rPr>
                <w:b/>
                <w:bCs/>
                <w:szCs w:val="24"/>
              </w:rPr>
            </w:pPr>
            <w:r w:rsidRPr="00B84E23">
              <w:rPr>
                <w:b/>
                <w:bCs/>
                <w:szCs w:val="24"/>
              </w:rPr>
              <w:t>Outcomes</w:t>
            </w:r>
          </w:p>
        </w:tc>
        <w:tc>
          <w:tcPr>
            <w:tcW w:w="3405" w:type="dxa"/>
          </w:tcPr>
          <w:p w14:paraId="0B3EA6AD"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Preventable deaths and injuries, traumatic family experience, low trust, weak staff confidence in voice and learning</w:t>
            </w:r>
          </w:p>
        </w:tc>
        <w:tc>
          <w:tcPr>
            <w:tcW w:w="2520" w:type="dxa"/>
          </w:tcPr>
          <w:p w14:paraId="7D8CE22E"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 xml:space="preserve">Visible harm persisted while the </w:t>
            </w:r>
            <w:proofErr w:type="spellStart"/>
            <w:r w:rsidRPr="00B84E23">
              <w:rPr>
                <w:szCs w:val="24"/>
              </w:rPr>
              <w:t>organisation</w:t>
            </w:r>
            <w:proofErr w:type="spellEnd"/>
            <w:r w:rsidRPr="00B84E23">
              <w:rPr>
                <w:szCs w:val="24"/>
              </w:rPr>
              <w:t xml:space="preserve"> reassured itself that controls were adequate</w:t>
            </w:r>
          </w:p>
        </w:tc>
        <w:tc>
          <w:tcPr>
            <w:tcW w:w="2502" w:type="dxa"/>
          </w:tcPr>
          <w:p w14:paraId="20CE0CC7"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 xml:space="preserve">Reader et al. (2014); O'Donovan et al. (2020); </w:t>
            </w:r>
            <w:proofErr w:type="spellStart"/>
            <w:r w:rsidRPr="00B84E23">
              <w:rPr>
                <w:szCs w:val="24"/>
              </w:rPr>
              <w:t>Ockenden</w:t>
            </w:r>
            <w:proofErr w:type="spellEnd"/>
            <w:r w:rsidRPr="00B84E23">
              <w:rPr>
                <w:szCs w:val="24"/>
              </w:rPr>
              <w:t xml:space="preserve"> (2022)</w:t>
            </w:r>
          </w:p>
        </w:tc>
      </w:tr>
    </w:tbl>
    <w:p w14:paraId="203CFA60" w14:textId="77777777" w:rsidR="00B84E23" w:rsidRPr="00B84E23" w:rsidRDefault="00B84E23" w:rsidP="00B84E23">
      <w:pPr>
        <w:rPr>
          <w:i/>
          <w:iCs/>
        </w:rPr>
      </w:pPr>
      <w:r w:rsidRPr="00B84E23">
        <w:rPr>
          <w:i/>
          <w:iCs/>
        </w:rPr>
        <w:t xml:space="preserve">Source: developed from </w:t>
      </w:r>
      <w:proofErr w:type="spellStart"/>
      <w:r w:rsidRPr="00B84E23">
        <w:rPr>
          <w:i/>
          <w:iCs/>
        </w:rPr>
        <w:t>Ockenden</w:t>
      </w:r>
      <w:proofErr w:type="spellEnd"/>
      <w:r w:rsidRPr="00B84E23">
        <w:rPr>
          <w:i/>
          <w:iCs/>
        </w:rPr>
        <w:t xml:space="preserve"> (2022), NHS England (2023a) and the wider literature cited in the table.</w:t>
      </w:r>
    </w:p>
    <w:p w14:paraId="1B4CFE06" w14:textId="77777777" w:rsidR="00B84E23" w:rsidRDefault="00B84E23" w:rsidP="00B84E23">
      <w:r>
        <w:t xml:space="preserve">The areas of weaknesses were most apparent in the capacity of workforce, skills assurance and accountability. The Trust failed to consistently contract safe maternity care, such as adequate specialist cover, consistent CTG competence and effective board challenge. The literature of staffing in maternity services demonstrates that a shortage and workload pressure may compromise surveillance, </w:t>
      </w:r>
      <w:r>
        <w:lastRenderedPageBreak/>
        <w:t>communication and escalation, which makes the quality of workforce an assurance concern, but not merely a resource issue (Sandall et al., 2014; Turner et al., 2021; Creswell et al., 2023).</w:t>
      </w:r>
    </w:p>
    <w:p w14:paraId="73B9F468" w14:textId="77777777" w:rsidR="00B84E23" w:rsidRDefault="00B84E23" w:rsidP="00B84E23">
      <w:r>
        <w:t xml:space="preserve">Weaknesses in the processes were at the </w:t>
      </w:r>
      <w:proofErr w:type="spellStart"/>
      <w:r>
        <w:t>centre</w:t>
      </w:r>
      <w:proofErr w:type="spellEnd"/>
      <w:r>
        <w:t xml:space="preserve"> of daily malaise. Abnormal signs were not consistently identified and responded to promptly, multidisciplinary working was not always consistent, incidences were not inquired of in a strong manner and complaints were not always successful in changing the </w:t>
      </w:r>
      <w:proofErr w:type="spellStart"/>
      <w:r>
        <w:t>practise</w:t>
      </w:r>
      <w:proofErr w:type="spellEnd"/>
      <w:r>
        <w:t>. The early warning and escalation literature demonstrates that the difference in the escalation thresholds and the poor quality of protocols may result in the delayed detection and suboptimal response, particularly when the teams are overstretched or hesitant to question each other (Bick et al., 2014; Quinn et al., 2016; Cheshire et al., 2021).</w:t>
      </w:r>
    </w:p>
    <w:p w14:paraId="02372555" w14:textId="656CC391" w:rsidR="00B84E23" w:rsidRDefault="00B84E23" w:rsidP="00B84E23">
      <w:r>
        <w:t>Outcome failure had gone further than death and injury. Dignity, trust, family confidence, learning closure and willingness of staff to raise concern would also be monitored by a mature quality assurance system. Donabedian hence endorses a wider meaning of quality where humane care, safety culture and learning reliability are all acceptable results of service performance (Donabedian, 1988; Liberati et al., 2019).</w:t>
      </w:r>
    </w:p>
    <w:p w14:paraId="4A051919" w14:textId="77777777" w:rsidR="00B84E23" w:rsidRDefault="00B84E23">
      <w:pPr>
        <w:spacing w:after="160" w:line="278" w:lineRule="auto"/>
        <w:jc w:val="left"/>
        <w:rPr>
          <w:rFonts w:eastAsiaTheme="majorEastAsia" w:cstheme="majorBidi"/>
          <w:b/>
          <w:sz w:val="32"/>
          <w:szCs w:val="40"/>
        </w:rPr>
      </w:pPr>
      <w:r>
        <w:br w:type="page"/>
      </w:r>
    </w:p>
    <w:p w14:paraId="189FE9AD" w14:textId="5317903B" w:rsidR="00B84E23" w:rsidRDefault="00B84E23" w:rsidP="00B84E23">
      <w:pPr>
        <w:pStyle w:val="Heading1"/>
      </w:pPr>
      <w:bookmarkStart w:id="3" w:name="_Toc225769222"/>
      <w:r>
        <w:lastRenderedPageBreak/>
        <w:t>Root-cause analysis</w:t>
      </w:r>
      <w:bookmarkEnd w:id="3"/>
    </w:p>
    <w:p w14:paraId="49D44361" w14:textId="1F034577" w:rsidR="00B84E23" w:rsidRDefault="00B84E23" w:rsidP="00B84E23">
      <w:r w:rsidRPr="00B84E23">
        <w:t xml:space="preserve">The fishbone analysis aids in the </w:t>
      </w:r>
      <w:proofErr w:type="spellStart"/>
      <w:r w:rsidRPr="00B84E23">
        <w:t>categorisation</w:t>
      </w:r>
      <w:proofErr w:type="spellEnd"/>
      <w:r w:rsidRPr="00B84E23">
        <w:t xml:space="preserve"> of the key drivers of failure into interactive groups and not as independent events. The control branches are in this case the leadership and governance, the workforce and competence, the culture and speaking up, the processes and escalation, the measurement and learning and the external or operational pressure. Figure 1 demonstrates that convergence generated avoidable harm in all the six domains, and not only by a single lapse. This trend is in line with facts that patient safety learning systems are undermined in those </w:t>
      </w:r>
      <w:proofErr w:type="spellStart"/>
      <w:r w:rsidRPr="00B84E23">
        <w:t>organisations</w:t>
      </w:r>
      <w:proofErr w:type="spellEnd"/>
      <w:r w:rsidRPr="00B84E23">
        <w:t xml:space="preserve"> that do not train, do not have feedback loops, leaders do not model and the </w:t>
      </w:r>
      <w:proofErr w:type="spellStart"/>
      <w:r w:rsidRPr="00B84E23">
        <w:t>organisation</w:t>
      </w:r>
      <w:proofErr w:type="spellEnd"/>
      <w:r w:rsidRPr="00B84E23">
        <w:t xml:space="preserve"> does not follow through once the incidents are reported</w:t>
      </w:r>
      <w:r>
        <w:t xml:space="preserve"> </w:t>
      </w:r>
      <w:r>
        <w:t>(Mahmoud et al., 2023).</w:t>
      </w:r>
    </w:p>
    <w:p w14:paraId="2CE5F92F" w14:textId="40A0C2FA" w:rsidR="00B84E23" w:rsidRDefault="00B84E23" w:rsidP="00B84E23">
      <w:pPr>
        <w:jc w:val="center"/>
      </w:pPr>
      <w:r w:rsidRPr="00DA75D3">
        <w:drawing>
          <wp:inline distT="0" distB="0" distL="0" distR="0" wp14:anchorId="591660DA" wp14:editId="4A8E7E0F">
            <wp:extent cx="6252199" cy="3733800"/>
            <wp:effectExtent l="0" t="0" r="0" b="0"/>
            <wp:docPr id="8252526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l="6281" t="14297" r="6250" b="16054"/>
                    <a:stretch>
                      <a:fillRect/>
                    </a:stretch>
                  </pic:blipFill>
                  <pic:spPr bwMode="auto">
                    <a:xfrm>
                      <a:off x="0" y="0"/>
                      <a:ext cx="6259948" cy="3738428"/>
                    </a:xfrm>
                    <a:prstGeom prst="rect">
                      <a:avLst/>
                    </a:prstGeom>
                    <a:noFill/>
                    <a:ln>
                      <a:noFill/>
                    </a:ln>
                    <a:extLst>
                      <a:ext uri="{53640926-AAD7-44D8-BBD7-CCE9431645EC}">
                        <a14:shadowObscured xmlns:a14="http://schemas.microsoft.com/office/drawing/2010/main"/>
                      </a:ext>
                    </a:extLst>
                  </pic:spPr>
                </pic:pic>
              </a:graphicData>
            </a:graphic>
          </wp:inline>
        </w:drawing>
      </w:r>
    </w:p>
    <w:p w14:paraId="32995ADC" w14:textId="29790A57" w:rsidR="00B84E23" w:rsidRPr="00B84E23" w:rsidRDefault="00B84E23" w:rsidP="00B84E23">
      <w:pPr>
        <w:jc w:val="center"/>
        <w:rPr>
          <w:i/>
          <w:iCs/>
          <w:sz w:val="22"/>
          <w:szCs w:val="20"/>
        </w:rPr>
      </w:pPr>
      <w:r w:rsidRPr="00B84E23">
        <w:rPr>
          <w:i/>
          <w:iCs/>
          <w:sz w:val="22"/>
          <w:szCs w:val="20"/>
        </w:rPr>
        <w:t>Figure 1. Fishbone analysis of the main root causes</w:t>
      </w:r>
    </w:p>
    <w:p w14:paraId="403F6557" w14:textId="77777777" w:rsidR="00B84E23" w:rsidRPr="00B84E23" w:rsidRDefault="00B84E23" w:rsidP="00B84E23">
      <w:pPr>
        <w:jc w:val="center"/>
        <w:rPr>
          <w:i/>
          <w:iCs/>
        </w:rPr>
      </w:pPr>
      <w:r w:rsidRPr="00B84E23">
        <w:rPr>
          <w:i/>
          <w:iCs/>
        </w:rPr>
        <w:t xml:space="preserve">Source: developed from </w:t>
      </w:r>
      <w:proofErr w:type="spellStart"/>
      <w:r w:rsidRPr="00B84E23">
        <w:rPr>
          <w:i/>
          <w:iCs/>
        </w:rPr>
        <w:t>Ockenden</w:t>
      </w:r>
      <w:proofErr w:type="spellEnd"/>
      <w:r w:rsidRPr="00B84E23">
        <w:rPr>
          <w:i/>
          <w:iCs/>
        </w:rPr>
        <w:t xml:space="preserve"> (2020, 2022), Gillespie and Reader (2016), Liberati et al. (2019) and NHS England (2023a).</w:t>
      </w:r>
    </w:p>
    <w:p w14:paraId="5B1F9604" w14:textId="77777777" w:rsidR="00B84E23" w:rsidRPr="00B84E23" w:rsidRDefault="00B84E23" w:rsidP="00B84E23">
      <w:pPr>
        <w:pStyle w:val="Heading2"/>
        <w:rPr>
          <w:bCs/>
        </w:rPr>
      </w:pPr>
      <w:bookmarkStart w:id="4" w:name="_Toc225769223"/>
      <w:r>
        <w:t>Five Whys summary</w:t>
      </w:r>
      <w:bookmarkEnd w:id="4"/>
    </w:p>
    <w:tbl>
      <w:tblPr>
        <w:tblStyle w:val="PlainTable2"/>
        <w:tblW w:w="0" w:type="auto"/>
        <w:tblBorders>
          <w:insideH w:val="single" w:sz="4" w:space="0" w:color="auto"/>
          <w:insideV w:val="single" w:sz="4" w:space="0" w:color="auto"/>
        </w:tblBorders>
        <w:tblLook w:val="04A0" w:firstRow="1" w:lastRow="0" w:firstColumn="1" w:lastColumn="0" w:noHBand="0" w:noVBand="1"/>
      </w:tblPr>
      <w:tblGrid>
        <w:gridCol w:w="3168"/>
        <w:gridCol w:w="6552"/>
      </w:tblGrid>
      <w:tr w:rsidR="00B84E23" w:rsidRPr="00B84E23" w14:paraId="40FCC616" w14:textId="77777777" w:rsidTr="00561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Borders>
              <w:bottom w:val="none" w:sz="0" w:space="0" w:color="auto"/>
            </w:tcBorders>
          </w:tcPr>
          <w:p w14:paraId="65CB085E" w14:textId="77777777" w:rsidR="00B84E23" w:rsidRPr="00B84E23" w:rsidRDefault="00B84E23" w:rsidP="00B84E23">
            <w:pPr>
              <w:jc w:val="center"/>
              <w:rPr>
                <w:szCs w:val="24"/>
              </w:rPr>
            </w:pPr>
            <w:r w:rsidRPr="00B84E23">
              <w:rPr>
                <w:szCs w:val="24"/>
              </w:rPr>
              <w:t>Why?</w:t>
            </w:r>
          </w:p>
        </w:tc>
        <w:tc>
          <w:tcPr>
            <w:tcW w:w="6552" w:type="dxa"/>
            <w:tcBorders>
              <w:bottom w:val="none" w:sz="0" w:space="0" w:color="auto"/>
            </w:tcBorders>
          </w:tcPr>
          <w:p w14:paraId="390CF416" w14:textId="77777777" w:rsidR="00B84E23" w:rsidRPr="00B84E23" w:rsidRDefault="00B84E23" w:rsidP="00B84E23">
            <w:pPr>
              <w:jc w:val="center"/>
              <w:cnfStyle w:val="100000000000" w:firstRow="1" w:lastRow="0" w:firstColumn="0" w:lastColumn="0" w:oddVBand="0" w:evenVBand="0" w:oddHBand="0" w:evenHBand="0" w:firstRowFirstColumn="0" w:firstRowLastColumn="0" w:lastRowFirstColumn="0" w:lastRowLastColumn="0"/>
              <w:rPr>
                <w:szCs w:val="24"/>
              </w:rPr>
            </w:pPr>
            <w:r w:rsidRPr="00B84E23">
              <w:rPr>
                <w:szCs w:val="24"/>
              </w:rPr>
              <w:t>Answer</w:t>
            </w:r>
          </w:p>
        </w:tc>
      </w:tr>
      <w:tr w:rsidR="00B84E23" w:rsidRPr="00B84E23" w14:paraId="4A72EA9F" w14:textId="77777777" w:rsidTr="00561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Borders>
              <w:top w:val="none" w:sz="0" w:space="0" w:color="auto"/>
              <w:bottom w:val="none" w:sz="0" w:space="0" w:color="auto"/>
            </w:tcBorders>
          </w:tcPr>
          <w:p w14:paraId="3C480885" w14:textId="77777777" w:rsidR="00B84E23" w:rsidRPr="00B84E23" w:rsidRDefault="00B84E23" w:rsidP="00B84E23">
            <w:pPr>
              <w:rPr>
                <w:szCs w:val="24"/>
              </w:rPr>
            </w:pPr>
            <w:r w:rsidRPr="00B84E23">
              <w:rPr>
                <w:szCs w:val="24"/>
              </w:rPr>
              <w:lastRenderedPageBreak/>
              <w:t>Why was fetal compromise not acted on in time?</w:t>
            </w:r>
          </w:p>
        </w:tc>
        <w:tc>
          <w:tcPr>
            <w:tcW w:w="6552" w:type="dxa"/>
            <w:tcBorders>
              <w:top w:val="none" w:sz="0" w:space="0" w:color="auto"/>
              <w:bottom w:val="none" w:sz="0" w:space="0" w:color="auto"/>
            </w:tcBorders>
          </w:tcPr>
          <w:p w14:paraId="327B9795"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Because abnormal CTG findings and other warning signs were not escalated consistently.</w:t>
            </w:r>
          </w:p>
        </w:tc>
      </w:tr>
      <w:tr w:rsidR="00B84E23" w:rsidRPr="00B84E23" w14:paraId="761B4652" w14:textId="77777777" w:rsidTr="00561FD9">
        <w:tc>
          <w:tcPr>
            <w:cnfStyle w:val="001000000000" w:firstRow="0" w:lastRow="0" w:firstColumn="1" w:lastColumn="0" w:oddVBand="0" w:evenVBand="0" w:oddHBand="0" w:evenHBand="0" w:firstRowFirstColumn="0" w:firstRowLastColumn="0" w:lastRowFirstColumn="0" w:lastRowLastColumn="0"/>
            <w:tcW w:w="3168" w:type="dxa"/>
          </w:tcPr>
          <w:p w14:paraId="359FB825" w14:textId="77777777" w:rsidR="00B84E23" w:rsidRPr="00B84E23" w:rsidRDefault="00B84E23" w:rsidP="00B84E23">
            <w:pPr>
              <w:rPr>
                <w:szCs w:val="24"/>
              </w:rPr>
            </w:pPr>
            <w:r w:rsidRPr="00B84E23">
              <w:rPr>
                <w:szCs w:val="24"/>
              </w:rPr>
              <w:t>Why was escalation inconsistent?</w:t>
            </w:r>
          </w:p>
        </w:tc>
        <w:tc>
          <w:tcPr>
            <w:tcW w:w="6552" w:type="dxa"/>
          </w:tcPr>
          <w:p w14:paraId="4B6829E0" w14:textId="77777777" w:rsidR="00B84E23" w:rsidRPr="00B84E23" w:rsidRDefault="00B84E23" w:rsidP="00B84E23">
            <w:pPr>
              <w:cnfStyle w:val="000000000000" w:firstRow="0" w:lastRow="0" w:firstColumn="0" w:lastColumn="0" w:oddVBand="0" w:evenVBand="0" w:oddHBand="0" w:evenHBand="0" w:firstRowFirstColumn="0" w:firstRowLastColumn="0" w:lastRowFirstColumn="0" w:lastRowLastColumn="0"/>
              <w:rPr>
                <w:szCs w:val="24"/>
              </w:rPr>
            </w:pPr>
            <w:r w:rsidRPr="00B84E23">
              <w:rPr>
                <w:szCs w:val="24"/>
              </w:rPr>
              <w:t>Because supervision, multidisciplinary communication and confidence to challenge were weak.</w:t>
            </w:r>
          </w:p>
        </w:tc>
      </w:tr>
      <w:tr w:rsidR="00B84E23" w:rsidRPr="00B84E23" w14:paraId="796229A6" w14:textId="77777777" w:rsidTr="00561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Borders>
              <w:top w:val="none" w:sz="0" w:space="0" w:color="auto"/>
              <w:bottom w:val="none" w:sz="0" w:space="0" w:color="auto"/>
            </w:tcBorders>
          </w:tcPr>
          <w:p w14:paraId="0F65B0BA" w14:textId="77777777" w:rsidR="00B84E23" w:rsidRPr="00B84E23" w:rsidRDefault="00B84E23" w:rsidP="00B84E23">
            <w:pPr>
              <w:rPr>
                <w:szCs w:val="24"/>
              </w:rPr>
            </w:pPr>
            <w:r w:rsidRPr="00B84E23">
              <w:rPr>
                <w:szCs w:val="24"/>
              </w:rPr>
              <w:t>Why were competence and challenge weak?</w:t>
            </w:r>
          </w:p>
        </w:tc>
        <w:tc>
          <w:tcPr>
            <w:tcW w:w="6552" w:type="dxa"/>
            <w:tcBorders>
              <w:top w:val="none" w:sz="0" w:space="0" w:color="auto"/>
              <w:bottom w:val="none" w:sz="0" w:space="0" w:color="auto"/>
            </w:tcBorders>
          </w:tcPr>
          <w:p w14:paraId="4B3989A4"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Because training assurance, staffing resilience and visible consultant support were unreliable.</w:t>
            </w:r>
          </w:p>
        </w:tc>
      </w:tr>
      <w:tr w:rsidR="00B84E23" w:rsidRPr="00B84E23" w14:paraId="7CCF07D5" w14:textId="77777777" w:rsidTr="00561FD9">
        <w:tc>
          <w:tcPr>
            <w:cnfStyle w:val="001000000000" w:firstRow="0" w:lastRow="0" w:firstColumn="1" w:lastColumn="0" w:oddVBand="0" w:evenVBand="0" w:oddHBand="0" w:evenHBand="0" w:firstRowFirstColumn="0" w:firstRowLastColumn="0" w:lastRowFirstColumn="0" w:lastRowLastColumn="0"/>
            <w:tcW w:w="3168" w:type="dxa"/>
          </w:tcPr>
          <w:p w14:paraId="45E4B3AD" w14:textId="77777777" w:rsidR="00B84E23" w:rsidRPr="00B84E23" w:rsidRDefault="00B84E23" w:rsidP="00B84E23">
            <w:pPr>
              <w:rPr>
                <w:szCs w:val="24"/>
              </w:rPr>
            </w:pPr>
            <w:r w:rsidRPr="00B84E23">
              <w:rPr>
                <w:szCs w:val="24"/>
              </w:rPr>
              <w:t>Why did those weaknesses persist?</w:t>
            </w:r>
          </w:p>
        </w:tc>
        <w:tc>
          <w:tcPr>
            <w:tcW w:w="6552" w:type="dxa"/>
          </w:tcPr>
          <w:p w14:paraId="71CDBCC0" w14:textId="77777777" w:rsidR="00B84E23" w:rsidRPr="00B84E23" w:rsidRDefault="00B84E23" w:rsidP="00B84E23">
            <w:pPr>
              <w:cnfStyle w:val="000000000000" w:firstRow="0" w:lastRow="0" w:firstColumn="0" w:lastColumn="0" w:oddVBand="0" w:evenVBand="0" w:oddHBand="0" w:evenHBand="0" w:firstRowFirstColumn="0" w:firstRowLastColumn="0" w:lastRowFirstColumn="0" w:lastRowLastColumn="0"/>
              <w:rPr>
                <w:szCs w:val="24"/>
              </w:rPr>
            </w:pPr>
            <w:r w:rsidRPr="00B84E23">
              <w:rPr>
                <w:szCs w:val="24"/>
              </w:rPr>
              <w:t>Because incident review, complaints and near misses were not converted into strong governance action.</w:t>
            </w:r>
          </w:p>
        </w:tc>
      </w:tr>
      <w:tr w:rsidR="00B84E23" w:rsidRPr="00B84E23" w14:paraId="0B1FC9DE" w14:textId="77777777" w:rsidTr="00561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Borders>
              <w:top w:val="none" w:sz="0" w:space="0" w:color="auto"/>
              <w:bottom w:val="none" w:sz="0" w:space="0" w:color="auto"/>
            </w:tcBorders>
          </w:tcPr>
          <w:p w14:paraId="2D6C80C6" w14:textId="77777777" w:rsidR="00B84E23" w:rsidRPr="00B84E23" w:rsidRDefault="00B84E23" w:rsidP="00B84E23">
            <w:pPr>
              <w:rPr>
                <w:szCs w:val="24"/>
              </w:rPr>
            </w:pPr>
            <w:r w:rsidRPr="00B84E23">
              <w:rPr>
                <w:szCs w:val="24"/>
              </w:rPr>
              <w:t>Why was governance action weak?</w:t>
            </w:r>
          </w:p>
        </w:tc>
        <w:tc>
          <w:tcPr>
            <w:tcW w:w="6552" w:type="dxa"/>
            <w:tcBorders>
              <w:top w:val="none" w:sz="0" w:space="0" w:color="auto"/>
              <w:bottom w:val="none" w:sz="0" w:space="0" w:color="auto"/>
            </w:tcBorders>
          </w:tcPr>
          <w:p w14:paraId="3694F24A" w14:textId="77777777" w:rsidR="00B84E23" w:rsidRPr="00B84E23" w:rsidRDefault="00B84E23" w:rsidP="00B84E23">
            <w:pPr>
              <w:cnfStyle w:val="000000100000" w:firstRow="0" w:lastRow="0" w:firstColumn="0" w:lastColumn="0" w:oddVBand="0" w:evenVBand="0" w:oddHBand="1" w:evenHBand="0" w:firstRowFirstColumn="0" w:firstRowLastColumn="0" w:lastRowFirstColumn="0" w:lastRowLastColumn="0"/>
              <w:rPr>
                <w:szCs w:val="24"/>
              </w:rPr>
            </w:pPr>
            <w:r w:rsidRPr="00B84E23">
              <w:rPr>
                <w:szCs w:val="24"/>
              </w:rPr>
              <w:t>Because leadership did not treat safety intelligence and family voice as the primary test of service performance.</w:t>
            </w:r>
          </w:p>
        </w:tc>
      </w:tr>
    </w:tbl>
    <w:p w14:paraId="5D8FF9FA" w14:textId="77777777" w:rsidR="00B84E23" w:rsidRPr="00B84E23" w:rsidRDefault="00B84E23" w:rsidP="00B84E23">
      <w:pPr>
        <w:rPr>
          <w:i/>
          <w:iCs/>
        </w:rPr>
      </w:pPr>
      <w:r w:rsidRPr="00B84E23">
        <w:rPr>
          <w:i/>
          <w:iCs/>
        </w:rPr>
        <w:t xml:space="preserve">Source: developed from </w:t>
      </w:r>
      <w:proofErr w:type="spellStart"/>
      <w:r w:rsidRPr="00B84E23">
        <w:rPr>
          <w:i/>
          <w:iCs/>
        </w:rPr>
        <w:t>Ockenden</w:t>
      </w:r>
      <w:proofErr w:type="spellEnd"/>
      <w:r w:rsidRPr="00B84E23">
        <w:rPr>
          <w:i/>
          <w:iCs/>
        </w:rPr>
        <w:t xml:space="preserve"> (2022) and Griffiths et al. (2024).</w:t>
      </w:r>
    </w:p>
    <w:p w14:paraId="67639A54" w14:textId="77777777" w:rsidR="00B84E23" w:rsidRDefault="00B84E23" w:rsidP="00B84E23">
      <w:r>
        <w:t xml:space="preserve">The Five Whys approach finds the underlying causal pathway of the delayed action on </w:t>
      </w:r>
      <w:proofErr w:type="spellStart"/>
      <w:r>
        <w:t>foetal</w:t>
      </w:r>
      <w:proofErr w:type="spellEnd"/>
      <w:r>
        <w:t xml:space="preserve"> compromise. The warning signs such as abnormal CTG traces were not always handled effectively due to the inconsistency of the staff confidence and oversight. The lack of competence was still observed due to low training assurance and scrutiny. The board and senior leaders failed to develop a culture that </w:t>
      </w:r>
      <w:proofErr w:type="spellStart"/>
      <w:r>
        <w:t>prioritised</w:t>
      </w:r>
      <w:proofErr w:type="spellEnd"/>
      <w:r>
        <w:t xml:space="preserve"> risk intelligence, family voice and frontline concern as urgent governance issues thereby continuing these weaknesses. In that regard, it was not only the lack of technical skill but a failure of assurance in which leadership established safe performance (Ockenden, 2022; Griffiths et al., 2024).</w:t>
      </w:r>
    </w:p>
    <w:p w14:paraId="7D158B96" w14:textId="56245E3C" w:rsidR="00B84E23" w:rsidRDefault="00B84E23" w:rsidP="00B84E23">
      <w:r>
        <w:t>Root-cause analysis also reveals the reason why retraining alone would not be sufficient. The experience of safer maternity units indicates that technical expertise is only effective in conjunction with collective competence, deliberate safety standards, constant surveillance of several sources of intelligence and leadership that helps strengthen standards at all times. Enhancement must then integrate capacity, culture and control when it is to disrupt the circumstances under which damage has long been perpetuated in the course of many years</w:t>
      </w:r>
      <w:r>
        <w:t xml:space="preserve"> </w:t>
      </w:r>
      <w:r>
        <w:t>(Liberati et al., 2019; Harrison et al., 2021).</w:t>
      </w:r>
    </w:p>
    <w:p w14:paraId="56A68B69" w14:textId="77777777" w:rsidR="00B84E23" w:rsidRDefault="00B84E23">
      <w:pPr>
        <w:spacing w:after="160" w:line="278" w:lineRule="auto"/>
        <w:jc w:val="left"/>
        <w:rPr>
          <w:rFonts w:eastAsiaTheme="majorEastAsia" w:cstheme="majorBidi"/>
          <w:b/>
          <w:sz w:val="32"/>
          <w:szCs w:val="40"/>
        </w:rPr>
      </w:pPr>
      <w:r>
        <w:br w:type="page"/>
      </w:r>
    </w:p>
    <w:p w14:paraId="3E9904C9" w14:textId="157C2510" w:rsidR="00B84E23" w:rsidRDefault="00B84E23" w:rsidP="00B84E23">
      <w:pPr>
        <w:pStyle w:val="Heading1"/>
      </w:pPr>
      <w:bookmarkStart w:id="5" w:name="_Toc225769224"/>
      <w:r>
        <w:lastRenderedPageBreak/>
        <w:t>Strategic analysis and benchmarking</w:t>
      </w:r>
      <w:bookmarkEnd w:id="5"/>
    </w:p>
    <w:p w14:paraId="146D13C3" w14:textId="77777777" w:rsidR="00B84E23" w:rsidRDefault="00B84E23" w:rsidP="00B84E23">
      <w:r>
        <w:t xml:space="preserve">The context of strategy is brought to focus using a PESTLE lens. The scandal heightened national demands in terms of </w:t>
      </w:r>
      <w:proofErr w:type="spellStart"/>
      <w:r>
        <w:t>candour</w:t>
      </w:r>
      <w:proofErr w:type="spellEnd"/>
      <w:r>
        <w:t xml:space="preserve">, quality of reviews and accountability of the boards. Operationally and economically, the maternity services are still experiencing the workforce pressure and competing performance pressures which may crowd out improvement work in case the staffing is tentative. Women and families are now seeking voice, </w:t>
      </w:r>
      <w:proofErr w:type="spellStart"/>
      <w:r>
        <w:t>individualised</w:t>
      </w:r>
      <w:proofErr w:type="spellEnd"/>
      <w:r>
        <w:t xml:space="preserve"> care and open involvement following incidents socially. Digital maternity records and structured safety data, which provide better monitoring opportunities, are only possible to act on the intelligence generated by leaders (NHS England, 2023a; NHS England, 2023c).</w:t>
      </w:r>
    </w:p>
    <w:p w14:paraId="72CF1B51" w14:textId="77E800AE" w:rsidR="00B84E23" w:rsidRDefault="00B84E23" w:rsidP="00B84E23">
      <w:r>
        <w:t xml:space="preserve">Benchmarking establishes that the historical performance of the Trust was the most distant to the best </w:t>
      </w:r>
      <w:proofErr w:type="spellStart"/>
      <w:r>
        <w:t>practise</w:t>
      </w:r>
      <w:proofErr w:type="spellEnd"/>
      <w:r>
        <w:t xml:space="preserve"> in staff voice, surveillance and escalation, workforce sufficiency, incident learning and board assurance. When compared to the current national expectations, the highest priorities in service improvements are those that narrow the intelligence pathways between bedside danger and formal assessment and executive control. Here benchmarking can be employed, not as a compliance checklist, but as a means of converting the findings of inquiry into tangible assurance criteria which can be tracked over a period</w:t>
      </w:r>
      <w:r>
        <w:t xml:space="preserve"> </w:t>
      </w:r>
      <w:r>
        <w:t xml:space="preserve">(Redinger, 2019; </w:t>
      </w:r>
      <w:proofErr w:type="spellStart"/>
      <w:r>
        <w:t>Ockenden</w:t>
      </w:r>
      <w:proofErr w:type="spellEnd"/>
      <w:r>
        <w:t>, 2022).</w:t>
      </w:r>
    </w:p>
    <w:p w14:paraId="0E57F3FB" w14:textId="77777777" w:rsidR="00B84E23" w:rsidRDefault="00B84E23" w:rsidP="00B84E23">
      <w:r w:rsidRPr="00B84E23">
        <w:rPr>
          <w:b/>
          <w:bCs/>
        </w:rPr>
        <w:t>Table 2.</w:t>
      </w:r>
      <w:r>
        <w:t xml:space="preserve"> Benchmarking matrix for priority assurance gaps</w:t>
      </w:r>
    </w:p>
    <w:tbl>
      <w:tblPr>
        <w:tblStyle w:val="GridTable3-Accent3"/>
        <w:tblW w:w="0" w:type="auto"/>
        <w:tblLook w:val="04A0" w:firstRow="1" w:lastRow="0" w:firstColumn="1" w:lastColumn="0" w:noHBand="0" w:noVBand="1"/>
      </w:tblPr>
      <w:tblGrid>
        <w:gridCol w:w="1635"/>
        <w:gridCol w:w="2532"/>
        <w:gridCol w:w="2675"/>
        <w:gridCol w:w="2950"/>
      </w:tblGrid>
      <w:tr w:rsidR="00B84E23" w14:paraId="23383B9D" w14:textId="77777777" w:rsidTr="00B84E2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56" w:type="dxa"/>
          </w:tcPr>
          <w:p w14:paraId="5F3799E8" w14:textId="77777777" w:rsidR="00B84E23" w:rsidRDefault="00B84E23" w:rsidP="00B84E23">
            <w:r>
              <w:t>Priority area</w:t>
            </w:r>
          </w:p>
        </w:tc>
        <w:tc>
          <w:tcPr>
            <w:tcW w:w="2592" w:type="dxa"/>
          </w:tcPr>
          <w:p w14:paraId="73183C2F" w14:textId="77777777" w:rsidR="00B84E23" w:rsidRDefault="00B84E23" w:rsidP="00B84E23">
            <w:pPr>
              <w:cnfStyle w:val="100000000000" w:firstRow="1" w:lastRow="0" w:firstColumn="0" w:lastColumn="0" w:oddVBand="0" w:evenVBand="0" w:oddHBand="0" w:evenHBand="0" w:firstRowFirstColumn="0" w:firstRowLastColumn="0" w:lastRowFirstColumn="0" w:lastRowLastColumn="0"/>
            </w:pPr>
            <w:r>
              <w:t xml:space="preserve">Historical gap at </w:t>
            </w:r>
            <w:proofErr w:type="spellStart"/>
            <w:r>
              <w:t>SaTH</w:t>
            </w:r>
            <w:proofErr w:type="spellEnd"/>
          </w:p>
        </w:tc>
        <w:tc>
          <w:tcPr>
            <w:tcW w:w="2736" w:type="dxa"/>
          </w:tcPr>
          <w:p w14:paraId="03C9CE4A" w14:textId="77777777" w:rsidR="00B84E23" w:rsidRDefault="00B84E23" w:rsidP="00B84E23">
            <w:pPr>
              <w:cnfStyle w:val="100000000000" w:firstRow="1" w:lastRow="0" w:firstColumn="0" w:lastColumn="0" w:oddVBand="0" w:evenVBand="0" w:oddHBand="0" w:evenHBand="0" w:firstRowFirstColumn="0" w:firstRowLastColumn="0" w:lastRowFirstColumn="0" w:lastRowLastColumn="0"/>
            </w:pPr>
            <w:r>
              <w:t>Current benchmark or expectation</w:t>
            </w:r>
          </w:p>
        </w:tc>
        <w:tc>
          <w:tcPr>
            <w:tcW w:w="3024" w:type="dxa"/>
          </w:tcPr>
          <w:p w14:paraId="6FFBA00E" w14:textId="77777777" w:rsidR="00B84E23" w:rsidRDefault="00B84E23" w:rsidP="00B84E23">
            <w:pPr>
              <w:cnfStyle w:val="100000000000" w:firstRow="1" w:lastRow="0" w:firstColumn="0" w:lastColumn="0" w:oddVBand="0" w:evenVBand="0" w:oddHBand="0" w:evenHBand="0" w:firstRowFirstColumn="0" w:firstRowLastColumn="0" w:lastRowFirstColumn="0" w:lastRowLastColumn="0"/>
            </w:pPr>
            <w:r>
              <w:t>Improvement implication</w:t>
            </w:r>
          </w:p>
        </w:tc>
      </w:tr>
      <w:tr w:rsidR="00B84E23" w14:paraId="4E6B1F59" w14:textId="77777777" w:rsidTr="00B84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Pr>
          <w:p w14:paraId="3F53B9B2" w14:textId="77777777" w:rsidR="00B84E23" w:rsidRDefault="00B84E23" w:rsidP="00B84E23">
            <w:r>
              <w:t>Staff voice</w:t>
            </w:r>
          </w:p>
        </w:tc>
        <w:tc>
          <w:tcPr>
            <w:tcW w:w="2592" w:type="dxa"/>
          </w:tcPr>
          <w:p w14:paraId="0A07BC55"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Concerns and family complaints were not heard or translated into action.</w:t>
            </w:r>
          </w:p>
        </w:tc>
        <w:tc>
          <w:tcPr>
            <w:tcW w:w="2736" w:type="dxa"/>
          </w:tcPr>
          <w:p w14:paraId="65D0B41C"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Freedom to Speak Up arrangements, visible follow-up and family-</w:t>
            </w:r>
            <w:proofErr w:type="spellStart"/>
            <w:r>
              <w:t>centred</w:t>
            </w:r>
            <w:proofErr w:type="spellEnd"/>
            <w:r>
              <w:t xml:space="preserve"> review are expected nationally.</w:t>
            </w:r>
          </w:p>
        </w:tc>
        <w:tc>
          <w:tcPr>
            <w:tcW w:w="3024" w:type="dxa"/>
          </w:tcPr>
          <w:p w14:paraId="129A8EF6"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Create a closed-loop speaking-up and family feedback process with board visibility.</w:t>
            </w:r>
          </w:p>
        </w:tc>
      </w:tr>
      <w:tr w:rsidR="00B84E23" w14:paraId="0C39D239" w14:textId="77777777" w:rsidTr="00B84E23">
        <w:tc>
          <w:tcPr>
            <w:cnfStyle w:val="001000000000" w:firstRow="0" w:lastRow="0" w:firstColumn="1" w:lastColumn="0" w:oddVBand="0" w:evenVBand="0" w:oddHBand="0" w:evenHBand="0" w:firstRowFirstColumn="0" w:firstRowLastColumn="0" w:lastRowFirstColumn="0" w:lastRowLastColumn="0"/>
            <w:tcW w:w="1656" w:type="dxa"/>
          </w:tcPr>
          <w:p w14:paraId="7E9E8B12" w14:textId="77777777" w:rsidR="00B84E23" w:rsidRDefault="00B84E23" w:rsidP="00B84E23">
            <w:r>
              <w:t>Escalation reliability</w:t>
            </w:r>
          </w:p>
        </w:tc>
        <w:tc>
          <w:tcPr>
            <w:tcW w:w="2592" w:type="dxa"/>
          </w:tcPr>
          <w:p w14:paraId="234A2767"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Abnormal CTG and deterioration were not escalated consistently.</w:t>
            </w:r>
          </w:p>
        </w:tc>
        <w:tc>
          <w:tcPr>
            <w:tcW w:w="2736" w:type="dxa"/>
          </w:tcPr>
          <w:p w14:paraId="6ED6699D"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Evidence-based escalation pathways, drills and timely senior review are expected.</w:t>
            </w:r>
          </w:p>
        </w:tc>
        <w:tc>
          <w:tcPr>
            <w:tcW w:w="3024" w:type="dxa"/>
          </w:tcPr>
          <w:p w14:paraId="329EAC04"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proofErr w:type="spellStart"/>
            <w:r>
              <w:t>Standardise</w:t>
            </w:r>
            <w:proofErr w:type="spellEnd"/>
            <w:r>
              <w:t xml:space="preserve"> escalation, test it in simulation, and monitor response time.</w:t>
            </w:r>
          </w:p>
        </w:tc>
      </w:tr>
      <w:tr w:rsidR="00B84E23" w14:paraId="2FB629BE" w14:textId="77777777" w:rsidTr="00B84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Pr>
          <w:p w14:paraId="21429419" w14:textId="77777777" w:rsidR="00B84E23" w:rsidRDefault="00B84E23" w:rsidP="00B84E23">
            <w:r>
              <w:lastRenderedPageBreak/>
              <w:t>Safe staffing</w:t>
            </w:r>
          </w:p>
        </w:tc>
        <w:tc>
          <w:tcPr>
            <w:tcW w:w="2592" w:type="dxa"/>
          </w:tcPr>
          <w:p w14:paraId="12385030"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Workload pressure and competence variability weakened surveillance and review.</w:t>
            </w:r>
          </w:p>
        </w:tc>
        <w:tc>
          <w:tcPr>
            <w:tcW w:w="2736" w:type="dxa"/>
          </w:tcPr>
          <w:p w14:paraId="1568F165"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Trusts are expected to meet staffing establishment and strengthen retention.</w:t>
            </w:r>
          </w:p>
        </w:tc>
        <w:tc>
          <w:tcPr>
            <w:tcW w:w="3024" w:type="dxa"/>
          </w:tcPr>
          <w:p w14:paraId="76016CC1"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Use staffing tools plus local red-flag triggers and rapid staffing escalation.</w:t>
            </w:r>
          </w:p>
        </w:tc>
      </w:tr>
      <w:tr w:rsidR="00B84E23" w14:paraId="100E3DBD" w14:textId="77777777" w:rsidTr="00B84E23">
        <w:tc>
          <w:tcPr>
            <w:cnfStyle w:val="001000000000" w:firstRow="0" w:lastRow="0" w:firstColumn="1" w:lastColumn="0" w:oddVBand="0" w:evenVBand="0" w:oddHBand="0" w:evenHBand="0" w:firstRowFirstColumn="0" w:firstRowLastColumn="0" w:lastRowFirstColumn="0" w:lastRowLastColumn="0"/>
            <w:tcW w:w="1656" w:type="dxa"/>
          </w:tcPr>
          <w:p w14:paraId="7A6C1AC9" w14:textId="77777777" w:rsidR="00B84E23" w:rsidRDefault="00B84E23" w:rsidP="00B84E23">
            <w:r>
              <w:t>Learning system</w:t>
            </w:r>
          </w:p>
        </w:tc>
        <w:tc>
          <w:tcPr>
            <w:tcW w:w="2592" w:type="dxa"/>
          </w:tcPr>
          <w:p w14:paraId="204C9D23"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Incidents, mortality data and complaints were weakly triangulated.</w:t>
            </w:r>
          </w:p>
        </w:tc>
        <w:tc>
          <w:tcPr>
            <w:tcW w:w="2736" w:type="dxa"/>
          </w:tcPr>
          <w:p w14:paraId="363514F8"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PSIRF-based learning, structured analysis and timely feedback are expected.</w:t>
            </w:r>
          </w:p>
        </w:tc>
        <w:tc>
          <w:tcPr>
            <w:tcW w:w="3024" w:type="dxa"/>
          </w:tcPr>
          <w:p w14:paraId="2D722BFC"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Build one maternity safety dashboard reviewed at ward, service and board levels.</w:t>
            </w:r>
          </w:p>
        </w:tc>
      </w:tr>
    </w:tbl>
    <w:p w14:paraId="0D633150" w14:textId="77777777" w:rsidR="00B84E23" w:rsidRPr="00B84E23" w:rsidRDefault="00B84E23" w:rsidP="00B84E23">
      <w:pPr>
        <w:rPr>
          <w:i/>
          <w:iCs/>
        </w:rPr>
      </w:pPr>
      <w:r w:rsidRPr="00B84E23">
        <w:rPr>
          <w:i/>
          <w:iCs/>
        </w:rPr>
        <w:t xml:space="preserve">Source: </w:t>
      </w:r>
      <w:proofErr w:type="spellStart"/>
      <w:r w:rsidRPr="00B84E23">
        <w:rPr>
          <w:i/>
          <w:iCs/>
        </w:rPr>
        <w:t>Ockenden</w:t>
      </w:r>
      <w:proofErr w:type="spellEnd"/>
      <w:r w:rsidRPr="00B84E23">
        <w:rPr>
          <w:i/>
          <w:iCs/>
        </w:rPr>
        <w:t xml:space="preserve"> (2022); NHS England (2022, 2023a); National Guardian's Office (2024).</w:t>
      </w:r>
    </w:p>
    <w:p w14:paraId="5C09482E" w14:textId="77777777" w:rsidR="00B84E23" w:rsidRDefault="00B84E23">
      <w:pPr>
        <w:spacing w:after="160" w:line="278" w:lineRule="auto"/>
        <w:jc w:val="left"/>
        <w:rPr>
          <w:rFonts w:eastAsiaTheme="majorEastAsia" w:cstheme="majorBidi"/>
          <w:b/>
          <w:sz w:val="32"/>
          <w:szCs w:val="40"/>
        </w:rPr>
      </w:pPr>
      <w:r>
        <w:br w:type="page"/>
      </w:r>
    </w:p>
    <w:p w14:paraId="31677FA3" w14:textId="386A2B3B" w:rsidR="00B84E23" w:rsidRDefault="00B84E23" w:rsidP="00B84E23">
      <w:pPr>
        <w:pStyle w:val="Heading1"/>
      </w:pPr>
      <w:bookmarkStart w:id="6" w:name="_Toc225769225"/>
      <w:r>
        <w:lastRenderedPageBreak/>
        <w:t>Recommendations and implementation strategy</w:t>
      </w:r>
      <w:bookmarkEnd w:id="6"/>
    </w:p>
    <w:p w14:paraId="442EFF64" w14:textId="77777777" w:rsidR="00561FD9" w:rsidRDefault="00561FD9" w:rsidP="00561FD9">
      <w:r>
        <w:t>The best response can be given by three interconnected service improvement priorities. The former is a maternity safety assurance system, which integrates incident reporting, complaints, mortality review, CTG audit, staffing red flags and family feedback within a single monthly dashboard at ward, service and board level. Reporting systems cannot be improved by incident reporting alone, since it is only when the analysis, feedback and action are credible that the system can be more effective in enhancing safety. Triangulated dashboard would decrease the gap between the warning signs and the governance response that has been experienced historically (Stavropoulou et al., 2015; Mahmoud et al., 2023).</w:t>
      </w:r>
    </w:p>
    <w:p w14:paraId="5A086610" w14:textId="77777777" w:rsidR="00561FD9" w:rsidRDefault="00561FD9" w:rsidP="00561FD9">
      <w:r>
        <w:t>The second priority is a workforce and competence strategy that is focused on safe staffing, CTG proficiency, CTG drills and rapid senior review. Trusts are already expected to align themselves with staffing tools by national policy, to enhance retention and provide staff with supervision and support. But, the experience of staffing tools like Birthrate Plus cautions that tools are merely a component of the solution and cannot replace the local judgement, workload awareness and escalation planning. It should instead aim to have a dynamic workforce model that integrates establishment planning and real-time safety triggers (NHS England, 2023a; Griffiths et al., 2024; Moncrieff et al., 2023).</w:t>
      </w:r>
    </w:p>
    <w:p w14:paraId="745D44F8" w14:textId="272D2EF6" w:rsidR="00B84E23" w:rsidRDefault="00561FD9" w:rsidP="00561FD9">
      <w:r>
        <w:t xml:space="preserve">The third priority is a culture and listening </w:t>
      </w:r>
      <w:proofErr w:type="spellStart"/>
      <w:r>
        <w:t>programme</w:t>
      </w:r>
      <w:proofErr w:type="spellEnd"/>
      <w:r>
        <w:t xml:space="preserve"> with equal emphasis on the staff voice and family voice. They should not be seen as an addition to maternity governance, but rather as Freedom to Speak Up arrangements. Review design and learning feedback should include families of the victims of severe incidents, whereas regular facilitated debriefs of concerns raised, actions taken and improvements made should be offered to ward teams. The literature on speaking up has always demonstrated that employees are more ready to take action when leaders are visible to them, close the loop and do not use punitive treatment of concern</w:t>
      </w:r>
      <w:r>
        <w:t xml:space="preserve"> </w:t>
      </w:r>
      <w:r w:rsidR="00B84E23">
        <w:t>(</w:t>
      </w:r>
      <w:proofErr w:type="spellStart"/>
      <w:r w:rsidR="00B84E23">
        <w:t>Alingh</w:t>
      </w:r>
      <w:proofErr w:type="spellEnd"/>
      <w:r w:rsidR="00B84E23">
        <w:t xml:space="preserve"> et al., 2019; Kane et al., 2023; National Guardian's Office, 2024).</w:t>
      </w:r>
    </w:p>
    <w:p w14:paraId="392BE0B2" w14:textId="77777777" w:rsidR="00B84E23" w:rsidRDefault="00B84E23" w:rsidP="00B84E23">
      <w:r w:rsidRPr="00B84E23">
        <w:rPr>
          <w:b/>
          <w:bCs/>
        </w:rPr>
        <w:t>Table 3</w:t>
      </w:r>
      <w:r>
        <w:t>. Implementation roadmap using PDSA and Kotter</w:t>
      </w:r>
    </w:p>
    <w:tbl>
      <w:tblPr>
        <w:tblStyle w:val="GridTable3-Accent3"/>
        <w:tblW w:w="0" w:type="auto"/>
        <w:tblLook w:val="04A0" w:firstRow="1" w:lastRow="0" w:firstColumn="1" w:lastColumn="0" w:noHBand="0" w:noVBand="1"/>
      </w:tblPr>
      <w:tblGrid>
        <w:gridCol w:w="1800"/>
        <w:gridCol w:w="3240"/>
        <w:gridCol w:w="2520"/>
        <w:gridCol w:w="2232"/>
      </w:tblGrid>
      <w:tr w:rsidR="00B84E23" w14:paraId="7949C5BC" w14:textId="77777777" w:rsidTr="00B84E2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0" w:type="dxa"/>
          </w:tcPr>
          <w:p w14:paraId="6357D737" w14:textId="77777777" w:rsidR="00B84E23" w:rsidRDefault="00B84E23" w:rsidP="00B84E23">
            <w:r>
              <w:t>Workstream</w:t>
            </w:r>
          </w:p>
        </w:tc>
        <w:tc>
          <w:tcPr>
            <w:tcW w:w="3240" w:type="dxa"/>
          </w:tcPr>
          <w:p w14:paraId="3BE84EEB" w14:textId="77777777" w:rsidR="00B84E23" w:rsidRDefault="00B84E23" w:rsidP="00B84E23">
            <w:pPr>
              <w:cnfStyle w:val="100000000000" w:firstRow="1" w:lastRow="0" w:firstColumn="0" w:lastColumn="0" w:oddVBand="0" w:evenVBand="0" w:oddHBand="0" w:evenHBand="0" w:firstRowFirstColumn="0" w:firstRowLastColumn="0" w:lastRowFirstColumn="0" w:lastRowLastColumn="0"/>
            </w:pPr>
            <w:r>
              <w:t>Key actions</w:t>
            </w:r>
          </w:p>
        </w:tc>
        <w:tc>
          <w:tcPr>
            <w:tcW w:w="2520" w:type="dxa"/>
          </w:tcPr>
          <w:p w14:paraId="5A286376" w14:textId="77777777" w:rsidR="00B84E23" w:rsidRDefault="00B84E23" w:rsidP="00B84E23">
            <w:pPr>
              <w:cnfStyle w:val="100000000000" w:firstRow="1" w:lastRow="0" w:firstColumn="0" w:lastColumn="0" w:oddVBand="0" w:evenVBand="0" w:oddHBand="0" w:evenHBand="0" w:firstRowFirstColumn="0" w:firstRowLastColumn="0" w:lastRowFirstColumn="0" w:lastRowLastColumn="0"/>
            </w:pPr>
            <w:r>
              <w:t>PDSA testing measures</w:t>
            </w:r>
          </w:p>
        </w:tc>
        <w:tc>
          <w:tcPr>
            <w:tcW w:w="2232" w:type="dxa"/>
          </w:tcPr>
          <w:p w14:paraId="5A7C9AC1" w14:textId="77777777" w:rsidR="00B84E23" w:rsidRDefault="00B84E23" w:rsidP="00B84E23">
            <w:pPr>
              <w:cnfStyle w:val="100000000000" w:firstRow="1" w:lastRow="0" w:firstColumn="0" w:lastColumn="0" w:oddVBand="0" w:evenVBand="0" w:oddHBand="0" w:evenHBand="0" w:firstRowFirstColumn="0" w:firstRowLastColumn="0" w:lastRowFirstColumn="0" w:lastRowLastColumn="0"/>
            </w:pPr>
            <w:r>
              <w:t>Kotter emphasis</w:t>
            </w:r>
          </w:p>
        </w:tc>
      </w:tr>
      <w:tr w:rsidR="00B84E23" w14:paraId="55A32916" w14:textId="77777777" w:rsidTr="00B84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E33C585" w14:textId="77777777" w:rsidR="00B84E23" w:rsidRDefault="00B84E23" w:rsidP="00B84E23">
            <w:r>
              <w:t>Integrated safety dashboard</w:t>
            </w:r>
          </w:p>
        </w:tc>
        <w:tc>
          <w:tcPr>
            <w:tcW w:w="3240" w:type="dxa"/>
          </w:tcPr>
          <w:p w14:paraId="432D3B7C"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Triangulate incident, complaint, staffing, CTG audit and mortality intelligence into one monthly review.</w:t>
            </w:r>
          </w:p>
        </w:tc>
        <w:tc>
          <w:tcPr>
            <w:tcW w:w="2520" w:type="dxa"/>
          </w:tcPr>
          <w:p w14:paraId="394FD86B"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 xml:space="preserve">Pilot on one ward; measure overdue actions, time from </w:t>
            </w:r>
            <w:r>
              <w:lastRenderedPageBreak/>
              <w:t>signal to review, and learning closure rate.</w:t>
            </w:r>
          </w:p>
        </w:tc>
        <w:tc>
          <w:tcPr>
            <w:tcW w:w="2232" w:type="dxa"/>
          </w:tcPr>
          <w:p w14:paraId="472E4894"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lastRenderedPageBreak/>
              <w:t>Create urgency, build coalition, communicate the new safety narrative.</w:t>
            </w:r>
          </w:p>
        </w:tc>
      </w:tr>
      <w:tr w:rsidR="00B84E23" w14:paraId="748AF26B" w14:textId="77777777" w:rsidTr="00B84E23">
        <w:tc>
          <w:tcPr>
            <w:cnfStyle w:val="001000000000" w:firstRow="0" w:lastRow="0" w:firstColumn="1" w:lastColumn="0" w:oddVBand="0" w:evenVBand="0" w:oddHBand="0" w:evenHBand="0" w:firstRowFirstColumn="0" w:firstRowLastColumn="0" w:lastRowFirstColumn="0" w:lastRowLastColumn="0"/>
            <w:tcW w:w="1800" w:type="dxa"/>
          </w:tcPr>
          <w:p w14:paraId="6F6C0A3B" w14:textId="77777777" w:rsidR="00B84E23" w:rsidRDefault="00B84E23" w:rsidP="00B84E23">
            <w:r>
              <w:t>Competence and escalation bundle</w:t>
            </w:r>
          </w:p>
        </w:tc>
        <w:tc>
          <w:tcPr>
            <w:tcW w:w="3240" w:type="dxa"/>
          </w:tcPr>
          <w:p w14:paraId="1ED16016"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Mandatory CTG refreshers, escalation checklist, simulation drills, rapid consultant review trigger.</w:t>
            </w:r>
          </w:p>
        </w:tc>
        <w:tc>
          <w:tcPr>
            <w:tcW w:w="2520" w:type="dxa"/>
          </w:tcPr>
          <w:p w14:paraId="61600023"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 xml:space="preserve">Test on one </w:t>
            </w:r>
            <w:proofErr w:type="spellStart"/>
            <w:r>
              <w:t>labour</w:t>
            </w:r>
            <w:proofErr w:type="spellEnd"/>
            <w:r>
              <w:t xml:space="preserve"> ward; measure CTG documentation errors, escalation delay and consultant response time.</w:t>
            </w:r>
          </w:p>
        </w:tc>
        <w:tc>
          <w:tcPr>
            <w:tcW w:w="2232" w:type="dxa"/>
          </w:tcPr>
          <w:p w14:paraId="3AF217E1" w14:textId="77777777" w:rsidR="00B84E23" w:rsidRDefault="00B84E23" w:rsidP="00B84E23">
            <w:pPr>
              <w:cnfStyle w:val="000000000000" w:firstRow="0" w:lastRow="0" w:firstColumn="0" w:lastColumn="0" w:oddVBand="0" w:evenVBand="0" w:oddHBand="0" w:evenHBand="0" w:firstRowFirstColumn="0" w:firstRowLastColumn="0" w:lastRowFirstColumn="0" w:lastRowLastColumn="0"/>
            </w:pPr>
            <w:r>
              <w:t>Enable action by removing barriers and celebrating early wins.</w:t>
            </w:r>
          </w:p>
        </w:tc>
      </w:tr>
      <w:tr w:rsidR="00B84E23" w14:paraId="37760CB9" w14:textId="77777777" w:rsidTr="00B84E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182F15A" w14:textId="77777777" w:rsidR="00B84E23" w:rsidRDefault="00B84E23" w:rsidP="00B84E23">
            <w:r>
              <w:t xml:space="preserve">Speaking-up and family listening </w:t>
            </w:r>
            <w:proofErr w:type="spellStart"/>
            <w:r>
              <w:t>programme</w:t>
            </w:r>
            <w:proofErr w:type="spellEnd"/>
          </w:p>
        </w:tc>
        <w:tc>
          <w:tcPr>
            <w:tcW w:w="3240" w:type="dxa"/>
          </w:tcPr>
          <w:p w14:paraId="6771D48C"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Monthly debriefs, named feedback loop, FTSU integration, family participation after severe incidents.</w:t>
            </w:r>
          </w:p>
        </w:tc>
        <w:tc>
          <w:tcPr>
            <w:tcW w:w="2520" w:type="dxa"/>
          </w:tcPr>
          <w:p w14:paraId="14F3EA4F"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Track staff confidence, number of concerns closed with feedback, and family satisfaction after review.</w:t>
            </w:r>
          </w:p>
        </w:tc>
        <w:tc>
          <w:tcPr>
            <w:tcW w:w="2232" w:type="dxa"/>
          </w:tcPr>
          <w:p w14:paraId="6C709E4E" w14:textId="77777777" w:rsidR="00B84E23" w:rsidRDefault="00B84E23" w:rsidP="00B84E23">
            <w:pPr>
              <w:cnfStyle w:val="000000100000" w:firstRow="0" w:lastRow="0" w:firstColumn="0" w:lastColumn="0" w:oddVBand="0" w:evenVBand="0" w:oddHBand="1" w:evenHBand="0" w:firstRowFirstColumn="0" w:firstRowLastColumn="0" w:lastRowFirstColumn="0" w:lastRowLastColumn="0"/>
            </w:pPr>
            <w:r>
              <w:t>Anchor change in culture through repeated reinforcement and board oversight.</w:t>
            </w:r>
          </w:p>
        </w:tc>
      </w:tr>
    </w:tbl>
    <w:p w14:paraId="46D2EEBF" w14:textId="77777777" w:rsidR="00B84E23" w:rsidRPr="00B84E23" w:rsidRDefault="00B84E23" w:rsidP="00B84E23">
      <w:pPr>
        <w:rPr>
          <w:i/>
          <w:iCs/>
        </w:rPr>
      </w:pPr>
      <w:r w:rsidRPr="00B84E23">
        <w:rPr>
          <w:i/>
          <w:iCs/>
        </w:rPr>
        <w:t xml:space="preserve">Source: developed from Taylor et al. (2014), Harrison et al. (2021), NHS England (2023a) and </w:t>
      </w:r>
      <w:proofErr w:type="spellStart"/>
      <w:r w:rsidRPr="00B84E23">
        <w:rPr>
          <w:i/>
          <w:iCs/>
        </w:rPr>
        <w:t>Ockenden</w:t>
      </w:r>
      <w:proofErr w:type="spellEnd"/>
      <w:r w:rsidRPr="00B84E23">
        <w:rPr>
          <w:i/>
          <w:iCs/>
        </w:rPr>
        <w:t xml:space="preserve"> (2022).</w:t>
      </w:r>
    </w:p>
    <w:p w14:paraId="63407314" w14:textId="77777777" w:rsidR="00561FD9" w:rsidRDefault="00561FD9" w:rsidP="00561FD9">
      <w:r>
        <w:t xml:space="preserve">These changes in one area of maternity should be tested with the use of PDSA and then expanded to the rest of the areas. During the planning step, the trust would establish a small number of indicators like delayed escalation events, repeat CTG documentation errors, unaddressed family complaints and staff speaking-up confidence. The do phase would involve the implementation of a weekly safety huddle by the pilot ward, a </w:t>
      </w:r>
      <w:proofErr w:type="spellStart"/>
      <w:r>
        <w:t>standardised</w:t>
      </w:r>
      <w:proofErr w:type="spellEnd"/>
      <w:r>
        <w:t xml:space="preserve"> escalation checklist, and a dashboard with the review of the ward manager and the governance lead. During the study stage, the run charts, qualitative feedback and case review would be used to investigate whether the intervention enhanced the speed of response and quality of learning. During the act stage, the package would be polished and scaled or redesigned. PDSA is most effective where the cycles are repeated, theory-driven and data-driven over time instead of implementing it during a single event (Taylor et al., 2014; Knudsen et al., 2019; McNicholas et al., 2019).</w:t>
      </w:r>
    </w:p>
    <w:p w14:paraId="3A8BC01A" w14:textId="77777777" w:rsidR="00561FD9" w:rsidRDefault="00561FD9" w:rsidP="00561FD9">
      <w:r>
        <w:t xml:space="preserve">The model provided by Kotter introduces the </w:t>
      </w:r>
      <w:proofErr w:type="spellStart"/>
      <w:r>
        <w:t>organisational</w:t>
      </w:r>
      <w:proofErr w:type="spellEnd"/>
      <w:r>
        <w:t xml:space="preserve"> discipline that prevents the relapse. The guiding coalition must consist of credible persons that include the board safety lead, head of midwifery, obstetric lead, governance lead, Freedom to Speak Up Guardian and service-user representatives. The vision of the change should be based on the previous identification of risk, the accelerated escalation, and listening. Short-term wins may be established by the observable positive change in the CTG </w:t>
      </w:r>
      <w:r>
        <w:lastRenderedPageBreak/>
        <w:t>adherence, the timely consultation review and feedback to the staff members on the raised issues. Integration of the change at this point is based on the alignment of appraisal, induction, governance routines and board reporting to the new safety expectations. The systematic reviews of change management in healthcare indicate that Kotter is most applicable in combination with improvement techniques instead of being applied as a managerial motto (Campbell, 2020; Harrison et al., 2021).</w:t>
      </w:r>
    </w:p>
    <w:p w14:paraId="0CC00607" w14:textId="4D40D063" w:rsidR="00B84E23" w:rsidRDefault="00561FD9" w:rsidP="00561FD9">
      <w:r>
        <w:t>Betterment also must be realistic concerning obstacles. Reform can be derailed by workforce shortage, initiative fatigue, defensive middle management and fragmented data systems. It must then be responded by safeguarding improvement time, few high-value indicators, challenge of overdue actions by the board, and reporting learning themes to staff and families publicly. These controls are important since sustainable change is more probable when safety priorities are reduced, audited on a regular basis and backed by noticeable executive responsibility</w:t>
      </w:r>
      <w:r w:rsidR="00B84E23">
        <w:t xml:space="preserve"> (Rafter et al., 2015; Solow, 2023; NHS England, 2023a).</w:t>
      </w:r>
    </w:p>
    <w:p w14:paraId="6132BF22" w14:textId="77777777" w:rsidR="00B84E23" w:rsidRDefault="00B84E23">
      <w:pPr>
        <w:spacing w:after="160" w:line="278" w:lineRule="auto"/>
        <w:jc w:val="left"/>
        <w:rPr>
          <w:rFonts w:eastAsiaTheme="majorEastAsia" w:cstheme="majorBidi"/>
          <w:b/>
          <w:sz w:val="32"/>
          <w:szCs w:val="40"/>
        </w:rPr>
      </w:pPr>
      <w:r>
        <w:br w:type="page"/>
      </w:r>
    </w:p>
    <w:p w14:paraId="3DB3EE05" w14:textId="03BF692E" w:rsidR="00B84E23" w:rsidRDefault="00B84E23" w:rsidP="00B84E23">
      <w:pPr>
        <w:pStyle w:val="Heading1"/>
      </w:pPr>
      <w:bookmarkStart w:id="7" w:name="_Toc225769226"/>
      <w:r>
        <w:lastRenderedPageBreak/>
        <w:t>Conclusion</w:t>
      </w:r>
      <w:bookmarkEnd w:id="7"/>
    </w:p>
    <w:p w14:paraId="73E4CBCB" w14:textId="77777777" w:rsidR="00561FD9" w:rsidRDefault="00561FD9" w:rsidP="00561FD9">
      <w:r>
        <w:t xml:space="preserve">The Shrewsbury and Telford maternity scandal is the illustration of how long-term damage can be caused when the governance, workforce assurance, escalation </w:t>
      </w:r>
      <w:proofErr w:type="spellStart"/>
      <w:r>
        <w:t>practise</w:t>
      </w:r>
      <w:proofErr w:type="spellEnd"/>
      <w:r>
        <w:t xml:space="preserve"> and culture are all weakened simultaneously. It was not merely a lack of proper clinical judgement in the bedside of a situation, but it was about the inability to establish the structures to facilitate proper judgement, processes to transform warnings into action, and outcomes monitoring that valued family experience and staff voice as fundamental safety intelligence (Ockenden, 2022; Liberati et al., 2019).</w:t>
      </w:r>
    </w:p>
    <w:p w14:paraId="2B6B124C" w14:textId="77777777" w:rsidR="00561FD9" w:rsidRDefault="00561FD9" w:rsidP="00561FD9">
      <w:r>
        <w:t xml:space="preserve">The analysis of Donabedian revealed that the results of operations were the manifestation of structural and process failures instead of individual technical errors. The root-cause chain was then explained by Fishbone and Five Whys, with leadership, competence assurance, psychological safety, learning systems and board oversight being </w:t>
      </w:r>
      <w:proofErr w:type="spellStart"/>
      <w:r>
        <w:t>recognised</w:t>
      </w:r>
      <w:proofErr w:type="spellEnd"/>
      <w:r>
        <w:t xml:space="preserve"> as the most significant interacting drivers. The PESTLE and benchmarking verified the fact that modern NHS policy has created a more accurate improvement direction, but its practical implementation remains subject to the discipline of local leaders and their operational follow-through (NHS England, 2023a; National Guardian’s Office, 2024).</w:t>
      </w:r>
    </w:p>
    <w:p w14:paraId="06C3C9B4" w14:textId="52DDFC17" w:rsidR="00B84E23" w:rsidRDefault="00561FD9" w:rsidP="00561FD9">
      <w:r>
        <w:t xml:space="preserve">The most justifiable service improvement </w:t>
      </w:r>
      <w:proofErr w:type="spellStart"/>
      <w:r>
        <w:t>programme</w:t>
      </w:r>
      <w:proofErr w:type="spellEnd"/>
      <w:r>
        <w:t xml:space="preserve"> is thus not an individual intervention, but an integrated </w:t>
      </w:r>
      <w:proofErr w:type="spellStart"/>
      <w:r>
        <w:t>programme</w:t>
      </w:r>
      <w:proofErr w:type="spellEnd"/>
      <w:r>
        <w:t xml:space="preserve">: triangulated safety assurance, increased control of staffing and competence, and a genuine culture of speaking up and family involvement. PDSA provides a viable method of testing and refining the </w:t>
      </w:r>
      <w:proofErr w:type="spellStart"/>
      <w:r>
        <w:t>programme</w:t>
      </w:r>
      <w:proofErr w:type="spellEnd"/>
      <w:r>
        <w:t xml:space="preserve">, whereas Kotter gives the change architecture necessary to maintain the </w:t>
      </w:r>
      <w:proofErr w:type="spellStart"/>
      <w:r>
        <w:t>programme</w:t>
      </w:r>
      <w:proofErr w:type="spellEnd"/>
      <w:r>
        <w:t>. Development must not be measured by the number of incidents, but by quicker growth, increased learning closure, safer staffing presence and regained trust by women, families and staff</w:t>
      </w:r>
      <w:r>
        <w:t xml:space="preserve"> </w:t>
      </w:r>
      <w:r w:rsidR="00B84E23">
        <w:t>(Taylor et al., 2014; Harrison et al., 2021).</w:t>
      </w:r>
    </w:p>
    <w:p w14:paraId="201DA3C8" w14:textId="77777777" w:rsidR="00B84E23" w:rsidRDefault="00B84E23" w:rsidP="00B84E23">
      <w:r>
        <w:br w:type="page"/>
      </w:r>
    </w:p>
    <w:p w14:paraId="2C20FBA3" w14:textId="664E48B7" w:rsidR="00B84E23" w:rsidRDefault="00B84E23" w:rsidP="00B84E23">
      <w:pPr>
        <w:pStyle w:val="Heading1"/>
        <w:numPr>
          <w:ilvl w:val="0"/>
          <w:numId w:val="0"/>
        </w:numPr>
        <w:jc w:val="both"/>
      </w:pPr>
      <w:bookmarkStart w:id="8" w:name="_Toc225769227"/>
      <w:r>
        <w:lastRenderedPageBreak/>
        <w:t>Reference</w:t>
      </w:r>
      <w:r>
        <w:t>s</w:t>
      </w:r>
      <w:bookmarkEnd w:id="8"/>
    </w:p>
    <w:p w14:paraId="3E54B8A5" w14:textId="77777777" w:rsidR="00561FD9" w:rsidRPr="00561FD9" w:rsidRDefault="00561FD9" w:rsidP="00561FD9">
      <w:r w:rsidRPr="00561FD9">
        <w:t xml:space="preserve">Alingh, C.W., van Wijngaarden, J.D.H., Paauwe, J. and Huijsman, R. (2019) ‘Speaking up about patient safety concerns: the influence of safety management approaches and climate on nurses’ willingness to speak up’, </w:t>
      </w:r>
      <w:r w:rsidRPr="00561FD9">
        <w:rPr>
          <w:i/>
          <w:iCs/>
        </w:rPr>
        <w:t>BMJ Quality and Safety</w:t>
      </w:r>
      <w:r w:rsidRPr="00561FD9">
        <w:t xml:space="preserve">, 28(1), pp. 39-48. Available at: </w:t>
      </w:r>
      <w:hyperlink r:id="rId6" w:history="1">
        <w:r w:rsidRPr="00561FD9">
          <w:rPr>
            <w:rStyle w:val="Hyperlink"/>
          </w:rPr>
          <w:t>https://pubmed.ncbi.nlm.nih.gov/29954948/</w:t>
        </w:r>
      </w:hyperlink>
      <w:r w:rsidRPr="00561FD9">
        <w:t>.</w:t>
      </w:r>
    </w:p>
    <w:p w14:paraId="533C74FF" w14:textId="77777777" w:rsidR="00561FD9" w:rsidRPr="00561FD9" w:rsidRDefault="00561FD9" w:rsidP="00561FD9">
      <w:r w:rsidRPr="00561FD9">
        <w:t xml:space="preserve">Bick, D.E., Sandall, J., Furuta, M., Wee, M.Y.K., Isaacs, R. and Smith, G.B. (2014) ‘A national </w:t>
      </w:r>
      <w:proofErr w:type="gramStart"/>
      <w:r w:rsidRPr="00561FD9">
        <w:t>cross sectional</w:t>
      </w:r>
      <w:proofErr w:type="gramEnd"/>
      <w:r w:rsidRPr="00561FD9">
        <w:t xml:space="preserve"> survey of heads of midwifery services of uptake, benefits and barriers to use of obstetric early warning systems by midwives’, </w:t>
      </w:r>
      <w:r w:rsidRPr="00561FD9">
        <w:rPr>
          <w:i/>
          <w:iCs/>
        </w:rPr>
        <w:t>Midwifery</w:t>
      </w:r>
      <w:r w:rsidRPr="00561FD9">
        <w:t xml:space="preserve">, 30(11), pp. 1140-1146. Available at: </w:t>
      </w:r>
      <w:hyperlink r:id="rId7" w:history="1">
        <w:r w:rsidRPr="00561FD9">
          <w:rPr>
            <w:rStyle w:val="Hyperlink"/>
          </w:rPr>
          <w:t>https://pubmed.ncbi.nlm.nih.gov/24820002/</w:t>
        </w:r>
      </w:hyperlink>
      <w:r w:rsidRPr="00561FD9">
        <w:t>.</w:t>
      </w:r>
    </w:p>
    <w:p w14:paraId="5161396C" w14:textId="77777777" w:rsidR="00561FD9" w:rsidRPr="00561FD9" w:rsidRDefault="00561FD9" w:rsidP="00561FD9">
      <w:r w:rsidRPr="00561FD9">
        <w:t xml:space="preserve">Campbell, R.J. (2020) ‘Change management in health care’, </w:t>
      </w:r>
      <w:r w:rsidRPr="00561FD9">
        <w:rPr>
          <w:i/>
          <w:iCs/>
        </w:rPr>
        <w:t>The Health Care Manager</w:t>
      </w:r>
      <w:r w:rsidRPr="00561FD9">
        <w:t xml:space="preserve">, 39(1), pp. 50-65. Available at: </w:t>
      </w:r>
      <w:hyperlink r:id="rId8" w:history="1">
        <w:r w:rsidRPr="00561FD9">
          <w:rPr>
            <w:rStyle w:val="Hyperlink"/>
          </w:rPr>
          <w:t>https://pubmed.ncbi.nlm.nih.gov/32345939/</w:t>
        </w:r>
      </w:hyperlink>
      <w:r w:rsidRPr="00561FD9">
        <w:t>.</w:t>
      </w:r>
    </w:p>
    <w:p w14:paraId="19E4B576" w14:textId="77777777" w:rsidR="00561FD9" w:rsidRPr="00561FD9" w:rsidRDefault="00561FD9" w:rsidP="00561FD9">
      <w:r w:rsidRPr="00561FD9">
        <w:t xml:space="preserve">Capper, T., Braithwaite, J., Bell, J. and colleagues (2024) ‘Health professionals’ experiences of whistleblowing in maternal and newborn healthcare settings: a scoping review and thematic analysis’, </w:t>
      </w:r>
      <w:r w:rsidRPr="00561FD9">
        <w:rPr>
          <w:i/>
          <w:iCs/>
        </w:rPr>
        <w:t>Women and Birth</w:t>
      </w:r>
      <w:r w:rsidRPr="00561FD9">
        <w:t xml:space="preserve">. Available at: </w:t>
      </w:r>
      <w:hyperlink r:id="rId9" w:history="1">
        <w:r w:rsidRPr="00561FD9">
          <w:rPr>
            <w:rStyle w:val="Hyperlink"/>
          </w:rPr>
          <w:t>https://pubmed.ncbi.nlm.nih.gov/38423844/</w:t>
        </w:r>
      </w:hyperlink>
      <w:r w:rsidRPr="00561FD9">
        <w:t>.</w:t>
      </w:r>
    </w:p>
    <w:p w14:paraId="76121F72" w14:textId="77777777" w:rsidR="00561FD9" w:rsidRPr="00561FD9" w:rsidRDefault="00561FD9" w:rsidP="00561FD9">
      <w:r w:rsidRPr="00561FD9">
        <w:t xml:space="preserve">Cheshire, J., Hutchinson, A.M., Garbutt, R. and colleagues (2021) ‘Escalation triggers and expected responses in obstetric early warning systems used in UK consultant-led maternity units’, </w:t>
      </w:r>
      <w:r w:rsidRPr="00561FD9">
        <w:rPr>
          <w:i/>
          <w:iCs/>
        </w:rPr>
        <w:t>Women and Birth</w:t>
      </w:r>
      <w:r w:rsidRPr="00561FD9">
        <w:t xml:space="preserve">, 34(6), pp. e549-e558. Available at: </w:t>
      </w:r>
      <w:hyperlink r:id="rId10" w:history="1">
        <w:r w:rsidRPr="00561FD9">
          <w:rPr>
            <w:rStyle w:val="Hyperlink"/>
          </w:rPr>
          <w:t>https://pubmed.ncbi.nlm.nih.gov/34223332/</w:t>
        </w:r>
      </w:hyperlink>
      <w:r w:rsidRPr="00561FD9">
        <w:t>.</w:t>
      </w:r>
    </w:p>
    <w:p w14:paraId="304D3F5E" w14:textId="77777777" w:rsidR="00561FD9" w:rsidRPr="00561FD9" w:rsidRDefault="00561FD9" w:rsidP="00561FD9">
      <w:r w:rsidRPr="00561FD9">
        <w:t xml:space="preserve">Creswell, L., Dixon-Woods, M., Dawson, J. and colleagues (2023) ‘A retrospective observational study of </w:t>
      </w:r>
      <w:proofErr w:type="spellStart"/>
      <w:r w:rsidRPr="00561FD9">
        <w:t>labour</w:t>
      </w:r>
      <w:proofErr w:type="spellEnd"/>
      <w:r w:rsidRPr="00561FD9">
        <w:t xml:space="preserve"> ward work and staffing’, </w:t>
      </w:r>
      <w:r w:rsidRPr="00561FD9">
        <w:rPr>
          <w:i/>
          <w:iCs/>
        </w:rPr>
        <w:t>BMJ Open Quality</w:t>
      </w:r>
      <w:r w:rsidRPr="00561FD9">
        <w:t xml:space="preserve">. Available at: </w:t>
      </w:r>
      <w:hyperlink r:id="rId11" w:history="1">
        <w:r w:rsidRPr="00561FD9">
          <w:rPr>
            <w:rStyle w:val="Hyperlink"/>
          </w:rPr>
          <w:t>https://pubmed.ncbi.nlm.nih.gov/37229963/</w:t>
        </w:r>
      </w:hyperlink>
      <w:r w:rsidRPr="00561FD9">
        <w:t>.</w:t>
      </w:r>
    </w:p>
    <w:p w14:paraId="1E84C2CE" w14:textId="77777777" w:rsidR="00561FD9" w:rsidRPr="00561FD9" w:rsidRDefault="00561FD9" w:rsidP="00561FD9">
      <w:r w:rsidRPr="00561FD9">
        <w:t xml:space="preserve">Donabedian, A. (1988) ‘The quality of care: how can it be assessed?’, </w:t>
      </w:r>
      <w:r w:rsidRPr="00561FD9">
        <w:rPr>
          <w:i/>
          <w:iCs/>
        </w:rPr>
        <w:t>JAMA</w:t>
      </w:r>
      <w:r w:rsidRPr="00561FD9">
        <w:t xml:space="preserve">, 260(12), pp. 1743-1748. Available at: </w:t>
      </w:r>
      <w:hyperlink r:id="rId12" w:history="1">
        <w:r w:rsidRPr="00561FD9">
          <w:rPr>
            <w:rStyle w:val="Hyperlink"/>
          </w:rPr>
          <w:t>https://pubmed.ncbi.nlm.nih.gov/3045356/</w:t>
        </w:r>
      </w:hyperlink>
      <w:r w:rsidRPr="00561FD9">
        <w:t>.</w:t>
      </w:r>
    </w:p>
    <w:p w14:paraId="66322184" w14:textId="77777777" w:rsidR="00561FD9" w:rsidRPr="00561FD9" w:rsidRDefault="00561FD9" w:rsidP="00561FD9">
      <w:r w:rsidRPr="00561FD9">
        <w:t xml:space="preserve">Gillespie, A. and Reader, T.W. (2016) ‘The Healthcare Complaints Analysis Tool: development and reliability testing of a method for service monitoring and </w:t>
      </w:r>
      <w:proofErr w:type="spellStart"/>
      <w:r w:rsidRPr="00561FD9">
        <w:t>organisational</w:t>
      </w:r>
      <w:proofErr w:type="spellEnd"/>
      <w:r w:rsidRPr="00561FD9">
        <w:t xml:space="preserve"> learning’, </w:t>
      </w:r>
      <w:r w:rsidRPr="00561FD9">
        <w:rPr>
          <w:i/>
          <w:iCs/>
        </w:rPr>
        <w:t>BMJ Quality and Safety</w:t>
      </w:r>
      <w:r w:rsidRPr="00561FD9">
        <w:t xml:space="preserve">, 25(12), pp. 937-946. Available at: </w:t>
      </w:r>
      <w:hyperlink r:id="rId13" w:history="1">
        <w:r w:rsidRPr="00561FD9">
          <w:rPr>
            <w:rStyle w:val="Hyperlink"/>
          </w:rPr>
          <w:t>https://pubmed.ncbi.nlm.nih.gov/26634890/</w:t>
        </w:r>
      </w:hyperlink>
      <w:r w:rsidRPr="00561FD9">
        <w:t>.</w:t>
      </w:r>
    </w:p>
    <w:p w14:paraId="2C3CA623" w14:textId="77777777" w:rsidR="00561FD9" w:rsidRPr="00561FD9" w:rsidRDefault="00561FD9" w:rsidP="00561FD9">
      <w:r w:rsidRPr="00561FD9">
        <w:t xml:space="preserve">Griffiths, P., Turner, L., Brown, H. and colleagues (2024) ‘Evidence on the use of Birthrate Plus® to guide safe staffing in maternity services: a systematic scoping review’, </w:t>
      </w:r>
      <w:r w:rsidRPr="00561FD9">
        <w:rPr>
          <w:i/>
          <w:iCs/>
        </w:rPr>
        <w:t>Women and Birth</w:t>
      </w:r>
      <w:r w:rsidRPr="00561FD9">
        <w:t xml:space="preserve">, 37(2). Available at: </w:t>
      </w:r>
      <w:hyperlink r:id="rId14" w:history="1">
        <w:r w:rsidRPr="00561FD9">
          <w:rPr>
            <w:rStyle w:val="Hyperlink"/>
          </w:rPr>
          <w:t>https://pubmed.ncbi.nlm.nih.gov/38007331/</w:t>
        </w:r>
      </w:hyperlink>
      <w:r w:rsidRPr="00561FD9">
        <w:t>.</w:t>
      </w:r>
    </w:p>
    <w:p w14:paraId="2DBE56BF" w14:textId="77777777" w:rsidR="00561FD9" w:rsidRPr="00561FD9" w:rsidRDefault="00561FD9" w:rsidP="00561FD9">
      <w:r w:rsidRPr="00561FD9">
        <w:t xml:space="preserve">Harrison, R., Fischer, S., </w:t>
      </w:r>
      <w:proofErr w:type="spellStart"/>
      <w:r w:rsidRPr="00561FD9">
        <w:t>Walpola</w:t>
      </w:r>
      <w:proofErr w:type="spellEnd"/>
      <w:r w:rsidRPr="00561FD9">
        <w:t xml:space="preserve">, R.L., Chauhan, A., Babalola, T. and Mears, S. (2021) ‘Where do models for change management, improvement and implementation meet? A systematic review of the </w:t>
      </w:r>
      <w:r w:rsidRPr="00561FD9">
        <w:lastRenderedPageBreak/>
        <w:t xml:space="preserve">applications of change management models in healthcare’, </w:t>
      </w:r>
      <w:r w:rsidRPr="00561FD9">
        <w:rPr>
          <w:i/>
          <w:iCs/>
        </w:rPr>
        <w:t>Journal of Healthcare Leadership</w:t>
      </w:r>
      <w:r w:rsidRPr="00561FD9">
        <w:t xml:space="preserve">, 13, pp. 85-108. Available at: </w:t>
      </w:r>
      <w:hyperlink r:id="rId15" w:history="1">
        <w:r w:rsidRPr="00561FD9">
          <w:rPr>
            <w:rStyle w:val="Hyperlink"/>
          </w:rPr>
          <w:t>https://pubmed.ncbi.nlm.nih.gov/33737854/</w:t>
        </w:r>
      </w:hyperlink>
      <w:r w:rsidRPr="00561FD9">
        <w:t>.</w:t>
      </w:r>
    </w:p>
    <w:p w14:paraId="7A12A28B" w14:textId="77777777" w:rsidR="00561FD9" w:rsidRPr="00561FD9" w:rsidRDefault="00561FD9" w:rsidP="00561FD9">
      <w:r w:rsidRPr="00561FD9">
        <w:t xml:space="preserve">Kane, J., Kelly, M.A., Crichton, N. and colleagues (2023) ‘Defining speaking up in the healthcare system: a review’, </w:t>
      </w:r>
      <w:r w:rsidRPr="00561FD9">
        <w:rPr>
          <w:i/>
          <w:iCs/>
        </w:rPr>
        <w:t>Journal of General Internal Medicine</w:t>
      </w:r>
      <w:r w:rsidRPr="00561FD9">
        <w:t xml:space="preserve">. Available at: </w:t>
      </w:r>
      <w:hyperlink r:id="rId16" w:history="1">
        <w:r w:rsidRPr="00561FD9">
          <w:rPr>
            <w:rStyle w:val="Hyperlink"/>
          </w:rPr>
          <w:t>https://pubmed.ncbi.nlm.nih.gov/37670070/</w:t>
        </w:r>
      </w:hyperlink>
      <w:r w:rsidRPr="00561FD9">
        <w:t>.</w:t>
      </w:r>
    </w:p>
    <w:p w14:paraId="37F2A170" w14:textId="77777777" w:rsidR="00561FD9" w:rsidRPr="00561FD9" w:rsidRDefault="00561FD9" w:rsidP="00561FD9">
      <w:r w:rsidRPr="00561FD9">
        <w:t xml:space="preserve">Knudsen, S.V., Laursen, H.V.B., Johnsen, S.P., Bartels, P.D., Ehlers, L.H. and Mainz, J. (2019) ‘Can quality improvement improve the quality of care? A systematic review of reported effects and methodological </w:t>
      </w:r>
      <w:proofErr w:type="spellStart"/>
      <w:r w:rsidRPr="00561FD9">
        <w:t>rigour</w:t>
      </w:r>
      <w:proofErr w:type="spellEnd"/>
      <w:r w:rsidRPr="00561FD9">
        <w:t xml:space="preserve"> in PDSA-based improvement projects’, </w:t>
      </w:r>
      <w:r w:rsidRPr="00561FD9">
        <w:rPr>
          <w:i/>
          <w:iCs/>
        </w:rPr>
        <w:t>BMC Health Services Research</w:t>
      </w:r>
      <w:r w:rsidRPr="00561FD9">
        <w:t xml:space="preserve">, 19, p. 683. Available at: </w:t>
      </w:r>
      <w:hyperlink r:id="rId17" w:history="1">
        <w:r w:rsidRPr="00561FD9">
          <w:rPr>
            <w:rStyle w:val="Hyperlink"/>
          </w:rPr>
          <w:t>https://pubmed.ncbi.nlm.nih.gov/31585540/</w:t>
        </w:r>
      </w:hyperlink>
      <w:r w:rsidRPr="00561FD9">
        <w:t>.</w:t>
      </w:r>
    </w:p>
    <w:p w14:paraId="722811BD" w14:textId="77777777" w:rsidR="00561FD9" w:rsidRPr="00561FD9" w:rsidRDefault="00561FD9" w:rsidP="00561FD9">
      <w:r w:rsidRPr="00561FD9">
        <w:t xml:space="preserve">Liberati, E.G., Tarrant, C., Willars, J. and Dixon-Woods, M. (2019) ‘How to be a very safe maternity unit: an ethnographic study’, </w:t>
      </w:r>
      <w:r w:rsidRPr="00561FD9">
        <w:rPr>
          <w:i/>
          <w:iCs/>
        </w:rPr>
        <w:t>Social Science and Medicine</w:t>
      </w:r>
      <w:r w:rsidRPr="00561FD9">
        <w:t xml:space="preserve">, 223, pp. 64-72. Available at: </w:t>
      </w:r>
      <w:hyperlink r:id="rId18" w:history="1">
        <w:r w:rsidRPr="00561FD9">
          <w:rPr>
            <w:rStyle w:val="Hyperlink"/>
          </w:rPr>
          <w:t>https://pubmed.ncbi.nlm.nih.gov/30710763/</w:t>
        </w:r>
      </w:hyperlink>
      <w:r w:rsidRPr="00561FD9">
        <w:t>.</w:t>
      </w:r>
    </w:p>
    <w:p w14:paraId="063D6784" w14:textId="77777777" w:rsidR="00561FD9" w:rsidRPr="00561FD9" w:rsidRDefault="00561FD9" w:rsidP="00561FD9">
      <w:r w:rsidRPr="00561FD9">
        <w:t xml:space="preserve">Mahmoud, H.A., Magd, S.A. and colleagues (2023) ‘Barriers and facilitators to improving patient safety learning systems: a systematic review of qualitative studies and meta-synthesis’, </w:t>
      </w:r>
      <w:r w:rsidRPr="00561FD9">
        <w:rPr>
          <w:i/>
          <w:iCs/>
        </w:rPr>
        <w:t>BMJ Open Quality</w:t>
      </w:r>
      <w:r w:rsidRPr="00561FD9">
        <w:t xml:space="preserve">, 12(2). Available at: </w:t>
      </w:r>
      <w:hyperlink r:id="rId19" w:history="1">
        <w:r w:rsidRPr="00561FD9">
          <w:rPr>
            <w:rStyle w:val="Hyperlink"/>
          </w:rPr>
          <w:t>https://pubmed.ncbi.nlm.nih.gov/37012003/</w:t>
        </w:r>
      </w:hyperlink>
      <w:r w:rsidRPr="00561FD9">
        <w:t>.</w:t>
      </w:r>
    </w:p>
    <w:p w14:paraId="7CB8DD22" w14:textId="77777777" w:rsidR="00561FD9" w:rsidRPr="00561FD9" w:rsidRDefault="00561FD9" w:rsidP="00561FD9">
      <w:r w:rsidRPr="00561FD9">
        <w:t xml:space="preserve">McNicholas, C., Lennox, L., Woodcock, T., Bell, D. and Reed, J.E. (2019) ‘Evolving quality improvement support strategies to improve Plan-Do-Study-Act cycle fidelity: a retrospective mixed-methods study’, </w:t>
      </w:r>
      <w:r w:rsidRPr="00561FD9">
        <w:rPr>
          <w:i/>
          <w:iCs/>
        </w:rPr>
        <w:t>BMJ Quality and Safety</w:t>
      </w:r>
      <w:r w:rsidRPr="00561FD9">
        <w:t xml:space="preserve">, 28(5), pp. 356-365. Available at: </w:t>
      </w:r>
      <w:hyperlink r:id="rId20" w:history="1">
        <w:r w:rsidRPr="00561FD9">
          <w:rPr>
            <w:rStyle w:val="Hyperlink"/>
          </w:rPr>
          <w:t>https://pubmed.ncbi.nlm.nih.gov/30886118/</w:t>
        </w:r>
      </w:hyperlink>
      <w:r w:rsidRPr="00561FD9">
        <w:t>.</w:t>
      </w:r>
    </w:p>
    <w:p w14:paraId="5B086BAB" w14:textId="77777777" w:rsidR="00561FD9" w:rsidRPr="00561FD9" w:rsidRDefault="00561FD9" w:rsidP="00561FD9">
      <w:r w:rsidRPr="00561FD9">
        <w:t xml:space="preserve">Mitchell, P.H., </w:t>
      </w:r>
      <w:proofErr w:type="spellStart"/>
      <w:r w:rsidRPr="00561FD9">
        <w:t>Ferketich</w:t>
      </w:r>
      <w:proofErr w:type="spellEnd"/>
      <w:r w:rsidRPr="00561FD9">
        <w:t xml:space="preserve">, S. and Jennings, B.M. (1998) ‘Quality health outcomes model’, </w:t>
      </w:r>
      <w:r w:rsidRPr="00561FD9">
        <w:rPr>
          <w:i/>
          <w:iCs/>
        </w:rPr>
        <w:t>Image: The Journal of Nursing Scholarship</w:t>
      </w:r>
      <w:r w:rsidRPr="00561FD9">
        <w:t xml:space="preserve">, 30(1), pp. 43-46. Available at: </w:t>
      </w:r>
      <w:hyperlink r:id="rId21" w:history="1">
        <w:r w:rsidRPr="00561FD9">
          <w:rPr>
            <w:rStyle w:val="Hyperlink"/>
          </w:rPr>
          <w:t>https://pubmed.ncbi.nlm.nih.gov/9549940/</w:t>
        </w:r>
      </w:hyperlink>
      <w:r w:rsidRPr="00561FD9">
        <w:t>.</w:t>
      </w:r>
    </w:p>
    <w:p w14:paraId="6D1764F2" w14:textId="77777777" w:rsidR="00561FD9" w:rsidRPr="00561FD9" w:rsidRDefault="00561FD9" w:rsidP="00561FD9">
      <w:r w:rsidRPr="00561FD9">
        <w:t xml:space="preserve">Moncrieff, G., Kearney, N., Henshall, C. and colleagues (2023) ‘Mapping factors that may influence attrition and retention of the midwifery workforce: a scoping review’, </w:t>
      </w:r>
      <w:r w:rsidRPr="00561FD9">
        <w:rPr>
          <w:i/>
          <w:iCs/>
        </w:rPr>
        <w:t>Midwifery</w:t>
      </w:r>
      <w:r w:rsidRPr="00561FD9">
        <w:t xml:space="preserve">. Available at: </w:t>
      </w:r>
      <w:hyperlink r:id="rId22" w:history="1">
        <w:r w:rsidRPr="00561FD9">
          <w:rPr>
            <w:rStyle w:val="Hyperlink"/>
          </w:rPr>
          <w:t>https://pubmed.ncbi.nlm.nih.gov/37865412/</w:t>
        </w:r>
      </w:hyperlink>
      <w:r w:rsidRPr="00561FD9">
        <w:t>.</w:t>
      </w:r>
    </w:p>
    <w:p w14:paraId="35889259" w14:textId="77777777" w:rsidR="00561FD9" w:rsidRPr="00561FD9" w:rsidRDefault="00561FD9" w:rsidP="00561FD9">
      <w:r w:rsidRPr="00561FD9">
        <w:t xml:space="preserve">Moore, L., Lavoie, A., Bourgeois, G. and Lapointe, J. (2015) ‘Donabedian’s structure-process-outcome quality of care model: validation in an integrated trauma system’, </w:t>
      </w:r>
      <w:r w:rsidRPr="00561FD9">
        <w:rPr>
          <w:i/>
          <w:iCs/>
        </w:rPr>
        <w:t>Journal of Trauma and Acute Care Surgery</w:t>
      </w:r>
      <w:r w:rsidRPr="00561FD9">
        <w:t xml:space="preserve">, 78(6), pp. 1168-1175. Available at: </w:t>
      </w:r>
      <w:hyperlink r:id="rId23" w:history="1">
        <w:r w:rsidRPr="00561FD9">
          <w:rPr>
            <w:rStyle w:val="Hyperlink"/>
          </w:rPr>
          <w:t>https://pubmed.ncbi.nlm.nih.gov/26151519/</w:t>
        </w:r>
      </w:hyperlink>
      <w:r w:rsidRPr="00561FD9">
        <w:t>.</w:t>
      </w:r>
    </w:p>
    <w:p w14:paraId="536332AD" w14:textId="77777777" w:rsidR="00561FD9" w:rsidRPr="00561FD9" w:rsidRDefault="00561FD9" w:rsidP="00561FD9">
      <w:r w:rsidRPr="00561FD9">
        <w:t xml:space="preserve">National Guardian’s Office (2024) </w:t>
      </w:r>
      <w:r w:rsidRPr="00561FD9">
        <w:rPr>
          <w:i/>
          <w:iCs/>
        </w:rPr>
        <w:t>The National Guardian’s Office: Freedom to Speak Up</w:t>
      </w:r>
      <w:r w:rsidRPr="00561FD9">
        <w:t xml:space="preserve">. Available at: </w:t>
      </w:r>
      <w:hyperlink r:id="rId24" w:history="1">
        <w:r w:rsidRPr="00561FD9">
          <w:rPr>
            <w:rStyle w:val="Hyperlink"/>
          </w:rPr>
          <w:t>https://nationalguardian.org.uk/</w:t>
        </w:r>
      </w:hyperlink>
      <w:r w:rsidRPr="00561FD9">
        <w:t>.</w:t>
      </w:r>
    </w:p>
    <w:p w14:paraId="1F9C0897" w14:textId="77777777" w:rsidR="00561FD9" w:rsidRPr="00561FD9" w:rsidRDefault="00561FD9" w:rsidP="00561FD9">
      <w:r w:rsidRPr="00561FD9">
        <w:lastRenderedPageBreak/>
        <w:t xml:space="preserve">NHS England (2022) </w:t>
      </w:r>
      <w:r w:rsidRPr="00561FD9">
        <w:rPr>
          <w:i/>
          <w:iCs/>
        </w:rPr>
        <w:t>Freedom to Speak Up: raising concerns, speaking up for patient safety</w:t>
      </w:r>
      <w:r w:rsidRPr="00561FD9">
        <w:t xml:space="preserve">. Available at: </w:t>
      </w:r>
      <w:hyperlink r:id="rId25" w:history="1">
        <w:r w:rsidRPr="00561FD9">
          <w:rPr>
            <w:rStyle w:val="Hyperlink"/>
          </w:rPr>
          <w:t>https://www.england.nhs.uk/wp-content/uploads/2022/04/B1245_ii_NHS-freedom-to-speak-up-guide-eBook.pdf</w:t>
        </w:r>
      </w:hyperlink>
      <w:r w:rsidRPr="00561FD9">
        <w:t>.</w:t>
      </w:r>
    </w:p>
    <w:p w14:paraId="4002585B" w14:textId="77777777" w:rsidR="00561FD9" w:rsidRPr="00561FD9" w:rsidRDefault="00561FD9" w:rsidP="00561FD9">
      <w:r w:rsidRPr="00561FD9">
        <w:t xml:space="preserve">NHS England (2023a) </w:t>
      </w:r>
      <w:proofErr w:type="gramStart"/>
      <w:r w:rsidRPr="00561FD9">
        <w:rPr>
          <w:i/>
          <w:iCs/>
        </w:rPr>
        <w:t>Three year</w:t>
      </w:r>
      <w:proofErr w:type="gramEnd"/>
      <w:r w:rsidRPr="00561FD9">
        <w:rPr>
          <w:i/>
          <w:iCs/>
        </w:rPr>
        <w:t xml:space="preserve"> delivery plan for maternity and neonatal services</w:t>
      </w:r>
      <w:r w:rsidRPr="00561FD9">
        <w:t xml:space="preserve">. Available at: </w:t>
      </w:r>
      <w:hyperlink r:id="rId26" w:history="1">
        <w:r w:rsidRPr="00561FD9">
          <w:rPr>
            <w:rStyle w:val="Hyperlink"/>
          </w:rPr>
          <w:t>https://www.england.nhs.uk/wp-content/uploads/2023/03/B1915-three-year-delivery-plan-for-maternity-and-neonatal-services-march-2023.pdf</w:t>
        </w:r>
      </w:hyperlink>
      <w:r w:rsidRPr="00561FD9">
        <w:t>.</w:t>
      </w:r>
    </w:p>
    <w:p w14:paraId="35046A2F" w14:textId="77777777" w:rsidR="00561FD9" w:rsidRPr="00561FD9" w:rsidRDefault="00561FD9" w:rsidP="00561FD9">
      <w:r w:rsidRPr="00561FD9">
        <w:t xml:space="preserve">NHS England (2023b) </w:t>
      </w:r>
      <w:r w:rsidRPr="00561FD9">
        <w:rPr>
          <w:i/>
          <w:iCs/>
        </w:rPr>
        <w:t xml:space="preserve">Maternity and Neonatal Safety Improvement </w:t>
      </w:r>
      <w:proofErr w:type="spellStart"/>
      <w:r w:rsidRPr="00561FD9">
        <w:rPr>
          <w:i/>
          <w:iCs/>
        </w:rPr>
        <w:t>Programme</w:t>
      </w:r>
      <w:proofErr w:type="spellEnd"/>
      <w:r w:rsidRPr="00561FD9">
        <w:t xml:space="preserve">. Available at: </w:t>
      </w:r>
      <w:hyperlink r:id="rId27" w:history="1">
        <w:r w:rsidRPr="00561FD9">
          <w:rPr>
            <w:rStyle w:val="Hyperlink"/>
          </w:rPr>
          <w:t>https://www.england.nhs.uk/mat-transformation/maternal-and-neonatal-safety-collaborative/</w:t>
        </w:r>
      </w:hyperlink>
      <w:r w:rsidRPr="00561FD9">
        <w:t>.</w:t>
      </w:r>
    </w:p>
    <w:p w14:paraId="056A5FB9" w14:textId="77777777" w:rsidR="00561FD9" w:rsidRPr="00561FD9" w:rsidRDefault="00561FD9" w:rsidP="00561FD9">
      <w:r w:rsidRPr="00561FD9">
        <w:t xml:space="preserve">NHS England (2023c) </w:t>
      </w:r>
      <w:r w:rsidRPr="00561FD9">
        <w:rPr>
          <w:i/>
          <w:iCs/>
        </w:rPr>
        <w:t>NHS Long Term Workforce Plan</w:t>
      </w:r>
      <w:r w:rsidRPr="00561FD9">
        <w:t xml:space="preserve">. Available at: </w:t>
      </w:r>
      <w:hyperlink r:id="rId28" w:history="1">
        <w:r w:rsidRPr="00561FD9">
          <w:rPr>
            <w:rStyle w:val="Hyperlink"/>
          </w:rPr>
          <w:t>https://www.england.nhs.uk/wp-content/uploads/2023/06/nhs-long-term-workforce-plan-v1.2.pdf</w:t>
        </w:r>
      </w:hyperlink>
      <w:r w:rsidRPr="00561FD9">
        <w:t>.</w:t>
      </w:r>
    </w:p>
    <w:p w14:paraId="5CE6FD18" w14:textId="77777777" w:rsidR="00561FD9" w:rsidRPr="00561FD9" w:rsidRDefault="00561FD9" w:rsidP="00561FD9">
      <w:r w:rsidRPr="00561FD9">
        <w:t xml:space="preserve">Ockenden, D. (2020) </w:t>
      </w:r>
      <w:r w:rsidRPr="00561FD9">
        <w:rPr>
          <w:i/>
          <w:iCs/>
        </w:rPr>
        <w:t>Emerging findings and recommendations from the Independent Review of Maternity Services at The Shrewsbury and Telford Hospital NHS Trust</w:t>
      </w:r>
      <w:r w:rsidRPr="00561FD9">
        <w:t xml:space="preserve">. Available at: </w:t>
      </w:r>
      <w:hyperlink r:id="rId29" w:history="1">
        <w:r w:rsidRPr="00561FD9">
          <w:rPr>
            <w:rStyle w:val="Hyperlink"/>
          </w:rPr>
          <w:t>https://www.gov.uk/government/publications/ockenden-review-of-maternity-services-at-shrewsbury-and-telford-hospital-nhs-trust</w:t>
        </w:r>
      </w:hyperlink>
      <w:r w:rsidRPr="00561FD9">
        <w:t>.</w:t>
      </w:r>
    </w:p>
    <w:p w14:paraId="24886719" w14:textId="77777777" w:rsidR="00561FD9" w:rsidRPr="00561FD9" w:rsidRDefault="00561FD9" w:rsidP="00561FD9">
      <w:r w:rsidRPr="00561FD9">
        <w:t xml:space="preserve">Ockenden, D. (2022) </w:t>
      </w:r>
      <w:r w:rsidRPr="00561FD9">
        <w:rPr>
          <w:i/>
          <w:iCs/>
        </w:rPr>
        <w:t>Findings, conclusions and essential actions from the Independent Review of Maternity Services at The Shrewsbury and Telford Hospital NHS Trust</w:t>
      </w:r>
      <w:r w:rsidRPr="00561FD9">
        <w:t xml:space="preserve">. Available at: </w:t>
      </w:r>
      <w:hyperlink r:id="rId30" w:history="1">
        <w:r w:rsidRPr="00561FD9">
          <w:rPr>
            <w:rStyle w:val="Hyperlink"/>
          </w:rPr>
          <w:t>https://www.gov.uk/government/publications/final-report-of-the-ockenden-review</w:t>
        </w:r>
      </w:hyperlink>
      <w:r w:rsidRPr="00561FD9">
        <w:t>.</w:t>
      </w:r>
    </w:p>
    <w:p w14:paraId="1FE7FAB5" w14:textId="77777777" w:rsidR="00561FD9" w:rsidRPr="00561FD9" w:rsidRDefault="00561FD9" w:rsidP="00561FD9">
      <w:r w:rsidRPr="00561FD9">
        <w:t xml:space="preserve">O’Donovan, R., De Brún, A., McAuliffe, E. and colleagues (2020) ‘A systematic review of factors that enable psychological safety in healthcare teams’, </w:t>
      </w:r>
      <w:r w:rsidRPr="00561FD9">
        <w:rPr>
          <w:i/>
          <w:iCs/>
        </w:rPr>
        <w:t>International Journal for Quality in Health Care</w:t>
      </w:r>
      <w:r w:rsidRPr="00561FD9">
        <w:t xml:space="preserve">, 32(4), pp. 240-250. Available at: </w:t>
      </w:r>
      <w:hyperlink r:id="rId31" w:history="1">
        <w:r w:rsidRPr="00561FD9">
          <w:rPr>
            <w:rStyle w:val="Hyperlink"/>
          </w:rPr>
          <w:t>https://pubmed.ncbi.nlm.nih.gov/32232323/</w:t>
        </w:r>
      </w:hyperlink>
      <w:r w:rsidRPr="00561FD9">
        <w:t>.</w:t>
      </w:r>
    </w:p>
    <w:p w14:paraId="2189B651" w14:textId="77777777" w:rsidR="00561FD9" w:rsidRPr="00561FD9" w:rsidRDefault="00561FD9" w:rsidP="00561FD9">
      <w:r w:rsidRPr="00561FD9">
        <w:t xml:space="preserve">O’Donovan, R., O’Connor, P., McAuliffe, E. and colleagues (2020) ‘Exploring psychological safety in healthcare teams to inform the development of interventions: combining observational, survey and interview data’, </w:t>
      </w:r>
      <w:r w:rsidRPr="00561FD9">
        <w:rPr>
          <w:i/>
          <w:iCs/>
        </w:rPr>
        <w:t>BMC Health Services Research</w:t>
      </w:r>
      <w:r w:rsidRPr="00561FD9">
        <w:t xml:space="preserve">, 20, p. 810. Available at: </w:t>
      </w:r>
      <w:hyperlink r:id="rId32" w:history="1">
        <w:r w:rsidRPr="00561FD9">
          <w:rPr>
            <w:rStyle w:val="Hyperlink"/>
          </w:rPr>
          <w:t>https://pubmed.ncbi.nlm.nih.gov/32867762/</w:t>
        </w:r>
      </w:hyperlink>
      <w:r w:rsidRPr="00561FD9">
        <w:t>.</w:t>
      </w:r>
    </w:p>
    <w:p w14:paraId="3B23FC9F" w14:textId="77777777" w:rsidR="00561FD9" w:rsidRPr="00561FD9" w:rsidRDefault="00561FD9" w:rsidP="00561FD9">
      <w:r w:rsidRPr="00561FD9">
        <w:t xml:space="preserve">Okuyama, A., Wagner, C. and </w:t>
      </w:r>
      <w:proofErr w:type="spellStart"/>
      <w:r w:rsidRPr="00561FD9">
        <w:t>Bijnen</w:t>
      </w:r>
      <w:proofErr w:type="spellEnd"/>
      <w:r w:rsidRPr="00561FD9">
        <w:t xml:space="preserve">, B. (2014) ‘Speaking up for patient safety by hospital-based health care professionals: a literature review’, </w:t>
      </w:r>
      <w:r w:rsidRPr="00561FD9">
        <w:rPr>
          <w:i/>
          <w:iCs/>
        </w:rPr>
        <w:t>BMC Health Services Research</w:t>
      </w:r>
      <w:r w:rsidRPr="00561FD9">
        <w:t xml:space="preserve">, 14, p. 61. Available at: </w:t>
      </w:r>
      <w:hyperlink r:id="rId33" w:history="1">
        <w:r w:rsidRPr="00561FD9">
          <w:rPr>
            <w:rStyle w:val="Hyperlink"/>
          </w:rPr>
          <w:t>https://pubmed.ncbi.nlm.nih.gov/24507747/</w:t>
        </w:r>
      </w:hyperlink>
      <w:r w:rsidRPr="00561FD9">
        <w:t>.</w:t>
      </w:r>
    </w:p>
    <w:p w14:paraId="6E9F2644" w14:textId="77777777" w:rsidR="00561FD9" w:rsidRPr="00561FD9" w:rsidRDefault="00561FD9" w:rsidP="00561FD9">
      <w:r w:rsidRPr="00561FD9">
        <w:t xml:space="preserve">Quinn, A.C., Meek, T. and McGlennan, A. (2016) ‘Obstetric early warning systems to prevent bad outcome’, </w:t>
      </w:r>
      <w:r w:rsidRPr="00561FD9">
        <w:rPr>
          <w:i/>
          <w:iCs/>
        </w:rPr>
        <w:t xml:space="preserve">Current Opinion in </w:t>
      </w:r>
      <w:proofErr w:type="spellStart"/>
      <w:r w:rsidRPr="00561FD9">
        <w:rPr>
          <w:i/>
          <w:iCs/>
        </w:rPr>
        <w:t>Anaesthesiology</w:t>
      </w:r>
      <w:proofErr w:type="spellEnd"/>
      <w:r w:rsidRPr="00561FD9">
        <w:t xml:space="preserve">, 29(3), pp. 268-272. Available at: </w:t>
      </w:r>
      <w:hyperlink r:id="rId34" w:history="1">
        <w:r w:rsidRPr="00561FD9">
          <w:rPr>
            <w:rStyle w:val="Hyperlink"/>
          </w:rPr>
          <w:t>https://pubmed.ncbi.nlm.nih.gov/27031791/</w:t>
        </w:r>
      </w:hyperlink>
      <w:r w:rsidRPr="00561FD9">
        <w:t>.</w:t>
      </w:r>
    </w:p>
    <w:p w14:paraId="6A8BFBFB" w14:textId="77777777" w:rsidR="00561FD9" w:rsidRPr="00561FD9" w:rsidRDefault="00561FD9" w:rsidP="00561FD9">
      <w:r w:rsidRPr="00561FD9">
        <w:lastRenderedPageBreak/>
        <w:t xml:space="preserve">Rafter, N., Hickey, A., Condell, S. and colleagues (2015) ‘Adverse events in healthcare: learning from mistakes’, </w:t>
      </w:r>
      <w:r w:rsidRPr="00561FD9">
        <w:rPr>
          <w:i/>
          <w:iCs/>
        </w:rPr>
        <w:t>QJM</w:t>
      </w:r>
      <w:r w:rsidRPr="00561FD9">
        <w:t xml:space="preserve">, 108(4), pp. 273-277. Available at: </w:t>
      </w:r>
      <w:hyperlink r:id="rId35" w:history="1">
        <w:r w:rsidRPr="00561FD9">
          <w:rPr>
            <w:rStyle w:val="Hyperlink"/>
          </w:rPr>
          <w:t>https://pubmed.ncbi.nlm.nih.gov/25078411/</w:t>
        </w:r>
      </w:hyperlink>
      <w:r w:rsidRPr="00561FD9">
        <w:t>.</w:t>
      </w:r>
    </w:p>
    <w:p w14:paraId="174EC100" w14:textId="77777777" w:rsidR="00561FD9" w:rsidRPr="00561FD9" w:rsidRDefault="00561FD9" w:rsidP="00561FD9">
      <w:r w:rsidRPr="00561FD9">
        <w:t xml:space="preserve">Reader, T.W., Gillespie, A. and Roberts, J. (2014) ‘Patient complaints in healthcare systems: a systematic review and coding taxonomy’, </w:t>
      </w:r>
      <w:r w:rsidRPr="00561FD9">
        <w:rPr>
          <w:i/>
          <w:iCs/>
        </w:rPr>
        <w:t>BMJ Quality and Safety</w:t>
      </w:r>
      <w:r w:rsidRPr="00561FD9">
        <w:t xml:space="preserve">, 23(8), pp. 678-689. Available at: </w:t>
      </w:r>
      <w:hyperlink r:id="rId36" w:history="1">
        <w:r w:rsidRPr="00561FD9">
          <w:rPr>
            <w:rStyle w:val="Hyperlink"/>
          </w:rPr>
          <w:t>https://pubmed.ncbi.nlm.nih.gov/24876289/</w:t>
        </w:r>
      </w:hyperlink>
      <w:r w:rsidRPr="00561FD9">
        <w:t>.</w:t>
      </w:r>
    </w:p>
    <w:p w14:paraId="434ED74B" w14:textId="77777777" w:rsidR="00561FD9" w:rsidRPr="00561FD9" w:rsidRDefault="00561FD9" w:rsidP="00561FD9">
      <w:r w:rsidRPr="00561FD9">
        <w:t xml:space="preserve">Redinger, C. (2019) ‘Benchmarking in international safety and health’, in </w:t>
      </w:r>
      <w:r w:rsidRPr="00561FD9">
        <w:rPr>
          <w:i/>
          <w:iCs/>
        </w:rPr>
        <w:t>Global Occupational Safety and Health Management Handbook</w:t>
      </w:r>
      <w:r w:rsidRPr="00561FD9">
        <w:t>. Boca Raton: CRC Press, pp. 95-112.</w:t>
      </w:r>
    </w:p>
    <w:p w14:paraId="42A63E39" w14:textId="77777777" w:rsidR="00561FD9" w:rsidRPr="00561FD9" w:rsidRDefault="00561FD9" w:rsidP="00561FD9">
      <w:r w:rsidRPr="00561FD9">
        <w:t xml:space="preserve">Sandall, J., Murrells, T., Dodwell, M. and colleagues (2014) ‘The efficient use of the maternity workforce and the implications for safety and quality in maternity care: a population-based, cross-sectional study’, </w:t>
      </w:r>
      <w:r w:rsidRPr="00561FD9">
        <w:rPr>
          <w:i/>
          <w:iCs/>
        </w:rPr>
        <w:t>Health Services and Delivery Research</w:t>
      </w:r>
      <w:r w:rsidRPr="00561FD9">
        <w:t>, 2(38), pp. 1-266.</w:t>
      </w:r>
    </w:p>
    <w:p w14:paraId="7EADF2B6" w14:textId="77777777" w:rsidR="00561FD9" w:rsidRPr="00561FD9" w:rsidRDefault="00561FD9" w:rsidP="00561FD9">
      <w:r w:rsidRPr="00561FD9">
        <w:t xml:space="preserve">Solow, M. (2023) ‘Change management and health care culture’, </w:t>
      </w:r>
      <w:r w:rsidRPr="00561FD9">
        <w:rPr>
          <w:i/>
          <w:iCs/>
        </w:rPr>
        <w:t>Physician Leadership Journal</w:t>
      </w:r>
      <w:r w:rsidRPr="00561FD9">
        <w:t xml:space="preserve">. Available at: </w:t>
      </w:r>
      <w:hyperlink r:id="rId37" w:history="1">
        <w:r w:rsidRPr="00561FD9">
          <w:rPr>
            <w:rStyle w:val="Hyperlink"/>
          </w:rPr>
          <w:t>https://pubmed.ncbi.nlm.nih.gov/37838377/</w:t>
        </w:r>
      </w:hyperlink>
      <w:r w:rsidRPr="00561FD9">
        <w:t>.</w:t>
      </w:r>
    </w:p>
    <w:p w14:paraId="7245206F" w14:textId="77777777" w:rsidR="00561FD9" w:rsidRPr="00561FD9" w:rsidRDefault="00561FD9" w:rsidP="00561FD9">
      <w:r w:rsidRPr="00561FD9">
        <w:t xml:space="preserve">Stavropoulou, C., Doherty, C. and </w:t>
      </w:r>
      <w:proofErr w:type="spellStart"/>
      <w:r w:rsidRPr="00561FD9">
        <w:t>Tosey</w:t>
      </w:r>
      <w:proofErr w:type="spellEnd"/>
      <w:r w:rsidRPr="00561FD9">
        <w:t xml:space="preserve">, P. (2015) ‘How effective are incident-reporting systems for improving patient safety? A systematic literature review’, </w:t>
      </w:r>
      <w:r w:rsidRPr="00561FD9">
        <w:rPr>
          <w:i/>
          <w:iCs/>
        </w:rPr>
        <w:t>Milbank Quarterly</w:t>
      </w:r>
      <w:r w:rsidRPr="00561FD9">
        <w:t xml:space="preserve">, 93(4), pp. 826-866. Available at: </w:t>
      </w:r>
      <w:hyperlink r:id="rId38" w:history="1">
        <w:r w:rsidRPr="00561FD9">
          <w:rPr>
            <w:rStyle w:val="Hyperlink"/>
          </w:rPr>
          <w:t>https://pubmed.ncbi.nlm.nih.gov/26626987/</w:t>
        </w:r>
      </w:hyperlink>
      <w:r w:rsidRPr="00561FD9">
        <w:t>.</w:t>
      </w:r>
    </w:p>
    <w:p w14:paraId="60FA26F4" w14:textId="77777777" w:rsidR="00561FD9" w:rsidRPr="00561FD9" w:rsidRDefault="00561FD9" w:rsidP="00561FD9">
      <w:r w:rsidRPr="00561FD9">
        <w:t xml:space="preserve">Taylor, M.J., McNicholas, C., Nicolay, C., Darzi, A., Bell, D. and Reed, J.E. (2014) ‘Systematic review of the application of the Plan-Do-Study-Act method to improve quality in healthcare’, </w:t>
      </w:r>
      <w:r w:rsidRPr="00561FD9">
        <w:rPr>
          <w:i/>
          <w:iCs/>
        </w:rPr>
        <w:t>BMJ Quality and Safety</w:t>
      </w:r>
      <w:r w:rsidRPr="00561FD9">
        <w:t xml:space="preserve">, 23(4), pp. 290-298. Available at: </w:t>
      </w:r>
      <w:hyperlink r:id="rId39" w:history="1">
        <w:r w:rsidRPr="00561FD9">
          <w:rPr>
            <w:rStyle w:val="Hyperlink"/>
          </w:rPr>
          <w:t>https://pubmed.ncbi.nlm.nih.gov/24025320/</w:t>
        </w:r>
      </w:hyperlink>
      <w:r w:rsidRPr="00561FD9">
        <w:t>.</w:t>
      </w:r>
    </w:p>
    <w:p w14:paraId="77B53661" w14:textId="77777777" w:rsidR="00561FD9" w:rsidRPr="00561FD9" w:rsidRDefault="00561FD9" w:rsidP="00561FD9">
      <w:r w:rsidRPr="00561FD9">
        <w:t xml:space="preserve">Turner, L., Griffiths, P., Kitson-Reynolds, E., Brown, H. and Simon, M. (2021) ‘Midwifery and nurse staffing of inpatient maternity services: a scoping review of associations with outcomes and quality of care’, </w:t>
      </w:r>
      <w:r w:rsidRPr="00561FD9">
        <w:rPr>
          <w:i/>
          <w:iCs/>
        </w:rPr>
        <w:t>International Journal of Nursing Studies</w:t>
      </w:r>
      <w:r w:rsidRPr="00561FD9">
        <w:t xml:space="preserve">, 122, p. 104036. Available at: </w:t>
      </w:r>
      <w:hyperlink r:id="rId40" w:history="1">
        <w:r w:rsidRPr="00561FD9">
          <w:rPr>
            <w:rStyle w:val="Hyperlink"/>
          </w:rPr>
          <w:t>https://pubmed.ncbi.nlm.nih.gov/34428733/</w:t>
        </w:r>
      </w:hyperlink>
      <w:r w:rsidRPr="00561FD9">
        <w:t>.</w:t>
      </w:r>
    </w:p>
    <w:p w14:paraId="7AE0827E" w14:textId="77777777" w:rsidR="00E11B02" w:rsidRDefault="00E11B02" w:rsidP="00561FD9"/>
    <w:sectPr w:rsidR="00E11B02" w:rsidSect="00B84E23">
      <w:pgSz w:w="12240" w:h="15840"/>
      <w:pgMar w:top="1152" w:right="1152"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D133DD"/>
    <w:multiLevelType w:val="multilevel"/>
    <w:tmpl w:val="E59651FC"/>
    <w:lvl w:ilvl="0">
      <w:start w:val="1"/>
      <w:numFmt w:val="decimal"/>
      <w:pStyle w:val="Heading1"/>
      <w:suff w:val="space"/>
      <w:lvlText w:val="Chapter %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03928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23"/>
    <w:rsid w:val="000564AE"/>
    <w:rsid w:val="00056726"/>
    <w:rsid w:val="000C31A2"/>
    <w:rsid w:val="000F0338"/>
    <w:rsid w:val="00140693"/>
    <w:rsid w:val="00151852"/>
    <w:rsid w:val="001957E3"/>
    <w:rsid w:val="001B7D35"/>
    <w:rsid w:val="001D25C0"/>
    <w:rsid w:val="00201B8E"/>
    <w:rsid w:val="00277E1A"/>
    <w:rsid w:val="002952B6"/>
    <w:rsid w:val="002D45BB"/>
    <w:rsid w:val="002E0F1C"/>
    <w:rsid w:val="003046F1"/>
    <w:rsid w:val="00323BE3"/>
    <w:rsid w:val="00342BBA"/>
    <w:rsid w:val="0037245F"/>
    <w:rsid w:val="0037535D"/>
    <w:rsid w:val="00422CA9"/>
    <w:rsid w:val="004279A8"/>
    <w:rsid w:val="004309B4"/>
    <w:rsid w:val="0045184A"/>
    <w:rsid w:val="004575C9"/>
    <w:rsid w:val="004659A3"/>
    <w:rsid w:val="004D42E4"/>
    <w:rsid w:val="004E21AB"/>
    <w:rsid w:val="004E36D3"/>
    <w:rsid w:val="004F316D"/>
    <w:rsid w:val="00510925"/>
    <w:rsid w:val="00510933"/>
    <w:rsid w:val="00532BDC"/>
    <w:rsid w:val="005331B1"/>
    <w:rsid w:val="00561FD9"/>
    <w:rsid w:val="00586471"/>
    <w:rsid w:val="0060229C"/>
    <w:rsid w:val="00627372"/>
    <w:rsid w:val="00647B4C"/>
    <w:rsid w:val="006D2C76"/>
    <w:rsid w:val="006D4F71"/>
    <w:rsid w:val="006F7B56"/>
    <w:rsid w:val="007057E8"/>
    <w:rsid w:val="007102A3"/>
    <w:rsid w:val="007B56DC"/>
    <w:rsid w:val="007C4C87"/>
    <w:rsid w:val="007E6568"/>
    <w:rsid w:val="00810061"/>
    <w:rsid w:val="008138E3"/>
    <w:rsid w:val="008229F9"/>
    <w:rsid w:val="00824A64"/>
    <w:rsid w:val="008F1206"/>
    <w:rsid w:val="00933818"/>
    <w:rsid w:val="0093541A"/>
    <w:rsid w:val="00982D62"/>
    <w:rsid w:val="00A320CF"/>
    <w:rsid w:val="00A328AC"/>
    <w:rsid w:val="00A70F13"/>
    <w:rsid w:val="00A72376"/>
    <w:rsid w:val="00A73F6B"/>
    <w:rsid w:val="00A7535E"/>
    <w:rsid w:val="00AB17CA"/>
    <w:rsid w:val="00AF0355"/>
    <w:rsid w:val="00AF1211"/>
    <w:rsid w:val="00B030E5"/>
    <w:rsid w:val="00B43A5F"/>
    <w:rsid w:val="00B509EB"/>
    <w:rsid w:val="00B84E23"/>
    <w:rsid w:val="00B86354"/>
    <w:rsid w:val="00BA6FC3"/>
    <w:rsid w:val="00BB1BA8"/>
    <w:rsid w:val="00BD4F14"/>
    <w:rsid w:val="00BF3E59"/>
    <w:rsid w:val="00C4131A"/>
    <w:rsid w:val="00C868E0"/>
    <w:rsid w:val="00CB6625"/>
    <w:rsid w:val="00CB75E0"/>
    <w:rsid w:val="00CD6A3D"/>
    <w:rsid w:val="00CE1E0F"/>
    <w:rsid w:val="00CE360C"/>
    <w:rsid w:val="00D23F4A"/>
    <w:rsid w:val="00D676CA"/>
    <w:rsid w:val="00DB3D7D"/>
    <w:rsid w:val="00DF1F34"/>
    <w:rsid w:val="00E11B02"/>
    <w:rsid w:val="00E57B47"/>
    <w:rsid w:val="00EA0DD4"/>
    <w:rsid w:val="00FA287D"/>
    <w:rsid w:val="00FC7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B5DF5"/>
  <w15:chartTrackingRefBased/>
  <w15:docId w15:val="{82381779-2BD7-40C1-9C06-27B67CDB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E23"/>
    <w:pPr>
      <w:spacing w:after="120" w:line="360" w:lineRule="auto"/>
      <w:jc w:val="both"/>
    </w:pPr>
    <w:rPr>
      <w:rFonts w:ascii="Times New Roman" w:eastAsia="Arial" w:hAnsi="Times New Roman"/>
      <w:kern w:val="0"/>
      <w:szCs w:val="22"/>
      <w14:ligatures w14:val="none"/>
    </w:rPr>
  </w:style>
  <w:style w:type="paragraph" w:styleId="Heading1">
    <w:name w:val="heading 1"/>
    <w:basedOn w:val="Normal"/>
    <w:next w:val="Normal"/>
    <w:link w:val="Heading1Char"/>
    <w:uiPriority w:val="9"/>
    <w:qFormat/>
    <w:rsid w:val="00D676CA"/>
    <w:pPr>
      <w:keepNext/>
      <w:keepLines/>
      <w:numPr>
        <w:numId w:val="1"/>
      </w:numPr>
      <w:spacing w:before="360" w:after="80"/>
      <w:jc w:val="center"/>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D676CA"/>
    <w:pPr>
      <w:keepNext/>
      <w:keepLines/>
      <w:numPr>
        <w:ilvl w:val="1"/>
        <w:numId w:val="1"/>
      </w:numPr>
      <w:spacing w:before="160" w:after="80"/>
      <w:jc w:val="left"/>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D676CA"/>
    <w:pPr>
      <w:keepNext/>
      <w:keepLines/>
      <w:numPr>
        <w:ilvl w:val="2"/>
        <w:numId w:val="1"/>
      </w:numPr>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B84E2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84E2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84E2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2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2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2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6CA"/>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D676CA"/>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D676CA"/>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B84E23"/>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B84E23"/>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B84E23"/>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B84E23"/>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B84E23"/>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B84E23"/>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B84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2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84E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23"/>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B84E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4E23"/>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B84E23"/>
    <w:pPr>
      <w:ind w:left="720"/>
      <w:contextualSpacing/>
    </w:pPr>
  </w:style>
  <w:style w:type="character" w:styleId="IntenseEmphasis">
    <w:name w:val="Intense Emphasis"/>
    <w:basedOn w:val="DefaultParagraphFont"/>
    <w:uiPriority w:val="21"/>
    <w:qFormat/>
    <w:rsid w:val="00B84E23"/>
    <w:rPr>
      <w:i/>
      <w:iCs/>
      <w:color w:val="2F5496" w:themeColor="accent1" w:themeShade="BF"/>
    </w:rPr>
  </w:style>
  <w:style w:type="paragraph" w:styleId="IntenseQuote">
    <w:name w:val="Intense Quote"/>
    <w:basedOn w:val="Normal"/>
    <w:next w:val="Normal"/>
    <w:link w:val="IntenseQuoteChar"/>
    <w:uiPriority w:val="30"/>
    <w:qFormat/>
    <w:rsid w:val="00B84E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4E23"/>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B84E23"/>
    <w:rPr>
      <w:b/>
      <w:bCs/>
      <w:smallCaps/>
      <w:color w:val="2F5496" w:themeColor="accent1" w:themeShade="BF"/>
      <w:spacing w:val="5"/>
    </w:rPr>
  </w:style>
  <w:style w:type="table" w:styleId="TableGrid">
    <w:name w:val="Table Grid"/>
    <w:basedOn w:val="TableNormal"/>
    <w:uiPriority w:val="59"/>
    <w:rsid w:val="00B84E23"/>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5">
    <w:name w:val="List Table 3 Accent 5"/>
    <w:basedOn w:val="TableNormal"/>
    <w:uiPriority w:val="48"/>
    <w:rsid w:val="00B84E2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PlainTable2">
    <w:name w:val="Plain Table 2"/>
    <w:basedOn w:val="TableNormal"/>
    <w:uiPriority w:val="42"/>
    <w:rsid w:val="00B84E2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B84E2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B84E2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styleId="Hyperlink">
    <w:name w:val="Hyperlink"/>
    <w:basedOn w:val="DefaultParagraphFont"/>
    <w:uiPriority w:val="99"/>
    <w:unhideWhenUsed/>
    <w:rsid w:val="00561FD9"/>
    <w:rPr>
      <w:color w:val="0563C1" w:themeColor="hyperlink"/>
      <w:u w:val="single"/>
    </w:rPr>
  </w:style>
  <w:style w:type="character" w:styleId="UnresolvedMention">
    <w:name w:val="Unresolved Mention"/>
    <w:basedOn w:val="DefaultParagraphFont"/>
    <w:uiPriority w:val="99"/>
    <w:semiHidden/>
    <w:unhideWhenUsed/>
    <w:rsid w:val="00561FD9"/>
    <w:rPr>
      <w:color w:val="605E5C"/>
      <w:shd w:val="clear" w:color="auto" w:fill="E1DFDD"/>
    </w:rPr>
  </w:style>
  <w:style w:type="paragraph" w:styleId="TOCHeading">
    <w:name w:val="TOC Heading"/>
    <w:basedOn w:val="Heading1"/>
    <w:next w:val="Normal"/>
    <w:uiPriority w:val="39"/>
    <w:unhideWhenUsed/>
    <w:qFormat/>
    <w:rsid w:val="00AB17CA"/>
    <w:pPr>
      <w:numPr>
        <w:numId w:val="0"/>
      </w:numPr>
      <w:spacing w:before="240" w:after="0" w:line="259" w:lineRule="auto"/>
      <w:jc w:val="left"/>
      <w:outlineLvl w:val="9"/>
    </w:pPr>
    <w:rPr>
      <w:rFonts w:asciiTheme="majorHAnsi" w:hAnsiTheme="majorHAnsi"/>
      <w:b w:val="0"/>
      <w:color w:val="2F5496" w:themeColor="accent1" w:themeShade="BF"/>
      <w:szCs w:val="32"/>
    </w:rPr>
  </w:style>
  <w:style w:type="paragraph" w:styleId="TOC1">
    <w:name w:val="toc 1"/>
    <w:basedOn w:val="Normal"/>
    <w:next w:val="Normal"/>
    <w:autoRedefine/>
    <w:uiPriority w:val="39"/>
    <w:unhideWhenUsed/>
    <w:rsid w:val="00AB17CA"/>
    <w:pPr>
      <w:spacing w:after="100"/>
    </w:pPr>
  </w:style>
  <w:style w:type="paragraph" w:styleId="TOC2">
    <w:name w:val="toc 2"/>
    <w:basedOn w:val="Normal"/>
    <w:next w:val="Normal"/>
    <w:autoRedefine/>
    <w:uiPriority w:val="39"/>
    <w:unhideWhenUsed/>
    <w:rsid w:val="00AB17C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26634890/" TargetMode="External"/><Relationship Id="rId18" Type="http://schemas.openxmlformats.org/officeDocument/2006/relationships/hyperlink" Target="https://pubmed.ncbi.nlm.nih.gov/30710763/" TargetMode="External"/><Relationship Id="rId26" Type="http://schemas.openxmlformats.org/officeDocument/2006/relationships/hyperlink" Target="https://www.england.nhs.uk/wp-content/uploads/2023/03/B1915-three-year-delivery-plan-for-maternity-and-neonatal-services-march-2023.pdf" TargetMode="External"/><Relationship Id="rId39" Type="http://schemas.openxmlformats.org/officeDocument/2006/relationships/hyperlink" Target="https://pubmed.ncbi.nlm.nih.gov/24025320/" TargetMode="External"/><Relationship Id="rId21" Type="http://schemas.openxmlformats.org/officeDocument/2006/relationships/hyperlink" Target="https://pubmed.ncbi.nlm.nih.gov/9549940/" TargetMode="External"/><Relationship Id="rId34" Type="http://schemas.openxmlformats.org/officeDocument/2006/relationships/hyperlink" Target="https://pubmed.ncbi.nlm.nih.gov/27031791/" TargetMode="External"/><Relationship Id="rId42" Type="http://schemas.openxmlformats.org/officeDocument/2006/relationships/theme" Target="theme/theme1.xml"/><Relationship Id="rId7" Type="http://schemas.openxmlformats.org/officeDocument/2006/relationships/hyperlink" Target="https://pubmed.ncbi.nlm.nih.gov/24820002/" TargetMode="External"/><Relationship Id="rId2" Type="http://schemas.openxmlformats.org/officeDocument/2006/relationships/styles" Target="styles.xml"/><Relationship Id="rId16" Type="http://schemas.openxmlformats.org/officeDocument/2006/relationships/hyperlink" Target="https://pubmed.ncbi.nlm.nih.gov/37670070/" TargetMode="External"/><Relationship Id="rId20" Type="http://schemas.openxmlformats.org/officeDocument/2006/relationships/hyperlink" Target="https://pubmed.ncbi.nlm.nih.gov/30886118/" TargetMode="External"/><Relationship Id="rId29" Type="http://schemas.openxmlformats.org/officeDocument/2006/relationships/hyperlink" Target="https://www.gov.uk/government/publications/ockenden-review-of-maternity-services-at-shrewsbury-and-telford-hospital-nhs-trust"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ubmed.ncbi.nlm.nih.gov/29954948/" TargetMode="External"/><Relationship Id="rId11" Type="http://schemas.openxmlformats.org/officeDocument/2006/relationships/hyperlink" Target="https://pubmed.ncbi.nlm.nih.gov/37229963/" TargetMode="External"/><Relationship Id="rId24" Type="http://schemas.openxmlformats.org/officeDocument/2006/relationships/hyperlink" Target="https://nationalguardian.org.uk/" TargetMode="External"/><Relationship Id="rId32" Type="http://schemas.openxmlformats.org/officeDocument/2006/relationships/hyperlink" Target="https://pubmed.ncbi.nlm.nih.gov/32867762/" TargetMode="External"/><Relationship Id="rId37" Type="http://schemas.openxmlformats.org/officeDocument/2006/relationships/hyperlink" Target="https://pubmed.ncbi.nlm.nih.gov/37838377/" TargetMode="External"/><Relationship Id="rId40" Type="http://schemas.openxmlformats.org/officeDocument/2006/relationships/hyperlink" Target="https://pubmed.ncbi.nlm.nih.gov/34428733/" TargetMode="External"/><Relationship Id="rId5" Type="http://schemas.openxmlformats.org/officeDocument/2006/relationships/image" Target="media/image1.png"/><Relationship Id="rId15" Type="http://schemas.openxmlformats.org/officeDocument/2006/relationships/hyperlink" Target="https://pubmed.ncbi.nlm.nih.gov/33737854/" TargetMode="External"/><Relationship Id="rId23" Type="http://schemas.openxmlformats.org/officeDocument/2006/relationships/hyperlink" Target="https://pubmed.ncbi.nlm.nih.gov/26151519/" TargetMode="External"/><Relationship Id="rId28" Type="http://schemas.openxmlformats.org/officeDocument/2006/relationships/hyperlink" Target="https://www.england.nhs.uk/wp-content/uploads/2023/06/nhs-long-term-workforce-plan-v1.2.pdf" TargetMode="External"/><Relationship Id="rId36" Type="http://schemas.openxmlformats.org/officeDocument/2006/relationships/hyperlink" Target="https://pubmed.ncbi.nlm.nih.gov/24876289/" TargetMode="External"/><Relationship Id="rId10" Type="http://schemas.openxmlformats.org/officeDocument/2006/relationships/hyperlink" Target="https://pubmed.ncbi.nlm.nih.gov/34223332/" TargetMode="External"/><Relationship Id="rId19" Type="http://schemas.openxmlformats.org/officeDocument/2006/relationships/hyperlink" Target="https://pubmed.ncbi.nlm.nih.gov/37012003/" TargetMode="External"/><Relationship Id="rId31" Type="http://schemas.openxmlformats.org/officeDocument/2006/relationships/hyperlink" Target="https://pubmed.ncbi.nlm.nih.gov/32232323/" TargetMode="External"/><Relationship Id="rId4" Type="http://schemas.openxmlformats.org/officeDocument/2006/relationships/webSettings" Target="webSettings.xml"/><Relationship Id="rId9" Type="http://schemas.openxmlformats.org/officeDocument/2006/relationships/hyperlink" Target="https://pubmed.ncbi.nlm.nih.gov/38423844/" TargetMode="External"/><Relationship Id="rId14" Type="http://schemas.openxmlformats.org/officeDocument/2006/relationships/hyperlink" Target="https://pubmed.ncbi.nlm.nih.gov/38007331/" TargetMode="External"/><Relationship Id="rId22" Type="http://schemas.openxmlformats.org/officeDocument/2006/relationships/hyperlink" Target="https://pubmed.ncbi.nlm.nih.gov/37865412/" TargetMode="External"/><Relationship Id="rId27" Type="http://schemas.openxmlformats.org/officeDocument/2006/relationships/hyperlink" Target="https://www.england.nhs.uk/mat-transformation/maternal-and-neonatal-safety-collaborative/" TargetMode="External"/><Relationship Id="rId30" Type="http://schemas.openxmlformats.org/officeDocument/2006/relationships/hyperlink" Target="https://www.gov.uk/government/publications/final-report-of-the-ockenden-review" TargetMode="External"/><Relationship Id="rId35" Type="http://schemas.openxmlformats.org/officeDocument/2006/relationships/hyperlink" Target="https://pubmed.ncbi.nlm.nih.gov/25078411/" TargetMode="External"/><Relationship Id="rId8" Type="http://schemas.openxmlformats.org/officeDocument/2006/relationships/hyperlink" Target="https://pubmed.ncbi.nlm.nih.gov/32345939/" TargetMode="External"/><Relationship Id="rId3" Type="http://schemas.openxmlformats.org/officeDocument/2006/relationships/settings" Target="settings.xml"/><Relationship Id="rId12" Type="http://schemas.openxmlformats.org/officeDocument/2006/relationships/hyperlink" Target="https://pubmed.ncbi.nlm.nih.gov/3045356/" TargetMode="External"/><Relationship Id="rId17" Type="http://schemas.openxmlformats.org/officeDocument/2006/relationships/hyperlink" Target="https://pubmed.ncbi.nlm.nih.gov/31585540/" TargetMode="External"/><Relationship Id="rId25" Type="http://schemas.openxmlformats.org/officeDocument/2006/relationships/hyperlink" Target="https://www.england.nhs.uk/wp-content/uploads/2022/04/B1245_ii_NHS-freedom-to-speak-up-guide-eBook.pdf" TargetMode="External"/><Relationship Id="rId33" Type="http://schemas.openxmlformats.org/officeDocument/2006/relationships/hyperlink" Target="https://pubmed.ncbi.nlm.nih.gov/24507747/" TargetMode="External"/><Relationship Id="rId38" Type="http://schemas.openxmlformats.org/officeDocument/2006/relationships/hyperlink" Target="https://pubmed.ncbi.nlm.nih.gov/266269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19</Pages>
  <Words>5174</Words>
  <Characters>29495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2026-03-30T07:07:00Z</dcterms:created>
  <dcterms:modified xsi:type="dcterms:W3CDTF">2026-03-30T07:21:00Z</dcterms:modified>
</cp:coreProperties>
</file>