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colors3.xml" ContentType="application/vnd.openxmlformats-officedocument.drawingml.diagramColors+xml"/>
  <Override PartName="/word/diagrams/colors4.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ata3.xml" ContentType="application/vnd.openxmlformats-officedocument.drawingml.diagramData+xml"/>
  <Override PartName="/word/diagrams/data4.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drawing3.xml" ContentType="application/vnd.ms-office.drawingml.diagramDrawing+xml"/>
  <Override PartName="/word/diagrams/drawing4.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layout3.xml" ContentType="application/vnd.openxmlformats-officedocument.drawingml.diagramLayout+xml"/>
  <Override PartName="/word/diagrams/layout4.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iagrams/quickStyle3.xml" ContentType="application/vnd.openxmlformats-officedocument.drawingml.diagramStyle+xml"/>
  <Override PartName="/word/diagrams/quickStyle4.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b/>
          <w:bCs/>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b/>
          <w:bCs/>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b/>
          <w:bCs/>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b/>
          <w:bCs/>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b/>
          <w:bCs/>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b/>
          <w:bCs/>
          <w:sz w:val="52"/>
          <w:szCs w:val="52"/>
          <w:lang w:val="en-US" w:eastAsia="zh-CN"/>
        </w:rPr>
      </w:pPr>
      <w:r>
        <w:rPr>
          <w:rFonts w:hint="default" w:ascii="Arial" w:hAnsi="Arial" w:cs="Arial"/>
          <w:b/>
          <w:bCs/>
          <w:sz w:val="52"/>
          <w:szCs w:val="52"/>
          <w:lang w:val="en-US" w:eastAsia="zh-CN"/>
        </w:rPr>
        <w:t xml:space="preserve">My name:         </w:t>
      </w:r>
      <w:r>
        <w:rPr>
          <w:rFonts w:hint="eastAsia" w:ascii="Arial" w:hAnsi="Arial" w:cs="Arial"/>
          <w:b/>
          <w:bCs/>
          <w:sz w:val="52"/>
          <w:szCs w:val="52"/>
          <w:lang w:val="en-US" w:eastAsia="zh-CN"/>
        </w:rPr>
        <w:t xml:space="preserve">    </w:t>
      </w:r>
      <w:r>
        <w:rPr>
          <w:rFonts w:hint="default" w:ascii="Arial" w:hAnsi="Arial" w:cs="Arial"/>
          <w:b/>
          <w:bCs/>
          <w:sz w:val="52"/>
          <w:szCs w:val="52"/>
          <w:lang w:val="en-US" w:eastAsia="zh-CN"/>
        </w:rPr>
        <w:t>WenHao Zhu</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b/>
          <w:bCs/>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b/>
          <w:bCs/>
          <w:sz w:val="52"/>
          <w:szCs w:val="52"/>
          <w:lang w:val="en-US" w:eastAsia="zh-CN"/>
        </w:rPr>
      </w:pPr>
      <w:r>
        <w:rPr>
          <w:rFonts w:hint="default" w:ascii="Arial" w:hAnsi="Arial" w:cs="Arial"/>
          <w:b/>
          <w:bCs/>
          <w:sz w:val="52"/>
          <w:szCs w:val="52"/>
          <w:lang w:val="en-US" w:eastAsia="zh-CN"/>
        </w:rPr>
        <w:t xml:space="preserve">Student ID:          </w:t>
      </w:r>
      <w:r>
        <w:rPr>
          <w:rFonts w:hint="eastAsia" w:ascii="Arial" w:hAnsi="Arial" w:cs="Arial"/>
          <w:b/>
          <w:bCs/>
          <w:sz w:val="52"/>
          <w:szCs w:val="52"/>
          <w:lang w:val="en-US" w:eastAsia="zh-CN"/>
        </w:rPr>
        <w:t xml:space="preserve">     </w:t>
      </w:r>
      <w:r>
        <w:rPr>
          <w:rFonts w:hint="default" w:ascii="Arial" w:hAnsi="Arial" w:cs="Arial"/>
          <w:b/>
          <w:bCs/>
          <w:sz w:val="52"/>
          <w:szCs w:val="52"/>
          <w:lang w:val="en-US" w:eastAsia="zh-CN"/>
        </w:rPr>
        <w:t xml:space="preserve"> 2106011</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b/>
          <w:bCs/>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b/>
          <w:bCs/>
          <w:sz w:val="52"/>
          <w:szCs w:val="52"/>
          <w:lang w:val="en-US" w:eastAsia="zh-CN"/>
        </w:rPr>
      </w:pPr>
      <w:r>
        <w:rPr>
          <w:rFonts w:hint="default" w:ascii="Arial" w:hAnsi="Arial" w:cs="Arial"/>
          <w:b/>
          <w:bCs/>
          <w:sz w:val="52"/>
          <w:szCs w:val="52"/>
          <w:lang w:val="en-US" w:eastAsia="zh-CN"/>
        </w:rPr>
        <w:t xml:space="preserve">Module name:  Strategic Marketing </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Arial" w:hAnsi="Arial" w:cs="Arial"/>
          <w:b/>
          <w:bCs/>
          <w:sz w:val="52"/>
          <w:szCs w:val="5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lang w:val="en-US"/>
        </w:rPr>
        <w:sectPr>
          <w:pgSz w:w="11906" w:h="16838"/>
          <w:pgMar w:top="1440" w:right="1440" w:bottom="1440" w:left="1440" w:header="851" w:footer="992" w:gutter="0"/>
          <w:cols w:space="425" w:num="1"/>
          <w:docGrid w:type="lines" w:linePitch="312" w:charSpace="0"/>
        </w:sectPr>
      </w:pPr>
      <w:r>
        <w:rPr>
          <w:rFonts w:hint="default" w:ascii="Arial" w:hAnsi="Arial" w:cs="Arial"/>
          <w:b/>
          <w:bCs/>
          <w:sz w:val="52"/>
          <w:szCs w:val="52"/>
        </w:rPr>
        <w:t>Assignment Title</w:t>
      </w:r>
      <w:r>
        <w:rPr>
          <w:rFonts w:hint="default" w:ascii="Arial" w:hAnsi="Arial" w:cs="Arial"/>
          <w:b/>
          <w:bCs/>
          <w:sz w:val="52"/>
          <w:szCs w:val="52"/>
          <w:lang w:val="en-US" w:eastAsia="zh-CN"/>
        </w:rPr>
        <w:t xml:space="preserve">:  </w:t>
      </w:r>
      <w:r>
        <w:rPr>
          <w:rFonts w:hint="eastAsia" w:ascii="Arial" w:hAnsi="Arial" w:cs="Arial"/>
          <w:b/>
          <w:bCs/>
          <w:sz w:val="52"/>
          <w:szCs w:val="52"/>
          <w:lang w:val="en-US" w:eastAsia="zh-CN"/>
        </w:rPr>
        <w:t xml:space="preserve">  </w:t>
      </w:r>
      <w:r>
        <w:rPr>
          <w:rFonts w:hint="default" w:ascii="Arial" w:hAnsi="Arial" w:cs="Arial"/>
          <w:b/>
          <w:bCs/>
          <w:sz w:val="52"/>
          <w:szCs w:val="52"/>
          <w:lang w:val="en-US" w:eastAsia="zh-CN"/>
        </w:rPr>
        <w:t xml:space="preserve">Assignment </w:t>
      </w:r>
      <w:r>
        <w:rPr>
          <w:rFonts w:hint="eastAsia" w:ascii="Arial" w:hAnsi="Arial" w:cs="Arial"/>
          <w:b/>
          <w:bCs/>
          <w:sz w:val="52"/>
          <w:szCs w:val="52"/>
          <w:lang w:val="en-US" w:eastAsia="zh-CN"/>
        </w:rPr>
        <w:t>2</w:t>
      </w:r>
    </w:p>
    <w:p/>
    <w:sdt>
      <w:sdtPr>
        <w:rPr>
          <w:b/>
          <w:bCs/>
          <w:sz w:val="32"/>
          <w:szCs w:val="32"/>
          <w:lang w:val="en-GB"/>
        </w:rPr>
        <w:id w:val="119040126"/>
        <w:docPartObj>
          <w:docPartGallery w:val="Table of Contents"/>
          <w:docPartUnique/>
        </w:docPartObj>
      </w:sdtPr>
      <w:sdtEndPr>
        <w:rPr>
          <w:rFonts w:hint="default" w:ascii="Arial" w:hAnsi="Arial" w:eastAsia="Times New Roman" w:cs="Arial"/>
          <w:b w:val="0"/>
          <w:bCs w:val="0"/>
          <w:color w:val="auto"/>
          <w:sz w:val="24"/>
          <w:szCs w:val="24"/>
          <w:lang w:val="en-GB"/>
        </w:rPr>
      </w:sdtEndPr>
      <w:sdtContent>
        <w:p>
          <w:pPr>
            <w:bidi w:val="0"/>
            <w:jc w:val="center"/>
            <w:rPr>
              <w:rFonts w:hint="default" w:ascii="Arial" w:hAnsi="Arial" w:cs="Arial"/>
              <w:b/>
              <w:bCs/>
              <w:sz w:val="32"/>
              <w:szCs w:val="32"/>
              <w:lang w:val="en-GB"/>
            </w:rPr>
          </w:pPr>
          <w:bookmarkStart w:id="79" w:name="_GoBack"/>
          <w:bookmarkEnd w:id="79"/>
          <w:r>
            <w:rPr>
              <w:rFonts w:hint="default" w:ascii="Arial" w:hAnsi="Arial" w:cs="Arial"/>
              <w:b/>
              <w:bCs/>
              <w:sz w:val="32"/>
              <w:szCs w:val="32"/>
              <w:lang w:val="en-GB"/>
            </w:rPr>
            <w:t>Table of Contents</w:t>
          </w:r>
        </w:p>
        <w:p>
          <w:pPr>
            <w:pStyle w:val="9"/>
            <w:tabs>
              <w:tab w:val="right" w:leader="dot" w:pos="9026"/>
            </w:tabs>
          </w:pPr>
          <w:r>
            <w:fldChar w:fldCharType="begin"/>
          </w:r>
          <w:r>
            <w:instrText xml:space="preserve">TOC \o "1-2" \h \u </w:instrText>
          </w:r>
          <w:r>
            <w:fldChar w:fldCharType="separate"/>
          </w:r>
          <w:r>
            <w:fldChar w:fldCharType="begin"/>
          </w:r>
          <w:r>
            <w:instrText xml:space="preserve"> HYPERLINK \l _Toc15364 </w:instrText>
          </w:r>
          <w:r>
            <w:fldChar w:fldCharType="separate"/>
          </w:r>
          <w:r>
            <w:rPr>
              <w:rFonts w:hint="default" w:ascii="Arial" w:hAnsi="Arial" w:cs="Arial"/>
              <w:szCs w:val="32"/>
              <w:lang w:val="en-GB"/>
            </w:rPr>
            <w:t>Executive Summary</w:t>
          </w:r>
          <w:r>
            <w:tab/>
          </w:r>
          <w:r>
            <w:fldChar w:fldCharType="begin"/>
          </w:r>
          <w:r>
            <w:instrText xml:space="preserve"> PAGEREF _Toc15364 \h </w:instrText>
          </w:r>
          <w:r>
            <w:fldChar w:fldCharType="separate"/>
          </w:r>
          <w:r>
            <w:t>1</w:t>
          </w:r>
          <w:r>
            <w:fldChar w:fldCharType="end"/>
          </w:r>
          <w:r>
            <w:fldChar w:fldCharType="end"/>
          </w:r>
        </w:p>
        <w:p>
          <w:pPr>
            <w:pStyle w:val="9"/>
            <w:tabs>
              <w:tab w:val="right" w:leader="dot" w:pos="9026"/>
            </w:tabs>
          </w:pPr>
          <w:r>
            <w:fldChar w:fldCharType="begin"/>
          </w:r>
          <w:r>
            <w:instrText xml:space="preserve"> HYPERLINK \l _Toc23339 </w:instrText>
          </w:r>
          <w:r>
            <w:fldChar w:fldCharType="separate"/>
          </w:r>
          <w:r>
            <w:rPr>
              <w:rFonts w:hint="default" w:ascii="Arial" w:hAnsi="Arial" w:cs="Arial"/>
              <w:szCs w:val="32"/>
              <w:lang w:val="en-US" w:eastAsia="zh-CN"/>
            </w:rPr>
            <w:t xml:space="preserve">1.0 </w:t>
          </w:r>
          <w:r>
            <w:rPr>
              <w:rFonts w:hint="default" w:ascii="Arial" w:hAnsi="Arial" w:cs="Arial"/>
              <w:szCs w:val="32"/>
              <w:lang w:val="en-GB"/>
            </w:rPr>
            <w:t>Introduction</w:t>
          </w:r>
          <w:r>
            <w:tab/>
          </w:r>
          <w:r>
            <w:fldChar w:fldCharType="begin"/>
          </w:r>
          <w:r>
            <w:instrText xml:space="preserve"> PAGEREF _Toc23339 \h </w:instrText>
          </w:r>
          <w:r>
            <w:fldChar w:fldCharType="separate"/>
          </w:r>
          <w:r>
            <w:t>2</w:t>
          </w:r>
          <w:r>
            <w:fldChar w:fldCharType="end"/>
          </w:r>
          <w:r>
            <w:fldChar w:fldCharType="end"/>
          </w:r>
        </w:p>
        <w:p>
          <w:pPr>
            <w:pStyle w:val="9"/>
            <w:tabs>
              <w:tab w:val="right" w:leader="dot" w:pos="9026"/>
            </w:tabs>
          </w:pPr>
          <w:r>
            <w:fldChar w:fldCharType="begin"/>
          </w:r>
          <w:r>
            <w:instrText xml:space="preserve"> HYPERLINK \l _Toc191 </w:instrText>
          </w:r>
          <w:r>
            <w:fldChar w:fldCharType="separate"/>
          </w:r>
          <w:r>
            <w:rPr>
              <w:rFonts w:hint="default" w:ascii="Arial" w:hAnsi="Arial" w:cs="Arial"/>
              <w:szCs w:val="32"/>
              <w:lang w:val="en-US" w:eastAsia="zh-CN"/>
            </w:rPr>
            <w:t xml:space="preserve">2.0 </w:t>
          </w:r>
          <w:r>
            <w:rPr>
              <w:rFonts w:hint="default" w:ascii="Arial" w:hAnsi="Arial" w:cs="Arial"/>
              <w:szCs w:val="32"/>
              <w:lang w:val="en-GB"/>
            </w:rPr>
            <w:t>Main Findings</w:t>
          </w:r>
          <w:r>
            <w:tab/>
          </w:r>
          <w:r>
            <w:fldChar w:fldCharType="begin"/>
          </w:r>
          <w:r>
            <w:instrText xml:space="preserve"> PAGEREF _Toc191 \h </w:instrText>
          </w:r>
          <w:r>
            <w:fldChar w:fldCharType="separate"/>
          </w:r>
          <w:r>
            <w:t>3</w:t>
          </w:r>
          <w:r>
            <w:fldChar w:fldCharType="end"/>
          </w:r>
          <w:r>
            <w:fldChar w:fldCharType="end"/>
          </w:r>
        </w:p>
        <w:p>
          <w:pPr>
            <w:pStyle w:val="9"/>
            <w:tabs>
              <w:tab w:val="right" w:leader="dot" w:pos="9026"/>
            </w:tabs>
          </w:pPr>
          <w:r>
            <w:fldChar w:fldCharType="begin"/>
          </w:r>
          <w:r>
            <w:instrText xml:space="preserve"> HYPERLINK \l _Toc28055 </w:instrText>
          </w:r>
          <w:r>
            <w:fldChar w:fldCharType="separate"/>
          </w:r>
          <w:r>
            <w:rPr>
              <w:rFonts w:hint="default" w:ascii="Arial" w:hAnsi="Arial" w:cs="Arial"/>
              <w:szCs w:val="32"/>
              <w:lang w:val="en-US" w:eastAsia="zh-CN"/>
            </w:rPr>
            <w:t xml:space="preserve">3.0 </w:t>
          </w:r>
          <w:r>
            <w:rPr>
              <w:rFonts w:hint="default" w:ascii="Arial" w:hAnsi="Arial" w:cs="Arial"/>
              <w:szCs w:val="32"/>
              <w:lang w:val="en-GB"/>
            </w:rPr>
            <w:t>The Marketing Plan</w:t>
          </w:r>
          <w:r>
            <w:tab/>
          </w:r>
          <w:r>
            <w:fldChar w:fldCharType="begin"/>
          </w:r>
          <w:r>
            <w:instrText xml:space="preserve"> PAGEREF _Toc28055 \h </w:instrText>
          </w:r>
          <w:r>
            <w:fldChar w:fldCharType="separate"/>
          </w:r>
          <w:r>
            <w:t>4</w:t>
          </w:r>
          <w:r>
            <w:fldChar w:fldCharType="end"/>
          </w:r>
          <w:r>
            <w:fldChar w:fldCharType="end"/>
          </w:r>
        </w:p>
        <w:p>
          <w:pPr>
            <w:pStyle w:val="9"/>
            <w:tabs>
              <w:tab w:val="right" w:leader="dot" w:pos="9026"/>
            </w:tabs>
          </w:pPr>
          <w:r>
            <w:fldChar w:fldCharType="begin"/>
          </w:r>
          <w:r>
            <w:instrText xml:space="preserve"> HYPERLINK \l _Toc6728 </w:instrText>
          </w:r>
          <w:r>
            <w:fldChar w:fldCharType="separate"/>
          </w:r>
          <w:r>
            <w:rPr>
              <w:rFonts w:hint="default" w:ascii="Arial" w:hAnsi="Arial" w:cs="Arial"/>
              <w:szCs w:val="32"/>
              <w:lang w:val="en-US" w:eastAsia="zh-CN"/>
            </w:rPr>
            <w:t xml:space="preserve">4.0 </w:t>
          </w:r>
          <w:r>
            <w:rPr>
              <w:rFonts w:hint="default" w:ascii="Arial" w:hAnsi="Arial" w:cs="Arial"/>
              <w:szCs w:val="32"/>
              <w:lang w:val="en-GB"/>
            </w:rPr>
            <w:t>SOSTAC</w:t>
          </w:r>
          <w:r>
            <w:tab/>
          </w:r>
          <w:r>
            <w:fldChar w:fldCharType="begin"/>
          </w:r>
          <w:r>
            <w:instrText xml:space="preserve"> PAGEREF _Toc6728 \h </w:instrText>
          </w:r>
          <w:r>
            <w:fldChar w:fldCharType="separate"/>
          </w:r>
          <w:r>
            <w:t>4</w:t>
          </w:r>
          <w:r>
            <w:fldChar w:fldCharType="end"/>
          </w:r>
          <w:r>
            <w:fldChar w:fldCharType="end"/>
          </w:r>
        </w:p>
        <w:p>
          <w:pPr>
            <w:pStyle w:val="10"/>
            <w:tabs>
              <w:tab w:val="right" w:leader="dot" w:pos="9026"/>
            </w:tabs>
          </w:pPr>
          <w:r>
            <w:fldChar w:fldCharType="begin"/>
          </w:r>
          <w:r>
            <w:instrText xml:space="preserve"> HYPERLINK \l _Toc22201 </w:instrText>
          </w:r>
          <w:r>
            <w:fldChar w:fldCharType="separate"/>
          </w:r>
          <w:r>
            <w:rPr>
              <w:rFonts w:hint="default" w:ascii="Arial" w:hAnsi="Arial" w:cs="Arial"/>
              <w:szCs w:val="30"/>
              <w:lang w:val="en-US" w:eastAsia="zh-CN"/>
            </w:rPr>
            <w:t xml:space="preserve">4.1 </w:t>
          </w:r>
          <w:r>
            <w:rPr>
              <w:rFonts w:hint="default" w:ascii="Arial" w:hAnsi="Arial" w:cs="Arial"/>
              <w:szCs w:val="30"/>
              <w:lang w:val="en-GB"/>
            </w:rPr>
            <w:t>Situation Analysis</w:t>
          </w:r>
          <w:r>
            <w:tab/>
          </w:r>
          <w:r>
            <w:fldChar w:fldCharType="begin"/>
          </w:r>
          <w:r>
            <w:instrText xml:space="preserve"> PAGEREF _Toc22201 \h </w:instrText>
          </w:r>
          <w:r>
            <w:fldChar w:fldCharType="separate"/>
          </w:r>
          <w:r>
            <w:t>4</w:t>
          </w:r>
          <w:r>
            <w:fldChar w:fldCharType="end"/>
          </w:r>
          <w:r>
            <w:fldChar w:fldCharType="end"/>
          </w:r>
        </w:p>
        <w:p>
          <w:pPr>
            <w:pStyle w:val="9"/>
            <w:tabs>
              <w:tab w:val="right" w:leader="dot" w:pos="9026"/>
            </w:tabs>
          </w:pPr>
          <w:r>
            <w:fldChar w:fldCharType="begin"/>
          </w:r>
          <w:r>
            <w:instrText xml:space="preserve"> HYPERLINK \l _Toc17739 </w:instrText>
          </w:r>
          <w:r>
            <w:fldChar w:fldCharType="separate"/>
          </w:r>
          <w:r>
            <w:rPr>
              <w:rFonts w:hint="default" w:ascii="Arial" w:hAnsi="Arial" w:eastAsia="宋体" w:cs="Arial"/>
              <w:szCs w:val="32"/>
              <w:lang w:val="en-US" w:eastAsia="zh-CN"/>
            </w:rPr>
            <w:t xml:space="preserve">5.0 </w:t>
          </w:r>
          <w:r>
            <w:rPr>
              <w:rFonts w:hint="default" w:ascii="Arial" w:hAnsi="Arial" w:cs="Arial"/>
              <w:szCs w:val="32"/>
              <w:lang w:val="en-GB"/>
            </w:rPr>
            <w:t>Objective</w:t>
          </w:r>
          <w:r>
            <w:tab/>
          </w:r>
          <w:r>
            <w:fldChar w:fldCharType="begin"/>
          </w:r>
          <w:r>
            <w:instrText xml:space="preserve"> PAGEREF _Toc17739 \h </w:instrText>
          </w:r>
          <w:r>
            <w:fldChar w:fldCharType="separate"/>
          </w:r>
          <w:r>
            <w:t>5</w:t>
          </w:r>
          <w:r>
            <w:fldChar w:fldCharType="end"/>
          </w:r>
          <w:r>
            <w:fldChar w:fldCharType="end"/>
          </w:r>
        </w:p>
        <w:p>
          <w:pPr>
            <w:pStyle w:val="9"/>
            <w:tabs>
              <w:tab w:val="right" w:leader="dot" w:pos="9026"/>
            </w:tabs>
          </w:pPr>
          <w:r>
            <w:fldChar w:fldCharType="begin"/>
          </w:r>
          <w:r>
            <w:instrText xml:space="preserve"> HYPERLINK \l _Toc2969 </w:instrText>
          </w:r>
          <w:r>
            <w:fldChar w:fldCharType="separate"/>
          </w:r>
          <w:r>
            <w:rPr>
              <w:rFonts w:hint="default" w:ascii="Arial" w:hAnsi="Arial" w:cs="Arial"/>
              <w:szCs w:val="32"/>
              <w:lang w:val="en-US" w:eastAsia="zh-CN"/>
            </w:rPr>
            <w:t xml:space="preserve">6.0 </w:t>
          </w:r>
          <w:r>
            <w:rPr>
              <w:rFonts w:hint="default" w:ascii="Arial" w:hAnsi="Arial" w:cs="Arial"/>
              <w:szCs w:val="32"/>
              <w:lang w:val="en-GB"/>
            </w:rPr>
            <w:t>Strategy</w:t>
          </w:r>
          <w:r>
            <w:tab/>
          </w:r>
          <w:r>
            <w:fldChar w:fldCharType="begin"/>
          </w:r>
          <w:r>
            <w:instrText xml:space="preserve"> PAGEREF _Toc2969 \h </w:instrText>
          </w:r>
          <w:r>
            <w:fldChar w:fldCharType="separate"/>
          </w:r>
          <w:r>
            <w:t>7</w:t>
          </w:r>
          <w:r>
            <w:fldChar w:fldCharType="end"/>
          </w:r>
          <w:r>
            <w:fldChar w:fldCharType="end"/>
          </w:r>
        </w:p>
        <w:p>
          <w:pPr>
            <w:pStyle w:val="9"/>
            <w:tabs>
              <w:tab w:val="right" w:leader="dot" w:pos="9026"/>
            </w:tabs>
          </w:pPr>
          <w:r>
            <w:fldChar w:fldCharType="begin"/>
          </w:r>
          <w:r>
            <w:instrText xml:space="preserve"> HYPERLINK \l _Toc18832 </w:instrText>
          </w:r>
          <w:r>
            <w:fldChar w:fldCharType="separate"/>
          </w:r>
          <w:r>
            <w:rPr>
              <w:rFonts w:hint="default" w:ascii="Arial" w:hAnsi="Arial" w:cs="Arial"/>
              <w:szCs w:val="32"/>
              <w:lang w:val="en-US" w:eastAsia="zh-CN"/>
            </w:rPr>
            <w:t xml:space="preserve">7.0 </w:t>
          </w:r>
          <w:r>
            <w:rPr>
              <w:rFonts w:hint="default" w:ascii="Arial" w:hAnsi="Arial" w:cs="Arial"/>
              <w:szCs w:val="32"/>
              <w:lang w:val="en-GB"/>
            </w:rPr>
            <w:t>Tactics</w:t>
          </w:r>
          <w:r>
            <w:tab/>
          </w:r>
          <w:r>
            <w:fldChar w:fldCharType="begin"/>
          </w:r>
          <w:r>
            <w:instrText xml:space="preserve"> PAGEREF _Toc18832 \h </w:instrText>
          </w:r>
          <w:r>
            <w:fldChar w:fldCharType="separate"/>
          </w:r>
          <w:r>
            <w:t>8</w:t>
          </w:r>
          <w:r>
            <w:fldChar w:fldCharType="end"/>
          </w:r>
          <w:r>
            <w:fldChar w:fldCharType="end"/>
          </w:r>
        </w:p>
        <w:p>
          <w:pPr>
            <w:pStyle w:val="10"/>
            <w:tabs>
              <w:tab w:val="right" w:leader="dot" w:pos="9026"/>
            </w:tabs>
          </w:pPr>
          <w:r>
            <w:fldChar w:fldCharType="begin"/>
          </w:r>
          <w:r>
            <w:instrText xml:space="preserve"> HYPERLINK \l _Toc18486 </w:instrText>
          </w:r>
          <w:r>
            <w:fldChar w:fldCharType="separate"/>
          </w:r>
          <w:r>
            <w:rPr>
              <w:rFonts w:hint="default" w:ascii="Arial" w:hAnsi="Arial" w:cs="Arial"/>
              <w:szCs w:val="30"/>
              <w:lang w:val="en-US" w:eastAsia="zh-CN"/>
            </w:rPr>
            <w:t xml:space="preserve">7.1 </w:t>
          </w:r>
          <w:r>
            <w:rPr>
              <w:rFonts w:hint="default" w:ascii="Arial" w:hAnsi="Arial" w:cs="Arial"/>
              <w:szCs w:val="30"/>
              <w:lang w:val="en-GB"/>
            </w:rPr>
            <w:t>Product</w:t>
          </w:r>
          <w:r>
            <w:tab/>
          </w:r>
          <w:r>
            <w:fldChar w:fldCharType="begin"/>
          </w:r>
          <w:r>
            <w:instrText xml:space="preserve"> PAGEREF _Toc18486 \h </w:instrText>
          </w:r>
          <w:r>
            <w:fldChar w:fldCharType="separate"/>
          </w:r>
          <w:r>
            <w:t>9</w:t>
          </w:r>
          <w:r>
            <w:fldChar w:fldCharType="end"/>
          </w:r>
          <w:r>
            <w:fldChar w:fldCharType="end"/>
          </w:r>
        </w:p>
        <w:p>
          <w:pPr>
            <w:pStyle w:val="10"/>
            <w:tabs>
              <w:tab w:val="right" w:leader="dot" w:pos="9026"/>
            </w:tabs>
          </w:pPr>
          <w:r>
            <w:fldChar w:fldCharType="begin"/>
          </w:r>
          <w:r>
            <w:instrText xml:space="preserve"> HYPERLINK \l _Toc8462 </w:instrText>
          </w:r>
          <w:r>
            <w:fldChar w:fldCharType="separate"/>
          </w:r>
          <w:r>
            <w:rPr>
              <w:rFonts w:hint="default" w:ascii="Arial" w:hAnsi="Arial" w:cs="Arial"/>
              <w:szCs w:val="30"/>
              <w:lang w:val="en-US" w:eastAsia="zh-CN"/>
            </w:rPr>
            <w:t xml:space="preserve">7.2 </w:t>
          </w:r>
          <w:r>
            <w:rPr>
              <w:rFonts w:hint="default" w:ascii="Arial" w:hAnsi="Arial" w:cs="Arial"/>
              <w:szCs w:val="30"/>
              <w:lang w:val="en-GB"/>
            </w:rPr>
            <w:t>Price</w:t>
          </w:r>
          <w:r>
            <w:tab/>
          </w:r>
          <w:r>
            <w:fldChar w:fldCharType="begin"/>
          </w:r>
          <w:r>
            <w:instrText xml:space="preserve"> PAGEREF _Toc8462 \h </w:instrText>
          </w:r>
          <w:r>
            <w:fldChar w:fldCharType="separate"/>
          </w:r>
          <w:r>
            <w:t>9</w:t>
          </w:r>
          <w:r>
            <w:fldChar w:fldCharType="end"/>
          </w:r>
          <w:r>
            <w:fldChar w:fldCharType="end"/>
          </w:r>
        </w:p>
        <w:p>
          <w:pPr>
            <w:pStyle w:val="10"/>
            <w:tabs>
              <w:tab w:val="right" w:leader="dot" w:pos="9026"/>
            </w:tabs>
          </w:pPr>
          <w:r>
            <w:fldChar w:fldCharType="begin"/>
          </w:r>
          <w:r>
            <w:instrText xml:space="preserve"> HYPERLINK \l _Toc23771 </w:instrText>
          </w:r>
          <w:r>
            <w:fldChar w:fldCharType="separate"/>
          </w:r>
          <w:r>
            <w:rPr>
              <w:rFonts w:hint="default" w:ascii="Arial" w:hAnsi="Arial" w:cs="Arial"/>
              <w:szCs w:val="30"/>
              <w:lang w:val="en-US" w:eastAsia="zh-CN"/>
            </w:rPr>
            <w:t xml:space="preserve">7.3 </w:t>
          </w:r>
          <w:r>
            <w:rPr>
              <w:rFonts w:hint="default" w:ascii="Arial" w:hAnsi="Arial" w:cs="Arial"/>
              <w:szCs w:val="30"/>
              <w:lang w:val="en-GB"/>
            </w:rPr>
            <w:t>Place</w:t>
          </w:r>
          <w:r>
            <w:tab/>
          </w:r>
          <w:r>
            <w:fldChar w:fldCharType="begin"/>
          </w:r>
          <w:r>
            <w:instrText xml:space="preserve"> PAGEREF _Toc23771 \h </w:instrText>
          </w:r>
          <w:r>
            <w:fldChar w:fldCharType="separate"/>
          </w:r>
          <w:r>
            <w:t>9</w:t>
          </w:r>
          <w:r>
            <w:fldChar w:fldCharType="end"/>
          </w:r>
          <w:r>
            <w:fldChar w:fldCharType="end"/>
          </w:r>
        </w:p>
        <w:p>
          <w:pPr>
            <w:pStyle w:val="10"/>
            <w:tabs>
              <w:tab w:val="right" w:leader="dot" w:pos="9026"/>
            </w:tabs>
          </w:pPr>
          <w:r>
            <w:fldChar w:fldCharType="begin"/>
          </w:r>
          <w:r>
            <w:instrText xml:space="preserve"> HYPERLINK \l _Toc18537 </w:instrText>
          </w:r>
          <w:r>
            <w:fldChar w:fldCharType="separate"/>
          </w:r>
          <w:r>
            <w:rPr>
              <w:rFonts w:hint="default" w:ascii="Arial" w:hAnsi="Arial" w:cs="Arial"/>
              <w:szCs w:val="30"/>
              <w:lang w:val="en-US" w:eastAsia="zh-CN"/>
            </w:rPr>
            <w:t xml:space="preserve">7.4 </w:t>
          </w:r>
          <w:r>
            <w:rPr>
              <w:rFonts w:hint="default" w:ascii="Arial" w:hAnsi="Arial" w:cs="Arial"/>
              <w:szCs w:val="30"/>
              <w:lang w:val="en-GB"/>
            </w:rPr>
            <w:t>Promotion</w:t>
          </w:r>
          <w:r>
            <w:tab/>
          </w:r>
          <w:r>
            <w:fldChar w:fldCharType="begin"/>
          </w:r>
          <w:r>
            <w:instrText xml:space="preserve"> PAGEREF _Toc18537 \h </w:instrText>
          </w:r>
          <w:r>
            <w:fldChar w:fldCharType="separate"/>
          </w:r>
          <w:r>
            <w:t>10</w:t>
          </w:r>
          <w:r>
            <w:fldChar w:fldCharType="end"/>
          </w:r>
          <w:r>
            <w:fldChar w:fldCharType="end"/>
          </w:r>
        </w:p>
        <w:p>
          <w:pPr>
            <w:pStyle w:val="10"/>
            <w:tabs>
              <w:tab w:val="right" w:leader="dot" w:pos="9026"/>
            </w:tabs>
          </w:pPr>
          <w:r>
            <w:fldChar w:fldCharType="begin"/>
          </w:r>
          <w:r>
            <w:instrText xml:space="preserve"> HYPERLINK \l _Toc4879 </w:instrText>
          </w:r>
          <w:r>
            <w:fldChar w:fldCharType="separate"/>
          </w:r>
          <w:r>
            <w:rPr>
              <w:rFonts w:hint="default" w:ascii="Arial" w:hAnsi="Arial" w:cs="Arial"/>
              <w:szCs w:val="30"/>
              <w:lang w:val="en-US" w:eastAsia="zh-CN"/>
            </w:rPr>
            <w:t xml:space="preserve">7.5 </w:t>
          </w:r>
          <w:r>
            <w:rPr>
              <w:rFonts w:hint="default" w:ascii="Arial" w:hAnsi="Arial" w:cs="Arial"/>
              <w:szCs w:val="30"/>
              <w:lang w:val="en-GB"/>
            </w:rPr>
            <w:t>People</w:t>
          </w:r>
          <w:r>
            <w:tab/>
          </w:r>
          <w:r>
            <w:fldChar w:fldCharType="begin"/>
          </w:r>
          <w:r>
            <w:instrText xml:space="preserve"> PAGEREF _Toc4879 \h </w:instrText>
          </w:r>
          <w:r>
            <w:fldChar w:fldCharType="separate"/>
          </w:r>
          <w:r>
            <w:t>10</w:t>
          </w:r>
          <w:r>
            <w:fldChar w:fldCharType="end"/>
          </w:r>
          <w:r>
            <w:fldChar w:fldCharType="end"/>
          </w:r>
        </w:p>
        <w:p>
          <w:pPr>
            <w:pStyle w:val="10"/>
            <w:tabs>
              <w:tab w:val="right" w:leader="dot" w:pos="9026"/>
            </w:tabs>
          </w:pPr>
          <w:r>
            <w:fldChar w:fldCharType="begin"/>
          </w:r>
          <w:r>
            <w:instrText xml:space="preserve"> HYPERLINK \l _Toc3225 </w:instrText>
          </w:r>
          <w:r>
            <w:fldChar w:fldCharType="separate"/>
          </w:r>
          <w:r>
            <w:rPr>
              <w:rFonts w:hint="default" w:ascii="Arial" w:hAnsi="Arial" w:cs="Arial"/>
              <w:szCs w:val="30"/>
              <w:lang w:val="en-US" w:eastAsia="zh-CN"/>
            </w:rPr>
            <w:t xml:space="preserve">7.6 </w:t>
          </w:r>
          <w:r>
            <w:rPr>
              <w:rFonts w:hint="default" w:ascii="Arial" w:hAnsi="Arial" w:cs="Arial"/>
              <w:szCs w:val="30"/>
              <w:lang w:val="en-GB"/>
            </w:rPr>
            <w:t>Process</w:t>
          </w:r>
          <w:r>
            <w:tab/>
          </w:r>
          <w:r>
            <w:fldChar w:fldCharType="begin"/>
          </w:r>
          <w:r>
            <w:instrText xml:space="preserve"> PAGEREF _Toc3225 \h </w:instrText>
          </w:r>
          <w:r>
            <w:fldChar w:fldCharType="separate"/>
          </w:r>
          <w:r>
            <w:t>11</w:t>
          </w:r>
          <w:r>
            <w:fldChar w:fldCharType="end"/>
          </w:r>
          <w:r>
            <w:fldChar w:fldCharType="end"/>
          </w:r>
        </w:p>
        <w:p>
          <w:pPr>
            <w:pStyle w:val="10"/>
            <w:tabs>
              <w:tab w:val="right" w:leader="dot" w:pos="9026"/>
            </w:tabs>
          </w:pPr>
          <w:r>
            <w:fldChar w:fldCharType="begin"/>
          </w:r>
          <w:r>
            <w:instrText xml:space="preserve"> HYPERLINK \l _Toc20283 </w:instrText>
          </w:r>
          <w:r>
            <w:fldChar w:fldCharType="separate"/>
          </w:r>
          <w:r>
            <w:rPr>
              <w:rFonts w:hint="default" w:ascii="Arial" w:hAnsi="Arial" w:cs="Arial"/>
              <w:szCs w:val="30"/>
              <w:lang w:val="en-US" w:eastAsia="zh-CN"/>
            </w:rPr>
            <w:t xml:space="preserve">7.7 </w:t>
          </w:r>
          <w:r>
            <w:rPr>
              <w:rFonts w:hint="default" w:ascii="Arial" w:hAnsi="Arial" w:cs="Arial"/>
              <w:szCs w:val="30"/>
              <w:lang w:val="en-GB"/>
            </w:rPr>
            <w:t>Physical Evidence</w:t>
          </w:r>
          <w:r>
            <w:tab/>
          </w:r>
          <w:r>
            <w:fldChar w:fldCharType="begin"/>
          </w:r>
          <w:r>
            <w:instrText xml:space="preserve"> PAGEREF _Toc20283 \h </w:instrText>
          </w:r>
          <w:r>
            <w:fldChar w:fldCharType="separate"/>
          </w:r>
          <w:r>
            <w:t>11</w:t>
          </w:r>
          <w:r>
            <w:fldChar w:fldCharType="end"/>
          </w:r>
          <w:r>
            <w:fldChar w:fldCharType="end"/>
          </w:r>
        </w:p>
        <w:p>
          <w:pPr>
            <w:pStyle w:val="9"/>
            <w:tabs>
              <w:tab w:val="right" w:leader="dot" w:pos="9026"/>
            </w:tabs>
          </w:pPr>
          <w:r>
            <w:fldChar w:fldCharType="begin"/>
          </w:r>
          <w:r>
            <w:instrText xml:space="preserve"> HYPERLINK \l _Toc1673 </w:instrText>
          </w:r>
          <w:r>
            <w:fldChar w:fldCharType="separate"/>
          </w:r>
          <w:r>
            <w:rPr>
              <w:rFonts w:hint="default" w:ascii="Arial" w:hAnsi="Arial" w:cs="Arial"/>
              <w:szCs w:val="32"/>
              <w:lang w:val="en-US" w:eastAsia="zh-CN"/>
            </w:rPr>
            <w:t xml:space="preserve">8.0 </w:t>
          </w:r>
          <w:r>
            <w:rPr>
              <w:rFonts w:hint="default" w:ascii="Arial" w:hAnsi="Arial" w:cs="Arial"/>
              <w:szCs w:val="32"/>
              <w:lang w:val="en-GB"/>
            </w:rPr>
            <w:t>Action</w:t>
          </w:r>
          <w:r>
            <w:tab/>
          </w:r>
          <w:r>
            <w:fldChar w:fldCharType="begin"/>
          </w:r>
          <w:r>
            <w:instrText xml:space="preserve"> PAGEREF _Toc1673 \h </w:instrText>
          </w:r>
          <w:r>
            <w:fldChar w:fldCharType="separate"/>
          </w:r>
          <w:r>
            <w:t>11</w:t>
          </w:r>
          <w:r>
            <w:fldChar w:fldCharType="end"/>
          </w:r>
          <w:r>
            <w:fldChar w:fldCharType="end"/>
          </w:r>
        </w:p>
        <w:p>
          <w:pPr>
            <w:pStyle w:val="9"/>
            <w:tabs>
              <w:tab w:val="right" w:leader="dot" w:pos="9026"/>
            </w:tabs>
          </w:pPr>
          <w:r>
            <w:fldChar w:fldCharType="begin"/>
          </w:r>
          <w:r>
            <w:instrText xml:space="preserve"> HYPERLINK \l _Toc31794 </w:instrText>
          </w:r>
          <w:r>
            <w:fldChar w:fldCharType="separate"/>
          </w:r>
          <w:r>
            <w:rPr>
              <w:rFonts w:hint="default" w:ascii="Arial" w:hAnsi="Arial" w:cs="Arial"/>
              <w:szCs w:val="32"/>
              <w:lang w:val="en-US" w:eastAsia="zh-CN"/>
            </w:rPr>
            <w:t xml:space="preserve">9.0 </w:t>
          </w:r>
          <w:r>
            <w:rPr>
              <w:rFonts w:hint="default" w:ascii="Arial" w:hAnsi="Arial" w:cs="Arial"/>
              <w:szCs w:val="32"/>
              <w:lang w:val="en-GB"/>
            </w:rPr>
            <w:t>Control</w:t>
          </w:r>
          <w:r>
            <w:tab/>
          </w:r>
          <w:r>
            <w:fldChar w:fldCharType="begin"/>
          </w:r>
          <w:r>
            <w:instrText xml:space="preserve"> PAGEREF _Toc31794 \h </w:instrText>
          </w:r>
          <w:r>
            <w:fldChar w:fldCharType="separate"/>
          </w:r>
          <w:r>
            <w:t>13</w:t>
          </w:r>
          <w:r>
            <w:fldChar w:fldCharType="end"/>
          </w:r>
          <w:r>
            <w:fldChar w:fldCharType="end"/>
          </w:r>
        </w:p>
        <w:p>
          <w:pPr>
            <w:pStyle w:val="9"/>
            <w:tabs>
              <w:tab w:val="right" w:leader="dot" w:pos="9026"/>
            </w:tabs>
          </w:pPr>
          <w:r>
            <w:fldChar w:fldCharType="begin"/>
          </w:r>
          <w:r>
            <w:instrText xml:space="preserve"> HYPERLINK \l _Toc15599 </w:instrText>
          </w:r>
          <w:r>
            <w:fldChar w:fldCharType="separate"/>
          </w:r>
          <w:r>
            <w:rPr>
              <w:rFonts w:hint="default" w:ascii="Arial" w:hAnsi="Arial" w:cs="Arial"/>
              <w:szCs w:val="32"/>
              <w:lang w:val="en-US" w:eastAsia="zh-CN"/>
            </w:rPr>
            <w:t xml:space="preserve">10.0 </w:t>
          </w:r>
          <w:r>
            <w:rPr>
              <w:rFonts w:hint="default" w:ascii="Arial" w:hAnsi="Arial" w:cs="Arial"/>
              <w:szCs w:val="32"/>
              <w:lang w:val="en-GB"/>
            </w:rPr>
            <w:t>Recommendations</w:t>
          </w:r>
          <w:r>
            <w:tab/>
          </w:r>
          <w:r>
            <w:fldChar w:fldCharType="begin"/>
          </w:r>
          <w:r>
            <w:instrText xml:space="preserve"> PAGEREF _Toc15599 \h </w:instrText>
          </w:r>
          <w:r>
            <w:fldChar w:fldCharType="separate"/>
          </w:r>
          <w:r>
            <w:t>13</w:t>
          </w:r>
          <w:r>
            <w:fldChar w:fldCharType="end"/>
          </w:r>
          <w:r>
            <w:fldChar w:fldCharType="end"/>
          </w:r>
        </w:p>
        <w:p>
          <w:pPr>
            <w:pStyle w:val="9"/>
            <w:tabs>
              <w:tab w:val="right" w:leader="dot" w:pos="9026"/>
            </w:tabs>
          </w:pPr>
          <w:r>
            <w:fldChar w:fldCharType="begin"/>
          </w:r>
          <w:r>
            <w:instrText xml:space="preserve"> HYPERLINK \l _Toc30782 </w:instrText>
          </w:r>
          <w:r>
            <w:fldChar w:fldCharType="separate"/>
          </w:r>
          <w:r>
            <w:rPr>
              <w:rFonts w:hint="default" w:ascii="Arial" w:hAnsi="Arial" w:cs="Arial"/>
              <w:szCs w:val="32"/>
              <w:lang w:val="en-US" w:eastAsia="zh-CN"/>
            </w:rPr>
            <w:t xml:space="preserve">11.0 </w:t>
          </w:r>
          <w:r>
            <w:rPr>
              <w:rFonts w:hint="default" w:ascii="Arial" w:hAnsi="Arial" w:cs="Arial"/>
              <w:szCs w:val="32"/>
              <w:lang w:val="en-GB"/>
            </w:rPr>
            <w:t>Conclusion</w:t>
          </w:r>
          <w:r>
            <w:tab/>
          </w:r>
          <w:r>
            <w:fldChar w:fldCharType="begin"/>
          </w:r>
          <w:r>
            <w:instrText xml:space="preserve"> PAGEREF _Toc30782 \h </w:instrText>
          </w:r>
          <w:r>
            <w:fldChar w:fldCharType="separate"/>
          </w:r>
          <w:r>
            <w:t>13</w:t>
          </w:r>
          <w:r>
            <w:fldChar w:fldCharType="end"/>
          </w:r>
          <w:r>
            <w:fldChar w:fldCharType="end"/>
          </w:r>
        </w:p>
        <w:p>
          <w:pPr>
            <w:pStyle w:val="9"/>
            <w:tabs>
              <w:tab w:val="right" w:leader="dot" w:pos="9026"/>
            </w:tabs>
          </w:pPr>
          <w:r>
            <w:fldChar w:fldCharType="begin"/>
          </w:r>
          <w:r>
            <w:instrText xml:space="preserve"> HYPERLINK \l _Toc26033 </w:instrText>
          </w:r>
          <w:r>
            <w:fldChar w:fldCharType="separate"/>
          </w:r>
          <w:r>
            <w:rPr>
              <w:rFonts w:hint="default" w:ascii="Arial" w:hAnsi="Arial" w:cs="Arial"/>
              <w:szCs w:val="32"/>
              <w:lang w:val="en-GB"/>
            </w:rPr>
            <w:t>References</w:t>
          </w:r>
          <w:r>
            <w:tab/>
          </w:r>
          <w:r>
            <w:fldChar w:fldCharType="begin"/>
          </w:r>
          <w:r>
            <w:instrText xml:space="preserve"> PAGEREF _Toc26033 \h </w:instrText>
          </w:r>
          <w:r>
            <w:fldChar w:fldCharType="separate"/>
          </w:r>
          <w:r>
            <w:t>14</w:t>
          </w:r>
          <w:r>
            <w:fldChar w:fldCharType="end"/>
          </w:r>
          <w:r>
            <w:fldChar w:fldCharType="end"/>
          </w:r>
        </w:p>
        <w:p>
          <w:pPr>
            <w:pStyle w:val="9"/>
            <w:tabs>
              <w:tab w:val="right" w:leader="dot" w:pos="9026"/>
            </w:tabs>
          </w:pPr>
          <w:r>
            <w:fldChar w:fldCharType="begin"/>
          </w:r>
          <w:r>
            <w:instrText xml:space="preserve"> HYPERLINK \l _Toc14181 </w:instrText>
          </w:r>
          <w:r>
            <w:fldChar w:fldCharType="separate"/>
          </w:r>
          <w:r>
            <w:rPr>
              <w:rFonts w:hint="default" w:ascii="Arial" w:hAnsi="Arial" w:cs="Arial"/>
              <w:szCs w:val="32"/>
              <w:lang w:val="en-GB"/>
            </w:rPr>
            <w:t>Appendices</w:t>
          </w:r>
          <w:r>
            <w:tab/>
          </w:r>
          <w:r>
            <w:fldChar w:fldCharType="begin"/>
          </w:r>
          <w:r>
            <w:instrText xml:space="preserve"> PAGEREF _Toc14181 \h </w:instrText>
          </w:r>
          <w:r>
            <w:fldChar w:fldCharType="separate"/>
          </w:r>
          <w:r>
            <w:t>19</w:t>
          </w:r>
          <w:r>
            <w:fldChar w:fldCharType="end"/>
          </w:r>
          <w:r>
            <w:fldChar w:fldCharType="end"/>
          </w:r>
        </w:p>
        <w:p>
          <w:pPr>
            <w:pStyle w:val="10"/>
            <w:tabs>
              <w:tab w:val="right" w:leader="dot" w:pos="9026"/>
            </w:tabs>
          </w:pPr>
          <w:r>
            <w:fldChar w:fldCharType="begin"/>
          </w:r>
          <w:r>
            <w:instrText xml:space="preserve"> HYPERLINK \l _Toc19339 </w:instrText>
          </w:r>
          <w:r>
            <w:fldChar w:fldCharType="separate"/>
          </w:r>
          <w:r>
            <w:rPr>
              <w:rFonts w:hint="default" w:ascii="Arial" w:hAnsi="Arial" w:cs="Arial"/>
              <w:szCs w:val="30"/>
              <w:lang w:val="en-GB"/>
            </w:rPr>
            <w:t>Appendix A: SWOT Analysis</w:t>
          </w:r>
          <w:r>
            <w:tab/>
          </w:r>
          <w:r>
            <w:fldChar w:fldCharType="begin"/>
          </w:r>
          <w:r>
            <w:instrText xml:space="preserve"> PAGEREF _Toc19339 \h </w:instrText>
          </w:r>
          <w:r>
            <w:fldChar w:fldCharType="separate"/>
          </w:r>
          <w:r>
            <w:t>19</w:t>
          </w:r>
          <w:r>
            <w:fldChar w:fldCharType="end"/>
          </w:r>
          <w:r>
            <w:fldChar w:fldCharType="end"/>
          </w:r>
        </w:p>
        <w:p>
          <w:pPr>
            <w:pStyle w:val="10"/>
            <w:tabs>
              <w:tab w:val="right" w:leader="dot" w:pos="9026"/>
            </w:tabs>
          </w:pPr>
          <w:r>
            <w:fldChar w:fldCharType="begin"/>
          </w:r>
          <w:r>
            <w:instrText xml:space="preserve"> HYPERLINK \l _Toc11521 </w:instrText>
          </w:r>
          <w:r>
            <w:fldChar w:fldCharType="separate"/>
          </w:r>
          <w:r>
            <w:rPr>
              <w:rFonts w:hint="default" w:ascii="Arial" w:hAnsi="Arial" w:cs="Arial"/>
              <w:szCs w:val="30"/>
              <w:lang w:val="en-GB"/>
            </w:rPr>
            <w:t>Appendix B: Porter’s Five Force Competition Analysis</w:t>
          </w:r>
          <w:r>
            <w:tab/>
          </w:r>
          <w:r>
            <w:fldChar w:fldCharType="begin"/>
          </w:r>
          <w:r>
            <w:instrText xml:space="preserve"> PAGEREF _Toc11521 \h </w:instrText>
          </w:r>
          <w:r>
            <w:fldChar w:fldCharType="separate"/>
          </w:r>
          <w:r>
            <w:t>20</w:t>
          </w:r>
          <w:r>
            <w:fldChar w:fldCharType="end"/>
          </w:r>
          <w:r>
            <w:fldChar w:fldCharType="end"/>
          </w:r>
        </w:p>
        <w:p>
          <w:pPr>
            <w:pStyle w:val="10"/>
            <w:tabs>
              <w:tab w:val="right" w:leader="dot" w:pos="9026"/>
            </w:tabs>
          </w:pPr>
          <w:r>
            <w:fldChar w:fldCharType="begin"/>
          </w:r>
          <w:r>
            <w:instrText xml:space="preserve"> HYPERLINK \l _Toc16856 </w:instrText>
          </w:r>
          <w:r>
            <w:fldChar w:fldCharType="separate"/>
          </w:r>
          <w:r>
            <w:rPr>
              <w:rFonts w:hint="default" w:ascii="Arial" w:hAnsi="Arial" w:cs="Arial"/>
              <w:szCs w:val="30"/>
              <w:lang w:val="en-GB"/>
            </w:rPr>
            <w:t>Appendix C: Customer Analysis</w:t>
          </w:r>
          <w:r>
            <w:tab/>
          </w:r>
          <w:r>
            <w:fldChar w:fldCharType="begin"/>
          </w:r>
          <w:r>
            <w:instrText xml:space="preserve"> PAGEREF _Toc16856 \h </w:instrText>
          </w:r>
          <w:r>
            <w:fldChar w:fldCharType="separate"/>
          </w:r>
          <w:r>
            <w:t>21</w:t>
          </w:r>
          <w:r>
            <w:fldChar w:fldCharType="end"/>
          </w:r>
          <w:r>
            <w:fldChar w:fldCharType="end"/>
          </w:r>
        </w:p>
        <w:p>
          <w:pPr>
            <w:pStyle w:val="10"/>
            <w:tabs>
              <w:tab w:val="right" w:leader="dot" w:pos="9026"/>
            </w:tabs>
          </w:pPr>
          <w:r>
            <w:fldChar w:fldCharType="begin"/>
          </w:r>
          <w:r>
            <w:instrText xml:space="preserve"> HYPERLINK \l _Toc24285 </w:instrText>
          </w:r>
          <w:r>
            <w:fldChar w:fldCharType="separate"/>
          </w:r>
          <w:r>
            <w:rPr>
              <w:rFonts w:hint="default" w:ascii="Arial" w:hAnsi="Arial" w:cs="Arial"/>
              <w:szCs w:val="30"/>
              <w:lang w:val="en-GB"/>
            </w:rPr>
            <w:t>Appendix D: Stakeholder Analysis</w:t>
          </w:r>
          <w:r>
            <w:tab/>
          </w:r>
          <w:r>
            <w:fldChar w:fldCharType="begin"/>
          </w:r>
          <w:r>
            <w:instrText xml:space="preserve"> PAGEREF _Toc24285 \h </w:instrText>
          </w:r>
          <w:r>
            <w:fldChar w:fldCharType="separate"/>
          </w:r>
          <w:r>
            <w:t>23</w:t>
          </w:r>
          <w:r>
            <w:fldChar w:fldCharType="end"/>
          </w:r>
          <w:r>
            <w:fldChar w:fldCharType="end"/>
          </w:r>
        </w:p>
        <w:p>
          <w:pPr>
            <w:pStyle w:val="10"/>
            <w:tabs>
              <w:tab w:val="right" w:leader="dot" w:pos="9026"/>
            </w:tabs>
          </w:pPr>
          <w:r>
            <w:fldChar w:fldCharType="begin"/>
          </w:r>
          <w:r>
            <w:instrText xml:space="preserve"> HYPERLINK \l _Toc8101 </w:instrText>
          </w:r>
          <w:r>
            <w:fldChar w:fldCharType="separate"/>
          </w:r>
          <w:r>
            <w:rPr>
              <w:rFonts w:hint="default" w:ascii="Arial" w:hAnsi="Arial" w:cs="Arial"/>
              <w:szCs w:val="30"/>
              <w:lang w:val="en-GB"/>
            </w:rPr>
            <w:t>Appendix E: SMART Objectives</w:t>
          </w:r>
          <w:r>
            <w:tab/>
          </w:r>
          <w:r>
            <w:fldChar w:fldCharType="begin"/>
          </w:r>
          <w:r>
            <w:instrText xml:space="preserve"> PAGEREF _Toc8101 \h </w:instrText>
          </w:r>
          <w:r>
            <w:fldChar w:fldCharType="separate"/>
          </w:r>
          <w:r>
            <w:t>24</w:t>
          </w:r>
          <w:r>
            <w:fldChar w:fldCharType="end"/>
          </w:r>
          <w:r>
            <w:fldChar w:fldCharType="end"/>
          </w:r>
        </w:p>
        <w:p>
          <w:pPr>
            <w:pStyle w:val="10"/>
            <w:tabs>
              <w:tab w:val="right" w:leader="dot" w:pos="9026"/>
            </w:tabs>
          </w:pPr>
          <w:r>
            <w:fldChar w:fldCharType="begin"/>
          </w:r>
          <w:r>
            <w:instrText xml:space="preserve"> HYPERLINK \l _Toc22131 </w:instrText>
          </w:r>
          <w:r>
            <w:fldChar w:fldCharType="separate"/>
          </w:r>
          <w:r>
            <w:rPr>
              <w:rFonts w:hint="default" w:ascii="Arial" w:hAnsi="Arial" w:cs="Arial"/>
              <w:szCs w:val="30"/>
              <w:lang w:val="en-GB"/>
            </w:rPr>
            <w:t>Appendix F: Ansoff Matrix</w:t>
          </w:r>
          <w:r>
            <w:tab/>
          </w:r>
          <w:r>
            <w:fldChar w:fldCharType="begin"/>
          </w:r>
          <w:r>
            <w:instrText xml:space="preserve"> PAGEREF _Toc22131 \h </w:instrText>
          </w:r>
          <w:r>
            <w:fldChar w:fldCharType="separate"/>
          </w:r>
          <w:r>
            <w:t>25</w:t>
          </w:r>
          <w:r>
            <w:fldChar w:fldCharType="end"/>
          </w:r>
          <w:r>
            <w:fldChar w:fldCharType="end"/>
          </w:r>
        </w:p>
        <w:p>
          <w:pPr>
            <w:pStyle w:val="10"/>
            <w:tabs>
              <w:tab w:val="right" w:leader="dot" w:pos="9026"/>
            </w:tabs>
          </w:pPr>
          <w:r>
            <w:fldChar w:fldCharType="begin"/>
          </w:r>
          <w:r>
            <w:instrText xml:space="preserve"> HYPERLINK \l _Toc17541 </w:instrText>
          </w:r>
          <w:r>
            <w:fldChar w:fldCharType="separate"/>
          </w:r>
          <w:r>
            <w:rPr>
              <w:rFonts w:hint="default" w:ascii="Arial" w:hAnsi="Arial" w:cs="Arial"/>
              <w:szCs w:val="30"/>
              <w:lang w:val="en-GB"/>
            </w:rPr>
            <w:t>Appendix G: Porter’s Generic Strategies</w:t>
          </w:r>
          <w:r>
            <w:tab/>
          </w:r>
          <w:r>
            <w:fldChar w:fldCharType="begin"/>
          </w:r>
          <w:r>
            <w:instrText xml:space="preserve"> PAGEREF _Toc17541 \h </w:instrText>
          </w:r>
          <w:r>
            <w:fldChar w:fldCharType="separate"/>
          </w:r>
          <w:r>
            <w:t>27</w:t>
          </w:r>
          <w:r>
            <w:fldChar w:fldCharType="end"/>
          </w:r>
          <w:r>
            <w:fldChar w:fldCharType="end"/>
          </w:r>
        </w:p>
        <w:p>
          <w:pPr>
            <w:pStyle w:val="10"/>
            <w:tabs>
              <w:tab w:val="right" w:leader="dot" w:pos="9026"/>
            </w:tabs>
          </w:pPr>
          <w:r>
            <w:fldChar w:fldCharType="begin"/>
          </w:r>
          <w:r>
            <w:instrText xml:space="preserve"> HYPERLINK \l _Toc2316 </w:instrText>
          </w:r>
          <w:r>
            <w:fldChar w:fldCharType="separate"/>
          </w:r>
          <w:r>
            <w:rPr>
              <w:rFonts w:hint="default" w:ascii="Arial" w:hAnsi="Arial" w:cs="Arial"/>
              <w:szCs w:val="30"/>
              <w:lang w:val="en-GB"/>
            </w:rPr>
            <w:t>Appendix H: Key Performance Indicators</w:t>
          </w:r>
          <w:r>
            <w:tab/>
          </w:r>
          <w:r>
            <w:fldChar w:fldCharType="begin"/>
          </w:r>
          <w:r>
            <w:instrText xml:space="preserve"> PAGEREF _Toc2316 \h </w:instrText>
          </w:r>
          <w:r>
            <w:fldChar w:fldCharType="separate"/>
          </w:r>
          <w:r>
            <w:t>28</w:t>
          </w:r>
          <w:r>
            <w:fldChar w:fldCharType="end"/>
          </w:r>
          <w:r>
            <w:fldChar w:fldCharType="end"/>
          </w:r>
        </w:p>
        <w:p>
          <w:pPr>
            <w:rPr>
              <w:rFonts w:hint="default" w:ascii="Arial" w:hAnsi="Arial" w:cs="Arial"/>
              <w:lang w:val="en-GB"/>
            </w:rPr>
          </w:pPr>
          <w:r>
            <w:fldChar w:fldCharType="end"/>
          </w:r>
        </w:p>
      </w:sdtContent>
    </w:sdt>
    <w:p>
      <w:pPr>
        <w:pStyle w:val="2"/>
        <w:bidi w:val="0"/>
        <w:rPr>
          <w:rFonts w:hint="default" w:ascii="Arial" w:hAnsi="Arial" w:cs="Arial"/>
          <w:sz w:val="32"/>
          <w:szCs w:val="32"/>
          <w:lang w:val="en-GB"/>
        </w:rPr>
        <w:sectPr>
          <w:pgSz w:w="11906" w:h="16838"/>
          <w:pgMar w:top="1440" w:right="1440" w:bottom="1440" w:left="1440" w:header="851" w:footer="992" w:gutter="0"/>
          <w:cols w:space="425" w:num="1"/>
          <w:docGrid w:type="lines" w:linePitch="312" w:charSpace="0"/>
        </w:sectPr>
      </w:pPr>
    </w:p>
    <w:p>
      <w:pPr>
        <w:pStyle w:val="2"/>
        <w:bidi w:val="0"/>
        <w:rPr>
          <w:rFonts w:hint="default" w:ascii="Arial" w:hAnsi="Arial" w:cs="Arial"/>
          <w:sz w:val="32"/>
          <w:szCs w:val="32"/>
          <w:lang w:val="en-GB"/>
        </w:rPr>
      </w:pPr>
      <w:bookmarkStart w:id="0" w:name="_Toc19746"/>
      <w:bookmarkStart w:id="1" w:name="_Toc15364"/>
      <w:r>
        <w:rPr>
          <w:rFonts w:hint="default" w:ascii="Arial" w:hAnsi="Arial" w:cs="Arial"/>
          <w:sz w:val="32"/>
          <w:szCs w:val="32"/>
          <w:lang w:val="en-GB"/>
        </w:rPr>
        <w:t>Executive Summary</w:t>
      </w:r>
      <w:bookmarkEnd w:id="0"/>
      <w:bookmarkEnd w:id="1"/>
    </w:p>
    <w:p>
      <w:pPr>
        <w:pStyle w:val="3"/>
        <w:rPr>
          <w:rFonts w:hint="default" w:ascii="Arial" w:hAnsi="Arial" w:cs="Arial"/>
          <w:lang w:val="en-GB"/>
        </w:rPr>
      </w:pPr>
      <w:r>
        <w:rPr>
          <w:rFonts w:hint="default" w:ascii="Arial" w:hAnsi="Arial" w:cs="Arial"/>
          <w:lang w:val="en-GB"/>
        </w:rPr>
        <w:t>Greggs Food Company, like other fast-food companies in UK has been struggling to stay ahead of competition and match the changing consumer demand in the market. It has implemented initiatives like “Next Generation” to enable its cause in the market. This marketing plan enables to find the strengths and shortcomings of the company and the industry as a whole and identifies areas of improvements utilizing various frameworks and models of marketing plans to suggest that Greggs objective of enhanced customer network, product development, and entrance into new market can be addressed through technological advancement, use of social media tools, and setting up of smart factories in the region.</w:t>
      </w:r>
    </w:p>
    <w:p>
      <w:pPr>
        <w:pStyle w:val="4"/>
        <w:spacing w:before="240" w:after="240"/>
        <w:rPr>
          <w:rFonts w:hint="default" w:ascii="Arial" w:hAnsi="Arial" w:cs="Arial"/>
          <w:lang w:val="en-GB"/>
        </w:rPr>
      </w:pPr>
      <w:bookmarkStart w:id="2" w:name="_gohcxe8u5a30" w:colFirst="0" w:colLast="0"/>
      <w:bookmarkEnd w:id="2"/>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2"/>
        <w:bidi w:val="0"/>
        <w:rPr>
          <w:rFonts w:hint="default" w:ascii="Arial" w:hAnsi="Arial" w:cs="Arial"/>
          <w:sz w:val="32"/>
          <w:szCs w:val="32"/>
          <w:lang w:val="en-GB"/>
        </w:rPr>
      </w:pPr>
      <w:bookmarkStart w:id="3" w:name="_Toc10106"/>
      <w:bookmarkStart w:id="4" w:name="_Toc23339"/>
      <w:r>
        <w:rPr>
          <w:rFonts w:hint="default" w:ascii="Arial" w:hAnsi="Arial" w:cs="Arial"/>
          <w:sz w:val="32"/>
          <w:szCs w:val="32"/>
          <w:lang w:val="en-US" w:eastAsia="zh-CN"/>
        </w:rPr>
        <w:t xml:space="preserve">1.0 </w:t>
      </w:r>
      <w:r>
        <w:rPr>
          <w:rFonts w:hint="default" w:ascii="Arial" w:hAnsi="Arial" w:cs="Arial"/>
          <w:sz w:val="32"/>
          <w:szCs w:val="32"/>
          <w:lang w:val="en-GB"/>
        </w:rPr>
        <w:t>Introduction</w:t>
      </w:r>
      <w:bookmarkEnd w:id="3"/>
      <w:bookmarkEnd w:id="4"/>
      <w:r>
        <w:rPr>
          <w:rFonts w:hint="default" w:ascii="Arial" w:hAnsi="Arial" w:cs="Arial"/>
          <w:sz w:val="32"/>
          <w:szCs w:val="32"/>
          <w:lang w:val="en-GB"/>
        </w:rPr>
        <w:t xml:space="preserve"> </w:t>
      </w:r>
    </w:p>
    <w:p>
      <w:pPr>
        <w:pStyle w:val="3"/>
        <w:rPr>
          <w:rFonts w:hint="default" w:ascii="Arial" w:hAnsi="Arial" w:cs="Arial"/>
          <w:lang w:val="en-GB"/>
        </w:rPr>
      </w:pPr>
      <w:r>
        <w:rPr>
          <w:rFonts w:hint="default" w:ascii="Arial" w:hAnsi="Arial" w:cs="Arial"/>
          <w:lang w:val="en-GB"/>
        </w:rPr>
        <w:t xml:space="preserve">A marketing plan is used to create an advertising strategy for companies to promote their products and services in the market. It is a report that outlines a company's marketing initiatives for the forthcoming year. It describes the period's approach to marketing, sales, and marketing strategies (Girton, 2018). To create the plan, various tools and frameworks are utilised. This report uses the SOSTAC and SMART framework to outline Gregg’s marketing strategies and plans effectively. </w:t>
      </w:r>
    </w:p>
    <w:p>
      <w:pPr>
        <w:pStyle w:val="3"/>
        <w:rPr>
          <w:rFonts w:hint="default" w:ascii="Arial" w:hAnsi="Arial" w:cs="Arial"/>
          <w:lang w:val="en-GB"/>
        </w:rPr>
      </w:pPr>
    </w:p>
    <w:p>
      <w:pPr>
        <w:pStyle w:val="3"/>
        <w:rPr>
          <w:rFonts w:hint="default" w:ascii="Arial" w:hAnsi="Arial" w:cs="Arial"/>
          <w:lang w:val="en-GB"/>
        </w:rPr>
      </w:pPr>
      <w:r>
        <w:rPr>
          <w:rFonts w:hint="default" w:ascii="Arial" w:hAnsi="Arial" w:cs="Arial"/>
          <w:lang w:val="en-GB"/>
        </w:rPr>
        <w:t>The SOSTAC is a comprehensive framework, created by PR Smith in the late 1990s, that assists in developing a marketing strategy. This structure will also help to keep appraised of the development. It is a valuable tool in analysing and forecasting the extent to which or not the planned marketing objective can be met. Each component of the acronym 'SOSTAC' represents a step in a company's marketing strategy. It adheres to scenario analysis, objectives, tactics, action, and control parameters (Bintang, 2022). On the other hand, George T. Doran is credited with coining the term SMART objectives in 1981. Subsequently, the term has expanded and gone through an array of iter­a­tions, which means several managers interpret SMART objec­tives in several distinct ways (Chatterjee &amp; Corral, 2017). SMART goals are an approach to setting targets that let executives and staff members create, measure, and achieve both immediate and long-term objectives. This system provides companies with a better approach to setting priorities. Using SMART objectives, employees and supervisors can create a course of action to boost per­for­mance, strengthen productivity, and help achieve organisational goals (Tuten &amp; Solomon, 2017).</w:t>
      </w:r>
    </w:p>
    <w:p>
      <w:pPr>
        <w:pStyle w:val="3"/>
        <w:rPr>
          <w:rFonts w:hint="default" w:ascii="Arial" w:hAnsi="Arial" w:cs="Arial"/>
          <w:lang w:val="en-GB"/>
        </w:rPr>
      </w:pPr>
    </w:p>
    <w:p>
      <w:pPr>
        <w:pStyle w:val="3"/>
        <w:rPr>
          <w:rFonts w:hint="default" w:ascii="Arial" w:hAnsi="Arial" w:cs="Arial"/>
          <w:lang w:val="en-GB"/>
        </w:rPr>
      </w:pPr>
      <w:r>
        <w:rPr>
          <w:rFonts w:hint="default" w:ascii="Arial" w:hAnsi="Arial" w:cs="Arial"/>
          <w:lang w:val="en-GB"/>
        </w:rPr>
        <w:t xml:space="preserve">This report abstracts the marketing plan with different promotional techniques that will be used to offer its products to customers. Target audiences, attention-grabbing strategies, price, and measuring tools will all be determined by the marketing strategy. The ability of a corporation to analyse and regulate its market strategy determines its performance since the plan reveals the most and least efficient means of making sales. </w:t>
      </w:r>
    </w:p>
    <w:p>
      <w:pPr>
        <w:pStyle w:val="3"/>
        <w:spacing w:before="240" w:after="240"/>
        <w:rPr>
          <w:rFonts w:hint="default" w:ascii="Arial" w:hAnsi="Arial" w:cs="Arial"/>
          <w:lang w:val="en-GB"/>
        </w:rPr>
      </w:pPr>
    </w:p>
    <w:p>
      <w:pPr>
        <w:pStyle w:val="2"/>
        <w:bidi w:val="0"/>
        <w:rPr>
          <w:rFonts w:hint="default" w:ascii="Arial" w:hAnsi="Arial" w:cs="Arial"/>
          <w:sz w:val="32"/>
          <w:szCs w:val="32"/>
          <w:lang w:val="en-GB"/>
        </w:rPr>
      </w:pPr>
      <w:bookmarkStart w:id="5" w:name="_ppufewfxy8e9" w:colFirst="0" w:colLast="0"/>
      <w:bookmarkEnd w:id="5"/>
      <w:bookmarkStart w:id="6" w:name="_Toc10920"/>
      <w:bookmarkStart w:id="7" w:name="_Toc191"/>
      <w:r>
        <w:rPr>
          <w:rFonts w:hint="default" w:ascii="Arial" w:hAnsi="Arial" w:cs="Arial"/>
          <w:sz w:val="32"/>
          <w:szCs w:val="32"/>
          <w:lang w:val="en-US" w:eastAsia="zh-CN"/>
        </w:rPr>
        <w:t xml:space="preserve">2.0 </w:t>
      </w:r>
      <w:r>
        <w:rPr>
          <w:rFonts w:hint="default" w:ascii="Arial" w:hAnsi="Arial" w:cs="Arial"/>
          <w:sz w:val="32"/>
          <w:szCs w:val="32"/>
          <w:lang w:val="en-GB"/>
        </w:rPr>
        <w:t>Main Findings</w:t>
      </w:r>
      <w:bookmarkEnd w:id="6"/>
      <w:bookmarkEnd w:id="7"/>
      <w:r>
        <w:rPr>
          <w:rFonts w:hint="default" w:ascii="Arial" w:hAnsi="Arial" w:cs="Arial"/>
          <w:sz w:val="32"/>
          <w:szCs w:val="32"/>
          <w:lang w:val="en-GB"/>
        </w:rPr>
        <w:t xml:space="preserve"> </w:t>
      </w:r>
    </w:p>
    <w:p>
      <w:pPr>
        <w:pStyle w:val="3"/>
        <w:rPr>
          <w:rFonts w:hint="default" w:ascii="Arial" w:hAnsi="Arial" w:cs="Arial"/>
          <w:lang w:val="en-GB"/>
        </w:rPr>
      </w:pPr>
      <w:r>
        <w:rPr>
          <w:rFonts w:hint="default" w:ascii="Arial" w:hAnsi="Arial" w:cs="Arial"/>
          <w:lang w:val="en-GB"/>
        </w:rPr>
        <w:t xml:space="preserve">Greggs is a fast-food restaurant that mostly sells bakery goods. This firm, like the UK fast-food sector, has seen its share of fluctuations. Certain reasons driving these variations include financial capabilities, technical equipment, staff turnover, and customer loyalty. Greggs competitors include McDonald's and Warburtons among others and it is trying to gain a competitive advantage over these chains by creating a 'Next Generation Greggs' plan which includes key structural changes in its day-to-day operations (Greggs, 2022). However, there were a few vulnerabilities in its tactics that can potentially be addressed by using particular structures and models as previously described in external and internal audits. The implementation of new advanced technology, enhancing association with the stakeholders, and expanding into new markets are some of the ways Greggs can boost its overall profit, production and brand value in the country. </w:t>
      </w:r>
    </w:p>
    <w:p>
      <w:pPr>
        <w:pStyle w:val="3"/>
        <w:spacing w:before="240" w:after="240"/>
        <w:rPr>
          <w:rFonts w:hint="default" w:ascii="Arial" w:hAnsi="Arial" w:cs="Arial"/>
          <w:lang w:val="en-GB"/>
        </w:rPr>
      </w:pPr>
      <w:r>
        <w:rPr>
          <w:rFonts w:hint="default" w:ascii="Arial" w:hAnsi="Arial" w:cs="Arial"/>
        </w:rPr>
        <w:fldChar w:fldCharType="begin"/>
      </w:r>
      <w:r>
        <w:rPr>
          <w:rFonts w:hint="default" w:ascii="Arial" w:hAnsi="Arial" w:cs="Arial"/>
        </w:rPr>
        <w:instrText xml:space="preserve"> HYPERLINK "https://cloud.smartdraw.com/share.aspx/?pubDocShare=386DC1CE06B26A3915DEED325C5C8F60FD1" \h </w:instrText>
      </w:r>
      <w:r>
        <w:rPr>
          <w:rFonts w:hint="default" w:ascii="Arial" w:hAnsi="Arial" w:cs="Arial"/>
        </w:rPr>
        <w:fldChar w:fldCharType="separate"/>
      </w:r>
      <w:r>
        <w:rPr>
          <w:rFonts w:hint="default" w:ascii="Arial" w:hAnsi="Arial" w:cs="Arial"/>
          <w:lang w:val="en-GB"/>
        </w:rPr>
        <w:drawing>
          <wp:inline distT="19050" distB="19050" distL="19050" distR="19050">
            <wp:extent cx="5715000" cy="2006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5"/>
                    <a:srcRect/>
                    <a:stretch>
                      <a:fillRect/>
                    </a:stretch>
                  </pic:blipFill>
                  <pic:spPr>
                    <a:xfrm>
                      <a:off x="0" y="0"/>
                      <a:ext cx="5715000" cy="2006600"/>
                    </a:xfrm>
                    <a:prstGeom prst="rect">
                      <a:avLst/>
                    </a:prstGeom>
                  </pic:spPr>
                </pic:pic>
              </a:graphicData>
            </a:graphic>
          </wp:inline>
        </w:drawing>
      </w:r>
      <w:r>
        <w:rPr>
          <w:rFonts w:hint="default" w:ascii="Arial" w:hAnsi="Arial" w:cs="Arial"/>
          <w:lang w:val="en-GB"/>
        </w:rPr>
        <w:fldChar w:fldCharType="end"/>
      </w:r>
      <w:r>
        <w:rPr>
          <w:rFonts w:hint="default" w:ascii="Arial" w:hAnsi="Arial" w:cs="Arial"/>
          <w:lang w:val="en-GB"/>
        </w:rPr>
        <w:t xml:space="preserve"> </w:t>
      </w:r>
    </w:p>
    <w:p>
      <w:pPr>
        <w:pStyle w:val="3"/>
        <w:rPr>
          <w:rFonts w:hint="default" w:ascii="Arial" w:hAnsi="Arial" w:cs="Arial"/>
          <w:lang w:val="en-GB"/>
        </w:rPr>
      </w:pPr>
      <w:r>
        <w:rPr>
          <w:rFonts w:hint="default" w:ascii="Arial" w:hAnsi="Arial" w:cs="Arial"/>
          <w:lang w:val="en-GB"/>
        </w:rPr>
        <w:t xml:space="preserve">After conducting a comprehensive internal and external, one strategic objective that can be identified is the adoption of new technologies as a part of its “Next Generation of Shop Refits” to enhance production, initiate expansion and develop stakeholder commitment and loyalty. </w:t>
      </w:r>
    </w:p>
    <w:p>
      <w:pPr>
        <w:pStyle w:val="2"/>
        <w:bidi w:val="0"/>
        <w:rPr>
          <w:rFonts w:hint="default" w:ascii="Arial" w:hAnsi="Arial" w:cs="Arial"/>
          <w:sz w:val="32"/>
          <w:szCs w:val="32"/>
          <w:lang w:val="en-GB"/>
        </w:rPr>
      </w:pPr>
      <w:bookmarkStart w:id="8" w:name="_rcp0ophi1krg" w:colFirst="0" w:colLast="0"/>
      <w:bookmarkEnd w:id="8"/>
      <w:bookmarkStart w:id="9" w:name="_Toc23021"/>
      <w:bookmarkStart w:id="10" w:name="_Toc28055"/>
      <w:r>
        <w:rPr>
          <w:rFonts w:hint="default" w:ascii="Arial" w:hAnsi="Arial" w:cs="Arial"/>
          <w:sz w:val="32"/>
          <w:szCs w:val="32"/>
          <w:lang w:val="en-US" w:eastAsia="zh-CN"/>
        </w:rPr>
        <w:t xml:space="preserve">3.0 </w:t>
      </w:r>
      <w:r>
        <w:rPr>
          <w:rFonts w:hint="default" w:ascii="Arial" w:hAnsi="Arial" w:cs="Arial"/>
          <w:sz w:val="32"/>
          <w:szCs w:val="32"/>
          <w:lang w:val="en-GB"/>
        </w:rPr>
        <w:t>The Marketing Plan</w:t>
      </w:r>
      <w:bookmarkEnd w:id="9"/>
      <w:bookmarkEnd w:id="10"/>
    </w:p>
    <w:p>
      <w:pPr>
        <w:pStyle w:val="3"/>
        <w:rPr>
          <w:rFonts w:hint="default" w:ascii="Arial" w:hAnsi="Arial" w:cs="Arial"/>
          <w:lang w:val="en-GB"/>
        </w:rPr>
      </w:pPr>
      <w:r>
        <w:rPr>
          <w:rFonts w:hint="default" w:ascii="Arial" w:hAnsi="Arial" w:cs="Arial"/>
          <w:lang w:val="en-GB"/>
        </w:rPr>
        <w:t xml:space="preserve">A marketing plan is designed to assist companies and organisations streamline their advertising process and launching their products in the market in a way that boosts profit growth and leads to brand awareness in the market (Ferrell et al., 2021). The marketing plan requires a thorough analysis of goals and objectives and the identification of areas that need process improvement for long-term strategic goals. </w:t>
      </w:r>
    </w:p>
    <w:p>
      <w:pPr>
        <w:pStyle w:val="2"/>
        <w:bidi w:val="0"/>
        <w:rPr>
          <w:rFonts w:hint="default" w:ascii="Arial" w:hAnsi="Arial" w:cs="Arial"/>
          <w:sz w:val="32"/>
          <w:szCs w:val="32"/>
          <w:lang w:val="en-GB"/>
        </w:rPr>
      </w:pPr>
      <w:bookmarkStart w:id="11" w:name="_hzvj3157klk8" w:colFirst="0" w:colLast="0"/>
      <w:bookmarkEnd w:id="11"/>
      <w:bookmarkStart w:id="12" w:name="_Toc4958"/>
      <w:bookmarkStart w:id="13" w:name="_Toc6728"/>
      <w:r>
        <w:rPr>
          <w:rFonts w:hint="default" w:ascii="Arial" w:hAnsi="Arial" w:cs="Arial"/>
          <w:sz w:val="32"/>
          <w:szCs w:val="32"/>
          <w:lang w:val="en-US" w:eastAsia="zh-CN"/>
        </w:rPr>
        <w:t xml:space="preserve">4.0 </w:t>
      </w:r>
      <w:r>
        <w:rPr>
          <w:rFonts w:hint="default" w:ascii="Arial" w:hAnsi="Arial" w:cs="Arial"/>
          <w:sz w:val="32"/>
          <w:szCs w:val="32"/>
          <w:lang w:val="en-GB"/>
        </w:rPr>
        <w:t>SOSTAC</w:t>
      </w:r>
      <w:bookmarkEnd w:id="12"/>
      <w:bookmarkEnd w:id="13"/>
    </w:p>
    <w:p>
      <w:pPr>
        <w:pStyle w:val="3"/>
        <w:rPr>
          <w:rFonts w:hint="default" w:ascii="Arial" w:hAnsi="Arial" w:cs="Arial"/>
          <w:lang w:val="en-GB"/>
        </w:rPr>
      </w:pPr>
      <w:r>
        <w:rPr>
          <w:rFonts w:hint="default" w:ascii="Arial" w:hAnsi="Arial" w:cs="Arial"/>
          <w:lang w:val="en-GB"/>
        </w:rPr>
        <w:t>The SOSTAC model is an intuitive process for developing a marketing strategy, with each aspect ensuring that every important component is taken into account (Stephenson, 2018).</w:t>
      </w:r>
    </w:p>
    <w:p>
      <w:pPr>
        <w:pStyle w:val="4"/>
        <w:bidi w:val="0"/>
        <w:rPr>
          <w:rFonts w:hint="default" w:ascii="Arial" w:hAnsi="Arial" w:cs="Arial"/>
          <w:sz w:val="30"/>
          <w:szCs w:val="30"/>
          <w:lang w:val="en-GB"/>
        </w:rPr>
      </w:pPr>
      <w:bookmarkStart w:id="14" w:name="_9snyxnv855pj" w:colFirst="0" w:colLast="0"/>
      <w:bookmarkEnd w:id="14"/>
      <w:bookmarkStart w:id="15" w:name="_Toc31809"/>
      <w:bookmarkStart w:id="16" w:name="_Toc22201"/>
      <w:r>
        <w:rPr>
          <w:rFonts w:hint="default" w:ascii="Arial" w:hAnsi="Arial" w:cs="Arial"/>
          <w:sz w:val="30"/>
          <w:szCs w:val="30"/>
          <w:lang w:val="en-US" w:eastAsia="zh-CN"/>
        </w:rPr>
        <w:t xml:space="preserve">4.1 </w:t>
      </w:r>
      <w:r>
        <w:rPr>
          <w:rFonts w:hint="default" w:ascii="Arial" w:hAnsi="Arial" w:cs="Arial"/>
          <w:sz w:val="30"/>
          <w:szCs w:val="30"/>
          <w:lang w:val="en-GB"/>
        </w:rPr>
        <w:t>Situation Analysis</w:t>
      </w:r>
      <w:bookmarkEnd w:id="15"/>
      <w:bookmarkEnd w:id="16"/>
    </w:p>
    <w:p>
      <w:pPr>
        <w:pStyle w:val="3"/>
        <w:rPr>
          <w:rFonts w:hint="default" w:ascii="Arial" w:hAnsi="Arial" w:cs="Arial"/>
          <w:lang w:val="en-GB"/>
        </w:rPr>
      </w:pPr>
      <w:r>
        <w:rPr>
          <w:rFonts w:hint="default" w:ascii="Arial" w:hAnsi="Arial" w:cs="Arial"/>
          <w:lang w:val="en-GB"/>
        </w:rPr>
        <w:t>(See Appendix A, B, C, D)</w:t>
      </w:r>
    </w:p>
    <w:p>
      <w:pPr>
        <w:pStyle w:val="3"/>
        <w:rPr>
          <w:rFonts w:hint="default" w:ascii="Arial" w:hAnsi="Arial" w:cs="Arial"/>
          <w:lang w:val="en-GB"/>
        </w:rPr>
      </w:pPr>
      <w:r>
        <w:rPr>
          <w:rFonts w:hint="default" w:ascii="Arial" w:hAnsi="Arial" w:cs="Arial"/>
          <w:lang w:val="en-GB"/>
        </w:rPr>
        <w:t xml:space="preserve">Analysing the current scenario is essential to understand the progress of Greggs in its implementation of the “next generation” strategy, identify limitations and vulnerabilities and identify clear objectives for the growth of the company. To fully understand a situation analysis for Greggs, SWOT analysis, Porter’s 5 forces competitive analysis, and customer and stakeholder analysis have been conducted. </w:t>
      </w:r>
      <w:r>
        <w:rPr>
          <w:rFonts w:hint="default" w:ascii="Arial" w:hAnsi="Arial" w:cs="Arial"/>
          <w:b/>
          <w:sz w:val="26"/>
          <w:szCs w:val="26"/>
          <w:lang w:val="en-GB"/>
        </w:rPr>
        <w:t xml:space="preserve"> </w:t>
      </w:r>
      <w:r>
        <w:rPr>
          <w:rFonts w:hint="default" w:ascii="Arial" w:hAnsi="Arial" w:cs="Arial"/>
          <w:lang w:val="en-GB"/>
        </w:rPr>
        <w:t xml:space="preserve">Customers are the pillar of the fast-food industry in the UK. Therefore, it is important to conduct a customer analysis to understand the consumer demography and understand customer demands, needs, and spending habits to successfully conduct a situation analysis of Greggs. The UK fast-food business is vulnerable due to economic and technical concerns. Health considerations are also having an impact on the sector (ONS, 2022). The model supports in the planning of future strategies that reflect the business's goals. The model is applied to Gregg's fast food to analyse its current position in the market. </w:t>
      </w:r>
    </w:p>
    <w:p>
      <w:pPr>
        <w:pStyle w:val="3"/>
        <w:rPr>
          <w:rFonts w:hint="default" w:ascii="Arial" w:hAnsi="Arial" w:cs="Arial"/>
          <w:lang w:val="en-GB"/>
        </w:rPr>
      </w:pPr>
      <w:r>
        <w:rPr>
          <w:rFonts w:hint="default" w:ascii="Arial" w:hAnsi="Arial" w:cs="Arial"/>
          <w:lang w:val="en-GB"/>
        </w:rPr>
        <w:drawing>
          <wp:inline distT="0" distB="0" distL="0" distR="0">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pPr>
        <w:pStyle w:val="3"/>
        <w:rPr>
          <w:rFonts w:hint="default" w:ascii="Arial" w:hAnsi="Arial" w:cs="Arial"/>
          <w:lang w:val="en-GB"/>
        </w:rPr>
      </w:pPr>
      <w:r>
        <w:rPr>
          <w:rFonts w:hint="default" w:ascii="Arial" w:hAnsi="Arial" w:cs="Arial"/>
          <w:lang w:val="en-GB"/>
        </w:rPr>
        <w:t>The situation analysis represents several areas of improvement and opportunities for Greggs. The company needs to focus on capitalising on the opportunities and its strengths to create a robust connection with the stakeholders through its CRM app and loyalty programs. This can be done through the usage of advanced technology and high-profile efficient training of the staff.</w:t>
      </w:r>
    </w:p>
    <w:p>
      <w:pPr>
        <w:pStyle w:val="2"/>
        <w:bidi w:val="0"/>
        <w:rPr>
          <w:rFonts w:hint="default" w:ascii="Arial" w:hAnsi="Arial" w:cs="Arial"/>
          <w:sz w:val="32"/>
          <w:szCs w:val="32"/>
          <w:lang w:val="en-GB"/>
        </w:rPr>
      </w:pPr>
      <w:bookmarkStart w:id="17" w:name="_o8vj9pmgzl76" w:colFirst="0" w:colLast="0"/>
      <w:bookmarkEnd w:id="17"/>
      <w:bookmarkStart w:id="18" w:name="_Toc293"/>
      <w:bookmarkStart w:id="19" w:name="_Toc17739"/>
      <w:r>
        <w:rPr>
          <w:rFonts w:hint="default" w:ascii="Arial" w:hAnsi="Arial" w:eastAsia="宋体" w:cs="Arial"/>
          <w:sz w:val="32"/>
          <w:szCs w:val="32"/>
          <w:lang w:val="en-US" w:eastAsia="zh-CN"/>
        </w:rPr>
        <w:t xml:space="preserve">5.0 </w:t>
      </w:r>
      <w:r>
        <w:rPr>
          <w:rFonts w:hint="default" w:ascii="Arial" w:hAnsi="Arial" w:cs="Arial"/>
          <w:sz w:val="32"/>
          <w:szCs w:val="32"/>
          <w:lang w:val="en-GB"/>
        </w:rPr>
        <w:t>Objective</w:t>
      </w:r>
      <w:bookmarkEnd w:id="18"/>
      <w:bookmarkEnd w:id="19"/>
    </w:p>
    <w:p>
      <w:pPr>
        <w:pStyle w:val="3"/>
        <w:rPr>
          <w:rFonts w:hint="default" w:ascii="Arial" w:hAnsi="Arial" w:cs="Arial"/>
          <w:lang w:val="en-GB"/>
        </w:rPr>
      </w:pPr>
      <w:r>
        <w:rPr>
          <w:rFonts w:hint="default" w:ascii="Arial" w:hAnsi="Arial" w:cs="Arial"/>
          <w:lang w:val="en-GB"/>
        </w:rPr>
        <w:t xml:space="preserve">Setting SMART (Specific, Measurable, Attainable, Realistic) goals is a useful method to set goals as described in Appendix E. Therefore, a SMART goal includes all of these characteristics to help concentrate the efforts and boost an organisation's chances of success. Determining these factors as they relate to the company's overall objective will help in achieving that objective within a certain time limit. Using this method makes it less difficult to assess progress and discover overlooked achievements since it removes ambiguity and allows more precise planning (Aghera et al., 2018). </w:t>
      </w:r>
    </w:p>
    <w:p>
      <w:pPr>
        <w:pStyle w:val="3"/>
        <w:jc w:val="center"/>
        <w:rPr>
          <w:rFonts w:hint="default" w:ascii="Arial" w:hAnsi="Arial" w:cs="Arial"/>
          <w:lang w:val="en-GB"/>
        </w:rPr>
      </w:pPr>
      <w:r>
        <w:rPr>
          <w:rFonts w:hint="default" w:ascii="Arial" w:hAnsi="Arial" w:cs="Arial"/>
          <w:lang w:val="en-GB"/>
        </w:rPr>
        <w:drawing>
          <wp:inline distT="0" distB="0" distL="0" distR="0">
            <wp:extent cx="3360420" cy="2316480"/>
            <wp:effectExtent l="0" t="0" r="0" b="7620"/>
            <wp:docPr id="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pPr>
        <w:pStyle w:val="3"/>
        <w:jc w:val="center"/>
        <w:rPr>
          <w:rFonts w:hint="default" w:ascii="Arial" w:hAnsi="Arial" w:cs="Arial"/>
          <w:lang w:val="en-GB"/>
        </w:rPr>
      </w:pPr>
    </w:p>
    <w:p>
      <w:pPr>
        <w:pStyle w:val="3"/>
        <w:rPr>
          <w:rFonts w:hint="default" w:ascii="Arial" w:hAnsi="Arial" w:cs="Arial"/>
          <w:lang w:val="en-GB"/>
        </w:rPr>
      </w:pPr>
      <w:r>
        <w:rPr>
          <w:rFonts w:hint="default" w:ascii="Arial" w:hAnsi="Arial" w:cs="Arial"/>
          <w:lang w:val="en-GB"/>
        </w:rPr>
        <w:t>The objective, in reference to the macro micro, and external auditing and the current situational analysis will focus on technological development in retrospect of the industrial revolution and the subsequent policies supporting this revolution and the promotion of healthier and safer food manufacturing in the country.</w:t>
      </w:r>
    </w:p>
    <w:p>
      <w:pPr>
        <w:pStyle w:val="3"/>
        <w:rPr>
          <w:rFonts w:hint="default" w:ascii="Arial" w:hAnsi="Arial" w:cs="Arial"/>
          <w:lang w:val="en-GB"/>
        </w:rPr>
      </w:pPr>
    </w:p>
    <w:p>
      <w:pPr>
        <w:pStyle w:val="3"/>
        <w:rPr>
          <w:rFonts w:hint="default" w:ascii="Arial" w:hAnsi="Arial" w:cs="Arial"/>
          <w:lang w:val="en-GB"/>
        </w:rPr>
      </w:pPr>
      <w:r>
        <w:rPr>
          <w:rFonts w:hint="default" w:ascii="Arial" w:hAnsi="Arial" w:cs="Arial"/>
          <w:b/>
          <w:lang w:val="en-GB"/>
        </w:rPr>
        <w:t>Objective</w:t>
      </w:r>
      <w:r>
        <w:rPr>
          <w:rFonts w:hint="default" w:ascii="Arial" w:hAnsi="Arial" w:cs="Arial"/>
          <w:lang w:val="en-GB"/>
        </w:rPr>
        <w:t xml:space="preserve">: To invest in advanced technology in manufacturing, customer management, and staff training for the development of new products, enhance customer reach, and streamline operations in the company. </w:t>
      </w:r>
    </w:p>
    <w:p>
      <w:pPr>
        <w:pStyle w:val="3"/>
        <w:rPr>
          <w:rFonts w:hint="default" w:ascii="Arial" w:hAnsi="Arial" w:cs="Arial"/>
          <w:lang w:val="en-GB"/>
        </w:rPr>
      </w:pPr>
    </w:p>
    <w:p>
      <w:pPr>
        <w:pStyle w:val="3"/>
        <w:rPr>
          <w:rFonts w:hint="default" w:ascii="Arial" w:hAnsi="Arial" w:cs="Arial"/>
          <w:lang w:val="en-GB"/>
        </w:rPr>
      </w:pPr>
      <w:r>
        <w:rPr>
          <w:rFonts w:hint="default" w:ascii="Arial" w:hAnsi="Arial" w:cs="Arial"/>
          <w:lang w:val="en-GB"/>
        </w:rPr>
        <w:t>The objective will include investments in the following sectors:</w:t>
      </w:r>
    </w:p>
    <w:p>
      <w:pPr>
        <w:pStyle w:val="3"/>
        <w:numPr>
          <w:ilvl w:val="0"/>
          <w:numId w:val="1"/>
        </w:numPr>
        <w:rPr>
          <w:rFonts w:hint="default" w:ascii="Arial" w:hAnsi="Arial" w:cs="Arial"/>
          <w:lang w:val="en-GB"/>
        </w:rPr>
      </w:pPr>
      <w:r>
        <w:rPr>
          <w:rFonts w:hint="default" w:ascii="Arial" w:hAnsi="Arial" w:cs="Arial"/>
          <w:lang w:val="en-GB"/>
        </w:rPr>
        <w:t xml:space="preserve">Automated manufacturing equipment such as robotics for the packaging process, depinning, raw food packaging, etc. to enhance its manufacturing process that supports the creation of vegan food and alternatives (Accorsi et al., 2019). </w:t>
      </w:r>
    </w:p>
    <w:p>
      <w:pPr>
        <w:pStyle w:val="3"/>
        <w:numPr>
          <w:ilvl w:val="0"/>
          <w:numId w:val="1"/>
        </w:numPr>
        <w:rPr>
          <w:rFonts w:hint="default" w:ascii="Arial" w:hAnsi="Arial" w:cs="Arial"/>
          <w:lang w:val="en-GB"/>
        </w:rPr>
      </w:pPr>
      <w:r>
        <w:rPr>
          <w:rFonts w:hint="default" w:ascii="Arial" w:hAnsi="Arial" w:cs="Arial"/>
          <w:lang w:val="en-GB"/>
        </w:rPr>
        <w:t>Build smart factories in at least three regions that connect the maximum Greggs stores in the next 24 months.</w:t>
      </w:r>
    </w:p>
    <w:p>
      <w:pPr>
        <w:pStyle w:val="3"/>
        <w:numPr>
          <w:ilvl w:val="0"/>
          <w:numId w:val="1"/>
        </w:numPr>
        <w:rPr>
          <w:rFonts w:hint="default" w:ascii="Arial" w:hAnsi="Arial" w:cs="Arial"/>
          <w:lang w:val="en-GB"/>
        </w:rPr>
      </w:pPr>
      <w:r>
        <w:rPr>
          <w:rFonts w:hint="default" w:ascii="Arial" w:hAnsi="Arial" w:cs="Arial"/>
          <w:lang w:val="en-GB"/>
        </w:rPr>
        <w:t xml:space="preserve">Use apps and smart technology to train staff and cut costs from the manual training of the labour force </w:t>
      </w:r>
    </w:p>
    <w:p>
      <w:pPr>
        <w:pStyle w:val="3"/>
        <w:numPr>
          <w:ilvl w:val="0"/>
          <w:numId w:val="1"/>
        </w:numPr>
        <w:rPr>
          <w:rFonts w:hint="default" w:ascii="Arial" w:hAnsi="Arial" w:cs="Arial"/>
          <w:lang w:val="en-GB"/>
        </w:rPr>
      </w:pPr>
      <w:r>
        <w:rPr>
          <w:rFonts w:hint="default" w:ascii="Arial" w:hAnsi="Arial" w:cs="Arial"/>
          <w:lang w:val="en-GB"/>
        </w:rPr>
        <w:t xml:space="preserve">Technological CRM initiatives such as offering loyalty program offers, discounts for students, discounts on festivals, etc. to boost online customer engagement. Also, use social media to reach out to consumers in low-performing regions and effectively use online target marketing for the same. </w:t>
      </w:r>
    </w:p>
    <w:p>
      <w:pPr>
        <w:pStyle w:val="3"/>
        <w:rPr>
          <w:rFonts w:hint="default" w:ascii="Arial" w:hAnsi="Arial" w:cs="Arial"/>
          <w:lang w:val="en-GB"/>
        </w:rPr>
      </w:pPr>
    </w:p>
    <w:p>
      <w:pPr>
        <w:pStyle w:val="3"/>
        <w:rPr>
          <w:rFonts w:hint="default" w:ascii="Arial" w:hAnsi="Arial" w:cs="Arial"/>
          <w:lang w:val="en-GB"/>
        </w:rPr>
      </w:pPr>
      <w:r>
        <w:rPr>
          <w:rFonts w:hint="default" w:ascii="Arial" w:hAnsi="Arial" w:cs="Arial"/>
          <w:b/>
          <w:lang w:val="en-GB"/>
        </w:rPr>
        <w:t>Expected results</w:t>
      </w:r>
      <w:r>
        <w:rPr>
          <w:rFonts w:hint="default" w:ascii="Arial" w:hAnsi="Arial" w:cs="Arial"/>
          <w:lang w:val="en-GB"/>
        </w:rPr>
        <w:t xml:space="preserve">: In the next 24 months, three Greggs locations will open in Cornwall. In the next 12 months, 5 to 6 minimum vegan items will be added to the menu. Greggs will include advanced technologies like automated machinery, smart factories, and data storage to improve the supply chain and utilisation of resources specifically for the production of vegan and healthier alternatives. </w:t>
      </w:r>
    </w:p>
    <w:p>
      <w:pPr>
        <w:pStyle w:val="3"/>
        <w:rPr>
          <w:rFonts w:hint="default" w:ascii="Arial" w:hAnsi="Arial" w:cs="Arial"/>
          <w:lang w:val="en-GB"/>
        </w:rPr>
      </w:pPr>
    </w:p>
    <w:p>
      <w:pPr>
        <w:pStyle w:val="3"/>
        <w:numPr>
          <w:ilvl w:val="0"/>
          <w:numId w:val="2"/>
        </w:numPr>
        <w:rPr>
          <w:rFonts w:hint="default" w:ascii="Arial" w:hAnsi="Arial" w:cs="Arial"/>
          <w:lang w:val="en-GB"/>
        </w:rPr>
      </w:pPr>
      <w:r>
        <w:rPr>
          <w:rFonts w:hint="default" w:ascii="Arial" w:hAnsi="Arial" w:cs="Arial"/>
          <w:lang w:val="en-GB"/>
        </w:rPr>
        <w:t xml:space="preserve">This will result in a 15 to 20% boost in output. </w:t>
      </w:r>
    </w:p>
    <w:p>
      <w:pPr>
        <w:pStyle w:val="3"/>
        <w:numPr>
          <w:ilvl w:val="0"/>
          <w:numId w:val="2"/>
        </w:numPr>
        <w:rPr>
          <w:rFonts w:hint="default" w:ascii="Arial" w:hAnsi="Arial" w:cs="Arial"/>
          <w:lang w:val="en-GB"/>
        </w:rPr>
      </w:pPr>
      <w:r>
        <w:rPr>
          <w:rFonts w:hint="default" w:ascii="Arial" w:hAnsi="Arial" w:cs="Arial"/>
          <w:lang w:val="en-GB"/>
        </w:rPr>
        <w:t>This will also result in enhancing at least 20% of the consumer network.</w:t>
      </w:r>
    </w:p>
    <w:p>
      <w:pPr>
        <w:pStyle w:val="3"/>
        <w:numPr>
          <w:ilvl w:val="0"/>
          <w:numId w:val="2"/>
        </w:numPr>
        <w:rPr>
          <w:rFonts w:hint="default" w:ascii="Arial" w:hAnsi="Arial" w:cs="Arial"/>
          <w:lang w:val="en-GB"/>
        </w:rPr>
      </w:pPr>
      <w:r>
        <w:rPr>
          <w:rFonts w:hint="default" w:ascii="Arial" w:hAnsi="Arial" w:cs="Arial"/>
          <w:lang w:val="en-GB"/>
        </w:rPr>
        <w:t>Automation will reduce significant costs of at least 10%-12% from manufacturing and staff training.</w:t>
      </w:r>
    </w:p>
    <w:p>
      <w:pPr>
        <w:pStyle w:val="3"/>
        <w:numPr>
          <w:ilvl w:val="0"/>
          <w:numId w:val="2"/>
        </w:numPr>
        <w:rPr>
          <w:rFonts w:hint="default" w:ascii="Arial" w:hAnsi="Arial" w:cs="Arial"/>
          <w:lang w:val="en-GB"/>
        </w:rPr>
      </w:pPr>
      <w:r>
        <w:rPr>
          <w:rFonts w:hint="default" w:ascii="Arial" w:hAnsi="Arial" w:cs="Arial"/>
          <w:lang w:val="en-GB"/>
        </w:rPr>
        <w:t>This will enhance the social media presence of the Greggs store and also create an awareness of the healthier alternatives now available for consumption.</w:t>
      </w:r>
    </w:p>
    <w:p>
      <w:pPr>
        <w:pStyle w:val="2"/>
        <w:bidi w:val="0"/>
        <w:rPr>
          <w:rFonts w:hint="default" w:ascii="Arial" w:hAnsi="Arial" w:cs="Arial"/>
          <w:sz w:val="32"/>
          <w:szCs w:val="32"/>
          <w:lang w:val="en-GB"/>
        </w:rPr>
      </w:pPr>
      <w:bookmarkStart w:id="20" w:name="_qshvg814fimg" w:colFirst="0" w:colLast="0"/>
      <w:bookmarkEnd w:id="20"/>
      <w:bookmarkStart w:id="21" w:name="_Toc30273"/>
      <w:bookmarkStart w:id="22" w:name="_Toc2969"/>
      <w:r>
        <w:rPr>
          <w:rFonts w:hint="default" w:ascii="Arial" w:hAnsi="Arial" w:cs="Arial"/>
          <w:sz w:val="32"/>
          <w:szCs w:val="32"/>
          <w:lang w:val="en-US" w:eastAsia="zh-CN"/>
        </w:rPr>
        <w:t xml:space="preserve">6.0 </w:t>
      </w:r>
      <w:r>
        <w:rPr>
          <w:rFonts w:hint="default" w:ascii="Arial" w:hAnsi="Arial" w:cs="Arial"/>
          <w:sz w:val="32"/>
          <w:szCs w:val="32"/>
          <w:lang w:val="en-GB"/>
        </w:rPr>
        <w:t>Strategy</w:t>
      </w:r>
      <w:bookmarkEnd w:id="21"/>
      <w:bookmarkEnd w:id="22"/>
    </w:p>
    <w:p>
      <w:pPr>
        <w:pStyle w:val="3"/>
        <w:rPr>
          <w:rFonts w:hint="default" w:ascii="Arial" w:hAnsi="Arial" w:cs="Arial"/>
          <w:lang w:val="en-GB"/>
        </w:rPr>
      </w:pPr>
      <w:r>
        <w:rPr>
          <w:rFonts w:hint="default" w:ascii="Arial" w:hAnsi="Arial" w:cs="Arial"/>
          <w:lang w:val="en-GB"/>
        </w:rPr>
        <w:t>(See Appendix F and G)</w:t>
      </w:r>
    </w:p>
    <w:p>
      <w:pPr>
        <w:pStyle w:val="3"/>
        <w:rPr>
          <w:rFonts w:hint="default" w:ascii="Arial" w:hAnsi="Arial" w:cs="Arial"/>
          <w:lang w:val="en-GB"/>
        </w:rPr>
      </w:pPr>
      <w:r>
        <w:rPr>
          <w:rFonts w:hint="default" w:ascii="Arial" w:hAnsi="Arial" w:cs="Arial"/>
          <w:lang w:val="en-GB"/>
        </w:rPr>
        <w:t xml:space="preserve">To achieve this objective, Greggs will investigate the vegan market by concentrating on the customer retention aspect by utilising the strategies introduced in Ansoff and Porter’s generic strategies respectively. Enhance Corporate Social Responsibility (CSR) initiatives, resource utilisation, and supply chain operations by using cutting-edge technical components. For improved correlation, Greggs should initiate cloud cooperation with the various stakeholders. to utilise the app to teach the personnel in order to cut down on the costs of training (Jokic et al., 2012). The aims of growth may be accomplished by using the concrete resources available, such as the positioning of shops and the high quality of items, using vegan alternatives to oils, milk, etc while cooking current products. In addition to this, the connections with the suppliers may also be used to improve the supply chain. </w:t>
      </w:r>
    </w:p>
    <w:p>
      <w:pPr>
        <w:pStyle w:val="3"/>
        <w:rPr>
          <w:rFonts w:hint="default" w:ascii="Arial" w:hAnsi="Arial" w:cs="Arial"/>
          <w:lang w:val="en-GB"/>
        </w:rPr>
      </w:pPr>
      <w:r>
        <w:rPr>
          <w:rFonts w:hint="default" w:ascii="Arial" w:hAnsi="Arial" w:cs="Arial"/>
          <w:lang w:val="en-GB"/>
        </w:rPr>
        <w:t xml:space="preserve">                                </w:t>
      </w:r>
    </w:p>
    <w:p>
      <w:pPr>
        <w:pStyle w:val="3"/>
        <w:ind w:right="1280"/>
        <w:jc w:val="right"/>
        <w:rPr>
          <w:rFonts w:hint="default" w:ascii="Arial" w:hAnsi="Arial" w:cs="Arial"/>
          <w:lang w:val="en-GB"/>
        </w:rPr>
      </w:pPr>
      <w:bookmarkStart w:id="23" w:name="_5tqx6nljvmaz" w:colFirst="0" w:colLast="0"/>
      <w:bookmarkEnd w:id="23"/>
      <w:r>
        <w:rPr>
          <w:rFonts w:hint="default" w:ascii="Arial" w:hAnsi="Arial" w:cs="Arial"/>
          <w:lang w:val="en-GB"/>
        </w:rPr>
        <w:drawing>
          <wp:inline distT="0" distB="0" distL="0" distR="0">
            <wp:extent cx="4410075" cy="2438400"/>
            <wp:effectExtent l="0" t="0" r="0" b="0"/>
            <wp:docPr id="7"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pPr>
        <w:pStyle w:val="3"/>
        <w:ind w:right="1280"/>
        <w:jc w:val="center"/>
        <w:rPr>
          <w:rFonts w:hint="default" w:ascii="Arial" w:hAnsi="Arial" w:cs="Arial"/>
          <w:lang w:val="en-GB"/>
        </w:rPr>
      </w:pPr>
      <w:r>
        <w:rPr>
          <w:rFonts w:hint="default" w:ascii="Arial" w:hAnsi="Arial" w:cs="Arial"/>
          <w:lang w:val="en-GB"/>
        </w:rPr>
        <w:t>Ansoff Matrix</w:t>
      </w:r>
    </w:p>
    <w:p>
      <w:pPr>
        <w:pStyle w:val="3"/>
        <w:ind w:right="1280"/>
        <w:jc w:val="right"/>
        <w:rPr>
          <w:rFonts w:hint="default" w:ascii="Arial" w:hAnsi="Arial" w:cs="Arial"/>
          <w:lang w:val="en-GB"/>
        </w:rPr>
      </w:pPr>
      <w:r>
        <w:rPr>
          <w:rFonts w:hint="default" w:ascii="Arial" w:hAnsi="Arial" w:cs="Arial"/>
          <w:lang w:val="en-GB"/>
        </w:rPr>
        <w:drawing>
          <wp:inline distT="0" distB="0" distL="0" distR="0">
            <wp:extent cx="4057650" cy="2714625"/>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r>
        <w:rPr>
          <w:rFonts w:hint="default" w:ascii="Arial" w:hAnsi="Arial" w:cs="Arial"/>
          <w:lang w:val="en-GB"/>
        </w:rPr>
        <w:t xml:space="preserve">                                                                                                                            </w:t>
      </w:r>
    </w:p>
    <w:p>
      <w:pPr>
        <w:pStyle w:val="3"/>
        <w:jc w:val="center"/>
        <w:rPr>
          <w:rFonts w:hint="default" w:ascii="Arial" w:hAnsi="Arial" w:cs="Arial"/>
          <w:lang w:val="en-GB"/>
        </w:rPr>
      </w:pPr>
      <w:r>
        <w:rPr>
          <w:rFonts w:hint="default" w:ascii="Arial" w:hAnsi="Arial" w:cs="Arial"/>
          <w:lang w:val="en-GB"/>
        </w:rPr>
        <w:t>Porter’s Generic Strategies</w:t>
      </w:r>
    </w:p>
    <w:p>
      <w:pPr>
        <w:pStyle w:val="3"/>
        <w:rPr>
          <w:rFonts w:hint="default" w:ascii="Arial" w:hAnsi="Arial" w:cs="Arial"/>
          <w:lang w:val="en-GB"/>
        </w:rPr>
      </w:pPr>
    </w:p>
    <w:p>
      <w:pPr>
        <w:pStyle w:val="2"/>
        <w:bidi w:val="0"/>
        <w:rPr>
          <w:rFonts w:hint="default" w:ascii="Arial" w:hAnsi="Arial" w:cs="Arial"/>
          <w:sz w:val="32"/>
          <w:szCs w:val="32"/>
          <w:lang w:val="en-GB"/>
        </w:rPr>
      </w:pPr>
      <w:bookmarkStart w:id="24" w:name="_2qf515y57n0j" w:colFirst="0" w:colLast="0"/>
      <w:bookmarkEnd w:id="24"/>
      <w:bookmarkStart w:id="25" w:name="_Toc1098"/>
      <w:bookmarkStart w:id="26" w:name="_Toc18832"/>
      <w:r>
        <w:rPr>
          <w:rFonts w:hint="default" w:ascii="Arial" w:hAnsi="Arial" w:cs="Arial"/>
          <w:sz w:val="32"/>
          <w:szCs w:val="32"/>
          <w:lang w:val="en-US" w:eastAsia="zh-CN"/>
        </w:rPr>
        <w:t xml:space="preserve">7.0 </w:t>
      </w:r>
      <w:r>
        <w:rPr>
          <w:rFonts w:hint="default" w:ascii="Arial" w:hAnsi="Arial" w:cs="Arial"/>
          <w:sz w:val="32"/>
          <w:szCs w:val="32"/>
          <w:lang w:val="en-GB"/>
        </w:rPr>
        <w:t>Tactics</w:t>
      </w:r>
      <w:bookmarkEnd w:id="25"/>
      <w:bookmarkEnd w:id="26"/>
      <w:r>
        <w:rPr>
          <w:rFonts w:hint="default" w:ascii="Arial" w:hAnsi="Arial" w:cs="Arial"/>
          <w:sz w:val="32"/>
          <w:szCs w:val="32"/>
          <w:lang w:val="en-GB"/>
        </w:rPr>
        <w:t xml:space="preserve"> </w:t>
      </w:r>
    </w:p>
    <w:p>
      <w:pPr>
        <w:pStyle w:val="3"/>
        <w:rPr>
          <w:rFonts w:hint="default" w:ascii="Arial" w:hAnsi="Arial" w:cs="Arial"/>
          <w:lang w:val="en-GB"/>
        </w:rPr>
      </w:pPr>
      <w:r>
        <w:rPr>
          <w:rFonts w:hint="default" w:ascii="Arial" w:hAnsi="Arial" w:cs="Arial"/>
          <w:lang w:val="en-GB"/>
        </w:rPr>
        <w:t xml:space="preserve">The marketing mix (7Ps) is a term that refers to the strategies or actions that companies have at their disposal to fulfil the requirements of customers and market their product or service in a way that is unmistakable to them. It entails the use of the 7Ps, which are Product, Price, Place, and Promotion, in addition to an extra three factors that assist organisations in meeting the obstacles of marketing services: People, Process, and Physical Evidence of their Actions (Allen, 2020). This is used to determine the tactics for Greggs in the market to achieve its objective. </w:t>
      </w:r>
    </w:p>
    <w:p>
      <w:pPr>
        <w:pStyle w:val="4"/>
        <w:bidi w:val="0"/>
        <w:rPr>
          <w:rFonts w:hint="default" w:ascii="Arial" w:hAnsi="Arial" w:cs="Arial"/>
          <w:sz w:val="30"/>
          <w:szCs w:val="30"/>
          <w:lang w:val="en-GB"/>
        </w:rPr>
      </w:pPr>
      <w:bookmarkStart w:id="27" w:name="_pbqywschag9v" w:colFirst="0" w:colLast="0"/>
      <w:bookmarkEnd w:id="27"/>
      <w:bookmarkStart w:id="28" w:name="_Toc26632"/>
      <w:bookmarkStart w:id="29" w:name="_Toc18486"/>
      <w:r>
        <w:rPr>
          <w:rFonts w:hint="default" w:ascii="Arial" w:hAnsi="Arial" w:cs="Arial"/>
          <w:sz w:val="30"/>
          <w:szCs w:val="30"/>
          <w:lang w:val="en-US" w:eastAsia="zh-CN"/>
        </w:rPr>
        <w:t xml:space="preserve">7.1 </w:t>
      </w:r>
      <w:r>
        <w:rPr>
          <w:rFonts w:hint="default" w:ascii="Arial" w:hAnsi="Arial" w:cs="Arial"/>
          <w:sz w:val="30"/>
          <w:szCs w:val="30"/>
          <w:lang w:val="en-GB"/>
        </w:rPr>
        <w:t>Product</w:t>
      </w:r>
      <w:bookmarkEnd w:id="28"/>
      <w:bookmarkEnd w:id="29"/>
    </w:p>
    <w:p>
      <w:pPr>
        <w:pStyle w:val="3"/>
        <w:rPr>
          <w:rFonts w:hint="default" w:ascii="Arial" w:hAnsi="Arial" w:cs="Arial"/>
          <w:lang w:val="en-GB"/>
        </w:rPr>
      </w:pPr>
      <w:r>
        <w:rPr>
          <w:rFonts w:hint="default" w:ascii="Arial" w:hAnsi="Arial" w:cs="Arial"/>
          <w:lang w:val="en-GB"/>
        </w:rPr>
        <w:t>Greggs, under its “next generation strategy can introduce new vegan products to all the 500 stores that are currently operational for evening dinners. Greggs's stores usually close at 6 PM and therefore account for only 1% of the dinner time market. With the 500 stores operational for dinner time currently, it can phase out its vegan menu providing a healthier alternative (Seymour, 2022). This will enable it to create awareness in the market and it can pilot test its vegan menu in these stores.</w:t>
      </w:r>
    </w:p>
    <w:p>
      <w:pPr>
        <w:pStyle w:val="4"/>
        <w:bidi w:val="0"/>
        <w:rPr>
          <w:rFonts w:hint="default" w:ascii="Arial" w:hAnsi="Arial" w:cs="Arial"/>
          <w:sz w:val="30"/>
          <w:szCs w:val="30"/>
          <w:lang w:val="en-GB"/>
        </w:rPr>
      </w:pPr>
      <w:bookmarkStart w:id="30" w:name="_Toc20848"/>
      <w:bookmarkStart w:id="31" w:name="_Toc8462"/>
      <w:r>
        <w:rPr>
          <w:rFonts w:hint="default" w:ascii="Arial" w:hAnsi="Arial" w:cs="Arial"/>
          <w:sz w:val="30"/>
          <w:szCs w:val="30"/>
          <w:lang w:val="en-US" w:eastAsia="zh-CN"/>
        </w:rPr>
        <w:t xml:space="preserve">7.2 </w:t>
      </w:r>
      <w:r>
        <w:rPr>
          <w:rFonts w:hint="default" w:ascii="Arial" w:hAnsi="Arial" w:cs="Arial"/>
          <w:sz w:val="30"/>
          <w:szCs w:val="30"/>
          <w:lang w:val="en-GB"/>
        </w:rPr>
        <w:t>Price</w:t>
      </w:r>
      <w:bookmarkEnd w:id="30"/>
      <w:bookmarkEnd w:id="31"/>
    </w:p>
    <w:p>
      <w:pPr>
        <w:pStyle w:val="3"/>
        <w:rPr>
          <w:rFonts w:hint="default" w:ascii="Arial" w:hAnsi="Arial" w:cs="Arial"/>
          <w:lang w:val="en-GB"/>
        </w:rPr>
      </w:pPr>
      <w:r>
        <w:rPr>
          <w:rFonts w:hint="default" w:ascii="Arial" w:hAnsi="Arial" w:cs="Arial"/>
          <w:lang w:val="en-GB"/>
        </w:rPr>
        <w:t>Greggs can conduct market research to understand the product price for vegan food and based on its investment in smart technologies and factories, it can create a competitive price for its product that enables the vegan food items to gain a competitive advantage in the market. Greggs can also use loyalty programs, app benefits, and online promotions to offer attractive prices for customers and enhance footfall in the stores. This will also help in profit and revenue generation for the company.</w:t>
      </w:r>
    </w:p>
    <w:p>
      <w:pPr>
        <w:pStyle w:val="4"/>
        <w:bidi w:val="0"/>
        <w:rPr>
          <w:rFonts w:hint="default" w:ascii="Arial" w:hAnsi="Arial" w:cs="Arial"/>
          <w:sz w:val="30"/>
          <w:szCs w:val="30"/>
          <w:lang w:val="en-GB"/>
        </w:rPr>
      </w:pPr>
      <w:bookmarkStart w:id="32" w:name="_31d3anfl7iy1" w:colFirst="0" w:colLast="0"/>
      <w:bookmarkEnd w:id="32"/>
      <w:bookmarkStart w:id="33" w:name="_Toc23744"/>
      <w:bookmarkStart w:id="34" w:name="_Toc23771"/>
      <w:r>
        <w:rPr>
          <w:rFonts w:hint="default" w:ascii="Arial" w:hAnsi="Arial" w:cs="Arial"/>
          <w:sz w:val="30"/>
          <w:szCs w:val="30"/>
          <w:lang w:val="en-US" w:eastAsia="zh-CN"/>
        </w:rPr>
        <w:t xml:space="preserve">7.3 </w:t>
      </w:r>
      <w:r>
        <w:rPr>
          <w:rFonts w:hint="default" w:ascii="Arial" w:hAnsi="Arial" w:cs="Arial"/>
          <w:sz w:val="30"/>
          <w:szCs w:val="30"/>
          <w:lang w:val="en-GB"/>
        </w:rPr>
        <w:t>Place</w:t>
      </w:r>
      <w:bookmarkEnd w:id="33"/>
      <w:bookmarkEnd w:id="34"/>
    </w:p>
    <w:p>
      <w:pPr>
        <w:pStyle w:val="3"/>
        <w:rPr>
          <w:rFonts w:hint="default" w:ascii="Arial" w:hAnsi="Arial" w:cs="Arial"/>
          <w:lang w:val="en-GB"/>
        </w:rPr>
      </w:pPr>
      <w:r>
        <w:rPr>
          <w:rFonts w:hint="default" w:ascii="Arial" w:hAnsi="Arial" w:cs="Arial"/>
          <w:lang w:val="en-GB"/>
        </w:rPr>
        <w:t xml:space="preserve">Greggs existing goal is to have substantially more than 3,000 stores throughout the UK, and it has a solid plan in place for establishing new stores and improving the quality of existing estate via shifting and the next generation of store refits (Greggs, 2023). Moreover, it can establish at least three smart factories and eco-shop and enhance the eco-shop elements in their shops in the region to produce healthy and vegan food alternatives in the most sustainable manner possible. In addition, it can enhance the quality of current shops alongside the launching of new stores and the expansion of estate by investing in reducing food waste, enabling sustainable energy alternatives such as solar lights, and creating eco-friendly packaging options. Moreover, it can improve its storage capacity to include glass containers instead of plastic to enhance its CSR activity. </w:t>
      </w:r>
    </w:p>
    <w:p>
      <w:pPr>
        <w:pStyle w:val="4"/>
        <w:bidi w:val="0"/>
        <w:rPr>
          <w:rFonts w:hint="default" w:ascii="Arial" w:hAnsi="Arial" w:cs="Arial"/>
          <w:sz w:val="30"/>
          <w:szCs w:val="30"/>
          <w:lang w:val="en-GB"/>
        </w:rPr>
      </w:pPr>
      <w:bookmarkStart w:id="35" w:name="_eyaqwed2gn25" w:colFirst="0" w:colLast="0"/>
      <w:bookmarkEnd w:id="35"/>
      <w:bookmarkStart w:id="36" w:name="_Toc5095"/>
      <w:bookmarkStart w:id="37" w:name="_Toc18537"/>
      <w:r>
        <w:rPr>
          <w:rFonts w:hint="default" w:ascii="Arial" w:hAnsi="Arial" w:cs="Arial"/>
          <w:sz w:val="30"/>
          <w:szCs w:val="30"/>
          <w:lang w:val="en-US" w:eastAsia="zh-CN"/>
        </w:rPr>
        <w:t xml:space="preserve">7.4 </w:t>
      </w:r>
      <w:r>
        <w:rPr>
          <w:rFonts w:hint="default" w:ascii="Arial" w:hAnsi="Arial" w:cs="Arial"/>
          <w:sz w:val="30"/>
          <w:szCs w:val="30"/>
          <w:lang w:val="en-GB"/>
        </w:rPr>
        <w:t>Promotion</w:t>
      </w:r>
      <w:bookmarkEnd w:id="36"/>
      <w:bookmarkEnd w:id="37"/>
    </w:p>
    <w:p>
      <w:pPr>
        <w:pStyle w:val="3"/>
        <w:rPr>
          <w:rFonts w:hint="default" w:ascii="Arial" w:hAnsi="Arial" w:cs="Arial"/>
          <w:lang w:val="en-GB"/>
        </w:rPr>
      </w:pPr>
      <w:r>
        <w:rPr>
          <w:rFonts w:hint="default" w:ascii="Arial" w:hAnsi="Arial" w:cs="Arial"/>
          <w:lang w:val="en-GB"/>
        </w:rPr>
        <w:t xml:space="preserve">Greggs can use its digital platforms to create awareness about its products. While it has sufficient physical stores, the online audience is equally important to attract customers and generate leads. The social media ads can target the young health and environment-conscious generation that has a wide base on social networking sites to promote its vegan food and CSR activity to attract this audience. It can advertise its safe packaging and processing on these platforms through infographics and videos to create awareness about its conscious efforts. The advertising plans should include loyalty programs and partnerships with more companies like Just Eat to generate multiple channels of awareness and brand recognition. </w:t>
      </w:r>
    </w:p>
    <w:p>
      <w:pPr>
        <w:pStyle w:val="4"/>
        <w:bidi w:val="0"/>
        <w:rPr>
          <w:rFonts w:hint="default" w:ascii="Arial" w:hAnsi="Arial" w:cs="Arial"/>
          <w:sz w:val="30"/>
          <w:szCs w:val="30"/>
          <w:lang w:val="en-GB"/>
        </w:rPr>
      </w:pPr>
      <w:bookmarkStart w:id="38" w:name="_3s128fpkzi58" w:colFirst="0" w:colLast="0"/>
      <w:bookmarkEnd w:id="38"/>
      <w:bookmarkStart w:id="39" w:name="_Toc5147"/>
      <w:bookmarkStart w:id="40" w:name="_Toc4879"/>
      <w:r>
        <w:rPr>
          <w:rFonts w:hint="default" w:ascii="Arial" w:hAnsi="Arial" w:cs="Arial"/>
          <w:sz w:val="30"/>
          <w:szCs w:val="30"/>
          <w:lang w:val="en-US" w:eastAsia="zh-CN"/>
        </w:rPr>
        <w:t xml:space="preserve">7.5 </w:t>
      </w:r>
      <w:r>
        <w:rPr>
          <w:rFonts w:hint="default" w:ascii="Arial" w:hAnsi="Arial" w:cs="Arial"/>
          <w:sz w:val="30"/>
          <w:szCs w:val="30"/>
          <w:lang w:val="en-GB"/>
        </w:rPr>
        <w:t>People</w:t>
      </w:r>
      <w:bookmarkEnd w:id="39"/>
      <w:bookmarkEnd w:id="40"/>
    </w:p>
    <w:p>
      <w:pPr>
        <w:pStyle w:val="3"/>
        <w:rPr>
          <w:rFonts w:hint="default" w:ascii="Arial" w:hAnsi="Arial" w:cs="Arial"/>
          <w:lang w:val="en-GB"/>
        </w:rPr>
      </w:pPr>
      <w:r>
        <w:rPr>
          <w:rFonts w:hint="default" w:ascii="Arial" w:hAnsi="Arial" w:cs="Arial"/>
          <w:lang w:val="en-GB"/>
        </w:rPr>
        <w:t xml:space="preserve">The company’s people and employees are at the forefront of any organisation’s success. Therefore, Greggs should continue offering employee benefits to maintain the long-standing practice of distributing 10% of annual earnings to employees as a way of making them feel that they contributed to the company's success in 2022 (Greggs, 2022). It should also roll out the employee training programs in digital form where the employees can learn and understand the process digitally. It will help the company save time and valuable resources on employee training. </w:t>
      </w:r>
    </w:p>
    <w:p>
      <w:pPr>
        <w:pStyle w:val="4"/>
        <w:bidi w:val="0"/>
        <w:rPr>
          <w:rFonts w:hint="default" w:ascii="Arial" w:hAnsi="Arial" w:cs="Arial"/>
          <w:sz w:val="30"/>
          <w:szCs w:val="30"/>
          <w:lang w:val="en-GB"/>
        </w:rPr>
      </w:pPr>
      <w:bookmarkStart w:id="41" w:name="_o63kcvo8418z" w:colFirst="0" w:colLast="0"/>
      <w:bookmarkEnd w:id="41"/>
      <w:bookmarkStart w:id="42" w:name="_Toc20404"/>
      <w:bookmarkStart w:id="43" w:name="_Toc3225"/>
      <w:r>
        <w:rPr>
          <w:rFonts w:hint="default" w:ascii="Arial" w:hAnsi="Arial" w:cs="Arial"/>
          <w:sz w:val="30"/>
          <w:szCs w:val="30"/>
          <w:lang w:val="en-US" w:eastAsia="zh-CN"/>
        </w:rPr>
        <w:t xml:space="preserve">7.6 </w:t>
      </w:r>
      <w:r>
        <w:rPr>
          <w:rFonts w:hint="default" w:ascii="Arial" w:hAnsi="Arial" w:cs="Arial"/>
          <w:sz w:val="30"/>
          <w:szCs w:val="30"/>
          <w:lang w:val="en-GB"/>
        </w:rPr>
        <w:t>Process</w:t>
      </w:r>
      <w:bookmarkEnd w:id="42"/>
      <w:bookmarkEnd w:id="43"/>
    </w:p>
    <w:p>
      <w:pPr>
        <w:pStyle w:val="3"/>
        <w:rPr>
          <w:rFonts w:hint="default" w:ascii="Arial" w:hAnsi="Arial" w:cs="Arial"/>
          <w:lang w:val="en-GB"/>
        </w:rPr>
      </w:pPr>
      <w:r>
        <w:rPr>
          <w:rFonts w:hint="default" w:ascii="Arial" w:hAnsi="Arial" w:cs="Arial"/>
          <w:lang w:val="en-GB"/>
        </w:rPr>
        <w:t xml:space="preserve">Process improvement is a crucial step in ensuring that the company performs well in the long run. Greggs can use online reviews and feedback from customers and staff to understand the loopholes in the company process and work towards improving them. It can also robotic technology, and manufacturing equipment to enhance its manufacturing process. To enhance its supply chain, it can collaborate with local partners in new areas like Cornwall to market and deliver its products. </w:t>
      </w:r>
    </w:p>
    <w:p>
      <w:pPr>
        <w:pStyle w:val="4"/>
        <w:bidi w:val="0"/>
        <w:rPr>
          <w:rFonts w:hint="default" w:ascii="Arial" w:hAnsi="Arial" w:cs="Arial"/>
          <w:sz w:val="30"/>
          <w:szCs w:val="30"/>
          <w:lang w:val="en-GB"/>
        </w:rPr>
      </w:pPr>
      <w:bookmarkStart w:id="44" w:name="_7urc0kx34qdp" w:colFirst="0" w:colLast="0"/>
      <w:bookmarkEnd w:id="44"/>
      <w:bookmarkStart w:id="45" w:name="_Toc8382"/>
      <w:bookmarkStart w:id="46" w:name="_Toc20283"/>
      <w:r>
        <w:rPr>
          <w:rFonts w:hint="default" w:ascii="Arial" w:hAnsi="Arial" w:cs="Arial"/>
          <w:sz w:val="30"/>
          <w:szCs w:val="30"/>
          <w:lang w:val="en-US" w:eastAsia="zh-CN"/>
        </w:rPr>
        <w:t xml:space="preserve">7.7 </w:t>
      </w:r>
      <w:r>
        <w:rPr>
          <w:rFonts w:hint="default" w:ascii="Arial" w:hAnsi="Arial" w:cs="Arial"/>
          <w:sz w:val="30"/>
          <w:szCs w:val="30"/>
          <w:lang w:val="en-GB"/>
        </w:rPr>
        <w:t>Physical Evidence</w:t>
      </w:r>
      <w:bookmarkEnd w:id="45"/>
      <w:bookmarkEnd w:id="46"/>
      <w:r>
        <w:rPr>
          <w:rFonts w:hint="default" w:ascii="Arial" w:hAnsi="Arial" w:cs="Arial"/>
          <w:sz w:val="30"/>
          <w:szCs w:val="30"/>
          <w:lang w:val="en-GB"/>
        </w:rPr>
        <w:t xml:space="preserve"> </w:t>
      </w:r>
    </w:p>
    <w:p>
      <w:pPr>
        <w:pStyle w:val="3"/>
        <w:rPr>
          <w:rFonts w:hint="default" w:ascii="Arial" w:hAnsi="Arial" w:cs="Arial"/>
          <w:lang w:val="en-GB"/>
        </w:rPr>
      </w:pPr>
      <w:r>
        <w:rPr>
          <w:rFonts w:hint="default" w:ascii="Arial" w:hAnsi="Arial" w:cs="Arial"/>
          <w:lang w:val="en-GB"/>
        </w:rPr>
        <w:t xml:space="preserve">To provide physical evidence, especially for new areas and customers, Greggs can use its store outlook such as eco-shop elements, to showcase its CSR activity and evidence such as National Equality Standard certifications and its smart, vegan menus to enhance customer’s trust and loyalty. They can use online reviews on their website, social media platforms, and delivery apps to further reinforce trust in their products. They can also work on providing seamless, quick and responsive replies to customer feedbacks online to maintain customers’ trust. </w:t>
      </w:r>
    </w:p>
    <w:p>
      <w:pPr>
        <w:pStyle w:val="2"/>
        <w:bidi w:val="0"/>
        <w:rPr>
          <w:rFonts w:hint="default" w:ascii="Arial" w:hAnsi="Arial" w:cs="Arial"/>
          <w:sz w:val="32"/>
          <w:szCs w:val="32"/>
          <w:lang w:val="en-GB"/>
        </w:rPr>
      </w:pPr>
      <w:bookmarkStart w:id="47" w:name="_277yt33ijnrq" w:colFirst="0" w:colLast="0"/>
      <w:bookmarkEnd w:id="47"/>
      <w:bookmarkStart w:id="48" w:name="_Toc14542"/>
      <w:bookmarkStart w:id="49" w:name="_Toc1673"/>
      <w:r>
        <w:rPr>
          <w:rFonts w:hint="default" w:ascii="Arial" w:hAnsi="Arial" w:cs="Arial"/>
          <w:sz w:val="32"/>
          <w:szCs w:val="32"/>
          <w:lang w:val="en-US" w:eastAsia="zh-CN"/>
        </w:rPr>
        <w:t xml:space="preserve">8.0 </w:t>
      </w:r>
      <w:r>
        <w:rPr>
          <w:rFonts w:hint="default" w:ascii="Arial" w:hAnsi="Arial" w:cs="Arial"/>
          <w:sz w:val="32"/>
          <w:szCs w:val="32"/>
          <w:lang w:val="en-GB"/>
        </w:rPr>
        <w:t>Action</w:t>
      </w:r>
      <w:bookmarkEnd w:id="48"/>
      <w:bookmarkEnd w:id="49"/>
    </w:p>
    <w:p>
      <w:pPr>
        <w:pStyle w:val="3"/>
        <w:numPr>
          <w:ilvl w:val="0"/>
          <w:numId w:val="3"/>
        </w:numPr>
        <w:rPr>
          <w:rFonts w:hint="default" w:ascii="Arial" w:hAnsi="Arial" w:cs="Arial"/>
          <w:lang w:val="en-GB"/>
        </w:rPr>
      </w:pPr>
      <w:r>
        <w:rPr>
          <w:rFonts w:hint="default" w:ascii="Arial" w:hAnsi="Arial" w:cs="Arial"/>
          <w:lang w:val="en-GB"/>
        </w:rPr>
        <w:t xml:space="preserve">To achieve the objective, the senior management team should create a team specifically dedicated to analysing what technology can improve its process and reduce cost annually. The team should audit and review the technological gaps and opportunities in the company and make recommendations for the use of technology in each department. </w:t>
      </w:r>
    </w:p>
    <w:p>
      <w:pPr>
        <w:pStyle w:val="3"/>
        <w:numPr>
          <w:ilvl w:val="0"/>
          <w:numId w:val="3"/>
        </w:numPr>
        <w:rPr>
          <w:rFonts w:hint="default" w:ascii="Arial" w:hAnsi="Arial" w:cs="Arial"/>
          <w:lang w:val="en-GB"/>
        </w:rPr>
      </w:pPr>
      <w:r>
        <w:rPr>
          <w:rFonts w:hint="default" w:ascii="Arial" w:hAnsi="Arial" w:cs="Arial"/>
          <w:lang w:val="en-GB"/>
        </w:rPr>
        <w:t xml:space="preserve">The finance team should monitor the estimated cost that the company needs to make in specific technology for process improvement and the creation of new products. It should also monitor the investment needed for the creation of vegan and regional menus as well as the set up of new smart factories in three locations. Based on its quarterly performance and revenue collection, the Greggs financial team should offer recommendations for investments, cost reduction, and improvements for each department every four months. </w:t>
      </w:r>
    </w:p>
    <w:p>
      <w:pPr>
        <w:pStyle w:val="3"/>
        <w:numPr>
          <w:ilvl w:val="0"/>
          <w:numId w:val="3"/>
        </w:numPr>
        <w:rPr>
          <w:rFonts w:hint="default" w:ascii="Arial" w:hAnsi="Arial" w:cs="Arial"/>
          <w:lang w:val="en-GB"/>
        </w:rPr>
      </w:pPr>
      <w:r>
        <w:rPr>
          <w:rFonts w:hint="default" w:ascii="Arial" w:hAnsi="Arial" w:cs="Arial"/>
          <w:lang w:val="en-GB"/>
        </w:rPr>
        <w:t xml:space="preserve">The food development team should focus on developing regional flavours and a healthier menu that will appeal to a wider audience without compromising on the taste. It can invest a few months in researching the flavours and testing its menu in various stores and based on the results, can give recommendations for the inclusion of at least 4-5 vegan and regional food items in the menu at least every year. </w:t>
      </w:r>
    </w:p>
    <w:p>
      <w:pPr>
        <w:pStyle w:val="3"/>
        <w:numPr>
          <w:ilvl w:val="0"/>
          <w:numId w:val="3"/>
        </w:numPr>
        <w:rPr>
          <w:rFonts w:hint="default" w:ascii="Arial" w:hAnsi="Arial" w:cs="Arial"/>
          <w:lang w:val="en-GB"/>
        </w:rPr>
      </w:pPr>
      <w:r>
        <w:rPr>
          <w:rFonts w:hint="default" w:ascii="Arial" w:hAnsi="Arial" w:cs="Arial"/>
          <w:lang w:val="en-GB"/>
        </w:rPr>
        <w:t>The marketing team should focus on diversifying the communication channels and customising the communication depending on customer demography monthly. For instance, on social media platforms, it can target young audiences such as students, teens, and young professionals. Food delivery apps can target young professionals, bachelors, and working families that frequently order from the app. It can use physical advertisements such as banners, TV ads, etc to reach older millennials.</w:t>
      </w:r>
    </w:p>
    <w:p>
      <w:pPr>
        <w:pStyle w:val="3"/>
        <w:numPr>
          <w:ilvl w:val="0"/>
          <w:numId w:val="3"/>
        </w:numPr>
        <w:rPr>
          <w:rFonts w:hint="default" w:ascii="Arial" w:hAnsi="Arial" w:cs="Arial"/>
          <w:lang w:val="en-GB"/>
        </w:rPr>
      </w:pPr>
      <w:r>
        <w:rPr>
          <w:rFonts w:hint="default" w:ascii="Arial" w:hAnsi="Arial" w:cs="Arial"/>
          <w:lang w:val="en-GB"/>
        </w:rPr>
        <w:t xml:space="preserve">The store employees can work on using technologies such as online offers, table reservations for birthday parties, using apps to unlock store offers, etc to provide the best service to the customers. They can work on creating awareness of the new menu, the latest food items, and any loyalty offers that the customers may have to create trust and a friendly environment at the store. </w:t>
      </w:r>
    </w:p>
    <w:p>
      <w:pPr>
        <w:pStyle w:val="3"/>
        <w:rPr>
          <w:rFonts w:hint="default" w:ascii="Arial" w:hAnsi="Arial" w:cs="Arial"/>
          <w:lang w:val="en-GB"/>
        </w:rPr>
      </w:pPr>
    </w:p>
    <w:p>
      <w:pPr>
        <w:pStyle w:val="3"/>
        <w:rPr>
          <w:rFonts w:hint="default" w:ascii="Arial" w:hAnsi="Arial" w:cs="Arial"/>
          <w:lang w:val="en-GB"/>
        </w:rPr>
      </w:pPr>
      <w:r>
        <w:rPr>
          <w:rFonts w:hint="default" w:ascii="Arial" w:hAnsi="Arial" w:cs="Arial"/>
          <w:lang w:val="en-GB"/>
        </w:rPr>
        <w:t xml:space="preserve">This can be done by establishing clear employee protocol and a Key Performance Index (KPI) driven culture, offering incentives such as performance-based hikes and bonuses, and using tools like CRM management, process improvement tools, project management tools, etc to enable employees to take responsibility and send clear instructions so that the roles are clearly defined. The teams should be encouraged and regularly motivated by the senior staff and the management should conduct a performance review every six to twelve months to ensure that employees are well-equipped and are trained well to handle their roles. </w:t>
      </w:r>
    </w:p>
    <w:p>
      <w:pPr>
        <w:pStyle w:val="2"/>
        <w:bidi w:val="0"/>
        <w:rPr>
          <w:rFonts w:hint="default" w:ascii="Arial" w:hAnsi="Arial" w:cs="Arial"/>
          <w:sz w:val="32"/>
          <w:szCs w:val="32"/>
          <w:lang w:val="en-GB"/>
        </w:rPr>
      </w:pPr>
      <w:bookmarkStart w:id="50" w:name="_18xulxjdb2eh" w:colFirst="0" w:colLast="0"/>
      <w:bookmarkEnd w:id="50"/>
      <w:bookmarkStart w:id="51" w:name="_Toc19204"/>
      <w:bookmarkStart w:id="52" w:name="_Toc31794"/>
      <w:r>
        <w:rPr>
          <w:rFonts w:hint="default" w:ascii="Arial" w:hAnsi="Arial" w:cs="Arial"/>
          <w:sz w:val="32"/>
          <w:szCs w:val="32"/>
          <w:lang w:val="en-US" w:eastAsia="zh-CN"/>
        </w:rPr>
        <w:t xml:space="preserve">9.0 </w:t>
      </w:r>
      <w:r>
        <w:rPr>
          <w:rFonts w:hint="default" w:ascii="Arial" w:hAnsi="Arial" w:cs="Arial"/>
          <w:sz w:val="32"/>
          <w:szCs w:val="32"/>
          <w:lang w:val="en-GB"/>
        </w:rPr>
        <w:t>Control</w:t>
      </w:r>
      <w:bookmarkEnd w:id="51"/>
      <w:bookmarkEnd w:id="52"/>
    </w:p>
    <w:p>
      <w:pPr>
        <w:pStyle w:val="3"/>
        <w:rPr>
          <w:rFonts w:hint="default" w:ascii="Arial" w:hAnsi="Arial" w:cs="Arial"/>
          <w:lang w:val="en-GB"/>
        </w:rPr>
      </w:pPr>
      <w:r>
        <w:rPr>
          <w:rFonts w:hint="default" w:ascii="Arial" w:hAnsi="Arial" w:cs="Arial"/>
          <w:lang w:val="en-GB"/>
        </w:rPr>
        <w:t xml:space="preserve">After specific actions have been taken, it is equally important to set up control factors or evaluate the implemented actions to understand how is how the performance index and whether the objective will be met in the stipulated time. Therefore, to measure and evaluate these actions, one can use KPIs for Greggs's overall performance as given in Appendix H. </w:t>
      </w:r>
    </w:p>
    <w:p>
      <w:pPr>
        <w:pStyle w:val="2"/>
        <w:bidi w:val="0"/>
        <w:rPr>
          <w:rFonts w:hint="default" w:ascii="Arial" w:hAnsi="Arial" w:cs="Arial"/>
          <w:sz w:val="32"/>
          <w:szCs w:val="32"/>
          <w:lang w:val="en-GB"/>
        </w:rPr>
      </w:pPr>
      <w:bookmarkStart w:id="53" w:name="_qq1oukjyzg4a" w:colFirst="0" w:colLast="0"/>
      <w:bookmarkEnd w:id="53"/>
      <w:bookmarkStart w:id="54" w:name="_Toc20835"/>
      <w:bookmarkStart w:id="55" w:name="_Toc15599"/>
      <w:r>
        <w:rPr>
          <w:rFonts w:hint="default" w:ascii="Arial" w:hAnsi="Arial" w:cs="Arial"/>
          <w:sz w:val="32"/>
          <w:szCs w:val="32"/>
          <w:lang w:val="en-US" w:eastAsia="zh-CN"/>
        </w:rPr>
        <w:t xml:space="preserve">10.0 </w:t>
      </w:r>
      <w:r>
        <w:rPr>
          <w:rFonts w:hint="default" w:ascii="Arial" w:hAnsi="Arial" w:cs="Arial"/>
          <w:sz w:val="32"/>
          <w:szCs w:val="32"/>
          <w:lang w:val="en-GB"/>
        </w:rPr>
        <w:t>Recommendations</w:t>
      </w:r>
      <w:bookmarkEnd w:id="54"/>
      <w:bookmarkEnd w:id="55"/>
    </w:p>
    <w:p>
      <w:pPr>
        <w:pStyle w:val="3"/>
        <w:numPr>
          <w:ilvl w:val="0"/>
          <w:numId w:val="4"/>
        </w:numPr>
        <w:rPr>
          <w:rFonts w:hint="default" w:ascii="Arial" w:hAnsi="Arial" w:cs="Arial"/>
          <w:lang w:val="en-GB"/>
        </w:rPr>
      </w:pPr>
      <w:r>
        <w:rPr>
          <w:rFonts w:hint="default" w:ascii="Arial" w:hAnsi="Arial" w:cs="Arial"/>
          <w:lang w:val="en-GB"/>
        </w:rPr>
        <w:t>Use automated devices, particularly for preparing bread goods.</w:t>
      </w:r>
    </w:p>
    <w:p>
      <w:pPr>
        <w:pStyle w:val="3"/>
        <w:numPr>
          <w:ilvl w:val="0"/>
          <w:numId w:val="4"/>
        </w:numPr>
        <w:rPr>
          <w:rFonts w:hint="default" w:ascii="Arial" w:hAnsi="Arial" w:cs="Arial"/>
          <w:lang w:val="en-GB"/>
        </w:rPr>
      </w:pPr>
      <w:r>
        <w:rPr>
          <w:rFonts w:hint="default" w:ascii="Arial" w:hAnsi="Arial" w:cs="Arial"/>
          <w:lang w:val="en-GB"/>
        </w:rPr>
        <w:t>Increase supply chain efficiency by introducing automated machinery and making data available to all departments.</w:t>
      </w:r>
    </w:p>
    <w:p>
      <w:pPr>
        <w:pStyle w:val="3"/>
        <w:numPr>
          <w:ilvl w:val="0"/>
          <w:numId w:val="4"/>
        </w:numPr>
        <w:rPr>
          <w:rFonts w:hint="default" w:ascii="Arial" w:hAnsi="Arial" w:cs="Arial"/>
          <w:lang w:val="en-GB"/>
        </w:rPr>
      </w:pPr>
      <w:r>
        <w:rPr>
          <w:rFonts w:hint="default" w:ascii="Arial" w:hAnsi="Arial" w:cs="Arial"/>
          <w:lang w:val="en-GB"/>
        </w:rPr>
        <w:t>To encourage a healthy and ecologically friendly lifestyle, include vegan items created by automated machines, along with their nutrients and carbon footprint facts.</w:t>
      </w:r>
    </w:p>
    <w:p>
      <w:pPr>
        <w:pStyle w:val="3"/>
        <w:numPr>
          <w:ilvl w:val="0"/>
          <w:numId w:val="4"/>
        </w:numPr>
        <w:rPr>
          <w:rFonts w:hint="default" w:ascii="Arial" w:hAnsi="Arial" w:cs="Arial"/>
          <w:lang w:val="en-GB"/>
        </w:rPr>
      </w:pPr>
      <w:r>
        <w:rPr>
          <w:rFonts w:hint="default" w:ascii="Arial" w:hAnsi="Arial" w:cs="Arial"/>
          <w:lang w:val="en-GB"/>
        </w:rPr>
        <w:t xml:space="preserve">Include cloud collaboration to ensure effective communication with stakeholders. </w:t>
      </w:r>
    </w:p>
    <w:p>
      <w:pPr>
        <w:pStyle w:val="3"/>
        <w:numPr>
          <w:ilvl w:val="0"/>
          <w:numId w:val="4"/>
        </w:numPr>
        <w:rPr>
          <w:rFonts w:hint="default" w:ascii="Arial" w:hAnsi="Arial" w:cs="Arial"/>
          <w:lang w:val="en-GB"/>
        </w:rPr>
      </w:pPr>
      <w:r>
        <w:rPr>
          <w:rFonts w:hint="default" w:ascii="Arial" w:hAnsi="Arial" w:cs="Arial"/>
          <w:lang w:val="en-GB"/>
        </w:rPr>
        <w:t>Enhance social media presence and use social media analytics to reach more audiences and generate leads through targeted ads.</w:t>
      </w:r>
    </w:p>
    <w:p>
      <w:pPr>
        <w:pStyle w:val="2"/>
        <w:bidi w:val="0"/>
        <w:rPr>
          <w:rFonts w:hint="default" w:ascii="Arial" w:hAnsi="Arial" w:cs="Arial"/>
          <w:sz w:val="32"/>
          <w:szCs w:val="32"/>
          <w:lang w:val="en-GB"/>
        </w:rPr>
      </w:pPr>
      <w:bookmarkStart w:id="56" w:name="_6s4eu4d3drqs" w:colFirst="0" w:colLast="0"/>
      <w:bookmarkEnd w:id="56"/>
      <w:bookmarkStart w:id="57" w:name="_Toc25269"/>
      <w:bookmarkStart w:id="58" w:name="_Toc30782"/>
      <w:r>
        <w:rPr>
          <w:rFonts w:hint="default" w:ascii="Arial" w:hAnsi="Arial" w:cs="Arial"/>
          <w:sz w:val="32"/>
          <w:szCs w:val="32"/>
          <w:lang w:val="en-US" w:eastAsia="zh-CN"/>
        </w:rPr>
        <w:t xml:space="preserve">11.0 </w:t>
      </w:r>
      <w:r>
        <w:rPr>
          <w:rFonts w:hint="default" w:ascii="Arial" w:hAnsi="Arial" w:cs="Arial"/>
          <w:sz w:val="32"/>
          <w:szCs w:val="32"/>
          <w:lang w:val="en-GB"/>
        </w:rPr>
        <w:t>Conclusion</w:t>
      </w:r>
      <w:bookmarkEnd w:id="57"/>
      <w:bookmarkEnd w:id="58"/>
    </w:p>
    <w:p>
      <w:pPr>
        <w:pStyle w:val="3"/>
        <w:rPr>
          <w:rFonts w:hint="default" w:ascii="Arial" w:hAnsi="Arial" w:cs="Arial"/>
          <w:lang w:val="en-GB"/>
        </w:rPr>
      </w:pPr>
      <w:r>
        <w:rPr>
          <w:rFonts w:hint="default" w:ascii="Arial" w:hAnsi="Arial" w:cs="Arial"/>
          <w:lang w:val="en-GB"/>
        </w:rPr>
        <w:t>In conclusion, the objective of Greggs's marketing plan includes new product development, enhancing the quality of current products, enhancing customer reach and penetrating into new markets with products that are healthier and regionally acceptable. The company can do this by enhancing its current “next generation” strategies and including more sustainable alternatives, social media engagements and introducing automated equipment in its manufacturing process. This will help in the rise of healthy, vegan production without compromising on taste and ensure competitive advantage in the fast food industry in the UK.</w:t>
      </w:r>
    </w:p>
    <w:p>
      <w:pPr>
        <w:pStyle w:val="2"/>
        <w:bidi w:val="0"/>
        <w:rPr>
          <w:rFonts w:hint="default" w:ascii="Arial" w:hAnsi="Arial" w:cs="Arial"/>
          <w:sz w:val="32"/>
          <w:szCs w:val="32"/>
          <w:lang w:val="en-GB"/>
        </w:rPr>
      </w:pPr>
      <w:bookmarkStart w:id="59" w:name="_Toc28447"/>
      <w:bookmarkStart w:id="60" w:name="_Toc26033"/>
      <w:r>
        <w:rPr>
          <w:rFonts w:hint="default" w:ascii="Arial" w:hAnsi="Arial" w:cs="Arial"/>
          <w:sz w:val="32"/>
          <w:szCs w:val="32"/>
          <w:lang w:val="en-GB"/>
        </w:rPr>
        <w:t>References</w:t>
      </w:r>
      <w:bookmarkEnd w:id="59"/>
      <w:bookmarkEnd w:id="60"/>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Accorsi, R., Tufano, A., Gallo, A., Galizia, F. G., Cocchi, G., Ronzoni, M., Abbate, A., &amp; Manzini, R. (2019). An application of collaborative robots in a food production facility. </w:t>
      </w:r>
      <w:r>
        <w:rPr>
          <w:rFonts w:hint="default" w:ascii="Arial" w:hAnsi="Arial" w:cs="Arial"/>
          <w:i/>
          <w:iCs/>
          <w:lang w:val="en-GB"/>
        </w:rPr>
        <w:t>Procedia Manufacturing</w:t>
      </w:r>
      <w:r>
        <w:rPr>
          <w:rFonts w:hint="default" w:ascii="Arial" w:hAnsi="Arial" w:cs="Arial"/>
          <w:lang w:val="en-GB"/>
        </w:rPr>
        <w:t xml:space="preserve">, </w:t>
      </w:r>
      <w:r>
        <w:rPr>
          <w:rFonts w:hint="default" w:ascii="Arial" w:hAnsi="Arial" w:cs="Arial"/>
          <w:i/>
          <w:iCs/>
          <w:lang w:val="en-GB"/>
        </w:rPr>
        <w:t>38</w:t>
      </w:r>
      <w:r>
        <w:rPr>
          <w:rFonts w:hint="default" w:ascii="Arial" w:hAnsi="Arial" w:cs="Arial"/>
          <w:lang w:val="en-GB"/>
        </w:rPr>
        <w:t>, 341–348. https://doi.org/10.1016/j.promfg.2020.01.044</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Aghera, A., Emery, M., Bounds, R., Bush, C., Stansfield, B., Gillett, B., &amp; Santen, S. (2018). A Randomized Trial of SMART Goal Enhanced Debriefing after Simulation to Promote Educational Actions. </w:t>
      </w:r>
      <w:r>
        <w:rPr>
          <w:rFonts w:hint="default" w:ascii="Arial" w:hAnsi="Arial" w:cs="Arial"/>
          <w:i/>
          <w:iCs/>
          <w:lang w:val="en-GB"/>
        </w:rPr>
        <w:t>Western Journal of Emergency Medicine</w:t>
      </w:r>
      <w:r>
        <w:rPr>
          <w:rFonts w:hint="default" w:ascii="Arial" w:hAnsi="Arial" w:cs="Arial"/>
          <w:lang w:val="en-GB"/>
        </w:rPr>
        <w:t xml:space="preserve">, </w:t>
      </w:r>
      <w:r>
        <w:rPr>
          <w:rFonts w:hint="default" w:ascii="Arial" w:hAnsi="Arial" w:cs="Arial"/>
          <w:i/>
          <w:iCs/>
          <w:lang w:val="en-GB"/>
        </w:rPr>
        <w:t>19</w:t>
      </w:r>
      <w:r>
        <w:rPr>
          <w:rFonts w:hint="default" w:ascii="Arial" w:hAnsi="Arial" w:cs="Arial"/>
          <w:lang w:val="en-GB"/>
        </w:rPr>
        <w:t>(1), 112–120. NCBI. https://doi.org/10.5811/westjem.2017.11.36524</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Allen, A. (2020, October 8). </w:t>
      </w:r>
      <w:r>
        <w:rPr>
          <w:rFonts w:hint="default" w:ascii="Arial" w:hAnsi="Arial" w:cs="Arial"/>
          <w:i/>
          <w:iCs/>
          <w:lang w:val="en-GB"/>
        </w:rPr>
        <w:t>The 7Ps of The Marketing Mix</w:t>
      </w:r>
      <w:r>
        <w:rPr>
          <w:rFonts w:hint="default" w:ascii="Arial" w:hAnsi="Arial" w:cs="Arial"/>
          <w:lang w:val="en-GB"/>
        </w:rPr>
        <w:t>. Oxford College of Marketing. https://blog.oxfordcollegeofmarketing.com/2020/10/08/understanding-the-7ps-of-the-marketing-mix/</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Aviko. (2022). </w:t>
      </w:r>
      <w:r>
        <w:rPr>
          <w:rFonts w:hint="default" w:ascii="Arial" w:hAnsi="Arial" w:cs="Arial"/>
          <w:i/>
          <w:iCs/>
          <w:lang w:val="en-GB"/>
        </w:rPr>
        <w:t>Fast Food Industry UK</w:t>
      </w:r>
      <w:r>
        <w:rPr>
          <w:rFonts w:hint="default" w:ascii="Arial" w:hAnsi="Arial" w:cs="Arial"/>
          <w:lang w:val="en-GB"/>
        </w:rPr>
        <w:t>. Aviko Food Service. https://www.aviko.co.uk/blog/fast-food-industry-uk</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Bintang, O. M. (2022). Marketing Communication Plan of Mega Star Event Planner Innovation to Survive During and Post-Pandemic. </w:t>
      </w:r>
      <w:r>
        <w:rPr>
          <w:rFonts w:hint="default" w:ascii="Arial" w:hAnsi="Arial" w:cs="Arial"/>
          <w:i/>
          <w:iCs/>
          <w:lang w:val="en-GB"/>
        </w:rPr>
        <w:t>COMMENTATE: Journal of Communication Management</w:t>
      </w:r>
      <w:r>
        <w:rPr>
          <w:rFonts w:hint="default" w:ascii="Arial" w:hAnsi="Arial" w:cs="Arial"/>
          <w:lang w:val="en-GB"/>
        </w:rPr>
        <w:t xml:space="preserve">, </w:t>
      </w:r>
      <w:r>
        <w:rPr>
          <w:rFonts w:hint="default" w:ascii="Arial" w:hAnsi="Arial" w:cs="Arial"/>
          <w:i/>
          <w:iCs/>
          <w:lang w:val="en-GB"/>
        </w:rPr>
        <w:t>3</w:t>
      </w:r>
      <w:r>
        <w:rPr>
          <w:rFonts w:hint="default" w:ascii="Arial" w:hAnsi="Arial" w:cs="Arial"/>
          <w:lang w:val="en-GB"/>
        </w:rPr>
        <w:t>(1), 37. https://doi.org/10.37535/103003120224</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Bjarnadottir, A. (2019). </w:t>
      </w:r>
      <w:r>
        <w:rPr>
          <w:rFonts w:hint="default" w:ascii="Arial" w:hAnsi="Arial" w:cs="Arial"/>
          <w:i/>
          <w:iCs/>
          <w:lang w:val="en-GB"/>
        </w:rPr>
        <w:t>10 Fast-Food Restaurants That Serve Healthy Foods</w:t>
      </w:r>
      <w:r>
        <w:rPr>
          <w:rFonts w:hint="default" w:ascii="Arial" w:hAnsi="Arial" w:cs="Arial"/>
          <w:lang w:val="en-GB"/>
        </w:rPr>
        <w:t>. Healthline. https://www.healthline.com/nutrition/10-healthy-fast-food-restaurants</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Butler, P. (2017, July 25). </w:t>
      </w:r>
      <w:r>
        <w:rPr>
          <w:rFonts w:hint="default" w:ascii="Arial" w:hAnsi="Arial" w:cs="Arial"/>
          <w:i/>
          <w:iCs/>
          <w:lang w:val="en-GB"/>
        </w:rPr>
        <w:t>Large rise in takeaway shops highlights dominance of fast food in deprived areas</w:t>
      </w:r>
      <w:r>
        <w:rPr>
          <w:rFonts w:hint="default" w:ascii="Arial" w:hAnsi="Arial" w:cs="Arial"/>
          <w:lang w:val="en-GB"/>
        </w:rPr>
        <w:t>. The Guardian; The Guardian. https://www.theguardian.com/inequality/2017/jul/25/large-rise-takeaway-shops-highlights-dominance-fast-food-deprived-areas-england</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Chatterjee, D., &amp; Corral, J. (2017). How to Write Well-Defined Learning Objectives. </w:t>
      </w:r>
      <w:r>
        <w:rPr>
          <w:rFonts w:hint="default" w:ascii="Arial" w:hAnsi="Arial" w:cs="Arial"/>
          <w:i/>
          <w:iCs/>
          <w:lang w:val="en-GB"/>
        </w:rPr>
        <w:t>The Journal of Education in Perioperative Medicine : JEPM</w:t>
      </w:r>
      <w:r>
        <w:rPr>
          <w:rFonts w:hint="default" w:ascii="Arial" w:hAnsi="Arial" w:cs="Arial"/>
          <w:lang w:val="en-GB"/>
        </w:rPr>
        <w:t xml:space="preserve">, </w:t>
      </w:r>
      <w:r>
        <w:rPr>
          <w:rFonts w:hint="default" w:ascii="Arial" w:hAnsi="Arial" w:cs="Arial"/>
          <w:i/>
          <w:iCs/>
          <w:lang w:val="en-GB"/>
        </w:rPr>
        <w:t>19</w:t>
      </w:r>
      <w:r>
        <w:rPr>
          <w:rFonts w:hint="default" w:ascii="Arial" w:hAnsi="Arial" w:cs="Arial"/>
          <w:lang w:val="en-GB"/>
        </w:rPr>
        <w:t>(4). https://www.ncbi.nlm.nih.gov/pmc/articles/PMC5944406/</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Ferrell, O. C., Hartline, M., &amp; Hochstein, B. W. (2021). Marketing Strategy. In </w:t>
      </w:r>
      <w:r>
        <w:rPr>
          <w:rFonts w:hint="default" w:ascii="Arial" w:hAnsi="Arial" w:cs="Arial"/>
          <w:i/>
          <w:iCs/>
          <w:lang w:val="en-GB"/>
        </w:rPr>
        <w:t>Google Books</w:t>
      </w:r>
      <w:r>
        <w:rPr>
          <w:rFonts w:hint="default" w:ascii="Arial" w:hAnsi="Arial" w:cs="Arial"/>
          <w:lang w:val="en-GB"/>
        </w:rPr>
        <w:t>. Cengage Learning. https://books.google.com/books?hl=en&amp;lr=&amp;id=SewfEAAAQBAJ&amp;oi=fnd&amp;pg=PP1&amp;dq=marketing+plan&amp;ots=PgWwCyKl-b&amp;sig=OmTBjpMa0DAOUuwkSH4ENXZWhiA</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Girton, C. (2018). Creating a Marketing Plan with a Marketing Team of One. </w:t>
      </w:r>
      <w:r>
        <w:rPr>
          <w:rFonts w:hint="default" w:ascii="Arial" w:hAnsi="Arial" w:cs="Arial"/>
          <w:i/>
          <w:iCs/>
          <w:lang w:val="en-GB"/>
        </w:rPr>
        <w:t>Sc.lib.miamioh.edu</w:t>
      </w:r>
      <w:r>
        <w:rPr>
          <w:rFonts w:hint="default" w:ascii="Arial" w:hAnsi="Arial" w:cs="Arial"/>
          <w:lang w:val="en-GB"/>
        </w:rPr>
        <w:t>. http://sc.lib.miamioh.edu/handle/2374.MIA/6255</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GOV.UK. (2021, July 21). </w:t>
      </w:r>
      <w:r>
        <w:rPr>
          <w:rFonts w:hint="default" w:ascii="Arial" w:hAnsi="Arial" w:cs="Arial"/>
          <w:i/>
          <w:iCs/>
          <w:lang w:val="en-GB"/>
        </w:rPr>
        <w:t>Promotions of unhealthy foods restricted from October 2022</w:t>
      </w:r>
      <w:r>
        <w:rPr>
          <w:rFonts w:hint="default" w:ascii="Arial" w:hAnsi="Arial" w:cs="Arial"/>
          <w:lang w:val="en-GB"/>
        </w:rPr>
        <w:t>. GOV.UK. https://www.gov.uk/government/news/promotions-of-unhealthy-foods-restricted-from-october-2022</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Greggs. (2022). </w:t>
      </w:r>
      <w:r>
        <w:rPr>
          <w:rFonts w:hint="default" w:ascii="Arial" w:hAnsi="Arial" w:cs="Arial"/>
          <w:i/>
          <w:iCs/>
          <w:lang w:val="en-GB"/>
        </w:rPr>
        <w:t>Greggs Corporate | Our strategy</w:t>
      </w:r>
      <w:r>
        <w:rPr>
          <w:rFonts w:hint="default" w:ascii="Arial" w:hAnsi="Arial" w:cs="Arial"/>
          <w:lang w:val="en-GB"/>
        </w:rPr>
        <w:t>. Corporate.greggs.co.uk. https://corporate.greggs.co.uk/about-us/our-strategy</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Greggs. (2023). </w:t>
      </w:r>
      <w:r>
        <w:rPr>
          <w:rFonts w:hint="default" w:ascii="Arial" w:hAnsi="Arial" w:cs="Arial"/>
          <w:i/>
          <w:iCs/>
          <w:lang w:val="en-GB"/>
        </w:rPr>
        <w:t>ANNUAL REPORT AND ACCOUNTS 2022 Strategic Report 2022 highlights 1 At a glance 2 Year in review 4 Directors’ Report</w:t>
      </w:r>
      <w:r>
        <w:rPr>
          <w:rFonts w:hint="default" w:ascii="Arial" w:hAnsi="Arial" w:cs="Arial"/>
          <w:lang w:val="en-GB"/>
        </w:rPr>
        <w:t>. https://a.storyblok.com/f/162306/x/c32d30b30d/greggs-annual-report-2022.pdf</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Hancock, A. (2021, June 4). </w:t>
      </w:r>
      <w:r>
        <w:rPr>
          <w:rFonts w:hint="default" w:ascii="Arial" w:hAnsi="Arial" w:cs="Arial"/>
          <w:i/>
          <w:iCs/>
          <w:lang w:val="en-GB"/>
        </w:rPr>
        <w:t>Pret A Manger vs Greggs: who will win the battle for lunch?</w:t>
      </w:r>
      <w:r>
        <w:rPr>
          <w:rFonts w:hint="default" w:ascii="Arial" w:hAnsi="Arial" w:cs="Arial"/>
          <w:lang w:val="en-GB"/>
        </w:rPr>
        <w:t xml:space="preserve"> Www.ft.com. https://www.ft.com/content/5d81b9b0-32b3-4f8d-a161-cef717137768</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Jokic, S., Pardanjac, M., Eleven, E., &amp; Durin, S. (2012). </w:t>
      </w:r>
      <w:r>
        <w:rPr>
          <w:rFonts w:hint="default" w:ascii="Arial" w:hAnsi="Arial" w:cs="Arial"/>
          <w:i/>
          <w:iCs/>
          <w:lang w:val="en-GB"/>
        </w:rPr>
        <w:t>(PDF) Training and development of employees through e-learning</w:t>
      </w:r>
      <w:r>
        <w:rPr>
          <w:rFonts w:hint="default" w:ascii="Arial" w:hAnsi="Arial" w:cs="Arial"/>
          <w:lang w:val="en-GB"/>
        </w:rPr>
        <w:t>. ResearchGate. https://www.researchgate.net/publication/294637124_Training_and_development_of_employees_through_e-learning</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Meldrum, M., &amp; McDonald, M. (1995). The Ansoff Matrix. </w:t>
      </w:r>
      <w:r>
        <w:rPr>
          <w:rFonts w:hint="default" w:ascii="Arial" w:hAnsi="Arial" w:cs="Arial"/>
          <w:i/>
          <w:iCs/>
          <w:lang w:val="en-GB"/>
        </w:rPr>
        <w:t>Key Marketing Concepts</w:t>
      </w:r>
      <w:r>
        <w:rPr>
          <w:rFonts w:hint="default" w:ascii="Arial" w:hAnsi="Arial" w:cs="Arial"/>
          <w:lang w:val="en-GB"/>
        </w:rPr>
        <w:t xml:space="preserve">, </w:t>
      </w:r>
      <w:r>
        <w:rPr>
          <w:rFonts w:hint="default" w:ascii="Arial" w:hAnsi="Arial" w:cs="Arial"/>
          <w:i/>
          <w:iCs/>
          <w:lang w:val="en-GB"/>
        </w:rPr>
        <w:t>24</w:t>
      </w:r>
      <w:r>
        <w:rPr>
          <w:rFonts w:hint="default" w:ascii="Arial" w:hAnsi="Arial" w:cs="Arial"/>
          <w:lang w:val="en-GB"/>
        </w:rPr>
        <w:t>(1), 121–126. springer. https://doi.org/10.1007/978-1-349-13877-7_24</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ONS. (2022, April 4). </w:t>
      </w:r>
      <w:r>
        <w:rPr>
          <w:rFonts w:hint="default" w:ascii="Arial" w:hAnsi="Arial" w:cs="Arial"/>
          <w:i/>
          <w:iCs/>
          <w:lang w:val="en-GB"/>
        </w:rPr>
        <w:t>Recent challenges faced by food and drink businesses and their impact on prices - Office for National Statistics</w:t>
      </w:r>
      <w:r>
        <w:rPr>
          <w:rFonts w:hint="default" w:ascii="Arial" w:hAnsi="Arial" w:cs="Arial"/>
          <w:lang w:val="en-GB"/>
        </w:rPr>
        <w:t>. Www.ons.gov.uk. https://www.ons.gov.uk/businessindustryandtrade/business/businessservices/articles/recentchallengesfacedbyfoodanddrinkbusinessesandtheirimpactonprices/2022-04-04</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Porter, M. E. (1980). </w:t>
      </w:r>
      <w:r>
        <w:rPr>
          <w:rFonts w:hint="default" w:ascii="Arial" w:hAnsi="Arial" w:cs="Arial"/>
          <w:i/>
          <w:iCs/>
          <w:lang w:val="en-GB"/>
        </w:rPr>
        <w:t>Competitive Strategy: Techniques for Analyzing Industries and Competitors</w:t>
      </w:r>
      <w:r>
        <w:rPr>
          <w:rFonts w:hint="default" w:ascii="Arial" w:hAnsi="Arial" w:cs="Arial"/>
          <w:lang w:val="en-GB"/>
        </w:rPr>
        <w:t>. Ssrn.com. https://papers.ssrn.com/sol3/papers.cfm?abstract_id=1496175</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Rajput, A., &amp; Gahfoor, R. Z. (2020). Satisfaction and revisit intentions at fast food restaurants. </w:t>
      </w:r>
      <w:r>
        <w:rPr>
          <w:rFonts w:hint="default" w:ascii="Arial" w:hAnsi="Arial" w:cs="Arial"/>
          <w:i/>
          <w:iCs/>
          <w:lang w:val="en-GB"/>
        </w:rPr>
        <w:t>Future Business Journal</w:t>
      </w:r>
      <w:r>
        <w:rPr>
          <w:rFonts w:hint="default" w:ascii="Arial" w:hAnsi="Arial" w:cs="Arial"/>
          <w:lang w:val="en-GB"/>
        </w:rPr>
        <w:t xml:space="preserve">, </w:t>
      </w:r>
      <w:r>
        <w:rPr>
          <w:rFonts w:hint="default" w:ascii="Arial" w:hAnsi="Arial" w:cs="Arial"/>
          <w:i/>
          <w:iCs/>
          <w:lang w:val="en-GB"/>
        </w:rPr>
        <w:t>6</w:t>
      </w:r>
      <w:r>
        <w:rPr>
          <w:rFonts w:hint="default" w:ascii="Arial" w:hAnsi="Arial" w:cs="Arial"/>
          <w:lang w:val="en-GB"/>
        </w:rPr>
        <w:t>(1). springeropen. https://doi.org/10.1186/s43093-020-00021-0</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Rogers, C. (2021, October 5). </w:t>
      </w:r>
      <w:r>
        <w:rPr>
          <w:rFonts w:hint="default" w:ascii="Arial" w:hAnsi="Arial" w:cs="Arial"/>
          <w:i/>
          <w:iCs/>
          <w:lang w:val="en-GB"/>
        </w:rPr>
        <w:t>Greggs to increase marketing spend in loyalty push</w:t>
      </w:r>
      <w:r>
        <w:rPr>
          <w:rFonts w:hint="default" w:ascii="Arial" w:hAnsi="Arial" w:cs="Arial"/>
          <w:lang w:val="en-GB"/>
        </w:rPr>
        <w:t>. Marketing Week. https://www.marketingweek.com/greggs-increase-marketing-spend-loyalty/</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Seymour, A. (2022). </w:t>
      </w:r>
      <w:r>
        <w:rPr>
          <w:rFonts w:hint="default" w:ascii="Arial" w:hAnsi="Arial" w:cs="Arial"/>
          <w:i/>
          <w:iCs/>
          <w:lang w:val="en-GB"/>
        </w:rPr>
        <w:t>Greggs plans next generation of refits for 200 stores</w:t>
      </w:r>
      <w:r>
        <w:rPr>
          <w:rFonts w:hint="default" w:ascii="Arial" w:hAnsi="Arial" w:cs="Arial"/>
          <w:lang w:val="en-GB"/>
        </w:rPr>
        <w:t>. Food Service Equipment Journal. https://www.foodserviceequipmentjournal.com/greggs-plans-next-generation-of-refits-for-200-stores/</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Statista. (2020, August 19). </w:t>
      </w:r>
      <w:r>
        <w:rPr>
          <w:rFonts w:hint="default" w:ascii="Arial" w:hAnsi="Arial" w:cs="Arial"/>
          <w:i/>
          <w:iCs/>
          <w:lang w:val="en-GB"/>
        </w:rPr>
        <w:t>Topic: Health and wellness food trends in the UK</w:t>
      </w:r>
      <w:r>
        <w:rPr>
          <w:rFonts w:hint="default" w:ascii="Arial" w:hAnsi="Arial" w:cs="Arial"/>
          <w:lang w:val="en-GB"/>
        </w:rPr>
        <w:t>. Statista. https://www.statista.com/topics/6843/health-and-wellness-food-trends-in-the-uk/</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Statista. (2021). </w:t>
      </w:r>
      <w:r>
        <w:rPr>
          <w:rFonts w:hint="default" w:ascii="Arial" w:hAnsi="Arial" w:cs="Arial"/>
          <w:i/>
          <w:iCs/>
          <w:lang w:val="en-GB"/>
        </w:rPr>
        <w:t>U.K.: Consumers’ confidence in food delivery services 2020</w:t>
      </w:r>
      <w:r>
        <w:rPr>
          <w:rFonts w:hint="default" w:ascii="Arial" w:hAnsi="Arial" w:cs="Arial"/>
          <w:lang w:val="en-GB"/>
        </w:rPr>
        <w:t>. Statista. https://www.statista.com/statistics/1257864/consumers-confidence-in-food-delivery-services-in-the-united-kingdom/#:~:text=In%202020%2C%20approximately%20five%20percent</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Statista. (2023a). </w:t>
      </w:r>
      <w:r>
        <w:rPr>
          <w:rFonts w:hint="default" w:ascii="Arial" w:hAnsi="Arial" w:cs="Arial"/>
          <w:i/>
          <w:iCs/>
          <w:lang w:val="en-GB"/>
        </w:rPr>
        <w:t>Popularity of fast food Great Britain 2022</w:t>
      </w:r>
      <w:r>
        <w:rPr>
          <w:rFonts w:hint="default" w:ascii="Arial" w:hAnsi="Arial" w:cs="Arial"/>
          <w:lang w:val="en-GB"/>
        </w:rPr>
        <w:t>. Statista. https://www.statista.com/statistics/1283427/fast-food-buying-frequency-gb/</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Statista. (2023b, January 30). </w:t>
      </w:r>
      <w:r>
        <w:rPr>
          <w:rFonts w:hint="default" w:ascii="Arial" w:hAnsi="Arial" w:cs="Arial"/>
          <w:i/>
          <w:iCs/>
          <w:lang w:val="en-GB"/>
        </w:rPr>
        <w:t>UK fast food industry and takeaway market size 2021</w:t>
      </w:r>
      <w:r>
        <w:rPr>
          <w:rFonts w:hint="default" w:ascii="Arial" w:hAnsi="Arial" w:cs="Arial"/>
          <w:lang w:val="en-GB"/>
        </w:rPr>
        <w:t>. Statista. https://www.statista.com/statistics/1282676/fast-food-and-takeaway-industry-market-size-uk/</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Stephenson, R. (2018, December 26). </w:t>
      </w:r>
      <w:r>
        <w:rPr>
          <w:rFonts w:hint="default" w:ascii="Arial" w:hAnsi="Arial" w:cs="Arial"/>
          <w:i/>
          <w:iCs/>
          <w:lang w:val="en-GB"/>
        </w:rPr>
        <w:t>How to write a digital marketing plan (SOSTAC Model)</w:t>
      </w:r>
      <w:r>
        <w:rPr>
          <w:rFonts w:hint="default" w:ascii="Arial" w:hAnsi="Arial" w:cs="Arial"/>
          <w:lang w:val="en-GB"/>
        </w:rPr>
        <w:t>. Digitaldimensions. https://digitaldimensions4u.com/how-to-write-a-digital-marketing-plan-sostac-model/</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Sweney, M. (2021, August 3). </w:t>
      </w:r>
      <w:r>
        <w:rPr>
          <w:rFonts w:hint="default" w:ascii="Arial" w:hAnsi="Arial" w:cs="Arial"/>
          <w:i/>
          <w:iCs/>
          <w:lang w:val="en-GB"/>
        </w:rPr>
        <w:t>Greggs bounces back as Just Eat deal delivers sales</w:t>
      </w:r>
      <w:r>
        <w:rPr>
          <w:rFonts w:hint="default" w:ascii="Arial" w:hAnsi="Arial" w:cs="Arial"/>
          <w:lang w:val="en-GB"/>
        </w:rPr>
        <w:t>. The Guardian. https://www.theguardian.com/business/2021/aug/03/greggs-sales-covid-new-jobs</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Tobin, J. (2022). </w:t>
      </w:r>
      <w:r>
        <w:rPr>
          <w:rFonts w:hint="default" w:ascii="Arial" w:hAnsi="Arial" w:cs="Arial"/>
          <w:i/>
          <w:iCs/>
          <w:lang w:val="en-GB"/>
        </w:rPr>
        <w:t>Relationship between health and food production</w:t>
      </w:r>
      <w:r>
        <w:rPr>
          <w:rFonts w:hint="default" w:ascii="Arial" w:hAnsi="Arial" w:cs="Arial"/>
          <w:lang w:val="en-GB"/>
        </w:rPr>
        <w:t>. Uk Parliament. https://lordslibrary.parliament.uk/relationship-between-health-and-food-production/</w:t>
      </w:r>
    </w:p>
    <w:p>
      <w:pPr>
        <w:pStyle w:val="11"/>
        <w:spacing w:before="0" w:beforeAutospacing="0" w:after="0" w:afterAutospacing="0" w:line="480" w:lineRule="auto"/>
        <w:ind w:hanging="720"/>
        <w:jc w:val="both"/>
        <w:rPr>
          <w:rFonts w:hint="default" w:ascii="Arial" w:hAnsi="Arial" w:cs="Arial"/>
          <w:lang w:val="en-GB"/>
        </w:rPr>
      </w:pPr>
      <w:r>
        <w:rPr>
          <w:rFonts w:hint="default" w:ascii="Arial" w:hAnsi="Arial" w:cs="Arial"/>
          <w:lang w:val="en-GB"/>
        </w:rPr>
        <w:t xml:space="preserve">Tuten, T. L., &amp; Solomon, M. R. (2017). Social Media Marketing. In </w:t>
      </w:r>
      <w:r>
        <w:rPr>
          <w:rFonts w:hint="default" w:ascii="Arial" w:hAnsi="Arial" w:cs="Arial"/>
          <w:i/>
          <w:iCs/>
          <w:lang w:val="en-GB"/>
        </w:rPr>
        <w:t>Google Books</w:t>
      </w:r>
      <w:r>
        <w:rPr>
          <w:rFonts w:hint="default" w:ascii="Arial" w:hAnsi="Arial" w:cs="Arial"/>
          <w:lang w:val="en-GB"/>
        </w:rPr>
        <w:t>. SAGE. https://books.google.co.in/books?hl=en&amp;lr=&amp;id=XQg_DwAAQBAJ&amp;oi=fnd&amp;pg=PT15&amp;dq=SMART+objectives+in+marketing&amp;ots=tQg_ER_nrO&amp;sig=8v8jrs_0nLmE8KtjHeEgQ8_fS4Y&amp;redir_esc=y#v=onepage&amp;q=SMART%20objectives%20in%20marketing&amp;f=false</w:t>
      </w: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3"/>
        <w:rPr>
          <w:rFonts w:hint="default" w:ascii="Arial" w:hAnsi="Arial" w:cs="Arial"/>
          <w:lang w:val="en-GB"/>
        </w:rPr>
      </w:pPr>
    </w:p>
    <w:p>
      <w:pPr>
        <w:pStyle w:val="4"/>
        <w:rPr>
          <w:rFonts w:hint="default" w:ascii="Arial" w:hAnsi="Arial" w:cs="Arial"/>
          <w:lang w:val="en-GB"/>
        </w:rPr>
      </w:pPr>
    </w:p>
    <w:p>
      <w:pPr>
        <w:pStyle w:val="3"/>
        <w:rPr>
          <w:rFonts w:hint="default" w:ascii="Arial" w:hAnsi="Arial" w:cs="Arial"/>
          <w:lang w:val="en-GB"/>
        </w:rPr>
      </w:pPr>
    </w:p>
    <w:p>
      <w:pPr>
        <w:pStyle w:val="4"/>
        <w:rPr>
          <w:rFonts w:hint="default" w:ascii="Arial" w:hAnsi="Arial" w:cs="Arial"/>
          <w:lang w:val="en-GB"/>
        </w:rPr>
      </w:pPr>
    </w:p>
    <w:p>
      <w:pPr>
        <w:pStyle w:val="4"/>
        <w:rPr>
          <w:rFonts w:hint="default" w:ascii="Arial" w:hAnsi="Arial" w:cs="Arial"/>
          <w:lang w:val="en-GB"/>
        </w:rPr>
      </w:pPr>
    </w:p>
    <w:p>
      <w:pPr>
        <w:pStyle w:val="4"/>
        <w:rPr>
          <w:rFonts w:hint="default" w:ascii="Arial" w:hAnsi="Arial" w:cs="Arial"/>
          <w:lang w:val="en-GB"/>
        </w:rPr>
      </w:pPr>
    </w:p>
    <w:p>
      <w:pPr>
        <w:pStyle w:val="4"/>
        <w:rPr>
          <w:rFonts w:hint="default" w:ascii="Arial" w:hAnsi="Arial" w:cs="Arial"/>
          <w:lang w:val="en-GB"/>
        </w:rPr>
      </w:pPr>
    </w:p>
    <w:p>
      <w:pPr>
        <w:rPr>
          <w:rFonts w:hint="default" w:ascii="Arial" w:hAnsi="Arial" w:cs="Arial"/>
          <w:lang w:val="en-GB"/>
        </w:rPr>
      </w:pPr>
      <w:r>
        <w:rPr>
          <w:rFonts w:hint="default" w:ascii="Arial" w:hAnsi="Arial" w:cs="Arial"/>
          <w:lang w:val="en-GB"/>
        </w:rPr>
        <w:br w:type="page"/>
      </w:r>
    </w:p>
    <w:p>
      <w:pPr>
        <w:pStyle w:val="2"/>
        <w:bidi w:val="0"/>
        <w:rPr>
          <w:rFonts w:hint="default" w:ascii="Arial" w:hAnsi="Arial" w:cs="Arial"/>
          <w:sz w:val="32"/>
          <w:szCs w:val="32"/>
          <w:lang w:val="en-GB"/>
        </w:rPr>
      </w:pPr>
      <w:bookmarkStart w:id="61" w:name="_Toc16302"/>
      <w:bookmarkStart w:id="62" w:name="_Toc14181"/>
      <w:r>
        <w:rPr>
          <w:rFonts w:hint="default" w:ascii="Arial" w:hAnsi="Arial" w:cs="Arial"/>
          <w:sz w:val="32"/>
          <w:szCs w:val="32"/>
          <w:lang w:val="en-GB"/>
        </w:rPr>
        <w:t>Appendices</w:t>
      </w:r>
      <w:bookmarkEnd w:id="61"/>
      <w:bookmarkEnd w:id="62"/>
    </w:p>
    <w:p>
      <w:pPr>
        <w:pStyle w:val="4"/>
        <w:bidi w:val="0"/>
        <w:rPr>
          <w:rFonts w:hint="default" w:ascii="Arial" w:hAnsi="Arial" w:cs="Arial"/>
          <w:sz w:val="30"/>
          <w:szCs w:val="30"/>
          <w:lang w:val="en-GB"/>
        </w:rPr>
      </w:pPr>
      <w:bookmarkStart w:id="63" w:name="_Toc1995"/>
      <w:bookmarkStart w:id="64" w:name="_Toc19339"/>
      <w:r>
        <w:rPr>
          <w:rFonts w:hint="default" w:ascii="Arial" w:hAnsi="Arial" w:cs="Arial"/>
          <w:sz w:val="30"/>
          <w:szCs w:val="30"/>
          <w:lang w:val="en-GB"/>
        </w:rPr>
        <w:t>Appendix A: SWOT Analysis</w:t>
      </w:r>
      <w:bookmarkEnd w:id="63"/>
      <w:bookmarkEnd w:id="64"/>
    </w:p>
    <w:p>
      <w:pPr>
        <w:pStyle w:val="3"/>
        <w:rPr>
          <w:rFonts w:hint="default" w:ascii="Arial" w:hAnsi="Arial" w:cs="Arial"/>
          <w:lang w:val="en-GB"/>
        </w:rPr>
      </w:pPr>
    </w:p>
    <w:tbl>
      <w:tblPr>
        <w:tblStyle w:val="16"/>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4680"/>
        <w:gridCol w:w="468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468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Strengths</w:t>
            </w:r>
          </w:p>
        </w:tc>
        <w:tc>
          <w:tcPr>
            <w:tcW w:w="468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Weaknesses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4680" w:type="dxa"/>
            <w:shd w:val="clear" w:color="auto" w:fill="auto"/>
            <w:tcMar>
              <w:top w:w="100" w:type="dxa"/>
              <w:left w:w="100" w:type="dxa"/>
              <w:bottom w:w="100" w:type="dxa"/>
              <w:right w:w="100" w:type="dxa"/>
            </w:tcMar>
          </w:tcPr>
          <w:p>
            <w:pPr>
              <w:pStyle w:val="3"/>
              <w:widowControl w:val="0"/>
              <w:numPr>
                <w:ilvl w:val="0"/>
                <w:numId w:val="5"/>
              </w:numPr>
              <w:spacing w:line="240" w:lineRule="auto"/>
              <w:jc w:val="left"/>
              <w:rPr>
                <w:rFonts w:hint="default" w:ascii="Arial" w:hAnsi="Arial" w:cs="Arial"/>
                <w:lang w:val="en-GB"/>
              </w:rPr>
            </w:pPr>
            <w:r>
              <w:rPr>
                <w:rFonts w:hint="default" w:ascii="Arial" w:hAnsi="Arial" w:cs="Arial"/>
                <w:lang w:val="en-GB"/>
              </w:rPr>
              <w:t>Ownership of the supply chain and multiple service channels</w:t>
            </w:r>
          </w:p>
          <w:p>
            <w:pPr>
              <w:pStyle w:val="3"/>
              <w:widowControl w:val="0"/>
              <w:spacing w:line="240" w:lineRule="auto"/>
              <w:ind w:left="720"/>
              <w:jc w:val="left"/>
              <w:rPr>
                <w:rFonts w:hint="default" w:ascii="Arial" w:hAnsi="Arial" w:cs="Arial"/>
                <w:lang w:val="en-GB"/>
              </w:rPr>
            </w:pPr>
          </w:p>
          <w:p>
            <w:pPr>
              <w:pStyle w:val="3"/>
              <w:widowControl w:val="0"/>
              <w:numPr>
                <w:ilvl w:val="0"/>
                <w:numId w:val="5"/>
              </w:numPr>
              <w:spacing w:line="240" w:lineRule="auto"/>
              <w:jc w:val="left"/>
              <w:rPr>
                <w:rFonts w:hint="default" w:ascii="Arial" w:hAnsi="Arial" w:cs="Arial"/>
                <w:lang w:val="en-GB"/>
              </w:rPr>
            </w:pPr>
            <w:r>
              <w:rPr>
                <w:rFonts w:hint="default" w:ascii="Arial" w:hAnsi="Arial" w:cs="Arial"/>
                <w:lang w:val="en-GB"/>
              </w:rPr>
              <w:t>Launch of a new customer relationship management (CRM) app (Greggs, 2023)</w:t>
            </w:r>
          </w:p>
          <w:p>
            <w:pPr>
              <w:pStyle w:val="3"/>
              <w:widowControl w:val="0"/>
              <w:spacing w:line="240" w:lineRule="auto"/>
              <w:ind w:left="720"/>
              <w:jc w:val="left"/>
              <w:rPr>
                <w:rFonts w:hint="default" w:ascii="Arial" w:hAnsi="Arial" w:cs="Arial"/>
                <w:lang w:val="en-GB"/>
              </w:rPr>
            </w:pPr>
          </w:p>
          <w:p>
            <w:pPr>
              <w:pStyle w:val="3"/>
              <w:widowControl w:val="0"/>
              <w:numPr>
                <w:ilvl w:val="0"/>
                <w:numId w:val="5"/>
              </w:numPr>
              <w:spacing w:line="240" w:lineRule="auto"/>
              <w:jc w:val="left"/>
              <w:rPr>
                <w:rFonts w:hint="default" w:ascii="Arial" w:hAnsi="Arial" w:cs="Arial"/>
                <w:lang w:val="en-GB"/>
              </w:rPr>
            </w:pPr>
            <w:r>
              <w:rPr>
                <w:rFonts w:hint="default" w:ascii="Arial" w:hAnsi="Arial" w:cs="Arial"/>
                <w:lang w:val="en-GB"/>
              </w:rPr>
              <w:t>Holds National Equality Standard as a fulfilment of CSR</w:t>
            </w:r>
          </w:p>
          <w:p>
            <w:pPr>
              <w:pStyle w:val="3"/>
              <w:widowControl w:val="0"/>
              <w:spacing w:line="240" w:lineRule="auto"/>
              <w:ind w:left="720"/>
              <w:jc w:val="left"/>
              <w:rPr>
                <w:rFonts w:hint="default" w:ascii="Arial" w:hAnsi="Arial" w:cs="Arial"/>
                <w:lang w:val="en-GB"/>
              </w:rPr>
            </w:pPr>
          </w:p>
          <w:p>
            <w:pPr>
              <w:pStyle w:val="3"/>
              <w:widowControl w:val="0"/>
              <w:numPr>
                <w:ilvl w:val="0"/>
                <w:numId w:val="5"/>
              </w:numPr>
              <w:spacing w:line="240" w:lineRule="auto"/>
              <w:jc w:val="left"/>
              <w:rPr>
                <w:rFonts w:hint="default" w:ascii="Arial" w:hAnsi="Arial" w:cs="Arial"/>
                <w:lang w:val="en-GB"/>
              </w:rPr>
            </w:pPr>
            <w:r>
              <w:rPr>
                <w:rFonts w:hint="default" w:ascii="Arial" w:hAnsi="Arial" w:cs="Arial"/>
                <w:lang w:val="en-GB"/>
              </w:rPr>
              <w:t>500 shops providing evening services (Greggs, 2023)</w:t>
            </w:r>
          </w:p>
          <w:p>
            <w:pPr>
              <w:pStyle w:val="3"/>
              <w:widowControl w:val="0"/>
              <w:spacing w:line="240" w:lineRule="auto"/>
              <w:ind w:left="720"/>
              <w:jc w:val="left"/>
              <w:rPr>
                <w:rFonts w:hint="default" w:ascii="Arial" w:hAnsi="Arial" w:cs="Arial"/>
                <w:lang w:val="en-GB"/>
              </w:rPr>
            </w:pPr>
          </w:p>
          <w:p>
            <w:pPr>
              <w:pStyle w:val="3"/>
              <w:widowControl w:val="0"/>
              <w:numPr>
                <w:ilvl w:val="0"/>
                <w:numId w:val="5"/>
              </w:numPr>
              <w:spacing w:line="240" w:lineRule="auto"/>
              <w:jc w:val="left"/>
              <w:rPr>
                <w:rFonts w:hint="default" w:ascii="Arial" w:hAnsi="Arial" w:cs="Arial"/>
                <w:lang w:val="en-GB"/>
              </w:rPr>
            </w:pPr>
            <w:r>
              <w:rPr>
                <w:rFonts w:hint="default" w:ascii="Arial" w:hAnsi="Arial" w:cs="Arial"/>
                <w:lang w:val="en-GB"/>
              </w:rPr>
              <w:t xml:space="preserve"> Employee benefits and a strong support team </w:t>
            </w:r>
          </w:p>
        </w:tc>
        <w:tc>
          <w:tcPr>
            <w:tcW w:w="4680" w:type="dxa"/>
            <w:shd w:val="clear" w:color="auto" w:fill="auto"/>
            <w:tcMar>
              <w:top w:w="100" w:type="dxa"/>
              <w:left w:w="100" w:type="dxa"/>
              <w:bottom w:w="100" w:type="dxa"/>
              <w:right w:w="100" w:type="dxa"/>
            </w:tcMar>
          </w:tcPr>
          <w:p>
            <w:pPr>
              <w:pStyle w:val="3"/>
              <w:widowControl w:val="0"/>
              <w:numPr>
                <w:ilvl w:val="0"/>
                <w:numId w:val="6"/>
              </w:numPr>
              <w:spacing w:line="240" w:lineRule="auto"/>
              <w:jc w:val="left"/>
              <w:rPr>
                <w:rFonts w:hint="default" w:ascii="Arial" w:hAnsi="Arial" w:cs="Arial"/>
                <w:lang w:val="en-GB"/>
              </w:rPr>
            </w:pPr>
            <w:r>
              <w:rPr>
                <w:rFonts w:hint="default" w:ascii="Arial" w:hAnsi="Arial" w:cs="Arial"/>
                <w:lang w:val="en-GB"/>
              </w:rPr>
              <w:t>Consumer incomes remain under pressure (Greggs, 2023)</w:t>
            </w:r>
          </w:p>
          <w:p>
            <w:pPr>
              <w:pStyle w:val="3"/>
              <w:widowControl w:val="0"/>
              <w:spacing w:line="240" w:lineRule="auto"/>
              <w:ind w:left="720"/>
              <w:jc w:val="left"/>
              <w:rPr>
                <w:rFonts w:hint="default" w:ascii="Arial" w:hAnsi="Arial" w:cs="Arial"/>
                <w:lang w:val="en-GB"/>
              </w:rPr>
            </w:pPr>
          </w:p>
          <w:p>
            <w:pPr>
              <w:pStyle w:val="3"/>
              <w:widowControl w:val="0"/>
              <w:numPr>
                <w:ilvl w:val="0"/>
                <w:numId w:val="6"/>
              </w:numPr>
              <w:spacing w:line="240" w:lineRule="auto"/>
              <w:jc w:val="left"/>
              <w:rPr>
                <w:rFonts w:hint="default" w:ascii="Arial" w:hAnsi="Arial" w:cs="Arial"/>
                <w:lang w:val="en-GB"/>
              </w:rPr>
            </w:pPr>
            <w:r>
              <w:rPr>
                <w:rFonts w:hint="default" w:ascii="Arial" w:hAnsi="Arial" w:cs="Arial"/>
                <w:lang w:val="en-GB"/>
              </w:rPr>
              <w:t xml:space="preserve">Limited vegan and healthier options </w:t>
            </w:r>
          </w:p>
          <w:p>
            <w:pPr>
              <w:pStyle w:val="3"/>
              <w:widowControl w:val="0"/>
              <w:spacing w:line="240" w:lineRule="auto"/>
              <w:ind w:left="720"/>
              <w:jc w:val="left"/>
              <w:rPr>
                <w:rFonts w:hint="default" w:ascii="Arial" w:hAnsi="Arial" w:cs="Arial"/>
                <w:lang w:val="en-GB"/>
              </w:rPr>
            </w:pPr>
          </w:p>
          <w:p>
            <w:pPr>
              <w:pStyle w:val="3"/>
              <w:widowControl w:val="0"/>
              <w:numPr>
                <w:ilvl w:val="0"/>
                <w:numId w:val="6"/>
              </w:numPr>
              <w:spacing w:line="240" w:lineRule="auto"/>
              <w:jc w:val="left"/>
              <w:rPr>
                <w:rFonts w:hint="default" w:ascii="Arial" w:hAnsi="Arial" w:cs="Arial"/>
                <w:lang w:val="en-GB"/>
              </w:rPr>
            </w:pPr>
            <w:r>
              <w:rPr>
                <w:rFonts w:hint="default" w:ascii="Arial" w:hAnsi="Arial" w:cs="Arial"/>
                <w:lang w:val="en-GB"/>
              </w:rPr>
              <w:t xml:space="preserve">Limited infrastructural developments including technological advancements </w:t>
            </w:r>
          </w:p>
          <w:p>
            <w:pPr>
              <w:pStyle w:val="3"/>
              <w:widowControl w:val="0"/>
              <w:spacing w:line="240" w:lineRule="auto"/>
              <w:ind w:left="720"/>
              <w:jc w:val="left"/>
              <w:rPr>
                <w:rFonts w:hint="default" w:ascii="Arial" w:hAnsi="Arial" w:cs="Arial"/>
                <w:lang w:val="en-GB"/>
              </w:rPr>
            </w:pPr>
          </w:p>
          <w:p>
            <w:pPr>
              <w:pStyle w:val="3"/>
              <w:widowControl w:val="0"/>
              <w:numPr>
                <w:ilvl w:val="0"/>
                <w:numId w:val="6"/>
              </w:numPr>
              <w:spacing w:line="240" w:lineRule="auto"/>
              <w:jc w:val="left"/>
              <w:rPr>
                <w:rFonts w:hint="default" w:ascii="Arial" w:hAnsi="Arial" w:cs="Arial"/>
                <w:lang w:val="en-GB"/>
              </w:rPr>
            </w:pPr>
            <w:r>
              <w:rPr>
                <w:rFonts w:hint="default" w:ascii="Arial" w:hAnsi="Arial" w:cs="Arial"/>
                <w:lang w:val="en-GB"/>
              </w:rPr>
              <w:t>Limited menu for evening sales (Greggs, 2023)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468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Opportunities</w:t>
            </w:r>
          </w:p>
        </w:tc>
        <w:tc>
          <w:tcPr>
            <w:tcW w:w="468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Threats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4680" w:type="dxa"/>
            <w:shd w:val="clear" w:color="auto" w:fill="auto"/>
            <w:tcMar>
              <w:top w:w="100" w:type="dxa"/>
              <w:left w:w="100" w:type="dxa"/>
              <w:bottom w:w="100" w:type="dxa"/>
              <w:right w:w="100" w:type="dxa"/>
            </w:tcMar>
          </w:tcPr>
          <w:p>
            <w:pPr>
              <w:pStyle w:val="3"/>
              <w:widowControl w:val="0"/>
              <w:numPr>
                <w:ilvl w:val="0"/>
                <w:numId w:val="7"/>
              </w:numPr>
              <w:spacing w:line="240" w:lineRule="auto"/>
              <w:jc w:val="left"/>
              <w:rPr>
                <w:rFonts w:hint="default" w:ascii="Arial" w:hAnsi="Arial" w:cs="Arial"/>
                <w:lang w:val="en-GB"/>
              </w:rPr>
            </w:pPr>
            <w:r>
              <w:rPr>
                <w:rFonts w:hint="default" w:ascii="Arial" w:hAnsi="Arial" w:cs="Arial"/>
                <w:lang w:val="en-GB"/>
              </w:rPr>
              <w:t xml:space="preserve">To streamline and improvise app-based orders </w:t>
            </w:r>
          </w:p>
          <w:p>
            <w:pPr>
              <w:pStyle w:val="3"/>
              <w:widowControl w:val="0"/>
              <w:spacing w:line="240" w:lineRule="auto"/>
              <w:ind w:left="720"/>
              <w:jc w:val="left"/>
              <w:rPr>
                <w:rFonts w:hint="default" w:ascii="Arial" w:hAnsi="Arial" w:cs="Arial"/>
                <w:lang w:val="en-GB"/>
              </w:rPr>
            </w:pPr>
          </w:p>
          <w:p>
            <w:pPr>
              <w:pStyle w:val="3"/>
              <w:widowControl w:val="0"/>
              <w:numPr>
                <w:ilvl w:val="0"/>
                <w:numId w:val="7"/>
              </w:numPr>
              <w:spacing w:line="240" w:lineRule="auto"/>
              <w:jc w:val="left"/>
              <w:rPr>
                <w:rFonts w:hint="default" w:ascii="Arial" w:hAnsi="Arial" w:cs="Arial"/>
                <w:lang w:val="en-GB"/>
              </w:rPr>
            </w:pPr>
            <w:r>
              <w:rPr>
                <w:rFonts w:hint="default" w:ascii="Arial" w:hAnsi="Arial" w:cs="Arial"/>
                <w:lang w:val="en-GB"/>
              </w:rPr>
              <w:t>Partnership with Just Eat  (Sweney, 2021)</w:t>
            </w:r>
          </w:p>
          <w:p>
            <w:pPr>
              <w:pStyle w:val="3"/>
              <w:widowControl w:val="0"/>
              <w:spacing w:line="240" w:lineRule="auto"/>
              <w:ind w:left="720"/>
              <w:jc w:val="left"/>
              <w:rPr>
                <w:rFonts w:hint="default" w:ascii="Arial" w:hAnsi="Arial" w:cs="Arial"/>
                <w:lang w:val="en-GB"/>
              </w:rPr>
            </w:pPr>
          </w:p>
          <w:p>
            <w:pPr>
              <w:pStyle w:val="3"/>
              <w:widowControl w:val="0"/>
              <w:numPr>
                <w:ilvl w:val="0"/>
                <w:numId w:val="7"/>
              </w:numPr>
              <w:spacing w:line="240" w:lineRule="auto"/>
              <w:jc w:val="left"/>
              <w:rPr>
                <w:rFonts w:hint="default" w:ascii="Arial" w:hAnsi="Arial" w:cs="Arial"/>
                <w:lang w:val="en-GB"/>
              </w:rPr>
            </w:pPr>
            <w:r>
              <w:rPr>
                <w:rFonts w:hint="default" w:ascii="Arial" w:hAnsi="Arial" w:cs="Arial"/>
                <w:lang w:val="en-GB"/>
              </w:rPr>
              <w:t>Customization options</w:t>
            </w:r>
          </w:p>
          <w:p>
            <w:pPr>
              <w:pStyle w:val="3"/>
              <w:widowControl w:val="0"/>
              <w:numPr>
                <w:ilvl w:val="0"/>
                <w:numId w:val="7"/>
              </w:numPr>
              <w:spacing w:line="240" w:lineRule="auto"/>
              <w:jc w:val="left"/>
              <w:rPr>
                <w:rFonts w:hint="default" w:ascii="Arial" w:hAnsi="Arial" w:cs="Arial"/>
                <w:lang w:val="en-GB"/>
              </w:rPr>
            </w:pPr>
            <w:r>
              <w:rPr>
                <w:rFonts w:hint="default" w:ascii="Arial" w:hAnsi="Arial" w:cs="Arial"/>
                <w:lang w:val="en-GB"/>
              </w:rPr>
              <w:t>Hot food options across all mealtime (Greggs, 2023)</w:t>
            </w:r>
          </w:p>
        </w:tc>
        <w:tc>
          <w:tcPr>
            <w:tcW w:w="4680" w:type="dxa"/>
            <w:shd w:val="clear" w:color="auto" w:fill="auto"/>
            <w:tcMar>
              <w:top w:w="100" w:type="dxa"/>
              <w:left w:w="100" w:type="dxa"/>
              <w:bottom w:w="100" w:type="dxa"/>
              <w:right w:w="100" w:type="dxa"/>
            </w:tcMar>
          </w:tcPr>
          <w:p>
            <w:pPr>
              <w:pStyle w:val="3"/>
              <w:widowControl w:val="0"/>
              <w:numPr>
                <w:ilvl w:val="0"/>
                <w:numId w:val="8"/>
              </w:numPr>
              <w:spacing w:line="240" w:lineRule="auto"/>
              <w:jc w:val="left"/>
              <w:rPr>
                <w:rFonts w:hint="default" w:ascii="Arial" w:hAnsi="Arial" w:cs="Arial"/>
                <w:lang w:val="en-GB"/>
              </w:rPr>
            </w:pPr>
            <w:r>
              <w:rPr>
                <w:rFonts w:hint="default" w:ascii="Arial" w:hAnsi="Arial" w:cs="Arial"/>
                <w:lang w:val="en-GB"/>
              </w:rPr>
              <w:t>Substitution from healthier food options (Bjarnadottir, 2019)</w:t>
            </w:r>
          </w:p>
          <w:p>
            <w:pPr>
              <w:pStyle w:val="3"/>
              <w:widowControl w:val="0"/>
              <w:spacing w:line="240" w:lineRule="auto"/>
              <w:ind w:left="720"/>
              <w:jc w:val="left"/>
              <w:rPr>
                <w:rFonts w:hint="default" w:ascii="Arial" w:hAnsi="Arial" w:cs="Arial"/>
                <w:lang w:val="en-GB"/>
              </w:rPr>
            </w:pPr>
          </w:p>
          <w:p>
            <w:pPr>
              <w:pStyle w:val="3"/>
              <w:widowControl w:val="0"/>
              <w:numPr>
                <w:ilvl w:val="0"/>
                <w:numId w:val="8"/>
              </w:numPr>
              <w:spacing w:line="240" w:lineRule="auto"/>
              <w:jc w:val="left"/>
              <w:rPr>
                <w:rFonts w:hint="default" w:ascii="Arial" w:hAnsi="Arial" w:cs="Arial"/>
                <w:lang w:val="en-GB"/>
              </w:rPr>
            </w:pPr>
            <w:r>
              <w:rPr>
                <w:rFonts w:hint="default" w:ascii="Arial" w:hAnsi="Arial" w:cs="Arial"/>
                <w:lang w:val="en-GB"/>
              </w:rPr>
              <w:t>Competition and rivalry from other fast food chains such as McDonald’s (Hancock, 2021)</w:t>
            </w:r>
          </w:p>
          <w:p>
            <w:pPr>
              <w:pStyle w:val="3"/>
              <w:widowControl w:val="0"/>
              <w:spacing w:line="240" w:lineRule="auto"/>
              <w:ind w:left="720"/>
              <w:jc w:val="left"/>
              <w:rPr>
                <w:rFonts w:hint="default" w:ascii="Arial" w:hAnsi="Arial" w:cs="Arial"/>
                <w:lang w:val="en-GB"/>
              </w:rPr>
            </w:pPr>
          </w:p>
          <w:p>
            <w:pPr>
              <w:pStyle w:val="3"/>
              <w:widowControl w:val="0"/>
              <w:numPr>
                <w:ilvl w:val="0"/>
                <w:numId w:val="8"/>
              </w:numPr>
              <w:spacing w:line="240" w:lineRule="auto"/>
              <w:jc w:val="left"/>
              <w:rPr>
                <w:rFonts w:hint="default" w:ascii="Arial" w:hAnsi="Arial" w:cs="Arial"/>
                <w:lang w:val="en-GB"/>
              </w:rPr>
            </w:pPr>
            <w:r>
              <w:rPr>
                <w:rFonts w:hint="default" w:ascii="Arial" w:hAnsi="Arial" w:cs="Arial"/>
                <w:lang w:val="en-GB"/>
              </w:rPr>
              <w:t>Government regulations on restrictions on the promotion of less healthy food (GOV.UK, 2021)</w:t>
            </w:r>
          </w:p>
          <w:p>
            <w:pPr>
              <w:pStyle w:val="3"/>
              <w:widowControl w:val="0"/>
              <w:spacing w:line="240" w:lineRule="auto"/>
              <w:ind w:left="720"/>
              <w:jc w:val="left"/>
              <w:rPr>
                <w:rFonts w:hint="default" w:ascii="Arial" w:hAnsi="Arial" w:cs="Arial"/>
                <w:lang w:val="en-GB"/>
              </w:rPr>
            </w:pPr>
          </w:p>
          <w:p>
            <w:pPr>
              <w:pStyle w:val="3"/>
              <w:widowControl w:val="0"/>
              <w:numPr>
                <w:ilvl w:val="0"/>
                <w:numId w:val="8"/>
              </w:numPr>
              <w:spacing w:line="240" w:lineRule="auto"/>
              <w:jc w:val="left"/>
              <w:rPr>
                <w:rFonts w:hint="default" w:ascii="Arial" w:hAnsi="Arial" w:cs="Arial"/>
                <w:lang w:val="en-GB"/>
              </w:rPr>
            </w:pPr>
            <w:r>
              <w:rPr>
                <w:rFonts w:hint="default" w:ascii="Arial" w:hAnsi="Arial" w:cs="Arial"/>
                <w:lang w:val="en-GB"/>
              </w:rPr>
              <w:t>Increased energy prices (Aviko, 2022)</w:t>
            </w:r>
          </w:p>
          <w:p>
            <w:pPr>
              <w:pStyle w:val="3"/>
              <w:widowControl w:val="0"/>
              <w:spacing w:line="240" w:lineRule="auto"/>
              <w:ind w:left="720"/>
              <w:jc w:val="left"/>
              <w:rPr>
                <w:rFonts w:hint="default" w:ascii="Arial" w:hAnsi="Arial" w:cs="Arial"/>
                <w:lang w:val="en-GB"/>
              </w:rPr>
            </w:pPr>
          </w:p>
        </w:tc>
      </w:tr>
    </w:tbl>
    <w:p>
      <w:pPr>
        <w:pStyle w:val="5"/>
        <w:rPr>
          <w:rFonts w:hint="default" w:ascii="Arial" w:hAnsi="Arial" w:cs="Arial"/>
          <w:lang w:val="en-GB"/>
        </w:rPr>
      </w:pPr>
    </w:p>
    <w:p>
      <w:pPr>
        <w:rPr>
          <w:rFonts w:hint="default" w:ascii="Arial" w:hAnsi="Arial" w:cs="Arial"/>
          <w:color w:val="434343"/>
          <w:sz w:val="28"/>
          <w:szCs w:val="28"/>
          <w:lang w:val="en-GB"/>
        </w:rPr>
      </w:pPr>
      <w:r>
        <w:rPr>
          <w:rFonts w:hint="default" w:ascii="Arial" w:hAnsi="Arial" w:cs="Arial"/>
          <w:lang w:val="en-GB"/>
        </w:rPr>
        <w:br w:type="page"/>
      </w:r>
    </w:p>
    <w:p>
      <w:pPr>
        <w:pStyle w:val="4"/>
        <w:bidi w:val="0"/>
        <w:rPr>
          <w:rFonts w:hint="default" w:ascii="Arial" w:hAnsi="Arial" w:cs="Arial"/>
          <w:sz w:val="30"/>
          <w:szCs w:val="30"/>
          <w:lang w:val="en-GB"/>
        </w:rPr>
      </w:pPr>
      <w:bookmarkStart w:id="65" w:name="_Toc28810"/>
      <w:bookmarkStart w:id="66" w:name="_Toc11521"/>
      <w:r>
        <w:rPr>
          <w:rFonts w:hint="default" w:ascii="Arial" w:hAnsi="Arial" w:cs="Arial"/>
          <w:sz w:val="30"/>
          <w:szCs w:val="30"/>
          <w:lang w:val="en-GB"/>
        </w:rPr>
        <w:t>Appendix B: Porter’s Five Force Competition Analysis</w:t>
      </w:r>
      <w:bookmarkEnd w:id="65"/>
      <w:bookmarkEnd w:id="66"/>
    </w:p>
    <w:p>
      <w:pPr>
        <w:pStyle w:val="3"/>
        <w:rPr>
          <w:rFonts w:hint="default" w:ascii="Arial" w:hAnsi="Arial" w:cs="Arial"/>
          <w:lang w:val="en-GB"/>
        </w:rPr>
      </w:pPr>
      <w:r>
        <w:rPr>
          <w:rFonts w:hint="default" w:ascii="Arial" w:hAnsi="Arial" w:cs="Arial"/>
          <w:lang w:val="en-GB"/>
        </w:rPr>
        <w:t xml:space="preserve">Porter's five force analysis gives an assessment of the company's present state as well as a study of its potential future condition (Porter, 1980). </w:t>
      </w:r>
    </w:p>
    <w:tbl>
      <w:tblPr>
        <w:tblStyle w:val="17"/>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3495"/>
        <w:gridCol w:w="586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3495"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Threats</w:t>
            </w:r>
          </w:p>
        </w:tc>
        <w:tc>
          <w:tcPr>
            <w:tcW w:w="5865"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Description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3495"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 xml:space="preserve">The threat of New Entrants </w:t>
            </w:r>
          </w:p>
        </w:tc>
        <w:tc>
          <w:tcPr>
            <w:tcW w:w="5865"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 xml:space="preserve">The UK market supports the entrance of new players in the fast food market. Moreover, new companies offer smart and healthier options to buyers at an affordable rate (Statista, 2023). Therefore, the threat for Greggs is high.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3495"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 xml:space="preserve">Bargaining Power of Suppliers </w:t>
            </w:r>
          </w:p>
        </w:tc>
        <w:tc>
          <w:tcPr>
            <w:tcW w:w="5865"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 xml:space="preserve">Greggs derives very high-quality raw materials from different suppliers. Besides, it has full ownership of the supply chain (Greggs, 2023). This makes the bargaining power of the suppliers low.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3495"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 xml:space="preserve">Bargaining Power of Customers </w:t>
            </w:r>
          </w:p>
        </w:tc>
        <w:tc>
          <w:tcPr>
            <w:tcW w:w="5865"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The bargaining power of customers for Greggs remains high as there are multiple options for them to choose from (Rajput &amp; Gahfoor, 2020). Besides, the emergence of new affordable players offers them high power to bargain.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3495"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 xml:space="preserve">The threat of substitution </w:t>
            </w:r>
          </w:p>
        </w:tc>
        <w:tc>
          <w:tcPr>
            <w:tcW w:w="5865"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The threat of substitution remains high as customers grow conscious of climate change and develop new food habits looking for healthier alternatives (Statista, 2020); (Tobin, 2022).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3495"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 xml:space="preserve">Competitive Rivalry </w:t>
            </w:r>
          </w:p>
        </w:tc>
        <w:tc>
          <w:tcPr>
            <w:tcW w:w="5865"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vertAlign w:val="superscript"/>
                <w:lang w:val="en-GB"/>
              </w:rPr>
            </w:pPr>
            <w:r>
              <w:rPr>
                <w:rFonts w:hint="default" w:ascii="Arial" w:hAnsi="Arial" w:cs="Arial"/>
                <w:lang w:val="en-GB"/>
              </w:rPr>
              <w:t xml:space="preserve">There is a lot of competition in the UK fast food industry with several high-profile chains like McDonald’s, Burger King, KFC, Warburton, etc. (Butler, 2017). Moreover, due to high competition, the profitability ratio is also saturated in the industry (ONS, 2022). </w:t>
            </w:r>
          </w:p>
        </w:tc>
      </w:tr>
    </w:tbl>
    <w:p>
      <w:pPr>
        <w:pStyle w:val="3"/>
        <w:rPr>
          <w:rFonts w:hint="default" w:ascii="Arial" w:hAnsi="Arial" w:cs="Arial"/>
          <w:lang w:val="en-GB"/>
        </w:rPr>
      </w:pPr>
    </w:p>
    <w:p>
      <w:pPr>
        <w:rPr>
          <w:rFonts w:hint="default" w:ascii="Arial" w:hAnsi="Arial" w:cs="Arial"/>
          <w:lang w:val="en-GB"/>
        </w:rPr>
      </w:pPr>
      <w:r>
        <w:rPr>
          <w:rFonts w:hint="default" w:ascii="Arial" w:hAnsi="Arial" w:cs="Arial"/>
          <w:lang w:val="en-GB"/>
        </w:rPr>
        <w:br w:type="page"/>
      </w:r>
    </w:p>
    <w:p>
      <w:pPr>
        <w:pStyle w:val="4"/>
        <w:bidi w:val="0"/>
        <w:rPr>
          <w:rFonts w:hint="default" w:ascii="Arial" w:hAnsi="Arial" w:cs="Arial"/>
          <w:sz w:val="30"/>
          <w:szCs w:val="30"/>
          <w:lang w:val="en-GB"/>
        </w:rPr>
      </w:pPr>
      <w:bookmarkStart w:id="67" w:name="_Toc26555"/>
      <w:bookmarkStart w:id="68" w:name="_Toc16856"/>
      <w:r>
        <w:rPr>
          <w:rFonts w:hint="default" w:ascii="Arial" w:hAnsi="Arial" w:cs="Arial"/>
          <w:sz w:val="30"/>
          <w:szCs w:val="30"/>
          <w:lang w:val="en-GB"/>
        </w:rPr>
        <w:t>Appendix C: Customer Analysis</w:t>
      </w:r>
      <w:bookmarkEnd w:id="67"/>
      <w:bookmarkEnd w:id="68"/>
    </w:p>
    <w:tbl>
      <w:tblPr>
        <w:tblStyle w:val="18"/>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2670"/>
        <w:gridCol w:w="669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670" w:type="dxa"/>
            <w:shd w:val="clear" w:color="auto" w:fill="auto"/>
            <w:tcMar>
              <w:top w:w="100" w:type="dxa"/>
              <w:left w:w="100" w:type="dxa"/>
              <w:bottom w:w="100" w:type="dxa"/>
              <w:right w:w="100" w:type="dxa"/>
            </w:tcMar>
          </w:tcPr>
          <w:p>
            <w:pPr>
              <w:pStyle w:val="3"/>
              <w:rPr>
                <w:rFonts w:hint="default" w:ascii="Arial" w:hAnsi="Arial" w:cs="Arial"/>
                <w:b/>
                <w:lang w:val="en-GB"/>
              </w:rPr>
            </w:pPr>
            <w:r>
              <w:rPr>
                <w:rFonts w:hint="default" w:ascii="Arial" w:hAnsi="Arial" w:cs="Arial"/>
                <w:b/>
                <w:lang w:val="en-GB"/>
              </w:rPr>
              <w:t>Customer Analysis</w:t>
            </w:r>
          </w:p>
        </w:tc>
        <w:tc>
          <w:tcPr>
            <w:tcW w:w="6690" w:type="dxa"/>
            <w:shd w:val="clear" w:color="auto" w:fill="auto"/>
            <w:tcMar>
              <w:top w:w="100" w:type="dxa"/>
              <w:left w:w="100" w:type="dxa"/>
              <w:bottom w:w="100" w:type="dxa"/>
              <w:right w:w="100" w:type="dxa"/>
            </w:tcMar>
          </w:tcPr>
          <w:p>
            <w:pPr>
              <w:pStyle w:val="3"/>
              <w:rPr>
                <w:rFonts w:hint="default" w:ascii="Arial" w:hAnsi="Arial" w:cs="Arial"/>
                <w:b/>
                <w:lang w:val="en-GB"/>
              </w:rPr>
            </w:pPr>
            <w:r>
              <w:rPr>
                <w:rFonts w:hint="default" w:ascii="Arial" w:hAnsi="Arial" w:cs="Arial"/>
                <w:b/>
                <w:lang w:val="en-GB"/>
              </w:rPr>
              <w:t>Pattern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670" w:type="dxa"/>
            <w:shd w:val="clear" w:color="auto" w:fill="auto"/>
            <w:tcMar>
              <w:top w:w="100" w:type="dxa"/>
              <w:left w:w="100" w:type="dxa"/>
              <w:bottom w:w="100" w:type="dxa"/>
              <w:right w:w="100" w:type="dxa"/>
            </w:tcMar>
          </w:tcPr>
          <w:p>
            <w:pPr>
              <w:pStyle w:val="3"/>
              <w:rPr>
                <w:rFonts w:hint="default" w:ascii="Arial" w:hAnsi="Arial" w:cs="Arial"/>
                <w:lang w:val="en-GB"/>
              </w:rPr>
            </w:pPr>
            <w:r>
              <w:rPr>
                <w:rFonts w:hint="default" w:ascii="Arial" w:hAnsi="Arial" w:cs="Arial"/>
                <w:b/>
                <w:lang w:val="en-GB"/>
              </w:rPr>
              <w:t>Consumption Pattern</w:t>
            </w:r>
          </w:p>
        </w:tc>
        <w:tc>
          <w:tcPr>
            <w:tcW w:w="6690" w:type="dxa"/>
            <w:shd w:val="clear" w:color="auto" w:fill="auto"/>
            <w:tcMar>
              <w:top w:w="100" w:type="dxa"/>
              <w:left w:w="100" w:type="dxa"/>
              <w:bottom w:w="100" w:type="dxa"/>
              <w:right w:w="100" w:type="dxa"/>
            </w:tcMar>
          </w:tcPr>
          <w:p>
            <w:pPr>
              <w:pStyle w:val="3"/>
              <w:rPr>
                <w:rFonts w:hint="default" w:ascii="Arial" w:hAnsi="Arial" w:cs="Arial"/>
                <w:lang w:val="en-GB"/>
              </w:rPr>
            </w:pPr>
            <w:r>
              <w:rPr>
                <w:rFonts w:hint="default" w:ascii="Arial" w:hAnsi="Arial" w:cs="Arial"/>
                <w:lang w:val="en-GB"/>
              </w:rPr>
              <w:t xml:space="preserve">According to Just Eat, fast food is the third most prevalent meal option in the UK.  Burgers are the most famous fast-food product, with a rating of 60.38 on a scale of 100. Vegan cuisine is becoming more popular. A study found that vegan takeout orders increased by 163% between 2020 and 2021 (Aviko, 2022).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670" w:type="dxa"/>
            <w:shd w:val="clear" w:color="auto" w:fill="auto"/>
            <w:tcMar>
              <w:top w:w="100" w:type="dxa"/>
              <w:left w:w="100" w:type="dxa"/>
              <w:bottom w:w="100" w:type="dxa"/>
              <w:right w:w="100" w:type="dxa"/>
            </w:tcMar>
          </w:tcPr>
          <w:p>
            <w:pPr>
              <w:pStyle w:val="3"/>
              <w:jc w:val="left"/>
              <w:rPr>
                <w:rFonts w:hint="default" w:ascii="Arial" w:hAnsi="Arial" w:cs="Arial"/>
                <w:lang w:val="en-GB"/>
              </w:rPr>
            </w:pPr>
            <w:r>
              <w:rPr>
                <w:rFonts w:hint="default" w:ascii="Arial" w:hAnsi="Arial" w:cs="Arial"/>
                <w:b/>
                <w:lang w:val="en-GB"/>
              </w:rPr>
              <w:t>Consumer buying Pattern</w:t>
            </w:r>
          </w:p>
        </w:tc>
        <w:tc>
          <w:tcPr>
            <w:tcW w:w="6690" w:type="dxa"/>
            <w:shd w:val="clear" w:color="auto" w:fill="auto"/>
            <w:tcMar>
              <w:top w:w="100" w:type="dxa"/>
              <w:left w:w="100" w:type="dxa"/>
              <w:bottom w:w="100" w:type="dxa"/>
              <w:right w:w="100" w:type="dxa"/>
            </w:tcMar>
          </w:tcPr>
          <w:p>
            <w:pPr>
              <w:pStyle w:val="3"/>
              <w:jc w:val="left"/>
              <w:rPr>
                <w:rFonts w:hint="default" w:ascii="Arial" w:hAnsi="Arial" w:cs="Arial"/>
                <w:lang w:val="en-GB"/>
              </w:rPr>
            </w:pPr>
            <w:r>
              <w:rPr>
                <w:rFonts w:hint="default" w:ascii="Arial" w:hAnsi="Arial" w:cs="Arial"/>
                <w:lang w:val="en-GB"/>
              </w:rPr>
              <w:drawing>
                <wp:inline distT="114300" distB="114300" distL="114300" distR="114300">
                  <wp:extent cx="2838450" cy="1701800"/>
                  <wp:effectExtent l="0" t="0" r="11430" b="508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26"/>
                          <a:srcRect/>
                          <a:stretch>
                            <a:fillRect/>
                          </a:stretch>
                        </pic:blipFill>
                        <pic:spPr>
                          <a:xfrm>
                            <a:off x="0" y="0"/>
                            <a:ext cx="2838450" cy="1701800"/>
                          </a:xfrm>
                          <a:prstGeom prst="rect">
                            <a:avLst/>
                          </a:prstGeom>
                        </pic:spPr>
                      </pic:pic>
                    </a:graphicData>
                  </a:graphic>
                </wp:inline>
              </w:drawing>
            </w:r>
          </w:p>
          <w:p>
            <w:pPr>
              <w:pStyle w:val="3"/>
              <w:jc w:val="left"/>
              <w:rPr>
                <w:rFonts w:hint="default" w:ascii="Arial" w:hAnsi="Arial" w:cs="Arial"/>
                <w:lang w:val="en-GB"/>
              </w:rPr>
            </w:pPr>
            <w:r>
              <w:rPr>
                <w:rFonts w:hint="default" w:ascii="Arial" w:hAnsi="Arial" w:cs="Arial"/>
                <w:lang w:val="en-GB"/>
              </w:rPr>
              <w:t>Fast food buying frequency in Great Britain from July 2019 to January 2023 (Statista, 2023a)</w:t>
            </w:r>
          </w:p>
          <w:p>
            <w:pPr>
              <w:pStyle w:val="3"/>
              <w:jc w:val="left"/>
              <w:rPr>
                <w:rFonts w:hint="default" w:ascii="Arial" w:hAnsi="Arial" w:cs="Arial"/>
                <w:lang w:val="en-GB"/>
              </w:rPr>
            </w:pPr>
          </w:p>
          <w:p>
            <w:pPr>
              <w:pStyle w:val="3"/>
              <w:jc w:val="left"/>
              <w:rPr>
                <w:rFonts w:hint="default" w:ascii="Arial" w:hAnsi="Arial" w:cs="Arial"/>
                <w:lang w:val="en-GB"/>
              </w:rPr>
            </w:pPr>
            <w:r>
              <w:rPr>
                <w:rFonts w:hint="default" w:ascii="Arial" w:hAnsi="Arial" w:cs="Arial"/>
                <w:lang w:val="en-GB"/>
              </w:rPr>
              <w:t>From 2019 through 2023, British customers were polled on the frequency that they purchased meals and beverages at fast food restaurants. In January 2023, over half of those polled said they never purchased food or drinks from fast food restaurants. Meanwhile, 13% of respondents said they did it once a week (Statista, 2023a).</w:t>
            </w:r>
          </w:p>
          <w:p>
            <w:pPr>
              <w:pStyle w:val="3"/>
              <w:widowControl w:val="0"/>
              <w:spacing w:line="240" w:lineRule="auto"/>
              <w:jc w:val="left"/>
              <w:rPr>
                <w:rFonts w:hint="default" w:ascii="Arial" w:hAnsi="Arial" w:cs="Arial"/>
                <w:lang w:val="en-GB"/>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2670" w:type="dxa"/>
            <w:shd w:val="clear" w:color="auto" w:fill="auto"/>
            <w:tcMar>
              <w:top w:w="100" w:type="dxa"/>
              <w:left w:w="100" w:type="dxa"/>
              <w:bottom w:w="100" w:type="dxa"/>
              <w:right w:w="100" w:type="dxa"/>
            </w:tcMar>
          </w:tcPr>
          <w:p>
            <w:pPr>
              <w:pStyle w:val="3"/>
              <w:rPr>
                <w:rFonts w:hint="default" w:ascii="Arial" w:hAnsi="Arial" w:cs="Arial"/>
                <w:lang w:val="en-GB"/>
              </w:rPr>
            </w:pPr>
            <w:r>
              <w:rPr>
                <w:rFonts w:hint="default" w:ascii="Arial" w:hAnsi="Arial" w:cs="Arial"/>
                <w:b/>
                <w:lang w:val="en-GB"/>
              </w:rPr>
              <w:t>Consumer Loyalty</w:t>
            </w:r>
          </w:p>
        </w:tc>
        <w:tc>
          <w:tcPr>
            <w:tcW w:w="6690" w:type="dxa"/>
            <w:shd w:val="clear" w:color="auto" w:fill="auto"/>
            <w:tcMar>
              <w:top w:w="100" w:type="dxa"/>
              <w:left w:w="100" w:type="dxa"/>
              <w:bottom w:w="100" w:type="dxa"/>
              <w:right w:w="100" w:type="dxa"/>
            </w:tcMar>
          </w:tcPr>
          <w:p>
            <w:pPr>
              <w:pStyle w:val="3"/>
              <w:rPr>
                <w:rFonts w:hint="default" w:ascii="Arial" w:hAnsi="Arial" w:cs="Arial"/>
                <w:lang w:val="en-GB"/>
              </w:rPr>
            </w:pPr>
            <w:r>
              <w:rPr>
                <w:rFonts w:hint="default" w:ascii="Arial" w:hAnsi="Arial" w:cs="Arial"/>
                <w:lang w:val="en-GB"/>
              </w:rPr>
              <w:t>In 2020, roughly 5% of people in the UK claimed in a study that they had high confidence in takeaways to guarantee the safety of the food they consume. Furthermore, almost 46% said they are fairly confident in UK takeaways (Statista, 2021).  Greggs used the CRM approach to give consumers more incentive to return, as it seeks to expand its subscriber base beyond the existing 400,000 members. Despite personnel and supply chain disruptions, revenues increased by 3.5% in the third quarter in comparison to the previous period last 2019. Greggs' growth was especially robust in August when it benefitted from a 'staycation' impact, and it continued into the month of September, with a two-year identical increase of 3% in all four weeks (Rogers, 2021).</w:t>
            </w:r>
          </w:p>
        </w:tc>
      </w:tr>
    </w:tbl>
    <w:p>
      <w:pPr>
        <w:pStyle w:val="3"/>
        <w:rPr>
          <w:rFonts w:hint="default" w:ascii="Arial" w:hAnsi="Arial" w:cs="Arial"/>
          <w:lang w:val="en-GB"/>
        </w:rPr>
      </w:pPr>
    </w:p>
    <w:p>
      <w:pPr>
        <w:rPr>
          <w:rFonts w:hint="default" w:ascii="Arial" w:hAnsi="Arial" w:cs="Arial"/>
          <w:lang w:val="en-GB"/>
        </w:rPr>
      </w:pPr>
      <w:r>
        <w:rPr>
          <w:rFonts w:hint="default" w:ascii="Arial" w:hAnsi="Arial" w:cs="Arial"/>
          <w:lang w:val="en-GB"/>
        </w:rPr>
        <w:br w:type="page"/>
      </w:r>
    </w:p>
    <w:p>
      <w:pPr>
        <w:pStyle w:val="4"/>
        <w:bidi w:val="0"/>
        <w:rPr>
          <w:rFonts w:hint="default" w:ascii="Arial" w:hAnsi="Arial" w:cs="Arial"/>
          <w:sz w:val="30"/>
          <w:szCs w:val="30"/>
          <w:lang w:val="en-GB"/>
        </w:rPr>
      </w:pPr>
      <w:bookmarkStart w:id="69" w:name="_Toc20426"/>
      <w:bookmarkStart w:id="70" w:name="_Toc24285"/>
      <w:r>
        <w:rPr>
          <w:rFonts w:hint="default" w:ascii="Arial" w:hAnsi="Arial" w:cs="Arial"/>
          <w:sz w:val="30"/>
          <w:szCs w:val="30"/>
          <w:lang w:val="en-GB"/>
        </w:rPr>
        <w:t>Appendix D: Stakeholder Analysis</w:t>
      </w:r>
      <w:bookmarkEnd w:id="69"/>
      <w:bookmarkEnd w:id="70"/>
      <w:r>
        <w:rPr>
          <w:rFonts w:hint="default" w:ascii="Arial" w:hAnsi="Arial" w:cs="Arial"/>
          <w:sz w:val="30"/>
          <w:szCs w:val="30"/>
          <w:lang w:val="en-GB"/>
        </w:rPr>
        <w:t xml:space="preserve"> </w:t>
      </w:r>
    </w:p>
    <w:p>
      <w:pPr>
        <w:pStyle w:val="3"/>
        <w:rPr>
          <w:rFonts w:hint="default" w:ascii="Arial" w:hAnsi="Arial" w:cs="Arial"/>
          <w:lang w:val="en-GB"/>
        </w:rPr>
      </w:pPr>
    </w:p>
    <w:tbl>
      <w:tblPr>
        <w:tblStyle w:val="19"/>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4680"/>
        <w:gridCol w:w="468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468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shd w:val="clear" w:color="auto" w:fill="FF9900"/>
                <w:lang w:val="en-GB"/>
              </w:rPr>
            </w:pPr>
            <w:r>
              <w:rPr>
                <w:rFonts w:hint="default" w:ascii="Arial" w:hAnsi="Arial" w:cs="Arial"/>
                <w:shd w:val="clear" w:color="auto" w:fill="FF9900"/>
                <w:lang w:val="en-GB"/>
              </w:rPr>
              <w:t>Keep Satisfied</w:t>
            </w:r>
          </w:p>
        </w:tc>
        <w:tc>
          <w:tcPr>
            <w:tcW w:w="468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shd w:val="clear" w:color="auto" w:fill="FF9900"/>
                <w:lang w:val="en-GB"/>
              </w:rPr>
            </w:pPr>
            <w:r>
              <w:rPr>
                <w:rFonts w:hint="default" w:ascii="Arial" w:hAnsi="Arial" w:cs="Arial"/>
                <w:shd w:val="clear" w:color="auto" w:fill="FF9900"/>
                <w:lang w:val="en-GB"/>
              </w:rPr>
              <w:t>Manage Closely</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468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Customers</w:t>
            </w:r>
          </w:p>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Government</w:t>
            </w:r>
          </w:p>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Local authorities</w:t>
            </w:r>
          </w:p>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Regulatory bodies</w:t>
            </w:r>
          </w:p>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 xml:space="preserve">Food bloggers </w:t>
            </w:r>
          </w:p>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NGOs</w:t>
            </w:r>
          </w:p>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shd w:val="clear" w:color="auto" w:fill="FF9900"/>
                <w:lang w:val="en-GB"/>
              </w:rPr>
            </w:pPr>
            <w:r>
              <w:rPr>
                <w:rFonts w:hint="default" w:ascii="Arial" w:hAnsi="Arial" w:cs="Arial"/>
                <w:lang w:val="en-GB"/>
              </w:rPr>
              <w:t>Food standard agencies</w:t>
            </w:r>
          </w:p>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shd w:val="clear" w:color="auto" w:fill="FF9900"/>
                <w:lang w:val="en-GB"/>
              </w:rPr>
            </w:pPr>
            <w:r>
              <w:rPr>
                <w:rFonts w:hint="default" w:ascii="Arial" w:hAnsi="Arial" w:cs="Arial"/>
                <w:lang w:val="en-GB"/>
              </w:rPr>
              <w:t>Shareholders</w:t>
            </w:r>
          </w:p>
        </w:tc>
        <w:tc>
          <w:tcPr>
            <w:tcW w:w="468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Market operators</w:t>
            </w:r>
          </w:p>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Manufacturing units</w:t>
            </w:r>
          </w:p>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Equipment suppliers</w:t>
            </w:r>
          </w:p>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Social media audience</w:t>
            </w:r>
          </w:p>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Environmental pressure groups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468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Monitor</w:t>
            </w:r>
          </w:p>
        </w:tc>
        <w:tc>
          <w:tcPr>
            <w:tcW w:w="468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Keep Informed</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468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Competitors</w:t>
            </w:r>
          </w:p>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 xml:space="preserve"> </w:t>
            </w:r>
          </w:p>
        </w:tc>
        <w:tc>
          <w:tcPr>
            <w:tcW w:w="468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Employees</w:t>
            </w:r>
          </w:p>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Staff</w:t>
            </w:r>
          </w:p>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Suppliers</w:t>
            </w:r>
          </w:p>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 xml:space="preserve">Distributors </w:t>
            </w:r>
          </w:p>
        </w:tc>
      </w:tr>
    </w:tbl>
    <w:p>
      <w:pPr>
        <w:pStyle w:val="3"/>
        <w:rPr>
          <w:rFonts w:hint="default" w:ascii="Arial" w:hAnsi="Arial" w:cs="Arial"/>
          <w:lang w:val="en-GB"/>
        </w:rPr>
      </w:pPr>
    </w:p>
    <w:p>
      <w:pPr>
        <w:rPr>
          <w:rFonts w:hint="default" w:ascii="Arial" w:hAnsi="Arial" w:cs="Arial"/>
          <w:lang w:val="en-GB"/>
        </w:rPr>
      </w:pPr>
      <w:r>
        <w:rPr>
          <w:rFonts w:hint="default" w:ascii="Arial" w:hAnsi="Arial" w:cs="Arial"/>
          <w:lang w:val="en-GB"/>
        </w:rPr>
        <w:br w:type="page"/>
      </w:r>
    </w:p>
    <w:p>
      <w:pPr>
        <w:pStyle w:val="4"/>
        <w:bidi w:val="0"/>
        <w:rPr>
          <w:rFonts w:hint="default" w:ascii="Arial" w:hAnsi="Arial" w:cs="Arial"/>
          <w:sz w:val="30"/>
          <w:szCs w:val="30"/>
          <w:lang w:val="en-GB"/>
        </w:rPr>
      </w:pPr>
      <w:bookmarkStart w:id="71" w:name="_Toc18666"/>
      <w:bookmarkStart w:id="72" w:name="_Toc8101"/>
      <w:r>
        <w:rPr>
          <w:rFonts w:hint="default" w:ascii="Arial" w:hAnsi="Arial" w:cs="Arial"/>
          <w:sz w:val="30"/>
          <w:szCs w:val="30"/>
          <w:lang w:val="en-GB"/>
        </w:rPr>
        <w:t>Appendix E: SMART Objectives</w:t>
      </w:r>
      <w:bookmarkEnd w:id="71"/>
      <w:bookmarkEnd w:id="72"/>
    </w:p>
    <w:p>
      <w:pPr>
        <w:pStyle w:val="3"/>
        <w:rPr>
          <w:rFonts w:hint="default" w:ascii="Arial" w:hAnsi="Arial" w:cs="Arial"/>
          <w:lang w:val="en-GB"/>
        </w:rPr>
      </w:pPr>
    </w:p>
    <w:tbl>
      <w:tblPr>
        <w:tblStyle w:val="20"/>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4680"/>
        <w:gridCol w:w="468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468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Specific</w:t>
            </w:r>
          </w:p>
        </w:tc>
        <w:tc>
          <w:tcPr>
            <w:tcW w:w="468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 xml:space="preserve">Well defined, clear and unambiguous goals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468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Measurable</w:t>
            </w:r>
          </w:p>
        </w:tc>
        <w:tc>
          <w:tcPr>
            <w:tcW w:w="4680" w:type="dxa"/>
            <w:shd w:val="clear" w:color="auto" w:fill="auto"/>
            <w:tcMar>
              <w:top w:w="100" w:type="dxa"/>
              <w:left w:w="100" w:type="dxa"/>
              <w:bottom w:w="100" w:type="dxa"/>
              <w:right w:w="100" w:type="dxa"/>
            </w:tcMar>
          </w:tcPr>
          <w:p>
            <w:pPr>
              <w:pStyle w:val="3"/>
              <w:spacing w:line="240" w:lineRule="auto"/>
              <w:rPr>
                <w:rFonts w:hint="default" w:ascii="Arial" w:hAnsi="Arial" w:cs="Arial"/>
                <w:lang w:val="en-GB"/>
              </w:rPr>
            </w:pPr>
            <w:r>
              <w:rPr>
                <w:rFonts w:hint="default" w:ascii="Arial" w:hAnsi="Arial" w:cs="Arial"/>
                <w:lang w:val="en-GB"/>
              </w:rPr>
              <w:t>With defined criteria that track your progress towards achieving the objective</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468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Attainable</w:t>
            </w:r>
          </w:p>
        </w:tc>
        <w:tc>
          <w:tcPr>
            <w:tcW w:w="468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Attainable yet not overwhelming</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468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Realistic</w:t>
            </w:r>
          </w:p>
        </w:tc>
        <w:tc>
          <w:tcPr>
            <w:tcW w:w="4680" w:type="dxa"/>
            <w:shd w:val="clear" w:color="auto" w:fill="auto"/>
            <w:tcMar>
              <w:top w:w="100" w:type="dxa"/>
              <w:left w:w="100" w:type="dxa"/>
              <w:bottom w:w="100" w:type="dxa"/>
              <w:right w:w="100" w:type="dxa"/>
            </w:tcMar>
          </w:tcPr>
          <w:p>
            <w:pPr>
              <w:pStyle w:val="3"/>
              <w:spacing w:line="240" w:lineRule="auto"/>
              <w:rPr>
                <w:rFonts w:hint="default" w:ascii="Arial" w:hAnsi="Arial" w:cs="Arial"/>
                <w:lang w:val="en-GB"/>
              </w:rPr>
            </w:pPr>
            <w:r>
              <w:rPr>
                <w:rFonts w:hint="default" w:ascii="Arial" w:hAnsi="Arial" w:cs="Arial"/>
                <w:lang w:val="en-GB"/>
              </w:rPr>
              <w:t xml:space="preserve">Achievable, practical, and pertinent to the company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4680" w:type="dxa"/>
            <w:shd w:val="clear" w:color="auto" w:fill="auto"/>
            <w:tcMar>
              <w:top w:w="100" w:type="dxa"/>
              <w:left w:w="100" w:type="dxa"/>
              <w:bottom w:w="100" w:type="dxa"/>
              <w:right w:w="100" w:type="dxa"/>
            </w:tcMar>
          </w:tcPr>
          <w:p>
            <w:pPr>
              <w:pStyle w:val="3"/>
              <w:widowControl w:val="0"/>
              <w:pBdr>
                <w:top w:val="none" w:color="auto" w:sz="0" w:space="0"/>
                <w:left w:val="none" w:color="auto" w:sz="0" w:space="0"/>
                <w:bottom w:val="none" w:color="auto" w:sz="0" w:space="0"/>
                <w:right w:val="none" w:color="auto" w:sz="0" w:space="0"/>
                <w:between w:val="none" w:color="auto" w:sz="0" w:space="0"/>
              </w:pBdr>
              <w:spacing w:line="240" w:lineRule="auto"/>
              <w:jc w:val="left"/>
              <w:rPr>
                <w:rFonts w:hint="default" w:ascii="Arial" w:hAnsi="Arial" w:cs="Arial"/>
                <w:lang w:val="en-GB"/>
              </w:rPr>
            </w:pPr>
            <w:r>
              <w:rPr>
                <w:rFonts w:hint="default" w:ascii="Arial" w:hAnsi="Arial" w:cs="Arial"/>
                <w:lang w:val="en-GB"/>
              </w:rPr>
              <w:t>Timely</w:t>
            </w:r>
          </w:p>
        </w:tc>
        <w:tc>
          <w:tcPr>
            <w:tcW w:w="4680" w:type="dxa"/>
            <w:shd w:val="clear" w:color="auto" w:fill="auto"/>
            <w:tcMar>
              <w:top w:w="100" w:type="dxa"/>
              <w:left w:w="100" w:type="dxa"/>
              <w:bottom w:w="100" w:type="dxa"/>
              <w:right w:w="100" w:type="dxa"/>
            </w:tcMar>
          </w:tcPr>
          <w:p>
            <w:pPr>
              <w:pStyle w:val="3"/>
              <w:spacing w:line="240" w:lineRule="auto"/>
              <w:rPr>
                <w:rFonts w:hint="default" w:ascii="Arial" w:hAnsi="Arial" w:cs="Arial"/>
                <w:lang w:val="en-GB"/>
              </w:rPr>
            </w:pPr>
            <w:r>
              <w:rPr>
                <w:rFonts w:hint="default" w:ascii="Arial" w:hAnsi="Arial" w:cs="Arial"/>
                <w:lang w:val="en-GB"/>
              </w:rPr>
              <w:t>With an explicit timeframe that includes a start date and an end date. The goal is to generate a sense of urgency</w:t>
            </w:r>
          </w:p>
        </w:tc>
      </w:tr>
    </w:tbl>
    <w:p>
      <w:pPr>
        <w:pStyle w:val="3"/>
        <w:rPr>
          <w:rFonts w:hint="default" w:ascii="Arial" w:hAnsi="Arial" w:cs="Arial"/>
          <w:lang w:val="en-GB"/>
        </w:rPr>
      </w:pPr>
    </w:p>
    <w:p>
      <w:pPr>
        <w:rPr>
          <w:rFonts w:hint="default" w:ascii="Arial" w:hAnsi="Arial" w:cs="Arial"/>
          <w:lang w:val="en-GB"/>
        </w:rPr>
      </w:pPr>
      <w:r>
        <w:rPr>
          <w:rFonts w:hint="default" w:ascii="Arial" w:hAnsi="Arial" w:cs="Arial"/>
          <w:lang w:val="en-GB"/>
        </w:rPr>
        <w:br w:type="page"/>
      </w:r>
    </w:p>
    <w:p>
      <w:pPr>
        <w:pStyle w:val="4"/>
        <w:bidi w:val="0"/>
        <w:rPr>
          <w:rFonts w:hint="default" w:ascii="Arial" w:hAnsi="Arial" w:cs="Arial"/>
          <w:lang w:val="en-GB"/>
        </w:rPr>
      </w:pPr>
      <w:bookmarkStart w:id="73" w:name="_Toc15122"/>
      <w:bookmarkStart w:id="74" w:name="_Toc22131"/>
      <w:r>
        <w:rPr>
          <w:rFonts w:hint="default" w:ascii="Arial" w:hAnsi="Arial" w:cs="Arial"/>
          <w:sz w:val="30"/>
          <w:szCs w:val="30"/>
          <w:lang w:val="en-GB"/>
        </w:rPr>
        <w:t>Appendix F: Ansoff Matrix</w:t>
      </w:r>
      <w:bookmarkEnd w:id="73"/>
      <w:bookmarkEnd w:id="74"/>
    </w:p>
    <w:p>
      <w:pPr>
        <w:pStyle w:val="3"/>
        <w:rPr>
          <w:rFonts w:hint="default" w:ascii="Arial" w:hAnsi="Arial" w:cs="Arial"/>
          <w:lang w:val="en-GB"/>
        </w:rPr>
      </w:pPr>
      <w:r>
        <w:rPr>
          <w:rFonts w:hint="default" w:ascii="Arial" w:hAnsi="Arial" w:cs="Arial"/>
          <w:lang w:val="en-GB"/>
        </w:rPr>
        <w:t>Managers utilise the Ansoff Matrix, also known as the Product/Market Expansion Grid, to plan and analyse expansion efforts. In particular, the instrument provides stakeholders with a better mental picture of the dangers inherent in various expansion plans (Meldrum &amp; McDonald, 1995).</w:t>
      </w:r>
    </w:p>
    <w:tbl>
      <w:tblPr>
        <w:tblStyle w:val="21"/>
        <w:tblpPr w:leftFromText="180" w:rightFromText="180" w:vertAnchor="text" w:horzAnchor="page" w:tblpX="1602" w:tblpY="208"/>
        <w:tblOverlap w:val="never"/>
        <w:tblW w:w="88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1080"/>
        <w:gridCol w:w="3690"/>
        <w:gridCol w:w="4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cantSplit/>
          <w:trHeight w:val="563" w:hRule="atLeast"/>
          <w:tblHeader/>
        </w:trPr>
        <w:tc>
          <w:tcPr>
            <w:tcW w:w="1080" w:type="dxa"/>
            <w:vMerge w:val="restart"/>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pPr>
              <w:pStyle w:val="3"/>
              <w:spacing w:line="240" w:lineRule="auto"/>
              <w:rPr>
                <w:rFonts w:hint="default" w:ascii="Arial" w:hAnsi="Arial" w:cs="Arial"/>
                <w:lang w:val="en-GB"/>
              </w:rPr>
            </w:pPr>
            <w:r>
              <w:rPr>
                <w:rFonts w:hint="default" w:ascii="Arial" w:hAnsi="Arial" w:cs="Arial"/>
                <w:lang w:val="en-GB"/>
              </w:rPr>
              <w:t xml:space="preserve"> </w:t>
            </w:r>
          </w:p>
          <w:p>
            <w:pPr>
              <w:pStyle w:val="3"/>
              <w:spacing w:line="240" w:lineRule="auto"/>
              <w:rPr>
                <w:rFonts w:hint="default" w:ascii="Arial" w:hAnsi="Arial" w:cs="Arial"/>
                <w:lang w:val="en-GB"/>
              </w:rPr>
            </w:pPr>
            <w:r>
              <w:rPr>
                <w:rFonts w:hint="default" w:ascii="Arial" w:hAnsi="Arial" w:cs="Arial"/>
                <w:lang w:val="en-GB"/>
              </w:rPr>
              <w:t>Markets</w:t>
            </w:r>
          </w:p>
        </w:tc>
        <w:tc>
          <w:tcPr>
            <w:tcW w:w="7800" w:type="dxa"/>
            <w:gridSpan w:val="2"/>
            <w:tcBorders>
              <w:top w:val="single" w:color="000000" w:sz="8" w:space="0"/>
              <w:left w:val="nil"/>
              <w:bottom w:val="single" w:color="000000" w:sz="8" w:space="0"/>
              <w:right w:val="single" w:color="000000" w:sz="8" w:space="0"/>
            </w:tcBorders>
            <w:tcMar>
              <w:top w:w="100" w:type="dxa"/>
              <w:left w:w="100" w:type="dxa"/>
              <w:bottom w:w="100" w:type="dxa"/>
              <w:right w:w="100" w:type="dxa"/>
            </w:tcMar>
          </w:tcPr>
          <w:p>
            <w:pPr>
              <w:pStyle w:val="3"/>
              <w:spacing w:line="240" w:lineRule="auto"/>
              <w:jc w:val="center"/>
              <w:rPr>
                <w:rFonts w:hint="default" w:ascii="Arial" w:hAnsi="Arial" w:cs="Arial"/>
                <w:lang w:val="en-GB"/>
              </w:rPr>
            </w:pPr>
            <w:r>
              <w:rPr>
                <w:rFonts w:hint="default" w:ascii="Arial" w:hAnsi="Arial" w:cs="Arial"/>
                <w:lang w:val="en-GB"/>
              </w:rPr>
              <w:t>Products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cantSplit/>
          <w:trHeight w:val="9300" w:hRule="atLeast"/>
          <w:tblHeader/>
        </w:trPr>
        <w:tc>
          <w:tcPr>
            <w:tcW w:w="1080" w:type="dxa"/>
            <w:vMerge w:val="continue"/>
            <w:tcBorders>
              <w:left w:val="single" w:color="000000" w:sz="8" w:space="0"/>
              <w:bottom w:val="single" w:color="000000" w:sz="8" w:space="0"/>
              <w:right w:val="single" w:color="000000" w:sz="8" w:space="0"/>
            </w:tcBorders>
            <w:shd w:val="clear" w:color="auto" w:fill="auto"/>
            <w:tcMar>
              <w:top w:w="100" w:type="dxa"/>
              <w:left w:w="100" w:type="dxa"/>
              <w:bottom w:w="100" w:type="dxa"/>
              <w:right w:w="100" w:type="dxa"/>
            </w:tcMar>
          </w:tcPr>
          <w:p>
            <w:pPr>
              <w:pStyle w:val="3"/>
              <w:rPr>
                <w:rFonts w:hint="default" w:ascii="Arial" w:hAnsi="Arial" w:cs="Arial"/>
                <w:lang w:val="en-GB"/>
              </w:rPr>
            </w:pPr>
          </w:p>
        </w:tc>
        <w:tc>
          <w:tcPr>
            <w:tcW w:w="3690" w:type="dxa"/>
            <w:tcBorders>
              <w:top w:val="nil"/>
              <w:left w:val="nil"/>
              <w:bottom w:val="single" w:color="000000" w:sz="8" w:space="0"/>
              <w:right w:val="single" w:color="000000" w:sz="8" w:space="0"/>
            </w:tcBorders>
            <w:shd w:val="clear" w:color="auto" w:fill="auto"/>
            <w:tcMar>
              <w:top w:w="100" w:type="dxa"/>
              <w:left w:w="100" w:type="dxa"/>
              <w:bottom w:w="100" w:type="dxa"/>
              <w:right w:w="100" w:type="dxa"/>
            </w:tcMar>
          </w:tcPr>
          <w:p>
            <w:pPr>
              <w:pStyle w:val="3"/>
              <w:spacing w:line="240" w:lineRule="auto"/>
              <w:rPr>
                <w:rFonts w:hint="default" w:ascii="Arial" w:hAnsi="Arial" w:cs="Arial"/>
                <w:b/>
                <w:lang w:val="en-GB"/>
              </w:rPr>
            </w:pPr>
            <w:r>
              <w:rPr>
                <w:rFonts w:hint="default" w:ascii="Arial" w:hAnsi="Arial" w:cs="Arial"/>
                <w:b/>
                <w:lang w:val="en-GB"/>
              </w:rPr>
              <w:t>Market penetration strategies</w:t>
            </w:r>
          </w:p>
          <w:p>
            <w:pPr>
              <w:pStyle w:val="3"/>
              <w:spacing w:line="240" w:lineRule="auto"/>
              <w:rPr>
                <w:rFonts w:hint="default" w:ascii="Arial" w:hAnsi="Arial" w:cs="Arial"/>
                <w:lang w:val="en-GB"/>
              </w:rPr>
            </w:pPr>
          </w:p>
          <w:p>
            <w:pPr>
              <w:pStyle w:val="3"/>
              <w:spacing w:line="240" w:lineRule="auto"/>
              <w:rPr>
                <w:rFonts w:hint="default" w:ascii="Arial" w:hAnsi="Arial" w:cs="Arial"/>
                <w:lang w:val="en-GB"/>
              </w:rPr>
            </w:pPr>
            <w:r>
              <w:rPr>
                <w:rFonts w:hint="default" w:ascii="Arial" w:hAnsi="Arial" w:cs="Arial"/>
                <w:b/>
                <w:lang w:val="en-GB"/>
              </w:rPr>
              <w:t xml:space="preserve">New market and new product  </w:t>
            </w:r>
            <w:r>
              <w:rPr>
                <w:rFonts w:hint="default" w:ascii="Arial" w:hAnsi="Arial" w:cs="Arial"/>
                <w:lang w:val="en-GB"/>
              </w:rPr>
              <w:t xml:space="preserve"> </w:t>
            </w:r>
          </w:p>
          <w:p>
            <w:pPr>
              <w:pStyle w:val="3"/>
              <w:spacing w:line="240" w:lineRule="auto"/>
              <w:rPr>
                <w:rFonts w:hint="default" w:ascii="Arial" w:hAnsi="Arial" w:cs="Arial"/>
                <w:lang w:val="en-GB"/>
              </w:rPr>
            </w:pPr>
            <w:r>
              <w:rPr>
                <w:rFonts w:hint="default" w:ascii="Arial" w:hAnsi="Arial" w:cs="Arial"/>
                <w:lang w:val="en-GB"/>
              </w:rPr>
              <w:t xml:space="preserve">    </w:t>
            </w:r>
          </w:p>
          <w:p>
            <w:pPr>
              <w:pStyle w:val="3"/>
              <w:numPr>
                <w:ilvl w:val="0"/>
                <w:numId w:val="9"/>
              </w:numPr>
              <w:spacing w:line="240" w:lineRule="auto"/>
              <w:jc w:val="left"/>
              <w:rPr>
                <w:rFonts w:hint="default" w:ascii="Arial" w:hAnsi="Arial" w:cs="Arial"/>
                <w:lang w:val="en-GB"/>
              </w:rPr>
            </w:pPr>
            <w:r>
              <w:rPr>
                <w:rFonts w:hint="default" w:ascii="Arial" w:hAnsi="Arial" w:cs="Arial"/>
                <w:lang w:val="en-GB"/>
              </w:rPr>
              <w:t>To compete in the healthy food industry, Greggs needs to increase the veggie and grain content of your fast food.</w:t>
            </w:r>
          </w:p>
          <w:p>
            <w:pPr>
              <w:pStyle w:val="3"/>
              <w:spacing w:line="240" w:lineRule="auto"/>
              <w:ind w:left="720"/>
              <w:jc w:val="left"/>
              <w:rPr>
                <w:rFonts w:hint="default" w:ascii="Arial" w:hAnsi="Arial" w:cs="Arial"/>
                <w:lang w:val="en-GB"/>
              </w:rPr>
            </w:pPr>
          </w:p>
          <w:p>
            <w:pPr>
              <w:pStyle w:val="3"/>
              <w:numPr>
                <w:ilvl w:val="0"/>
                <w:numId w:val="9"/>
              </w:numPr>
              <w:spacing w:line="240" w:lineRule="auto"/>
              <w:jc w:val="left"/>
              <w:rPr>
                <w:rFonts w:hint="default" w:ascii="Arial" w:hAnsi="Arial" w:cs="Arial"/>
                <w:lang w:val="en-GB"/>
              </w:rPr>
            </w:pPr>
            <w:r>
              <w:rPr>
                <w:rFonts w:hint="default" w:ascii="Arial" w:hAnsi="Arial" w:cs="Arial"/>
                <w:lang w:val="en-GB"/>
              </w:rPr>
              <w:t xml:space="preserve"> Incorporate cleanness-checking automated devices.</w:t>
            </w:r>
          </w:p>
          <w:p>
            <w:pPr>
              <w:pStyle w:val="3"/>
              <w:spacing w:line="240" w:lineRule="auto"/>
              <w:ind w:left="720"/>
              <w:jc w:val="left"/>
              <w:rPr>
                <w:rFonts w:hint="default" w:ascii="Arial" w:hAnsi="Arial" w:cs="Arial"/>
                <w:lang w:val="en-GB"/>
              </w:rPr>
            </w:pPr>
          </w:p>
          <w:p>
            <w:pPr>
              <w:pStyle w:val="3"/>
              <w:numPr>
                <w:ilvl w:val="0"/>
                <w:numId w:val="9"/>
              </w:numPr>
              <w:spacing w:line="240" w:lineRule="auto"/>
              <w:jc w:val="left"/>
              <w:rPr>
                <w:rFonts w:hint="default" w:ascii="Arial" w:hAnsi="Arial" w:cs="Arial"/>
                <w:lang w:val="en-GB"/>
              </w:rPr>
            </w:pPr>
            <w:r>
              <w:rPr>
                <w:rFonts w:hint="default" w:ascii="Arial" w:hAnsi="Arial" w:cs="Arial"/>
                <w:lang w:val="en-GB"/>
              </w:rPr>
              <w:t xml:space="preserve"> Vegan baked goods need to have major Greggs' flavours added to them.</w:t>
            </w:r>
          </w:p>
          <w:p>
            <w:pPr>
              <w:pStyle w:val="3"/>
              <w:numPr>
                <w:ilvl w:val="0"/>
                <w:numId w:val="9"/>
              </w:numPr>
              <w:spacing w:line="240" w:lineRule="auto"/>
              <w:jc w:val="left"/>
              <w:rPr>
                <w:rFonts w:hint="default" w:ascii="Arial" w:hAnsi="Arial" w:cs="Arial"/>
                <w:lang w:val="en-GB"/>
              </w:rPr>
            </w:pPr>
          </w:p>
          <w:p>
            <w:pPr>
              <w:pStyle w:val="3"/>
              <w:numPr>
                <w:ilvl w:val="0"/>
                <w:numId w:val="9"/>
              </w:numPr>
              <w:spacing w:line="240" w:lineRule="auto"/>
              <w:jc w:val="left"/>
              <w:rPr>
                <w:rFonts w:hint="default" w:ascii="Arial" w:hAnsi="Arial" w:cs="Arial"/>
                <w:lang w:val="en-GB"/>
              </w:rPr>
            </w:pPr>
            <w:r>
              <w:rPr>
                <w:rFonts w:hint="default" w:ascii="Arial" w:hAnsi="Arial" w:cs="Arial"/>
                <w:lang w:val="en-GB"/>
              </w:rPr>
              <w:t>The government of the United Kingdom is also actively supporting vegan food businesses and promoting vegan goods.</w:t>
            </w:r>
          </w:p>
          <w:p>
            <w:pPr>
              <w:pStyle w:val="3"/>
              <w:spacing w:line="240" w:lineRule="auto"/>
              <w:ind w:left="720"/>
              <w:jc w:val="left"/>
              <w:rPr>
                <w:rFonts w:hint="default" w:ascii="Arial" w:hAnsi="Arial" w:cs="Arial"/>
                <w:lang w:val="en-GB"/>
              </w:rPr>
            </w:pPr>
          </w:p>
          <w:p>
            <w:pPr>
              <w:pStyle w:val="3"/>
              <w:numPr>
                <w:ilvl w:val="0"/>
                <w:numId w:val="9"/>
              </w:numPr>
              <w:spacing w:line="240" w:lineRule="auto"/>
              <w:jc w:val="left"/>
              <w:rPr>
                <w:rFonts w:hint="default" w:ascii="Arial" w:hAnsi="Arial" w:cs="Arial"/>
                <w:lang w:val="en-GB"/>
              </w:rPr>
            </w:pPr>
            <w:r>
              <w:rPr>
                <w:rFonts w:hint="default" w:ascii="Arial" w:hAnsi="Arial" w:cs="Arial"/>
                <w:lang w:val="en-GB"/>
              </w:rPr>
              <w:t>Market the wares on your social media accounts.</w:t>
            </w:r>
          </w:p>
          <w:p>
            <w:pPr>
              <w:pStyle w:val="3"/>
              <w:spacing w:line="240" w:lineRule="auto"/>
              <w:jc w:val="left"/>
              <w:rPr>
                <w:rFonts w:hint="default" w:ascii="Arial" w:hAnsi="Arial" w:cs="Arial"/>
                <w:lang w:val="en-GB"/>
              </w:rPr>
            </w:pPr>
          </w:p>
          <w:p>
            <w:pPr>
              <w:pStyle w:val="3"/>
              <w:numPr>
                <w:ilvl w:val="0"/>
                <w:numId w:val="10"/>
              </w:numPr>
              <w:spacing w:line="240" w:lineRule="auto"/>
              <w:rPr>
                <w:rFonts w:hint="default" w:ascii="Arial" w:hAnsi="Arial" w:cs="Arial"/>
                <w:lang w:val="en-GB"/>
              </w:rPr>
            </w:pPr>
            <w:r>
              <w:rPr>
                <w:rFonts w:hint="default" w:ascii="Arial" w:hAnsi="Arial" w:cs="Arial"/>
                <w:lang w:val="en-GB"/>
              </w:rPr>
              <w:t>To ensure honesty, carbon emission and calorie counts should be included on packaging.</w:t>
            </w:r>
          </w:p>
          <w:p>
            <w:pPr>
              <w:pStyle w:val="3"/>
              <w:spacing w:line="240" w:lineRule="auto"/>
              <w:rPr>
                <w:rFonts w:hint="default" w:ascii="Arial" w:hAnsi="Arial" w:cs="Arial"/>
                <w:lang w:val="en-GB"/>
              </w:rPr>
            </w:pPr>
          </w:p>
          <w:p>
            <w:pPr>
              <w:pStyle w:val="3"/>
              <w:spacing w:line="240" w:lineRule="auto"/>
              <w:rPr>
                <w:rFonts w:hint="default" w:ascii="Arial" w:hAnsi="Arial" w:cs="Arial"/>
                <w:lang w:val="en-GB"/>
              </w:rPr>
            </w:pPr>
          </w:p>
        </w:tc>
        <w:tc>
          <w:tcPr>
            <w:tcW w:w="4110" w:type="dxa"/>
            <w:tcBorders>
              <w:top w:val="single" w:color="000000" w:sz="8" w:space="0"/>
              <w:left w:val="nil"/>
              <w:bottom w:val="single" w:color="000000" w:sz="8" w:space="0"/>
              <w:right w:val="single" w:color="000000" w:sz="8" w:space="0"/>
            </w:tcBorders>
            <w:shd w:val="clear" w:color="auto" w:fill="auto"/>
            <w:tcMar>
              <w:top w:w="100" w:type="dxa"/>
              <w:left w:w="100" w:type="dxa"/>
              <w:bottom w:w="100" w:type="dxa"/>
              <w:right w:w="100" w:type="dxa"/>
            </w:tcMar>
          </w:tcPr>
          <w:p>
            <w:pPr>
              <w:pStyle w:val="3"/>
              <w:spacing w:line="240" w:lineRule="auto"/>
              <w:rPr>
                <w:rFonts w:hint="default" w:ascii="Arial" w:hAnsi="Arial" w:cs="Arial"/>
                <w:b/>
                <w:lang w:val="en-GB"/>
              </w:rPr>
            </w:pPr>
            <w:r>
              <w:rPr>
                <w:rFonts w:hint="default" w:ascii="Arial" w:hAnsi="Arial" w:cs="Arial"/>
                <w:b/>
                <w:lang w:val="en-GB"/>
              </w:rPr>
              <w:t>Product development strategy</w:t>
            </w:r>
          </w:p>
          <w:p>
            <w:pPr>
              <w:pStyle w:val="3"/>
              <w:spacing w:line="240" w:lineRule="auto"/>
              <w:rPr>
                <w:rFonts w:hint="default" w:ascii="Arial" w:hAnsi="Arial" w:cs="Arial"/>
                <w:b/>
                <w:lang w:val="en-GB"/>
              </w:rPr>
            </w:pPr>
            <w:r>
              <w:rPr>
                <w:rFonts w:hint="default" w:ascii="Arial" w:hAnsi="Arial" w:cs="Arial"/>
                <w:b/>
                <w:lang w:val="en-GB"/>
              </w:rPr>
              <w:t>New product in the existing market</w:t>
            </w:r>
          </w:p>
          <w:p>
            <w:pPr>
              <w:pStyle w:val="3"/>
              <w:spacing w:line="240" w:lineRule="auto"/>
              <w:rPr>
                <w:rFonts w:hint="default" w:ascii="Arial" w:hAnsi="Arial" w:cs="Arial"/>
                <w:b/>
                <w:lang w:val="en-GB"/>
              </w:rPr>
            </w:pPr>
          </w:p>
          <w:p>
            <w:pPr>
              <w:pStyle w:val="3"/>
              <w:numPr>
                <w:ilvl w:val="0"/>
                <w:numId w:val="11"/>
              </w:numPr>
              <w:spacing w:line="240" w:lineRule="auto"/>
              <w:rPr>
                <w:rFonts w:hint="default" w:ascii="Arial" w:hAnsi="Arial" w:cs="Arial"/>
                <w:lang w:val="en-GB"/>
              </w:rPr>
            </w:pPr>
            <w:r>
              <w:rPr>
                <w:rFonts w:hint="default" w:ascii="Arial" w:hAnsi="Arial" w:cs="Arial"/>
                <w:lang w:val="en-GB"/>
              </w:rPr>
              <w:t>To gain an edge in the fast-food industry, it would be beneficial to include more ethnic and regional cuisines into the offerings along with vegan and healthier options.</w:t>
            </w:r>
          </w:p>
          <w:p>
            <w:pPr>
              <w:pStyle w:val="3"/>
              <w:spacing w:line="240" w:lineRule="auto"/>
              <w:rPr>
                <w:rFonts w:hint="default" w:ascii="Arial" w:hAnsi="Arial" w:cs="Arial"/>
                <w:lang w:val="en-GB"/>
              </w:rPr>
            </w:pPr>
          </w:p>
          <w:p>
            <w:pPr>
              <w:pStyle w:val="3"/>
              <w:numPr>
                <w:ilvl w:val="0"/>
                <w:numId w:val="12"/>
              </w:numPr>
              <w:spacing w:line="240" w:lineRule="auto"/>
              <w:rPr>
                <w:rFonts w:hint="default" w:ascii="Arial" w:hAnsi="Arial" w:cs="Arial"/>
                <w:lang w:val="en-GB"/>
              </w:rPr>
            </w:pPr>
            <w:r>
              <w:rPr>
                <w:rFonts w:hint="default" w:ascii="Arial" w:hAnsi="Arial" w:cs="Arial"/>
                <w:lang w:val="en-GB"/>
              </w:rPr>
              <w:t>Make photo-printed, distinctive cakes by using technology.</w:t>
            </w:r>
          </w:p>
          <w:p>
            <w:pPr>
              <w:pStyle w:val="3"/>
              <w:spacing w:line="240" w:lineRule="auto"/>
              <w:rPr>
                <w:rFonts w:hint="default" w:ascii="Arial" w:hAnsi="Arial" w:cs="Arial"/>
                <w:lang w:val="en-GB"/>
              </w:rPr>
            </w:pPr>
          </w:p>
        </w:tc>
      </w:tr>
    </w:tbl>
    <w:p>
      <w:pPr>
        <w:pStyle w:val="3"/>
        <w:rPr>
          <w:rFonts w:hint="default" w:ascii="Arial" w:hAnsi="Arial" w:cs="Arial"/>
          <w:lang w:val="en-GB"/>
        </w:rPr>
      </w:pPr>
    </w:p>
    <w:p>
      <w:pPr>
        <w:bidi w:val="0"/>
        <w:rPr>
          <w:rFonts w:hint="default"/>
          <w:lang w:val="en-GB"/>
        </w:rPr>
      </w:pPr>
    </w:p>
    <w:p>
      <w:pPr>
        <w:pStyle w:val="3"/>
        <w:rPr>
          <w:rFonts w:hint="default"/>
          <w:lang w:val="en-GB"/>
        </w:rPr>
      </w:pPr>
    </w:p>
    <w:p>
      <w:pPr>
        <w:bidi w:val="0"/>
        <w:rPr>
          <w:rFonts w:hint="default"/>
          <w:lang w:val="en-GB"/>
        </w:rPr>
      </w:pPr>
    </w:p>
    <w:p>
      <w:pPr>
        <w:bidi w:val="0"/>
        <w:rPr>
          <w:rFonts w:hint="default"/>
          <w:lang w:val="en-GB"/>
        </w:rPr>
      </w:pPr>
    </w:p>
    <w:p>
      <w:pPr>
        <w:bidi w:val="0"/>
        <w:rPr>
          <w:rFonts w:hint="default"/>
          <w:lang w:val="en-GB"/>
        </w:rPr>
      </w:pPr>
    </w:p>
    <w:p>
      <w:pPr>
        <w:bidi w:val="0"/>
        <w:rPr>
          <w:rFonts w:hint="default"/>
          <w:lang w:val="en-GB"/>
        </w:rPr>
      </w:pPr>
    </w:p>
    <w:p>
      <w:pPr>
        <w:bidi w:val="0"/>
        <w:rPr>
          <w:rFonts w:hint="default"/>
          <w:lang w:val="en-GB"/>
        </w:rPr>
      </w:pPr>
    </w:p>
    <w:p>
      <w:pPr>
        <w:bidi w:val="0"/>
        <w:rPr>
          <w:rFonts w:hint="default"/>
          <w:lang w:val="en-GB"/>
        </w:rPr>
      </w:pPr>
    </w:p>
    <w:p>
      <w:pPr>
        <w:pStyle w:val="4"/>
        <w:bidi w:val="0"/>
        <w:rPr>
          <w:rFonts w:hint="default" w:ascii="Arial" w:hAnsi="Arial" w:cs="Arial"/>
          <w:sz w:val="30"/>
          <w:szCs w:val="30"/>
          <w:lang w:val="en-GB"/>
        </w:rPr>
      </w:pPr>
      <w:bookmarkStart w:id="75" w:name="_Toc14259"/>
      <w:bookmarkStart w:id="76" w:name="_Toc17541"/>
      <w:r>
        <w:rPr>
          <w:rFonts w:hint="default" w:ascii="Arial" w:hAnsi="Arial" w:cs="Arial"/>
          <w:sz w:val="30"/>
          <w:szCs w:val="30"/>
          <w:lang w:val="en-GB"/>
        </w:rPr>
        <w:t>Appendix G: Porter’s Generic Strategies</w:t>
      </w:r>
      <w:bookmarkEnd w:id="75"/>
      <w:bookmarkEnd w:id="76"/>
    </w:p>
    <w:p>
      <w:pPr>
        <w:pStyle w:val="3"/>
        <w:rPr>
          <w:rFonts w:hint="default" w:ascii="Arial" w:hAnsi="Arial" w:cs="Arial"/>
          <w:lang w:val="en-GB"/>
        </w:rPr>
      </w:pPr>
    </w:p>
    <w:tbl>
      <w:tblPr>
        <w:tblStyle w:val="22"/>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3120"/>
        <w:gridCol w:w="3120"/>
        <w:gridCol w:w="312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rHeight w:val="380" w:hRule="atLeast"/>
          <w:tblHeader/>
        </w:trPr>
        <w:tc>
          <w:tcPr>
            <w:tcW w:w="312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p>
        </w:tc>
        <w:tc>
          <w:tcPr>
            <w:tcW w:w="312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 xml:space="preserve">Lower Cost Strategy </w:t>
            </w:r>
          </w:p>
        </w:tc>
        <w:tc>
          <w:tcPr>
            <w:tcW w:w="312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Differentiation strategy</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312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Broad Target</w:t>
            </w:r>
          </w:p>
        </w:tc>
        <w:tc>
          <w:tcPr>
            <w:tcW w:w="312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 xml:space="preserve">Cost minimization through automation and use of automated technology in manufacturing </w:t>
            </w:r>
          </w:p>
        </w:tc>
        <w:tc>
          <w:tcPr>
            <w:tcW w:w="312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Pursue the use of vegan food with regional flavours and introduce healthier alternatives at the chains</w:t>
            </w:r>
          </w:p>
        </w:tc>
      </w:tr>
    </w:tbl>
    <w:p>
      <w:pPr>
        <w:pStyle w:val="3"/>
        <w:rPr>
          <w:rFonts w:hint="default" w:ascii="Arial" w:hAnsi="Arial" w:cs="Arial"/>
          <w:lang w:val="en-GB"/>
        </w:rPr>
      </w:pPr>
    </w:p>
    <w:p>
      <w:pPr>
        <w:rPr>
          <w:rFonts w:hint="default" w:ascii="Arial" w:hAnsi="Arial" w:cs="Arial"/>
          <w:lang w:val="en-GB"/>
        </w:rPr>
      </w:pPr>
      <w:r>
        <w:rPr>
          <w:rFonts w:hint="default" w:ascii="Arial" w:hAnsi="Arial" w:cs="Arial"/>
          <w:lang w:val="en-GB"/>
        </w:rPr>
        <w:br w:type="page"/>
      </w:r>
    </w:p>
    <w:p>
      <w:pPr>
        <w:pStyle w:val="4"/>
        <w:bidi w:val="0"/>
        <w:rPr>
          <w:rFonts w:hint="default" w:ascii="Arial" w:hAnsi="Arial" w:cs="Arial"/>
          <w:sz w:val="30"/>
          <w:szCs w:val="30"/>
          <w:lang w:val="en-GB"/>
        </w:rPr>
      </w:pPr>
      <w:bookmarkStart w:id="77" w:name="_Toc17778"/>
      <w:bookmarkStart w:id="78" w:name="_Toc2316"/>
      <w:r>
        <w:rPr>
          <w:rFonts w:hint="default" w:ascii="Arial" w:hAnsi="Arial" w:cs="Arial"/>
          <w:sz w:val="30"/>
          <w:szCs w:val="30"/>
          <w:lang w:val="en-GB"/>
        </w:rPr>
        <w:t>Appendix H: Key Performance Indicators</w:t>
      </w:r>
      <w:bookmarkEnd w:id="77"/>
      <w:bookmarkEnd w:id="78"/>
    </w:p>
    <w:p>
      <w:pPr>
        <w:pStyle w:val="3"/>
        <w:rPr>
          <w:rFonts w:hint="default" w:ascii="Arial" w:hAnsi="Arial" w:cs="Arial"/>
          <w:lang w:val="en-GB"/>
        </w:rPr>
      </w:pPr>
    </w:p>
    <w:tbl>
      <w:tblPr>
        <w:tblStyle w:val="23"/>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00" w:type="dxa"/>
          <w:left w:w="100" w:type="dxa"/>
          <w:bottom w:w="100" w:type="dxa"/>
          <w:right w:w="100" w:type="dxa"/>
        </w:tblCellMar>
      </w:tblPr>
      <w:tblGrid>
        <w:gridCol w:w="3180"/>
        <w:gridCol w:w="6180"/>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318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KPIs</w:t>
            </w:r>
          </w:p>
        </w:tc>
        <w:tc>
          <w:tcPr>
            <w:tcW w:w="618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Description</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318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Strategic</w:t>
            </w:r>
          </w:p>
        </w:tc>
        <w:tc>
          <w:tcPr>
            <w:tcW w:w="618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 xml:space="preserve">The organisation will monitor how well-received the vegan menu introduced at all the 500 dinner-time units is and monitor the creation of regional flavours and its ROI on these products. </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318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Operational</w:t>
            </w:r>
          </w:p>
        </w:tc>
        <w:tc>
          <w:tcPr>
            <w:tcW w:w="618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The organisation will monitor the social media performance and brand recognition from social media and other online sites to understand audience response and evaluate the sales of the 500 dinner-time units.</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00" w:type="dxa"/>
            <w:left w:w="100" w:type="dxa"/>
            <w:bottom w:w="100" w:type="dxa"/>
            <w:right w:w="100" w:type="dxa"/>
          </w:tblCellMar>
        </w:tblPrEx>
        <w:trPr>
          <w:cantSplit/>
          <w:tblHeader/>
        </w:trPr>
        <w:tc>
          <w:tcPr>
            <w:tcW w:w="318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Functional Units</w:t>
            </w:r>
          </w:p>
        </w:tc>
        <w:tc>
          <w:tcPr>
            <w:tcW w:w="6180" w:type="dxa"/>
            <w:shd w:val="clear" w:color="auto" w:fill="auto"/>
            <w:tcMar>
              <w:top w:w="100" w:type="dxa"/>
              <w:left w:w="100" w:type="dxa"/>
              <w:bottom w:w="100" w:type="dxa"/>
              <w:right w:w="100" w:type="dxa"/>
            </w:tcMar>
          </w:tcPr>
          <w:p>
            <w:pPr>
              <w:pStyle w:val="3"/>
              <w:widowControl w:val="0"/>
              <w:spacing w:line="240" w:lineRule="auto"/>
              <w:jc w:val="left"/>
              <w:rPr>
                <w:rFonts w:hint="default" w:ascii="Arial" w:hAnsi="Arial" w:cs="Arial"/>
                <w:lang w:val="en-GB"/>
              </w:rPr>
            </w:pPr>
            <w:r>
              <w:rPr>
                <w:rFonts w:hint="default" w:ascii="Arial" w:hAnsi="Arial" w:cs="Arial"/>
                <w:lang w:val="en-GB"/>
              </w:rPr>
              <w:t>The organisation will monitor gross profit margin, return on sales, and its investment in eco-shop elements and vegan products to estimate the cost of large-scale production.</w:t>
            </w:r>
          </w:p>
        </w:tc>
      </w:tr>
    </w:tbl>
    <w:p>
      <w:pPr>
        <w:rPr>
          <w:rFonts w:hint="default" w:ascii="Arial" w:hAnsi="Arial" w:cs="Arial"/>
        </w:rPr>
      </w:pPr>
    </w:p>
    <w:sectPr>
      <w:footerReference r:id="rId3" w:type="default"/>
      <w:pgSz w:w="11906" w:h="16838"/>
      <w:pgMar w:top="1440" w:right="1440" w:bottom="1440" w:left="144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DF2C4E"/>
    <w:multiLevelType w:val="multilevel"/>
    <w:tmpl w:val="12DF2C4E"/>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133100BC"/>
    <w:multiLevelType w:val="multilevel"/>
    <w:tmpl w:val="133100BC"/>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nsid w:val="21723A20"/>
    <w:multiLevelType w:val="multilevel"/>
    <w:tmpl w:val="21723A20"/>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3">
    <w:nsid w:val="24F91765"/>
    <w:multiLevelType w:val="multilevel"/>
    <w:tmpl w:val="24F91765"/>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4">
    <w:nsid w:val="31C755DA"/>
    <w:multiLevelType w:val="multilevel"/>
    <w:tmpl w:val="31C755DA"/>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5">
    <w:nsid w:val="34433708"/>
    <w:multiLevelType w:val="multilevel"/>
    <w:tmpl w:val="34433708"/>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6">
    <w:nsid w:val="3DEF33B9"/>
    <w:multiLevelType w:val="multilevel"/>
    <w:tmpl w:val="3DEF33B9"/>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7">
    <w:nsid w:val="51DE6A10"/>
    <w:multiLevelType w:val="multilevel"/>
    <w:tmpl w:val="51DE6A10"/>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8">
    <w:nsid w:val="547436B2"/>
    <w:multiLevelType w:val="multilevel"/>
    <w:tmpl w:val="547436B2"/>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9">
    <w:nsid w:val="550E4F03"/>
    <w:multiLevelType w:val="multilevel"/>
    <w:tmpl w:val="550E4F03"/>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0">
    <w:nsid w:val="6F9D29C4"/>
    <w:multiLevelType w:val="multilevel"/>
    <w:tmpl w:val="6F9D29C4"/>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1">
    <w:nsid w:val="6FBA7E90"/>
    <w:multiLevelType w:val="multilevel"/>
    <w:tmpl w:val="6FBA7E90"/>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3"/>
  </w:num>
  <w:num w:numId="2">
    <w:abstractNumId w:val="6"/>
  </w:num>
  <w:num w:numId="3">
    <w:abstractNumId w:val="2"/>
  </w:num>
  <w:num w:numId="4">
    <w:abstractNumId w:val="10"/>
  </w:num>
  <w:num w:numId="5">
    <w:abstractNumId w:val="8"/>
  </w:num>
  <w:num w:numId="6">
    <w:abstractNumId w:val="9"/>
  </w:num>
  <w:num w:numId="7">
    <w:abstractNumId w:val="4"/>
  </w:num>
  <w:num w:numId="8">
    <w:abstractNumId w:val="0"/>
  </w:num>
  <w:num w:numId="9">
    <w:abstractNumId w:val="7"/>
  </w:num>
  <w:num w:numId="10">
    <w:abstractNumId w:val="11"/>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E3YTY5MDA1NzY2NmFhM2NhNGNmOWVmMTM4NjFkZGEifQ=="/>
  </w:docVars>
  <w:rsids>
    <w:rsidRoot w:val="43100DB2"/>
    <w:rsid w:val="43100DB2"/>
    <w:rsid w:val="7B1F41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cs="Times New Roman" w:eastAsiaTheme="minorEastAsia"/>
      <w:color w:val="000000" w:themeColor="text1"/>
      <w:kern w:val="2"/>
      <w:sz w:val="24"/>
      <w:szCs w:val="24"/>
      <w:lang w:val="en-US" w:eastAsia="zh-CN" w:bidi="ar-SA"/>
      <w14:textFill>
        <w14:solidFill>
          <w14:schemeClr w14:val="tx1"/>
        </w14:solidFill>
      </w14:textFill>
    </w:rPr>
  </w:style>
  <w:style w:type="paragraph" w:styleId="2">
    <w:name w:val="heading 1"/>
    <w:basedOn w:val="3"/>
    <w:next w:val="3"/>
    <w:link w:val="24"/>
    <w:qFormat/>
    <w:uiPriority w:val="0"/>
    <w:pPr>
      <w:keepNext/>
      <w:keepLines/>
      <w:spacing w:before="400" w:after="120"/>
      <w:outlineLvl w:val="0"/>
    </w:pPr>
    <w:rPr>
      <w:sz w:val="40"/>
      <w:szCs w:val="40"/>
    </w:rPr>
  </w:style>
  <w:style w:type="paragraph" w:styleId="4">
    <w:name w:val="heading 2"/>
    <w:basedOn w:val="3"/>
    <w:next w:val="3"/>
    <w:uiPriority w:val="0"/>
    <w:pPr>
      <w:keepNext/>
      <w:keepLines/>
      <w:spacing w:before="360" w:after="120"/>
      <w:outlineLvl w:val="1"/>
    </w:pPr>
    <w:rPr>
      <w:sz w:val="32"/>
      <w:szCs w:val="32"/>
    </w:rPr>
  </w:style>
  <w:style w:type="paragraph" w:styleId="5">
    <w:name w:val="heading 3"/>
    <w:basedOn w:val="3"/>
    <w:next w:val="3"/>
    <w:uiPriority w:val="0"/>
    <w:pPr>
      <w:keepNext/>
      <w:keepLines/>
      <w:spacing w:before="320" w:after="80"/>
      <w:outlineLvl w:val="2"/>
    </w:pPr>
    <w:rPr>
      <w:color w:val="434343"/>
      <w:sz w:val="28"/>
      <w:szCs w:val="28"/>
    </w:rPr>
  </w:style>
  <w:style w:type="character" w:default="1" w:styleId="13">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paragraph" w:customStyle="1" w:styleId="3">
    <w:name w:val="Normal1"/>
    <w:qFormat/>
    <w:uiPriority w:val="0"/>
    <w:pPr>
      <w:spacing w:line="360" w:lineRule="auto"/>
      <w:jc w:val="both"/>
    </w:pPr>
    <w:rPr>
      <w:rFonts w:ascii="Times New Roman" w:hAnsi="Times New Roman" w:eastAsia="Times New Roman" w:cs="Times New Roman"/>
      <w:sz w:val="24"/>
      <w:szCs w:val="24"/>
      <w:lang w:val="en-US" w:eastAsia="en-US" w:bidi="ar-SA"/>
    </w:rPr>
  </w:style>
  <w:style w:type="paragraph" w:styleId="6">
    <w:name w:val="toc 3"/>
    <w:basedOn w:val="1"/>
    <w:next w:val="1"/>
    <w:unhideWhenUsed/>
    <w:uiPriority w:val="39"/>
    <w:pPr>
      <w:spacing w:after="100"/>
      <w:ind w:left="480"/>
    </w:pPr>
  </w:style>
  <w:style w:type="paragraph" w:styleId="7">
    <w:name w:val="footer"/>
    <w:basedOn w:val="1"/>
    <w:uiPriority w:val="0"/>
    <w:pPr>
      <w:tabs>
        <w:tab w:val="center" w:pos="4153"/>
        <w:tab w:val="right" w:pos="8306"/>
      </w:tabs>
      <w:snapToGrid w:val="0"/>
      <w:jc w:val="left"/>
    </w:pPr>
    <w:rPr>
      <w:sz w:val="18"/>
    </w:rPr>
  </w:style>
  <w:style w:type="paragraph" w:styleId="8">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uiPriority w:val="0"/>
  </w:style>
  <w:style w:type="paragraph" w:styleId="10">
    <w:name w:val="toc 2"/>
    <w:basedOn w:val="1"/>
    <w:next w:val="1"/>
    <w:unhideWhenUsed/>
    <w:qFormat/>
    <w:uiPriority w:val="39"/>
    <w:pPr>
      <w:spacing w:after="100"/>
      <w:ind w:left="240"/>
    </w:pPr>
  </w:style>
  <w:style w:type="paragraph" w:styleId="11">
    <w:name w:val="Normal (Web)"/>
    <w:basedOn w:val="1"/>
    <w:semiHidden/>
    <w:unhideWhenUsed/>
    <w:qFormat/>
    <w:uiPriority w:val="99"/>
    <w:pPr>
      <w:spacing w:before="100" w:beforeAutospacing="1" w:after="100" w:afterAutospacing="1" w:line="240" w:lineRule="auto"/>
      <w:jc w:val="left"/>
    </w:pPr>
  </w:style>
  <w:style w:type="character" w:styleId="14">
    <w:name w:val="Hyperlink"/>
    <w:basedOn w:val="13"/>
    <w:unhideWhenUsed/>
    <w:qFormat/>
    <w:uiPriority w:val="99"/>
    <w:rPr>
      <w:color w:val="0563C1" w:themeColor="hyperlink"/>
      <w:u w:val="single"/>
      <w14:textFill>
        <w14:solidFill>
          <w14:schemeClr w14:val="hlink"/>
        </w14:solidFill>
      </w14:textFill>
    </w:rPr>
  </w:style>
  <w:style w:type="paragraph" w:customStyle="1" w:styleId="15">
    <w:name w:val="TOC Heading"/>
    <w:basedOn w:val="2"/>
    <w:next w:val="1"/>
    <w:semiHidden/>
    <w:unhideWhenUsed/>
    <w:qFormat/>
    <w:uiPriority w:val="39"/>
    <w:pPr>
      <w:spacing w:before="480" w:after="0" w:line="276" w:lineRule="auto"/>
      <w:jc w:val="left"/>
      <w:outlineLvl w:val="9"/>
    </w:pPr>
    <w:rPr>
      <w:rFonts w:asciiTheme="majorHAnsi" w:hAnsiTheme="majorHAnsi" w:eastAsiaTheme="majorEastAsia" w:cstheme="majorBidi"/>
      <w:b/>
      <w:bCs/>
      <w:color w:val="2E75B6" w:themeColor="accent1" w:themeShade="BF"/>
      <w:sz w:val="28"/>
      <w:szCs w:val="28"/>
    </w:rPr>
  </w:style>
  <w:style w:type="table" w:customStyle="1" w:styleId="16">
    <w:name w:val="_Style 12"/>
    <w:basedOn w:val="12"/>
    <w:uiPriority w:val="0"/>
    <w:tblPr>
      <w:tblCellMar>
        <w:top w:w="100" w:type="dxa"/>
        <w:left w:w="100" w:type="dxa"/>
        <w:bottom w:w="100" w:type="dxa"/>
        <w:right w:w="100" w:type="dxa"/>
      </w:tblCellMar>
    </w:tblPr>
  </w:style>
  <w:style w:type="table" w:customStyle="1" w:styleId="17">
    <w:name w:val="_Style 13"/>
    <w:basedOn w:val="12"/>
    <w:qFormat/>
    <w:uiPriority w:val="0"/>
    <w:tblPr>
      <w:tblCellMar>
        <w:top w:w="100" w:type="dxa"/>
        <w:left w:w="100" w:type="dxa"/>
        <w:bottom w:w="100" w:type="dxa"/>
        <w:right w:w="100" w:type="dxa"/>
      </w:tblCellMar>
    </w:tblPr>
  </w:style>
  <w:style w:type="table" w:customStyle="1" w:styleId="18">
    <w:name w:val="_Style 14"/>
    <w:basedOn w:val="12"/>
    <w:qFormat/>
    <w:uiPriority w:val="0"/>
    <w:tblPr>
      <w:tblCellMar>
        <w:top w:w="100" w:type="dxa"/>
        <w:left w:w="100" w:type="dxa"/>
        <w:bottom w:w="100" w:type="dxa"/>
        <w:right w:w="100" w:type="dxa"/>
      </w:tblCellMar>
    </w:tblPr>
  </w:style>
  <w:style w:type="table" w:customStyle="1" w:styleId="19">
    <w:name w:val="_Style 15"/>
    <w:basedOn w:val="12"/>
    <w:qFormat/>
    <w:uiPriority w:val="0"/>
    <w:tblPr>
      <w:tblCellMar>
        <w:top w:w="100" w:type="dxa"/>
        <w:left w:w="100" w:type="dxa"/>
        <w:bottom w:w="100" w:type="dxa"/>
        <w:right w:w="100" w:type="dxa"/>
      </w:tblCellMar>
    </w:tblPr>
  </w:style>
  <w:style w:type="table" w:customStyle="1" w:styleId="20">
    <w:name w:val="_Style 16"/>
    <w:basedOn w:val="12"/>
    <w:qFormat/>
    <w:uiPriority w:val="0"/>
    <w:tblPr>
      <w:tblCellMar>
        <w:top w:w="100" w:type="dxa"/>
        <w:left w:w="100" w:type="dxa"/>
        <w:bottom w:w="100" w:type="dxa"/>
        <w:right w:w="100" w:type="dxa"/>
      </w:tblCellMar>
    </w:tblPr>
  </w:style>
  <w:style w:type="table" w:customStyle="1" w:styleId="21">
    <w:name w:val="_Style 17"/>
    <w:basedOn w:val="12"/>
    <w:qFormat/>
    <w:uiPriority w:val="0"/>
    <w:tblPr>
      <w:tblCellMar>
        <w:top w:w="100" w:type="dxa"/>
        <w:left w:w="100" w:type="dxa"/>
        <w:bottom w:w="100" w:type="dxa"/>
        <w:right w:w="100" w:type="dxa"/>
      </w:tblCellMar>
    </w:tblPr>
  </w:style>
  <w:style w:type="table" w:customStyle="1" w:styleId="22">
    <w:name w:val="_Style 18"/>
    <w:basedOn w:val="12"/>
    <w:qFormat/>
    <w:uiPriority w:val="0"/>
    <w:tblPr>
      <w:tblCellMar>
        <w:top w:w="100" w:type="dxa"/>
        <w:left w:w="100" w:type="dxa"/>
        <w:bottom w:w="100" w:type="dxa"/>
        <w:right w:w="100" w:type="dxa"/>
      </w:tblCellMar>
    </w:tblPr>
  </w:style>
  <w:style w:type="table" w:customStyle="1" w:styleId="23">
    <w:name w:val="_Style 19"/>
    <w:basedOn w:val="12"/>
    <w:qFormat/>
    <w:uiPriority w:val="0"/>
    <w:tblPr>
      <w:tblCellMar>
        <w:top w:w="100" w:type="dxa"/>
        <w:left w:w="100" w:type="dxa"/>
        <w:bottom w:w="100" w:type="dxa"/>
        <w:right w:w="100" w:type="dxa"/>
      </w:tblCellMar>
    </w:tblPr>
  </w:style>
  <w:style w:type="character" w:customStyle="1" w:styleId="24">
    <w:name w:val="标题 1 Char"/>
    <w:link w:val="2"/>
    <w:uiPriority w:val="0"/>
    <w:rPr>
      <w:sz w:val="40"/>
      <w:szCs w:val="40"/>
    </w:rPr>
  </w:style>
</w:styles>
</file>

<file path=word/_rels/document.xml.rels><?xml version="1.0" encoding="UTF-8" standalone="yes"?>
<Relationships xmlns="http://schemas.openxmlformats.org/package/2006/relationships"><Relationship Id="rId9" Type="http://schemas.openxmlformats.org/officeDocument/2006/relationships/diagramColors" Target="diagrams/colors1.xml"/><Relationship Id="rId8" Type="http://schemas.openxmlformats.org/officeDocument/2006/relationships/diagramQuickStyle" Target="diagrams/quickStyle1.xml"/><Relationship Id="rId7" Type="http://schemas.openxmlformats.org/officeDocument/2006/relationships/diagramLayout" Target="diagrams/layout1.xml"/><Relationship Id="rId6" Type="http://schemas.openxmlformats.org/officeDocument/2006/relationships/diagramData" Target="diagrams/data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2.png"/><Relationship Id="rId25" Type="http://schemas.microsoft.com/office/2007/relationships/diagramDrawing" Target="diagrams/drawing4.xml"/><Relationship Id="rId24" Type="http://schemas.openxmlformats.org/officeDocument/2006/relationships/diagramColors" Target="diagrams/colors4.xml"/><Relationship Id="rId23" Type="http://schemas.openxmlformats.org/officeDocument/2006/relationships/diagramQuickStyle" Target="diagrams/quickStyle4.xml"/><Relationship Id="rId22" Type="http://schemas.openxmlformats.org/officeDocument/2006/relationships/diagramLayout" Target="diagrams/layout4.xml"/><Relationship Id="rId21" Type="http://schemas.openxmlformats.org/officeDocument/2006/relationships/diagramData" Target="diagrams/data4.xml"/><Relationship Id="rId20" Type="http://schemas.microsoft.com/office/2007/relationships/diagramDrawing" Target="diagrams/drawing3.xml"/><Relationship Id="rId2" Type="http://schemas.openxmlformats.org/officeDocument/2006/relationships/settings" Target="settings.xml"/><Relationship Id="rId19" Type="http://schemas.openxmlformats.org/officeDocument/2006/relationships/diagramColors" Target="diagrams/colors3.xml"/><Relationship Id="rId18" Type="http://schemas.openxmlformats.org/officeDocument/2006/relationships/diagramQuickStyle" Target="diagrams/quickStyle3.xml"/><Relationship Id="rId17" Type="http://schemas.openxmlformats.org/officeDocument/2006/relationships/diagramLayout" Target="diagrams/layout3.xml"/><Relationship Id="rId16" Type="http://schemas.openxmlformats.org/officeDocument/2006/relationships/diagramData" Target="diagrams/data3.xml"/><Relationship Id="rId15" Type="http://schemas.microsoft.com/office/2007/relationships/diagramDrawing" Target="diagrams/drawing2.xml"/><Relationship Id="rId14" Type="http://schemas.openxmlformats.org/officeDocument/2006/relationships/diagramColors" Target="diagrams/colors2.xml"/><Relationship Id="rId13" Type="http://schemas.openxmlformats.org/officeDocument/2006/relationships/diagramQuickStyle" Target="diagrams/quickStyle2.xml"/><Relationship Id="rId12" Type="http://schemas.openxmlformats.org/officeDocument/2006/relationships/diagramLayout" Target="diagrams/layout2.xml"/><Relationship Id="rId11" Type="http://schemas.openxmlformats.org/officeDocument/2006/relationships/diagramData" Target="diagrams/data2.xml"/><Relationship Id="rId10" Type="http://schemas.microsoft.com/office/2007/relationships/diagramDrawing" Target="diagrams/drawing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F256E7BB-FFE5-46A7-967C-A319040E7F20}" type="doc">
      <dgm:prSet loTypeId="urn:microsoft.com/office/officeart/2005/8/layout/radial3" loCatId="cycle" qsTypeId="urn:microsoft.com/office/officeart/2005/8/quickstyle/simple1" qsCatId="simple" csTypeId="urn:microsoft.com/office/officeart/2005/8/colors/colorful1#1" csCatId="colorful" phldr="1"/>
      <dgm:spPr/>
      <dgm:t>
        <a:bodyPr/>
        <a:p>
          <a:endParaRPr lang="en-US"/>
        </a:p>
      </dgm:t>
    </dgm:pt>
    <dgm:pt modelId="{C02AC2FD-254B-4304-86E2-AF8D85149666}">
      <dgm:prSet phldrT="[Text]" custT="1"/>
      <dgm:spPr/>
      <dgm:t>
        <a:bodyPr/>
        <a:p>
          <a:r>
            <a:rPr lang="en-US" sz="2000"/>
            <a:t>Situation Analysis</a:t>
          </a:r>
        </a:p>
      </dgm:t>
    </dgm:pt>
    <dgm:pt modelId="{0F5D26BC-2CBE-4B70-83AA-BED004075207}" cxnId="{37835560-BCB4-474E-80B7-9D12E8726A12}" type="parTrans">
      <dgm:prSet/>
      <dgm:spPr/>
      <dgm:t>
        <a:bodyPr/>
        <a:p>
          <a:endParaRPr lang="en-US"/>
        </a:p>
      </dgm:t>
    </dgm:pt>
    <dgm:pt modelId="{4F56935E-44B0-4B4C-9AD4-BE4848E05F2F}" cxnId="{37835560-BCB4-474E-80B7-9D12E8726A12}" type="sibTrans">
      <dgm:prSet/>
      <dgm:spPr/>
      <dgm:t>
        <a:bodyPr/>
        <a:p>
          <a:endParaRPr lang="en-US"/>
        </a:p>
      </dgm:t>
    </dgm:pt>
    <dgm:pt modelId="{097EBD5F-F066-4881-8728-6D21FCDD35F4}">
      <dgm:prSet phldrT="[Text]" custT="1"/>
      <dgm:spPr/>
      <dgm:t>
        <a:bodyPr/>
        <a:p>
          <a:r>
            <a:rPr lang="en-US" sz="1050"/>
            <a:t>SWOT</a:t>
          </a:r>
        </a:p>
      </dgm:t>
    </dgm:pt>
    <dgm:pt modelId="{9E1F1F6A-A982-4350-8EF6-9D54D9E5D3B8}" cxnId="{E702846C-BDCD-411D-916E-CD321FCFA933}" type="parTrans">
      <dgm:prSet/>
      <dgm:spPr/>
      <dgm:t>
        <a:bodyPr/>
        <a:p>
          <a:endParaRPr lang="en-US"/>
        </a:p>
      </dgm:t>
    </dgm:pt>
    <dgm:pt modelId="{AF48BC0C-33FE-4381-828F-ECC71D35804F}" cxnId="{E702846C-BDCD-411D-916E-CD321FCFA933}" type="sibTrans">
      <dgm:prSet/>
      <dgm:spPr/>
      <dgm:t>
        <a:bodyPr/>
        <a:p>
          <a:endParaRPr lang="en-US"/>
        </a:p>
      </dgm:t>
    </dgm:pt>
    <dgm:pt modelId="{8BAAB609-060F-4993-B5C0-7E3DD14244C9}">
      <dgm:prSet phldrT="[Text]" custT="1"/>
      <dgm:spPr/>
      <dgm:t>
        <a:bodyPr/>
        <a:p>
          <a:r>
            <a:rPr lang="en-US" sz="1050"/>
            <a:t>Customer Analysis</a:t>
          </a:r>
        </a:p>
      </dgm:t>
    </dgm:pt>
    <dgm:pt modelId="{5525B4B9-B7F5-4ACE-929F-659882A7BFA5}" cxnId="{C1C288C3-51F9-447B-B9DA-D5EB57CD82A7}" type="parTrans">
      <dgm:prSet/>
      <dgm:spPr/>
      <dgm:t>
        <a:bodyPr/>
        <a:p>
          <a:endParaRPr lang="en-US"/>
        </a:p>
      </dgm:t>
    </dgm:pt>
    <dgm:pt modelId="{5B5E21EB-9AA0-4F7D-A1A4-0FFD75C114A1}" cxnId="{C1C288C3-51F9-447B-B9DA-D5EB57CD82A7}" type="sibTrans">
      <dgm:prSet/>
      <dgm:spPr/>
      <dgm:t>
        <a:bodyPr/>
        <a:p>
          <a:endParaRPr lang="en-US"/>
        </a:p>
      </dgm:t>
    </dgm:pt>
    <dgm:pt modelId="{EF5DE947-6BC6-4F31-938B-61FF480F81C1}">
      <dgm:prSet phldrT="[Text]" custT="1"/>
      <dgm:spPr/>
      <dgm:t>
        <a:bodyPr/>
        <a:p>
          <a:r>
            <a:rPr lang="en-US" sz="900"/>
            <a:t>Stakeholder analysis</a:t>
          </a:r>
        </a:p>
      </dgm:t>
    </dgm:pt>
    <dgm:pt modelId="{8221449C-7D93-4958-A78B-1DDAEC7829DD}" cxnId="{6F0AFDD4-6A5C-4218-877D-4853EDBB0F8E}" type="parTrans">
      <dgm:prSet/>
      <dgm:spPr/>
      <dgm:t>
        <a:bodyPr/>
        <a:p>
          <a:endParaRPr lang="en-US"/>
        </a:p>
      </dgm:t>
    </dgm:pt>
    <dgm:pt modelId="{7ED2912F-F6B6-4513-BEE5-89538ADC775B}" cxnId="{6F0AFDD4-6A5C-4218-877D-4853EDBB0F8E}" type="sibTrans">
      <dgm:prSet/>
      <dgm:spPr/>
      <dgm:t>
        <a:bodyPr/>
        <a:p>
          <a:endParaRPr lang="en-US"/>
        </a:p>
      </dgm:t>
    </dgm:pt>
    <dgm:pt modelId="{D0B9FD6E-7C70-44EF-97DC-B471FBAAE03C}">
      <dgm:prSet phldrT="[Text]" custT="1"/>
      <dgm:spPr/>
      <dgm:t>
        <a:bodyPr/>
        <a:p>
          <a:r>
            <a:rPr lang="en-US" sz="1050"/>
            <a:t>Porter's 5 Forces</a:t>
          </a:r>
        </a:p>
      </dgm:t>
    </dgm:pt>
    <dgm:pt modelId="{3EE532CD-0D46-4868-9969-8D1734C6B0C7}" cxnId="{CE96C6FC-5340-41D2-B8BD-93865AD9617C}" type="parTrans">
      <dgm:prSet/>
      <dgm:spPr/>
      <dgm:t>
        <a:bodyPr/>
        <a:p>
          <a:endParaRPr lang="en-US"/>
        </a:p>
      </dgm:t>
    </dgm:pt>
    <dgm:pt modelId="{81C9E46D-454F-4C9D-9633-F4900C6F5784}" cxnId="{CE96C6FC-5340-41D2-B8BD-93865AD9617C}" type="sibTrans">
      <dgm:prSet/>
      <dgm:spPr/>
      <dgm:t>
        <a:bodyPr/>
        <a:p>
          <a:endParaRPr lang="en-US"/>
        </a:p>
      </dgm:t>
    </dgm:pt>
    <dgm:pt modelId="{845F10AD-7057-4D0C-B43B-878D27DD8E9B}" type="pres">
      <dgm:prSet presAssocID="{F256E7BB-FFE5-46A7-967C-A319040E7F20}" presName="composite" presStyleCnt="0">
        <dgm:presLayoutVars>
          <dgm:chMax val="1"/>
          <dgm:dir/>
          <dgm:resizeHandles val="exact"/>
        </dgm:presLayoutVars>
      </dgm:prSet>
      <dgm:spPr/>
    </dgm:pt>
    <dgm:pt modelId="{964579DB-02D2-4CDB-B0FB-43E0BCBB952F}" type="pres">
      <dgm:prSet presAssocID="{F256E7BB-FFE5-46A7-967C-A319040E7F20}" presName="radial" presStyleCnt="0">
        <dgm:presLayoutVars>
          <dgm:animLvl val="ctr"/>
        </dgm:presLayoutVars>
      </dgm:prSet>
      <dgm:spPr/>
    </dgm:pt>
    <dgm:pt modelId="{10917A95-76F6-4716-85E2-80BF2B89E842}" type="pres">
      <dgm:prSet presAssocID="{C02AC2FD-254B-4304-86E2-AF8D85149666}" presName="centerShape" presStyleLbl="vennNode1" presStyleIdx="0" presStyleCnt="5"/>
      <dgm:spPr/>
    </dgm:pt>
    <dgm:pt modelId="{8F0A651E-6D8F-4B04-9EF6-7E2799D03A0A}" type="pres">
      <dgm:prSet presAssocID="{097EBD5F-F066-4881-8728-6D21FCDD35F4}" presName="node" presStyleLbl="vennNode1" presStyleIdx="1" presStyleCnt="5">
        <dgm:presLayoutVars>
          <dgm:bulletEnabled val="1"/>
        </dgm:presLayoutVars>
      </dgm:prSet>
      <dgm:spPr/>
    </dgm:pt>
    <dgm:pt modelId="{59450756-D47B-498A-91B5-3A97DC6CCC4F}" type="pres">
      <dgm:prSet presAssocID="{8BAAB609-060F-4993-B5C0-7E3DD14244C9}" presName="node" presStyleLbl="vennNode1" presStyleIdx="2" presStyleCnt="5">
        <dgm:presLayoutVars>
          <dgm:bulletEnabled val="1"/>
        </dgm:presLayoutVars>
      </dgm:prSet>
      <dgm:spPr/>
    </dgm:pt>
    <dgm:pt modelId="{63200149-C6A0-4E6C-819A-300424EA81F2}" type="pres">
      <dgm:prSet presAssocID="{EF5DE947-6BC6-4F31-938B-61FF480F81C1}" presName="node" presStyleLbl="vennNode1" presStyleIdx="3" presStyleCnt="5" custScaleX="108169" custScaleY="100814">
        <dgm:presLayoutVars>
          <dgm:bulletEnabled val="1"/>
        </dgm:presLayoutVars>
      </dgm:prSet>
      <dgm:spPr/>
    </dgm:pt>
    <dgm:pt modelId="{AD38C08F-9819-4B8B-AA62-4981BBACD1BA}" type="pres">
      <dgm:prSet presAssocID="{D0B9FD6E-7C70-44EF-97DC-B471FBAAE03C}" presName="node" presStyleLbl="vennNode1" presStyleIdx="4" presStyleCnt="5">
        <dgm:presLayoutVars>
          <dgm:bulletEnabled val="1"/>
        </dgm:presLayoutVars>
      </dgm:prSet>
      <dgm:spPr/>
    </dgm:pt>
  </dgm:ptLst>
  <dgm:cxnLst>
    <dgm:cxn modelId="{4E4E1106-E2F4-4980-B3A3-BDB1E765C767}" type="presOf" srcId="{097EBD5F-F066-4881-8728-6D21FCDD35F4}" destId="{8F0A651E-6D8F-4B04-9EF6-7E2799D03A0A}" srcOrd="0" destOrd="0" presId="urn:microsoft.com/office/officeart/2005/8/layout/radial3"/>
    <dgm:cxn modelId="{37835560-BCB4-474E-80B7-9D12E8726A12}" srcId="{F256E7BB-FFE5-46A7-967C-A319040E7F20}" destId="{C02AC2FD-254B-4304-86E2-AF8D85149666}" srcOrd="0" destOrd="0" parTransId="{0F5D26BC-2CBE-4B70-83AA-BED004075207}" sibTransId="{4F56935E-44B0-4B4C-9AD4-BE4848E05F2F}"/>
    <dgm:cxn modelId="{12639E47-1E5E-4D81-A923-81BB3FDDF676}" type="presOf" srcId="{EF5DE947-6BC6-4F31-938B-61FF480F81C1}" destId="{63200149-C6A0-4E6C-819A-300424EA81F2}" srcOrd="0" destOrd="0" presId="urn:microsoft.com/office/officeart/2005/8/layout/radial3"/>
    <dgm:cxn modelId="{E702846C-BDCD-411D-916E-CD321FCFA933}" srcId="{C02AC2FD-254B-4304-86E2-AF8D85149666}" destId="{097EBD5F-F066-4881-8728-6D21FCDD35F4}" srcOrd="0" destOrd="0" parTransId="{9E1F1F6A-A982-4350-8EF6-9D54D9E5D3B8}" sibTransId="{AF48BC0C-33FE-4381-828F-ECC71D35804F}"/>
    <dgm:cxn modelId="{B5D85356-A517-4D8E-97A8-85B6321B2B8E}" type="presOf" srcId="{8BAAB609-060F-4993-B5C0-7E3DD14244C9}" destId="{59450756-D47B-498A-91B5-3A97DC6CCC4F}" srcOrd="0" destOrd="0" presId="urn:microsoft.com/office/officeart/2005/8/layout/radial3"/>
    <dgm:cxn modelId="{C1C288C3-51F9-447B-B9DA-D5EB57CD82A7}" srcId="{C02AC2FD-254B-4304-86E2-AF8D85149666}" destId="{8BAAB609-060F-4993-B5C0-7E3DD14244C9}" srcOrd="1" destOrd="0" parTransId="{5525B4B9-B7F5-4ACE-929F-659882A7BFA5}" sibTransId="{5B5E21EB-9AA0-4F7D-A1A4-0FFD75C114A1}"/>
    <dgm:cxn modelId="{1A2BB0C3-7BD8-4AA3-9207-2AAFA1223D0D}" type="presOf" srcId="{D0B9FD6E-7C70-44EF-97DC-B471FBAAE03C}" destId="{AD38C08F-9819-4B8B-AA62-4981BBACD1BA}" srcOrd="0" destOrd="0" presId="urn:microsoft.com/office/officeart/2005/8/layout/radial3"/>
    <dgm:cxn modelId="{6F0AFDD4-6A5C-4218-877D-4853EDBB0F8E}" srcId="{C02AC2FD-254B-4304-86E2-AF8D85149666}" destId="{EF5DE947-6BC6-4F31-938B-61FF480F81C1}" srcOrd="2" destOrd="0" parTransId="{8221449C-7D93-4958-A78B-1DDAEC7829DD}" sibTransId="{7ED2912F-F6B6-4513-BEE5-89538ADC775B}"/>
    <dgm:cxn modelId="{DDF9D3D6-28C1-47DD-A308-C955FF39AFA3}" type="presOf" srcId="{F256E7BB-FFE5-46A7-967C-A319040E7F20}" destId="{845F10AD-7057-4D0C-B43B-878D27DD8E9B}" srcOrd="0" destOrd="0" presId="urn:microsoft.com/office/officeart/2005/8/layout/radial3"/>
    <dgm:cxn modelId="{6DCFCDF9-287A-4A5A-9853-30F4940F3A7C}" type="presOf" srcId="{C02AC2FD-254B-4304-86E2-AF8D85149666}" destId="{10917A95-76F6-4716-85E2-80BF2B89E842}" srcOrd="0" destOrd="0" presId="urn:microsoft.com/office/officeart/2005/8/layout/radial3"/>
    <dgm:cxn modelId="{CE96C6FC-5340-41D2-B8BD-93865AD9617C}" srcId="{C02AC2FD-254B-4304-86E2-AF8D85149666}" destId="{D0B9FD6E-7C70-44EF-97DC-B471FBAAE03C}" srcOrd="3" destOrd="0" parTransId="{3EE532CD-0D46-4868-9969-8D1734C6B0C7}" sibTransId="{81C9E46D-454F-4C9D-9633-F4900C6F5784}"/>
    <dgm:cxn modelId="{B0860A19-4F13-47E3-A878-411C0BED8386}" type="presParOf" srcId="{845F10AD-7057-4D0C-B43B-878D27DD8E9B}" destId="{964579DB-02D2-4CDB-B0FB-43E0BCBB952F}" srcOrd="0" destOrd="0" presId="urn:microsoft.com/office/officeart/2005/8/layout/radial3"/>
    <dgm:cxn modelId="{F80D3B73-289E-44BD-9FE4-DA5684026CA7}" type="presParOf" srcId="{964579DB-02D2-4CDB-B0FB-43E0BCBB952F}" destId="{10917A95-76F6-4716-85E2-80BF2B89E842}" srcOrd="0" destOrd="0" presId="urn:microsoft.com/office/officeart/2005/8/layout/radial3"/>
    <dgm:cxn modelId="{53DBCFDA-50F1-437B-92BA-3AAA43BFE36B}" type="presParOf" srcId="{964579DB-02D2-4CDB-B0FB-43E0BCBB952F}" destId="{8F0A651E-6D8F-4B04-9EF6-7E2799D03A0A}" srcOrd="1" destOrd="0" presId="urn:microsoft.com/office/officeart/2005/8/layout/radial3"/>
    <dgm:cxn modelId="{1EFE45A6-5838-442B-B43E-D193A81DFA1E}" type="presParOf" srcId="{964579DB-02D2-4CDB-B0FB-43E0BCBB952F}" destId="{59450756-D47B-498A-91B5-3A97DC6CCC4F}" srcOrd="2" destOrd="0" presId="urn:microsoft.com/office/officeart/2005/8/layout/radial3"/>
    <dgm:cxn modelId="{0BC041D5-49E8-4709-A3CD-5CEBFC5317F5}" type="presParOf" srcId="{964579DB-02D2-4CDB-B0FB-43E0BCBB952F}" destId="{63200149-C6A0-4E6C-819A-300424EA81F2}" srcOrd="3" destOrd="0" presId="urn:microsoft.com/office/officeart/2005/8/layout/radial3"/>
    <dgm:cxn modelId="{DF9659F2-178E-4B85-A0B2-ED07EFB905E2}" type="presParOf" srcId="{964579DB-02D2-4CDB-B0FB-43E0BCBB952F}" destId="{AD38C08F-9819-4B8B-AA62-4981BBACD1BA}" srcOrd="4" destOrd="0" presId="urn:microsoft.com/office/officeart/2005/8/layout/radial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A4DEE81-27C7-420D-B5C0-11CF868E49EC}" type="doc">
      <dgm:prSet loTypeId="urn:microsoft.com/office/officeart/2005/8/layout/default" loCatId="list" qsTypeId="urn:microsoft.com/office/officeart/2005/8/quickstyle/simple1" qsCatId="simple" csTypeId="urn:microsoft.com/office/officeart/2005/8/colors/colorful2" csCatId="colorful" phldr="1"/>
      <dgm:spPr/>
      <dgm:t>
        <a:bodyPr/>
        <a:p>
          <a:endParaRPr lang="en-US"/>
        </a:p>
      </dgm:t>
    </dgm:pt>
    <dgm:pt modelId="{FF5610E9-1DBC-4C64-9FA1-DA418B779471}">
      <dgm:prSet phldrT="[Text]"/>
      <dgm:spPr/>
      <dgm:t>
        <a:bodyPr/>
        <a:p>
          <a:pPr algn="ctr"/>
          <a:r>
            <a:rPr lang="en-US"/>
            <a:t>Specific</a:t>
          </a:r>
        </a:p>
      </dgm:t>
    </dgm:pt>
    <dgm:pt modelId="{3D814219-9968-4B3A-935C-83729B8C4668}" cxnId="{FB5B4CFF-B8DF-4821-9DF0-657B6F6C2E87}" type="parTrans">
      <dgm:prSet/>
      <dgm:spPr/>
      <dgm:t>
        <a:bodyPr/>
        <a:p>
          <a:pPr algn="ctr"/>
          <a:endParaRPr lang="en-US"/>
        </a:p>
      </dgm:t>
    </dgm:pt>
    <dgm:pt modelId="{C53431B0-D45E-4328-83D3-965987705618}" cxnId="{FB5B4CFF-B8DF-4821-9DF0-657B6F6C2E87}" type="sibTrans">
      <dgm:prSet/>
      <dgm:spPr/>
      <dgm:t>
        <a:bodyPr/>
        <a:p>
          <a:pPr algn="ctr"/>
          <a:endParaRPr lang="en-US"/>
        </a:p>
      </dgm:t>
    </dgm:pt>
    <dgm:pt modelId="{B0C78E0D-0164-4CD5-8A68-9E3BA3C78867}">
      <dgm:prSet phldrT="[Text]"/>
      <dgm:spPr/>
      <dgm:t>
        <a:bodyPr/>
        <a:p>
          <a:pPr algn="ctr"/>
          <a:r>
            <a:rPr lang="en-US"/>
            <a:t>Measurable</a:t>
          </a:r>
        </a:p>
      </dgm:t>
    </dgm:pt>
    <dgm:pt modelId="{B6ED4AE9-6C8A-4062-972F-1EF1B1F7F51A}" cxnId="{1D234F09-46B9-49C1-B0BA-20CC9EFE4BED}" type="parTrans">
      <dgm:prSet/>
      <dgm:spPr/>
      <dgm:t>
        <a:bodyPr/>
        <a:p>
          <a:pPr algn="ctr"/>
          <a:endParaRPr lang="en-US"/>
        </a:p>
      </dgm:t>
    </dgm:pt>
    <dgm:pt modelId="{F25A78D2-0501-4C9A-A8D7-D2AAB90C707E}" cxnId="{1D234F09-46B9-49C1-B0BA-20CC9EFE4BED}" type="sibTrans">
      <dgm:prSet/>
      <dgm:spPr/>
      <dgm:t>
        <a:bodyPr/>
        <a:p>
          <a:pPr algn="ctr"/>
          <a:endParaRPr lang="en-US"/>
        </a:p>
      </dgm:t>
    </dgm:pt>
    <dgm:pt modelId="{86AF5DC8-90BB-4B59-AB42-6F4D9F8C40A0}">
      <dgm:prSet phldrT="[Text]"/>
      <dgm:spPr/>
      <dgm:t>
        <a:bodyPr/>
        <a:p>
          <a:pPr algn="ctr"/>
          <a:r>
            <a:rPr lang="en-US"/>
            <a:t>Attainable</a:t>
          </a:r>
        </a:p>
      </dgm:t>
    </dgm:pt>
    <dgm:pt modelId="{64FBF122-9723-414A-929F-A57B1AF1643F}" cxnId="{85222775-C462-4C1F-89F5-21567B97F5C4}" type="parTrans">
      <dgm:prSet/>
      <dgm:spPr/>
      <dgm:t>
        <a:bodyPr/>
        <a:p>
          <a:pPr algn="ctr"/>
          <a:endParaRPr lang="en-US"/>
        </a:p>
      </dgm:t>
    </dgm:pt>
    <dgm:pt modelId="{0FE77F18-40FA-4734-A640-523187ADBF7D}" cxnId="{85222775-C462-4C1F-89F5-21567B97F5C4}" type="sibTrans">
      <dgm:prSet/>
      <dgm:spPr/>
      <dgm:t>
        <a:bodyPr/>
        <a:p>
          <a:pPr algn="ctr"/>
          <a:endParaRPr lang="en-US"/>
        </a:p>
      </dgm:t>
    </dgm:pt>
    <dgm:pt modelId="{03751C97-4CE5-4E8C-92CE-6ECB5CDBD4F6}">
      <dgm:prSet phldrT="[Text]"/>
      <dgm:spPr/>
      <dgm:t>
        <a:bodyPr/>
        <a:p>
          <a:pPr algn="ctr"/>
          <a:r>
            <a:rPr lang="en-US"/>
            <a:t>Realistic</a:t>
          </a:r>
        </a:p>
      </dgm:t>
    </dgm:pt>
    <dgm:pt modelId="{53570F24-8220-4599-9900-FCAFDD5DF191}" cxnId="{2C402887-9998-48E0-A892-0B916AEEB956}" type="parTrans">
      <dgm:prSet/>
      <dgm:spPr/>
      <dgm:t>
        <a:bodyPr/>
        <a:p>
          <a:pPr algn="ctr"/>
          <a:endParaRPr lang="en-US"/>
        </a:p>
      </dgm:t>
    </dgm:pt>
    <dgm:pt modelId="{768F8EC3-B58D-4E6E-B76D-BEE9476535FC}" cxnId="{2C402887-9998-48E0-A892-0B916AEEB956}" type="sibTrans">
      <dgm:prSet/>
      <dgm:spPr/>
      <dgm:t>
        <a:bodyPr/>
        <a:p>
          <a:pPr algn="ctr"/>
          <a:endParaRPr lang="en-US"/>
        </a:p>
      </dgm:t>
    </dgm:pt>
    <dgm:pt modelId="{7BAF2E98-A59B-4AE6-A273-C0B5EF756C6E}">
      <dgm:prSet phldrT="[Text]"/>
      <dgm:spPr/>
      <dgm:t>
        <a:bodyPr/>
        <a:p>
          <a:pPr algn="ctr"/>
          <a:r>
            <a:rPr lang="en-US"/>
            <a:t>Timely</a:t>
          </a:r>
        </a:p>
      </dgm:t>
    </dgm:pt>
    <dgm:pt modelId="{624CDE56-D4BA-43B4-B8E4-F993B796E1ED}" cxnId="{B2F13A06-2E5E-45E5-B655-A4DD71B76640}" type="parTrans">
      <dgm:prSet/>
      <dgm:spPr/>
      <dgm:t>
        <a:bodyPr/>
        <a:p>
          <a:pPr algn="ctr"/>
          <a:endParaRPr lang="en-US"/>
        </a:p>
      </dgm:t>
    </dgm:pt>
    <dgm:pt modelId="{DFD914F4-B3F3-4963-B93A-1C6340275F08}" cxnId="{B2F13A06-2E5E-45E5-B655-A4DD71B76640}" type="sibTrans">
      <dgm:prSet/>
      <dgm:spPr/>
      <dgm:t>
        <a:bodyPr/>
        <a:p>
          <a:pPr algn="ctr"/>
          <a:endParaRPr lang="en-US"/>
        </a:p>
      </dgm:t>
    </dgm:pt>
    <dgm:pt modelId="{632C830E-09A8-4EE3-B0CE-8999F354AF0B}" type="pres">
      <dgm:prSet presAssocID="{5A4DEE81-27C7-420D-B5C0-11CF868E49EC}" presName="diagram" presStyleCnt="0">
        <dgm:presLayoutVars>
          <dgm:dir/>
          <dgm:resizeHandles val="exact"/>
        </dgm:presLayoutVars>
      </dgm:prSet>
      <dgm:spPr/>
    </dgm:pt>
    <dgm:pt modelId="{72C67A37-E00D-4F0D-A18A-4E764FE7806D}" type="pres">
      <dgm:prSet presAssocID="{FF5610E9-1DBC-4C64-9FA1-DA418B779471}" presName="node" presStyleLbl="node1" presStyleIdx="0" presStyleCnt="5">
        <dgm:presLayoutVars>
          <dgm:bulletEnabled val="1"/>
        </dgm:presLayoutVars>
      </dgm:prSet>
      <dgm:spPr/>
    </dgm:pt>
    <dgm:pt modelId="{13029CB3-90DE-4BC4-A524-5052424CCCF7}" type="pres">
      <dgm:prSet presAssocID="{C53431B0-D45E-4328-83D3-965987705618}" presName="sibTrans" presStyleCnt="0"/>
      <dgm:spPr/>
    </dgm:pt>
    <dgm:pt modelId="{2881D36C-2D37-4286-934D-7E623D69C3A2}" type="pres">
      <dgm:prSet presAssocID="{B0C78E0D-0164-4CD5-8A68-9E3BA3C78867}" presName="node" presStyleLbl="node1" presStyleIdx="1" presStyleCnt="5">
        <dgm:presLayoutVars>
          <dgm:bulletEnabled val="1"/>
        </dgm:presLayoutVars>
      </dgm:prSet>
      <dgm:spPr/>
    </dgm:pt>
    <dgm:pt modelId="{22FF188E-7BF2-4430-8350-CEF285A3A18F}" type="pres">
      <dgm:prSet presAssocID="{F25A78D2-0501-4C9A-A8D7-D2AAB90C707E}" presName="sibTrans" presStyleCnt="0"/>
      <dgm:spPr/>
    </dgm:pt>
    <dgm:pt modelId="{C518A786-9A2C-4A14-8217-EE36EB6F30B7}" type="pres">
      <dgm:prSet presAssocID="{86AF5DC8-90BB-4B59-AB42-6F4D9F8C40A0}" presName="node" presStyleLbl="node1" presStyleIdx="2" presStyleCnt="5">
        <dgm:presLayoutVars>
          <dgm:bulletEnabled val="1"/>
        </dgm:presLayoutVars>
      </dgm:prSet>
      <dgm:spPr/>
    </dgm:pt>
    <dgm:pt modelId="{2EF713AD-409B-466B-BA48-7E3A1449B59C}" type="pres">
      <dgm:prSet presAssocID="{0FE77F18-40FA-4734-A640-523187ADBF7D}" presName="sibTrans" presStyleCnt="0"/>
      <dgm:spPr/>
    </dgm:pt>
    <dgm:pt modelId="{C72F7EB2-3260-468A-8331-9FEB098C7723}" type="pres">
      <dgm:prSet presAssocID="{03751C97-4CE5-4E8C-92CE-6ECB5CDBD4F6}" presName="node" presStyleLbl="node1" presStyleIdx="3" presStyleCnt="5">
        <dgm:presLayoutVars>
          <dgm:bulletEnabled val="1"/>
        </dgm:presLayoutVars>
      </dgm:prSet>
      <dgm:spPr/>
    </dgm:pt>
    <dgm:pt modelId="{86C9C73C-B4F9-42E2-B626-91E4474F1958}" type="pres">
      <dgm:prSet presAssocID="{768F8EC3-B58D-4E6E-B76D-BEE9476535FC}" presName="sibTrans" presStyleCnt="0"/>
      <dgm:spPr/>
    </dgm:pt>
    <dgm:pt modelId="{2C1C103B-E018-4CCE-9B04-97BEAA9ED180}" type="pres">
      <dgm:prSet presAssocID="{7BAF2E98-A59B-4AE6-A273-C0B5EF756C6E}" presName="node" presStyleLbl="node1" presStyleIdx="4" presStyleCnt="5">
        <dgm:presLayoutVars>
          <dgm:bulletEnabled val="1"/>
        </dgm:presLayoutVars>
      </dgm:prSet>
      <dgm:spPr/>
    </dgm:pt>
  </dgm:ptLst>
  <dgm:cxnLst>
    <dgm:cxn modelId="{B2F13A06-2E5E-45E5-B655-A4DD71B76640}" srcId="{5A4DEE81-27C7-420D-B5C0-11CF868E49EC}" destId="{7BAF2E98-A59B-4AE6-A273-C0B5EF756C6E}" srcOrd="4" destOrd="0" parTransId="{624CDE56-D4BA-43B4-B8E4-F993B796E1ED}" sibTransId="{DFD914F4-B3F3-4963-B93A-1C6340275F08}"/>
    <dgm:cxn modelId="{1D234F09-46B9-49C1-B0BA-20CC9EFE4BED}" srcId="{5A4DEE81-27C7-420D-B5C0-11CF868E49EC}" destId="{B0C78E0D-0164-4CD5-8A68-9E3BA3C78867}" srcOrd="1" destOrd="0" parTransId="{B6ED4AE9-6C8A-4062-972F-1EF1B1F7F51A}" sibTransId="{F25A78D2-0501-4C9A-A8D7-D2AAB90C707E}"/>
    <dgm:cxn modelId="{E69FDC16-D983-428A-819A-1156F04C9E1B}" type="presOf" srcId="{03751C97-4CE5-4E8C-92CE-6ECB5CDBD4F6}" destId="{C72F7EB2-3260-468A-8331-9FEB098C7723}" srcOrd="0" destOrd="0" presId="urn:microsoft.com/office/officeart/2005/8/layout/default"/>
    <dgm:cxn modelId="{FD63383E-FF4E-4172-AE17-8DEC857A83D9}" type="presOf" srcId="{7BAF2E98-A59B-4AE6-A273-C0B5EF756C6E}" destId="{2C1C103B-E018-4CCE-9B04-97BEAA9ED180}" srcOrd="0" destOrd="0" presId="urn:microsoft.com/office/officeart/2005/8/layout/default"/>
    <dgm:cxn modelId="{9E59A94D-9396-4B2E-AC63-2FABE6C943C3}" type="presOf" srcId="{B0C78E0D-0164-4CD5-8A68-9E3BA3C78867}" destId="{2881D36C-2D37-4286-934D-7E623D69C3A2}" srcOrd="0" destOrd="0" presId="urn:microsoft.com/office/officeart/2005/8/layout/default"/>
    <dgm:cxn modelId="{A12EDB50-2F31-4476-AD35-9D8BCE9CAA2C}" type="presOf" srcId="{86AF5DC8-90BB-4B59-AB42-6F4D9F8C40A0}" destId="{C518A786-9A2C-4A14-8217-EE36EB6F30B7}" srcOrd="0" destOrd="0" presId="urn:microsoft.com/office/officeart/2005/8/layout/default"/>
    <dgm:cxn modelId="{6E04C671-368F-41A2-A189-88F5FC40E588}" type="presOf" srcId="{5A4DEE81-27C7-420D-B5C0-11CF868E49EC}" destId="{632C830E-09A8-4EE3-B0CE-8999F354AF0B}" srcOrd="0" destOrd="0" presId="urn:microsoft.com/office/officeart/2005/8/layout/default"/>
    <dgm:cxn modelId="{85222775-C462-4C1F-89F5-21567B97F5C4}" srcId="{5A4DEE81-27C7-420D-B5C0-11CF868E49EC}" destId="{86AF5DC8-90BB-4B59-AB42-6F4D9F8C40A0}" srcOrd="2" destOrd="0" parTransId="{64FBF122-9723-414A-929F-A57B1AF1643F}" sibTransId="{0FE77F18-40FA-4734-A640-523187ADBF7D}"/>
    <dgm:cxn modelId="{E42F3F76-A738-4804-837F-E19F12E1DAC3}" type="presOf" srcId="{FF5610E9-1DBC-4C64-9FA1-DA418B779471}" destId="{72C67A37-E00D-4F0D-A18A-4E764FE7806D}" srcOrd="0" destOrd="0" presId="urn:microsoft.com/office/officeart/2005/8/layout/default"/>
    <dgm:cxn modelId="{2C402887-9998-48E0-A892-0B916AEEB956}" srcId="{5A4DEE81-27C7-420D-B5C0-11CF868E49EC}" destId="{03751C97-4CE5-4E8C-92CE-6ECB5CDBD4F6}" srcOrd="3" destOrd="0" parTransId="{53570F24-8220-4599-9900-FCAFDD5DF191}" sibTransId="{768F8EC3-B58D-4E6E-B76D-BEE9476535FC}"/>
    <dgm:cxn modelId="{FB5B4CFF-B8DF-4821-9DF0-657B6F6C2E87}" srcId="{5A4DEE81-27C7-420D-B5C0-11CF868E49EC}" destId="{FF5610E9-1DBC-4C64-9FA1-DA418B779471}" srcOrd="0" destOrd="0" parTransId="{3D814219-9968-4B3A-935C-83729B8C4668}" sibTransId="{C53431B0-D45E-4328-83D3-965987705618}"/>
    <dgm:cxn modelId="{2D418369-5F34-4841-9344-CD0E979A4CBC}" type="presParOf" srcId="{632C830E-09A8-4EE3-B0CE-8999F354AF0B}" destId="{72C67A37-E00D-4F0D-A18A-4E764FE7806D}" srcOrd="0" destOrd="0" presId="urn:microsoft.com/office/officeart/2005/8/layout/default"/>
    <dgm:cxn modelId="{E3CA8AFC-01E7-4A99-ABBD-51BA6D43A658}" type="presParOf" srcId="{632C830E-09A8-4EE3-B0CE-8999F354AF0B}" destId="{13029CB3-90DE-4BC4-A524-5052424CCCF7}" srcOrd="1" destOrd="0" presId="urn:microsoft.com/office/officeart/2005/8/layout/default"/>
    <dgm:cxn modelId="{3855CE67-C479-49F2-9815-632F9B74F957}" type="presParOf" srcId="{632C830E-09A8-4EE3-B0CE-8999F354AF0B}" destId="{2881D36C-2D37-4286-934D-7E623D69C3A2}" srcOrd="2" destOrd="0" presId="urn:microsoft.com/office/officeart/2005/8/layout/default"/>
    <dgm:cxn modelId="{7853ED6C-9026-4D12-A1EF-F2A56748882E}" type="presParOf" srcId="{632C830E-09A8-4EE3-B0CE-8999F354AF0B}" destId="{22FF188E-7BF2-4430-8350-CEF285A3A18F}" srcOrd="3" destOrd="0" presId="urn:microsoft.com/office/officeart/2005/8/layout/default"/>
    <dgm:cxn modelId="{DB2CAFF5-A14B-489D-A335-76FFEB426085}" type="presParOf" srcId="{632C830E-09A8-4EE3-B0CE-8999F354AF0B}" destId="{C518A786-9A2C-4A14-8217-EE36EB6F30B7}" srcOrd="4" destOrd="0" presId="urn:microsoft.com/office/officeart/2005/8/layout/default"/>
    <dgm:cxn modelId="{558D268A-94C0-4C05-B370-B69BA3D77845}" type="presParOf" srcId="{632C830E-09A8-4EE3-B0CE-8999F354AF0B}" destId="{2EF713AD-409B-466B-BA48-7E3A1449B59C}" srcOrd="5" destOrd="0" presId="urn:microsoft.com/office/officeart/2005/8/layout/default"/>
    <dgm:cxn modelId="{EBD958D0-E536-4340-BCCB-D7DA9F532D6C}" type="presParOf" srcId="{632C830E-09A8-4EE3-B0CE-8999F354AF0B}" destId="{C72F7EB2-3260-468A-8331-9FEB098C7723}" srcOrd="6" destOrd="0" presId="urn:microsoft.com/office/officeart/2005/8/layout/default"/>
    <dgm:cxn modelId="{9ED49BE5-73C0-4562-9D42-01D88F9C4D9C}" type="presParOf" srcId="{632C830E-09A8-4EE3-B0CE-8999F354AF0B}" destId="{86C9C73C-B4F9-42E2-B626-91E4474F1958}" srcOrd="7" destOrd="0" presId="urn:microsoft.com/office/officeart/2005/8/layout/default"/>
    <dgm:cxn modelId="{4327C66B-354F-46FF-BA07-2DD0A84879DD}" type="presParOf" srcId="{632C830E-09A8-4EE3-B0CE-8999F354AF0B}" destId="{2C1C103B-E018-4CCE-9B04-97BEAA9ED180}" srcOrd="8"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AD517CA-BEF7-495B-8EC3-6D7EDA7E458A}" type="doc">
      <dgm:prSet loTypeId="urn:microsoft.com/office/officeart/2005/8/layout/matrix2" loCatId="matrix" qsTypeId="urn:microsoft.com/office/officeart/2005/8/quickstyle/simple1" qsCatId="simple" csTypeId="urn:microsoft.com/office/officeart/2005/8/colors/colorful3" csCatId="colorful" phldr="1"/>
      <dgm:spPr/>
      <dgm:t>
        <a:bodyPr/>
        <a:p>
          <a:endParaRPr lang="en-US"/>
        </a:p>
      </dgm:t>
    </dgm:pt>
    <dgm:pt modelId="{50515DAC-07F2-4D21-8E10-5E6CEE504461}">
      <dgm:prSet phldrT="[Text]"/>
      <dgm:spPr/>
      <dgm:t>
        <a:bodyPr/>
        <a:p>
          <a:pPr algn="ctr"/>
          <a:r>
            <a:rPr lang="en-US"/>
            <a:t>Market Development</a:t>
          </a:r>
        </a:p>
      </dgm:t>
    </dgm:pt>
    <dgm:pt modelId="{A35DD1A2-43EE-4E03-9339-311BE1AB5A08}" cxnId="{FDB87DB5-759F-4271-AF13-B180AA1D0DE7}" type="parTrans">
      <dgm:prSet/>
      <dgm:spPr/>
      <dgm:t>
        <a:bodyPr/>
        <a:p>
          <a:pPr algn="ctr"/>
          <a:endParaRPr lang="en-US"/>
        </a:p>
      </dgm:t>
    </dgm:pt>
    <dgm:pt modelId="{69BE8EE3-F9E3-4205-8395-879EF4493247}" cxnId="{FDB87DB5-759F-4271-AF13-B180AA1D0DE7}" type="sibTrans">
      <dgm:prSet/>
      <dgm:spPr/>
      <dgm:t>
        <a:bodyPr/>
        <a:p>
          <a:pPr algn="ctr"/>
          <a:endParaRPr lang="en-US"/>
        </a:p>
      </dgm:t>
    </dgm:pt>
    <dgm:pt modelId="{001F73B1-6F09-485B-A9BC-CB7863CA1C63}">
      <dgm:prSet phldrT="[Text]"/>
      <dgm:spPr/>
      <dgm:t>
        <a:bodyPr/>
        <a:p>
          <a:pPr algn="ctr"/>
          <a:r>
            <a:rPr lang="en-US"/>
            <a:t>Diversification</a:t>
          </a:r>
        </a:p>
      </dgm:t>
    </dgm:pt>
    <dgm:pt modelId="{6F21D9FE-41E4-4B92-A0CA-D59B393EB7EF}" cxnId="{EEE96736-5CFA-4DA1-8D38-DD0CB8808A5D}" type="parTrans">
      <dgm:prSet/>
      <dgm:spPr/>
      <dgm:t>
        <a:bodyPr/>
        <a:p>
          <a:pPr algn="ctr"/>
          <a:endParaRPr lang="en-US"/>
        </a:p>
      </dgm:t>
    </dgm:pt>
    <dgm:pt modelId="{1CEC4A95-9E62-4B9F-9D83-A81F234B7389}" cxnId="{EEE96736-5CFA-4DA1-8D38-DD0CB8808A5D}" type="sibTrans">
      <dgm:prSet/>
      <dgm:spPr/>
      <dgm:t>
        <a:bodyPr/>
        <a:p>
          <a:pPr algn="ctr"/>
          <a:endParaRPr lang="en-US"/>
        </a:p>
      </dgm:t>
    </dgm:pt>
    <dgm:pt modelId="{934DC669-5D6E-4984-AADD-0731E0C630DC}">
      <dgm:prSet phldrT="[Text]"/>
      <dgm:spPr/>
      <dgm:t>
        <a:bodyPr/>
        <a:p>
          <a:pPr algn="ctr"/>
          <a:r>
            <a:rPr lang="en-US"/>
            <a:t>Market Penetration</a:t>
          </a:r>
        </a:p>
      </dgm:t>
    </dgm:pt>
    <dgm:pt modelId="{A7E923C9-9BF2-4865-85FF-E42A872BC628}" cxnId="{6C1BEDE4-FBCB-498B-88A2-B3D0AB095BED}" type="parTrans">
      <dgm:prSet/>
      <dgm:spPr/>
      <dgm:t>
        <a:bodyPr/>
        <a:p>
          <a:pPr algn="ctr"/>
          <a:endParaRPr lang="en-US"/>
        </a:p>
      </dgm:t>
    </dgm:pt>
    <dgm:pt modelId="{90BBE575-AACB-4E09-9114-0E8F786A52D7}" cxnId="{6C1BEDE4-FBCB-498B-88A2-B3D0AB095BED}" type="sibTrans">
      <dgm:prSet/>
      <dgm:spPr/>
      <dgm:t>
        <a:bodyPr/>
        <a:p>
          <a:pPr algn="ctr"/>
          <a:endParaRPr lang="en-US"/>
        </a:p>
      </dgm:t>
    </dgm:pt>
    <dgm:pt modelId="{EADAB16F-2185-4B0F-8BDF-CC75F113F74B}">
      <dgm:prSet phldrT="[Text]"/>
      <dgm:spPr/>
      <dgm:t>
        <a:bodyPr/>
        <a:p>
          <a:pPr algn="ctr"/>
          <a:r>
            <a:rPr lang="en-US"/>
            <a:t>Product development</a:t>
          </a:r>
        </a:p>
      </dgm:t>
    </dgm:pt>
    <dgm:pt modelId="{279DE212-B545-40D5-BFB6-0427EDD5F694}" cxnId="{1E148057-23B9-4D3C-803D-4C992FC8AAC5}" type="parTrans">
      <dgm:prSet/>
      <dgm:spPr/>
      <dgm:t>
        <a:bodyPr/>
        <a:p>
          <a:pPr algn="ctr"/>
          <a:endParaRPr lang="en-US"/>
        </a:p>
      </dgm:t>
    </dgm:pt>
    <dgm:pt modelId="{5EBC0F6C-91D4-484E-BB78-BE8735FB396A}" cxnId="{1E148057-23B9-4D3C-803D-4C992FC8AAC5}" type="sibTrans">
      <dgm:prSet/>
      <dgm:spPr/>
      <dgm:t>
        <a:bodyPr/>
        <a:p>
          <a:pPr algn="ctr"/>
          <a:endParaRPr lang="en-US"/>
        </a:p>
      </dgm:t>
    </dgm:pt>
    <dgm:pt modelId="{19866BBA-F5D2-4575-99BB-5F1F60092DA3}" type="pres">
      <dgm:prSet presAssocID="{4AD517CA-BEF7-495B-8EC3-6D7EDA7E458A}" presName="matrix" presStyleCnt="0">
        <dgm:presLayoutVars>
          <dgm:chMax val="1"/>
          <dgm:dir/>
          <dgm:resizeHandles val="exact"/>
        </dgm:presLayoutVars>
      </dgm:prSet>
      <dgm:spPr/>
    </dgm:pt>
    <dgm:pt modelId="{C9781D21-3699-4584-B01C-8EC01D5AD2C0}" type="pres">
      <dgm:prSet presAssocID="{4AD517CA-BEF7-495B-8EC3-6D7EDA7E458A}" presName="axisShape" presStyleLbl="bgShp" presStyleIdx="0" presStyleCnt="1"/>
      <dgm:spPr/>
    </dgm:pt>
    <dgm:pt modelId="{211CB37F-3722-4DED-9781-40B2FDDBF9CB}" type="pres">
      <dgm:prSet presAssocID="{4AD517CA-BEF7-495B-8EC3-6D7EDA7E458A}" presName="rect1" presStyleLbl="node1" presStyleIdx="0" presStyleCnt="4">
        <dgm:presLayoutVars>
          <dgm:chMax val="0"/>
          <dgm:chPref val="0"/>
          <dgm:bulletEnabled val="1"/>
        </dgm:presLayoutVars>
      </dgm:prSet>
      <dgm:spPr/>
    </dgm:pt>
    <dgm:pt modelId="{A42F69D8-C7F8-4C5A-A95F-996B1B54DE0F}" type="pres">
      <dgm:prSet presAssocID="{4AD517CA-BEF7-495B-8EC3-6D7EDA7E458A}" presName="rect2" presStyleLbl="node1" presStyleIdx="1" presStyleCnt="4">
        <dgm:presLayoutVars>
          <dgm:chMax val="0"/>
          <dgm:chPref val="0"/>
          <dgm:bulletEnabled val="1"/>
        </dgm:presLayoutVars>
      </dgm:prSet>
      <dgm:spPr/>
    </dgm:pt>
    <dgm:pt modelId="{2518796F-93CE-4221-93CB-DCA683DC5FB7}" type="pres">
      <dgm:prSet presAssocID="{4AD517CA-BEF7-495B-8EC3-6D7EDA7E458A}" presName="rect3" presStyleLbl="node1" presStyleIdx="2" presStyleCnt="4">
        <dgm:presLayoutVars>
          <dgm:chMax val="0"/>
          <dgm:chPref val="0"/>
          <dgm:bulletEnabled val="1"/>
        </dgm:presLayoutVars>
      </dgm:prSet>
      <dgm:spPr/>
    </dgm:pt>
    <dgm:pt modelId="{18B2C43D-2939-4141-89C4-E0A6B2064732}" type="pres">
      <dgm:prSet presAssocID="{4AD517CA-BEF7-495B-8EC3-6D7EDA7E458A}" presName="rect4" presStyleLbl="node1" presStyleIdx="3" presStyleCnt="4">
        <dgm:presLayoutVars>
          <dgm:chMax val="0"/>
          <dgm:chPref val="0"/>
          <dgm:bulletEnabled val="1"/>
        </dgm:presLayoutVars>
      </dgm:prSet>
      <dgm:spPr/>
    </dgm:pt>
  </dgm:ptLst>
  <dgm:cxnLst>
    <dgm:cxn modelId="{41810E31-7004-4700-8EDF-A3B3FB27A76C}" type="presOf" srcId="{001F73B1-6F09-485B-A9BC-CB7863CA1C63}" destId="{A42F69D8-C7F8-4C5A-A95F-996B1B54DE0F}" srcOrd="0" destOrd="0" presId="urn:microsoft.com/office/officeart/2005/8/layout/matrix2"/>
    <dgm:cxn modelId="{EEE96736-5CFA-4DA1-8D38-DD0CB8808A5D}" srcId="{4AD517CA-BEF7-495B-8EC3-6D7EDA7E458A}" destId="{001F73B1-6F09-485B-A9BC-CB7863CA1C63}" srcOrd="1" destOrd="0" parTransId="{6F21D9FE-41E4-4B92-A0CA-D59B393EB7EF}" sibTransId="{1CEC4A95-9E62-4B9F-9D83-A81F234B7389}"/>
    <dgm:cxn modelId="{2628E373-99FD-4AFF-8AD3-B09CA552020B}" type="presOf" srcId="{934DC669-5D6E-4984-AADD-0731E0C630DC}" destId="{2518796F-93CE-4221-93CB-DCA683DC5FB7}" srcOrd="0" destOrd="0" presId="urn:microsoft.com/office/officeart/2005/8/layout/matrix2"/>
    <dgm:cxn modelId="{1E148057-23B9-4D3C-803D-4C992FC8AAC5}" srcId="{4AD517CA-BEF7-495B-8EC3-6D7EDA7E458A}" destId="{EADAB16F-2185-4B0F-8BDF-CC75F113F74B}" srcOrd="3" destOrd="0" parTransId="{279DE212-B545-40D5-BFB6-0427EDD5F694}" sibTransId="{5EBC0F6C-91D4-484E-BB78-BE8735FB396A}"/>
    <dgm:cxn modelId="{543E4788-531A-48F3-8FC8-69AA1F6D1C97}" type="presOf" srcId="{EADAB16F-2185-4B0F-8BDF-CC75F113F74B}" destId="{18B2C43D-2939-4141-89C4-E0A6B2064732}" srcOrd="0" destOrd="0" presId="urn:microsoft.com/office/officeart/2005/8/layout/matrix2"/>
    <dgm:cxn modelId="{E135D0AE-68E4-44D3-B5CC-A30C816B3FEC}" type="presOf" srcId="{50515DAC-07F2-4D21-8E10-5E6CEE504461}" destId="{211CB37F-3722-4DED-9781-40B2FDDBF9CB}" srcOrd="0" destOrd="0" presId="urn:microsoft.com/office/officeart/2005/8/layout/matrix2"/>
    <dgm:cxn modelId="{FDB87DB5-759F-4271-AF13-B180AA1D0DE7}" srcId="{4AD517CA-BEF7-495B-8EC3-6D7EDA7E458A}" destId="{50515DAC-07F2-4D21-8E10-5E6CEE504461}" srcOrd="0" destOrd="0" parTransId="{A35DD1A2-43EE-4E03-9339-311BE1AB5A08}" sibTransId="{69BE8EE3-F9E3-4205-8395-879EF4493247}"/>
    <dgm:cxn modelId="{6C1BEDE4-FBCB-498B-88A2-B3D0AB095BED}" srcId="{4AD517CA-BEF7-495B-8EC3-6D7EDA7E458A}" destId="{934DC669-5D6E-4984-AADD-0731E0C630DC}" srcOrd="2" destOrd="0" parTransId="{A7E923C9-9BF2-4865-85FF-E42A872BC628}" sibTransId="{90BBE575-AACB-4E09-9114-0E8F786A52D7}"/>
    <dgm:cxn modelId="{F137EBF3-99E6-485C-9936-9AA07322FB65}" type="presOf" srcId="{4AD517CA-BEF7-495B-8EC3-6D7EDA7E458A}" destId="{19866BBA-F5D2-4575-99BB-5F1F60092DA3}" srcOrd="0" destOrd="0" presId="urn:microsoft.com/office/officeart/2005/8/layout/matrix2"/>
    <dgm:cxn modelId="{C3AEA56B-4786-4A91-8752-45B27A0342EC}" type="presParOf" srcId="{19866BBA-F5D2-4575-99BB-5F1F60092DA3}" destId="{C9781D21-3699-4584-B01C-8EC01D5AD2C0}" srcOrd="0" destOrd="0" presId="urn:microsoft.com/office/officeart/2005/8/layout/matrix2"/>
    <dgm:cxn modelId="{06796738-A059-4617-9FEA-92EA313EE852}" type="presParOf" srcId="{19866BBA-F5D2-4575-99BB-5F1F60092DA3}" destId="{211CB37F-3722-4DED-9781-40B2FDDBF9CB}" srcOrd="1" destOrd="0" presId="urn:microsoft.com/office/officeart/2005/8/layout/matrix2"/>
    <dgm:cxn modelId="{5B1EC691-35F8-4F83-945E-14638672FF1A}" type="presParOf" srcId="{19866BBA-F5D2-4575-99BB-5F1F60092DA3}" destId="{A42F69D8-C7F8-4C5A-A95F-996B1B54DE0F}" srcOrd="2" destOrd="0" presId="urn:microsoft.com/office/officeart/2005/8/layout/matrix2"/>
    <dgm:cxn modelId="{122DF884-9967-4720-811E-868CB5307508}" type="presParOf" srcId="{19866BBA-F5D2-4575-99BB-5F1F60092DA3}" destId="{2518796F-93CE-4221-93CB-DCA683DC5FB7}" srcOrd="3" destOrd="0" presId="urn:microsoft.com/office/officeart/2005/8/layout/matrix2"/>
    <dgm:cxn modelId="{047AB0BD-ADBB-4081-9686-32DF06C5A3DE}" type="presParOf" srcId="{19866BBA-F5D2-4575-99BB-5F1F60092DA3}" destId="{18B2C43D-2939-4141-89C4-E0A6B2064732}" srcOrd="4" destOrd="0" presId="urn:microsoft.com/office/officeart/2005/8/layout/matrix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37F0BC2-C1D2-48B6-AE6E-1B9B9CFA7857}" type="doc">
      <dgm:prSet loTypeId="urn:microsoft.com/office/officeart/2005/8/layout/matrix3" loCatId="matrix" qsTypeId="urn:microsoft.com/office/officeart/2005/8/quickstyle/simple1" qsCatId="simple" csTypeId="urn:microsoft.com/office/officeart/2005/8/colors/colorful2" csCatId="colorful" phldr="1"/>
      <dgm:spPr/>
      <dgm:t>
        <a:bodyPr/>
        <a:p>
          <a:endParaRPr lang="en-US"/>
        </a:p>
      </dgm:t>
    </dgm:pt>
    <dgm:pt modelId="{E2AFBBE3-507E-4C30-80EE-08EE3763118A}">
      <dgm:prSet phldrT="[Text]"/>
      <dgm:spPr/>
      <dgm:t>
        <a:bodyPr/>
        <a:p>
          <a:pPr algn="ctr"/>
          <a:r>
            <a:rPr lang="en-US"/>
            <a:t>Cost Leadership</a:t>
          </a:r>
        </a:p>
        <a:p>
          <a:pPr algn="ctr"/>
          <a:r>
            <a:rPr lang="en-US"/>
            <a:t>strategy</a:t>
          </a:r>
        </a:p>
      </dgm:t>
    </dgm:pt>
    <dgm:pt modelId="{185C252E-93DE-4B31-80D0-69F68278399F}" cxnId="{09D8A687-18AE-4BF6-84E4-0C3FD12F6CEB}" type="parTrans">
      <dgm:prSet/>
      <dgm:spPr/>
      <dgm:t>
        <a:bodyPr/>
        <a:p>
          <a:pPr algn="ctr"/>
          <a:endParaRPr lang="en-US"/>
        </a:p>
      </dgm:t>
    </dgm:pt>
    <dgm:pt modelId="{36A93277-79FF-44C4-A792-9AE088106EA7}" cxnId="{09D8A687-18AE-4BF6-84E4-0C3FD12F6CEB}" type="sibTrans">
      <dgm:prSet/>
      <dgm:spPr/>
      <dgm:t>
        <a:bodyPr/>
        <a:p>
          <a:pPr algn="ctr"/>
          <a:endParaRPr lang="en-US"/>
        </a:p>
      </dgm:t>
    </dgm:pt>
    <dgm:pt modelId="{9504B733-1109-4903-B553-79B6A31166B9}">
      <dgm:prSet phldrT="[Text]"/>
      <dgm:spPr/>
      <dgm:t>
        <a:bodyPr/>
        <a:p>
          <a:pPr algn="ctr"/>
          <a:r>
            <a:rPr lang="en-US"/>
            <a:t>Differentiation</a:t>
          </a:r>
        </a:p>
        <a:p>
          <a:pPr algn="ctr"/>
          <a:r>
            <a:rPr lang="en-US"/>
            <a:t>Strategy</a:t>
          </a:r>
        </a:p>
      </dgm:t>
    </dgm:pt>
    <dgm:pt modelId="{738B1D71-8A28-4DD6-98B4-66FAA6692851}" cxnId="{6F22EBCD-29EA-49C9-89E4-3A5C12CE9218}" type="parTrans">
      <dgm:prSet/>
      <dgm:spPr/>
      <dgm:t>
        <a:bodyPr/>
        <a:p>
          <a:pPr algn="ctr"/>
          <a:endParaRPr lang="en-US"/>
        </a:p>
      </dgm:t>
    </dgm:pt>
    <dgm:pt modelId="{FB4EFE2C-4896-4E3A-B0F0-1A53B3599698}" cxnId="{6F22EBCD-29EA-49C9-89E4-3A5C12CE9218}" type="sibTrans">
      <dgm:prSet/>
      <dgm:spPr/>
      <dgm:t>
        <a:bodyPr/>
        <a:p>
          <a:pPr algn="ctr"/>
          <a:endParaRPr lang="en-US"/>
        </a:p>
      </dgm:t>
    </dgm:pt>
    <dgm:pt modelId="{A2962306-5F02-46FE-986C-7C6022613254}">
      <dgm:prSet phldrT="[Text]"/>
      <dgm:spPr/>
      <dgm:t>
        <a:bodyPr/>
        <a:p>
          <a:pPr algn="ctr"/>
          <a:r>
            <a:rPr lang="en-US"/>
            <a:t>Cost Focus</a:t>
          </a:r>
        </a:p>
      </dgm:t>
    </dgm:pt>
    <dgm:pt modelId="{BA218670-3EB8-4E67-83BA-B04A5BA1703E}" cxnId="{283A77A7-2EDA-4950-833C-F9A002DA350D}" type="parTrans">
      <dgm:prSet/>
      <dgm:spPr/>
      <dgm:t>
        <a:bodyPr/>
        <a:p>
          <a:pPr algn="ctr"/>
          <a:endParaRPr lang="en-US"/>
        </a:p>
      </dgm:t>
    </dgm:pt>
    <dgm:pt modelId="{C4DD4E60-9084-4085-95D2-20942D8FA781}" cxnId="{283A77A7-2EDA-4950-833C-F9A002DA350D}" type="sibTrans">
      <dgm:prSet/>
      <dgm:spPr/>
      <dgm:t>
        <a:bodyPr/>
        <a:p>
          <a:pPr algn="ctr"/>
          <a:endParaRPr lang="en-US"/>
        </a:p>
      </dgm:t>
    </dgm:pt>
    <dgm:pt modelId="{9DFD6DD8-FCFA-4BEE-B501-0C4CC88E8ED4}">
      <dgm:prSet phldrT="[Text]"/>
      <dgm:spPr/>
      <dgm:t>
        <a:bodyPr/>
        <a:p>
          <a:pPr algn="ctr"/>
          <a:r>
            <a:rPr lang="en-US"/>
            <a:t>Differentiation focus</a:t>
          </a:r>
        </a:p>
      </dgm:t>
    </dgm:pt>
    <dgm:pt modelId="{393307E4-1848-4FA7-BEBD-F84EA414E0E4}" cxnId="{BC05C26B-6209-448F-A431-569426DCEF0D}" type="parTrans">
      <dgm:prSet/>
      <dgm:spPr/>
      <dgm:t>
        <a:bodyPr/>
        <a:p>
          <a:pPr algn="ctr"/>
          <a:endParaRPr lang="en-US"/>
        </a:p>
      </dgm:t>
    </dgm:pt>
    <dgm:pt modelId="{AC4FA7B5-5609-4698-81BB-C078BE8A2D20}" cxnId="{BC05C26B-6209-448F-A431-569426DCEF0D}" type="sibTrans">
      <dgm:prSet/>
      <dgm:spPr/>
      <dgm:t>
        <a:bodyPr/>
        <a:p>
          <a:pPr algn="ctr"/>
          <a:endParaRPr lang="en-US"/>
        </a:p>
      </dgm:t>
    </dgm:pt>
    <dgm:pt modelId="{A10BF58C-1740-4B75-8DFF-599246340A39}" type="pres">
      <dgm:prSet presAssocID="{537F0BC2-C1D2-48B6-AE6E-1B9B9CFA7857}" presName="matrix" presStyleCnt="0">
        <dgm:presLayoutVars>
          <dgm:chMax val="1"/>
          <dgm:dir/>
          <dgm:resizeHandles val="exact"/>
        </dgm:presLayoutVars>
      </dgm:prSet>
      <dgm:spPr/>
    </dgm:pt>
    <dgm:pt modelId="{C2795AB9-1B0D-41E0-90CD-277DE6150A28}" type="pres">
      <dgm:prSet presAssocID="{537F0BC2-C1D2-48B6-AE6E-1B9B9CFA7857}" presName="diamond" presStyleLbl="bgShp" presStyleIdx="0" presStyleCnt="1"/>
      <dgm:spPr/>
    </dgm:pt>
    <dgm:pt modelId="{806C56DE-FE03-4B7B-810B-D1D301345217}" type="pres">
      <dgm:prSet presAssocID="{537F0BC2-C1D2-48B6-AE6E-1B9B9CFA7857}" presName="quad1" presStyleLbl="node1" presStyleIdx="0" presStyleCnt="4">
        <dgm:presLayoutVars>
          <dgm:chMax val="0"/>
          <dgm:chPref val="0"/>
          <dgm:bulletEnabled val="1"/>
        </dgm:presLayoutVars>
      </dgm:prSet>
      <dgm:spPr/>
    </dgm:pt>
    <dgm:pt modelId="{AEB1D76B-227D-441A-A97B-B91D66115E19}" type="pres">
      <dgm:prSet presAssocID="{537F0BC2-C1D2-48B6-AE6E-1B9B9CFA7857}" presName="quad2" presStyleLbl="node1" presStyleIdx="1" presStyleCnt="4">
        <dgm:presLayoutVars>
          <dgm:chMax val="0"/>
          <dgm:chPref val="0"/>
          <dgm:bulletEnabled val="1"/>
        </dgm:presLayoutVars>
      </dgm:prSet>
      <dgm:spPr/>
    </dgm:pt>
    <dgm:pt modelId="{EB930BEF-A139-449F-A803-A2B472C4F15F}" type="pres">
      <dgm:prSet presAssocID="{537F0BC2-C1D2-48B6-AE6E-1B9B9CFA7857}" presName="quad3" presStyleLbl="node1" presStyleIdx="2" presStyleCnt="4">
        <dgm:presLayoutVars>
          <dgm:chMax val="0"/>
          <dgm:chPref val="0"/>
          <dgm:bulletEnabled val="1"/>
        </dgm:presLayoutVars>
      </dgm:prSet>
      <dgm:spPr/>
    </dgm:pt>
    <dgm:pt modelId="{EEA347E1-4B3E-4F5D-A14F-A41631CD831C}" type="pres">
      <dgm:prSet presAssocID="{537F0BC2-C1D2-48B6-AE6E-1B9B9CFA7857}" presName="quad4" presStyleLbl="node1" presStyleIdx="3" presStyleCnt="4">
        <dgm:presLayoutVars>
          <dgm:chMax val="0"/>
          <dgm:chPref val="0"/>
          <dgm:bulletEnabled val="1"/>
        </dgm:presLayoutVars>
      </dgm:prSet>
      <dgm:spPr/>
    </dgm:pt>
  </dgm:ptLst>
  <dgm:cxnLst>
    <dgm:cxn modelId="{CEF05E21-8A56-444F-BC3D-3964BCEBED3B}" type="presOf" srcId="{537F0BC2-C1D2-48B6-AE6E-1B9B9CFA7857}" destId="{A10BF58C-1740-4B75-8DFF-599246340A39}" srcOrd="0" destOrd="0" presId="urn:microsoft.com/office/officeart/2005/8/layout/matrix3"/>
    <dgm:cxn modelId="{C2779A31-10DA-425F-AA61-36D41B0DC6B1}" type="presOf" srcId="{E2AFBBE3-507E-4C30-80EE-08EE3763118A}" destId="{806C56DE-FE03-4B7B-810B-D1D301345217}" srcOrd="0" destOrd="0" presId="urn:microsoft.com/office/officeart/2005/8/layout/matrix3"/>
    <dgm:cxn modelId="{BC05C26B-6209-448F-A431-569426DCEF0D}" srcId="{537F0BC2-C1D2-48B6-AE6E-1B9B9CFA7857}" destId="{9DFD6DD8-FCFA-4BEE-B501-0C4CC88E8ED4}" srcOrd="3" destOrd="0" parTransId="{393307E4-1848-4FA7-BEBD-F84EA414E0E4}" sibTransId="{AC4FA7B5-5609-4698-81BB-C078BE8A2D20}"/>
    <dgm:cxn modelId="{D4C2CB6B-9A78-4BDC-91B0-49C7300B7730}" type="presOf" srcId="{9504B733-1109-4903-B553-79B6A31166B9}" destId="{AEB1D76B-227D-441A-A97B-B91D66115E19}" srcOrd="0" destOrd="0" presId="urn:microsoft.com/office/officeart/2005/8/layout/matrix3"/>
    <dgm:cxn modelId="{09D8A687-18AE-4BF6-84E4-0C3FD12F6CEB}" srcId="{537F0BC2-C1D2-48B6-AE6E-1B9B9CFA7857}" destId="{E2AFBBE3-507E-4C30-80EE-08EE3763118A}" srcOrd="0" destOrd="0" parTransId="{185C252E-93DE-4B31-80D0-69F68278399F}" sibTransId="{36A93277-79FF-44C4-A792-9AE088106EA7}"/>
    <dgm:cxn modelId="{283A77A7-2EDA-4950-833C-F9A002DA350D}" srcId="{537F0BC2-C1D2-48B6-AE6E-1B9B9CFA7857}" destId="{A2962306-5F02-46FE-986C-7C6022613254}" srcOrd="2" destOrd="0" parTransId="{BA218670-3EB8-4E67-83BA-B04A5BA1703E}" sibTransId="{C4DD4E60-9084-4085-95D2-20942D8FA781}"/>
    <dgm:cxn modelId="{F62A23BF-AE97-40D3-A76F-3C0CBD36239F}" type="presOf" srcId="{9DFD6DD8-FCFA-4BEE-B501-0C4CC88E8ED4}" destId="{EEA347E1-4B3E-4F5D-A14F-A41631CD831C}" srcOrd="0" destOrd="0" presId="urn:microsoft.com/office/officeart/2005/8/layout/matrix3"/>
    <dgm:cxn modelId="{39E1F4C4-B48A-4512-87A5-F0D6B50D8467}" type="presOf" srcId="{A2962306-5F02-46FE-986C-7C6022613254}" destId="{EB930BEF-A139-449F-A803-A2B472C4F15F}" srcOrd="0" destOrd="0" presId="urn:microsoft.com/office/officeart/2005/8/layout/matrix3"/>
    <dgm:cxn modelId="{6F22EBCD-29EA-49C9-89E4-3A5C12CE9218}" srcId="{537F0BC2-C1D2-48B6-AE6E-1B9B9CFA7857}" destId="{9504B733-1109-4903-B553-79B6A31166B9}" srcOrd="1" destOrd="0" parTransId="{738B1D71-8A28-4DD6-98B4-66FAA6692851}" sibTransId="{FB4EFE2C-4896-4E3A-B0F0-1A53B3599698}"/>
    <dgm:cxn modelId="{76B6D8B8-68A8-4D42-87E9-429946DFA084}" type="presParOf" srcId="{A10BF58C-1740-4B75-8DFF-599246340A39}" destId="{C2795AB9-1B0D-41E0-90CD-277DE6150A28}" srcOrd="0" destOrd="0" presId="urn:microsoft.com/office/officeart/2005/8/layout/matrix3"/>
    <dgm:cxn modelId="{3A5C40A6-3A6F-49D6-8E1C-06E182BE02B7}" type="presParOf" srcId="{A10BF58C-1740-4B75-8DFF-599246340A39}" destId="{806C56DE-FE03-4B7B-810B-D1D301345217}" srcOrd="1" destOrd="0" presId="urn:microsoft.com/office/officeart/2005/8/layout/matrix3"/>
    <dgm:cxn modelId="{858B59B3-C8AE-4644-8843-A74444BFC01C}" type="presParOf" srcId="{A10BF58C-1740-4B75-8DFF-599246340A39}" destId="{AEB1D76B-227D-441A-A97B-B91D66115E19}" srcOrd="2" destOrd="0" presId="urn:microsoft.com/office/officeart/2005/8/layout/matrix3"/>
    <dgm:cxn modelId="{04F3AD5F-229E-4B74-9A9B-3BFE677661FF}" type="presParOf" srcId="{A10BF58C-1740-4B75-8DFF-599246340A39}" destId="{EB930BEF-A139-449F-A803-A2B472C4F15F}" srcOrd="3" destOrd="0" presId="urn:microsoft.com/office/officeart/2005/8/layout/matrix3"/>
    <dgm:cxn modelId="{89E3CF73-7C97-4FAE-9785-FA1C15955C89}" type="presParOf" srcId="{A10BF58C-1740-4B75-8DFF-599246340A39}" destId="{EEA347E1-4B3E-4F5D-A14F-A41631CD831C}" srcOrd="4" destOrd="0" presId="urn:microsoft.com/office/officeart/2005/8/layout/matrix3"/>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组合 1"/>
      <dsp:cNvGrpSpPr/>
    </dsp:nvGrpSpPr>
    <dsp:grpSpPr>
      <a:xfrm>
        <a:off x="0" y="0"/>
        <a:ext cx="3200400" cy="3200400"/>
        <a:chOff x="0" y="0"/>
        <a:chExt cx="3200400" cy="3200400"/>
      </a:xfrm>
    </dsp:grpSpPr>
    <dsp:sp modelId="{10917A95-76F6-4716-85E2-80BF2B89E842}">
      <dsp:nvSpPr>
        <dsp:cNvPr id="3" name="椭圆 2"/>
        <dsp:cNvSpPr/>
      </dsp:nvSpPr>
      <dsp:spPr bwMode="white">
        <a:xfrm>
          <a:off x="1854200" y="711200"/>
          <a:ext cx="1778000" cy="1778000"/>
        </a:xfrm>
        <a:prstGeom prst="ellipse">
          <a:avLst/>
        </a:prstGeom>
      </dsp:spPr>
      <dsp:style>
        <a:lnRef idx="2">
          <a:schemeClr val="lt1"/>
        </a:lnRef>
        <a:fillRef idx="1">
          <a:schemeClr val="accent2">
            <a:alpha val="50000"/>
          </a:schemeClr>
        </a:fillRef>
        <a:effectRef idx="0">
          <a:scrgbClr r="0" g="0" b="0"/>
        </a:effectRef>
        <a:fontRef idx="minor">
          <a:schemeClr val="tx1"/>
        </a:fontRef>
      </dsp:style>
      <dsp:txBody>
        <a:bodyPr lIns="25400" tIns="25400" rIns="25400" bIns="2540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2000"/>
            <a:t>Situation Analysis</a:t>
          </a:r>
        </a:p>
      </dsp:txBody>
      <dsp:txXfrm>
        <a:off x="1854200" y="711200"/>
        <a:ext cx="1778000" cy="1778000"/>
      </dsp:txXfrm>
    </dsp:sp>
    <dsp:sp modelId="{8F0A651E-6D8F-4B04-9EF6-7E2799D03A0A}">
      <dsp:nvSpPr>
        <dsp:cNvPr id="4" name="椭圆 3"/>
        <dsp:cNvSpPr/>
      </dsp:nvSpPr>
      <dsp:spPr bwMode="white">
        <a:xfrm>
          <a:off x="2298700" y="0"/>
          <a:ext cx="889000" cy="889000"/>
        </a:xfrm>
        <a:prstGeom prst="ellipse">
          <a:avLst/>
        </a:prstGeom>
      </dsp:spPr>
      <dsp:style>
        <a:lnRef idx="2">
          <a:schemeClr val="lt1"/>
        </a:lnRef>
        <a:fillRef idx="1">
          <a:schemeClr val="accent3">
            <a:alpha val="50000"/>
          </a:schemeClr>
        </a:fillRef>
        <a:effectRef idx="0">
          <a:scrgbClr r="0" g="0" b="0"/>
        </a:effectRef>
        <a:fontRef idx="minor">
          <a:schemeClr val="tx1"/>
        </a:fontRef>
      </dsp:style>
      <dsp:txBody>
        <a:bodyPr lIns="12700" tIns="12700" rIns="12700" bIns="1270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050"/>
            <a:t>SWOT</a:t>
          </a:r>
        </a:p>
      </dsp:txBody>
      <dsp:txXfrm>
        <a:off x="2298700" y="0"/>
        <a:ext cx="889000" cy="889000"/>
      </dsp:txXfrm>
    </dsp:sp>
    <dsp:sp modelId="{59450756-D47B-498A-91B5-3A97DC6CCC4F}">
      <dsp:nvSpPr>
        <dsp:cNvPr id="5" name="椭圆 4"/>
        <dsp:cNvSpPr/>
      </dsp:nvSpPr>
      <dsp:spPr bwMode="white">
        <a:xfrm>
          <a:off x="3454400" y="1155700"/>
          <a:ext cx="889000" cy="889000"/>
        </a:xfrm>
        <a:prstGeom prst="ellipse">
          <a:avLst/>
        </a:prstGeom>
      </dsp:spPr>
      <dsp:style>
        <a:lnRef idx="2">
          <a:schemeClr val="lt1"/>
        </a:lnRef>
        <a:fillRef idx="1">
          <a:schemeClr val="accent4">
            <a:alpha val="50000"/>
          </a:schemeClr>
        </a:fillRef>
        <a:effectRef idx="0">
          <a:scrgbClr r="0" g="0" b="0"/>
        </a:effectRef>
        <a:fontRef idx="minor">
          <a:schemeClr val="tx1"/>
        </a:fontRef>
      </dsp:style>
      <dsp:txBody>
        <a:bodyPr lIns="12700" tIns="12700" rIns="12700" bIns="1270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050"/>
            <a:t>Customer Analysis</a:t>
          </a:r>
        </a:p>
      </dsp:txBody>
      <dsp:txXfrm>
        <a:off x="3454400" y="1155700"/>
        <a:ext cx="889000" cy="889000"/>
      </dsp:txXfrm>
    </dsp:sp>
    <dsp:sp modelId="{63200149-C6A0-4E6C-819A-300424EA81F2}">
      <dsp:nvSpPr>
        <dsp:cNvPr id="6" name="椭圆 5"/>
        <dsp:cNvSpPr/>
      </dsp:nvSpPr>
      <dsp:spPr bwMode="white">
        <a:xfrm>
          <a:off x="2298700" y="2311400"/>
          <a:ext cx="889000" cy="889000"/>
        </a:xfrm>
        <a:prstGeom prst="ellipse">
          <a:avLst/>
        </a:prstGeom>
      </dsp:spPr>
      <dsp:style>
        <a:lnRef idx="2">
          <a:schemeClr val="lt1"/>
        </a:lnRef>
        <a:fillRef idx="1">
          <a:schemeClr val="accent5">
            <a:alpha val="50000"/>
          </a:schemeClr>
        </a:fillRef>
        <a:effectRef idx="0">
          <a:scrgbClr r="0" g="0" b="0"/>
        </a:effectRef>
        <a:fontRef idx="minor">
          <a:schemeClr val="tx1"/>
        </a:fontRef>
      </dsp:style>
      <dsp:txBody>
        <a:bodyPr lIns="11430" tIns="11430" rIns="11430" bIns="1143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900"/>
            <a:t>Stakeholder analysis</a:t>
          </a:r>
        </a:p>
      </dsp:txBody>
      <dsp:txXfrm>
        <a:off x="2298700" y="2311400"/>
        <a:ext cx="889000" cy="889000"/>
      </dsp:txXfrm>
    </dsp:sp>
    <dsp:sp modelId="{AD38C08F-9819-4B8B-AA62-4981BBACD1BA}">
      <dsp:nvSpPr>
        <dsp:cNvPr id="7" name="椭圆 6"/>
        <dsp:cNvSpPr/>
      </dsp:nvSpPr>
      <dsp:spPr bwMode="white">
        <a:xfrm>
          <a:off x="1143000" y="1155700"/>
          <a:ext cx="889000" cy="889000"/>
        </a:xfrm>
        <a:prstGeom prst="ellipse">
          <a:avLst/>
        </a:prstGeom>
      </dsp:spPr>
      <dsp:style>
        <a:lnRef idx="2">
          <a:schemeClr val="lt1"/>
        </a:lnRef>
        <a:fillRef idx="1">
          <a:schemeClr val="accent6">
            <a:alpha val="50000"/>
          </a:schemeClr>
        </a:fillRef>
        <a:effectRef idx="0">
          <a:scrgbClr r="0" g="0" b="0"/>
        </a:effectRef>
        <a:fontRef idx="minor">
          <a:schemeClr val="tx1"/>
        </a:fontRef>
      </dsp:style>
      <dsp:txBody>
        <a:bodyPr lIns="12700" tIns="12700" rIns="12700" bIns="12700" anchor="ctr"/>
        <a:lstStyle>
          <a:lvl1pPr algn="ctr">
            <a:defRPr sz="6500"/>
          </a:lvl1pPr>
          <a:lvl2pPr marL="285750" indent="-285750" algn="ctr">
            <a:defRPr sz="5000"/>
          </a:lvl2pPr>
          <a:lvl3pPr marL="571500" indent="-285750" algn="ctr">
            <a:defRPr sz="5000"/>
          </a:lvl3pPr>
          <a:lvl4pPr marL="857250" indent="-285750" algn="ctr">
            <a:defRPr sz="5000"/>
          </a:lvl4pPr>
          <a:lvl5pPr marL="1143000" indent="-285750" algn="ctr">
            <a:defRPr sz="5000"/>
          </a:lvl5pPr>
          <a:lvl6pPr marL="1428750" indent="-285750" algn="ctr">
            <a:defRPr sz="5000"/>
          </a:lvl6pPr>
          <a:lvl7pPr marL="1714500" indent="-285750" algn="ctr">
            <a:defRPr sz="5000"/>
          </a:lvl7pPr>
          <a:lvl8pPr marL="2000250" indent="-285750" algn="ctr">
            <a:defRPr sz="5000"/>
          </a:lvl8pPr>
          <a:lvl9pPr marL="2286000" indent="-285750" algn="ctr">
            <a:defRPr sz="5000"/>
          </a:lvl9pPr>
        </a:lstStyle>
        <a:p>
          <a:pPr lvl="0">
            <a:lnSpc>
              <a:spcPct val="100000"/>
            </a:lnSpc>
            <a:spcBef>
              <a:spcPct val="0"/>
            </a:spcBef>
            <a:spcAft>
              <a:spcPct val="35000"/>
            </a:spcAft>
          </a:pPr>
          <a:r>
            <a:rPr lang="en-US" sz="1050"/>
            <a:t>Porter's 5 Forces</a:t>
          </a:r>
        </a:p>
      </dsp:txBody>
      <dsp:txXfrm>
        <a:off x="1143000" y="1155700"/>
        <a:ext cx="889000" cy="8890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组合 1"/>
      <dsp:cNvGrpSpPr/>
    </dsp:nvGrpSpPr>
    <dsp:grpSpPr>
      <a:xfrm>
        <a:off x="0" y="0"/>
        <a:ext cx="3360420" cy="2316480"/>
        <a:chOff x="0" y="0"/>
        <a:chExt cx="3360420" cy="2316480"/>
      </a:xfrm>
    </dsp:grpSpPr>
    <dsp:sp modelId="{72C67A37-E00D-4F0D-A18A-4E764FE7806D}">
      <dsp:nvSpPr>
        <dsp:cNvPr id="3" name="矩形 2"/>
        <dsp:cNvSpPr/>
      </dsp:nvSpPr>
      <dsp:spPr bwMode="white">
        <a:xfrm>
          <a:off x="465586" y="1127"/>
          <a:ext cx="1157606" cy="694563"/>
        </a:xfrm>
        <a:prstGeom prst="rect">
          <a:avLst/>
        </a:prstGeom>
      </dsp:spPr>
      <dsp:style>
        <a:lnRef idx="2">
          <a:schemeClr val="lt1"/>
        </a:lnRef>
        <a:fillRef idx="1">
          <a:schemeClr val="accent2">
            <a:hueOff val="0"/>
            <a:satOff val="0"/>
            <a:lumOff val="0"/>
            <a:alpha val="100000"/>
          </a:schemeClr>
        </a:fillRef>
        <a:effectRef idx="0">
          <a:scrgbClr r="0" g="0" b="0"/>
        </a:effectRef>
        <a:fontRef idx="minor">
          <a:schemeClr val="lt1"/>
        </a:fontRef>
      </dsp:style>
      <dsp:txBody>
        <a:bodyPr lIns="60960" tIns="60960" rIns="60960" bIns="60960" anchor="ctr"/>
        <a:lstStyle>
          <a:lvl1pPr algn="ctr">
            <a:defRPr sz="1600"/>
          </a:lvl1pPr>
          <a:lvl2pPr marL="114300" indent="-114300" algn="ctr">
            <a:defRPr sz="1200"/>
          </a:lvl2pPr>
          <a:lvl3pPr marL="228600" indent="-114300" algn="ctr">
            <a:defRPr sz="1200"/>
          </a:lvl3pPr>
          <a:lvl4pPr marL="342900" indent="-114300" algn="ctr">
            <a:defRPr sz="1200"/>
          </a:lvl4pPr>
          <a:lvl5pPr marL="457200" indent="-114300" algn="ctr">
            <a:defRPr sz="1200"/>
          </a:lvl5pPr>
          <a:lvl6pPr marL="571500" indent="-114300" algn="ctr">
            <a:defRPr sz="1200"/>
          </a:lvl6pPr>
          <a:lvl7pPr marL="685800" indent="-114300" algn="ctr">
            <a:defRPr sz="1200"/>
          </a:lvl7pPr>
          <a:lvl8pPr marL="800100" indent="-114300" algn="ctr">
            <a:defRPr sz="1200"/>
          </a:lvl8pPr>
          <a:lvl9pPr marL="914400" indent="-114300" algn="ctr">
            <a:defRPr sz="1200"/>
          </a:lvl9pPr>
        </a:lstStyle>
        <a:p>
          <a:pPr lvl="0" algn="ctr">
            <a:lnSpc>
              <a:spcPct val="100000"/>
            </a:lnSpc>
            <a:spcBef>
              <a:spcPct val="0"/>
            </a:spcBef>
            <a:spcAft>
              <a:spcPct val="35000"/>
            </a:spcAft>
          </a:pPr>
          <a:r>
            <a:rPr lang="en-US"/>
            <a:t>Specific</a:t>
          </a:r>
        </a:p>
      </dsp:txBody>
      <dsp:txXfrm>
        <a:off x="465586" y="1127"/>
        <a:ext cx="1157606" cy="694563"/>
      </dsp:txXfrm>
    </dsp:sp>
    <dsp:sp modelId="{2881D36C-2D37-4286-934D-7E623D69C3A2}">
      <dsp:nvSpPr>
        <dsp:cNvPr id="4" name="矩形 3"/>
        <dsp:cNvSpPr/>
      </dsp:nvSpPr>
      <dsp:spPr bwMode="white">
        <a:xfrm>
          <a:off x="1738952" y="1127"/>
          <a:ext cx="1157606" cy="694563"/>
        </a:xfrm>
        <a:prstGeom prst="rect">
          <a:avLst/>
        </a:prstGeom>
      </dsp:spPr>
      <dsp:style>
        <a:lnRef idx="2">
          <a:schemeClr val="lt1"/>
        </a:lnRef>
        <a:fillRef idx="1">
          <a:schemeClr val="accent2">
            <a:hueOff val="-375000"/>
            <a:satOff val="-20979"/>
            <a:lumOff val="2157"/>
            <a:alpha val="100000"/>
          </a:schemeClr>
        </a:fillRef>
        <a:effectRef idx="0">
          <a:scrgbClr r="0" g="0" b="0"/>
        </a:effectRef>
        <a:fontRef idx="minor">
          <a:schemeClr val="lt1"/>
        </a:fontRef>
      </dsp:style>
      <dsp:txBody>
        <a:bodyPr lIns="60960" tIns="60960" rIns="60960" bIns="60960" anchor="ctr"/>
        <a:lstStyle>
          <a:lvl1pPr algn="ctr">
            <a:defRPr sz="1600"/>
          </a:lvl1pPr>
          <a:lvl2pPr marL="114300" indent="-114300" algn="ctr">
            <a:defRPr sz="1200"/>
          </a:lvl2pPr>
          <a:lvl3pPr marL="228600" indent="-114300" algn="ctr">
            <a:defRPr sz="1200"/>
          </a:lvl3pPr>
          <a:lvl4pPr marL="342900" indent="-114300" algn="ctr">
            <a:defRPr sz="1200"/>
          </a:lvl4pPr>
          <a:lvl5pPr marL="457200" indent="-114300" algn="ctr">
            <a:defRPr sz="1200"/>
          </a:lvl5pPr>
          <a:lvl6pPr marL="571500" indent="-114300" algn="ctr">
            <a:defRPr sz="1200"/>
          </a:lvl6pPr>
          <a:lvl7pPr marL="685800" indent="-114300" algn="ctr">
            <a:defRPr sz="1200"/>
          </a:lvl7pPr>
          <a:lvl8pPr marL="800100" indent="-114300" algn="ctr">
            <a:defRPr sz="1200"/>
          </a:lvl8pPr>
          <a:lvl9pPr marL="914400" indent="-114300" algn="ctr">
            <a:defRPr sz="1200"/>
          </a:lvl9pPr>
        </a:lstStyle>
        <a:p>
          <a:pPr lvl="0" algn="ctr">
            <a:lnSpc>
              <a:spcPct val="100000"/>
            </a:lnSpc>
            <a:spcBef>
              <a:spcPct val="0"/>
            </a:spcBef>
            <a:spcAft>
              <a:spcPct val="35000"/>
            </a:spcAft>
          </a:pPr>
          <a:r>
            <a:rPr lang="en-US"/>
            <a:t>Measurable</a:t>
          </a:r>
        </a:p>
      </dsp:txBody>
      <dsp:txXfrm>
        <a:off x="1738952" y="1127"/>
        <a:ext cx="1157606" cy="694563"/>
      </dsp:txXfrm>
    </dsp:sp>
    <dsp:sp modelId="{C518A786-9A2C-4A14-8217-EE36EB6F30B7}">
      <dsp:nvSpPr>
        <dsp:cNvPr id="5" name="矩形 4"/>
        <dsp:cNvSpPr/>
      </dsp:nvSpPr>
      <dsp:spPr bwMode="white">
        <a:xfrm>
          <a:off x="465586" y="810958"/>
          <a:ext cx="1157606" cy="694563"/>
        </a:xfrm>
        <a:prstGeom prst="rect">
          <a:avLst/>
        </a:prstGeom>
      </dsp:spPr>
      <dsp:style>
        <a:lnRef idx="2">
          <a:schemeClr val="lt1"/>
        </a:lnRef>
        <a:fillRef idx="1">
          <a:schemeClr val="accent2">
            <a:hueOff val="-750000"/>
            <a:satOff val="-41960"/>
            <a:lumOff val="4314"/>
            <a:alpha val="100000"/>
          </a:schemeClr>
        </a:fillRef>
        <a:effectRef idx="0">
          <a:scrgbClr r="0" g="0" b="0"/>
        </a:effectRef>
        <a:fontRef idx="minor">
          <a:schemeClr val="lt1"/>
        </a:fontRef>
      </dsp:style>
      <dsp:txBody>
        <a:bodyPr lIns="60960" tIns="60960" rIns="60960" bIns="60960" anchor="ctr"/>
        <a:lstStyle>
          <a:lvl1pPr algn="ctr">
            <a:defRPr sz="1600"/>
          </a:lvl1pPr>
          <a:lvl2pPr marL="114300" indent="-114300" algn="ctr">
            <a:defRPr sz="1200"/>
          </a:lvl2pPr>
          <a:lvl3pPr marL="228600" indent="-114300" algn="ctr">
            <a:defRPr sz="1200"/>
          </a:lvl3pPr>
          <a:lvl4pPr marL="342900" indent="-114300" algn="ctr">
            <a:defRPr sz="1200"/>
          </a:lvl4pPr>
          <a:lvl5pPr marL="457200" indent="-114300" algn="ctr">
            <a:defRPr sz="1200"/>
          </a:lvl5pPr>
          <a:lvl6pPr marL="571500" indent="-114300" algn="ctr">
            <a:defRPr sz="1200"/>
          </a:lvl6pPr>
          <a:lvl7pPr marL="685800" indent="-114300" algn="ctr">
            <a:defRPr sz="1200"/>
          </a:lvl7pPr>
          <a:lvl8pPr marL="800100" indent="-114300" algn="ctr">
            <a:defRPr sz="1200"/>
          </a:lvl8pPr>
          <a:lvl9pPr marL="914400" indent="-114300" algn="ctr">
            <a:defRPr sz="1200"/>
          </a:lvl9pPr>
        </a:lstStyle>
        <a:p>
          <a:pPr lvl="0" algn="ctr">
            <a:lnSpc>
              <a:spcPct val="100000"/>
            </a:lnSpc>
            <a:spcBef>
              <a:spcPct val="0"/>
            </a:spcBef>
            <a:spcAft>
              <a:spcPct val="35000"/>
            </a:spcAft>
          </a:pPr>
          <a:r>
            <a:rPr lang="en-US"/>
            <a:t>Attainable</a:t>
          </a:r>
        </a:p>
      </dsp:txBody>
      <dsp:txXfrm>
        <a:off x="465586" y="810958"/>
        <a:ext cx="1157606" cy="694563"/>
      </dsp:txXfrm>
    </dsp:sp>
    <dsp:sp modelId="{C72F7EB2-3260-468A-8331-9FEB098C7723}">
      <dsp:nvSpPr>
        <dsp:cNvPr id="6" name="矩形 5"/>
        <dsp:cNvSpPr/>
      </dsp:nvSpPr>
      <dsp:spPr bwMode="white">
        <a:xfrm>
          <a:off x="1738952" y="810958"/>
          <a:ext cx="1157606" cy="694563"/>
        </a:xfrm>
        <a:prstGeom prst="rect">
          <a:avLst/>
        </a:prstGeom>
      </dsp:spPr>
      <dsp:style>
        <a:lnRef idx="2">
          <a:schemeClr val="lt1"/>
        </a:lnRef>
        <a:fillRef idx="1">
          <a:schemeClr val="accent2">
            <a:hueOff val="-1125000"/>
            <a:satOff val="-62940"/>
            <a:lumOff val="6471"/>
            <a:alpha val="100000"/>
          </a:schemeClr>
        </a:fillRef>
        <a:effectRef idx="0">
          <a:scrgbClr r="0" g="0" b="0"/>
        </a:effectRef>
        <a:fontRef idx="minor">
          <a:schemeClr val="lt1"/>
        </a:fontRef>
      </dsp:style>
      <dsp:txBody>
        <a:bodyPr lIns="60960" tIns="60960" rIns="60960" bIns="60960" anchor="ctr"/>
        <a:lstStyle>
          <a:lvl1pPr algn="ctr">
            <a:defRPr sz="1600"/>
          </a:lvl1pPr>
          <a:lvl2pPr marL="114300" indent="-114300" algn="ctr">
            <a:defRPr sz="1200"/>
          </a:lvl2pPr>
          <a:lvl3pPr marL="228600" indent="-114300" algn="ctr">
            <a:defRPr sz="1200"/>
          </a:lvl3pPr>
          <a:lvl4pPr marL="342900" indent="-114300" algn="ctr">
            <a:defRPr sz="1200"/>
          </a:lvl4pPr>
          <a:lvl5pPr marL="457200" indent="-114300" algn="ctr">
            <a:defRPr sz="1200"/>
          </a:lvl5pPr>
          <a:lvl6pPr marL="571500" indent="-114300" algn="ctr">
            <a:defRPr sz="1200"/>
          </a:lvl6pPr>
          <a:lvl7pPr marL="685800" indent="-114300" algn="ctr">
            <a:defRPr sz="1200"/>
          </a:lvl7pPr>
          <a:lvl8pPr marL="800100" indent="-114300" algn="ctr">
            <a:defRPr sz="1200"/>
          </a:lvl8pPr>
          <a:lvl9pPr marL="914400" indent="-114300" algn="ctr">
            <a:defRPr sz="1200"/>
          </a:lvl9pPr>
        </a:lstStyle>
        <a:p>
          <a:pPr lvl="0" algn="ctr">
            <a:lnSpc>
              <a:spcPct val="100000"/>
            </a:lnSpc>
            <a:spcBef>
              <a:spcPct val="0"/>
            </a:spcBef>
            <a:spcAft>
              <a:spcPct val="35000"/>
            </a:spcAft>
          </a:pPr>
          <a:r>
            <a:rPr lang="en-US"/>
            <a:t>Realistic</a:t>
          </a:r>
        </a:p>
      </dsp:txBody>
      <dsp:txXfrm>
        <a:off x="1738952" y="810958"/>
        <a:ext cx="1157606" cy="694563"/>
      </dsp:txXfrm>
    </dsp:sp>
    <dsp:sp modelId="{2C1C103B-E018-4CCE-9B04-97BEAA9ED180}">
      <dsp:nvSpPr>
        <dsp:cNvPr id="7" name="矩形 6"/>
        <dsp:cNvSpPr/>
      </dsp:nvSpPr>
      <dsp:spPr bwMode="white">
        <a:xfrm>
          <a:off x="1101817" y="1620790"/>
          <a:ext cx="1157606" cy="694563"/>
        </a:xfrm>
        <a:prstGeom prst="rect">
          <a:avLst/>
        </a:prstGeom>
      </dsp:spPr>
      <dsp:style>
        <a:lnRef idx="2">
          <a:schemeClr val="lt1"/>
        </a:lnRef>
        <a:fillRef idx="1">
          <a:schemeClr val="accent2">
            <a:hueOff val="-1500000"/>
            <a:satOff val="-83921"/>
            <a:lumOff val="8627"/>
            <a:alpha val="100000"/>
          </a:schemeClr>
        </a:fillRef>
        <a:effectRef idx="0">
          <a:scrgbClr r="0" g="0" b="0"/>
        </a:effectRef>
        <a:fontRef idx="minor">
          <a:schemeClr val="lt1"/>
        </a:fontRef>
      </dsp:style>
      <dsp:txBody>
        <a:bodyPr lIns="60960" tIns="60960" rIns="60960" bIns="60960" anchor="ctr"/>
        <a:lstStyle>
          <a:lvl1pPr algn="ctr">
            <a:defRPr sz="1600"/>
          </a:lvl1pPr>
          <a:lvl2pPr marL="114300" indent="-114300" algn="ctr">
            <a:defRPr sz="1200"/>
          </a:lvl2pPr>
          <a:lvl3pPr marL="228600" indent="-114300" algn="ctr">
            <a:defRPr sz="1200"/>
          </a:lvl3pPr>
          <a:lvl4pPr marL="342900" indent="-114300" algn="ctr">
            <a:defRPr sz="1200"/>
          </a:lvl4pPr>
          <a:lvl5pPr marL="457200" indent="-114300" algn="ctr">
            <a:defRPr sz="1200"/>
          </a:lvl5pPr>
          <a:lvl6pPr marL="571500" indent="-114300" algn="ctr">
            <a:defRPr sz="1200"/>
          </a:lvl6pPr>
          <a:lvl7pPr marL="685800" indent="-114300" algn="ctr">
            <a:defRPr sz="1200"/>
          </a:lvl7pPr>
          <a:lvl8pPr marL="800100" indent="-114300" algn="ctr">
            <a:defRPr sz="1200"/>
          </a:lvl8pPr>
          <a:lvl9pPr marL="914400" indent="-114300" algn="ctr">
            <a:defRPr sz="1200"/>
          </a:lvl9pPr>
        </a:lstStyle>
        <a:p>
          <a:pPr lvl="0" algn="ctr">
            <a:lnSpc>
              <a:spcPct val="100000"/>
            </a:lnSpc>
            <a:spcBef>
              <a:spcPct val="0"/>
            </a:spcBef>
            <a:spcAft>
              <a:spcPct val="35000"/>
            </a:spcAft>
          </a:pPr>
          <a:r>
            <a:rPr lang="en-US"/>
            <a:t>Timely</a:t>
          </a:r>
        </a:p>
      </dsp:txBody>
      <dsp:txXfrm>
        <a:off x="1101817" y="1620790"/>
        <a:ext cx="1157606" cy="694563"/>
      </dsp:txXfrm>
    </dsp:sp>
  </dsp:spTree>
</dsp:drawing>
</file>

<file path=word/diagrams/drawing3.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组合 1"/>
      <dsp:cNvGrpSpPr/>
    </dsp:nvGrpSpPr>
    <dsp:grpSpPr>
      <a:xfrm>
        <a:off x="0" y="0"/>
        <a:ext cx="2438400" cy="2438400"/>
        <a:chOff x="0" y="0"/>
        <a:chExt cx="2438400" cy="2438400"/>
      </a:xfrm>
    </dsp:grpSpPr>
    <dsp:sp modelId="{C9781D21-3699-4584-B01C-8EC01D5AD2C0}">
      <dsp:nvSpPr>
        <dsp:cNvPr id="3" name="十字箭头 2"/>
        <dsp:cNvSpPr/>
      </dsp:nvSpPr>
      <dsp:spPr bwMode="white">
        <a:xfrm>
          <a:off x="985838" y="0"/>
          <a:ext cx="2438400" cy="2438400"/>
        </a:xfrm>
        <a:prstGeom prst="quadArrow">
          <a:avLst>
            <a:gd name="adj1" fmla="val 2000"/>
            <a:gd name="adj2" fmla="val 4000"/>
            <a:gd name="adj3" fmla="val 5000"/>
          </a:avLst>
        </a:prstGeom>
      </dsp:spPr>
      <dsp:style>
        <a:lnRef idx="0">
          <a:schemeClr val="dk1"/>
        </a:lnRef>
        <a:fillRef idx="1">
          <a:schemeClr val="accent3">
            <a:tint val="40000"/>
          </a:schemeClr>
        </a:fillRef>
        <a:effectRef idx="0">
          <a:scrgbClr r="0" g="0" b="0"/>
        </a:effectRef>
        <a:fontRef idx="minor"/>
      </dsp:style>
      <dsp:txXfrm>
        <a:off x="985838" y="0"/>
        <a:ext cx="2438400" cy="2438400"/>
      </dsp:txXfrm>
    </dsp:sp>
    <dsp:sp modelId="{211CB37F-3722-4DED-9781-40B2FDDBF9CB}">
      <dsp:nvSpPr>
        <dsp:cNvPr id="4" name="圆角矩形 3"/>
        <dsp:cNvSpPr/>
      </dsp:nvSpPr>
      <dsp:spPr bwMode="white">
        <a:xfrm>
          <a:off x="1144334" y="158496"/>
          <a:ext cx="975360" cy="975360"/>
        </a:xfrm>
        <a:prstGeom prst="roundRect">
          <a:avLst/>
        </a:prstGeom>
      </dsp:spPr>
      <dsp:style>
        <a:lnRef idx="2">
          <a:schemeClr val="lt1"/>
        </a:lnRef>
        <a:fillRef idx="1">
          <a:schemeClr val="accent3">
            <a:hueOff val="0"/>
            <a:satOff val="0"/>
            <a:lumOff val="0"/>
            <a:alpha val="100000"/>
          </a:schemeClr>
        </a:fillRef>
        <a:effectRef idx="0">
          <a:scrgbClr r="0" g="0" b="0"/>
        </a:effectRef>
        <a:fontRef idx="minor">
          <a:schemeClr val="lt1"/>
        </a:fontRef>
      </dsp:style>
      <dsp:txBody>
        <a:bodyPr lIns="38100" tIns="38100" rIns="38100" bIns="3810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r>
            <a:rPr lang="en-US"/>
            <a:t>Market Development</a:t>
          </a:r>
        </a:p>
      </dsp:txBody>
      <dsp:txXfrm>
        <a:off x="1144334" y="158496"/>
        <a:ext cx="975360" cy="975360"/>
      </dsp:txXfrm>
    </dsp:sp>
    <dsp:sp modelId="{A42F69D8-C7F8-4C5A-A95F-996B1B54DE0F}">
      <dsp:nvSpPr>
        <dsp:cNvPr id="5" name="圆角矩形 4"/>
        <dsp:cNvSpPr/>
      </dsp:nvSpPr>
      <dsp:spPr bwMode="white">
        <a:xfrm>
          <a:off x="2290382" y="158496"/>
          <a:ext cx="975360" cy="975360"/>
        </a:xfrm>
        <a:prstGeom prst="roundRect">
          <a:avLst/>
        </a:prstGeom>
      </dsp:spPr>
      <dsp:style>
        <a:lnRef idx="2">
          <a:schemeClr val="lt1"/>
        </a:lnRef>
        <a:fillRef idx="1">
          <a:schemeClr val="accent3">
            <a:hueOff val="919999"/>
            <a:satOff val="33333"/>
            <a:lumOff val="-4836"/>
            <a:alpha val="100000"/>
          </a:schemeClr>
        </a:fillRef>
        <a:effectRef idx="0">
          <a:scrgbClr r="0" g="0" b="0"/>
        </a:effectRef>
        <a:fontRef idx="minor">
          <a:schemeClr val="lt1"/>
        </a:fontRef>
      </dsp:style>
      <dsp:txBody>
        <a:bodyPr lIns="38100" tIns="38100" rIns="38100" bIns="3810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r>
            <a:rPr lang="en-US"/>
            <a:t>Diversification</a:t>
          </a:r>
        </a:p>
      </dsp:txBody>
      <dsp:txXfrm>
        <a:off x="2290382" y="158496"/>
        <a:ext cx="975360" cy="975360"/>
      </dsp:txXfrm>
    </dsp:sp>
    <dsp:sp modelId="{2518796F-93CE-4221-93CB-DCA683DC5FB7}">
      <dsp:nvSpPr>
        <dsp:cNvPr id="6" name="圆角矩形 5"/>
        <dsp:cNvSpPr/>
      </dsp:nvSpPr>
      <dsp:spPr bwMode="white">
        <a:xfrm>
          <a:off x="1144334" y="1304544"/>
          <a:ext cx="975360" cy="975360"/>
        </a:xfrm>
        <a:prstGeom prst="roundRect">
          <a:avLst/>
        </a:prstGeom>
      </dsp:spPr>
      <dsp:style>
        <a:lnRef idx="2">
          <a:schemeClr val="lt1"/>
        </a:lnRef>
        <a:fillRef idx="1">
          <a:schemeClr val="accent3">
            <a:hueOff val="1839999"/>
            <a:satOff val="66667"/>
            <a:lumOff val="-9672"/>
            <a:alpha val="100000"/>
          </a:schemeClr>
        </a:fillRef>
        <a:effectRef idx="0">
          <a:scrgbClr r="0" g="0" b="0"/>
        </a:effectRef>
        <a:fontRef idx="minor">
          <a:schemeClr val="lt1"/>
        </a:fontRef>
      </dsp:style>
      <dsp:txBody>
        <a:bodyPr lIns="38100" tIns="38100" rIns="38100" bIns="3810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r>
            <a:rPr lang="en-US"/>
            <a:t>Market Penetration</a:t>
          </a:r>
        </a:p>
      </dsp:txBody>
      <dsp:txXfrm>
        <a:off x="1144334" y="1304544"/>
        <a:ext cx="975360" cy="975360"/>
      </dsp:txXfrm>
    </dsp:sp>
    <dsp:sp modelId="{18B2C43D-2939-4141-89C4-E0A6B2064732}">
      <dsp:nvSpPr>
        <dsp:cNvPr id="7" name="圆角矩形 6"/>
        <dsp:cNvSpPr/>
      </dsp:nvSpPr>
      <dsp:spPr bwMode="white">
        <a:xfrm>
          <a:off x="2290382" y="1304544"/>
          <a:ext cx="975360" cy="975360"/>
        </a:xfrm>
        <a:prstGeom prst="roundRect">
          <a:avLst/>
        </a:prstGeom>
      </dsp:spPr>
      <dsp:style>
        <a:lnRef idx="2">
          <a:schemeClr val="lt1"/>
        </a:lnRef>
        <a:fillRef idx="1">
          <a:schemeClr val="accent3">
            <a:hueOff val="2760000"/>
            <a:satOff val="100000"/>
            <a:lumOff val="-14509"/>
            <a:alpha val="100000"/>
          </a:schemeClr>
        </a:fillRef>
        <a:effectRef idx="0">
          <a:scrgbClr r="0" g="0" b="0"/>
        </a:effectRef>
        <a:fontRef idx="minor">
          <a:schemeClr val="lt1"/>
        </a:fontRef>
      </dsp:style>
      <dsp:txBody>
        <a:bodyPr lIns="38100" tIns="38100" rIns="38100" bIns="3810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gn="ctr">
            <a:lnSpc>
              <a:spcPct val="100000"/>
            </a:lnSpc>
            <a:spcBef>
              <a:spcPct val="0"/>
            </a:spcBef>
            <a:spcAft>
              <a:spcPct val="35000"/>
            </a:spcAft>
          </a:pPr>
          <a:r>
            <a:rPr lang="en-US"/>
            <a:t>Product development</a:t>
          </a:r>
        </a:p>
      </dsp:txBody>
      <dsp:txXfrm>
        <a:off x="2290382" y="1304544"/>
        <a:ext cx="975360" cy="975360"/>
      </dsp:txXfrm>
    </dsp:sp>
  </dsp:spTree>
</dsp:drawing>
</file>

<file path=word/diagrams/drawing4.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组合 1"/>
      <dsp:cNvGrpSpPr/>
    </dsp:nvGrpSpPr>
    <dsp:grpSpPr>
      <a:xfrm>
        <a:off x="0" y="0"/>
        <a:ext cx="2714625" cy="2714625"/>
        <a:chOff x="0" y="0"/>
        <a:chExt cx="2714625" cy="2714625"/>
      </a:xfrm>
    </dsp:grpSpPr>
    <dsp:sp modelId="{C2795AB9-1B0D-41E0-90CD-277DE6150A28}">
      <dsp:nvSpPr>
        <dsp:cNvPr id="3" name="菱形 2"/>
        <dsp:cNvSpPr/>
      </dsp:nvSpPr>
      <dsp:spPr bwMode="white">
        <a:xfrm>
          <a:off x="671513" y="0"/>
          <a:ext cx="2714625" cy="2714625"/>
        </a:xfrm>
        <a:prstGeom prst="diamond">
          <a:avLst/>
        </a:prstGeom>
      </dsp:spPr>
      <dsp:style>
        <a:lnRef idx="0">
          <a:schemeClr val="dk1"/>
        </a:lnRef>
        <a:fillRef idx="1">
          <a:schemeClr val="accent2">
            <a:tint val="40000"/>
          </a:schemeClr>
        </a:fillRef>
        <a:effectRef idx="0">
          <a:scrgbClr r="0" g="0" b="0"/>
        </a:effectRef>
        <a:fontRef idx="minor"/>
      </dsp:style>
      <dsp:txXfrm>
        <a:off x="671513" y="0"/>
        <a:ext cx="2714625" cy="2714625"/>
      </dsp:txXfrm>
    </dsp:sp>
    <dsp:sp modelId="{806C56DE-FE03-4B7B-810B-D1D301345217}">
      <dsp:nvSpPr>
        <dsp:cNvPr id="4" name="圆角矩形 3"/>
        <dsp:cNvSpPr/>
      </dsp:nvSpPr>
      <dsp:spPr bwMode="white">
        <a:xfrm>
          <a:off x="929402" y="257889"/>
          <a:ext cx="1058704" cy="1058704"/>
        </a:xfrm>
        <a:prstGeom prst="roundRect">
          <a:avLst/>
        </a:prstGeom>
      </dsp:spPr>
      <dsp:style>
        <a:lnRef idx="2">
          <a:schemeClr val="lt1"/>
        </a:lnRef>
        <a:fillRef idx="1">
          <a:schemeClr val="accent2">
            <a:hueOff val="0"/>
            <a:satOff val="0"/>
            <a:lumOff val="0"/>
            <a:alpha val="100000"/>
          </a:schemeClr>
        </a:fillRef>
        <a:effectRef idx="0">
          <a:scrgbClr r="0" g="0" b="0"/>
        </a:effectRef>
        <a:fontRef idx="minor">
          <a:schemeClr val="lt1"/>
        </a:fontRef>
      </dsp:style>
      <dsp:txBody>
        <a:bodyPr lIns="41910" tIns="41910" rIns="41910" bIns="41910" anchor="ctr"/>
        <a:lstStyle>
          <a:lvl1pPr algn="ctr">
            <a:defRPr sz="1100"/>
          </a:lvl1pPr>
          <a:lvl2pPr marL="57150" indent="-57150" algn="ctr">
            <a:defRPr sz="800"/>
          </a:lvl2pPr>
          <a:lvl3pPr marL="114300" indent="-57150" algn="ctr">
            <a:defRPr sz="800"/>
          </a:lvl3pPr>
          <a:lvl4pPr marL="171450" indent="-57150" algn="ctr">
            <a:defRPr sz="800"/>
          </a:lvl4pPr>
          <a:lvl5pPr marL="228600" indent="-57150" algn="ctr">
            <a:defRPr sz="800"/>
          </a:lvl5pPr>
          <a:lvl6pPr marL="285750" indent="-57150" algn="ctr">
            <a:defRPr sz="800"/>
          </a:lvl6pPr>
          <a:lvl7pPr marL="342900" indent="-57150" algn="ctr">
            <a:defRPr sz="800"/>
          </a:lvl7pPr>
          <a:lvl8pPr marL="400050" indent="-57150" algn="ctr">
            <a:defRPr sz="800"/>
          </a:lvl8pPr>
          <a:lvl9pPr marL="457200" indent="-57150" algn="ctr">
            <a:defRPr sz="800"/>
          </a:lvl9pPr>
        </a:lstStyle>
        <a:p>
          <a:pPr lvl="0" algn="ctr">
            <a:lnSpc>
              <a:spcPct val="100000"/>
            </a:lnSpc>
            <a:spcBef>
              <a:spcPct val="0"/>
            </a:spcBef>
            <a:spcAft>
              <a:spcPct val="35000"/>
            </a:spcAft>
          </a:pPr>
          <a:r>
            <a:rPr lang="en-US"/>
            <a:t>Cost Leadership</a:t>
          </a:r>
          <a:endParaRPr lang="en-US"/>
        </a:p>
        <a:p>
          <a:pPr lvl="0" algn="ctr">
            <a:lnSpc>
              <a:spcPct val="100000"/>
            </a:lnSpc>
            <a:spcBef>
              <a:spcPct val="0"/>
            </a:spcBef>
            <a:spcAft>
              <a:spcPct val="35000"/>
            </a:spcAft>
          </a:pPr>
          <a:r>
            <a:rPr lang="en-US"/>
            <a:t>strategy</a:t>
          </a:r>
        </a:p>
      </dsp:txBody>
      <dsp:txXfrm>
        <a:off x="929402" y="257889"/>
        <a:ext cx="1058704" cy="1058704"/>
      </dsp:txXfrm>
    </dsp:sp>
    <dsp:sp modelId="{AEB1D76B-227D-441A-A97B-B91D66115E19}">
      <dsp:nvSpPr>
        <dsp:cNvPr id="5" name="圆角矩形 4"/>
        <dsp:cNvSpPr/>
      </dsp:nvSpPr>
      <dsp:spPr bwMode="white">
        <a:xfrm>
          <a:off x="2069544" y="257889"/>
          <a:ext cx="1058704" cy="1058704"/>
        </a:xfrm>
        <a:prstGeom prst="roundRect">
          <a:avLst/>
        </a:prstGeom>
      </dsp:spPr>
      <dsp:style>
        <a:lnRef idx="2">
          <a:schemeClr val="lt1"/>
        </a:lnRef>
        <a:fillRef idx="1">
          <a:schemeClr val="accent2">
            <a:hueOff val="-499999"/>
            <a:satOff val="-27973"/>
            <a:lumOff val="2876"/>
            <a:alpha val="100000"/>
          </a:schemeClr>
        </a:fillRef>
        <a:effectRef idx="0">
          <a:scrgbClr r="0" g="0" b="0"/>
        </a:effectRef>
        <a:fontRef idx="minor">
          <a:schemeClr val="lt1"/>
        </a:fontRef>
      </dsp:style>
      <dsp:txBody>
        <a:bodyPr lIns="41910" tIns="41910" rIns="41910" bIns="41910" anchor="ctr"/>
        <a:lstStyle>
          <a:lvl1pPr algn="ctr">
            <a:defRPr sz="1100"/>
          </a:lvl1pPr>
          <a:lvl2pPr marL="57150" indent="-57150" algn="ctr">
            <a:defRPr sz="800"/>
          </a:lvl2pPr>
          <a:lvl3pPr marL="114300" indent="-57150" algn="ctr">
            <a:defRPr sz="800"/>
          </a:lvl3pPr>
          <a:lvl4pPr marL="171450" indent="-57150" algn="ctr">
            <a:defRPr sz="800"/>
          </a:lvl4pPr>
          <a:lvl5pPr marL="228600" indent="-57150" algn="ctr">
            <a:defRPr sz="800"/>
          </a:lvl5pPr>
          <a:lvl6pPr marL="285750" indent="-57150" algn="ctr">
            <a:defRPr sz="800"/>
          </a:lvl6pPr>
          <a:lvl7pPr marL="342900" indent="-57150" algn="ctr">
            <a:defRPr sz="800"/>
          </a:lvl7pPr>
          <a:lvl8pPr marL="400050" indent="-57150" algn="ctr">
            <a:defRPr sz="800"/>
          </a:lvl8pPr>
          <a:lvl9pPr marL="457200" indent="-57150" algn="ctr">
            <a:defRPr sz="800"/>
          </a:lvl9pPr>
        </a:lstStyle>
        <a:p>
          <a:pPr lvl="0" algn="ctr">
            <a:lnSpc>
              <a:spcPct val="100000"/>
            </a:lnSpc>
            <a:spcBef>
              <a:spcPct val="0"/>
            </a:spcBef>
            <a:spcAft>
              <a:spcPct val="35000"/>
            </a:spcAft>
          </a:pPr>
          <a:r>
            <a:rPr lang="en-US"/>
            <a:t>Differentiation</a:t>
          </a:r>
          <a:endParaRPr lang="en-US"/>
        </a:p>
        <a:p>
          <a:pPr lvl="0" algn="ctr">
            <a:lnSpc>
              <a:spcPct val="100000"/>
            </a:lnSpc>
            <a:spcBef>
              <a:spcPct val="0"/>
            </a:spcBef>
            <a:spcAft>
              <a:spcPct val="35000"/>
            </a:spcAft>
          </a:pPr>
          <a:r>
            <a:rPr lang="en-US"/>
            <a:t>Strategy</a:t>
          </a:r>
        </a:p>
      </dsp:txBody>
      <dsp:txXfrm>
        <a:off x="2069544" y="257889"/>
        <a:ext cx="1058704" cy="1058704"/>
      </dsp:txXfrm>
    </dsp:sp>
    <dsp:sp modelId="{EB930BEF-A139-449F-A803-A2B472C4F15F}">
      <dsp:nvSpPr>
        <dsp:cNvPr id="6" name="圆角矩形 5"/>
        <dsp:cNvSpPr/>
      </dsp:nvSpPr>
      <dsp:spPr bwMode="white">
        <a:xfrm>
          <a:off x="929402" y="1398032"/>
          <a:ext cx="1058704" cy="1058704"/>
        </a:xfrm>
        <a:prstGeom prst="roundRect">
          <a:avLst/>
        </a:prstGeom>
      </dsp:spPr>
      <dsp:style>
        <a:lnRef idx="2">
          <a:schemeClr val="lt1"/>
        </a:lnRef>
        <a:fillRef idx="1">
          <a:schemeClr val="accent2">
            <a:hueOff val="-999999"/>
            <a:satOff val="-55947"/>
            <a:lumOff val="5752"/>
            <a:alpha val="100000"/>
          </a:schemeClr>
        </a:fillRef>
        <a:effectRef idx="0">
          <a:scrgbClr r="0" g="0" b="0"/>
        </a:effectRef>
        <a:fontRef idx="minor">
          <a:schemeClr val="lt1"/>
        </a:fontRef>
      </dsp:style>
      <dsp:txBody>
        <a:bodyPr lIns="41910" tIns="41910" rIns="41910" bIns="41910" anchor="ctr"/>
        <a:lstStyle>
          <a:lvl1pPr algn="ctr">
            <a:defRPr sz="1100"/>
          </a:lvl1pPr>
          <a:lvl2pPr marL="57150" indent="-57150" algn="ctr">
            <a:defRPr sz="800"/>
          </a:lvl2pPr>
          <a:lvl3pPr marL="114300" indent="-57150" algn="ctr">
            <a:defRPr sz="800"/>
          </a:lvl3pPr>
          <a:lvl4pPr marL="171450" indent="-57150" algn="ctr">
            <a:defRPr sz="800"/>
          </a:lvl4pPr>
          <a:lvl5pPr marL="228600" indent="-57150" algn="ctr">
            <a:defRPr sz="800"/>
          </a:lvl5pPr>
          <a:lvl6pPr marL="285750" indent="-57150" algn="ctr">
            <a:defRPr sz="800"/>
          </a:lvl6pPr>
          <a:lvl7pPr marL="342900" indent="-57150" algn="ctr">
            <a:defRPr sz="800"/>
          </a:lvl7pPr>
          <a:lvl8pPr marL="400050" indent="-57150" algn="ctr">
            <a:defRPr sz="800"/>
          </a:lvl8pPr>
          <a:lvl9pPr marL="457200" indent="-57150" algn="ctr">
            <a:defRPr sz="800"/>
          </a:lvl9pPr>
        </a:lstStyle>
        <a:p>
          <a:pPr lvl="0" algn="ctr">
            <a:lnSpc>
              <a:spcPct val="100000"/>
            </a:lnSpc>
            <a:spcBef>
              <a:spcPct val="0"/>
            </a:spcBef>
            <a:spcAft>
              <a:spcPct val="35000"/>
            </a:spcAft>
          </a:pPr>
          <a:r>
            <a:rPr lang="en-US"/>
            <a:t>Cost Focus</a:t>
          </a:r>
        </a:p>
      </dsp:txBody>
      <dsp:txXfrm>
        <a:off x="929402" y="1398032"/>
        <a:ext cx="1058704" cy="1058704"/>
      </dsp:txXfrm>
    </dsp:sp>
    <dsp:sp modelId="{EEA347E1-4B3E-4F5D-A14F-A41631CD831C}">
      <dsp:nvSpPr>
        <dsp:cNvPr id="7" name="圆角矩形 6"/>
        <dsp:cNvSpPr/>
      </dsp:nvSpPr>
      <dsp:spPr bwMode="white">
        <a:xfrm>
          <a:off x="2069544" y="1398032"/>
          <a:ext cx="1058704" cy="1058704"/>
        </a:xfrm>
        <a:prstGeom prst="roundRect">
          <a:avLst/>
        </a:prstGeom>
      </dsp:spPr>
      <dsp:style>
        <a:lnRef idx="2">
          <a:schemeClr val="lt1"/>
        </a:lnRef>
        <a:fillRef idx="1">
          <a:schemeClr val="accent2">
            <a:hueOff val="-1500000"/>
            <a:satOff val="-83921"/>
            <a:lumOff val="8627"/>
            <a:alpha val="100000"/>
          </a:schemeClr>
        </a:fillRef>
        <a:effectRef idx="0">
          <a:scrgbClr r="0" g="0" b="0"/>
        </a:effectRef>
        <a:fontRef idx="minor">
          <a:schemeClr val="lt1"/>
        </a:fontRef>
      </dsp:style>
      <dsp:txBody>
        <a:bodyPr lIns="41910" tIns="41910" rIns="41910" bIns="41910" anchor="ctr"/>
        <a:lstStyle>
          <a:lvl1pPr algn="ctr">
            <a:defRPr sz="1100"/>
          </a:lvl1pPr>
          <a:lvl2pPr marL="57150" indent="-57150" algn="ctr">
            <a:defRPr sz="800"/>
          </a:lvl2pPr>
          <a:lvl3pPr marL="114300" indent="-57150" algn="ctr">
            <a:defRPr sz="800"/>
          </a:lvl3pPr>
          <a:lvl4pPr marL="171450" indent="-57150" algn="ctr">
            <a:defRPr sz="800"/>
          </a:lvl4pPr>
          <a:lvl5pPr marL="228600" indent="-57150" algn="ctr">
            <a:defRPr sz="800"/>
          </a:lvl5pPr>
          <a:lvl6pPr marL="285750" indent="-57150" algn="ctr">
            <a:defRPr sz="800"/>
          </a:lvl6pPr>
          <a:lvl7pPr marL="342900" indent="-57150" algn="ctr">
            <a:defRPr sz="800"/>
          </a:lvl7pPr>
          <a:lvl8pPr marL="400050" indent="-57150" algn="ctr">
            <a:defRPr sz="800"/>
          </a:lvl8pPr>
          <a:lvl9pPr marL="457200" indent="-57150" algn="ctr">
            <a:defRPr sz="800"/>
          </a:lvl9pPr>
        </a:lstStyle>
        <a:p>
          <a:pPr lvl="0" algn="ctr">
            <a:lnSpc>
              <a:spcPct val="100000"/>
            </a:lnSpc>
            <a:spcBef>
              <a:spcPct val="0"/>
            </a:spcBef>
            <a:spcAft>
              <a:spcPct val="35000"/>
            </a:spcAft>
          </a:pPr>
          <a:r>
            <a:rPr lang="en-US"/>
            <a:t>Differentiation focus</a:t>
          </a:r>
        </a:p>
      </dsp:txBody>
      <dsp:txXfrm>
        <a:off x="2069544" y="1398032"/>
        <a:ext cx="1058704" cy="1058704"/>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off" val="ctr"/>
          <dgm:param type="contDir" val="sameDir"/>
          <dgm:param type="grDir" val="tL"/>
          <dgm:param type="flowDir" val="row"/>
        </dgm:alg>
      </dgm:if>
      <dgm:else name="Name2">
        <dgm:alg type="snake">
          <dgm:param type="off" val="ctr"/>
          <dgm:param type="contDir" val="sameDir"/>
          <dgm:param type="grDir" val="tR"/>
          <dgm:param type="flowDir" val="row"/>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4551</Words>
  <Characters>27832</Characters>
  <Lines>0</Lines>
  <Paragraphs>0</Paragraphs>
  <TotalTime>2</TotalTime>
  <ScaleCrop>false</ScaleCrop>
  <LinksUpToDate>false</LinksUpToDate>
  <CharactersWithSpaces>32367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2023-05-14T08:04:00Z</dcterms:created>
  <dc:creator>问好</dc:creator>
  <cp:lastModifiedBy>问好</cp:lastModifiedBy>
  <dcterms:modified xsi:type="dcterms:W3CDTF">2023-05-14T08:31:05Z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3DDD788226C54CB0843A4C2E0E3FD961_11</vt:lpwstr>
  </property>
</Properties>
</file>