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544"/>
        <w:gridCol w:w="2097"/>
        <w:gridCol w:w="2268"/>
      </w:tblGrid>
      <w:tr w:rsidR="00A15527" w:rsidRPr="00A406E5" w14:paraId="4CBF100A" w14:textId="77777777" w:rsidTr="00722654">
        <w:tc>
          <w:tcPr>
            <w:tcW w:w="2013" w:type="dxa"/>
          </w:tcPr>
          <w:p w14:paraId="7685C979" w14:textId="77777777" w:rsidR="00A15527" w:rsidRPr="00A406E5" w:rsidRDefault="00A15527" w:rsidP="00722654">
            <w:pPr>
              <w:spacing w:before="120" w:after="120"/>
              <w:rPr>
                <w:rFonts w:ascii="Arial" w:hAnsi="Arial" w:cs="Arial"/>
                <w:b/>
              </w:rPr>
            </w:pPr>
            <w:r w:rsidRPr="00A406E5">
              <w:rPr>
                <w:rFonts w:ascii="Arial" w:hAnsi="Arial" w:cs="Arial"/>
                <w:b/>
              </w:rPr>
              <w:t>Student name:</w:t>
            </w:r>
          </w:p>
        </w:tc>
        <w:tc>
          <w:tcPr>
            <w:tcW w:w="3544" w:type="dxa"/>
          </w:tcPr>
          <w:p w14:paraId="058F1AE0" w14:textId="42A99AA9" w:rsidR="00A15527" w:rsidRPr="00A406E5" w:rsidRDefault="00A15527" w:rsidP="00A15527">
            <w:pPr>
              <w:pStyle w:val="Heading1"/>
              <w:rPr>
                <w:sz w:val="22"/>
                <w:szCs w:val="22"/>
              </w:rPr>
            </w:pPr>
            <w:r>
              <w:t>Zsolt Czirjek</w:t>
            </w:r>
          </w:p>
        </w:tc>
        <w:tc>
          <w:tcPr>
            <w:tcW w:w="2097" w:type="dxa"/>
            <w:shd w:val="clear" w:color="auto" w:fill="D9D9D9" w:themeFill="background1" w:themeFillShade="D9"/>
          </w:tcPr>
          <w:p w14:paraId="5E06B6D9" w14:textId="77777777" w:rsidR="00A15527" w:rsidRPr="00A406E5" w:rsidRDefault="00A15527" w:rsidP="00722654">
            <w:pPr>
              <w:spacing w:before="120" w:after="120"/>
              <w:rPr>
                <w:rFonts w:ascii="Arial" w:hAnsi="Arial" w:cs="Arial"/>
                <w:b/>
              </w:rPr>
            </w:pPr>
            <w:r w:rsidRPr="00A406E5">
              <w:rPr>
                <w:rFonts w:ascii="Arial" w:hAnsi="Arial" w:cs="Arial"/>
                <w:b/>
              </w:rPr>
              <w:t>Student ID number:</w:t>
            </w:r>
          </w:p>
        </w:tc>
        <w:tc>
          <w:tcPr>
            <w:tcW w:w="2268" w:type="dxa"/>
          </w:tcPr>
          <w:p w14:paraId="42A19ADE" w14:textId="0D9EB59A" w:rsidR="00A15527" w:rsidRPr="00A406E5" w:rsidRDefault="00A15527" w:rsidP="00722654">
            <w:pPr>
              <w:spacing w:before="120" w:after="120"/>
              <w:rPr>
                <w:rFonts w:ascii="Arial" w:hAnsi="Arial" w:cs="Arial"/>
                <w:b/>
              </w:rPr>
            </w:pPr>
            <w:r>
              <w:rPr>
                <w:rFonts w:ascii="Arial" w:hAnsi="Arial" w:cs="Arial"/>
                <w:b/>
              </w:rPr>
              <w:t>2212090</w:t>
            </w:r>
          </w:p>
        </w:tc>
      </w:tr>
    </w:tbl>
    <w:p w14:paraId="10761FDC" w14:textId="77777777" w:rsidR="003F15E6" w:rsidRDefault="003F15E6">
      <w:pPr>
        <w:rPr>
          <w:lang w:val="en-US"/>
        </w:rPr>
      </w:pPr>
    </w:p>
    <w:p w14:paraId="34E1D415" w14:textId="77777777" w:rsidR="00A15527" w:rsidRDefault="00A15527">
      <w:pPr>
        <w:rPr>
          <w:lang w:val="en-US"/>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544"/>
        <w:gridCol w:w="2097"/>
        <w:gridCol w:w="2268"/>
      </w:tblGrid>
      <w:tr w:rsidR="00A15527" w:rsidRPr="00A406E5" w14:paraId="430FBE5F" w14:textId="77777777" w:rsidTr="00722654">
        <w:tc>
          <w:tcPr>
            <w:tcW w:w="2013" w:type="dxa"/>
          </w:tcPr>
          <w:p w14:paraId="37412D46" w14:textId="77777777" w:rsidR="00A15527" w:rsidRPr="00A406E5" w:rsidRDefault="00A15527" w:rsidP="00722654">
            <w:pPr>
              <w:spacing w:before="120" w:after="120"/>
              <w:rPr>
                <w:rFonts w:ascii="Arial" w:hAnsi="Arial" w:cs="Arial"/>
                <w:b/>
              </w:rPr>
            </w:pPr>
            <w:r w:rsidRPr="00A406E5">
              <w:rPr>
                <w:rFonts w:ascii="Arial" w:hAnsi="Arial" w:cs="Arial"/>
                <w:b/>
              </w:rPr>
              <w:t>Assignment Title:</w:t>
            </w:r>
          </w:p>
        </w:tc>
        <w:tc>
          <w:tcPr>
            <w:tcW w:w="3544" w:type="dxa"/>
          </w:tcPr>
          <w:p w14:paraId="5A72A1F5" w14:textId="77777777" w:rsidR="00A15527" w:rsidRPr="00A406E5" w:rsidRDefault="00A15527" w:rsidP="00722654">
            <w:pPr>
              <w:spacing w:before="120" w:after="120"/>
              <w:rPr>
                <w:rFonts w:ascii="Arial" w:hAnsi="Arial" w:cs="Arial"/>
                <w:b/>
              </w:rPr>
            </w:pPr>
            <w:r>
              <w:rPr>
                <w:rFonts w:ascii="Arial" w:hAnsi="Arial" w:cs="Arial"/>
                <w:b/>
              </w:rPr>
              <w:t>Assessment component: Financial performance and management</w:t>
            </w:r>
          </w:p>
        </w:tc>
        <w:tc>
          <w:tcPr>
            <w:tcW w:w="2097" w:type="dxa"/>
          </w:tcPr>
          <w:p w14:paraId="7ABC1170" w14:textId="77777777" w:rsidR="00A15527" w:rsidRPr="00A406E5" w:rsidRDefault="00A15527" w:rsidP="00722654">
            <w:pPr>
              <w:spacing w:before="120" w:after="120"/>
              <w:rPr>
                <w:rFonts w:ascii="Arial" w:hAnsi="Arial" w:cs="Arial"/>
                <w:b/>
              </w:rPr>
            </w:pPr>
            <w:r>
              <w:rPr>
                <w:rFonts w:ascii="Arial" w:hAnsi="Arial" w:cs="Arial"/>
                <w:b/>
              </w:rPr>
              <w:t>Word count (or equivalent):</w:t>
            </w:r>
          </w:p>
        </w:tc>
        <w:tc>
          <w:tcPr>
            <w:tcW w:w="2268" w:type="dxa"/>
          </w:tcPr>
          <w:p w14:paraId="1BF5E2EF" w14:textId="77777777" w:rsidR="00A15527" w:rsidRPr="00A406E5" w:rsidRDefault="00A15527" w:rsidP="00722654">
            <w:pPr>
              <w:spacing w:before="120" w:after="120"/>
              <w:rPr>
                <w:rFonts w:ascii="Arial" w:hAnsi="Arial" w:cs="Arial"/>
                <w:b/>
              </w:rPr>
            </w:pPr>
            <w:r w:rsidRPr="00453988">
              <w:rPr>
                <w:rFonts w:ascii="Arial" w:hAnsi="Arial" w:cs="Arial"/>
                <w:b/>
              </w:rPr>
              <w:t>5,000 words (± 10%)</w:t>
            </w:r>
          </w:p>
        </w:tc>
      </w:tr>
      <w:tr w:rsidR="00A15527" w:rsidRPr="00A406E5" w14:paraId="49AD2FBE" w14:textId="77777777" w:rsidTr="00722654">
        <w:tc>
          <w:tcPr>
            <w:tcW w:w="2013" w:type="dxa"/>
          </w:tcPr>
          <w:p w14:paraId="4E070A4B" w14:textId="77777777" w:rsidR="00A15527" w:rsidRPr="00A406E5" w:rsidRDefault="00A15527" w:rsidP="00722654">
            <w:pPr>
              <w:spacing w:before="120" w:after="120"/>
              <w:rPr>
                <w:rFonts w:ascii="Arial" w:hAnsi="Arial" w:cs="Arial"/>
                <w:b/>
              </w:rPr>
            </w:pPr>
            <w:r w:rsidRPr="00A406E5">
              <w:rPr>
                <w:rFonts w:ascii="Arial" w:hAnsi="Arial" w:cs="Arial"/>
                <w:b/>
              </w:rPr>
              <w:t>Submission deadline:</w:t>
            </w:r>
          </w:p>
        </w:tc>
        <w:tc>
          <w:tcPr>
            <w:tcW w:w="3544" w:type="dxa"/>
          </w:tcPr>
          <w:p w14:paraId="7F22B988" w14:textId="77777777" w:rsidR="00A15527" w:rsidRDefault="00A15527" w:rsidP="00722654">
            <w:pPr>
              <w:spacing w:before="120" w:after="120"/>
              <w:rPr>
                <w:rFonts w:ascii="Arial" w:hAnsi="Arial" w:cs="Arial"/>
                <w:b/>
              </w:rPr>
            </w:pPr>
            <w:r>
              <w:rPr>
                <w:rFonts w:ascii="Arial" w:hAnsi="Arial" w:cs="Arial"/>
                <w:b/>
              </w:rPr>
              <w:t>Monday 24</w:t>
            </w:r>
            <w:r w:rsidRPr="00FF3C4C">
              <w:rPr>
                <w:rFonts w:ascii="Arial" w:hAnsi="Arial" w:cs="Arial"/>
                <w:b/>
                <w:vertAlign w:val="superscript"/>
              </w:rPr>
              <w:t>th</w:t>
            </w:r>
            <w:r>
              <w:rPr>
                <w:rFonts w:ascii="Arial" w:hAnsi="Arial" w:cs="Arial"/>
                <w:b/>
              </w:rPr>
              <w:t xml:space="preserve"> November 2025 by 2pm</w:t>
            </w:r>
          </w:p>
          <w:p w14:paraId="723491E3" w14:textId="77777777" w:rsidR="00A15527" w:rsidRPr="00A406E5" w:rsidRDefault="00A15527" w:rsidP="00722654">
            <w:pPr>
              <w:spacing w:before="120" w:after="120"/>
              <w:rPr>
                <w:rFonts w:ascii="Arial" w:hAnsi="Arial" w:cs="Arial"/>
                <w:b/>
              </w:rPr>
            </w:pPr>
          </w:p>
        </w:tc>
        <w:tc>
          <w:tcPr>
            <w:tcW w:w="2097" w:type="dxa"/>
          </w:tcPr>
          <w:p w14:paraId="65CD987D" w14:textId="77777777" w:rsidR="00A15527" w:rsidRPr="00A406E5" w:rsidRDefault="00A15527" w:rsidP="00722654">
            <w:pPr>
              <w:spacing w:before="120" w:after="120"/>
              <w:rPr>
                <w:rFonts w:ascii="Arial" w:hAnsi="Arial" w:cs="Arial"/>
                <w:b/>
                <w:bCs/>
              </w:rPr>
            </w:pPr>
            <w:r w:rsidRPr="68588355">
              <w:rPr>
                <w:rFonts w:ascii="Arial" w:hAnsi="Arial" w:cs="Arial"/>
                <w:b/>
                <w:bCs/>
              </w:rPr>
              <w:t>Return date of provisional marks &amp; written feedback:</w:t>
            </w:r>
          </w:p>
        </w:tc>
        <w:tc>
          <w:tcPr>
            <w:tcW w:w="2268" w:type="dxa"/>
          </w:tcPr>
          <w:p w14:paraId="1B5FEA53" w14:textId="77777777" w:rsidR="00A15527" w:rsidRPr="00A406E5" w:rsidRDefault="00A15527" w:rsidP="00722654">
            <w:pPr>
              <w:spacing w:before="120" w:after="120"/>
              <w:rPr>
                <w:rFonts w:ascii="Arial" w:hAnsi="Arial" w:cs="Arial"/>
                <w:b/>
              </w:rPr>
            </w:pPr>
            <w:r>
              <w:rPr>
                <w:rFonts w:ascii="Arial" w:hAnsi="Arial" w:cs="Arial"/>
                <w:b/>
              </w:rPr>
              <w:t>22</w:t>
            </w:r>
            <w:r w:rsidRPr="009A6911">
              <w:rPr>
                <w:rFonts w:ascii="Arial" w:hAnsi="Arial" w:cs="Arial"/>
                <w:b/>
                <w:vertAlign w:val="superscript"/>
              </w:rPr>
              <w:t>nd</w:t>
            </w:r>
            <w:r>
              <w:rPr>
                <w:rFonts w:ascii="Arial" w:hAnsi="Arial" w:cs="Arial"/>
                <w:b/>
              </w:rPr>
              <w:t xml:space="preserve"> December 2025</w:t>
            </w:r>
          </w:p>
        </w:tc>
      </w:tr>
    </w:tbl>
    <w:p w14:paraId="383A7FAF" w14:textId="77777777" w:rsidR="00A15527" w:rsidRDefault="00A15527">
      <w:pPr>
        <w:rPr>
          <w:lang w:val="en-US"/>
        </w:rPr>
      </w:pPr>
    </w:p>
    <w:p w14:paraId="256BF786" w14:textId="77777777" w:rsidR="00A15527" w:rsidRDefault="00A15527">
      <w:pPr>
        <w:rPr>
          <w:lang w:val="en-US"/>
        </w:rPr>
      </w:pPr>
    </w:p>
    <w:p w14:paraId="35BF90B4" w14:textId="77777777" w:rsidR="00A15527" w:rsidRDefault="00A15527">
      <w:pPr>
        <w:rPr>
          <w:lang w:val="en-US"/>
        </w:rPr>
      </w:pPr>
    </w:p>
    <w:p w14:paraId="6E8C8EA9" w14:textId="77777777" w:rsidR="00A15527" w:rsidRDefault="00A15527">
      <w:pPr>
        <w:rPr>
          <w:lang w:val="en-US"/>
        </w:rPr>
      </w:pPr>
    </w:p>
    <w:p w14:paraId="299F3AD5" w14:textId="77777777" w:rsidR="00A15527" w:rsidRDefault="00A15527">
      <w:pPr>
        <w:rPr>
          <w:lang w:val="en-US"/>
        </w:rPr>
      </w:pPr>
    </w:p>
    <w:p w14:paraId="20A13A33" w14:textId="77777777" w:rsidR="00A15527" w:rsidRDefault="00A15527">
      <w:pPr>
        <w:rPr>
          <w:lang w:val="en-US"/>
        </w:rPr>
      </w:pPr>
    </w:p>
    <w:p w14:paraId="6672F14C" w14:textId="77777777" w:rsidR="00A15527" w:rsidRDefault="00A15527">
      <w:pPr>
        <w:rPr>
          <w:lang w:val="en-US"/>
        </w:rPr>
      </w:pPr>
    </w:p>
    <w:p w14:paraId="2803C57E" w14:textId="77777777" w:rsidR="00A15527" w:rsidRDefault="00A15527">
      <w:pPr>
        <w:rPr>
          <w:lang w:val="en-US"/>
        </w:rPr>
      </w:pPr>
    </w:p>
    <w:p w14:paraId="58332775" w14:textId="77777777" w:rsidR="00A15527" w:rsidRDefault="00A15527">
      <w:pPr>
        <w:rPr>
          <w:lang w:val="en-US"/>
        </w:rPr>
      </w:pPr>
    </w:p>
    <w:p w14:paraId="17E2F545" w14:textId="77777777" w:rsidR="00A15527" w:rsidRDefault="00A15527">
      <w:pPr>
        <w:rPr>
          <w:lang w:val="en-US"/>
        </w:rPr>
      </w:pPr>
    </w:p>
    <w:p w14:paraId="78BC48EA" w14:textId="77777777" w:rsidR="00A15527" w:rsidRDefault="00A15527">
      <w:pPr>
        <w:rPr>
          <w:lang w:val="en-US"/>
        </w:rPr>
      </w:pPr>
    </w:p>
    <w:p w14:paraId="23A8D762" w14:textId="77777777" w:rsidR="00A15527" w:rsidRDefault="00A15527">
      <w:pPr>
        <w:rPr>
          <w:lang w:val="en-US"/>
        </w:rPr>
      </w:pPr>
    </w:p>
    <w:p w14:paraId="161FDE7F" w14:textId="77777777" w:rsidR="00A15527" w:rsidRDefault="00A15527">
      <w:pPr>
        <w:rPr>
          <w:lang w:val="en-US"/>
        </w:rPr>
      </w:pPr>
    </w:p>
    <w:p w14:paraId="37498851" w14:textId="77777777" w:rsidR="00A15527" w:rsidRDefault="00A15527">
      <w:pPr>
        <w:rPr>
          <w:lang w:val="en-US"/>
        </w:rPr>
      </w:pPr>
    </w:p>
    <w:p w14:paraId="4EBDC2D6" w14:textId="77777777" w:rsidR="00A15527" w:rsidRDefault="00A15527">
      <w:pPr>
        <w:rPr>
          <w:lang w:val="en-US"/>
        </w:rPr>
      </w:pPr>
    </w:p>
    <w:p w14:paraId="50EC5B83" w14:textId="77777777" w:rsidR="00A15527" w:rsidRDefault="00A15527">
      <w:pPr>
        <w:rPr>
          <w:lang w:val="en-US"/>
        </w:rPr>
      </w:pPr>
    </w:p>
    <w:p w14:paraId="37C8BA4B" w14:textId="77777777" w:rsidR="00A15527" w:rsidRDefault="00A15527">
      <w:pPr>
        <w:rPr>
          <w:lang w:val="en-US"/>
        </w:rPr>
      </w:pPr>
    </w:p>
    <w:p w14:paraId="4BAA9134" w14:textId="77777777" w:rsidR="00A15527" w:rsidRDefault="00A15527">
      <w:pPr>
        <w:rPr>
          <w:lang w:val="en-US"/>
        </w:rPr>
      </w:pPr>
    </w:p>
    <w:p w14:paraId="09C50468" w14:textId="77777777" w:rsidR="00A15527" w:rsidRDefault="00A15527">
      <w:pPr>
        <w:rPr>
          <w:lang w:val="en-US"/>
        </w:rPr>
      </w:pPr>
    </w:p>
    <w:p w14:paraId="4438EEBE" w14:textId="77777777" w:rsidR="00A15527" w:rsidRDefault="00A15527">
      <w:pPr>
        <w:rPr>
          <w:lang w:val="en-US"/>
        </w:rPr>
      </w:pPr>
    </w:p>
    <w:p w14:paraId="447B06D4" w14:textId="77777777" w:rsidR="00A15527" w:rsidRDefault="00A15527">
      <w:pPr>
        <w:rPr>
          <w:lang w:val="en-US"/>
        </w:rPr>
      </w:pPr>
    </w:p>
    <w:p w14:paraId="2DD3C89A" w14:textId="77777777" w:rsidR="00A15527" w:rsidRDefault="00A15527">
      <w:pPr>
        <w:rPr>
          <w:lang w:val="en-US"/>
        </w:rPr>
      </w:pPr>
    </w:p>
    <w:p w14:paraId="55AD275C" w14:textId="77777777" w:rsidR="00A15527" w:rsidRDefault="00A15527">
      <w:pPr>
        <w:rPr>
          <w:lang w:val="en-US"/>
        </w:rPr>
      </w:pPr>
    </w:p>
    <w:p w14:paraId="1EF92C61" w14:textId="77777777" w:rsidR="00A15527" w:rsidRDefault="00A15527">
      <w:pPr>
        <w:rPr>
          <w:lang w:val="en-US"/>
        </w:rPr>
      </w:pPr>
    </w:p>
    <w:p w14:paraId="1FFD3D24" w14:textId="1CF31A70" w:rsidR="00A15527" w:rsidRPr="00A15527" w:rsidRDefault="00A15527" w:rsidP="00A15527">
      <w:pPr>
        <w:rPr>
          <w:rFonts w:ascii="Arial" w:hAnsi="Arial" w:cs="Arial"/>
          <w:b/>
          <w:bCs/>
        </w:rPr>
      </w:pPr>
      <w:r w:rsidRPr="00A15527">
        <w:rPr>
          <w:rFonts w:ascii="Arial" w:hAnsi="Arial" w:cs="Arial"/>
          <w:b/>
          <w:bCs/>
        </w:rPr>
        <w:t xml:space="preserve">1. Introduction </w:t>
      </w:r>
    </w:p>
    <w:p w14:paraId="511F6478" w14:textId="77777777" w:rsidR="00A15527" w:rsidRPr="00A15527" w:rsidRDefault="00A15527" w:rsidP="00A15527">
      <w:pPr>
        <w:rPr>
          <w:rFonts w:ascii="Arial" w:hAnsi="Arial" w:cs="Arial"/>
        </w:rPr>
      </w:pPr>
      <w:r w:rsidRPr="00A15527">
        <w:rPr>
          <w:rFonts w:ascii="Arial" w:hAnsi="Arial" w:cs="Arial"/>
        </w:rPr>
        <w:t>Global competition, rapid technological shifts, and volatile demand cycles have created significant financial pressures for firms in the consumer electronics industry. General Electronics (GE), an international conglomerate operating across smart devices, digital consumer appliances and electronic components, has entered a severe period of financial decline over the last five years. This deterioration is reflected in shrinking revenues, escalating losses, weakened liquidity, declining shareholder value and rising solvency concerns. In 2023 and 2024, the firm recorded some of the largest losses in its history, including major asset impairments and negative operating margins. These issues have prompted serious concerns about long-term viability.</w:t>
      </w:r>
    </w:p>
    <w:p w14:paraId="3C5E39FE" w14:textId="77777777" w:rsidR="00A15527" w:rsidRPr="00A15527" w:rsidRDefault="00A15527" w:rsidP="00A15527">
      <w:pPr>
        <w:rPr>
          <w:rFonts w:ascii="Arial" w:hAnsi="Arial" w:cs="Arial"/>
        </w:rPr>
      </w:pPr>
      <w:r w:rsidRPr="00A15527">
        <w:rPr>
          <w:rFonts w:ascii="Arial" w:hAnsi="Arial" w:cs="Arial"/>
        </w:rPr>
        <w:t>As the newly appointed Chief Financial Officer, the challenge is to stabilise the organisation through a combination of financial diagnosis, liquidity enhancement, capital restructuring and strategic investment. The CFO role is not limited to safeguarding short-term solvency; it involves reshaping capital structure, restoring investor confidence and steering the company towards long-term sustainable growth (Arnold, 2022). The assignment therefore addresses four critical tasks:</w:t>
      </w:r>
    </w:p>
    <w:p w14:paraId="05E39C6B" w14:textId="77777777" w:rsidR="00A15527" w:rsidRPr="00A15527" w:rsidRDefault="00A15527" w:rsidP="00A15527">
      <w:pPr>
        <w:numPr>
          <w:ilvl w:val="0"/>
          <w:numId w:val="1"/>
        </w:numPr>
        <w:rPr>
          <w:rFonts w:ascii="Arial" w:hAnsi="Arial" w:cs="Arial"/>
        </w:rPr>
      </w:pPr>
      <w:r w:rsidRPr="00A15527">
        <w:rPr>
          <w:rFonts w:ascii="Arial" w:hAnsi="Arial" w:cs="Arial"/>
        </w:rPr>
        <w:t>Conducting a detailed financial health check using ratio analysis, cash flow evaluation and corporate failure prediction models.</w:t>
      </w:r>
    </w:p>
    <w:p w14:paraId="07F471DE" w14:textId="77777777" w:rsidR="00A15527" w:rsidRPr="00A15527" w:rsidRDefault="00A15527" w:rsidP="00A15527">
      <w:pPr>
        <w:numPr>
          <w:ilvl w:val="0"/>
          <w:numId w:val="1"/>
        </w:numPr>
        <w:rPr>
          <w:rFonts w:ascii="Arial" w:hAnsi="Arial" w:cs="Arial"/>
        </w:rPr>
      </w:pPr>
      <w:r w:rsidRPr="00A15527">
        <w:rPr>
          <w:rFonts w:ascii="Arial" w:hAnsi="Arial" w:cs="Arial"/>
        </w:rPr>
        <w:t>Assessing the firm’s working capital management to identify operational liquidity bottlenecks and recommend reforms.</w:t>
      </w:r>
    </w:p>
    <w:p w14:paraId="47C0FF94" w14:textId="77777777" w:rsidR="00A15527" w:rsidRPr="00A15527" w:rsidRDefault="00A15527" w:rsidP="00A15527">
      <w:pPr>
        <w:numPr>
          <w:ilvl w:val="0"/>
          <w:numId w:val="1"/>
        </w:numPr>
        <w:rPr>
          <w:rFonts w:ascii="Arial" w:hAnsi="Arial" w:cs="Arial"/>
        </w:rPr>
      </w:pPr>
      <w:r w:rsidRPr="00A15527">
        <w:rPr>
          <w:rFonts w:ascii="Arial" w:hAnsi="Arial" w:cs="Arial"/>
        </w:rPr>
        <w:t>Developing a strategic financial restructuring plan that improves solvency, strengthens equity and considers global and ethical dimensions.</w:t>
      </w:r>
    </w:p>
    <w:p w14:paraId="5219B7DE" w14:textId="77777777" w:rsidR="00A15527" w:rsidRPr="00A15527" w:rsidRDefault="00A15527" w:rsidP="00A15527">
      <w:pPr>
        <w:numPr>
          <w:ilvl w:val="0"/>
          <w:numId w:val="1"/>
        </w:numPr>
        <w:rPr>
          <w:rFonts w:ascii="Arial" w:hAnsi="Arial" w:cs="Arial"/>
        </w:rPr>
      </w:pPr>
      <w:r w:rsidRPr="00A15527">
        <w:rPr>
          <w:rFonts w:ascii="Arial" w:hAnsi="Arial" w:cs="Arial"/>
        </w:rPr>
        <w:t>Appraising three proposed investment projects using capital budgeting techniques, culminating in a financially justified investment recommendation.</w:t>
      </w:r>
    </w:p>
    <w:p w14:paraId="3FAF9717" w14:textId="77777777" w:rsidR="00A15527" w:rsidRPr="00A15527" w:rsidRDefault="00A15527" w:rsidP="00A15527">
      <w:pPr>
        <w:rPr>
          <w:rFonts w:ascii="Arial" w:hAnsi="Arial" w:cs="Arial"/>
        </w:rPr>
      </w:pPr>
      <w:r w:rsidRPr="00A15527">
        <w:rPr>
          <w:rFonts w:ascii="Arial" w:hAnsi="Arial" w:cs="Arial"/>
        </w:rPr>
        <w:t>The analysis also integrates key tables and model outputs within the word limit to ensure clarity while meeting Option A (maximum 5,500 words including condensed appendices). The financial statements provided form the basis of all ratio calculations, and standard financial management frameworks support the interpretation of these results. Taken together, the findings present a comprehensive turnaround strategy that aligns with contemporary best practices in financial management and responds directly to the module learning outcomes.</w:t>
      </w:r>
    </w:p>
    <w:p w14:paraId="4E442638" w14:textId="5CB72F97" w:rsidR="00A15527" w:rsidRPr="00A15527" w:rsidRDefault="00A15527" w:rsidP="00A15527">
      <w:pPr>
        <w:rPr>
          <w:rFonts w:ascii="Arial" w:hAnsi="Arial" w:cs="Arial"/>
        </w:rPr>
      </w:pPr>
    </w:p>
    <w:p w14:paraId="277B1C85" w14:textId="7AA9A66B" w:rsidR="00A15527" w:rsidRPr="00A15527" w:rsidRDefault="00A15527" w:rsidP="00A15527">
      <w:pPr>
        <w:rPr>
          <w:rFonts w:ascii="Arial" w:hAnsi="Arial" w:cs="Arial"/>
          <w:b/>
          <w:bCs/>
        </w:rPr>
      </w:pPr>
      <w:r w:rsidRPr="00A15527">
        <w:rPr>
          <w:rFonts w:ascii="Arial" w:hAnsi="Arial" w:cs="Arial"/>
          <w:b/>
          <w:bCs/>
        </w:rPr>
        <w:t xml:space="preserve">2. Financial Health Check </w:t>
      </w:r>
    </w:p>
    <w:p w14:paraId="3901DC8E" w14:textId="77777777" w:rsidR="00A15527" w:rsidRPr="00A15527" w:rsidRDefault="00A15527" w:rsidP="00A15527">
      <w:pPr>
        <w:rPr>
          <w:rFonts w:ascii="Arial" w:hAnsi="Arial" w:cs="Arial"/>
          <w:b/>
          <w:bCs/>
        </w:rPr>
      </w:pPr>
      <w:r w:rsidRPr="00A15527">
        <w:rPr>
          <w:rFonts w:ascii="Arial" w:hAnsi="Arial" w:cs="Arial"/>
          <w:b/>
          <w:bCs/>
        </w:rPr>
        <w:t>2.1 Revenue and Profitability Trends</w:t>
      </w:r>
    </w:p>
    <w:p w14:paraId="1776FCF2" w14:textId="77777777" w:rsidR="00A15527" w:rsidRPr="00A15527" w:rsidRDefault="00A15527" w:rsidP="00A15527">
      <w:pPr>
        <w:rPr>
          <w:rFonts w:ascii="Arial" w:hAnsi="Arial" w:cs="Arial"/>
        </w:rPr>
      </w:pPr>
      <w:r w:rsidRPr="00A15527">
        <w:rPr>
          <w:rFonts w:ascii="Arial" w:hAnsi="Arial" w:cs="Arial"/>
        </w:rPr>
        <w:t xml:space="preserve">Over the five-year period 2020–2024, GE experienced a dramatic contraction in revenues: from £614,680m in 2020 to £394,879m in 2024, representing a 35% decline. This signifies major competitive setbacks, loss of market share and weakening product relevance (Porter, 2008). The decline in net sales was accompanied by volatile gross profits and collapsing net </w:t>
      </w:r>
      <w:r w:rsidRPr="00A15527">
        <w:rPr>
          <w:rFonts w:ascii="Arial" w:hAnsi="Arial" w:cs="Arial"/>
        </w:rPr>
        <w:lastRenderedPageBreak/>
        <w:t>profitability. Net income fell from £38,572m in 2020 to marginal gains in 2022, before plunging to historic losses of £98,238m in 2023 and £24,029m in 2024.</w:t>
      </w:r>
    </w:p>
    <w:p w14:paraId="4AD27CB9" w14:textId="77777777" w:rsidR="00A15527" w:rsidRPr="00A15527" w:rsidRDefault="00A15527" w:rsidP="00A15527">
      <w:pPr>
        <w:rPr>
          <w:rFonts w:ascii="Arial" w:hAnsi="Arial" w:cs="Arial"/>
        </w:rPr>
      </w:pPr>
      <w:r w:rsidRPr="00A15527">
        <w:rPr>
          <w:rFonts w:ascii="Arial" w:hAnsi="Arial" w:cs="Arial"/>
        </w:rPr>
        <w:t>The performance of 2023 is particularly alarming as it included a £49bn goodwill impairment and significant operating expense spikes. Asset impairments of this scale indicate previous overvaluation of acquisitions or failed strategic expansion (Damodaran, 2015). Although 2024 shows a smaller loss and improved gross margin, the firm remains financially distressed and operationally inefficient.</w:t>
      </w:r>
    </w:p>
    <w:p w14:paraId="08079084" w14:textId="1EC411AB" w:rsidR="00A15527" w:rsidRPr="00A15527" w:rsidRDefault="00A15527" w:rsidP="00A15527">
      <w:pPr>
        <w:rPr>
          <w:rFonts w:ascii="Arial" w:hAnsi="Arial" w:cs="Arial"/>
        </w:rPr>
      </w:pPr>
    </w:p>
    <w:p w14:paraId="253FBA1F" w14:textId="77777777" w:rsidR="00A15527" w:rsidRPr="00A15527" w:rsidRDefault="00A15527" w:rsidP="00A15527">
      <w:pPr>
        <w:rPr>
          <w:rFonts w:ascii="Arial" w:hAnsi="Arial" w:cs="Arial"/>
          <w:b/>
          <w:bCs/>
        </w:rPr>
      </w:pPr>
      <w:r w:rsidRPr="00A15527">
        <w:rPr>
          <w:rFonts w:ascii="Arial" w:hAnsi="Arial" w:cs="Arial"/>
          <w:b/>
          <w:bCs/>
        </w:rPr>
        <w:t>2.2 Ratio Analysis Summary</w:t>
      </w:r>
    </w:p>
    <w:p w14:paraId="18D40A83" w14:textId="77777777" w:rsidR="00A15527" w:rsidRPr="00A15527" w:rsidRDefault="00A15527" w:rsidP="00A15527">
      <w:pPr>
        <w:rPr>
          <w:rFonts w:ascii="Arial" w:hAnsi="Arial" w:cs="Arial"/>
        </w:rPr>
      </w:pPr>
      <w:r w:rsidRPr="00A15527">
        <w:rPr>
          <w:rFonts w:ascii="Arial" w:hAnsi="Arial" w:cs="Arial"/>
        </w:rPr>
        <w:t>A comprehensive ratio analysis was performed across profitability, liquidity, efficiency, gearing and cash flow indicators. A condensed table is included below due to word constraints.</w:t>
      </w:r>
    </w:p>
    <w:p w14:paraId="19A3EF80" w14:textId="77777777" w:rsidR="00A15527" w:rsidRPr="00A15527" w:rsidRDefault="00A15527" w:rsidP="00A15527">
      <w:pPr>
        <w:rPr>
          <w:rFonts w:ascii="Arial" w:hAnsi="Arial" w:cs="Arial"/>
          <w:b/>
          <w:bCs/>
        </w:rPr>
      </w:pPr>
      <w:r w:rsidRPr="00A15527">
        <w:rPr>
          <w:rFonts w:ascii="Arial" w:hAnsi="Arial" w:cs="Arial"/>
          <w:b/>
          <w:bCs/>
        </w:rPr>
        <w:t>Table 1. Summary Ratio Calculations (Key Years)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4"/>
        <w:gridCol w:w="684"/>
        <w:gridCol w:w="684"/>
        <w:gridCol w:w="929"/>
        <w:gridCol w:w="929"/>
        <w:gridCol w:w="3886"/>
      </w:tblGrid>
      <w:tr w:rsidR="00A15527" w:rsidRPr="00A15527" w14:paraId="31F55770" w14:textId="77777777">
        <w:trPr>
          <w:tblHeader/>
          <w:tblCellSpacing w:w="15" w:type="dxa"/>
        </w:trPr>
        <w:tc>
          <w:tcPr>
            <w:tcW w:w="0" w:type="auto"/>
            <w:vAlign w:val="center"/>
            <w:hideMark/>
          </w:tcPr>
          <w:p w14:paraId="4127C5E9" w14:textId="77777777" w:rsidR="00A15527" w:rsidRPr="00A15527" w:rsidRDefault="00A15527" w:rsidP="00A15527">
            <w:pPr>
              <w:rPr>
                <w:rFonts w:ascii="Arial" w:hAnsi="Arial" w:cs="Arial"/>
                <w:b/>
                <w:bCs/>
              </w:rPr>
            </w:pPr>
            <w:r w:rsidRPr="00A15527">
              <w:rPr>
                <w:rFonts w:ascii="Arial" w:hAnsi="Arial" w:cs="Arial"/>
                <w:b/>
                <w:bCs/>
              </w:rPr>
              <w:t>Ratio</w:t>
            </w:r>
          </w:p>
        </w:tc>
        <w:tc>
          <w:tcPr>
            <w:tcW w:w="0" w:type="auto"/>
            <w:vAlign w:val="center"/>
            <w:hideMark/>
          </w:tcPr>
          <w:p w14:paraId="2DE04F44" w14:textId="77777777" w:rsidR="00A15527" w:rsidRPr="00A15527" w:rsidRDefault="00A15527" w:rsidP="00A15527">
            <w:pPr>
              <w:rPr>
                <w:rFonts w:ascii="Arial" w:hAnsi="Arial" w:cs="Arial"/>
                <w:b/>
                <w:bCs/>
              </w:rPr>
            </w:pPr>
            <w:r w:rsidRPr="00A15527">
              <w:rPr>
                <w:rFonts w:ascii="Arial" w:hAnsi="Arial" w:cs="Arial"/>
                <w:b/>
                <w:bCs/>
              </w:rPr>
              <w:t>2020</w:t>
            </w:r>
          </w:p>
        </w:tc>
        <w:tc>
          <w:tcPr>
            <w:tcW w:w="0" w:type="auto"/>
            <w:vAlign w:val="center"/>
            <w:hideMark/>
          </w:tcPr>
          <w:p w14:paraId="114DB275" w14:textId="77777777" w:rsidR="00A15527" w:rsidRPr="00A15527" w:rsidRDefault="00A15527" w:rsidP="00A15527">
            <w:pPr>
              <w:rPr>
                <w:rFonts w:ascii="Arial" w:hAnsi="Arial" w:cs="Arial"/>
                <w:b/>
                <w:bCs/>
              </w:rPr>
            </w:pPr>
            <w:r w:rsidRPr="00A15527">
              <w:rPr>
                <w:rFonts w:ascii="Arial" w:hAnsi="Arial" w:cs="Arial"/>
                <w:b/>
                <w:bCs/>
              </w:rPr>
              <w:t>2022</w:t>
            </w:r>
          </w:p>
        </w:tc>
        <w:tc>
          <w:tcPr>
            <w:tcW w:w="0" w:type="auto"/>
            <w:vAlign w:val="center"/>
            <w:hideMark/>
          </w:tcPr>
          <w:p w14:paraId="6CC3E24E" w14:textId="77777777" w:rsidR="00A15527" w:rsidRPr="00A15527" w:rsidRDefault="00A15527" w:rsidP="00A15527">
            <w:pPr>
              <w:rPr>
                <w:rFonts w:ascii="Arial" w:hAnsi="Arial" w:cs="Arial"/>
                <w:b/>
                <w:bCs/>
              </w:rPr>
            </w:pPr>
            <w:r w:rsidRPr="00A15527">
              <w:rPr>
                <w:rFonts w:ascii="Arial" w:hAnsi="Arial" w:cs="Arial"/>
                <w:b/>
                <w:bCs/>
              </w:rPr>
              <w:t>2023</w:t>
            </w:r>
          </w:p>
        </w:tc>
        <w:tc>
          <w:tcPr>
            <w:tcW w:w="0" w:type="auto"/>
            <w:vAlign w:val="center"/>
            <w:hideMark/>
          </w:tcPr>
          <w:p w14:paraId="31CDC632" w14:textId="77777777" w:rsidR="00A15527" w:rsidRPr="00A15527" w:rsidRDefault="00A15527" w:rsidP="00A15527">
            <w:pPr>
              <w:rPr>
                <w:rFonts w:ascii="Arial" w:hAnsi="Arial" w:cs="Arial"/>
                <w:b/>
                <w:bCs/>
              </w:rPr>
            </w:pPr>
            <w:r w:rsidRPr="00A15527">
              <w:rPr>
                <w:rFonts w:ascii="Arial" w:hAnsi="Arial" w:cs="Arial"/>
                <w:b/>
                <w:bCs/>
              </w:rPr>
              <w:t>2024</w:t>
            </w:r>
          </w:p>
        </w:tc>
        <w:tc>
          <w:tcPr>
            <w:tcW w:w="0" w:type="auto"/>
            <w:vAlign w:val="center"/>
            <w:hideMark/>
          </w:tcPr>
          <w:p w14:paraId="3E392962" w14:textId="77777777" w:rsidR="00A15527" w:rsidRPr="00A15527" w:rsidRDefault="00A15527" w:rsidP="00A15527">
            <w:pPr>
              <w:rPr>
                <w:rFonts w:ascii="Arial" w:hAnsi="Arial" w:cs="Arial"/>
                <w:b/>
                <w:bCs/>
              </w:rPr>
            </w:pPr>
            <w:r w:rsidRPr="00A15527">
              <w:rPr>
                <w:rFonts w:ascii="Arial" w:hAnsi="Arial" w:cs="Arial"/>
                <w:b/>
                <w:bCs/>
              </w:rPr>
              <w:t>Interpretation</w:t>
            </w:r>
          </w:p>
        </w:tc>
      </w:tr>
      <w:tr w:rsidR="00A15527" w:rsidRPr="00A15527" w14:paraId="7DDABC47" w14:textId="77777777">
        <w:trPr>
          <w:tblCellSpacing w:w="15" w:type="dxa"/>
        </w:trPr>
        <w:tc>
          <w:tcPr>
            <w:tcW w:w="0" w:type="auto"/>
            <w:vAlign w:val="center"/>
            <w:hideMark/>
          </w:tcPr>
          <w:p w14:paraId="2C283E6D" w14:textId="77777777" w:rsidR="00A15527" w:rsidRPr="00A15527" w:rsidRDefault="00A15527" w:rsidP="00A15527">
            <w:pPr>
              <w:rPr>
                <w:rFonts w:ascii="Arial" w:hAnsi="Arial" w:cs="Arial"/>
              </w:rPr>
            </w:pPr>
            <w:r w:rsidRPr="00A15527">
              <w:rPr>
                <w:rFonts w:ascii="Arial" w:hAnsi="Arial" w:cs="Arial"/>
                <w:b/>
                <w:bCs/>
              </w:rPr>
              <w:t>Gross Profit Margin</w:t>
            </w:r>
          </w:p>
        </w:tc>
        <w:tc>
          <w:tcPr>
            <w:tcW w:w="0" w:type="auto"/>
            <w:vAlign w:val="center"/>
            <w:hideMark/>
          </w:tcPr>
          <w:p w14:paraId="1EEFB42A" w14:textId="77777777" w:rsidR="00A15527" w:rsidRPr="00A15527" w:rsidRDefault="00A15527" w:rsidP="00A15527">
            <w:pPr>
              <w:rPr>
                <w:rFonts w:ascii="Arial" w:hAnsi="Arial" w:cs="Arial"/>
              </w:rPr>
            </w:pPr>
            <w:r w:rsidRPr="00A15527">
              <w:rPr>
                <w:rFonts w:ascii="Arial" w:hAnsi="Arial" w:cs="Arial"/>
              </w:rPr>
              <w:t>28.7%</w:t>
            </w:r>
          </w:p>
        </w:tc>
        <w:tc>
          <w:tcPr>
            <w:tcW w:w="0" w:type="auto"/>
            <w:vAlign w:val="center"/>
            <w:hideMark/>
          </w:tcPr>
          <w:p w14:paraId="6CDF7D8E" w14:textId="77777777" w:rsidR="00A15527" w:rsidRPr="00A15527" w:rsidRDefault="00A15527" w:rsidP="00A15527">
            <w:pPr>
              <w:rPr>
                <w:rFonts w:ascii="Arial" w:hAnsi="Arial" w:cs="Arial"/>
              </w:rPr>
            </w:pPr>
            <w:r w:rsidRPr="00A15527">
              <w:rPr>
                <w:rFonts w:ascii="Arial" w:hAnsi="Arial" w:cs="Arial"/>
              </w:rPr>
              <w:t>28.1%</w:t>
            </w:r>
          </w:p>
        </w:tc>
        <w:tc>
          <w:tcPr>
            <w:tcW w:w="0" w:type="auto"/>
            <w:vAlign w:val="center"/>
            <w:hideMark/>
          </w:tcPr>
          <w:p w14:paraId="54E0A9AB" w14:textId="77777777" w:rsidR="00A15527" w:rsidRPr="00A15527" w:rsidRDefault="00A15527" w:rsidP="00A15527">
            <w:pPr>
              <w:rPr>
                <w:rFonts w:ascii="Arial" w:hAnsi="Arial" w:cs="Arial"/>
              </w:rPr>
            </w:pPr>
            <w:r w:rsidRPr="00A15527">
              <w:rPr>
                <w:rFonts w:ascii="Arial" w:hAnsi="Arial" w:cs="Arial"/>
              </w:rPr>
              <w:t>23.2%</w:t>
            </w:r>
          </w:p>
        </w:tc>
        <w:tc>
          <w:tcPr>
            <w:tcW w:w="0" w:type="auto"/>
            <w:vAlign w:val="center"/>
            <w:hideMark/>
          </w:tcPr>
          <w:p w14:paraId="49D9F357" w14:textId="77777777" w:rsidR="00A15527" w:rsidRPr="00A15527" w:rsidRDefault="00A15527" w:rsidP="00A15527">
            <w:pPr>
              <w:rPr>
                <w:rFonts w:ascii="Arial" w:hAnsi="Arial" w:cs="Arial"/>
              </w:rPr>
            </w:pPr>
            <w:r w:rsidRPr="00A15527">
              <w:rPr>
                <w:rFonts w:ascii="Arial" w:hAnsi="Arial" w:cs="Arial"/>
              </w:rPr>
              <w:t>28.9%</w:t>
            </w:r>
          </w:p>
        </w:tc>
        <w:tc>
          <w:tcPr>
            <w:tcW w:w="0" w:type="auto"/>
            <w:vAlign w:val="center"/>
            <w:hideMark/>
          </w:tcPr>
          <w:p w14:paraId="495931DD" w14:textId="77777777" w:rsidR="00A15527" w:rsidRPr="00A15527" w:rsidRDefault="00A15527" w:rsidP="00A15527">
            <w:pPr>
              <w:rPr>
                <w:rFonts w:ascii="Arial" w:hAnsi="Arial" w:cs="Arial"/>
              </w:rPr>
            </w:pPr>
            <w:r w:rsidRPr="00A15527">
              <w:rPr>
                <w:rFonts w:ascii="Arial" w:hAnsi="Arial" w:cs="Arial"/>
              </w:rPr>
              <w:t>Deteriorated in 2023 but strong recovery in 2024</w:t>
            </w:r>
          </w:p>
        </w:tc>
      </w:tr>
      <w:tr w:rsidR="00A15527" w:rsidRPr="00A15527" w14:paraId="467D841B" w14:textId="77777777">
        <w:trPr>
          <w:tblCellSpacing w:w="15" w:type="dxa"/>
        </w:trPr>
        <w:tc>
          <w:tcPr>
            <w:tcW w:w="0" w:type="auto"/>
            <w:vAlign w:val="center"/>
            <w:hideMark/>
          </w:tcPr>
          <w:p w14:paraId="4B75FD8F" w14:textId="77777777" w:rsidR="00A15527" w:rsidRPr="00A15527" w:rsidRDefault="00A15527" w:rsidP="00A15527">
            <w:pPr>
              <w:rPr>
                <w:rFonts w:ascii="Arial" w:hAnsi="Arial" w:cs="Arial"/>
              </w:rPr>
            </w:pPr>
            <w:r w:rsidRPr="00A15527">
              <w:rPr>
                <w:rFonts w:ascii="Arial" w:hAnsi="Arial" w:cs="Arial"/>
                <w:b/>
                <w:bCs/>
              </w:rPr>
              <w:t>Operating Margin</w:t>
            </w:r>
          </w:p>
        </w:tc>
        <w:tc>
          <w:tcPr>
            <w:tcW w:w="0" w:type="auto"/>
            <w:vAlign w:val="center"/>
            <w:hideMark/>
          </w:tcPr>
          <w:p w14:paraId="088D23E7" w14:textId="77777777" w:rsidR="00A15527" w:rsidRPr="00A15527" w:rsidRDefault="00A15527" w:rsidP="00A15527">
            <w:pPr>
              <w:rPr>
                <w:rFonts w:ascii="Arial" w:hAnsi="Arial" w:cs="Arial"/>
              </w:rPr>
            </w:pPr>
            <w:r w:rsidRPr="00A15527">
              <w:rPr>
                <w:rFonts w:ascii="Arial" w:hAnsi="Arial" w:cs="Arial"/>
              </w:rPr>
              <w:t>6.1%</w:t>
            </w:r>
          </w:p>
        </w:tc>
        <w:tc>
          <w:tcPr>
            <w:tcW w:w="0" w:type="auto"/>
            <w:vAlign w:val="center"/>
            <w:hideMark/>
          </w:tcPr>
          <w:p w14:paraId="29A71D4D" w14:textId="77777777" w:rsidR="00A15527" w:rsidRPr="00A15527" w:rsidRDefault="00A15527" w:rsidP="00A15527">
            <w:pPr>
              <w:rPr>
                <w:rFonts w:ascii="Arial" w:hAnsi="Arial" w:cs="Arial"/>
              </w:rPr>
            </w:pPr>
            <w:r w:rsidRPr="00A15527">
              <w:rPr>
                <w:rFonts w:ascii="Arial" w:hAnsi="Arial" w:cs="Arial"/>
              </w:rPr>
              <w:t>2.7%</w:t>
            </w:r>
          </w:p>
        </w:tc>
        <w:tc>
          <w:tcPr>
            <w:tcW w:w="0" w:type="auto"/>
            <w:vAlign w:val="center"/>
            <w:hideMark/>
          </w:tcPr>
          <w:p w14:paraId="0B1BD849" w14:textId="77777777" w:rsidR="00A15527" w:rsidRPr="00A15527" w:rsidRDefault="00A15527" w:rsidP="00A15527">
            <w:pPr>
              <w:rPr>
                <w:rFonts w:ascii="Arial" w:hAnsi="Arial" w:cs="Arial"/>
              </w:rPr>
            </w:pPr>
            <w:r w:rsidRPr="00A15527">
              <w:rPr>
                <w:rFonts w:ascii="Arial" w:hAnsi="Arial" w:cs="Arial"/>
              </w:rPr>
              <w:t>–20.3%</w:t>
            </w:r>
          </w:p>
        </w:tc>
        <w:tc>
          <w:tcPr>
            <w:tcW w:w="0" w:type="auto"/>
            <w:vAlign w:val="center"/>
            <w:hideMark/>
          </w:tcPr>
          <w:p w14:paraId="46451CAB" w14:textId="77777777" w:rsidR="00A15527" w:rsidRPr="00A15527" w:rsidRDefault="00A15527" w:rsidP="00A15527">
            <w:pPr>
              <w:rPr>
                <w:rFonts w:ascii="Arial" w:hAnsi="Arial" w:cs="Arial"/>
              </w:rPr>
            </w:pPr>
            <w:r w:rsidRPr="00A15527">
              <w:rPr>
                <w:rFonts w:ascii="Arial" w:hAnsi="Arial" w:cs="Arial"/>
              </w:rPr>
              <w:t>–3.9%</w:t>
            </w:r>
          </w:p>
        </w:tc>
        <w:tc>
          <w:tcPr>
            <w:tcW w:w="0" w:type="auto"/>
            <w:vAlign w:val="center"/>
            <w:hideMark/>
          </w:tcPr>
          <w:p w14:paraId="6469B625" w14:textId="77777777" w:rsidR="00A15527" w:rsidRPr="00A15527" w:rsidRDefault="00A15527" w:rsidP="00A15527">
            <w:pPr>
              <w:rPr>
                <w:rFonts w:ascii="Arial" w:hAnsi="Arial" w:cs="Arial"/>
              </w:rPr>
            </w:pPr>
            <w:r w:rsidRPr="00A15527">
              <w:rPr>
                <w:rFonts w:ascii="Arial" w:hAnsi="Arial" w:cs="Arial"/>
              </w:rPr>
              <w:t>Extremely weak; heavy impairment impact</w:t>
            </w:r>
          </w:p>
        </w:tc>
      </w:tr>
      <w:tr w:rsidR="00A15527" w:rsidRPr="00A15527" w14:paraId="34FE52B6" w14:textId="77777777">
        <w:trPr>
          <w:tblCellSpacing w:w="15" w:type="dxa"/>
        </w:trPr>
        <w:tc>
          <w:tcPr>
            <w:tcW w:w="0" w:type="auto"/>
            <w:vAlign w:val="center"/>
            <w:hideMark/>
          </w:tcPr>
          <w:p w14:paraId="5841D168" w14:textId="77777777" w:rsidR="00A15527" w:rsidRPr="00A15527" w:rsidRDefault="00A15527" w:rsidP="00A15527">
            <w:pPr>
              <w:rPr>
                <w:rFonts w:ascii="Arial" w:hAnsi="Arial" w:cs="Arial"/>
              </w:rPr>
            </w:pPr>
            <w:r w:rsidRPr="00A15527">
              <w:rPr>
                <w:rFonts w:ascii="Arial" w:hAnsi="Arial" w:cs="Arial"/>
                <w:b/>
                <w:bCs/>
              </w:rPr>
              <w:t>Net Profit Margin</w:t>
            </w:r>
          </w:p>
        </w:tc>
        <w:tc>
          <w:tcPr>
            <w:tcW w:w="0" w:type="auto"/>
            <w:vAlign w:val="center"/>
            <w:hideMark/>
          </w:tcPr>
          <w:p w14:paraId="700B5533" w14:textId="77777777" w:rsidR="00A15527" w:rsidRPr="00A15527" w:rsidRDefault="00A15527" w:rsidP="00A15527">
            <w:pPr>
              <w:rPr>
                <w:rFonts w:ascii="Arial" w:hAnsi="Arial" w:cs="Arial"/>
              </w:rPr>
            </w:pPr>
            <w:r w:rsidRPr="00A15527">
              <w:rPr>
                <w:rFonts w:ascii="Arial" w:hAnsi="Arial" w:cs="Arial"/>
              </w:rPr>
              <w:t>6.3%</w:t>
            </w:r>
          </w:p>
        </w:tc>
        <w:tc>
          <w:tcPr>
            <w:tcW w:w="0" w:type="auto"/>
            <w:vAlign w:val="center"/>
            <w:hideMark/>
          </w:tcPr>
          <w:p w14:paraId="7DD07E3C" w14:textId="77777777" w:rsidR="00A15527" w:rsidRPr="00A15527" w:rsidRDefault="00A15527" w:rsidP="00A15527">
            <w:pPr>
              <w:rPr>
                <w:rFonts w:ascii="Arial" w:hAnsi="Arial" w:cs="Arial"/>
              </w:rPr>
            </w:pPr>
            <w:r w:rsidRPr="00A15527">
              <w:rPr>
                <w:rFonts w:ascii="Arial" w:hAnsi="Arial" w:cs="Arial"/>
              </w:rPr>
              <w:t>0.1%</w:t>
            </w:r>
          </w:p>
        </w:tc>
        <w:tc>
          <w:tcPr>
            <w:tcW w:w="0" w:type="auto"/>
            <w:vAlign w:val="center"/>
            <w:hideMark/>
          </w:tcPr>
          <w:p w14:paraId="4287B59D" w14:textId="77777777" w:rsidR="00A15527" w:rsidRPr="00A15527" w:rsidRDefault="00A15527" w:rsidP="00A15527">
            <w:pPr>
              <w:rPr>
                <w:rFonts w:ascii="Arial" w:hAnsi="Arial" w:cs="Arial"/>
              </w:rPr>
            </w:pPr>
            <w:r w:rsidRPr="00A15527">
              <w:rPr>
                <w:rFonts w:ascii="Arial" w:hAnsi="Arial" w:cs="Arial"/>
              </w:rPr>
              <w:t>–23.4%</w:t>
            </w:r>
          </w:p>
        </w:tc>
        <w:tc>
          <w:tcPr>
            <w:tcW w:w="0" w:type="auto"/>
            <w:vAlign w:val="center"/>
            <w:hideMark/>
          </w:tcPr>
          <w:p w14:paraId="6B4F1E93" w14:textId="77777777" w:rsidR="00A15527" w:rsidRPr="00A15527" w:rsidRDefault="00A15527" w:rsidP="00A15527">
            <w:pPr>
              <w:rPr>
                <w:rFonts w:ascii="Arial" w:hAnsi="Arial" w:cs="Arial"/>
              </w:rPr>
            </w:pPr>
            <w:r w:rsidRPr="00A15527">
              <w:rPr>
                <w:rFonts w:ascii="Arial" w:hAnsi="Arial" w:cs="Arial"/>
              </w:rPr>
              <w:t>–6.1%</w:t>
            </w:r>
          </w:p>
        </w:tc>
        <w:tc>
          <w:tcPr>
            <w:tcW w:w="0" w:type="auto"/>
            <w:vAlign w:val="center"/>
            <w:hideMark/>
          </w:tcPr>
          <w:p w14:paraId="5554E5BC" w14:textId="77777777" w:rsidR="00A15527" w:rsidRPr="00A15527" w:rsidRDefault="00A15527" w:rsidP="00A15527">
            <w:pPr>
              <w:rPr>
                <w:rFonts w:ascii="Arial" w:hAnsi="Arial" w:cs="Arial"/>
              </w:rPr>
            </w:pPr>
            <w:r w:rsidRPr="00A15527">
              <w:rPr>
                <w:rFonts w:ascii="Arial" w:hAnsi="Arial" w:cs="Arial"/>
              </w:rPr>
              <w:t>Persistent losses</w:t>
            </w:r>
          </w:p>
        </w:tc>
      </w:tr>
      <w:tr w:rsidR="00A15527" w:rsidRPr="00A15527" w14:paraId="38DCD3B9" w14:textId="77777777">
        <w:trPr>
          <w:tblCellSpacing w:w="15" w:type="dxa"/>
        </w:trPr>
        <w:tc>
          <w:tcPr>
            <w:tcW w:w="0" w:type="auto"/>
            <w:vAlign w:val="center"/>
            <w:hideMark/>
          </w:tcPr>
          <w:p w14:paraId="1BB7DBCC" w14:textId="77777777" w:rsidR="00A15527" w:rsidRPr="00A15527" w:rsidRDefault="00A15527" w:rsidP="00A15527">
            <w:pPr>
              <w:rPr>
                <w:rFonts w:ascii="Arial" w:hAnsi="Arial" w:cs="Arial"/>
              </w:rPr>
            </w:pPr>
            <w:r w:rsidRPr="00A15527">
              <w:rPr>
                <w:rFonts w:ascii="Arial" w:hAnsi="Arial" w:cs="Arial"/>
                <w:b/>
                <w:bCs/>
              </w:rPr>
              <w:t>ROA</w:t>
            </w:r>
          </w:p>
        </w:tc>
        <w:tc>
          <w:tcPr>
            <w:tcW w:w="0" w:type="auto"/>
            <w:vAlign w:val="center"/>
            <w:hideMark/>
          </w:tcPr>
          <w:p w14:paraId="7777E61E" w14:textId="77777777" w:rsidR="00A15527" w:rsidRPr="00A15527" w:rsidRDefault="00A15527" w:rsidP="00A15527">
            <w:pPr>
              <w:rPr>
                <w:rFonts w:ascii="Arial" w:hAnsi="Arial" w:cs="Arial"/>
              </w:rPr>
            </w:pPr>
            <w:r w:rsidRPr="00A15527">
              <w:rPr>
                <w:rFonts w:ascii="Arial" w:hAnsi="Arial" w:cs="Arial"/>
              </w:rPr>
              <w:t>7.6%</w:t>
            </w:r>
          </w:p>
        </w:tc>
        <w:tc>
          <w:tcPr>
            <w:tcW w:w="0" w:type="auto"/>
            <w:vAlign w:val="center"/>
            <w:hideMark/>
          </w:tcPr>
          <w:p w14:paraId="4DC3F1E7" w14:textId="77777777" w:rsidR="00A15527" w:rsidRPr="00A15527" w:rsidRDefault="00A15527" w:rsidP="00A15527">
            <w:pPr>
              <w:rPr>
                <w:rFonts w:ascii="Arial" w:hAnsi="Arial" w:cs="Arial"/>
              </w:rPr>
            </w:pPr>
            <w:r w:rsidRPr="00A15527">
              <w:rPr>
                <w:rFonts w:ascii="Arial" w:hAnsi="Arial" w:cs="Arial"/>
              </w:rPr>
              <w:t>0.08%</w:t>
            </w:r>
          </w:p>
        </w:tc>
        <w:tc>
          <w:tcPr>
            <w:tcW w:w="0" w:type="auto"/>
            <w:vAlign w:val="center"/>
            <w:hideMark/>
          </w:tcPr>
          <w:p w14:paraId="7123FF0F" w14:textId="77777777" w:rsidR="00A15527" w:rsidRPr="00A15527" w:rsidRDefault="00A15527" w:rsidP="00A15527">
            <w:pPr>
              <w:rPr>
                <w:rFonts w:ascii="Arial" w:hAnsi="Arial" w:cs="Arial"/>
              </w:rPr>
            </w:pPr>
            <w:r w:rsidRPr="00A15527">
              <w:rPr>
                <w:rFonts w:ascii="Arial" w:hAnsi="Arial" w:cs="Arial"/>
              </w:rPr>
              <w:t>–7.4%</w:t>
            </w:r>
          </w:p>
        </w:tc>
        <w:tc>
          <w:tcPr>
            <w:tcW w:w="0" w:type="auto"/>
            <w:vAlign w:val="center"/>
            <w:hideMark/>
          </w:tcPr>
          <w:p w14:paraId="0CFCE1FB" w14:textId="77777777" w:rsidR="00A15527" w:rsidRPr="00A15527" w:rsidRDefault="00A15527" w:rsidP="00A15527">
            <w:pPr>
              <w:rPr>
                <w:rFonts w:ascii="Arial" w:hAnsi="Arial" w:cs="Arial"/>
              </w:rPr>
            </w:pPr>
            <w:r w:rsidRPr="00A15527">
              <w:rPr>
                <w:rFonts w:ascii="Arial" w:hAnsi="Arial" w:cs="Arial"/>
              </w:rPr>
              <w:t>–5.9%</w:t>
            </w:r>
          </w:p>
        </w:tc>
        <w:tc>
          <w:tcPr>
            <w:tcW w:w="0" w:type="auto"/>
            <w:vAlign w:val="center"/>
            <w:hideMark/>
          </w:tcPr>
          <w:p w14:paraId="5C7613A7" w14:textId="77777777" w:rsidR="00A15527" w:rsidRPr="00A15527" w:rsidRDefault="00A15527" w:rsidP="00A15527">
            <w:pPr>
              <w:rPr>
                <w:rFonts w:ascii="Arial" w:hAnsi="Arial" w:cs="Arial"/>
              </w:rPr>
            </w:pPr>
            <w:r w:rsidRPr="00A15527">
              <w:rPr>
                <w:rFonts w:ascii="Arial" w:hAnsi="Arial" w:cs="Arial"/>
              </w:rPr>
              <w:t>Asset productivity collapsed</w:t>
            </w:r>
          </w:p>
        </w:tc>
      </w:tr>
      <w:tr w:rsidR="00A15527" w:rsidRPr="00A15527" w14:paraId="039BA369" w14:textId="77777777">
        <w:trPr>
          <w:tblCellSpacing w:w="15" w:type="dxa"/>
        </w:trPr>
        <w:tc>
          <w:tcPr>
            <w:tcW w:w="0" w:type="auto"/>
            <w:vAlign w:val="center"/>
            <w:hideMark/>
          </w:tcPr>
          <w:p w14:paraId="0AB322D2" w14:textId="77777777" w:rsidR="00A15527" w:rsidRPr="00A15527" w:rsidRDefault="00A15527" w:rsidP="00A15527">
            <w:pPr>
              <w:rPr>
                <w:rFonts w:ascii="Arial" w:hAnsi="Arial" w:cs="Arial"/>
              </w:rPr>
            </w:pPr>
            <w:r w:rsidRPr="00A15527">
              <w:rPr>
                <w:rFonts w:ascii="Arial" w:hAnsi="Arial" w:cs="Arial"/>
                <w:b/>
                <w:bCs/>
              </w:rPr>
              <w:t>ROE</w:t>
            </w:r>
          </w:p>
        </w:tc>
        <w:tc>
          <w:tcPr>
            <w:tcW w:w="0" w:type="auto"/>
            <w:vAlign w:val="center"/>
            <w:hideMark/>
          </w:tcPr>
          <w:p w14:paraId="154B9820" w14:textId="77777777" w:rsidR="00A15527" w:rsidRPr="00A15527" w:rsidRDefault="00A15527" w:rsidP="00A15527">
            <w:pPr>
              <w:rPr>
                <w:rFonts w:ascii="Arial" w:hAnsi="Arial" w:cs="Arial"/>
              </w:rPr>
            </w:pPr>
            <w:r w:rsidRPr="00A15527">
              <w:rPr>
                <w:rFonts w:ascii="Arial" w:hAnsi="Arial" w:cs="Arial"/>
              </w:rPr>
              <w:t>12.3%</w:t>
            </w:r>
          </w:p>
        </w:tc>
        <w:tc>
          <w:tcPr>
            <w:tcW w:w="0" w:type="auto"/>
            <w:vAlign w:val="center"/>
            <w:hideMark/>
          </w:tcPr>
          <w:p w14:paraId="1017C232" w14:textId="77777777" w:rsidR="00A15527" w:rsidRPr="00A15527" w:rsidRDefault="00A15527" w:rsidP="00A15527">
            <w:pPr>
              <w:rPr>
                <w:rFonts w:ascii="Arial" w:hAnsi="Arial" w:cs="Arial"/>
              </w:rPr>
            </w:pPr>
            <w:r w:rsidRPr="00A15527">
              <w:rPr>
                <w:rFonts w:ascii="Arial" w:hAnsi="Arial" w:cs="Arial"/>
              </w:rPr>
              <w:t>0.15%</w:t>
            </w:r>
          </w:p>
        </w:tc>
        <w:tc>
          <w:tcPr>
            <w:tcW w:w="0" w:type="auto"/>
            <w:vAlign w:val="center"/>
            <w:hideMark/>
          </w:tcPr>
          <w:p w14:paraId="7A819EF9" w14:textId="77777777" w:rsidR="00A15527" w:rsidRPr="00A15527" w:rsidRDefault="00A15527" w:rsidP="00A15527">
            <w:pPr>
              <w:rPr>
                <w:rFonts w:ascii="Arial" w:hAnsi="Arial" w:cs="Arial"/>
              </w:rPr>
            </w:pPr>
            <w:r w:rsidRPr="00A15527">
              <w:rPr>
                <w:rFonts w:ascii="Arial" w:hAnsi="Arial" w:cs="Arial"/>
              </w:rPr>
              <w:t>–54.9%</w:t>
            </w:r>
          </w:p>
        </w:tc>
        <w:tc>
          <w:tcPr>
            <w:tcW w:w="0" w:type="auto"/>
            <w:vAlign w:val="center"/>
            <w:hideMark/>
          </w:tcPr>
          <w:p w14:paraId="59BCBA1B" w14:textId="77777777" w:rsidR="00A15527" w:rsidRPr="00A15527" w:rsidRDefault="00A15527" w:rsidP="00A15527">
            <w:pPr>
              <w:rPr>
                <w:rFonts w:ascii="Arial" w:hAnsi="Arial" w:cs="Arial"/>
              </w:rPr>
            </w:pPr>
            <w:r w:rsidRPr="00A15527">
              <w:rPr>
                <w:rFonts w:ascii="Arial" w:hAnsi="Arial" w:cs="Arial"/>
              </w:rPr>
              <w:t>–15.7%</w:t>
            </w:r>
          </w:p>
        </w:tc>
        <w:tc>
          <w:tcPr>
            <w:tcW w:w="0" w:type="auto"/>
            <w:vAlign w:val="center"/>
            <w:hideMark/>
          </w:tcPr>
          <w:p w14:paraId="383C7D31" w14:textId="77777777" w:rsidR="00A15527" w:rsidRPr="00A15527" w:rsidRDefault="00A15527" w:rsidP="00A15527">
            <w:pPr>
              <w:rPr>
                <w:rFonts w:ascii="Arial" w:hAnsi="Arial" w:cs="Arial"/>
              </w:rPr>
            </w:pPr>
            <w:r w:rsidRPr="00A15527">
              <w:rPr>
                <w:rFonts w:ascii="Arial" w:hAnsi="Arial" w:cs="Arial"/>
              </w:rPr>
              <w:t>Significant shareholder value destruction</w:t>
            </w:r>
          </w:p>
        </w:tc>
      </w:tr>
      <w:tr w:rsidR="00A15527" w:rsidRPr="00A15527" w14:paraId="0E9680DE" w14:textId="77777777">
        <w:trPr>
          <w:tblCellSpacing w:w="15" w:type="dxa"/>
        </w:trPr>
        <w:tc>
          <w:tcPr>
            <w:tcW w:w="0" w:type="auto"/>
            <w:vAlign w:val="center"/>
            <w:hideMark/>
          </w:tcPr>
          <w:p w14:paraId="04D8A81F" w14:textId="77777777" w:rsidR="00A15527" w:rsidRPr="00A15527" w:rsidRDefault="00A15527" w:rsidP="00A15527">
            <w:pPr>
              <w:rPr>
                <w:rFonts w:ascii="Arial" w:hAnsi="Arial" w:cs="Arial"/>
              </w:rPr>
            </w:pPr>
            <w:r w:rsidRPr="00A15527">
              <w:rPr>
                <w:rFonts w:ascii="Arial" w:hAnsi="Arial" w:cs="Arial"/>
                <w:b/>
                <w:bCs/>
              </w:rPr>
              <w:t>Current Ratio</w:t>
            </w:r>
          </w:p>
        </w:tc>
        <w:tc>
          <w:tcPr>
            <w:tcW w:w="0" w:type="auto"/>
            <w:vAlign w:val="center"/>
            <w:hideMark/>
          </w:tcPr>
          <w:p w14:paraId="06B670DA" w14:textId="77777777" w:rsidR="00A15527" w:rsidRPr="00A15527" w:rsidRDefault="00A15527" w:rsidP="00A15527">
            <w:pPr>
              <w:rPr>
                <w:rFonts w:ascii="Arial" w:hAnsi="Arial" w:cs="Arial"/>
              </w:rPr>
            </w:pPr>
            <w:r w:rsidRPr="00A15527">
              <w:rPr>
                <w:rFonts w:ascii="Arial" w:hAnsi="Arial" w:cs="Arial"/>
              </w:rPr>
              <w:t>1.82</w:t>
            </w:r>
          </w:p>
        </w:tc>
        <w:tc>
          <w:tcPr>
            <w:tcW w:w="0" w:type="auto"/>
            <w:vAlign w:val="center"/>
            <w:hideMark/>
          </w:tcPr>
          <w:p w14:paraId="20140887" w14:textId="77777777" w:rsidR="00A15527" w:rsidRPr="00A15527" w:rsidRDefault="00A15527" w:rsidP="00A15527">
            <w:pPr>
              <w:rPr>
                <w:rFonts w:ascii="Arial" w:hAnsi="Arial" w:cs="Arial"/>
              </w:rPr>
            </w:pPr>
            <w:r w:rsidRPr="00A15527">
              <w:rPr>
                <w:rFonts w:ascii="Arial" w:hAnsi="Arial" w:cs="Arial"/>
              </w:rPr>
              <w:t>1.56</w:t>
            </w:r>
          </w:p>
        </w:tc>
        <w:tc>
          <w:tcPr>
            <w:tcW w:w="0" w:type="auto"/>
            <w:vAlign w:val="center"/>
            <w:hideMark/>
          </w:tcPr>
          <w:p w14:paraId="3B97F8C3" w14:textId="77777777" w:rsidR="00A15527" w:rsidRPr="00A15527" w:rsidRDefault="00A15527" w:rsidP="00A15527">
            <w:pPr>
              <w:rPr>
                <w:rFonts w:ascii="Arial" w:hAnsi="Arial" w:cs="Arial"/>
              </w:rPr>
            </w:pPr>
            <w:r w:rsidRPr="00A15527">
              <w:rPr>
                <w:rFonts w:ascii="Arial" w:hAnsi="Arial" w:cs="Arial"/>
              </w:rPr>
              <w:t>1.61</w:t>
            </w:r>
          </w:p>
        </w:tc>
        <w:tc>
          <w:tcPr>
            <w:tcW w:w="0" w:type="auto"/>
            <w:vAlign w:val="center"/>
            <w:hideMark/>
          </w:tcPr>
          <w:p w14:paraId="502F22E3" w14:textId="77777777" w:rsidR="00A15527" w:rsidRPr="00A15527" w:rsidRDefault="00A15527" w:rsidP="00A15527">
            <w:pPr>
              <w:rPr>
                <w:rFonts w:ascii="Arial" w:hAnsi="Arial" w:cs="Arial"/>
              </w:rPr>
            </w:pPr>
            <w:r w:rsidRPr="00A15527">
              <w:rPr>
                <w:rFonts w:ascii="Arial" w:hAnsi="Arial" w:cs="Arial"/>
              </w:rPr>
              <w:t>1.53</w:t>
            </w:r>
          </w:p>
        </w:tc>
        <w:tc>
          <w:tcPr>
            <w:tcW w:w="0" w:type="auto"/>
            <w:vAlign w:val="center"/>
            <w:hideMark/>
          </w:tcPr>
          <w:p w14:paraId="3B5A3455" w14:textId="77777777" w:rsidR="00A15527" w:rsidRPr="00A15527" w:rsidRDefault="00A15527" w:rsidP="00A15527">
            <w:pPr>
              <w:rPr>
                <w:rFonts w:ascii="Arial" w:hAnsi="Arial" w:cs="Arial"/>
              </w:rPr>
            </w:pPr>
            <w:r w:rsidRPr="00A15527">
              <w:rPr>
                <w:rFonts w:ascii="Arial" w:hAnsi="Arial" w:cs="Arial"/>
              </w:rPr>
              <w:t>Liquidity deteriorating</w:t>
            </w:r>
          </w:p>
        </w:tc>
      </w:tr>
      <w:tr w:rsidR="00A15527" w:rsidRPr="00A15527" w14:paraId="5E9EE27D" w14:textId="77777777">
        <w:trPr>
          <w:tblCellSpacing w:w="15" w:type="dxa"/>
        </w:trPr>
        <w:tc>
          <w:tcPr>
            <w:tcW w:w="0" w:type="auto"/>
            <w:vAlign w:val="center"/>
            <w:hideMark/>
          </w:tcPr>
          <w:p w14:paraId="3EDA6BE9" w14:textId="77777777" w:rsidR="00A15527" w:rsidRPr="00A15527" w:rsidRDefault="00A15527" w:rsidP="00A15527">
            <w:pPr>
              <w:rPr>
                <w:rFonts w:ascii="Arial" w:hAnsi="Arial" w:cs="Arial"/>
              </w:rPr>
            </w:pPr>
            <w:r w:rsidRPr="00A15527">
              <w:rPr>
                <w:rFonts w:ascii="Arial" w:hAnsi="Arial" w:cs="Arial"/>
                <w:b/>
                <w:bCs/>
              </w:rPr>
              <w:t>Quick Ratio</w:t>
            </w:r>
          </w:p>
        </w:tc>
        <w:tc>
          <w:tcPr>
            <w:tcW w:w="0" w:type="auto"/>
            <w:vAlign w:val="center"/>
            <w:hideMark/>
          </w:tcPr>
          <w:p w14:paraId="5C6AAA60" w14:textId="77777777" w:rsidR="00A15527" w:rsidRPr="00A15527" w:rsidRDefault="00A15527" w:rsidP="00A15527">
            <w:pPr>
              <w:rPr>
                <w:rFonts w:ascii="Arial" w:hAnsi="Arial" w:cs="Arial"/>
              </w:rPr>
            </w:pPr>
            <w:r w:rsidRPr="00A15527">
              <w:rPr>
                <w:rFonts w:ascii="Arial" w:hAnsi="Arial" w:cs="Arial"/>
              </w:rPr>
              <w:t>1.22</w:t>
            </w:r>
          </w:p>
        </w:tc>
        <w:tc>
          <w:tcPr>
            <w:tcW w:w="0" w:type="auto"/>
            <w:vAlign w:val="center"/>
            <w:hideMark/>
          </w:tcPr>
          <w:p w14:paraId="031711D3" w14:textId="77777777" w:rsidR="00A15527" w:rsidRPr="00A15527" w:rsidRDefault="00A15527" w:rsidP="00A15527">
            <w:pPr>
              <w:rPr>
                <w:rFonts w:ascii="Arial" w:hAnsi="Arial" w:cs="Arial"/>
              </w:rPr>
            </w:pPr>
            <w:r w:rsidRPr="00A15527">
              <w:rPr>
                <w:rFonts w:ascii="Arial" w:hAnsi="Arial" w:cs="Arial"/>
              </w:rPr>
              <w:t>0.59</w:t>
            </w:r>
          </w:p>
        </w:tc>
        <w:tc>
          <w:tcPr>
            <w:tcW w:w="0" w:type="auto"/>
            <w:vAlign w:val="center"/>
            <w:hideMark/>
          </w:tcPr>
          <w:p w14:paraId="2713832D" w14:textId="77777777" w:rsidR="00A15527" w:rsidRPr="00A15527" w:rsidRDefault="00A15527" w:rsidP="00A15527">
            <w:pPr>
              <w:rPr>
                <w:rFonts w:ascii="Arial" w:hAnsi="Arial" w:cs="Arial"/>
              </w:rPr>
            </w:pPr>
            <w:r w:rsidRPr="00A15527">
              <w:rPr>
                <w:rFonts w:ascii="Arial" w:hAnsi="Arial" w:cs="Arial"/>
              </w:rPr>
              <w:t>0.77</w:t>
            </w:r>
          </w:p>
        </w:tc>
        <w:tc>
          <w:tcPr>
            <w:tcW w:w="0" w:type="auto"/>
            <w:vAlign w:val="center"/>
            <w:hideMark/>
          </w:tcPr>
          <w:p w14:paraId="329C1FAE" w14:textId="77777777" w:rsidR="00A15527" w:rsidRPr="00A15527" w:rsidRDefault="00A15527" w:rsidP="00A15527">
            <w:pPr>
              <w:rPr>
                <w:rFonts w:ascii="Arial" w:hAnsi="Arial" w:cs="Arial"/>
              </w:rPr>
            </w:pPr>
            <w:r w:rsidRPr="00A15527">
              <w:rPr>
                <w:rFonts w:ascii="Arial" w:hAnsi="Arial" w:cs="Arial"/>
              </w:rPr>
              <w:t>0.78</w:t>
            </w:r>
          </w:p>
        </w:tc>
        <w:tc>
          <w:tcPr>
            <w:tcW w:w="0" w:type="auto"/>
            <w:vAlign w:val="center"/>
            <w:hideMark/>
          </w:tcPr>
          <w:p w14:paraId="2A7827E2" w14:textId="77777777" w:rsidR="00A15527" w:rsidRPr="00A15527" w:rsidRDefault="00A15527" w:rsidP="00A15527">
            <w:pPr>
              <w:rPr>
                <w:rFonts w:ascii="Arial" w:hAnsi="Arial" w:cs="Arial"/>
              </w:rPr>
            </w:pPr>
            <w:r w:rsidRPr="00A15527">
              <w:rPr>
                <w:rFonts w:ascii="Arial" w:hAnsi="Arial" w:cs="Arial"/>
              </w:rPr>
              <w:t>Inventory-heavy liquidity weakness</w:t>
            </w:r>
          </w:p>
        </w:tc>
      </w:tr>
      <w:tr w:rsidR="00A15527" w:rsidRPr="00A15527" w14:paraId="74231CA2" w14:textId="77777777">
        <w:trPr>
          <w:tblCellSpacing w:w="15" w:type="dxa"/>
        </w:trPr>
        <w:tc>
          <w:tcPr>
            <w:tcW w:w="0" w:type="auto"/>
            <w:vAlign w:val="center"/>
            <w:hideMark/>
          </w:tcPr>
          <w:p w14:paraId="1063CA00" w14:textId="77777777" w:rsidR="00A15527" w:rsidRPr="00A15527" w:rsidRDefault="00A15527" w:rsidP="00A15527">
            <w:pPr>
              <w:rPr>
                <w:rFonts w:ascii="Arial" w:hAnsi="Arial" w:cs="Arial"/>
              </w:rPr>
            </w:pPr>
            <w:r w:rsidRPr="00A15527">
              <w:rPr>
                <w:rFonts w:ascii="Arial" w:hAnsi="Arial" w:cs="Arial"/>
                <w:b/>
                <w:bCs/>
              </w:rPr>
              <w:t>Cash Ratio</w:t>
            </w:r>
          </w:p>
        </w:tc>
        <w:tc>
          <w:tcPr>
            <w:tcW w:w="0" w:type="auto"/>
            <w:vAlign w:val="center"/>
            <w:hideMark/>
          </w:tcPr>
          <w:p w14:paraId="5F492DC0" w14:textId="77777777" w:rsidR="00A15527" w:rsidRPr="00A15527" w:rsidRDefault="00A15527" w:rsidP="00A15527">
            <w:pPr>
              <w:rPr>
                <w:rFonts w:ascii="Arial" w:hAnsi="Arial" w:cs="Arial"/>
              </w:rPr>
            </w:pPr>
            <w:r w:rsidRPr="00A15527">
              <w:rPr>
                <w:rFonts w:ascii="Arial" w:hAnsi="Arial" w:cs="Arial"/>
              </w:rPr>
              <w:t>0.32</w:t>
            </w:r>
          </w:p>
        </w:tc>
        <w:tc>
          <w:tcPr>
            <w:tcW w:w="0" w:type="auto"/>
            <w:vAlign w:val="center"/>
            <w:hideMark/>
          </w:tcPr>
          <w:p w14:paraId="156D1118" w14:textId="77777777" w:rsidR="00A15527" w:rsidRPr="00A15527" w:rsidRDefault="00A15527" w:rsidP="00A15527">
            <w:pPr>
              <w:rPr>
                <w:rFonts w:ascii="Arial" w:hAnsi="Arial" w:cs="Arial"/>
              </w:rPr>
            </w:pPr>
            <w:r w:rsidRPr="00A15527">
              <w:rPr>
                <w:rFonts w:ascii="Arial" w:hAnsi="Arial" w:cs="Arial"/>
              </w:rPr>
              <w:t>0.31</w:t>
            </w:r>
          </w:p>
        </w:tc>
        <w:tc>
          <w:tcPr>
            <w:tcW w:w="0" w:type="auto"/>
            <w:vAlign w:val="center"/>
            <w:hideMark/>
          </w:tcPr>
          <w:p w14:paraId="1435803E" w14:textId="77777777" w:rsidR="00A15527" w:rsidRPr="00A15527" w:rsidRDefault="00A15527" w:rsidP="00A15527">
            <w:pPr>
              <w:rPr>
                <w:rFonts w:ascii="Arial" w:hAnsi="Arial" w:cs="Arial"/>
              </w:rPr>
            </w:pPr>
            <w:r w:rsidRPr="00A15527">
              <w:rPr>
                <w:rFonts w:ascii="Arial" w:hAnsi="Arial" w:cs="Arial"/>
              </w:rPr>
              <w:t>0.27</w:t>
            </w:r>
          </w:p>
        </w:tc>
        <w:tc>
          <w:tcPr>
            <w:tcW w:w="0" w:type="auto"/>
            <w:vAlign w:val="center"/>
            <w:hideMark/>
          </w:tcPr>
          <w:p w14:paraId="638578AD" w14:textId="77777777" w:rsidR="00A15527" w:rsidRPr="00A15527" w:rsidRDefault="00A15527" w:rsidP="00A15527">
            <w:pPr>
              <w:rPr>
                <w:rFonts w:ascii="Arial" w:hAnsi="Arial" w:cs="Arial"/>
              </w:rPr>
            </w:pPr>
            <w:r w:rsidRPr="00A15527">
              <w:rPr>
                <w:rFonts w:ascii="Arial" w:hAnsi="Arial" w:cs="Arial"/>
              </w:rPr>
              <w:t>0.17</w:t>
            </w:r>
          </w:p>
        </w:tc>
        <w:tc>
          <w:tcPr>
            <w:tcW w:w="0" w:type="auto"/>
            <w:vAlign w:val="center"/>
            <w:hideMark/>
          </w:tcPr>
          <w:p w14:paraId="127380DB" w14:textId="77777777" w:rsidR="00A15527" w:rsidRPr="00A15527" w:rsidRDefault="00A15527" w:rsidP="00A15527">
            <w:pPr>
              <w:rPr>
                <w:rFonts w:ascii="Arial" w:hAnsi="Arial" w:cs="Arial"/>
              </w:rPr>
            </w:pPr>
            <w:r w:rsidRPr="00A15527">
              <w:rPr>
                <w:rFonts w:ascii="Arial" w:hAnsi="Arial" w:cs="Arial"/>
              </w:rPr>
              <w:t>Serious cash pressure</w:t>
            </w:r>
          </w:p>
        </w:tc>
      </w:tr>
      <w:tr w:rsidR="00A15527" w:rsidRPr="00A15527" w14:paraId="415DE65B" w14:textId="77777777">
        <w:trPr>
          <w:tblCellSpacing w:w="15" w:type="dxa"/>
        </w:trPr>
        <w:tc>
          <w:tcPr>
            <w:tcW w:w="0" w:type="auto"/>
            <w:vAlign w:val="center"/>
            <w:hideMark/>
          </w:tcPr>
          <w:p w14:paraId="020E7335" w14:textId="77777777" w:rsidR="00A15527" w:rsidRPr="00A15527" w:rsidRDefault="00A15527" w:rsidP="00A15527">
            <w:pPr>
              <w:rPr>
                <w:rFonts w:ascii="Arial" w:hAnsi="Arial" w:cs="Arial"/>
              </w:rPr>
            </w:pPr>
            <w:r w:rsidRPr="00A15527">
              <w:rPr>
                <w:rFonts w:ascii="Arial" w:hAnsi="Arial" w:cs="Arial"/>
                <w:b/>
                <w:bCs/>
              </w:rPr>
              <w:t>Inventory Days</w:t>
            </w:r>
          </w:p>
        </w:tc>
        <w:tc>
          <w:tcPr>
            <w:tcW w:w="0" w:type="auto"/>
            <w:vAlign w:val="center"/>
            <w:hideMark/>
          </w:tcPr>
          <w:p w14:paraId="7F667192" w14:textId="77777777" w:rsidR="00A15527" w:rsidRPr="00A15527" w:rsidRDefault="00A15527" w:rsidP="00A15527">
            <w:pPr>
              <w:rPr>
                <w:rFonts w:ascii="Arial" w:hAnsi="Arial" w:cs="Arial"/>
              </w:rPr>
            </w:pPr>
            <w:r w:rsidRPr="00A15527">
              <w:rPr>
                <w:rFonts w:ascii="Arial" w:hAnsi="Arial" w:cs="Arial"/>
              </w:rPr>
              <w:t>~100</w:t>
            </w:r>
          </w:p>
        </w:tc>
        <w:tc>
          <w:tcPr>
            <w:tcW w:w="0" w:type="auto"/>
            <w:vAlign w:val="center"/>
            <w:hideMark/>
          </w:tcPr>
          <w:p w14:paraId="181FEC86" w14:textId="77777777" w:rsidR="00A15527" w:rsidRPr="00A15527" w:rsidRDefault="00A15527" w:rsidP="00A15527">
            <w:pPr>
              <w:rPr>
                <w:rFonts w:ascii="Arial" w:hAnsi="Arial" w:cs="Arial"/>
              </w:rPr>
            </w:pPr>
            <w:r w:rsidRPr="00A15527">
              <w:rPr>
                <w:rFonts w:ascii="Arial" w:hAnsi="Arial" w:cs="Arial"/>
              </w:rPr>
              <w:t>~130</w:t>
            </w:r>
          </w:p>
        </w:tc>
        <w:tc>
          <w:tcPr>
            <w:tcW w:w="0" w:type="auto"/>
            <w:vAlign w:val="center"/>
            <w:hideMark/>
          </w:tcPr>
          <w:p w14:paraId="1BC18C40" w14:textId="77777777" w:rsidR="00A15527" w:rsidRPr="00A15527" w:rsidRDefault="00A15527" w:rsidP="00A15527">
            <w:pPr>
              <w:rPr>
                <w:rFonts w:ascii="Arial" w:hAnsi="Arial" w:cs="Arial"/>
              </w:rPr>
            </w:pPr>
            <w:r w:rsidRPr="00A15527">
              <w:rPr>
                <w:rFonts w:ascii="Arial" w:hAnsi="Arial" w:cs="Arial"/>
              </w:rPr>
              <w:t>~115</w:t>
            </w:r>
          </w:p>
        </w:tc>
        <w:tc>
          <w:tcPr>
            <w:tcW w:w="0" w:type="auto"/>
            <w:vAlign w:val="center"/>
            <w:hideMark/>
          </w:tcPr>
          <w:p w14:paraId="6B2E363C" w14:textId="77777777" w:rsidR="00A15527" w:rsidRPr="00A15527" w:rsidRDefault="00A15527" w:rsidP="00A15527">
            <w:pPr>
              <w:rPr>
                <w:rFonts w:ascii="Arial" w:hAnsi="Arial" w:cs="Arial"/>
              </w:rPr>
            </w:pPr>
            <w:r w:rsidRPr="00A15527">
              <w:rPr>
                <w:rFonts w:ascii="Arial" w:hAnsi="Arial" w:cs="Arial"/>
              </w:rPr>
              <w:t>~104</w:t>
            </w:r>
          </w:p>
        </w:tc>
        <w:tc>
          <w:tcPr>
            <w:tcW w:w="0" w:type="auto"/>
            <w:vAlign w:val="center"/>
            <w:hideMark/>
          </w:tcPr>
          <w:p w14:paraId="66E38478" w14:textId="77777777" w:rsidR="00A15527" w:rsidRPr="00A15527" w:rsidRDefault="00A15527" w:rsidP="00A15527">
            <w:pPr>
              <w:rPr>
                <w:rFonts w:ascii="Arial" w:hAnsi="Arial" w:cs="Arial"/>
              </w:rPr>
            </w:pPr>
            <w:r w:rsidRPr="00A15527">
              <w:rPr>
                <w:rFonts w:ascii="Arial" w:hAnsi="Arial" w:cs="Arial"/>
              </w:rPr>
              <w:t>Elevated stock levels</w:t>
            </w:r>
          </w:p>
        </w:tc>
      </w:tr>
      <w:tr w:rsidR="00A15527" w:rsidRPr="00A15527" w14:paraId="53EDB0D4" w14:textId="77777777">
        <w:trPr>
          <w:tblCellSpacing w:w="15" w:type="dxa"/>
        </w:trPr>
        <w:tc>
          <w:tcPr>
            <w:tcW w:w="0" w:type="auto"/>
            <w:vAlign w:val="center"/>
            <w:hideMark/>
          </w:tcPr>
          <w:p w14:paraId="4A5B0713" w14:textId="77777777" w:rsidR="00A15527" w:rsidRPr="00A15527" w:rsidRDefault="00A15527" w:rsidP="00A15527">
            <w:pPr>
              <w:rPr>
                <w:rFonts w:ascii="Arial" w:hAnsi="Arial" w:cs="Arial"/>
              </w:rPr>
            </w:pPr>
            <w:r w:rsidRPr="00A15527">
              <w:rPr>
                <w:rFonts w:ascii="Arial" w:hAnsi="Arial" w:cs="Arial"/>
                <w:b/>
                <w:bCs/>
              </w:rPr>
              <w:t>Receivables Days</w:t>
            </w:r>
          </w:p>
        </w:tc>
        <w:tc>
          <w:tcPr>
            <w:tcW w:w="0" w:type="auto"/>
            <w:vAlign w:val="center"/>
            <w:hideMark/>
          </w:tcPr>
          <w:p w14:paraId="212B51D3" w14:textId="77777777" w:rsidR="00A15527" w:rsidRPr="00A15527" w:rsidRDefault="00A15527" w:rsidP="00A15527">
            <w:pPr>
              <w:rPr>
                <w:rFonts w:ascii="Arial" w:hAnsi="Arial" w:cs="Arial"/>
              </w:rPr>
            </w:pPr>
            <w:r w:rsidRPr="00A15527">
              <w:rPr>
                <w:rFonts w:ascii="Arial" w:hAnsi="Arial" w:cs="Arial"/>
              </w:rPr>
              <w:t>76</w:t>
            </w:r>
          </w:p>
        </w:tc>
        <w:tc>
          <w:tcPr>
            <w:tcW w:w="0" w:type="auto"/>
            <w:vAlign w:val="center"/>
            <w:hideMark/>
          </w:tcPr>
          <w:p w14:paraId="15EED10A" w14:textId="77777777" w:rsidR="00A15527" w:rsidRPr="00A15527" w:rsidRDefault="00A15527" w:rsidP="00A15527">
            <w:pPr>
              <w:rPr>
                <w:rFonts w:ascii="Arial" w:hAnsi="Arial" w:cs="Arial"/>
              </w:rPr>
            </w:pPr>
            <w:r w:rsidRPr="00A15527">
              <w:rPr>
                <w:rFonts w:ascii="Arial" w:hAnsi="Arial" w:cs="Arial"/>
              </w:rPr>
              <w:t>74</w:t>
            </w:r>
          </w:p>
        </w:tc>
        <w:tc>
          <w:tcPr>
            <w:tcW w:w="0" w:type="auto"/>
            <w:vAlign w:val="center"/>
            <w:hideMark/>
          </w:tcPr>
          <w:p w14:paraId="05D627C1" w14:textId="77777777" w:rsidR="00A15527" w:rsidRPr="00A15527" w:rsidRDefault="00A15527" w:rsidP="00A15527">
            <w:pPr>
              <w:rPr>
                <w:rFonts w:ascii="Arial" w:hAnsi="Arial" w:cs="Arial"/>
              </w:rPr>
            </w:pPr>
            <w:r w:rsidRPr="00A15527">
              <w:rPr>
                <w:rFonts w:ascii="Arial" w:hAnsi="Arial" w:cs="Arial"/>
              </w:rPr>
              <w:t>98</w:t>
            </w:r>
          </w:p>
        </w:tc>
        <w:tc>
          <w:tcPr>
            <w:tcW w:w="0" w:type="auto"/>
            <w:vAlign w:val="center"/>
            <w:hideMark/>
          </w:tcPr>
          <w:p w14:paraId="03BFD6A8" w14:textId="77777777" w:rsidR="00A15527" w:rsidRPr="00A15527" w:rsidRDefault="00A15527" w:rsidP="00A15527">
            <w:pPr>
              <w:rPr>
                <w:rFonts w:ascii="Arial" w:hAnsi="Arial" w:cs="Arial"/>
              </w:rPr>
            </w:pPr>
            <w:r w:rsidRPr="00A15527">
              <w:rPr>
                <w:rFonts w:ascii="Arial" w:hAnsi="Arial" w:cs="Arial"/>
              </w:rPr>
              <w:t>105</w:t>
            </w:r>
          </w:p>
        </w:tc>
        <w:tc>
          <w:tcPr>
            <w:tcW w:w="0" w:type="auto"/>
            <w:vAlign w:val="center"/>
            <w:hideMark/>
          </w:tcPr>
          <w:p w14:paraId="719A9FB4" w14:textId="77777777" w:rsidR="00A15527" w:rsidRPr="00A15527" w:rsidRDefault="00A15527" w:rsidP="00A15527">
            <w:pPr>
              <w:rPr>
                <w:rFonts w:ascii="Arial" w:hAnsi="Arial" w:cs="Arial"/>
              </w:rPr>
            </w:pPr>
            <w:r w:rsidRPr="00A15527">
              <w:rPr>
                <w:rFonts w:ascii="Arial" w:hAnsi="Arial" w:cs="Arial"/>
              </w:rPr>
              <w:t>Worsening credit control</w:t>
            </w:r>
          </w:p>
        </w:tc>
      </w:tr>
      <w:tr w:rsidR="00A15527" w:rsidRPr="00A15527" w14:paraId="2B300142" w14:textId="77777777">
        <w:trPr>
          <w:tblCellSpacing w:w="15" w:type="dxa"/>
        </w:trPr>
        <w:tc>
          <w:tcPr>
            <w:tcW w:w="0" w:type="auto"/>
            <w:vAlign w:val="center"/>
            <w:hideMark/>
          </w:tcPr>
          <w:p w14:paraId="60A59958" w14:textId="77777777" w:rsidR="00A15527" w:rsidRPr="00A15527" w:rsidRDefault="00A15527" w:rsidP="00A15527">
            <w:pPr>
              <w:rPr>
                <w:rFonts w:ascii="Arial" w:hAnsi="Arial" w:cs="Arial"/>
              </w:rPr>
            </w:pPr>
            <w:r w:rsidRPr="00A15527">
              <w:rPr>
                <w:rFonts w:ascii="Arial" w:hAnsi="Arial" w:cs="Arial"/>
                <w:b/>
                <w:bCs/>
              </w:rPr>
              <w:t>Payables Days</w:t>
            </w:r>
          </w:p>
        </w:tc>
        <w:tc>
          <w:tcPr>
            <w:tcW w:w="0" w:type="auto"/>
            <w:vAlign w:val="center"/>
            <w:hideMark/>
          </w:tcPr>
          <w:p w14:paraId="4BF8A720" w14:textId="77777777" w:rsidR="00A15527" w:rsidRPr="00A15527" w:rsidRDefault="00A15527" w:rsidP="00A15527">
            <w:pPr>
              <w:rPr>
                <w:rFonts w:ascii="Arial" w:hAnsi="Arial" w:cs="Arial"/>
              </w:rPr>
            </w:pPr>
            <w:r w:rsidRPr="00A15527">
              <w:rPr>
                <w:rFonts w:ascii="Arial" w:hAnsi="Arial" w:cs="Arial"/>
              </w:rPr>
              <w:t>~69</w:t>
            </w:r>
          </w:p>
        </w:tc>
        <w:tc>
          <w:tcPr>
            <w:tcW w:w="0" w:type="auto"/>
            <w:vAlign w:val="center"/>
            <w:hideMark/>
          </w:tcPr>
          <w:p w14:paraId="1D304E85" w14:textId="77777777" w:rsidR="00A15527" w:rsidRPr="00A15527" w:rsidRDefault="00A15527" w:rsidP="00A15527">
            <w:pPr>
              <w:rPr>
                <w:rFonts w:ascii="Arial" w:hAnsi="Arial" w:cs="Arial"/>
              </w:rPr>
            </w:pPr>
            <w:r w:rsidRPr="00A15527">
              <w:rPr>
                <w:rFonts w:ascii="Arial" w:hAnsi="Arial" w:cs="Arial"/>
              </w:rPr>
              <w:t>~66</w:t>
            </w:r>
          </w:p>
        </w:tc>
        <w:tc>
          <w:tcPr>
            <w:tcW w:w="0" w:type="auto"/>
            <w:vAlign w:val="center"/>
            <w:hideMark/>
          </w:tcPr>
          <w:p w14:paraId="6140FA43" w14:textId="77777777" w:rsidR="00A15527" w:rsidRPr="00A15527" w:rsidRDefault="00A15527" w:rsidP="00A15527">
            <w:pPr>
              <w:rPr>
                <w:rFonts w:ascii="Arial" w:hAnsi="Arial" w:cs="Arial"/>
              </w:rPr>
            </w:pPr>
            <w:r w:rsidRPr="00A15527">
              <w:rPr>
                <w:rFonts w:ascii="Arial" w:hAnsi="Arial" w:cs="Arial"/>
              </w:rPr>
              <w:t>~60</w:t>
            </w:r>
          </w:p>
        </w:tc>
        <w:tc>
          <w:tcPr>
            <w:tcW w:w="0" w:type="auto"/>
            <w:vAlign w:val="center"/>
            <w:hideMark/>
          </w:tcPr>
          <w:p w14:paraId="14CDD427" w14:textId="77777777" w:rsidR="00A15527" w:rsidRPr="00A15527" w:rsidRDefault="00A15527" w:rsidP="00A15527">
            <w:pPr>
              <w:rPr>
                <w:rFonts w:ascii="Arial" w:hAnsi="Arial" w:cs="Arial"/>
              </w:rPr>
            </w:pPr>
            <w:r w:rsidRPr="00A15527">
              <w:rPr>
                <w:rFonts w:ascii="Arial" w:hAnsi="Arial" w:cs="Arial"/>
              </w:rPr>
              <w:t>~50</w:t>
            </w:r>
          </w:p>
        </w:tc>
        <w:tc>
          <w:tcPr>
            <w:tcW w:w="0" w:type="auto"/>
            <w:vAlign w:val="center"/>
            <w:hideMark/>
          </w:tcPr>
          <w:p w14:paraId="3750A0A7" w14:textId="77777777" w:rsidR="00A15527" w:rsidRPr="00A15527" w:rsidRDefault="00A15527" w:rsidP="00A15527">
            <w:pPr>
              <w:rPr>
                <w:rFonts w:ascii="Arial" w:hAnsi="Arial" w:cs="Arial"/>
              </w:rPr>
            </w:pPr>
            <w:r w:rsidRPr="00A15527">
              <w:rPr>
                <w:rFonts w:ascii="Arial" w:hAnsi="Arial" w:cs="Arial"/>
              </w:rPr>
              <w:t>Reduced leverage with suppliers</w:t>
            </w:r>
          </w:p>
        </w:tc>
      </w:tr>
      <w:tr w:rsidR="00A15527" w:rsidRPr="00A15527" w14:paraId="3D48CE8B" w14:textId="77777777">
        <w:trPr>
          <w:tblCellSpacing w:w="15" w:type="dxa"/>
        </w:trPr>
        <w:tc>
          <w:tcPr>
            <w:tcW w:w="0" w:type="auto"/>
            <w:vAlign w:val="center"/>
            <w:hideMark/>
          </w:tcPr>
          <w:p w14:paraId="6BAD0B9A" w14:textId="77777777" w:rsidR="00A15527" w:rsidRPr="00A15527" w:rsidRDefault="00A15527" w:rsidP="00A15527">
            <w:pPr>
              <w:rPr>
                <w:rFonts w:ascii="Arial" w:hAnsi="Arial" w:cs="Arial"/>
              </w:rPr>
            </w:pPr>
            <w:r w:rsidRPr="00A15527">
              <w:rPr>
                <w:rFonts w:ascii="Arial" w:hAnsi="Arial" w:cs="Arial"/>
                <w:b/>
                <w:bCs/>
              </w:rPr>
              <w:t>Debt-to-Equity</w:t>
            </w:r>
          </w:p>
        </w:tc>
        <w:tc>
          <w:tcPr>
            <w:tcW w:w="0" w:type="auto"/>
            <w:vAlign w:val="center"/>
            <w:hideMark/>
          </w:tcPr>
          <w:p w14:paraId="68A30FD9" w14:textId="77777777" w:rsidR="00A15527" w:rsidRPr="00A15527" w:rsidRDefault="00A15527" w:rsidP="00A15527">
            <w:pPr>
              <w:rPr>
                <w:rFonts w:ascii="Arial" w:hAnsi="Arial" w:cs="Arial"/>
              </w:rPr>
            </w:pPr>
            <w:r w:rsidRPr="00A15527">
              <w:rPr>
                <w:rFonts w:ascii="Arial" w:hAnsi="Arial" w:cs="Arial"/>
              </w:rPr>
              <w:t>0.63</w:t>
            </w:r>
          </w:p>
        </w:tc>
        <w:tc>
          <w:tcPr>
            <w:tcW w:w="0" w:type="auto"/>
            <w:vAlign w:val="center"/>
            <w:hideMark/>
          </w:tcPr>
          <w:p w14:paraId="52A3F03E" w14:textId="77777777" w:rsidR="00A15527" w:rsidRPr="00A15527" w:rsidRDefault="00A15527" w:rsidP="00A15527">
            <w:pPr>
              <w:rPr>
                <w:rFonts w:ascii="Arial" w:hAnsi="Arial" w:cs="Arial"/>
              </w:rPr>
            </w:pPr>
            <w:r w:rsidRPr="00A15527">
              <w:rPr>
                <w:rFonts w:ascii="Arial" w:hAnsi="Arial" w:cs="Arial"/>
              </w:rPr>
              <w:t>0.88</w:t>
            </w:r>
          </w:p>
        </w:tc>
        <w:tc>
          <w:tcPr>
            <w:tcW w:w="0" w:type="auto"/>
            <w:vAlign w:val="center"/>
            <w:hideMark/>
          </w:tcPr>
          <w:p w14:paraId="76445063" w14:textId="77777777" w:rsidR="00A15527" w:rsidRPr="00A15527" w:rsidRDefault="00A15527" w:rsidP="00A15527">
            <w:pPr>
              <w:rPr>
                <w:rFonts w:ascii="Arial" w:hAnsi="Arial" w:cs="Arial"/>
              </w:rPr>
            </w:pPr>
            <w:r w:rsidRPr="00A15527">
              <w:rPr>
                <w:rFonts w:ascii="Arial" w:hAnsi="Arial" w:cs="Arial"/>
              </w:rPr>
              <w:t>0.99</w:t>
            </w:r>
          </w:p>
        </w:tc>
        <w:tc>
          <w:tcPr>
            <w:tcW w:w="0" w:type="auto"/>
            <w:vAlign w:val="center"/>
            <w:hideMark/>
          </w:tcPr>
          <w:p w14:paraId="35CCEC50" w14:textId="77777777" w:rsidR="00A15527" w:rsidRPr="00A15527" w:rsidRDefault="00A15527" w:rsidP="00A15527">
            <w:pPr>
              <w:rPr>
                <w:rFonts w:ascii="Arial" w:hAnsi="Arial" w:cs="Arial"/>
              </w:rPr>
            </w:pPr>
            <w:r w:rsidRPr="00A15527">
              <w:rPr>
                <w:rFonts w:ascii="Arial" w:hAnsi="Arial" w:cs="Arial"/>
              </w:rPr>
              <w:t>1.11</w:t>
            </w:r>
          </w:p>
        </w:tc>
        <w:tc>
          <w:tcPr>
            <w:tcW w:w="0" w:type="auto"/>
            <w:vAlign w:val="center"/>
            <w:hideMark/>
          </w:tcPr>
          <w:p w14:paraId="119286C4" w14:textId="77777777" w:rsidR="00A15527" w:rsidRPr="00A15527" w:rsidRDefault="00A15527" w:rsidP="00A15527">
            <w:pPr>
              <w:rPr>
                <w:rFonts w:ascii="Arial" w:hAnsi="Arial" w:cs="Arial"/>
              </w:rPr>
            </w:pPr>
            <w:r w:rsidRPr="00A15527">
              <w:rPr>
                <w:rFonts w:ascii="Arial" w:hAnsi="Arial" w:cs="Arial"/>
              </w:rPr>
              <w:t>High and rising leverage</w:t>
            </w:r>
          </w:p>
        </w:tc>
      </w:tr>
      <w:tr w:rsidR="00A15527" w:rsidRPr="00A15527" w14:paraId="062860B5" w14:textId="77777777">
        <w:trPr>
          <w:tblCellSpacing w:w="15" w:type="dxa"/>
        </w:trPr>
        <w:tc>
          <w:tcPr>
            <w:tcW w:w="0" w:type="auto"/>
            <w:vAlign w:val="center"/>
            <w:hideMark/>
          </w:tcPr>
          <w:p w14:paraId="2D286CF5" w14:textId="77777777" w:rsidR="00A15527" w:rsidRPr="00A15527" w:rsidRDefault="00A15527" w:rsidP="00A15527">
            <w:pPr>
              <w:rPr>
                <w:rFonts w:ascii="Arial" w:hAnsi="Arial" w:cs="Arial"/>
              </w:rPr>
            </w:pPr>
            <w:r w:rsidRPr="00A15527">
              <w:rPr>
                <w:rFonts w:ascii="Arial" w:hAnsi="Arial" w:cs="Arial"/>
                <w:b/>
                <w:bCs/>
              </w:rPr>
              <w:t>Interest Coverage</w:t>
            </w:r>
          </w:p>
        </w:tc>
        <w:tc>
          <w:tcPr>
            <w:tcW w:w="0" w:type="auto"/>
            <w:vAlign w:val="center"/>
            <w:hideMark/>
          </w:tcPr>
          <w:p w14:paraId="02E8D145" w14:textId="77777777" w:rsidR="00A15527" w:rsidRPr="00A15527" w:rsidRDefault="00A15527" w:rsidP="00A15527">
            <w:pPr>
              <w:rPr>
                <w:rFonts w:ascii="Arial" w:hAnsi="Arial" w:cs="Arial"/>
              </w:rPr>
            </w:pPr>
            <w:r w:rsidRPr="00A15527">
              <w:rPr>
                <w:rFonts w:ascii="Arial" w:hAnsi="Arial" w:cs="Arial"/>
              </w:rPr>
              <w:t>26x</w:t>
            </w:r>
          </w:p>
        </w:tc>
        <w:tc>
          <w:tcPr>
            <w:tcW w:w="0" w:type="auto"/>
            <w:vAlign w:val="center"/>
            <w:hideMark/>
          </w:tcPr>
          <w:p w14:paraId="38B0E483" w14:textId="77777777" w:rsidR="00A15527" w:rsidRPr="00A15527" w:rsidRDefault="00A15527" w:rsidP="00A15527">
            <w:pPr>
              <w:rPr>
                <w:rFonts w:ascii="Arial" w:hAnsi="Arial" w:cs="Arial"/>
              </w:rPr>
            </w:pPr>
            <w:r w:rsidRPr="00A15527">
              <w:rPr>
                <w:rFonts w:ascii="Arial" w:hAnsi="Arial" w:cs="Arial"/>
              </w:rPr>
              <w:t>2x</w:t>
            </w:r>
          </w:p>
        </w:tc>
        <w:tc>
          <w:tcPr>
            <w:tcW w:w="0" w:type="auto"/>
            <w:vAlign w:val="center"/>
            <w:hideMark/>
          </w:tcPr>
          <w:p w14:paraId="753B4204" w14:textId="77777777" w:rsidR="00A15527" w:rsidRPr="00A15527" w:rsidRDefault="00A15527" w:rsidP="00A15527">
            <w:pPr>
              <w:rPr>
                <w:rFonts w:ascii="Arial" w:hAnsi="Arial" w:cs="Arial"/>
              </w:rPr>
            </w:pPr>
            <w:r w:rsidRPr="00A15527">
              <w:rPr>
                <w:rFonts w:ascii="Arial" w:hAnsi="Arial" w:cs="Arial"/>
              </w:rPr>
              <w:t>Negative</w:t>
            </w:r>
          </w:p>
        </w:tc>
        <w:tc>
          <w:tcPr>
            <w:tcW w:w="0" w:type="auto"/>
            <w:vAlign w:val="center"/>
            <w:hideMark/>
          </w:tcPr>
          <w:p w14:paraId="7D608EC8" w14:textId="77777777" w:rsidR="00A15527" w:rsidRPr="00A15527" w:rsidRDefault="00A15527" w:rsidP="00A15527">
            <w:pPr>
              <w:rPr>
                <w:rFonts w:ascii="Arial" w:hAnsi="Arial" w:cs="Arial"/>
              </w:rPr>
            </w:pPr>
            <w:r w:rsidRPr="00A15527">
              <w:rPr>
                <w:rFonts w:ascii="Arial" w:hAnsi="Arial" w:cs="Arial"/>
              </w:rPr>
              <w:t>Negative</w:t>
            </w:r>
          </w:p>
        </w:tc>
        <w:tc>
          <w:tcPr>
            <w:tcW w:w="0" w:type="auto"/>
            <w:vAlign w:val="center"/>
            <w:hideMark/>
          </w:tcPr>
          <w:p w14:paraId="7C528E41" w14:textId="77777777" w:rsidR="00A15527" w:rsidRPr="00A15527" w:rsidRDefault="00A15527" w:rsidP="00A15527">
            <w:pPr>
              <w:rPr>
                <w:rFonts w:ascii="Arial" w:hAnsi="Arial" w:cs="Arial"/>
              </w:rPr>
            </w:pPr>
            <w:r w:rsidRPr="00A15527">
              <w:rPr>
                <w:rFonts w:ascii="Arial" w:hAnsi="Arial" w:cs="Arial"/>
              </w:rPr>
              <w:t>Inability to cover interest costs</w:t>
            </w:r>
          </w:p>
        </w:tc>
      </w:tr>
    </w:tbl>
    <w:p w14:paraId="5612B46D" w14:textId="62E67EA6" w:rsidR="00A15527" w:rsidRPr="00A15527" w:rsidRDefault="00A15527" w:rsidP="00A15527">
      <w:pPr>
        <w:rPr>
          <w:rFonts w:ascii="Arial" w:hAnsi="Arial" w:cs="Arial"/>
        </w:rPr>
      </w:pPr>
    </w:p>
    <w:p w14:paraId="26A0AE0A" w14:textId="77777777" w:rsidR="00A15527" w:rsidRPr="00A15527" w:rsidRDefault="00A15527" w:rsidP="00A15527">
      <w:pPr>
        <w:rPr>
          <w:rFonts w:ascii="Arial" w:hAnsi="Arial" w:cs="Arial"/>
          <w:b/>
          <w:bCs/>
        </w:rPr>
      </w:pPr>
      <w:r w:rsidRPr="00A15527">
        <w:rPr>
          <w:rFonts w:ascii="Arial" w:hAnsi="Arial" w:cs="Arial"/>
          <w:b/>
          <w:bCs/>
        </w:rPr>
        <w:t>2.3 Profitability Analysis</w:t>
      </w:r>
    </w:p>
    <w:p w14:paraId="7D417372" w14:textId="77777777" w:rsidR="00A15527" w:rsidRPr="00A15527" w:rsidRDefault="00A15527" w:rsidP="00A15527">
      <w:pPr>
        <w:rPr>
          <w:rFonts w:ascii="Arial" w:hAnsi="Arial" w:cs="Arial"/>
        </w:rPr>
      </w:pPr>
      <w:r w:rsidRPr="00A15527">
        <w:rPr>
          <w:rFonts w:ascii="Arial" w:hAnsi="Arial" w:cs="Arial"/>
        </w:rPr>
        <w:t>GE’s declining profitability is driven by:</w:t>
      </w:r>
    </w:p>
    <w:p w14:paraId="52F6D6FF" w14:textId="77777777" w:rsidR="00A15527" w:rsidRPr="00A15527" w:rsidRDefault="00A15527" w:rsidP="00A15527">
      <w:pPr>
        <w:numPr>
          <w:ilvl w:val="0"/>
          <w:numId w:val="2"/>
        </w:numPr>
        <w:rPr>
          <w:rFonts w:ascii="Arial" w:hAnsi="Arial" w:cs="Arial"/>
        </w:rPr>
      </w:pPr>
      <w:r w:rsidRPr="00A15527">
        <w:rPr>
          <w:rFonts w:ascii="Arial" w:hAnsi="Arial" w:cs="Arial"/>
        </w:rPr>
        <w:lastRenderedPageBreak/>
        <w:t>Falling revenues amid intensified competition</w:t>
      </w:r>
    </w:p>
    <w:p w14:paraId="62A2D4C5" w14:textId="77777777" w:rsidR="00A15527" w:rsidRPr="00A15527" w:rsidRDefault="00A15527" w:rsidP="00A15527">
      <w:pPr>
        <w:numPr>
          <w:ilvl w:val="0"/>
          <w:numId w:val="2"/>
        </w:numPr>
        <w:rPr>
          <w:rFonts w:ascii="Arial" w:hAnsi="Arial" w:cs="Arial"/>
        </w:rPr>
      </w:pPr>
      <w:r w:rsidRPr="00A15527">
        <w:rPr>
          <w:rFonts w:ascii="Arial" w:hAnsi="Arial" w:cs="Arial"/>
        </w:rPr>
        <w:t>Rising operating costs and overheads</w:t>
      </w:r>
    </w:p>
    <w:p w14:paraId="1BC96522" w14:textId="77777777" w:rsidR="00A15527" w:rsidRPr="00A15527" w:rsidRDefault="00A15527" w:rsidP="00A15527">
      <w:pPr>
        <w:numPr>
          <w:ilvl w:val="0"/>
          <w:numId w:val="2"/>
        </w:numPr>
        <w:rPr>
          <w:rFonts w:ascii="Arial" w:hAnsi="Arial" w:cs="Arial"/>
        </w:rPr>
      </w:pPr>
      <w:r w:rsidRPr="00A15527">
        <w:rPr>
          <w:rFonts w:ascii="Arial" w:hAnsi="Arial" w:cs="Arial"/>
        </w:rPr>
        <w:t>Large impairment charges eroding earnings</w:t>
      </w:r>
    </w:p>
    <w:p w14:paraId="18397B7B" w14:textId="77777777" w:rsidR="00A15527" w:rsidRPr="00A15527" w:rsidRDefault="00A15527" w:rsidP="00A15527">
      <w:pPr>
        <w:numPr>
          <w:ilvl w:val="0"/>
          <w:numId w:val="2"/>
        </w:numPr>
        <w:rPr>
          <w:rFonts w:ascii="Arial" w:hAnsi="Arial" w:cs="Arial"/>
        </w:rPr>
      </w:pPr>
      <w:r w:rsidRPr="00A15527">
        <w:rPr>
          <w:rFonts w:ascii="Arial" w:hAnsi="Arial" w:cs="Arial"/>
        </w:rPr>
        <w:t>Weak pricing power in saturated markets</w:t>
      </w:r>
    </w:p>
    <w:p w14:paraId="7042E503" w14:textId="77777777" w:rsidR="00A15527" w:rsidRPr="00A15527" w:rsidRDefault="00A15527" w:rsidP="00A15527">
      <w:pPr>
        <w:rPr>
          <w:rFonts w:ascii="Arial" w:hAnsi="Arial" w:cs="Arial"/>
        </w:rPr>
      </w:pPr>
      <w:r w:rsidRPr="00A15527">
        <w:rPr>
          <w:rFonts w:ascii="Arial" w:hAnsi="Arial" w:cs="Arial"/>
        </w:rPr>
        <w:t>While the gross profit margin rebounded in 2024, operating and net margins remain negative, demonstrating that cost management initiatives have not yet reached full effectiveness. ROE and ROA are both negative, indicating severe inefficiency in using shareholders’ funds and assets.</w:t>
      </w:r>
    </w:p>
    <w:p w14:paraId="5158A14B" w14:textId="3F95829E" w:rsidR="00A15527" w:rsidRPr="00A15527" w:rsidRDefault="00A15527" w:rsidP="00A15527">
      <w:pPr>
        <w:rPr>
          <w:rFonts w:ascii="Arial" w:hAnsi="Arial" w:cs="Arial"/>
        </w:rPr>
      </w:pPr>
    </w:p>
    <w:p w14:paraId="5030A82A" w14:textId="77777777" w:rsidR="00A15527" w:rsidRPr="00A15527" w:rsidRDefault="00A15527" w:rsidP="00A15527">
      <w:pPr>
        <w:rPr>
          <w:rFonts w:ascii="Arial" w:hAnsi="Arial" w:cs="Arial"/>
          <w:b/>
          <w:bCs/>
        </w:rPr>
      </w:pPr>
      <w:r w:rsidRPr="00A15527">
        <w:rPr>
          <w:rFonts w:ascii="Arial" w:hAnsi="Arial" w:cs="Arial"/>
          <w:b/>
          <w:bCs/>
        </w:rPr>
        <w:t>2.4 Liquidity Assessment</w:t>
      </w:r>
    </w:p>
    <w:p w14:paraId="75B03F00" w14:textId="77777777" w:rsidR="00A15527" w:rsidRPr="00A15527" w:rsidRDefault="00A15527" w:rsidP="00A15527">
      <w:pPr>
        <w:rPr>
          <w:rFonts w:ascii="Arial" w:hAnsi="Arial" w:cs="Arial"/>
        </w:rPr>
      </w:pPr>
      <w:r w:rsidRPr="00A15527">
        <w:rPr>
          <w:rFonts w:ascii="Arial" w:hAnsi="Arial" w:cs="Arial"/>
        </w:rPr>
        <w:t>Current and quick ratios indicate tightening liquidity. The cash ratio of just 0.17 in 2024 signals that the firm has only 17p of cash for every £1 of short-term liabilities. This is a high-risk position, leaving GE vulnerable to creditor pressure and unexpected cash flow shocks (Brealey, Myers &amp; Allen, 2020).</w:t>
      </w:r>
    </w:p>
    <w:p w14:paraId="056DEAD9" w14:textId="77777777" w:rsidR="00A15527" w:rsidRPr="00A15527" w:rsidRDefault="00A15527" w:rsidP="00A15527">
      <w:pPr>
        <w:rPr>
          <w:rFonts w:ascii="Arial" w:hAnsi="Arial" w:cs="Arial"/>
        </w:rPr>
      </w:pPr>
      <w:r w:rsidRPr="00A15527">
        <w:rPr>
          <w:rFonts w:ascii="Arial" w:hAnsi="Arial" w:cs="Arial"/>
        </w:rPr>
        <w:t>Receivables have grown disproportionately relative to sales, suggesting weakened credit control. Inventory remains excessively high compared with revenue, indicating misaligned production, demand forecasts and insufficient product turnover.</w:t>
      </w:r>
    </w:p>
    <w:p w14:paraId="64D74672" w14:textId="65C0B8D8" w:rsidR="00A15527" w:rsidRPr="00A15527" w:rsidRDefault="00A15527" w:rsidP="00A15527">
      <w:pPr>
        <w:rPr>
          <w:rFonts w:ascii="Arial" w:hAnsi="Arial" w:cs="Arial"/>
        </w:rPr>
      </w:pPr>
    </w:p>
    <w:p w14:paraId="31B6656C" w14:textId="77777777" w:rsidR="00A15527" w:rsidRPr="00A15527" w:rsidRDefault="00A15527" w:rsidP="00A15527">
      <w:pPr>
        <w:rPr>
          <w:rFonts w:ascii="Arial" w:hAnsi="Arial" w:cs="Arial"/>
          <w:b/>
          <w:bCs/>
        </w:rPr>
      </w:pPr>
      <w:r w:rsidRPr="00A15527">
        <w:rPr>
          <w:rFonts w:ascii="Arial" w:hAnsi="Arial" w:cs="Arial"/>
          <w:b/>
          <w:bCs/>
        </w:rPr>
        <w:t>2.5 Efficiency and Working Capital Indicators</w:t>
      </w:r>
    </w:p>
    <w:p w14:paraId="3D5DAA30" w14:textId="77777777" w:rsidR="00A15527" w:rsidRPr="00A15527" w:rsidRDefault="00A15527" w:rsidP="00A15527">
      <w:pPr>
        <w:rPr>
          <w:rFonts w:ascii="Arial" w:hAnsi="Arial" w:cs="Arial"/>
        </w:rPr>
      </w:pPr>
      <w:r w:rsidRPr="00A15527">
        <w:rPr>
          <w:rFonts w:ascii="Arial" w:hAnsi="Arial" w:cs="Arial"/>
        </w:rPr>
        <w:t>Efficiency has significantly deteriorated:</w:t>
      </w:r>
    </w:p>
    <w:p w14:paraId="4D56D7FE" w14:textId="77777777" w:rsidR="00A15527" w:rsidRPr="00A15527" w:rsidRDefault="00A15527" w:rsidP="00A15527">
      <w:pPr>
        <w:numPr>
          <w:ilvl w:val="0"/>
          <w:numId w:val="3"/>
        </w:numPr>
        <w:rPr>
          <w:rFonts w:ascii="Arial" w:hAnsi="Arial" w:cs="Arial"/>
        </w:rPr>
      </w:pPr>
      <w:r w:rsidRPr="00A15527">
        <w:rPr>
          <w:rFonts w:ascii="Arial" w:hAnsi="Arial" w:cs="Arial"/>
        </w:rPr>
        <w:t>Receivables days increased to 105 days → customers are taking longer to pay, creating cash flow strain.</w:t>
      </w:r>
    </w:p>
    <w:p w14:paraId="17A8FBF9" w14:textId="77777777" w:rsidR="00A15527" w:rsidRPr="00A15527" w:rsidRDefault="00A15527" w:rsidP="00A15527">
      <w:pPr>
        <w:numPr>
          <w:ilvl w:val="0"/>
          <w:numId w:val="3"/>
        </w:numPr>
        <w:rPr>
          <w:rFonts w:ascii="Arial" w:hAnsi="Arial" w:cs="Arial"/>
        </w:rPr>
      </w:pPr>
      <w:r w:rsidRPr="00A15527">
        <w:rPr>
          <w:rFonts w:ascii="Arial" w:hAnsi="Arial" w:cs="Arial"/>
        </w:rPr>
        <w:t>Inventory turnover weakened → possible overproduction, slow-moving stock or obsolete items.</w:t>
      </w:r>
    </w:p>
    <w:p w14:paraId="48D74AFC" w14:textId="77777777" w:rsidR="00A15527" w:rsidRPr="00A15527" w:rsidRDefault="00A15527" w:rsidP="00A15527">
      <w:pPr>
        <w:numPr>
          <w:ilvl w:val="0"/>
          <w:numId w:val="3"/>
        </w:numPr>
        <w:rPr>
          <w:rFonts w:ascii="Arial" w:hAnsi="Arial" w:cs="Arial"/>
        </w:rPr>
      </w:pPr>
      <w:r w:rsidRPr="00A15527">
        <w:rPr>
          <w:rFonts w:ascii="Arial" w:hAnsi="Arial" w:cs="Arial"/>
        </w:rPr>
        <w:t xml:space="preserve">Payables days reduced → GE is paying suppliers faster despite weakened liquidity, possibly due to supplier tightening or loss of </w:t>
      </w:r>
      <w:proofErr w:type="spellStart"/>
      <w:r w:rsidRPr="00A15527">
        <w:rPr>
          <w:rFonts w:ascii="Arial" w:hAnsi="Arial" w:cs="Arial"/>
        </w:rPr>
        <w:t>negotiational</w:t>
      </w:r>
      <w:proofErr w:type="spellEnd"/>
      <w:r w:rsidRPr="00A15527">
        <w:rPr>
          <w:rFonts w:ascii="Arial" w:hAnsi="Arial" w:cs="Arial"/>
        </w:rPr>
        <w:t xml:space="preserve"> leverage.</w:t>
      </w:r>
    </w:p>
    <w:p w14:paraId="066482FC" w14:textId="77777777" w:rsidR="00A15527" w:rsidRPr="00A15527" w:rsidRDefault="00A15527" w:rsidP="00A15527">
      <w:pPr>
        <w:rPr>
          <w:rFonts w:ascii="Arial" w:hAnsi="Arial" w:cs="Arial"/>
        </w:rPr>
      </w:pPr>
      <w:r w:rsidRPr="00A15527">
        <w:rPr>
          <w:rFonts w:ascii="Arial" w:hAnsi="Arial" w:cs="Arial"/>
        </w:rPr>
        <w:t>These inefficiencies extend the cash operating cycle (COC), meaning more cash is tied in operations for longer periods, weakening liquidity.</w:t>
      </w:r>
    </w:p>
    <w:p w14:paraId="5901C46E" w14:textId="2D802151" w:rsidR="00A15527" w:rsidRPr="00A15527" w:rsidRDefault="00A15527" w:rsidP="00A15527">
      <w:pPr>
        <w:rPr>
          <w:rFonts w:ascii="Arial" w:hAnsi="Arial" w:cs="Arial"/>
        </w:rPr>
      </w:pPr>
    </w:p>
    <w:p w14:paraId="33D9835B" w14:textId="77777777" w:rsidR="00A15527" w:rsidRPr="00A15527" w:rsidRDefault="00A15527" w:rsidP="00A15527">
      <w:pPr>
        <w:rPr>
          <w:rFonts w:ascii="Arial" w:hAnsi="Arial" w:cs="Arial"/>
          <w:b/>
          <w:bCs/>
        </w:rPr>
      </w:pPr>
      <w:r w:rsidRPr="00A15527">
        <w:rPr>
          <w:rFonts w:ascii="Arial" w:hAnsi="Arial" w:cs="Arial"/>
          <w:b/>
          <w:bCs/>
        </w:rPr>
        <w:t>2.6 Gearing, Solvency and Financial Risk</w:t>
      </w:r>
    </w:p>
    <w:p w14:paraId="3A911A44" w14:textId="77777777" w:rsidR="00A15527" w:rsidRPr="00A15527" w:rsidRDefault="00A15527" w:rsidP="00A15527">
      <w:pPr>
        <w:rPr>
          <w:rFonts w:ascii="Arial" w:hAnsi="Arial" w:cs="Arial"/>
        </w:rPr>
      </w:pPr>
      <w:r w:rsidRPr="00A15527">
        <w:rPr>
          <w:rFonts w:ascii="Arial" w:hAnsi="Arial" w:cs="Arial"/>
        </w:rPr>
        <w:t>GE’s debt-to-equity ratio rose from 0.63 to 1.11, indicating increasing reliance on debt financing. At the same time, equity has shrunk due to accumulated losses. The company’s interest coverage ratio became negative in 2023 and 2024, demonstrating inability to meet interest obligations from operating profit.</w:t>
      </w:r>
    </w:p>
    <w:p w14:paraId="6BA9853B" w14:textId="77777777" w:rsidR="00A15527" w:rsidRPr="00A15527" w:rsidRDefault="00A15527" w:rsidP="00A15527">
      <w:pPr>
        <w:rPr>
          <w:rFonts w:ascii="Arial" w:hAnsi="Arial" w:cs="Arial"/>
        </w:rPr>
      </w:pPr>
      <w:r w:rsidRPr="00A15527">
        <w:rPr>
          <w:rFonts w:ascii="Arial" w:hAnsi="Arial" w:cs="Arial"/>
        </w:rPr>
        <w:t>This creates a solvency risk, reduces creditworthiness and restricts strategic flexibility.</w:t>
      </w:r>
    </w:p>
    <w:p w14:paraId="6169232A" w14:textId="278AFB04" w:rsidR="00A15527" w:rsidRPr="00A15527" w:rsidRDefault="00A15527" w:rsidP="00A15527">
      <w:pPr>
        <w:rPr>
          <w:rFonts w:ascii="Arial" w:hAnsi="Arial" w:cs="Arial"/>
        </w:rPr>
      </w:pPr>
    </w:p>
    <w:p w14:paraId="1976F07B" w14:textId="77777777" w:rsidR="00A15527" w:rsidRPr="00A15527" w:rsidRDefault="00A15527" w:rsidP="00A15527">
      <w:pPr>
        <w:rPr>
          <w:rFonts w:ascii="Arial" w:hAnsi="Arial" w:cs="Arial"/>
          <w:b/>
          <w:bCs/>
        </w:rPr>
      </w:pPr>
      <w:r w:rsidRPr="00A15527">
        <w:rPr>
          <w:rFonts w:ascii="Arial" w:hAnsi="Arial" w:cs="Arial"/>
          <w:b/>
          <w:bCs/>
        </w:rPr>
        <w:t>2.7 Cash Flow Analysis</w:t>
      </w:r>
    </w:p>
    <w:p w14:paraId="02F45995" w14:textId="77777777" w:rsidR="00A15527" w:rsidRPr="00A15527" w:rsidRDefault="00A15527" w:rsidP="00A15527">
      <w:pPr>
        <w:rPr>
          <w:rFonts w:ascii="Arial" w:hAnsi="Arial" w:cs="Arial"/>
        </w:rPr>
      </w:pPr>
      <w:r w:rsidRPr="00A15527">
        <w:rPr>
          <w:rFonts w:ascii="Arial" w:hAnsi="Arial" w:cs="Arial"/>
        </w:rPr>
        <w:lastRenderedPageBreak/>
        <w:t>Despite losses, GE generated positive operating cash flow across all five years. In 2023, CFO was £25bn, dropping to £14bn in 2024. This suggests the core business still has strong cash generation potential, likely due to non-cash expenses (e.g., depreciation) and long payment cycles rather than true operational success.</w:t>
      </w:r>
    </w:p>
    <w:p w14:paraId="731D53C3" w14:textId="77777777" w:rsidR="00A15527" w:rsidRPr="00A15527" w:rsidRDefault="00A15527" w:rsidP="00A15527">
      <w:pPr>
        <w:rPr>
          <w:rFonts w:ascii="Arial" w:hAnsi="Arial" w:cs="Arial"/>
        </w:rPr>
      </w:pPr>
      <w:r w:rsidRPr="00A15527">
        <w:rPr>
          <w:rFonts w:ascii="Arial" w:hAnsi="Arial" w:cs="Arial"/>
        </w:rPr>
        <w:t>Investing cash flows were consistently negative, mainly from capital expenditures. Financing cash flows show heavy reliance on credit lines combined with share buybacks in earlier years—actions misaligned with weakening performance. Heavy buybacks drained liquidity at the worst possible time.</w:t>
      </w:r>
    </w:p>
    <w:p w14:paraId="4723473E" w14:textId="19CC9316" w:rsidR="00A15527" w:rsidRPr="00A15527" w:rsidRDefault="00A15527" w:rsidP="00A15527">
      <w:pPr>
        <w:rPr>
          <w:rFonts w:ascii="Arial" w:hAnsi="Arial" w:cs="Arial"/>
        </w:rPr>
      </w:pPr>
    </w:p>
    <w:p w14:paraId="2F70F98E" w14:textId="77777777" w:rsidR="00A15527" w:rsidRPr="00A15527" w:rsidRDefault="00A15527" w:rsidP="00A15527">
      <w:pPr>
        <w:rPr>
          <w:rFonts w:ascii="Arial" w:hAnsi="Arial" w:cs="Arial"/>
          <w:b/>
          <w:bCs/>
        </w:rPr>
      </w:pPr>
      <w:r w:rsidRPr="00A15527">
        <w:rPr>
          <w:rFonts w:ascii="Arial" w:hAnsi="Arial" w:cs="Arial"/>
          <w:b/>
          <w:bCs/>
        </w:rPr>
        <w:t>2.8 Corporate Failure Prediction: Altman Z-Score</w:t>
      </w:r>
    </w:p>
    <w:p w14:paraId="1C2282DF" w14:textId="77777777" w:rsidR="00A15527" w:rsidRPr="00A15527" w:rsidRDefault="00A15527" w:rsidP="00A15527">
      <w:pPr>
        <w:rPr>
          <w:rFonts w:ascii="Arial" w:hAnsi="Arial" w:cs="Arial"/>
        </w:rPr>
      </w:pPr>
      <w:r w:rsidRPr="00A15527">
        <w:rPr>
          <w:rFonts w:ascii="Arial" w:hAnsi="Arial" w:cs="Arial"/>
        </w:rPr>
        <w:t>A condensed Z-Score calculation (full version would exceed word limit):</w:t>
      </w:r>
    </w:p>
    <w:p w14:paraId="73036705" w14:textId="77777777" w:rsidR="00A15527" w:rsidRPr="00A15527" w:rsidRDefault="00A15527" w:rsidP="00A15527">
      <w:pPr>
        <w:numPr>
          <w:ilvl w:val="0"/>
          <w:numId w:val="4"/>
        </w:numPr>
        <w:rPr>
          <w:rFonts w:ascii="Arial" w:hAnsi="Arial" w:cs="Arial"/>
        </w:rPr>
      </w:pPr>
      <w:r w:rsidRPr="00A15527">
        <w:rPr>
          <w:rFonts w:ascii="Arial" w:hAnsi="Arial" w:cs="Arial"/>
        </w:rPr>
        <w:t>Working Capital / Total Assets: low and declining</w:t>
      </w:r>
    </w:p>
    <w:p w14:paraId="64942BFE" w14:textId="77777777" w:rsidR="00A15527" w:rsidRPr="00A15527" w:rsidRDefault="00A15527" w:rsidP="00A15527">
      <w:pPr>
        <w:numPr>
          <w:ilvl w:val="0"/>
          <w:numId w:val="4"/>
        </w:numPr>
        <w:rPr>
          <w:rFonts w:ascii="Arial" w:hAnsi="Arial" w:cs="Arial"/>
        </w:rPr>
      </w:pPr>
      <w:r w:rsidRPr="00A15527">
        <w:rPr>
          <w:rFonts w:ascii="Arial" w:hAnsi="Arial" w:cs="Arial"/>
        </w:rPr>
        <w:t>Retained Earnings / Total Assets: falling sharply</w:t>
      </w:r>
    </w:p>
    <w:p w14:paraId="23688ECF" w14:textId="77777777" w:rsidR="00A15527" w:rsidRPr="00A15527" w:rsidRDefault="00A15527" w:rsidP="00A15527">
      <w:pPr>
        <w:numPr>
          <w:ilvl w:val="0"/>
          <w:numId w:val="4"/>
        </w:numPr>
        <w:rPr>
          <w:rFonts w:ascii="Arial" w:hAnsi="Arial" w:cs="Arial"/>
        </w:rPr>
      </w:pPr>
      <w:r w:rsidRPr="00A15527">
        <w:rPr>
          <w:rFonts w:ascii="Arial" w:hAnsi="Arial" w:cs="Arial"/>
        </w:rPr>
        <w:t>EBIT / Total Assets: negative in 2023–2024</w:t>
      </w:r>
    </w:p>
    <w:p w14:paraId="7D3B6560" w14:textId="77777777" w:rsidR="00A15527" w:rsidRPr="00A15527" w:rsidRDefault="00A15527" w:rsidP="00A15527">
      <w:pPr>
        <w:numPr>
          <w:ilvl w:val="0"/>
          <w:numId w:val="4"/>
        </w:numPr>
        <w:rPr>
          <w:rFonts w:ascii="Arial" w:hAnsi="Arial" w:cs="Arial"/>
        </w:rPr>
      </w:pPr>
      <w:r w:rsidRPr="00A15527">
        <w:rPr>
          <w:rFonts w:ascii="Arial" w:hAnsi="Arial" w:cs="Arial"/>
        </w:rPr>
        <w:t>Market Value of Equity / Liabilities: sharply reduced</w:t>
      </w:r>
    </w:p>
    <w:p w14:paraId="6AAD0D55" w14:textId="77777777" w:rsidR="00A15527" w:rsidRPr="00A15527" w:rsidRDefault="00A15527" w:rsidP="00A15527">
      <w:pPr>
        <w:numPr>
          <w:ilvl w:val="0"/>
          <w:numId w:val="4"/>
        </w:numPr>
        <w:rPr>
          <w:rFonts w:ascii="Arial" w:hAnsi="Arial" w:cs="Arial"/>
        </w:rPr>
      </w:pPr>
      <w:r w:rsidRPr="00A15527">
        <w:rPr>
          <w:rFonts w:ascii="Arial" w:hAnsi="Arial" w:cs="Arial"/>
        </w:rPr>
        <w:t>Sales / Total Assets: declining trend</w:t>
      </w:r>
    </w:p>
    <w:p w14:paraId="0BE560A8" w14:textId="77777777" w:rsidR="00A15527" w:rsidRPr="00A15527" w:rsidRDefault="00A15527" w:rsidP="00A15527">
      <w:pPr>
        <w:rPr>
          <w:rFonts w:ascii="Arial" w:hAnsi="Arial" w:cs="Arial"/>
        </w:rPr>
      </w:pPr>
      <w:r w:rsidRPr="00A15527">
        <w:rPr>
          <w:rFonts w:ascii="Arial" w:hAnsi="Arial" w:cs="Arial"/>
        </w:rPr>
        <w:t xml:space="preserve">These components yield an estimated Z-Score below </w:t>
      </w:r>
      <w:r w:rsidRPr="00A15527">
        <w:rPr>
          <w:rFonts w:ascii="Arial" w:hAnsi="Arial" w:cs="Arial"/>
          <w:b/>
          <w:bCs/>
        </w:rPr>
        <w:t>1.8</w:t>
      </w:r>
      <w:r w:rsidRPr="00A15527">
        <w:rPr>
          <w:rFonts w:ascii="Arial" w:hAnsi="Arial" w:cs="Arial"/>
        </w:rPr>
        <w:t>, placing GE inside the “distress zone” (Altman, 2013).</w:t>
      </w:r>
    </w:p>
    <w:p w14:paraId="79B9BA49" w14:textId="5833632C" w:rsidR="00A15527" w:rsidRPr="00A15527" w:rsidRDefault="00A15527" w:rsidP="00A15527">
      <w:pPr>
        <w:rPr>
          <w:rFonts w:ascii="Arial" w:hAnsi="Arial" w:cs="Arial"/>
        </w:rPr>
      </w:pPr>
    </w:p>
    <w:p w14:paraId="652C77A1" w14:textId="77777777" w:rsidR="00A15527" w:rsidRPr="00A15527" w:rsidRDefault="00A15527" w:rsidP="00A15527">
      <w:pPr>
        <w:rPr>
          <w:rFonts w:ascii="Arial" w:hAnsi="Arial" w:cs="Arial"/>
          <w:b/>
          <w:bCs/>
        </w:rPr>
      </w:pPr>
      <w:r w:rsidRPr="00A15527">
        <w:rPr>
          <w:rFonts w:ascii="Arial" w:hAnsi="Arial" w:cs="Arial"/>
          <w:b/>
          <w:bCs/>
        </w:rPr>
        <w:t>2.9 Financial Health Summary</w:t>
      </w:r>
    </w:p>
    <w:p w14:paraId="75F65817" w14:textId="77777777" w:rsidR="00A15527" w:rsidRPr="00A15527" w:rsidRDefault="00A15527" w:rsidP="00A15527">
      <w:pPr>
        <w:rPr>
          <w:rFonts w:ascii="Arial" w:hAnsi="Arial" w:cs="Arial"/>
        </w:rPr>
      </w:pPr>
      <w:r w:rsidRPr="00A15527">
        <w:rPr>
          <w:rFonts w:ascii="Arial" w:hAnsi="Arial" w:cs="Arial"/>
          <w:b/>
          <w:bCs/>
        </w:rPr>
        <w:t>Strengths:</w:t>
      </w:r>
    </w:p>
    <w:p w14:paraId="069E6D2F" w14:textId="77777777" w:rsidR="00A15527" w:rsidRPr="00A15527" w:rsidRDefault="00A15527" w:rsidP="00A15527">
      <w:pPr>
        <w:numPr>
          <w:ilvl w:val="0"/>
          <w:numId w:val="5"/>
        </w:numPr>
        <w:rPr>
          <w:rFonts w:ascii="Arial" w:hAnsi="Arial" w:cs="Arial"/>
        </w:rPr>
      </w:pPr>
      <w:r w:rsidRPr="00A15527">
        <w:rPr>
          <w:rFonts w:ascii="Arial" w:hAnsi="Arial" w:cs="Arial"/>
        </w:rPr>
        <w:t>Positive operating cash flows</w:t>
      </w:r>
    </w:p>
    <w:p w14:paraId="06CF5D40" w14:textId="77777777" w:rsidR="00A15527" w:rsidRPr="00A15527" w:rsidRDefault="00A15527" w:rsidP="00A15527">
      <w:pPr>
        <w:numPr>
          <w:ilvl w:val="0"/>
          <w:numId w:val="5"/>
        </w:numPr>
        <w:rPr>
          <w:rFonts w:ascii="Arial" w:hAnsi="Arial" w:cs="Arial"/>
        </w:rPr>
      </w:pPr>
      <w:r w:rsidRPr="00A15527">
        <w:rPr>
          <w:rFonts w:ascii="Arial" w:hAnsi="Arial" w:cs="Arial"/>
        </w:rPr>
        <w:t>Improved gross margins in 2024</w:t>
      </w:r>
    </w:p>
    <w:p w14:paraId="5C390410" w14:textId="77777777" w:rsidR="00A15527" w:rsidRPr="00A15527" w:rsidRDefault="00A15527" w:rsidP="00A15527">
      <w:pPr>
        <w:numPr>
          <w:ilvl w:val="0"/>
          <w:numId w:val="5"/>
        </w:numPr>
        <w:rPr>
          <w:rFonts w:ascii="Arial" w:hAnsi="Arial" w:cs="Arial"/>
        </w:rPr>
      </w:pPr>
      <w:r w:rsidRPr="00A15527">
        <w:rPr>
          <w:rFonts w:ascii="Arial" w:hAnsi="Arial" w:cs="Arial"/>
        </w:rPr>
        <w:t>Large asset base that can be restructured</w:t>
      </w:r>
    </w:p>
    <w:p w14:paraId="125DD346" w14:textId="77777777" w:rsidR="00A15527" w:rsidRPr="00A15527" w:rsidRDefault="00A15527" w:rsidP="00A15527">
      <w:pPr>
        <w:rPr>
          <w:rFonts w:ascii="Arial" w:hAnsi="Arial" w:cs="Arial"/>
        </w:rPr>
      </w:pPr>
      <w:r w:rsidRPr="00A15527">
        <w:rPr>
          <w:rFonts w:ascii="Arial" w:hAnsi="Arial" w:cs="Arial"/>
          <w:b/>
          <w:bCs/>
        </w:rPr>
        <w:t>Weaknesses:</w:t>
      </w:r>
    </w:p>
    <w:p w14:paraId="347EE8C4" w14:textId="77777777" w:rsidR="00A15527" w:rsidRPr="00A15527" w:rsidRDefault="00A15527" w:rsidP="00A15527">
      <w:pPr>
        <w:numPr>
          <w:ilvl w:val="0"/>
          <w:numId w:val="6"/>
        </w:numPr>
        <w:rPr>
          <w:rFonts w:ascii="Arial" w:hAnsi="Arial" w:cs="Arial"/>
        </w:rPr>
      </w:pPr>
      <w:r w:rsidRPr="00A15527">
        <w:rPr>
          <w:rFonts w:ascii="Arial" w:hAnsi="Arial" w:cs="Arial"/>
        </w:rPr>
        <w:t>Persistent losses</w:t>
      </w:r>
    </w:p>
    <w:p w14:paraId="03B473DC" w14:textId="77777777" w:rsidR="00A15527" w:rsidRPr="00A15527" w:rsidRDefault="00A15527" w:rsidP="00A15527">
      <w:pPr>
        <w:numPr>
          <w:ilvl w:val="0"/>
          <w:numId w:val="6"/>
        </w:numPr>
        <w:rPr>
          <w:rFonts w:ascii="Arial" w:hAnsi="Arial" w:cs="Arial"/>
        </w:rPr>
      </w:pPr>
      <w:r w:rsidRPr="00A15527">
        <w:rPr>
          <w:rFonts w:ascii="Arial" w:hAnsi="Arial" w:cs="Arial"/>
        </w:rPr>
        <w:t>Declining liquidity and cash reserves</w:t>
      </w:r>
    </w:p>
    <w:p w14:paraId="3CCD6B6E" w14:textId="77777777" w:rsidR="00A15527" w:rsidRPr="00A15527" w:rsidRDefault="00A15527" w:rsidP="00A15527">
      <w:pPr>
        <w:numPr>
          <w:ilvl w:val="0"/>
          <w:numId w:val="6"/>
        </w:numPr>
        <w:rPr>
          <w:rFonts w:ascii="Arial" w:hAnsi="Arial" w:cs="Arial"/>
        </w:rPr>
      </w:pPr>
      <w:r w:rsidRPr="00A15527">
        <w:rPr>
          <w:rFonts w:ascii="Arial" w:hAnsi="Arial" w:cs="Arial"/>
        </w:rPr>
        <w:t>Negative interest coverage</w:t>
      </w:r>
    </w:p>
    <w:p w14:paraId="2F9F30C1" w14:textId="77777777" w:rsidR="00A15527" w:rsidRPr="00A15527" w:rsidRDefault="00A15527" w:rsidP="00A15527">
      <w:pPr>
        <w:numPr>
          <w:ilvl w:val="0"/>
          <w:numId w:val="6"/>
        </w:numPr>
        <w:rPr>
          <w:rFonts w:ascii="Arial" w:hAnsi="Arial" w:cs="Arial"/>
        </w:rPr>
      </w:pPr>
      <w:r w:rsidRPr="00A15527">
        <w:rPr>
          <w:rFonts w:ascii="Arial" w:hAnsi="Arial" w:cs="Arial"/>
        </w:rPr>
        <w:t>Weak inventory and receivables management</w:t>
      </w:r>
    </w:p>
    <w:p w14:paraId="091E3522" w14:textId="77777777" w:rsidR="00A15527" w:rsidRPr="00A15527" w:rsidRDefault="00A15527" w:rsidP="00A15527">
      <w:pPr>
        <w:rPr>
          <w:rFonts w:ascii="Arial" w:hAnsi="Arial" w:cs="Arial"/>
        </w:rPr>
      </w:pPr>
      <w:r w:rsidRPr="00A15527">
        <w:rPr>
          <w:rFonts w:ascii="Arial" w:hAnsi="Arial" w:cs="Arial"/>
          <w:b/>
          <w:bCs/>
        </w:rPr>
        <w:t>Threats:</w:t>
      </w:r>
    </w:p>
    <w:p w14:paraId="66E904BC" w14:textId="77777777" w:rsidR="00A15527" w:rsidRPr="00A15527" w:rsidRDefault="00A15527" w:rsidP="00A15527">
      <w:pPr>
        <w:numPr>
          <w:ilvl w:val="0"/>
          <w:numId w:val="7"/>
        </w:numPr>
        <w:rPr>
          <w:rFonts w:ascii="Arial" w:hAnsi="Arial" w:cs="Arial"/>
        </w:rPr>
      </w:pPr>
      <w:r w:rsidRPr="00A15527">
        <w:rPr>
          <w:rFonts w:ascii="Arial" w:hAnsi="Arial" w:cs="Arial"/>
        </w:rPr>
        <w:t>Bankruptcy probability is high</w:t>
      </w:r>
    </w:p>
    <w:p w14:paraId="146780A8" w14:textId="77777777" w:rsidR="00A15527" w:rsidRPr="00A15527" w:rsidRDefault="00A15527" w:rsidP="00A15527">
      <w:pPr>
        <w:numPr>
          <w:ilvl w:val="0"/>
          <w:numId w:val="7"/>
        </w:numPr>
        <w:rPr>
          <w:rFonts w:ascii="Arial" w:hAnsi="Arial" w:cs="Arial"/>
        </w:rPr>
      </w:pPr>
      <w:r w:rsidRPr="00A15527">
        <w:rPr>
          <w:rFonts w:ascii="Arial" w:hAnsi="Arial" w:cs="Arial"/>
        </w:rPr>
        <w:t>Competitive pressures and fast-changing technology</w:t>
      </w:r>
    </w:p>
    <w:p w14:paraId="61BF7722" w14:textId="77777777" w:rsidR="00A15527" w:rsidRPr="00A15527" w:rsidRDefault="00A15527" w:rsidP="00A15527">
      <w:pPr>
        <w:numPr>
          <w:ilvl w:val="0"/>
          <w:numId w:val="7"/>
        </w:numPr>
        <w:rPr>
          <w:rFonts w:ascii="Arial" w:hAnsi="Arial" w:cs="Arial"/>
        </w:rPr>
      </w:pPr>
      <w:r w:rsidRPr="00A15527">
        <w:rPr>
          <w:rFonts w:ascii="Arial" w:hAnsi="Arial" w:cs="Arial"/>
        </w:rPr>
        <w:t>Declining investor confidence</w:t>
      </w:r>
    </w:p>
    <w:p w14:paraId="094A45D8" w14:textId="77777777" w:rsidR="00A15527" w:rsidRPr="00A15527" w:rsidRDefault="00A15527" w:rsidP="00A15527">
      <w:pPr>
        <w:rPr>
          <w:rFonts w:ascii="Arial" w:hAnsi="Arial" w:cs="Arial"/>
        </w:rPr>
      </w:pPr>
      <w:r w:rsidRPr="00A15527">
        <w:rPr>
          <w:rFonts w:ascii="Arial" w:hAnsi="Arial" w:cs="Arial"/>
          <w:b/>
          <w:bCs/>
        </w:rPr>
        <w:t>Overall assessment: GE is in deep financial distress but still salvageable if decisive turnaround measures are implemented.</w:t>
      </w:r>
    </w:p>
    <w:p w14:paraId="016637EE" w14:textId="467060F5" w:rsidR="00A15527" w:rsidRPr="00A15527" w:rsidRDefault="00A15527" w:rsidP="00A15527">
      <w:pPr>
        <w:rPr>
          <w:rFonts w:ascii="Arial" w:hAnsi="Arial" w:cs="Arial"/>
        </w:rPr>
      </w:pPr>
    </w:p>
    <w:p w14:paraId="497C4B60" w14:textId="59624CA8" w:rsidR="00A15527" w:rsidRPr="00A15527" w:rsidRDefault="00A15527" w:rsidP="00A15527">
      <w:pPr>
        <w:rPr>
          <w:rFonts w:ascii="Arial" w:hAnsi="Arial" w:cs="Arial"/>
          <w:b/>
          <w:bCs/>
        </w:rPr>
      </w:pPr>
      <w:r w:rsidRPr="00A15527">
        <w:rPr>
          <w:rFonts w:ascii="Arial" w:hAnsi="Arial" w:cs="Arial"/>
          <w:b/>
          <w:bCs/>
        </w:rPr>
        <w:t xml:space="preserve">3. Working Capital Management Analysis </w:t>
      </w:r>
    </w:p>
    <w:p w14:paraId="40647845" w14:textId="77777777" w:rsidR="00A15527" w:rsidRPr="00A15527" w:rsidRDefault="00A15527" w:rsidP="00A15527">
      <w:pPr>
        <w:rPr>
          <w:rFonts w:ascii="Arial" w:hAnsi="Arial" w:cs="Arial"/>
          <w:b/>
          <w:bCs/>
        </w:rPr>
      </w:pPr>
      <w:r w:rsidRPr="00A15527">
        <w:rPr>
          <w:rFonts w:ascii="Arial" w:hAnsi="Arial" w:cs="Arial"/>
          <w:b/>
          <w:bCs/>
        </w:rPr>
        <w:t>3.1 Cash Operating Cycle (COC)</w:t>
      </w:r>
    </w:p>
    <w:p w14:paraId="6966BE90" w14:textId="77777777" w:rsidR="00A15527" w:rsidRPr="00A15527" w:rsidRDefault="00A15527" w:rsidP="00A15527">
      <w:pPr>
        <w:rPr>
          <w:rFonts w:ascii="Arial" w:hAnsi="Arial" w:cs="Arial"/>
        </w:rPr>
      </w:pPr>
      <w:r w:rsidRPr="00A15527">
        <w:rPr>
          <w:rFonts w:ascii="Arial" w:hAnsi="Arial" w:cs="Arial"/>
        </w:rPr>
        <w:t>The COC measures how long cash is tied in operations:</w:t>
      </w:r>
    </w:p>
    <w:p w14:paraId="25A98FCD" w14:textId="77777777" w:rsidR="00A15527" w:rsidRPr="00A15527" w:rsidRDefault="00A15527" w:rsidP="00A15527">
      <w:pPr>
        <w:rPr>
          <w:rFonts w:ascii="Arial" w:hAnsi="Arial" w:cs="Arial"/>
        </w:rPr>
      </w:pPr>
      <w:r w:rsidRPr="00A15527">
        <w:rPr>
          <w:rFonts w:ascii="Arial" w:hAnsi="Arial" w:cs="Arial"/>
          <w:b/>
          <w:bCs/>
        </w:rPr>
        <w:t>COC = Inventory Days + Receivables Days – Payables Days</w:t>
      </w:r>
    </w:p>
    <w:p w14:paraId="74FE7E1E" w14:textId="77777777" w:rsidR="00A15527" w:rsidRPr="00A15527" w:rsidRDefault="00A15527" w:rsidP="00A15527">
      <w:pPr>
        <w:rPr>
          <w:rFonts w:ascii="Arial" w:hAnsi="Arial" w:cs="Arial"/>
        </w:rPr>
      </w:pPr>
      <w:r w:rsidRPr="00A15527">
        <w:rPr>
          <w:rFonts w:ascii="Arial" w:hAnsi="Arial" w:cs="Arial"/>
        </w:rPr>
        <w:t>Estimated: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
        <w:gridCol w:w="1638"/>
        <w:gridCol w:w="1920"/>
        <w:gridCol w:w="1602"/>
        <w:gridCol w:w="968"/>
      </w:tblGrid>
      <w:tr w:rsidR="00A15527" w:rsidRPr="00A15527" w14:paraId="4D08ACF8" w14:textId="77777777">
        <w:trPr>
          <w:tblHeader/>
          <w:tblCellSpacing w:w="15" w:type="dxa"/>
        </w:trPr>
        <w:tc>
          <w:tcPr>
            <w:tcW w:w="0" w:type="auto"/>
            <w:vAlign w:val="center"/>
            <w:hideMark/>
          </w:tcPr>
          <w:p w14:paraId="62392C26" w14:textId="77777777" w:rsidR="00A15527" w:rsidRPr="00A15527" w:rsidRDefault="00A15527" w:rsidP="00A15527">
            <w:pPr>
              <w:rPr>
                <w:rFonts w:ascii="Arial" w:hAnsi="Arial" w:cs="Arial"/>
                <w:b/>
                <w:bCs/>
              </w:rPr>
            </w:pPr>
            <w:r w:rsidRPr="00A15527">
              <w:rPr>
                <w:rFonts w:ascii="Arial" w:hAnsi="Arial" w:cs="Arial"/>
                <w:b/>
                <w:bCs/>
              </w:rPr>
              <w:t>Year</w:t>
            </w:r>
          </w:p>
        </w:tc>
        <w:tc>
          <w:tcPr>
            <w:tcW w:w="0" w:type="auto"/>
            <w:vAlign w:val="center"/>
            <w:hideMark/>
          </w:tcPr>
          <w:p w14:paraId="465F9355" w14:textId="77777777" w:rsidR="00A15527" w:rsidRPr="00A15527" w:rsidRDefault="00A15527" w:rsidP="00A15527">
            <w:pPr>
              <w:rPr>
                <w:rFonts w:ascii="Arial" w:hAnsi="Arial" w:cs="Arial"/>
                <w:b/>
                <w:bCs/>
              </w:rPr>
            </w:pPr>
            <w:r w:rsidRPr="00A15527">
              <w:rPr>
                <w:rFonts w:ascii="Arial" w:hAnsi="Arial" w:cs="Arial"/>
                <w:b/>
                <w:bCs/>
              </w:rPr>
              <w:t>Inventory Days</w:t>
            </w:r>
          </w:p>
        </w:tc>
        <w:tc>
          <w:tcPr>
            <w:tcW w:w="0" w:type="auto"/>
            <w:vAlign w:val="center"/>
            <w:hideMark/>
          </w:tcPr>
          <w:p w14:paraId="5BA40270" w14:textId="77777777" w:rsidR="00A15527" w:rsidRPr="00A15527" w:rsidRDefault="00A15527" w:rsidP="00A15527">
            <w:pPr>
              <w:rPr>
                <w:rFonts w:ascii="Arial" w:hAnsi="Arial" w:cs="Arial"/>
                <w:b/>
                <w:bCs/>
              </w:rPr>
            </w:pPr>
            <w:r w:rsidRPr="00A15527">
              <w:rPr>
                <w:rFonts w:ascii="Arial" w:hAnsi="Arial" w:cs="Arial"/>
                <w:b/>
                <w:bCs/>
              </w:rPr>
              <w:t>Receivables Days</w:t>
            </w:r>
          </w:p>
        </w:tc>
        <w:tc>
          <w:tcPr>
            <w:tcW w:w="0" w:type="auto"/>
            <w:vAlign w:val="center"/>
            <w:hideMark/>
          </w:tcPr>
          <w:p w14:paraId="3DFE655E" w14:textId="77777777" w:rsidR="00A15527" w:rsidRPr="00A15527" w:rsidRDefault="00A15527" w:rsidP="00A15527">
            <w:pPr>
              <w:rPr>
                <w:rFonts w:ascii="Arial" w:hAnsi="Arial" w:cs="Arial"/>
                <w:b/>
                <w:bCs/>
              </w:rPr>
            </w:pPr>
            <w:r w:rsidRPr="00A15527">
              <w:rPr>
                <w:rFonts w:ascii="Arial" w:hAnsi="Arial" w:cs="Arial"/>
                <w:b/>
                <w:bCs/>
              </w:rPr>
              <w:t>Payables Days</w:t>
            </w:r>
          </w:p>
        </w:tc>
        <w:tc>
          <w:tcPr>
            <w:tcW w:w="0" w:type="auto"/>
            <w:vAlign w:val="center"/>
            <w:hideMark/>
          </w:tcPr>
          <w:p w14:paraId="6383A974" w14:textId="77777777" w:rsidR="00A15527" w:rsidRPr="00A15527" w:rsidRDefault="00A15527" w:rsidP="00A15527">
            <w:pPr>
              <w:rPr>
                <w:rFonts w:ascii="Arial" w:hAnsi="Arial" w:cs="Arial"/>
                <w:b/>
                <w:bCs/>
              </w:rPr>
            </w:pPr>
            <w:r w:rsidRPr="00A15527">
              <w:rPr>
                <w:rFonts w:ascii="Arial" w:hAnsi="Arial" w:cs="Arial"/>
                <w:b/>
                <w:bCs/>
              </w:rPr>
              <w:t>COC</w:t>
            </w:r>
          </w:p>
        </w:tc>
      </w:tr>
      <w:tr w:rsidR="00A15527" w:rsidRPr="00A15527" w14:paraId="47D5C978" w14:textId="77777777">
        <w:trPr>
          <w:tblCellSpacing w:w="15" w:type="dxa"/>
        </w:trPr>
        <w:tc>
          <w:tcPr>
            <w:tcW w:w="0" w:type="auto"/>
            <w:vAlign w:val="center"/>
            <w:hideMark/>
          </w:tcPr>
          <w:p w14:paraId="60E07A29" w14:textId="77777777" w:rsidR="00A15527" w:rsidRPr="00A15527" w:rsidRDefault="00A15527" w:rsidP="00A15527">
            <w:pPr>
              <w:rPr>
                <w:rFonts w:ascii="Arial" w:hAnsi="Arial" w:cs="Arial"/>
              </w:rPr>
            </w:pPr>
            <w:r w:rsidRPr="00A15527">
              <w:rPr>
                <w:rFonts w:ascii="Arial" w:hAnsi="Arial" w:cs="Arial"/>
              </w:rPr>
              <w:t>2020</w:t>
            </w:r>
          </w:p>
        </w:tc>
        <w:tc>
          <w:tcPr>
            <w:tcW w:w="0" w:type="auto"/>
            <w:vAlign w:val="center"/>
            <w:hideMark/>
          </w:tcPr>
          <w:p w14:paraId="1EBB6F75" w14:textId="77777777" w:rsidR="00A15527" w:rsidRPr="00A15527" w:rsidRDefault="00A15527" w:rsidP="00A15527">
            <w:pPr>
              <w:rPr>
                <w:rFonts w:ascii="Arial" w:hAnsi="Arial" w:cs="Arial"/>
              </w:rPr>
            </w:pPr>
            <w:r w:rsidRPr="00A15527">
              <w:rPr>
                <w:rFonts w:ascii="Arial" w:hAnsi="Arial" w:cs="Arial"/>
              </w:rPr>
              <w:t>100</w:t>
            </w:r>
          </w:p>
        </w:tc>
        <w:tc>
          <w:tcPr>
            <w:tcW w:w="0" w:type="auto"/>
            <w:vAlign w:val="center"/>
            <w:hideMark/>
          </w:tcPr>
          <w:p w14:paraId="17AF98F3" w14:textId="77777777" w:rsidR="00A15527" w:rsidRPr="00A15527" w:rsidRDefault="00A15527" w:rsidP="00A15527">
            <w:pPr>
              <w:rPr>
                <w:rFonts w:ascii="Arial" w:hAnsi="Arial" w:cs="Arial"/>
              </w:rPr>
            </w:pPr>
            <w:r w:rsidRPr="00A15527">
              <w:rPr>
                <w:rFonts w:ascii="Arial" w:hAnsi="Arial" w:cs="Arial"/>
              </w:rPr>
              <w:t>76</w:t>
            </w:r>
          </w:p>
        </w:tc>
        <w:tc>
          <w:tcPr>
            <w:tcW w:w="0" w:type="auto"/>
            <w:vAlign w:val="center"/>
            <w:hideMark/>
          </w:tcPr>
          <w:p w14:paraId="468B53A8" w14:textId="77777777" w:rsidR="00A15527" w:rsidRPr="00A15527" w:rsidRDefault="00A15527" w:rsidP="00A15527">
            <w:pPr>
              <w:rPr>
                <w:rFonts w:ascii="Arial" w:hAnsi="Arial" w:cs="Arial"/>
              </w:rPr>
            </w:pPr>
            <w:r w:rsidRPr="00A15527">
              <w:rPr>
                <w:rFonts w:ascii="Arial" w:hAnsi="Arial" w:cs="Arial"/>
              </w:rPr>
              <w:t>69</w:t>
            </w:r>
          </w:p>
        </w:tc>
        <w:tc>
          <w:tcPr>
            <w:tcW w:w="0" w:type="auto"/>
            <w:vAlign w:val="center"/>
            <w:hideMark/>
          </w:tcPr>
          <w:p w14:paraId="6A152267" w14:textId="77777777" w:rsidR="00A15527" w:rsidRPr="00A15527" w:rsidRDefault="00A15527" w:rsidP="00A15527">
            <w:pPr>
              <w:rPr>
                <w:rFonts w:ascii="Arial" w:hAnsi="Arial" w:cs="Arial"/>
              </w:rPr>
            </w:pPr>
            <w:r w:rsidRPr="00A15527">
              <w:rPr>
                <w:rFonts w:ascii="Arial" w:hAnsi="Arial" w:cs="Arial"/>
              </w:rPr>
              <w:t>107 days</w:t>
            </w:r>
          </w:p>
        </w:tc>
      </w:tr>
      <w:tr w:rsidR="00A15527" w:rsidRPr="00A15527" w14:paraId="6442B8AA" w14:textId="77777777">
        <w:trPr>
          <w:tblCellSpacing w:w="15" w:type="dxa"/>
        </w:trPr>
        <w:tc>
          <w:tcPr>
            <w:tcW w:w="0" w:type="auto"/>
            <w:vAlign w:val="center"/>
            <w:hideMark/>
          </w:tcPr>
          <w:p w14:paraId="6F9EEAB1" w14:textId="77777777" w:rsidR="00A15527" w:rsidRPr="00A15527" w:rsidRDefault="00A15527" w:rsidP="00A15527">
            <w:pPr>
              <w:rPr>
                <w:rFonts w:ascii="Arial" w:hAnsi="Arial" w:cs="Arial"/>
              </w:rPr>
            </w:pPr>
            <w:r w:rsidRPr="00A15527">
              <w:rPr>
                <w:rFonts w:ascii="Arial" w:hAnsi="Arial" w:cs="Arial"/>
              </w:rPr>
              <w:t>2024</w:t>
            </w:r>
          </w:p>
        </w:tc>
        <w:tc>
          <w:tcPr>
            <w:tcW w:w="0" w:type="auto"/>
            <w:vAlign w:val="center"/>
            <w:hideMark/>
          </w:tcPr>
          <w:p w14:paraId="3E9E69EF" w14:textId="77777777" w:rsidR="00A15527" w:rsidRPr="00A15527" w:rsidRDefault="00A15527" w:rsidP="00A15527">
            <w:pPr>
              <w:rPr>
                <w:rFonts w:ascii="Arial" w:hAnsi="Arial" w:cs="Arial"/>
              </w:rPr>
            </w:pPr>
            <w:r w:rsidRPr="00A15527">
              <w:rPr>
                <w:rFonts w:ascii="Arial" w:hAnsi="Arial" w:cs="Arial"/>
              </w:rPr>
              <w:t>104</w:t>
            </w:r>
          </w:p>
        </w:tc>
        <w:tc>
          <w:tcPr>
            <w:tcW w:w="0" w:type="auto"/>
            <w:vAlign w:val="center"/>
            <w:hideMark/>
          </w:tcPr>
          <w:p w14:paraId="5E52C360" w14:textId="77777777" w:rsidR="00A15527" w:rsidRPr="00A15527" w:rsidRDefault="00A15527" w:rsidP="00A15527">
            <w:pPr>
              <w:rPr>
                <w:rFonts w:ascii="Arial" w:hAnsi="Arial" w:cs="Arial"/>
              </w:rPr>
            </w:pPr>
            <w:r w:rsidRPr="00A15527">
              <w:rPr>
                <w:rFonts w:ascii="Arial" w:hAnsi="Arial" w:cs="Arial"/>
              </w:rPr>
              <w:t>105</w:t>
            </w:r>
          </w:p>
        </w:tc>
        <w:tc>
          <w:tcPr>
            <w:tcW w:w="0" w:type="auto"/>
            <w:vAlign w:val="center"/>
            <w:hideMark/>
          </w:tcPr>
          <w:p w14:paraId="281E13A4" w14:textId="77777777" w:rsidR="00A15527" w:rsidRPr="00A15527" w:rsidRDefault="00A15527" w:rsidP="00A15527">
            <w:pPr>
              <w:rPr>
                <w:rFonts w:ascii="Arial" w:hAnsi="Arial" w:cs="Arial"/>
              </w:rPr>
            </w:pPr>
            <w:r w:rsidRPr="00A15527">
              <w:rPr>
                <w:rFonts w:ascii="Arial" w:hAnsi="Arial" w:cs="Arial"/>
              </w:rPr>
              <w:t>50</w:t>
            </w:r>
          </w:p>
        </w:tc>
        <w:tc>
          <w:tcPr>
            <w:tcW w:w="0" w:type="auto"/>
            <w:vAlign w:val="center"/>
            <w:hideMark/>
          </w:tcPr>
          <w:p w14:paraId="24E44549" w14:textId="77777777" w:rsidR="00A15527" w:rsidRPr="00A15527" w:rsidRDefault="00A15527" w:rsidP="00A15527">
            <w:pPr>
              <w:rPr>
                <w:rFonts w:ascii="Arial" w:hAnsi="Arial" w:cs="Arial"/>
              </w:rPr>
            </w:pPr>
            <w:r w:rsidRPr="00A15527">
              <w:rPr>
                <w:rFonts w:ascii="Arial" w:hAnsi="Arial" w:cs="Arial"/>
              </w:rPr>
              <w:t>159 days</w:t>
            </w:r>
          </w:p>
        </w:tc>
      </w:tr>
    </w:tbl>
    <w:p w14:paraId="6EB345F8" w14:textId="77777777" w:rsidR="00A15527" w:rsidRPr="00A15527" w:rsidRDefault="00A15527" w:rsidP="00A15527">
      <w:pPr>
        <w:rPr>
          <w:rFonts w:ascii="Arial" w:hAnsi="Arial" w:cs="Arial"/>
        </w:rPr>
      </w:pPr>
      <w:r w:rsidRPr="00A15527">
        <w:rPr>
          <w:rFonts w:ascii="Arial" w:hAnsi="Arial" w:cs="Arial"/>
        </w:rPr>
        <w:t xml:space="preserve">A worsening of over </w:t>
      </w:r>
      <w:r w:rsidRPr="00A15527">
        <w:rPr>
          <w:rFonts w:ascii="Arial" w:hAnsi="Arial" w:cs="Arial"/>
          <w:b/>
          <w:bCs/>
        </w:rPr>
        <w:t>50 days</w:t>
      </w:r>
      <w:r w:rsidRPr="00A15527">
        <w:rPr>
          <w:rFonts w:ascii="Arial" w:hAnsi="Arial" w:cs="Arial"/>
        </w:rPr>
        <w:t xml:space="preserve"> is damaging. Cash is tied up longer, reducing liquidity and increasing reliance on external borrowing.</w:t>
      </w:r>
    </w:p>
    <w:p w14:paraId="6E9030BB" w14:textId="604465E7" w:rsidR="00A15527" w:rsidRPr="00A15527" w:rsidRDefault="00A15527" w:rsidP="00A15527">
      <w:pPr>
        <w:rPr>
          <w:rFonts w:ascii="Arial" w:hAnsi="Arial" w:cs="Arial"/>
        </w:rPr>
      </w:pPr>
    </w:p>
    <w:p w14:paraId="2CAA56AB" w14:textId="77777777" w:rsidR="00A15527" w:rsidRPr="00A15527" w:rsidRDefault="00A15527" w:rsidP="00A15527">
      <w:pPr>
        <w:rPr>
          <w:rFonts w:ascii="Arial" w:hAnsi="Arial" w:cs="Arial"/>
          <w:b/>
          <w:bCs/>
        </w:rPr>
      </w:pPr>
      <w:r w:rsidRPr="00A15527">
        <w:rPr>
          <w:rFonts w:ascii="Arial" w:hAnsi="Arial" w:cs="Arial"/>
          <w:b/>
          <w:bCs/>
        </w:rPr>
        <w:t>3.2 Key Weaknesses in Working Capital</w:t>
      </w:r>
    </w:p>
    <w:p w14:paraId="1DCBA4C8" w14:textId="77777777" w:rsidR="00A15527" w:rsidRPr="00A15527" w:rsidRDefault="00A15527" w:rsidP="00A15527">
      <w:pPr>
        <w:rPr>
          <w:rFonts w:ascii="Arial" w:hAnsi="Arial" w:cs="Arial"/>
          <w:b/>
          <w:bCs/>
        </w:rPr>
      </w:pPr>
      <w:r w:rsidRPr="00A15527">
        <w:rPr>
          <w:rFonts w:ascii="Arial" w:hAnsi="Arial" w:cs="Arial"/>
          <w:b/>
          <w:bCs/>
        </w:rPr>
        <w:t>1. Excessive Inventory Levels</w:t>
      </w:r>
    </w:p>
    <w:p w14:paraId="287D4B26" w14:textId="77777777" w:rsidR="00A15527" w:rsidRPr="00A15527" w:rsidRDefault="00A15527" w:rsidP="00A15527">
      <w:pPr>
        <w:rPr>
          <w:rFonts w:ascii="Arial" w:hAnsi="Arial" w:cs="Arial"/>
        </w:rPr>
      </w:pPr>
      <w:r w:rsidRPr="00A15527">
        <w:rPr>
          <w:rFonts w:ascii="Arial" w:hAnsi="Arial" w:cs="Arial"/>
        </w:rPr>
        <w:t>The mismatch between inventory growth and declining revenue indicates inefficient production planning. Excess inventory increases storage costs, obsolescence risk and cash lock-in.</w:t>
      </w:r>
    </w:p>
    <w:p w14:paraId="69B8B703" w14:textId="77777777" w:rsidR="00A15527" w:rsidRPr="00A15527" w:rsidRDefault="00A15527" w:rsidP="00A15527">
      <w:pPr>
        <w:rPr>
          <w:rFonts w:ascii="Arial" w:hAnsi="Arial" w:cs="Arial"/>
          <w:b/>
          <w:bCs/>
        </w:rPr>
      </w:pPr>
      <w:r w:rsidRPr="00A15527">
        <w:rPr>
          <w:rFonts w:ascii="Arial" w:hAnsi="Arial" w:cs="Arial"/>
          <w:b/>
          <w:bCs/>
        </w:rPr>
        <w:t>2. Weak Receivables Control</w:t>
      </w:r>
    </w:p>
    <w:p w14:paraId="6E51CF7E" w14:textId="77777777" w:rsidR="00A15527" w:rsidRPr="00A15527" w:rsidRDefault="00A15527" w:rsidP="00A15527">
      <w:pPr>
        <w:rPr>
          <w:rFonts w:ascii="Arial" w:hAnsi="Arial" w:cs="Arial"/>
        </w:rPr>
      </w:pPr>
      <w:r w:rsidRPr="00A15527">
        <w:rPr>
          <w:rFonts w:ascii="Arial" w:hAnsi="Arial" w:cs="Arial"/>
        </w:rPr>
        <w:t>Receivables days rising to 105 days suggests weakened customer payment discipline. This is economically dangerous given the firm’s cash constraints.</w:t>
      </w:r>
    </w:p>
    <w:p w14:paraId="53921A12" w14:textId="77777777" w:rsidR="00A15527" w:rsidRPr="00A15527" w:rsidRDefault="00A15527" w:rsidP="00A15527">
      <w:pPr>
        <w:rPr>
          <w:rFonts w:ascii="Arial" w:hAnsi="Arial" w:cs="Arial"/>
          <w:b/>
          <w:bCs/>
        </w:rPr>
      </w:pPr>
      <w:r w:rsidRPr="00A15527">
        <w:rPr>
          <w:rFonts w:ascii="Arial" w:hAnsi="Arial" w:cs="Arial"/>
          <w:b/>
          <w:bCs/>
        </w:rPr>
        <w:t>3. Declining Payables Leverage</w:t>
      </w:r>
    </w:p>
    <w:p w14:paraId="26FF03C6" w14:textId="77777777" w:rsidR="00A15527" w:rsidRPr="00A15527" w:rsidRDefault="00A15527" w:rsidP="00A15527">
      <w:pPr>
        <w:rPr>
          <w:rFonts w:ascii="Arial" w:hAnsi="Arial" w:cs="Arial"/>
        </w:rPr>
      </w:pPr>
      <w:r w:rsidRPr="00A15527">
        <w:rPr>
          <w:rFonts w:ascii="Arial" w:hAnsi="Arial" w:cs="Arial"/>
        </w:rPr>
        <w:t>GE is paying suppliers earlier despite weakened liquidity. Suppliers may have tightened terms due to GE’s perceived risk.</w:t>
      </w:r>
    </w:p>
    <w:p w14:paraId="2040979A" w14:textId="77777777" w:rsidR="00A15527" w:rsidRPr="00A15527" w:rsidRDefault="00A15527" w:rsidP="00A15527">
      <w:pPr>
        <w:rPr>
          <w:rFonts w:ascii="Arial" w:hAnsi="Arial" w:cs="Arial"/>
          <w:b/>
          <w:bCs/>
        </w:rPr>
      </w:pPr>
      <w:r w:rsidRPr="00A15527">
        <w:rPr>
          <w:rFonts w:ascii="Arial" w:hAnsi="Arial" w:cs="Arial"/>
          <w:b/>
          <w:bCs/>
        </w:rPr>
        <w:t>4. Overreliance on Short-Term Borrowing</w:t>
      </w:r>
    </w:p>
    <w:p w14:paraId="6904AC29" w14:textId="77777777" w:rsidR="00A15527" w:rsidRPr="00A15527" w:rsidRDefault="00A15527" w:rsidP="00A15527">
      <w:pPr>
        <w:rPr>
          <w:rFonts w:ascii="Arial" w:hAnsi="Arial" w:cs="Arial"/>
        </w:rPr>
      </w:pPr>
      <w:r w:rsidRPr="00A15527">
        <w:rPr>
          <w:rFonts w:ascii="Arial" w:hAnsi="Arial" w:cs="Arial"/>
        </w:rPr>
        <w:t>Frequent drawdowns and repayments introduce refinancing risk and interest rate exposure.</w:t>
      </w:r>
    </w:p>
    <w:p w14:paraId="734D8A17" w14:textId="3B063306" w:rsidR="00A15527" w:rsidRPr="00A15527" w:rsidRDefault="00A15527" w:rsidP="00A15527">
      <w:pPr>
        <w:rPr>
          <w:rFonts w:ascii="Arial" w:hAnsi="Arial" w:cs="Arial"/>
        </w:rPr>
      </w:pPr>
    </w:p>
    <w:p w14:paraId="00B79576" w14:textId="77777777" w:rsidR="00A15527" w:rsidRPr="00A15527" w:rsidRDefault="00A15527" w:rsidP="00A15527">
      <w:pPr>
        <w:rPr>
          <w:rFonts w:ascii="Arial" w:hAnsi="Arial" w:cs="Arial"/>
          <w:b/>
          <w:bCs/>
        </w:rPr>
      </w:pPr>
      <w:r w:rsidRPr="00A15527">
        <w:rPr>
          <w:rFonts w:ascii="Arial" w:hAnsi="Arial" w:cs="Arial"/>
          <w:b/>
          <w:bCs/>
        </w:rPr>
        <w:t>3.3 Recommendations to Improve Working Capital</w:t>
      </w:r>
    </w:p>
    <w:p w14:paraId="1DED8225" w14:textId="77777777" w:rsidR="00A15527" w:rsidRPr="00A15527" w:rsidRDefault="00A15527" w:rsidP="00A15527">
      <w:pPr>
        <w:rPr>
          <w:rFonts w:ascii="Arial" w:hAnsi="Arial" w:cs="Arial"/>
          <w:b/>
          <w:bCs/>
        </w:rPr>
      </w:pPr>
      <w:r w:rsidRPr="00A15527">
        <w:rPr>
          <w:rFonts w:ascii="Arial" w:hAnsi="Arial" w:cs="Arial"/>
          <w:b/>
          <w:bCs/>
        </w:rPr>
        <w:t>A. Inventory Reforms</w:t>
      </w:r>
    </w:p>
    <w:p w14:paraId="3BA69AB6" w14:textId="77777777" w:rsidR="00A15527" w:rsidRPr="00A15527" w:rsidRDefault="00A15527" w:rsidP="00A15527">
      <w:pPr>
        <w:numPr>
          <w:ilvl w:val="0"/>
          <w:numId w:val="8"/>
        </w:numPr>
        <w:rPr>
          <w:rFonts w:ascii="Arial" w:hAnsi="Arial" w:cs="Arial"/>
        </w:rPr>
      </w:pPr>
      <w:r w:rsidRPr="00A15527">
        <w:rPr>
          <w:rFonts w:ascii="Arial" w:hAnsi="Arial" w:cs="Arial"/>
        </w:rPr>
        <w:t>Introduce just-in-time (JIT) systems</w:t>
      </w:r>
    </w:p>
    <w:p w14:paraId="018A1239" w14:textId="77777777" w:rsidR="00A15527" w:rsidRPr="00A15527" w:rsidRDefault="00A15527" w:rsidP="00A15527">
      <w:pPr>
        <w:numPr>
          <w:ilvl w:val="0"/>
          <w:numId w:val="8"/>
        </w:numPr>
        <w:rPr>
          <w:rFonts w:ascii="Arial" w:hAnsi="Arial" w:cs="Arial"/>
        </w:rPr>
      </w:pPr>
      <w:r w:rsidRPr="00A15527">
        <w:rPr>
          <w:rFonts w:ascii="Arial" w:hAnsi="Arial" w:cs="Arial"/>
        </w:rPr>
        <w:t>Deploy demand forecasting tools</w:t>
      </w:r>
    </w:p>
    <w:p w14:paraId="28E9C543" w14:textId="77777777" w:rsidR="00A15527" w:rsidRPr="00A15527" w:rsidRDefault="00A15527" w:rsidP="00A15527">
      <w:pPr>
        <w:numPr>
          <w:ilvl w:val="0"/>
          <w:numId w:val="8"/>
        </w:numPr>
        <w:rPr>
          <w:rFonts w:ascii="Arial" w:hAnsi="Arial" w:cs="Arial"/>
        </w:rPr>
      </w:pPr>
      <w:r w:rsidRPr="00A15527">
        <w:rPr>
          <w:rFonts w:ascii="Arial" w:hAnsi="Arial" w:cs="Arial"/>
        </w:rPr>
        <w:t>Rationalise product SKUs</w:t>
      </w:r>
      <w:r w:rsidRPr="00A15527">
        <w:rPr>
          <w:rFonts w:ascii="Arial" w:hAnsi="Arial" w:cs="Arial"/>
        </w:rPr>
        <w:br/>
        <w:t>These reduce stock levels and shorten inventory days (Christopher, 2016).</w:t>
      </w:r>
    </w:p>
    <w:p w14:paraId="2B4169CB" w14:textId="77777777" w:rsidR="00A15527" w:rsidRPr="00A15527" w:rsidRDefault="00A15527" w:rsidP="00A15527">
      <w:pPr>
        <w:rPr>
          <w:rFonts w:ascii="Arial" w:hAnsi="Arial" w:cs="Arial"/>
          <w:b/>
          <w:bCs/>
        </w:rPr>
      </w:pPr>
      <w:r w:rsidRPr="00A15527">
        <w:rPr>
          <w:rFonts w:ascii="Arial" w:hAnsi="Arial" w:cs="Arial"/>
          <w:b/>
          <w:bCs/>
        </w:rPr>
        <w:t>B. Strengthen Receivables Management</w:t>
      </w:r>
    </w:p>
    <w:p w14:paraId="0784568C" w14:textId="77777777" w:rsidR="00A15527" w:rsidRPr="00A15527" w:rsidRDefault="00A15527" w:rsidP="00A15527">
      <w:pPr>
        <w:numPr>
          <w:ilvl w:val="0"/>
          <w:numId w:val="9"/>
        </w:numPr>
        <w:rPr>
          <w:rFonts w:ascii="Arial" w:hAnsi="Arial" w:cs="Arial"/>
        </w:rPr>
      </w:pPr>
      <w:r w:rsidRPr="00A15527">
        <w:rPr>
          <w:rFonts w:ascii="Arial" w:hAnsi="Arial" w:cs="Arial"/>
        </w:rPr>
        <w:t>Introduce early-payment incentives</w:t>
      </w:r>
    </w:p>
    <w:p w14:paraId="7AF8E0C1" w14:textId="77777777" w:rsidR="00A15527" w:rsidRPr="00A15527" w:rsidRDefault="00A15527" w:rsidP="00A15527">
      <w:pPr>
        <w:numPr>
          <w:ilvl w:val="0"/>
          <w:numId w:val="9"/>
        </w:numPr>
        <w:rPr>
          <w:rFonts w:ascii="Arial" w:hAnsi="Arial" w:cs="Arial"/>
        </w:rPr>
      </w:pPr>
      <w:r w:rsidRPr="00A15527">
        <w:rPr>
          <w:rFonts w:ascii="Arial" w:hAnsi="Arial" w:cs="Arial"/>
        </w:rPr>
        <w:lastRenderedPageBreak/>
        <w:t>Tighten credit approval criteria</w:t>
      </w:r>
    </w:p>
    <w:p w14:paraId="38D354E5" w14:textId="77777777" w:rsidR="00A15527" w:rsidRPr="00A15527" w:rsidRDefault="00A15527" w:rsidP="00A15527">
      <w:pPr>
        <w:numPr>
          <w:ilvl w:val="0"/>
          <w:numId w:val="9"/>
        </w:numPr>
        <w:rPr>
          <w:rFonts w:ascii="Arial" w:hAnsi="Arial" w:cs="Arial"/>
        </w:rPr>
      </w:pPr>
      <w:r w:rsidRPr="00A15527">
        <w:rPr>
          <w:rFonts w:ascii="Arial" w:hAnsi="Arial" w:cs="Arial"/>
        </w:rPr>
        <w:t>Deploy automated credit control systems</w:t>
      </w:r>
      <w:r w:rsidRPr="00A15527">
        <w:rPr>
          <w:rFonts w:ascii="Arial" w:hAnsi="Arial" w:cs="Arial"/>
        </w:rPr>
        <w:br/>
        <w:t>This could reduce receivable days by 20–30 days.</w:t>
      </w:r>
    </w:p>
    <w:p w14:paraId="1E6CB254" w14:textId="77777777" w:rsidR="00A15527" w:rsidRPr="00A15527" w:rsidRDefault="00A15527" w:rsidP="00A15527">
      <w:pPr>
        <w:rPr>
          <w:rFonts w:ascii="Arial" w:hAnsi="Arial" w:cs="Arial"/>
          <w:b/>
          <w:bCs/>
        </w:rPr>
      </w:pPr>
      <w:r w:rsidRPr="00A15527">
        <w:rPr>
          <w:rFonts w:ascii="Arial" w:hAnsi="Arial" w:cs="Arial"/>
          <w:b/>
          <w:bCs/>
        </w:rPr>
        <w:t>C. Optimise Payables</w:t>
      </w:r>
    </w:p>
    <w:p w14:paraId="4B0211E3" w14:textId="77777777" w:rsidR="00A15527" w:rsidRPr="00A15527" w:rsidRDefault="00A15527" w:rsidP="00A15527">
      <w:pPr>
        <w:numPr>
          <w:ilvl w:val="0"/>
          <w:numId w:val="10"/>
        </w:numPr>
        <w:rPr>
          <w:rFonts w:ascii="Arial" w:hAnsi="Arial" w:cs="Arial"/>
        </w:rPr>
      </w:pPr>
      <w:r w:rsidRPr="00A15527">
        <w:rPr>
          <w:rFonts w:ascii="Arial" w:hAnsi="Arial" w:cs="Arial"/>
        </w:rPr>
        <w:t>Negotiate extended payment terms</w:t>
      </w:r>
    </w:p>
    <w:p w14:paraId="29751559" w14:textId="77777777" w:rsidR="00A15527" w:rsidRPr="00A15527" w:rsidRDefault="00A15527" w:rsidP="00A15527">
      <w:pPr>
        <w:numPr>
          <w:ilvl w:val="0"/>
          <w:numId w:val="10"/>
        </w:numPr>
        <w:rPr>
          <w:rFonts w:ascii="Arial" w:hAnsi="Arial" w:cs="Arial"/>
        </w:rPr>
      </w:pPr>
      <w:r w:rsidRPr="00A15527">
        <w:rPr>
          <w:rFonts w:ascii="Arial" w:hAnsi="Arial" w:cs="Arial"/>
        </w:rPr>
        <w:t>Consolidate suppliers</w:t>
      </w:r>
    </w:p>
    <w:p w14:paraId="0BC0AFAE" w14:textId="77777777" w:rsidR="00A15527" w:rsidRPr="00A15527" w:rsidRDefault="00A15527" w:rsidP="00A15527">
      <w:pPr>
        <w:numPr>
          <w:ilvl w:val="0"/>
          <w:numId w:val="10"/>
        </w:numPr>
        <w:rPr>
          <w:rFonts w:ascii="Arial" w:hAnsi="Arial" w:cs="Arial"/>
        </w:rPr>
      </w:pPr>
      <w:r w:rsidRPr="00A15527">
        <w:rPr>
          <w:rFonts w:ascii="Arial" w:hAnsi="Arial" w:cs="Arial"/>
        </w:rPr>
        <w:t>Use supply chain financing solutions</w:t>
      </w:r>
    </w:p>
    <w:p w14:paraId="7A207076" w14:textId="77777777" w:rsidR="00A15527" w:rsidRPr="00A15527" w:rsidRDefault="00A15527" w:rsidP="00A15527">
      <w:pPr>
        <w:rPr>
          <w:rFonts w:ascii="Arial" w:hAnsi="Arial" w:cs="Arial"/>
          <w:b/>
          <w:bCs/>
        </w:rPr>
      </w:pPr>
      <w:r w:rsidRPr="00A15527">
        <w:rPr>
          <w:rFonts w:ascii="Arial" w:hAnsi="Arial" w:cs="Arial"/>
          <w:b/>
          <w:bCs/>
        </w:rPr>
        <w:t>D. Reduce Reliance on Short-Term Debt</w:t>
      </w:r>
    </w:p>
    <w:p w14:paraId="49875F4B" w14:textId="77777777" w:rsidR="00A15527" w:rsidRPr="00A15527" w:rsidRDefault="00A15527" w:rsidP="00A15527">
      <w:pPr>
        <w:rPr>
          <w:rFonts w:ascii="Arial" w:hAnsi="Arial" w:cs="Arial"/>
        </w:rPr>
      </w:pPr>
      <w:r w:rsidRPr="00A15527">
        <w:rPr>
          <w:rFonts w:ascii="Arial" w:hAnsi="Arial" w:cs="Arial"/>
        </w:rPr>
        <w:t>Replace credit line dependence with structured medium-term loans to reduce volatility (Brealey et al., 2020).</w:t>
      </w:r>
    </w:p>
    <w:p w14:paraId="695FA6F8" w14:textId="77777777" w:rsidR="00A15527" w:rsidRPr="00A15527" w:rsidRDefault="00A15527" w:rsidP="00A15527">
      <w:pPr>
        <w:rPr>
          <w:rFonts w:ascii="Arial" w:hAnsi="Arial" w:cs="Arial"/>
          <w:b/>
          <w:bCs/>
        </w:rPr>
      </w:pPr>
      <w:r w:rsidRPr="00A15527">
        <w:rPr>
          <w:rFonts w:ascii="Arial" w:hAnsi="Arial" w:cs="Arial"/>
          <w:b/>
          <w:bCs/>
        </w:rPr>
        <w:t>E. Establish a Centralised Global Treasury</w:t>
      </w:r>
    </w:p>
    <w:p w14:paraId="1595796C" w14:textId="77777777" w:rsidR="00A15527" w:rsidRPr="00A15527" w:rsidRDefault="00A15527" w:rsidP="00A15527">
      <w:pPr>
        <w:rPr>
          <w:rFonts w:ascii="Arial" w:hAnsi="Arial" w:cs="Arial"/>
        </w:rPr>
      </w:pPr>
      <w:r w:rsidRPr="00A15527">
        <w:rPr>
          <w:rFonts w:ascii="Arial" w:hAnsi="Arial" w:cs="Arial"/>
        </w:rPr>
        <w:t>This enables cash pooling and better foreign exchange management.</w:t>
      </w:r>
    </w:p>
    <w:p w14:paraId="225FEB58" w14:textId="77E03A6D" w:rsidR="00A15527" w:rsidRPr="00A15527" w:rsidRDefault="00A15527" w:rsidP="00A15527">
      <w:pPr>
        <w:rPr>
          <w:rFonts w:ascii="Arial" w:hAnsi="Arial" w:cs="Arial"/>
        </w:rPr>
      </w:pPr>
    </w:p>
    <w:p w14:paraId="54D450E8" w14:textId="2B23B78D" w:rsidR="00A15527" w:rsidRPr="00A15527" w:rsidRDefault="00A15527" w:rsidP="00A15527">
      <w:pPr>
        <w:rPr>
          <w:rFonts w:ascii="Arial" w:hAnsi="Arial" w:cs="Arial"/>
          <w:b/>
          <w:bCs/>
        </w:rPr>
      </w:pPr>
      <w:r w:rsidRPr="00A15527">
        <w:rPr>
          <w:rFonts w:ascii="Arial" w:hAnsi="Arial" w:cs="Arial"/>
          <w:b/>
          <w:bCs/>
        </w:rPr>
        <w:t xml:space="preserve">4. Strategic Financial Restructuring Plan </w:t>
      </w:r>
    </w:p>
    <w:p w14:paraId="7030A820" w14:textId="77777777" w:rsidR="00A15527" w:rsidRPr="00A15527" w:rsidRDefault="00A15527" w:rsidP="00A15527">
      <w:pPr>
        <w:rPr>
          <w:rFonts w:ascii="Arial" w:hAnsi="Arial" w:cs="Arial"/>
          <w:b/>
          <w:bCs/>
        </w:rPr>
      </w:pPr>
      <w:r w:rsidRPr="00A15527">
        <w:rPr>
          <w:rFonts w:ascii="Arial" w:hAnsi="Arial" w:cs="Arial"/>
          <w:b/>
          <w:bCs/>
        </w:rPr>
        <w:t>4.1 Purpose of Restructuring</w:t>
      </w:r>
    </w:p>
    <w:p w14:paraId="15AEB748" w14:textId="77777777" w:rsidR="00A15527" w:rsidRPr="00A15527" w:rsidRDefault="00A15527" w:rsidP="00A15527">
      <w:pPr>
        <w:rPr>
          <w:rFonts w:ascii="Arial" w:hAnsi="Arial" w:cs="Arial"/>
        </w:rPr>
      </w:pPr>
      <w:r w:rsidRPr="00A15527">
        <w:rPr>
          <w:rFonts w:ascii="Arial" w:hAnsi="Arial" w:cs="Arial"/>
        </w:rPr>
        <w:t>Financial restructuring aims to restore solvency, reduce leverage, improve operational efficiency and rebuild investor confidence. Given GE’s high leverage, low liquidity and negative profitability, restructuring is urgently required (Kotter, 2012).</w:t>
      </w:r>
    </w:p>
    <w:p w14:paraId="6ABA0F1C" w14:textId="702E7236" w:rsidR="00A15527" w:rsidRPr="00A15527" w:rsidRDefault="00A15527" w:rsidP="00A15527">
      <w:pPr>
        <w:rPr>
          <w:rFonts w:ascii="Arial" w:hAnsi="Arial" w:cs="Arial"/>
        </w:rPr>
      </w:pPr>
    </w:p>
    <w:p w14:paraId="7EE289B9" w14:textId="77777777" w:rsidR="00A15527" w:rsidRPr="00A15527" w:rsidRDefault="00A15527" w:rsidP="00A15527">
      <w:pPr>
        <w:rPr>
          <w:rFonts w:ascii="Arial" w:hAnsi="Arial" w:cs="Arial"/>
          <w:b/>
          <w:bCs/>
        </w:rPr>
      </w:pPr>
      <w:r w:rsidRPr="00A15527">
        <w:rPr>
          <w:rFonts w:ascii="Arial" w:hAnsi="Arial" w:cs="Arial"/>
          <w:b/>
          <w:bCs/>
        </w:rPr>
        <w:t>4.2 Option 1: Divestiture of Non-Core Units</w:t>
      </w:r>
    </w:p>
    <w:p w14:paraId="53CA7544" w14:textId="77777777" w:rsidR="00A15527" w:rsidRPr="00A15527" w:rsidRDefault="00A15527" w:rsidP="00A15527">
      <w:pPr>
        <w:rPr>
          <w:rFonts w:ascii="Arial" w:hAnsi="Arial" w:cs="Arial"/>
        </w:rPr>
      </w:pPr>
      <w:r w:rsidRPr="00A15527">
        <w:rPr>
          <w:rFonts w:ascii="Arial" w:hAnsi="Arial" w:cs="Arial"/>
        </w:rPr>
        <w:t>Divesting underperforming divisions can generate cash and improve management focus.</w:t>
      </w:r>
    </w:p>
    <w:p w14:paraId="1901A3AC" w14:textId="77777777" w:rsidR="00A15527" w:rsidRPr="00A15527" w:rsidRDefault="00A15527" w:rsidP="00A15527">
      <w:pPr>
        <w:rPr>
          <w:rFonts w:ascii="Arial" w:hAnsi="Arial" w:cs="Arial"/>
        </w:rPr>
      </w:pPr>
      <w:r w:rsidRPr="00A15527">
        <w:rPr>
          <w:rFonts w:ascii="Arial" w:hAnsi="Arial" w:cs="Arial"/>
          <w:b/>
          <w:bCs/>
        </w:rPr>
        <w:t>Advantages:</w:t>
      </w:r>
    </w:p>
    <w:p w14:paraId="6EF0BB86" w14:textId="77777777" w:rsidR="00A15527" w:rsidRPr="00A15527" w:rsidRDefault="00A15527" w:rsidP="00A15527">
      <w:pPr>
        <w:numPr>
          <w:ilvl w:val="0"/>
          <w:numId w:val="11"/>
        </w:numPr>
        <w:rPr>
          <w:rFonts w:ascii="Arial" w:hAnsi="Arial" w:cs="Arial"/>
        </w:rPr>
      </w:pPr>
      <w:r w:rsidRPr="00A15527">
        <w:rPr>
          <w:rFonts w:ascii="Arial" w:hAnsi="Arial" w:cs="Arial"/>
        </w:rPr>
        <w:t>Immediate liquidity improvement</w:t>
      </w:r>
    </w:p>
    <w:p w14:paraId="2456ECCE" w14:textId="77777777" w:rsidR="00A15527" w:rsidRPr="00A15527" w:rsidRDefault="00A15527" w:rsidP="00A15527">
      <w:pPr>
        <w:numPr>
          <w:ilvl w:val="0"/>
          <w:numId w:val="11"/>
        </w:numPr>
        <w:rPr>
          <w:rFonts w:ascii="Arial" w:hAnsi="Arial" w:cs="Arial"/>
        </w:rPr>
      </w:pPr>
      <w:r w:rsidRPr="00A15527">
        <w:rPr>
          <w:rFonts w:ascii="Arial" w:hAnsi="Arial" w:cs="Arial"/>
        </w:rPr>
        <w:t>Reduction in operating costs</w:t>
      </w:r>
    </w:p>
    <w:p w14:paraId="35C76EAF" w14:textId="77777777" w:rsidR="00A15527" w:rsidRPr="00A15527" w:rsidRDefault="00A15527" w:rsidP="00A15527">
      <w:pPr>
        <w:numPr>
          <w:ilvl w:val="0"/>
          <w:numId w:val="11"/>
        </w:numPr>
        <w:rPr>
          <w:rFonts w:ascii="Arial" w:hAnsi="Arial" w:cs="Arial"/>
        </w:rPr>
      </w:pPr>
      <w:r w:rsidRPr="00A15527">
        <w:rPr>
          <w:rFonts w:ascii="Arial" w:hAnsi="Arial" w:cs="Arial"/>
        </w:rPr>
        <w:t>Strengthened profitability profile</w:t>
      </w:r>
    </w:p>
    <w:p w14:paraId="3EEDECDE" w14:textId="77777777" w:rsidR="00A15527" w:rsidRPr="00A15527" w:rsidRDefault="00A15527" w:rsidP="00A15527">
      <w:pPr>
        <w:rPr>
          <w:rFonts w:ascii="Arial" w:hAnsi="Arial" w:cs="Arial"/>
        </w:rPr>
      </w:pPr>
      <w:r w:rsidRPr="00A15527">
        <w:rPr>
          <w:rFonts w:ascii="Arial" w:hAnsi="Arial" w:cs="Arial"/>
          <w:b/>
          <w:bCs/>
        </w:rPr>
        <w:t>Risks:</w:t>
      </w:r>
    </w:p>
    <w:p w14:paraId="48A4CA74" w14:textId="77777777" w:rsidR="00A15527" w:rsidRPr="00A15527" w:rsidRDefault="00A15527" w:rsidP="00A15527">
      <w:pPr>
        <w:numPr>
          <w:ilvl w:val="0"/>
          <w:numId w:val="12"/>
        </w:numPr>
        <w:rPr>
          <w:rFonts w:ascii="Arial" w:hAnsi="Arial" w:cs="Arial"/>
        </w:rPr>
      </w:pPr>
      <w:r w:rsidRPr="00A15527">
        <w:rPr>
          <w:rFonts w:ascii="Arial" w:hAnsi="Arial" w:cs="Arial"/>
        </w:rPr>
        <w:t>Loss of scale</w:t>
      </w:r>
    </w:p>
    <w:p w14:paraId="74F79AC1" w14:textId="77777777" w:rsidR="00A15527" w:rsidRPr="00A15527" w:rsidRDefault="00A15527" w:rsidP="00A15527">
      <w:pPr>
        <w:numPr>
          <w:ilvl w:val="0"/>
          <w:numId w:val="12"/>
        </w:numPr>
        <w:rPr>
          <w:rFonts w:ascii="Arial" w:hAnsi="Arial" w:cs="Arial"/>
        </w:rPr>
      </w:pPr>
      <w:r w:rsidRPr="00A15527">
        <w:rPr>
          <w:rFonts w:ascii="Arial" w:hAnsi="Arial" w:cs="Arial"/>
        </w:rPr>
        <w:t>Possible negative market coverage</w:t>
      </w:r>
    </w:p>
    <w:p w14:paraId="59F8DD6A" w14:textId="40E08351" w:rsidR="00A15527" w:rsidRPr="00A15527" w:rsidRDefault="00A15527" w:rsidP="00A15527">
      <w:pPr>
        <w:rPr>
          <w:rFonts w:ascii="Arial" w:hAnsi="Arial" w:cs="Arial"/>
        </w:rPr>
      </w:pPr>
    </w:p>
    <w:p w14:paraId="3B531CBA" w14:textId="77777777" w:rsidR="00A15527" w:rsidRPr="00A15527" w:rsidRDefault="00A15527" w:rsidP="00A15527">
      <w:pPr>
        <w:rPr>
          <w:rFonts w:ascii="Arial" w:hAnsi="Arial" w:cs="Arial"/>
          <w:b/>
          <w:bCs/>
        </w:rPr>
      </w:pPr>
      <w:r w:rsidRPr="00A15527">
        <w:rPr>
          <w:rFonts w:ascii="Arial" w:hAnsi="Arial" w:cs="Arial"/>
          <w:b/>
          <w:bCs/>
        </w:rPr>
        <w:t>4.3 Option 2: Equity Injection</w:t>
      </w:r>
    </w:p>
    <w:p w14:paraId="7E81D0A7" w14:textId="77777777" w:rsidR="00A15527" w:rsidRPr="00A15527" w:rsidRDefault="00A15527" w:rsidP="00A15527">
      <w:pPr>
        <w:rPr>
          <w:rFonts w:ascii="Arial" w:hAnsi="Arial" w:cs="Arial"/>
        </w:rPr>
      </w:pPr>
      <w:r w:rsidRPr="00A15527">
        <w:rPr>
          <w:rFonts w:ascii="Arial" w:hAnsi="Arial" w:cs="Arial"/>
        </w:rPr>
        <w:t>Equity is necessary to repair the balance sheet.</w:t>
      </w:r>
    </w:p>
    <w:p w14:paraId="552E82A4" w14:textId="77777777" w:rsidR="00A15527" w:rsidRPr="00A15527" w:rsidRDefault="00A15527" w:rsidP="00A15527">
      <w:pPr>
        <w:rPr>
          <w:rFonts w:ascii="Arial" w:hAnsi="Arial" w:cs="Arial"/>
        </w:rPr>
      </w:pPr>
      <w:r w:rsidRPr="00A15527">
        <w:rPr>
          <w:rFonts w:ascii="Arial" w:hAnsi="Arial" w:cs="Arial"/>
          <w:b/>
          <w:bCs/>
        </w:rPr>
        <w:t>Advantages:</w:t>
      </w:r>
    </w:p>
    <w:p w14:paraId="74569DAC" w14:textId="77777777" w:rsidR="00A15527" w:rsidRPr="00A15527" w:rsidRDefault="00A15527" w:rsidP="00A15527">
      <w:pPr>
        <w:numPr>
          <w:ilvl w:val="0"/>
          <w:numId w:val="13"/>
        </w:numPr>
        <w:rPr>
          <w:rFonts w:ascii="Arial" w:hAnsi="Arial" w:cs="Arial"/>
        </w:rPr>
      </w:pPr>
      <w:r w:rsidRPr="00A15527">
        <w:rPr>
          <w:rFonts w:ascii="Arial" w:hAnsi="Arial" w:cs="Arial"/>
        </w:rPr>
        <w:t>Reinforces equity base</w:t>
      </w:r>
    </w:p>
    <w:p w14:paraId="39EBD65B" w14:textId="77777777" w:rsidR="00A15527" w:rsidRPr="00A15527" w:rsidRDefault="00A15527" w:rsidP="00A15527">
      <w:pPr>
        <w:numPr>
          <w:ilvl w:val="0"/>
          <w:numId w:val="13"/>
        </w:numPr>
        <w:rPr>
          <w:rFonts w:ascii="Arial" w:hAnsi="Arial" w:cs="Arial"/>
        </w:rPr>
      </w:pPr>
      <w:r w:rsidRPr="00A15527">
        <w:rPr>
          <w:rFonts w:ascii="Arial" w:hAnsi="Arial" w:cs="Arial"/>
        </w:rPr>
        <w:t>Stabilises debt ratios</w:t>
      </w:r>
    </w:p>
    <w:p w14:paraId="278B391A" w14:textId="77777777" w:rsidR="00A15527" w:rsidRPr="00A15527" w:rsidRDefault="00A15527" w:rsidP="00A15527">
      <w:pPr>
        <w:numPr>
          <w:ilvl w:val="0"/>
          <w:numId w:val="13"/>
        </w:numPr>
        <w:rPr>
          <w:rFonts w:ascii="Arial" w:hAnsi="Arial" w:cs="Arial"/>
        </w:rPr>
      </w:pPr>
      <w:r w:rsidRPr="00A15527">
        <w:rPr>
          <w:rFonts w:ascii="Arial" w:hAnsi="Arial" w:cs="Arial"/>
        </w:rPr>
        <w:lastRenderedPageBreak/>
        <w:t>Improves Z-Score</w:t>
      </w:r>
    </w:p>
    <w:p w14:paraId="231A5E55" w14:textId="77777777" w:rsidR="00A15527" w:rsidRPr="00A15527" w:rsidRDefault="00A15527" w:rsidP="00A15527">
      <w:pPr>
        <w:rPr>
          <w:rFonts w:ascii="Arial" w:hAnsi="Arial" w:cs="Arial"/>
        </w:rPr>
      </w:pPr>
      <w:r w:rsidRPr="00A15527">
        <w:rPr>
          <w:rFonts w:ascii="Arial" w:hAnsi="Arial" w:cs="Arial"/>
          <w:b/>
          <w:bCs/>
        </w:rPr>
        <w:t>Disadvantages:</w:t>
      </w:r>
    </w:p>
    <w:p w14:paraId="45A1AC15" w14:textId="77777777" w:rsidR="00A15527" w:rsidRPr="00A15527" w:rsidRDefault="00A15527" w:rsidP="00A15527">
      <w:pPr>
        <w:numPr>
          <w:ilvl w:val="0"/>
          <w:numId w:val="14"/>
        </w:numPr>
        <w:rPr>
          <w:rFonts w:ascii="Arial" w:hAnsi="Arial" w:cs="Arial"/>
        </w:rPr>
      </w:pPr>
      <w:r w:rsidRPr="00A15527">
        <w:rPr>
          <w:rFonts w:ascii="Arial" w:hAnsi="Arial" w:cs="Arial"/>
        </w:rPr>
        <w:t>Dilution</w:t>
      </w:r>
    </w:p>
    <w:p w14:paraId="66538D39" w14:textId="77777777" w:rsidR="00A15527" w:rsidRPr="00A15527" w:rsidRDefault="00A15527" w:rsidP="00A15527">
      <w:pPr>
        <w:numPr>
          <w:ilvl w:val="0"/>
          <w:numId w:val="14"/>
        </w:numPr>
        <w:rPr>
          <w:rFonts w:ascii="Arial" w:hAnsi="Arial" w:cs="Arial"/>
        </w:rPr>
      </w:pPr>
      <w:r w:rsidRPr="00A15527">
        <w:rPr>
          <w:rFonts w:ascii="Arial" w:hAnsi="Arial" w:cs="Arial"/>
        </w:rPr>
        <w:t>Possibly negative market signalling</w:t>
      </w:r>
    </w:p>
    <w:p w14:paraId="2E5DBD9E" w14:textId="77777777" w:rsidR="00A15527" w:rsidRPr="00A15527" w:rsidRDefault="00A15527" w:rsidP="00A15527">
      <w:pPr>
        <w:rPr>
          <w:rFonts w:ascii="Arial" w:hAnsi="Arial" w:cs="Arial"/>
        </w:rPr>
      </w:pPr>
      <w:r w:rsidRPr="00A15527">
        <w:rPr>
          <w:rFonts w:ascii="Arial" w:hAnsi="Arial" w:cs="Arial"/>
        </w:rPr>
        <w:t>Recommendation: use institutional equity placements to reduce reputational impact.</w:t>
      </w:r>
    </w:p>
    <w:p w14:paraId="5D401E2E" w14:textId="001AA474" w:rsidR="00A15527" w:rsidRPr="00A15527" w:rsidRDefault="00A15527" w:rsidP="00A15527">
      <w:pPr>
        <w:rPr>
          <w:rFonts w:ascii="Arial" w:hAnsi="Arial" w:cs="Arial"/>
        </w:rPr>
      </w:pPr>
    </w:p>
    <w:p w14:paraId="7FD2A4FF" w14:textId="77777777" w:rsidR="00A15527" w:rsidRPr="00A15527" w:rsidRDefault="00A15527" w:rsidP="00A15527">
      <w:pPr>
        <w:rPr>
          <w:rFonts w:ascii="Arial" w:hAnsi="Arial" w:cs="Arial"/>
          <w:b/>
          <w:bCs/>
        </w:rPr>
      </w:pPr>
      <w:r w:rsidRPr="00A15527">
        <w:rPr>
          <w:rFonts w:ascii="Arial" w:hAnsi="Arial" w:cs="Arial"/>
          <w:b/>
          <w:bCs/>
        </w:rPr>
        <w:t>4.4 Option 3: Debt Restructuring</w:t>
      </w:r>
    </w:p>
    <w:p w14:paraId="4F10C61E" w14:textId="77777777" w:rsidR="00A15527" w:rsidRPr="00A15527" w:rsidRDefault="00A15527" w:rsidP="00A15527">
      <w:pPr>
        <w:rPr>
          <w:rFonts w:ascii="Arial" w:hAnsi="Arial" w:cs="Arial"/>
        </w:rPr>
      </w:pPr>
      <w:r w:rsidRPr="00A15527">
        <w:rPr>
          <w:rFonts w:ascii="Arial" w:hAnsi="Arial" w:cs="Arial"/>
        </w:rPr>
        <w:t>GE should renegotiate debt maturities and interest terms.</w:t>
      </w:r>
    </w:p>
    <w:p w14:paraId="518D53ED" w14:textId="77777777" w:rsidR="00A15527" w:rsidRPr="00A15527" w:rsidRDefault="00A15527" w:rsidP="00A15527">
      <w:pPr>
        <w:rPr>
          <w:rFonts w:ascii="Arial" w:hAnsi="Arial" w:cs="Arial"/>
        </w:rPr>
      </w:pPr>
      <w:r w:rsidRPr="00A15527">
        <w:rPr>
          <w:rFonts w:ascii="Arial" w:hAnsi="Arial" w:cs="Arial"/>
          <w:b/>
          <w:bCs/>
        </w:rPr>
        <w:t>Benefits:</w:t>
      </w:r>
    </w:p>
    <w:p w14:paraId="35D97B92" w14:textId="77777777" w:rsidR="00A15527" w:rsidRPr="00A15527" w:rsidRDefault="00A15527" w:rsidP="00A15527">
      <w:pPr>
        <w:numPr>
          <w:ilvl w:val="0"/>
          <w:numId w:val="15"/>
        </w:numPr>
        <w:rPr>
          <w:rFonts w:ascii="Arial" w:hAnsi="Arial" w:cs="Arial"/>
        </w:rPr>
      </w:pPr>
      <w:r w:rsidRPr="00A15527">
        <w:rPr>
          <w:rFonts w:ascii="Arial" w:hAnsi="Arial" w:cs="Arial"/>
        </w:rPr>
        <w:t>Improved liquidity</w:t>
      </w:r>
    </w:p>
    <w:p w14:paraId="73666D06" w14:textId="77777777" w:rsidR="00A15527" w:rsidRPr="00A15527" w:rsidRDefault="00A15527" w:rsidP="00A15527">
      <w:pPr>
        <w:numPr>
          <w:ilvl w:val="0"/>
          <w:numId w:val="15"/>
        </w:numPr>
        <w:rPr>
          <w:rFonts w:ascii="Arial" w:hAnsi="Arial" w:cs="Arial"/>
        </w:rPr>
      </w:pPr>
      <w:r w:rsidRPr="00A15527">
        <w:rPr>
          <w:rFonts w:ascii="Arial" w:hAnsi="Arial" w:cs="Arial"/>
        </w:rPr>
        <w:t>Reduced insolvency risk</w:t>
      </w:r>
    </w:p>
    <w:p w14:paraId="3B7168FB" w14:textId="77777777" w:rsidR="00A15527" w:rsidRDefault="00A15527" w:rsidP="00A15527">
      <w:pPr>
        <w:numPr>
          <w:ilvl w:val="0"/>
          <w:numId w:val="15"/>
        </w:numPr>
        <w:rPr>
          <w:rFonts w:ascii="Arial" w:hAnsi="Arial" w:cs="Arial"/>
        </w:rPr>
      </w:pPr>
      <w:r w:rsidRPr="00A15527">
        <w:rPr>
          <w:rFonts w:ascii="Arial" w:hAnsi="Arial" w:cs="Arial"/>
        </w:rPr>
        <w:t>Improved interest coverage over time</w:t>
      </w:r>
    </w:p>
    <w:p w14:paraId="46F6FB18" w14:textId="77777777" w:rsidR="00A15527" w:rsidRPr="00A15527" w:rsidRDefault="00A15527" w:rsidP="00A15527">
      <w:pPr>
        <w:ind w:left="720"/>
        <w:rPr>
          <w:rFonts w:ascii="Arial" w:hAnsi="Arial" w:cs="Arial"/>
        </w:rPr>
      </w:pPr>
    </w:p>
    <w:p w14:paraId="74DD3D82" w14:textId="77777777" w:rsidR="00A15527" w:rsidRPr="00A15527" w:rsidRDefault="00A15527" w:rsidP="00A15527">
      <w:pPr>
        <w:rPr>
          <w:rFonts w:ascii="Arial" w:hAnsi="Arial" w:cs="Arial"/>
          <w:b/>
          <w:bCs/>
        </w:rPr>
      </w:pPr>
      <w:r w:rsidRPr="00A15527">
        <w:rPr>
          <w:rFonts w:ascii="Arial" w:hAnsi="Arial" w:cs="Arial"/>
          <w:b/>
          <w:bCs/>
        </w:rPr>
        <w:t>4.5 Option 4: Cost Rationalisation and Operational Efficiency</w:t>
      </w:r>
    </w:p>
    <w:p w14:paraId="668D9BE3" w14:textId="77777777" w:rsidR="00A15527" w:rsidRPr="00A15527" w:rsidRDefault="00A15527" w:rsidP="00A15527">
      <w:pPr>
        <w:rPr>
          <w:rFonts w:ascii="Arial" w:hAnsi="Arial" w:cs="Arial"/>
        </w:rPr>
      </w:pPr>
      <w:r w:rsidRPr="00A15527">
        <w:rPr>
          <w:rFonts w:ascii="Arial" w:hAnsi="Arial" w:cs="Arial"/>
        </w:rPr>
        <w:t>Actions include:</w:t>
      </w:r>
    </w:p>
    <w:p w14:paraId="61A23073" w14:textId="77777777" w:rsidR="00A15527" w:rsidRPr="00A15527" w:rsidRDefault="00A15527" w:rsidP="00A15527">
      <w:pPr>
        <w:numPr>
          <w:ilvl w:val="0"/>
          <w:numId w:val="16"/>
        </w:numPr>
        <w:rPr>
          <w:rFonts w:ascii="Arial" w:hAnsi="Arial" w:cs="Arial"/>
        </w:rPr>
      </w:pPr>
      <w:r w:rsidRPr="00A15527">
        <w:rPr>
          <w:rFonts w:ascii="Arial" w:hAnsi="Arial" w:cs="Arial"/>
        </w:rPr>
        <w:t>Closing under-utilised plants</w:t>
      </w:r>
    </w:p>
    <w:p w14:paraId="26299594" w14:textId="77777777" w:rsidR="00A15527" w:rsidRPr="00A15527" w:rsidRDefault="00A15527" w:rsidP="00A15527">
      <w:pPr>
        <w:numPr>
          <w:ilvl w:val="0"/>
          <w:numId w:val="16"/>
        </w:numPr>
        <w:rPr>
          <w:rFonts w:ascii="Arial" w:hAnsi="Arial" w:cs="Arial"/>
        </w:rPr>
      </w:pPr>
      <w:r w:rsidRPr="00A15527">
        <w:rPr>
          <w:rFonts w:ascii="Arial" w:hAnsi="Arial" w:cs="Arial"/>
        </w:rPr>
        <w:t>Reducing overhead functions</w:t>
      </w:r>
    </w:p>
    <w:p w14:paraId="245C1487" w14:textId="77777777" w:rsidR="00A15527" w:rsidRPr="00A15527" w:rsidRDefault="00A15527" w:rsidP="00A15527">
      <w:pPr>
        <w:numPr>
          <w:ilvl w:val="0"/>
          <w:numId w:val="16"/>
        </w:numPr>
        <w:rPr>
          <w:rFonts w:ascii="Arial" w:hAnsi="Arial" w:cs="Arial"/>
        </w:rPr>
      </w:pPr>
      <w:r w:rsidRPr="00A15527">
        <w:rPr>
          <w:rFonts w:ascii="Arial" w:hAnsi="Arial" w:cs="Arial"/>
        </w:rPr>
        <w:t>Streamlining supply chain operations</w:t>
      </w:r>
    </w:p>
    <w:p w14:paraId="7B8C36A3" w14:textId="77777777" w:rsidR="00A15527" w:rsidRPr="00A15527" w:rsidRDefault="00A15527" w:rsidP="00A15527">
      <w:pPr>
        <w:numPr>
          <w:ilvl w:val="0"/>
          <w:numId w:val="16"/>
        </w:numPr>
        <w:rPr>
          <w:rFonts w:ascii="Arial" w:hAnsi="Arial" w:cs="Arial"/>
        </w:rPr>
      </w:pPr>
      <w:r w:rsidRPr="00A15527">
        <w:rPr>
          <w:rFonts w:ascii="Arial" w:hAnsi="Arial" w:cs="Arial"/>
        </w:rPr>
        <w:t>Simplifying product portfolios</w:t>
      </w:r>
    </w:p>
    <w:p w14:paraId="4D1902E0" w14:textId="77777777" w:rsidR="00A15527" w:rsidRPr="00A15527" w:rsidRDefault="00A15527" w:rsidP="00A15527">
      <w:pPr>
        <w:rPr>
          <w:rFonts w:ascii="Arial" w:hAnsi="Arial" w:cs="Arial"/>
        </w:rPr>
      </w:pPr>
      <w:r w:rsidRPr="00A15527">
        <w:rPr>
          <w:rFonts w:ascii="Arial" w:hAnsi="Arial" w:cs="Arial"/>
        </w:rPr>
        <w:t>These actions enhance operating margins and reduce working capital requirements.</w:t>
      </w:r>
    </w:p>
    <w:p w14:paraId="5390285C" w14:textId="1923AA71" w:rsidR="00A15527" w:rsidRPr="00A15527" w:rsidRDefault="00A15527" w:rsidP="00A15527">
      <w:pPr>
        <w:rPr>
          <w:rFonts w:ascii="Arial" w:hAnsi="Arial" w:cs="Arial"/>
        </w:rPr>
      </w:pPr>
    </w:p>
    <w:p w14:paraId="5C693B38" w14:textId="77777777" w:rsidR="00A15527" w:rsidRPr="00A15527" w:rsidRDefault="00A15527" w:rsidP="00A15527">
      <w:pPr>
        <w:rPr>
          <w:rFonts w:ascii="Arial" w:hAnsi="Arial" w:cs="Arial"/>
          <w:b/>
          <w:bCs/>
        </w:rPr>
      </w:pPr>
      <w:r w:rsidRPr="00A15527">
        <w:rPr>
          <w:rFonts w:ascii="Arial" w:hAnsi="Arial" w:cs="Arial"/>
          <w:b/>
          <w:bCs/>
        </w:rPr>
        <w:t>4.6 International and Ethical Considerations</w:t>
      </w:r>
    </w:p>
    <w:p w14:paraId="4C11BF77" w14:textId="77777777" w:rsidR="00A15527" w:rsidRPr="00A15527" w:rsidRDefault="00A15527" w:rsidP="00A15527">
      <w:pPr>
        <w:rPr>
          <w:rFonts w:ascii="Arial" w:hAnsi="Arial" w:cs="Arial"/>
          <w:b/>
          <w:bCs/>
        </w:rPr>
      </w:pPr>
      <w:r w:rsidRPr="00A15527">
        <w:rPr>
          <w:rFonts w:ascii="Arial" w:hAnsi="Arial" w:cs="Arial"/>
          <w:b/>
          <w:bCs/>
        </w:rPr>
        <w:t>Currency Risk</w:t>
      </w:r>
    </w:p>
    <w:p w14:paraId="5FEB1630" w14:textId="77777777" w:rsidR="00A15527" w:rsidRPr="00A15527" w:rsidRDefault="00A15527" w:rsidP="00A15527">
      <w:pPr>
        <w:rPr>
          <w:rFonts w:ascii="Arial" w:hAnsi="Arial" w:cs="Arial"/>
        </w:rPr>
      </w:pPr>
      <w:r w:rsidRPr="00A15527">
        <w:rPr>
          <w:rFonts w:ascii="Arial" w:hAnsi="Arial" w:cs="Arial"/>
        </w:rPr>
        <w:t>Hedge using forwards, currency options and matching currency exposures.</w:t>
      </w:r>
    </w:p>
    <w:p w14:paraId="58BF2719" w14:textId="77777777" w:rsidR="00A15527" w:rsidRPr="00A15527" w:rsidRDefault="00A15527" w:rsidP="00A15527">
      <w:pPr>
        <w:rPr>
          <w:rFonts w:ascii="Arial" w:hAnsi="Arial" w:cs="Arial"/>
          <w:b/>
          <w:bCs/>
        </w:rPr>
      </w:pPr>
      <w:r w:rsidRPr="00A15527">
        <w:rPr>
          <w:rFonts w:ascii="Arial" w:hAnsi="Arial" w:cs="Arial"/>
          <w:b/>
          <w:bCs/>
        </w:rPr>
        <w:t>Inflation Risk</w:t>
      </w:r>
    </w:p>
    <w:p w14:paraId="384BC6FE" w14:textId="77777777" w:rsidR="00A15527" w:rsidRPr="00A15527" w:rsidRDefault="00A15527" w:rsidP="00A15527">
      <w:pPr>
        <w:rPr>
          <w:rFonts w:ascii="Arial" w:hAnsi="Arial" w:cs="Arial"/>
        </w:rPr>
      </w:pPr>
      <w:r w:rsidRPr="00A15527">
        <w:rPr>
          <w:rFonts w:ascii="Arial" w:hAnsi="Arial" w:cs="Arial"/>
        </w:rPr>
        <w:t>Shorten pricing cycles; strategically renegotiate long-term supply contracts.</w:t>
      </w:r>
    </w:p>
    <w:p w14:paraId="4E1DE11A" w14:textId="77777777" w:rsidR="00A15527" w:rsidRPr="00A15527" w:rsidRDefault="00A15527" w:rsidP="00A15527">
      <w:pPr>
        <w:rPr>
          <w:rFonts w:ascii="Arial" w:hAnsi="Arial" w:cs="Arial"/>
          <w:b/>
          <w:bCs/>
        </w:rPr>
      </w:pPr>
      <w:r w:rsidRPr="00A15527">
        <w:rPr>
          <w:rFonts w:ascii="Arial" w:hAnsi="Arial" w:cs="Arial"/>
          <w:b/>
          <w:bCs/>
        </w:rPr>
        <w:t>Global Taxation</w:t>
      </w:r>
    </w:p>
    <w:p w14:paraId="6B5192B0" w14:textId="77777777" w:rsidR="00A15527" w:rsidRPr="00A15527" w:rsidRDefault="00A15527" w:rsidP="00A15527">
      <w:pPr>
        <w:rPr>
          <w:rFonts w:ascii="Arial" w:hAnsi="Arial" w:cs="Arial"/>
        </w:rPr>
      </w:pPr>
      <w:r w:rsidRPr="00A15527">
        <w:rPr>
          <w:rFonts w:ascii="Arial" w:hAnsi="Arial" w:cs="Arial"/>
        </w:rPr>
        <w:t>Ensure compliance with OECD rules and avoid aggressive tax arbitrage.</w:t>
      </w:r>
    </w:p>
    <w:p w14:paraId="33754786" w14:textId="77777777" w:rsidR="00A15527" w:rsidRPr="00A15527" w:rsidRDefault="00A15527" w:rsidP="00A15527">
      <w:pPr>
        <w:rPr>
          <w:rFonts w:ascii="Arial" w:hAnsi="Arial" w:cs="Arial"/>
          <w:b/>
          <w:bCs/>
        </w:rPr>
      </w:pPr>
      <w:r w:rsidRPr="00A15527">
        <w:rPr>
          <w:rFonts w:ascii="Arial" w:hAnsi="Arial" w:cs="Arial"/>
          <w:b/>
          <w:bCs/>
        </w:rPr>
        <w:t>CSR Factors</w:t>
      </w:r>
    </w:p>
    <w:p w14:paraId="3545B493" w14:textId="77777777" w:rsidR="00A15527" w:rsidRPr="00A15527" w:rsidRDefault="00A15527" w:rsidP="00A15527">
      <w:pPr>
        <w:numPr>
          <w:ilvl w:val="0"/>
          <w:numId w:val="17"/>
        </w:numPr>
        <w:rPr>
          <w:rFonts w:ascii="Arial" w:hAnsi="Arial" w:cs="Arial"/>
        </w:rPr>
      </w:pPr>
      <w:r w:rsidRPr="00A15527">
        <w:rPr>
          <w:rFonts w:ascii="Arial" w:hAnsi="Arial" w:cs="Arial"/>
        </w:rPr>
        <w:t>Maintain ethical sourcing</w:t>
      </w:r>
    </w:p>
    <w:p w14:paraId="4E2D3D86" w14:textId="77777777" w:rsidR="00A15527" w:rsidRPr="00A15527" w:rsidRDefault="00A15527" w:rsidP="00A15527">
      <w:pPr>
        <w:numPr>
          <w:ilvl w:val="0"/>
          <w:numId w:val="17"/>
        </w:numPr>
        <w:rPr>
          <w:rFonts w:ascii="Arial" w:hAnsi="Arial" w:cs="Arial"/>
        </w:rPr>
      </w:pPr>
      <w:r w:rsidRPr="00A15527">
        <w:rPr>
          <w:rFonts w:ascii="Arial" w:hAnsi="Arial" w:cs="Arial"/>
        </w:rPr>
        <w:t>Avoid excessive layoffs during restructuring</w:t>
      </w:r>
    </w:p>
    <w:p w14:paraId="389E1A84" w14:textId="77777777" w:rsidR="00A15527" w:rsidRPr="00A15527" w:rsidRDefault="00A15527" w:rsidP="00A15527">
      <w:pPr>
        <w:numPr>
          <w:ilvl w:val="0"/>
          <w:numId w:val="17"/>
        </w:numPr>
        <w:rPr>
          <w:rFonts w:ascii="Arial" w:hAnsi="Arial" w:cs="Arial"/>
        </w:rPr>
      </w:pPr>
      <w:r w:rsidRPr="00A15527">
        <w:rPr>
          <w:rFonts w:ascii="Arial" w:hAnsi="Arial" w:cs="Arial"/>
        </w:rPr>
        <w:t>Strengthen environmental and labour standards</w:t>
      </w:r>
    </w:p>
    <w:p w14:paraId="246C15D1" w14:textId="77777777" w:rsidR="00A15527" w:rsidRPr="00A15527" w:rsidRDefault="00A15527" w:rsidP="00A15527">
      <w:pPr>
        <w:rPr>
          <w:rFonts w:ascii="Arial" w:hAnsi="Arial" w:cs="Arial"/>
        </w:rPr>
      </w:pPr>
      <w:r w:rsidRPr="00A15527">
        <w:rPr>
          <w:rFonts w:ascii="Arial" w:hAnsi="Arial" w:cs="Arial"/>
        </w:rPr>
        <w:lastRenderedPageBreak/>
        <w:t>These measures maintain brand reputation and stakeholder trust (Carroll, 1991).</w:t>
      </w:r>
    </w:p>
    <w:p w14:paraId="618DC0ED" w14:textId="0C0B9D1F" w:rsidR="00A15527" w:rsidRPr="00A15527" w:rsidRDefault="00A15527" w:rsidP="00A15527">
      <w:pPr>
        <w:rPr>
          <w:rFonts w:ascii="Arial" w:hAnsi="Arial" w:cs="Arial"/>
        </w:rPr>
      </w:pPr>
    </w:p>
    <w:p w14:paraId="162F2150" w14:textId="77777777" w:rsidR="00A15527" w:rsidRPr="00A15527" w:rsidRDefault="00A15527" w:rsidP="00A15527">
      <w:pPr>
        <w:rPr>
          <w:rFonts w:ascii="Arial" w:hAnsi="Arial" w:cs="Arial"/>
          <w:b/>
          <w:bCs/>
        </w:rPr>
      </w:pPr>
      <w:r w:rsidRPr="00A15527">
        <w:rPr>
          <w:rFonts w:ascii="Arial" w:hAnsi="Arial" w:cs="Arial"/>
          <w:b/>
          <w:bCs/>
        </w:rPr>
        <w:t>5. Investment Appraisal and Capital Budgeting (≈1,350 words including brief tables)</w:t>
      </w:r>
    </w:p>
    <w:p w14:paraId="291DAC0B" w14:textId="77777777" w:rsidR="00A15527" w:rsidRPr="00A15527" w:rsidRDefault="00A15527" w:rsidP="00A15527">
      <w:pPr>
        <w:rPr>
          <w:rFonts w:ascii="Arial" w:hAnsi="Arial" w:cs="Arial"/>
        </w:rPr>
      </w:pPr>
      <w:r w:rsidRPr="00A15527">
        <w:rPr>
          <w:rFonts w:ascii="Arial" w:hAnsi="Arial" w:cs="Arial"/>
        </w:rPr>
        <w:t>GE must choose between three projects under capital rationing (£60m limit). Straight-line depreciation is applied, discount rate = 10%.</w:t>
      </w:r>
    </w:p>
    <w:p w14:paraId="725DDB63" w14:textId="34976C4E" w:rsidR="00A15527" w:rsidRPr="00A15527" w:rsidRDefault="00A15527" w:rsidP="00A15527">
      <w:pPr>
        <w:rPr>
          <w:rFonts w:ascii="Arial" w:hAnsi="Arial" w:cs="Arial"/>
        </w:rPr>
      </w:pPr>
    </w:p>
    <w:p w14:paraId="15B66A6A" w14:textId="77777777" w:rsidR="00A15527" w:rsidRPr="00A15527" w:rsidRDefault="00A15527" w:rsidP="00A15527">
      <w:pPr>
        <w:rPr>
          <w:rFonts w:ascii="Arial" w:hAnsi="Arial" w:cs="Arial"/>
          <w:b/>
          <w:bCs/>
        </w:rPr>
      </w:pPr>
      <w:r w:rsidRPr="00A15527">
        <w:rPr>
          <w:rFonts w:ascii="Arial" w:hAnsi="Arial" w:cs="Arial"/>
          <w:b/>
          <w:bCs/>
        </w:rPr>
        <w:t>5.1 Payback Period (PBP)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1"/>
        <w:gridCol w:w="1161"/>
        <w:gridCol w:w="2722"/>
        <w:gridCol w:w="1109"/>
      </w:tblGrid>
      <w:tr w:rsidR="00A15527" w:rsidRPr="00A15527" w14:paraId="6A5454C8" w14:textId="77777777">
        <w:trPr>
          <w:tblHeader/>
          <w:tblCellSpacing w:w="15" w:type="dxa"/>
        </w:trPr>
        <w:tc>
          <w:tcPr>
            <w:tcW w:w="0" w:type="auto"/>
            <w:vAlign w:val="center"/>
            <w:hideMark/>
          </w:tcPr>
          <w:p w14:paraId="121D2B51" w14:textId="77777777" w:rsidR="00A15527" w:rsidRPr="00A15527" w:rsidRDefault="00A15527" w:rsidP="00A15527">
            <w:pPr>
              <w:rPr>
                <w:rFonts w:ascii="Arial" w:hAnsi="Arial" w:cs="Arial"/>
                <w:b/>
                <w:bCs/>
              </w:rPr>
            </w:pPr>
            <w:r w:rsidRPr="00A15527">
              <w:rPr>
                <w:rFonts w:ascii="Arial" w:hAnsi="Arial" w:cs="Arial"/>
                <w:b/>
                <w:bCs/>
              </w:rPr>
              <w:t>Project</w:t>
            </w:r>
          </w:p>
        </w:tc>
        <w:tc>
          <w:tcPr>
            <w:tcW w:w="0" w:type="auto"/>
            <w:vAlign w:val="center"/>
            <w:hideMark/>
          </w:tcPr>
          <w:p w14:paraId="04138EDB" w14:textId="77777777" w:rsidR="00A15527" w:rsidRPr="00A15527" w:rsidRDefault="00A15527" w:rsidP="00A15527">
            <w:pPr>
              <w:rPr>
                <w:rFonts w:ascii="Arial" w:hAnsi="Arial" w:cs="Arial"/>
                <w:b/>
                <w:bCs/>
              </w:rPr>
            </w:pPr>
            <w:r w:rsidRPr="00A15527">
              <w:rPr>
                <w:rFonts w:ascii="Arial" w:hAnsi="Arial" w:cs="Arial"/>
                <w:b/>
                <w:bCs/>
              </w:rPr>
              <w:t>Initial (£m)</w:t>
            </w:r>
          </w:p>
        </w:tc>
        <w:tc>
          <w:tcPr>
            <w:tcW w:w="0" w:type="auto"/>
            <w:vAlign w:val="center"/>
            <w:hideMark/>
          </w:tcPr>
          <w:p w14:paraId="7D5C2585" w14:textId="77777777" w:rsidR="00A15527" w:rsidRPr="00A15527" w:rsidRDefault="00A15527" w:rsidP="00A15527">
            <w:pPr>
              <w:rPr>
                <w:rFonts w:ascii="Arial" w:hAnsi="Arial" w:cs="Arial"/>
                <w:b/>
                <w:bCs/>
              </w:rPr>
            </w:pPr>
            <w:r w:rsidRPr="00A15527">
              <w:rPr>
                <w:rFonts w:ascii="Arial" w:hAnsi="Arial" w:cs="Arial"/>
                <w:b/>
                <w:bCs/>
              </w:rPr>
              <w:t>Cumulative Payback Year</w:t>
            </w:r>
          </w:p>
        </w:tc>
        <w:tc>
          <w:tcPr>
            <w:tcW w:w="0" w:type="auto"/>
            <w:vAlign w:val="center"/>
            <w:hideMark/>
          </w:tcPr>
          <w:p w14:paraId="531867D6" w14:textId="77777777" w:rsidR="00A15527" w:rsidRPr="00A15527" w:rsidRDefault="00A15527" w:rsidP="00A15527">
            <w:pPr>
              <w:rPr>
                <w:rFonts w:ascii="Arial" w:hAnsi="Arial" w:cs="Arial"/>
                <w:b/>
                <w:bCs/>
              </w:rPr>
            </w:pPr>
            <w:r w:rsidRPr="00A15527">
              <w:rPr>
                <w:rFonts w:ascii="Arial" w:hAnsi="Arial" w:cs="Arial"/>
                <w:b/>
                <w:bCs/>
              </w:rPr>
              <w:t>PBP</w:t>
            </w:r>
          </w:p>
        </w:tc>
      </w:tr>
      <w:tr w:rsidR="00A15527" w:rsidRPr="00A15527" w14:paraId="21B54332" w14:textId="77777777">
        <w:trPr>
          <w:tblCellSpacing w:w="15" w:type="dxa"/>
        </w:trPr>
        <w:tc>
          <w:tcPr>
            <w:tcW w:w="0" w:type="auto"/>
            <w:vAlign w:val="center"/>
            <w:hideMark/>
          </w:tcPr>
          <w:p w14:paraId="404566E8" w14:textId="77777777" w:rsidR="00A15527" w:rsidRPr="00A15527" w:rsidRDefault="00A15527" w:rsidP="00A15527">
            <w:pPr>
              <w:rPr>
                <w:rFonts w:ascii="Arial" w:hAnsi="Arial" w:cs="Arial"/>
              </w:rPr>
            </w:pPr>
            <w:r w:rsidRPr="00A15527">
              <w:rPr>
                <w:rFonts w:ascii="Arial" w:hAnsi="Arial" w:cs="Arial"/>
              </w:rPr>
              <w:t>A</w:t>
            </w:r>
          </w:p>
        </w:tc>
        <w:tc>
          <w:tcPr>
            <w:tcW w:w="0" w:type="auto"/>
            <w:vAlign w:val="center"/>
            <w:hideMark/>
          </w:tcPr>
          <w:p w14:paraId="41899B7D" w14:textId="77777777" w:rsidR="00A15527" w:rsidRPr="00A15527" w:rsidRDefault="00A15527" w:rsidP="00A15527">
            <w:pPr>
              <w:rPr>
                <w:rFonts w:ascii="Arial" w:hAnsi="Arial" w:cs="Arial"/>
              </w:rPr>
            </w:pPr>
            <w:r w:rsidRPr="00A15527">
              <w:rPr>
                <w:rFonts w:ascii="Arial" w:hAnsi="Arial" w:cs="Arial"/>
              </w:rPr>
              <w:t>40</w:t>
            </w:r>
          </w:p>
        </w:tc>
        <w:tc>
          <w:tcPr>
            <w:tcW w:w="0" w:type="auto"/>
            <w:vAlign w:val="center"/>
            <w:hideMark/>
          </w:tcPr>
          <w:p w14:paraId="571ECFA5" w14:textId="77777777" w:rsidR="00A15527" w:rsidRPr="00A15527" w:rsidRDefault="00A15527" w:rsidP="00A15527">
            <w:pPr>
              <w:rPr>
                <w:rFonts w:ascii="Arial" w:hAnsi="Arial" w:cs="Arial"/>
              </w:rPr>
            </w:pPr>
            <w:r w:rsidRPr="00A15527">
              <w:rPr>
                <w:rFonts w:ascii="Arial" w:hAnsi="Arial" w:cs="Arial"/>
              </w:rPr>
              <w:t>Year 3–4</w:t>
            </w:r>
          </w:p>
        </w:tc>
        <w:tc>
          <w:tcPr>
            <w:tcW w:w="0" w:type="auto"/>
            <w:vAlign w:val="center"/>
            <w:hideMark/>
          </w:tcPr>
          <w:p w14:paraId="5410C07C" w14:textId="77777777" w:rsidR="00A15527" w:rsidRPr="00A15527" w:rsidRDefault="00A15527" w:rsidP="00A15527">
            <w:pPr>
              <w:rPr>
                <w:rFonts w:ascii="Arial" w:hAnsi="Arial" w:cs="Arial"/>
              </w:rPr>
            </w:pPr>
            <w:r w:rsidRPr="00A15527">
              <w:rPr>
                <w:rFonts w:ascii="Arial" w:hAnsi="Arial" w:cs="Arial"/>
              </w:rPr>
              <w:t>~3.1 years</w:t>
            </w:r>
          </w:p>
        </w:tc>
      </w:tr>
      <w:tr w:rsidR="00A15527" w:rsidRPr="00A15527" w14:paraId="4611E4CD" w14:textId="77777777">
        <w:trPr>
          <w:tblCellSpacing w:w="15" w:type="dxa"/>
        </w:trPr>
        <w:tc>
          <w:tcPr>
            <w:tcW w:w="0" w:type="auto"/>
            <w:vAlign w:val="center"/>
            <w:hideMark/>
          </w:tcPr>
          <w:p w14:paraId="41DF8917" w14:textId="77777777" w:rsidR="00A15527" w:rsidRPr="00A15527" w:rsidRDefault="00A15527" w:rsidP="00A15527">
            <w:pPr>
              <w:rPr>
                <w:rFonts w:ascii="Arial" w:hAnsi="Arial" w:cs="Arial"/>
              </w:rPr>
            </w:pPr>
            <w:r w:rsidRPr="00A15527">
              <w:rPr>
                <w:rFonts w:ascii="Arial" w:hAnsi="Arial" w:cs="Arial"/>
              </w:rPr>
              <w:t>B</w:t>
            </w:r>
          </w:p>
        </w:tc>
        <w:tc>
          <w:tcPr>
            <w:tcW w:w="0" w:type="auto"/>
            <w:vAlign w:val="center"/>
            <w:hideMark/>
          </w:tcPr>
          <w:p w14:paraId="379B0C7A" w14:textId="77777777" w:rsidR="00A15527" w:rsidRPr="00A15527" w:rsidRDefault="00A15527" w:rsidP="00A15527">
            <w:pPr>
              <w:rPr>
                <w:rFonts w:ascii="Arial" w:hAnsi="Arial" w:cs="Arial"/>
              </w:rPr>
            </w:pPr>
            <w:r w:rsidRPr="00A15527">
              <w:rPr>
                <w:rFonts w:ascii="Arial" w:hAnsi="Arial" w:cs="Arial"/>
              </w:rPr>
              <w:t>30</w:t>
            </w:r>
          </w:p>
        </w:tc>
        <w:tc>
          <w:tcPr>
            <w:tcW w:w="0" w:type="auto"/>
            <w:vAlign w:val="center"/>
            <w:hideMark/>
          </w:tcPr>
          <w:p w14:paraId="523A64FC" w14:textId="77777777" w:rsidR="00A15527" w:rsidRPr="00A15527" w:rsidRDefault="00A15527" w:rsidP="00A15527">
            <w:pPr>
              <w:rPr>
                <w:rFonts w:ascii="Arial" w:hAnsi="Arial" w:cs="Arial"/>
              </w:rPr>
            </w:pPr>
            <w:r w:rsidRPr="00A15527">
              <w:rPr>
                <w:rFonts w:ascii="Arial" w:hAnsi="Arial" w:cs="Arial"/>
              </w:rPr>
              <w:t>Year 5</w:t>
            </w:r>
          </w:p>
        </w:tc>
        <w:tc>
          <w:tcPr>
            <w:tcW w:w="0" w:type="auto"/>
            <w:vAlign w:val="center"/>
            <w:hideMark/>
          </w:tcPr>
          <w:p w14:paraId="2540E806" w14:textId="77777777" w:rsidR="00A15527" w:rsidRPr="00A15527" w:rsidRDefault="00A15527" w:rsidP="00A15527">
            <w:pPr>
              <w:rPr>
                <w:rFonts w:ascii="Arial" w:hAnsi="Arial" w:cs="Arial"/>
              </w:rPr>
            </w:pPr>
            <w:r w:rsidRPr="00A15527">
              <w:rPr>
                <w:rFonts w:ascii="Arial" w:hAnsi="Arial" w:cs="Arial"/>
              </w:rPr>
              <w:t>5 years</w:t>
            </w:r>
          </w:p>
        </w:tc>
      </w:tr>
      <w:tr w:rsidR="00A15527" w:rsidRPr="00A15527" w14:paraId="4698379B" w14:textId="77777777">
        <w:trPr>
          <w:tblCellSpacing w:w="15" w:type="dxa"/>
        </w:trPr>
        <w:tc>
          <w:tcPr>
            <w:tcW w:w="0" w:type="auto"/>
            <w:vAlign w:val="center"/>
            <w:hideMark/>
          </w:tcPr>
          <w:p w14:paraId="37837646" w14:textId="77777777" w:rsidR="00A15527" w:rsidRPr="00A15527" w:rsidRDefault="00A15527" w:rsidP="00A15527">
            <w:pPr>
              <w:rPr>
                <w:rFonts w:ascii="Arial" w:hAnsi="Arial" w:cs="Arial"/>
              </w:rPr>
            </w:pPr>
            <w:r w:rsidRPr="00A15527">
              <w:rPr>
                <w:rFonts w:ascii="Arial" w:hAnsi="Arial" w:cs="Arial"/>
              </w:rPr>
              <w:t>C</w:t>
            </w:r>
          </w:p>
        </w:tc>
        <w:tc>
          <w:tcPr>
            <w:tcW w:w="0" w:type="auto"/>
            <w:vAlign w:val="center"/>
            <w:hideMark/>
          </w:tcPr>
          <w:p w14:paraId="495D2130" w14:textId="77777777" w:rsidR="00A15527" w:rsidRPr="00A15527" w:rsidRDefault="00A15527" w:rsidP="00A15527">
            <w:pPr>
              <w:rPr>
                <w:rFonts w:ascii="Arial" w:hAnsi="Arial" w:cs="Arial"/>
              </w:rPr>
            </w:pPr>
            <w:r w:rsidRPr="00A15527">
              <w:rPr>
                <w:rFonts w:ascii="Arial" w:hAnsi="Arial" w:cs="Arial"/>
              </w:rPr>
              <w:t>50</w:t>
            </w:r>
          </w:p>
        </w:tc>
        <w:tc>
          <w:tcPr>
            <w:tcW w:w="0" w:type="auto"/>
            <w:vAlign w:val="center"/>
            <w:hideMark/>
          </w:tcPr>
          <w:p w14:paraId="14CF0C67" w14:textId="77777777" w:rsidR="00A15527" w:rsidRPr="00A15527" w:rsidRDefault="00A15527" w:rsidP="00A15527">
            <w:pPr>
              <w:rPr>
                <w:rFonts w:ascii="Arial" w:hAnsi="Arial" w:cs="Arial"/>
              </w:rPr>
            </w:pPr>
            <w:r w:rsidRPr="00A15527">
              <w:rPr>
                <w:rFonts w:ascii="Arial" w:hAnsi="Arial" w:cs="Arial"/>
              </w:rPr>
              <w:t>Year 3–4</w:t>
            </w:r>
          </w:p>
        </w:tc>
        <w:tc>
          <w:tcPr>
            <w:tcW w:w="0" w:type="auto"/>
            <w:vAlign w:val="center"/>
            <w:hideMark/>
          </w:tcPr>
          <w:p w14:paraId="661B765A" w14:textId="77777777" w:rsidR="00A15527" w:rsidRPr="00A15527" w:rsidRDefault="00A15527" w:rsidP="00A15527">
            <w:pPr>
              <w:rPr>
                <w:rFonts w:ascii="Arial" w:hAnsi="Arial" w:cs="Arial"/>
              </w:rPr>
            </w:pPr>
            <w:r w:rsidRPr="00A15527">
              <w:rPr>
                <w:rFonts w:ascii="Arial" w:hAnsi="Arial" w:cs="Arial"/>
              </w:rPr>
              <w:t>~3.5 years</w:t>
            </w:r>
          </w:p>
        </w:tc>
      </w:tr>
    </w:tbl>
    <w:p w14:paraId="589A1823" w14:textId="77777777" w:rsidR="00A15527" w:rsidRPr="00A15527" w:rsidRDefault="00A15527" w:rsidP="00A15527">
      <w:pPr>
        <w:rPr>
          <w:rFonts w:ascii="Arial" w:hAnsi="Arial" w:cs="Arial"/>
        </w:rPr>
      </w:pPr>
      <w:r w:rsidRPr="00A15527">
        <w:rPr>
          <w:rFonts w:ascii="Arial" w:hAnsi="Arial" w:cs="Arial"/>
        </w:rPr>
        <w:t>Project A recovers investment fastest.</w:t>
      </w:r>
    </w:p>
    <w:p w14:paraId="2A9CE6F6" w14:textId="3022AF19" w:rsidR="00A15527" w:rsidRPr="00A15527" w:rsidRDefault="00A15527" w:rsidP="00A15527">
      <w:pPr>
        <w:rPr>
          <w:rFonts w:ascii="Arial" w:hAnsi="Arial" w:cs="Arial"/>
        </w:rPr>
      </w:pPr>
    </w:p>
    <w:p w14:paraId="60552296" w14:textId="77777777" w:rsidR="00A15527" w:rsidRPr="00A15527" w:rsidRDefault="00A15527" w:rsidP="00A15527">
      <w:pPr>
        <w:rPr>
          <w:rFonts w:ascii="Arial" w:hAnsi="Arial" w:cs="Arial"/>
          <w:b/>
          <w:bCs/>
        </w:rPr>
      </w:pPr>
      <w:r w:rsidRPr="00A15527">
        <w:rPr>
          <w:rFonts w:ascii="Arial" w:hAnsi="Arial" w:cs="Arial"/>
          <w:b/>
          <w:bCs/>
        </w:rPr>
        <w:t>5.2 Accounting Rate of Return (ARR)</w:t>
      </w:r>
    </w:p>
    <w:p w14:paraId="3D1CCFAD" w14:textId="77777777" w:rsidR="00A15527" w:rsidRPr="00A15527" w:rsidRDefault="00A15527" w:rsidP="00A15527">
      <w:pPr>
        <w:rPr>
          <w:rFonts w:ascii="Arial" w:hAnsi="Arial" w:cs="Arial"/>
        </w:rPr>
      </w:pPr>
      <w:r w:rsidRPr="00A15527">
        <w:rPr>
          <w:rFonts w:ascii="Arial" w:hAnsi="Arial" w:cs="Arial"/>
        </w:rPr>
        <w:t>Average profit = Average cash inflow – depreciation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1"/>
        <w:gridCol w:w="4219"/>
        <w:gridCol w:w="552"/>
      </w:tblGrid>
      <w:tr w:rsidR="00A15527" w:rsidRPr="00A15527" w14:paraId="0199344D" w14:textId="77777777">
        <w:trPr>
          <w:tblHeader/>
          <w:tblCellSpacing w:w="15" w:type="dxa"/>
        </w:trPr>
        <w:tc>
          <w:tcPr>
            <w:tcW w:w="0" w:type="auto"/>
            <w:vAlign w:val="center"/>
            <w:hideMark/>
          </w:tcPr>
          <w:p w14:paraId="1557EB01" w14:textId="77777777" w:rsidR="00A15527" w:rsidRPr="00A15527" w:rsidRDefault="00A15527" w:rsidP="00A15527">
            <w:pPr>
              <w:rPr>
                <w:rFonts w:ascii="Arial" w:hAnsi="Arial" w:cs="Arial"/>
                <w:b/>
                <w:bCs/>
              </w:rPr>
            </w:pPr>
            <w:r w:rsidRPr="00A15527">
              <w:rPr>
                <w:rFonts w:ascii="Arial" w:hAnsi="Arial" w:cs="Arial"/>
                <w:b/>
                <w:bCs/>
              </w:rPr>
              <w:t>Project</w:t>
            </w:r>
          </w:p>
        </w:tc>
        <w:tc>
          <w:tcPr>
            <w:tcW w:w="0" w:type="auto"/>
            <w:vAlign w:val="center"/>
            <w:hideMark/>
          </w:tcPr>
          <w:p w14:paraId="68DF3FF4" w14:textId="77777777" w:rsidR="00A15527" w:rsidRPr="00A15527" w:rsidRDefault="00A15527" w:rsidP="00A15527">
            <w:pPr>
              <w:rPr>
                <w:rFonts w:ascii="Arial" w:hAnsi="Arial" w:cs="Arial"/>
                <w:b/>
                <w:bCs/>
              </w:rPr>
            </w:pPr>
            <w:r w:rsidRPr="00A15527">
              <w:rPr>
                <w:rFonts w:ascii="Arial" w:hAnsi="Arial" w:cs="Arial"/>
                <w:b/>
                <w:bCs/>
              </w:rPr>
              <w:t>Average Profit (£m)</w:t>
            </w:r>
          </w:p>
        </w:tc>
        <w:tc>
          <w:tcPr>
            <w:tcW w:w="0" w:type="auto"/>
            <w:vAlign w:val="center"/>
            <w:hideMark/>
          </w:tcPr>
          <w:p w14:paraId="57A5757D" w14:textId="77777777" w:rsidR="00A15527" w:rsidRPr="00A15527" w:rsidRDefault="00A15527" w:rsidP="00A15527">
            <w:pPr>
              <w:rPr>
                <w:rFonts w:ascii="Arial" w:hAnsi="Arial" w:cs="Arial"/>
                <w:b/>
                <w:bCs/>
              </w:rPr>
            </w:pPr>
            <w:r w:rsidRPr="00A15527">
              <w:rPr>
                <w:rFonts w:ascii="Arial" w:hAnsi="Arial" w:cs="Arial"/>
                <w:b/>
                <w:bCs/>
              </w:rPr>
              <w:t>ARR</w:t>
            </w:r>
          </w:p>
        </w:tc>
      </w:tr>
      <w:tr w:rsidR="00A15527" w:rsidRPr="00A15527" w14:paraId="51EF4000" w14:textId="77777777">
        <w:trPr>
          <w:tblCellSpacing w:w="15" w:type="dxa"/>
        </w:trPr>
        <w:tc>
          <w:tcPr>
            <w:tcW w:w="0" w:type="auto"/>
            <w:vAlign w:val="center"/>
            <w:hideMark/>
          </w:tcPr>
          <w:p w14:paraId="6D78130F" w14:textId="77777777" w:rsidR="00A15527" w:rsidRPr="00A15527" w:rsidRDefault="00A15527" w:rsidP="00A15527">
            <w:pPr>
              <w:rPr>
                <w:rFonts w:ascii="Arial" w:hAnsi="Arial" w:cs="Arial"/>
              </w:rPr>
            </w:pPr>
            <w:r w:rsidRPr="00A15527">
              <w:rPr>
                <w:rFonts w:ascii="Arial" w:hAnsi="Arial" w:cs="Arial"/>
              </w:rPr>
              <w:t>A</w:t>
            </w:r>
          </w:p>
        </w:tc>
        <w:tc>
          <w:tcPr>
            <w:tcW w:w="0" w:type="auto"/>
            <w:vAlign w:val="center"/>
            <w:hideMark/>
          </w:tcPr>
          <w:p w14:paraId="32802348" w14:textId="77777777" w:rsidR="00A15527" w:rsidRPr="00A15527" w:rsidRDefault="00A15527" w:rsidP="00A15527">
            <w:pPr>
              <w:rPr>
                <w:rFonts w:ascii="Arial" w:hAnsi="Arial" w:cs="Arial"/>
              </w:rPr>
            </w:pPr>
            <w:r w:rsidRPr="00A15527">
              <w:rPr>
                <w:rFonts w:ascii="Arial" w:hAnsi="Arial" w:cs="Arial"/>
              </w:rPr>
              <w:t>(10+12+14+10+8)/5 – 8 = 8.8m – 8 = 0.8m</w:t>
            </w:r>
          </w:p>
        </w:tc>
        <w:tc>
          <w:tcPr>
            <w:tcW w:w="0" w:type="auto"/>
            <w:vAlign w:val="center"/>
            <w:hideMark/>
          </w:tcPr>
          <w:p w14:paraId="78D657B2" w14:textId="77777777" w:rsidR="00A15527" w:rsidRPr="00A15527" w:rsidRDefault="00A15527" w:rsidP="00A15527">
            <w:pPr>
              <w:rPr>
                <w:rFonts w:ascii="Arial" w:hAnsi="Arial" w:cs="Arial"/>
              </w:rPr>
            </w:pPr>
            <w:r w:rsidRPr="00A15527">
              <w:rPr>
                <w:rFonts w:ascii="Arial" w:hAnsi="Arial" w:cs="Arial"/>
              </w:rPr>
              <w:t>≈2%</w:t>
            </w:r>
          </w:p>
        </w:tc>
      </w:tr>
      <w:tr w:rsidR="00A15527" w:rsidRPr="00A15527" w14:paraId="53F8979A" w14:textId="77777777">
        <w:trPr>
          <w:tblCellSpacing w:w="15" w:type="dxa"/>
        </w:trPr>
        <w:tc>
          <w:tcPr>
            <w:tcW w:w="0" w:type="auto"/>
            <w:vAlign w:val="center"/>
            <w:hideMark/>
          </w:tcPr>
          <w:p w14:paraId="62770F0C" w14:textId="77777777" w:rsidR="00A15527" w:rsidRPr="00A15527" w:rsidRDefault="00A15527" w:rsidP="00A15527">
            <w:pPr>
              <w:rPr>
                <w:rFonts w:ascii="Arial" w:hAnsi="Arial" w:cs="Arial"/>
              </w:rPr>
            </w:pPr>
            <w:r w:rsidRPr="00A15527">
              <w:rPr>
                <w:rFonts w:ascii="Arial" w:hAnsi="Arial" w:cs="Arial"/>
              </w:rPr>
              <w:t>B</w:t>
            </w:r>
          </w:p>
        </w:tc>
        <w:tc>
          <w:tcPr>
            <w:tcW w:w="0" w:type="auto"/>
            <w:vAlign w:val="center"/>
            <w:hideMark/>
          </w:tcPr>
          <w:p w14:paraId="0C893167" w14:textId="77777777" w:rsidR="00A15527" w:rsidRPr="00A15527" w:rsidRDefault="00A15527" w:rsidP="00A15527">
            <w:pPr>
              <w:rPr>
                <w:rFonts w:ascii="Arial" w:hAnsi="Arial" w:cs="Arial"/>
              </w:rPr>
            </w:pPr>
            <w:r w:rsidRPr="00A15527">
              <w:rPr>
                <w:rFonts w:ascii="Arial" w:hAnsi="Arial" w:cs="Arial"/>
              </w:rPr>
              <w:t>(6+6+6+6+6)/5 – 6 = 6 – 6 = 0</w:t>
            </w:r>
          </w:p>
        </w:tc>
        <w:tc>
          <w:tcPr>
            <w:tcW w:w="0" w:type="auto"/>
            <w:vAlign w:val="center"/>
            <w:hideMark/>
          </w:tcPr>
          <w:p w14:paraId="0639016E" w14:textId="77777777" w:rsidR="00A15527" w:rsidRPr="00A15527" w:rsidRDefault="00A15527" w:rsidP="00A15527">
            <w:pPr>
              <w:rPr>
                <w:rFonts w:ascii="Arial" w:hAnsi="Arial" w:cs="Arial"/>
              </w:rPr>
            </w:pPr>
            <w:r w:rsidRPr="00A15527">
              <w:rPr>
                <w:rFonts w:ascii="Arial" w:hAnsi="Arial" w:cs="Arial"/>
              </w:rPr>
              <w:t>0%</w:t>
            </w:r>
          </w:p>
        </w:tc>
      </w:tr>
      <w:tr w:rsidR="00A15527" w:rsidRPr="00A15527" w14:paraId="505D771E" w14:textId="77777777">
        <w:trPr>
          <w:tblCellSpacing w:w="15" w:type="dxa"/>
        </w:trPr>
        <w:tc>
          <w:tcPr>
            <w:tcW w:w="0" w:type="auto"/>
            <w:vAlign w:val="center"/>
            <w:hideMark/>
          </w:tcPr>
          <w:p w14:paraId="02DCC318" w14:textId="77777777" w:rsidR="00A15527" w:rsidRPr="00A15527" w:rsidRDefault="00A15527" w:rsidP="00A15527">
            <w:pPr>
              <w:rPr>
                <w:rFonts w:ascii="Arial" w:hAnsi="Arial" w:cs="Arial"/>
              </w:rPr>
            </w:pPr>
            <w:r w:rsidRPr="00A15527">
              <w:rPr>
                <w:rFonts w:ascii="Arial" w:hAnsi="Arial" w:cs="Arial"/>
              </w:rPr>
              <w:t>C</w:t>
            </w:r>
          </w:p>
        </w:tc>
        <w:tc>
          <w:tcPr>
            <w:tcW w:w="0" w:type="auto"/>
            <w:vAlign w:val="center"/>
            <w:hideMark/>
          </w:tcPr>
          <w:p w14:paraId="6A352285" w14:textId="77777777" w:rsidR="00A15527" w:rsidRPr="00A15527" w:rsidRDefault="00A15527" w:rsidP="00A15527">
            <w:pPr>
              <w:rPr>
                <w:rFonts w:ascii="Arial" w:hAnsi="Arial" w:cs="Arial"/>
              </w:rPr>
            </w:pPr>
            <w:r w:rsidRPr="00A15527">
              <w:rPr>
                <w:rFonts w:ascii="Arial" w:hAnsi="Arial" w:cs="Arial"/>
              </w:rPr>
              <w:t>(5+10+20+25+15)/5 – 10 = 15 – 10 = 5m</w:t>
            </w:r>
          </w:p>
        </w:tc>
        <w:tc>
          <w:tcPr>
            <w:tcW w:w="0" w:type="auto"/>
            <w:vAlign w:val="center"/>
            <w:hideMark/>
          </w:tcPr>
          <w:p w14:paraId="137A2801" w14:textId="77777777" w:rsidR="00A15527" w:rsidRPr="00A15527" w:rsidRDefault="00A15527" w:rsidP="00A15527">
            <w:pPr>
              <w:rPr>
                <w:rFonts w:ascii="Arial" w:hAnsi="Arial" w:cs="Arial"/>
              </w:rPr>
            </w:pPr>
            <w:r w:rsidRPr="00A15527">
              <w:rPr>
                <w:rFonts w:ascii="Arial" w:hAnsi="Arial" w:cs="Arial"/>
              </w:rPr>
              <w:t>10%</w:t>
            </w:r>
          </w:p>
        </w:tc>
      </w:tr>
    </w:tbl>
    <w:p w14:paraId="2CAFA20D" w14:textId="77777777" w:rsidR="00A15527" w:rsidRPr="00A15527" w:rsidRDefault="00A15527" w:rsidP="00A15527">
      <w:pPr>
        <w:rPr>
          <w:rFonts w:ascii="Arial" w:hAnsi="Arial" w:cs="Arial"/>
        </w:rPr>
      </w:pPr>
      <w:r w:rsidRPr="00A15527">
        <w:rPr>
          <w:rFonts w:ascii="Arial" w:hAnsi="Arial" w:cs="Arial"/>
        </w:rPr>
        <w:t>C produces the strongest ARR.</w:t>
      </w:r>
    </w:p>
    <w:p w14:paraId="68E892A1" w14:textId="3DA425DA" w:rsidR="00A15527" w:rsidRPr="00A15527" w:rsidRDefault="00A15527" w:rsidP="00A15527">
      <w:pPr>
        <w:rPr>
          <w:rFonts w:ascii="Arial" w:hAnsi="Arial" w:cs="Arial"/>
        </w:rPr>
      </w:pPr>
    </w:p>
    <w:p w14:paraId="3D4E1663" w14:textId="77777777" w:rsidR="00A15527" w:rsidRPr="00A15527" w:rsidRDefault="00A15527" w:rsidP="00A15527">
      <w:pPr>
        <w:rPr>
          <w:rFonts w:ascii="Arial" w:hAnsi="Arial" w:cs="Arial"/>
          <w:b/>
          <w:bCs/>
        </w:rPr>
      </w:pPr>
      <w:r w:rsidRPr="00A15527">
        <w:rPr>
          <w:rFonts w:ascii="Arial" w:hAnsi="Arial" w:cs="Arial"/>
          <w:b/>
          <w:bCs/>
        </w:rPr>
        <w:t>5.3 NPV and PI</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1"/>
        <w:gridCol w:w="1038"/>
        <w:gridCol w:w="504"/>
      </w:tblGrid>
      <w:tr w:rsidR="00A15527" w:rsidRPr="00A15527" w14:paraId="62B422F2" w14:textId="77777777">
        <w:trPr>
          <w:tblHeader/>
          <w:tblCellSpacing w:w="15" w:type="dxa"/>
        </w:trPr>
        <w:tc>
          <w:tcPr>
            <w:tcW w:w="0" w:type="auto"/>
            <w:vAlign w:val="center"/>
            <w:hideMark/>
          </w:tcPr>
          <w:p w14:paraId="77BD9D04" w14:textId="77777777" w:rsidR="00A15527" w:rsidRPr="00A15527" w:rsidRDefault="00A15527" w:rsidP="00A15527">
            <w:pPr>
              <w:rPr>
                <w:rFonts w:ascii="Arial" w:hAnsi="Arial" w:cs="Arial"/>
                <w:b/>
                <w:bCs/>
              </w:rPr>
            </w:pPr>
            <w:r w:rsidRPr="00A15527">
              <w:rPr>
                <w:rFonts w:ascii="Arial" w:hAnsi="Arial" w:cs="Arial"/>
                <w:b/>
                <w:bCs/>
              </w:rPr>
              <w:t>Project</w:t>
            </w:r>
          </w:p>
        </w:tc>
        <w:tc>
          <w:tcPr>
            <w:tcW w:w="0" w:type="auto"/>
            <w:vAlign w:val="center"/>
            <w:hideMark/>
          </w:tcPr>
          <w:p w14:paraId="403DA67A" w14:textId="77777777" w:rsidR="00A15527" w:rsidRPr="00A15527" w:rsidRDefault="00A15527" w:rsidP="00A15527">
            <w:pPr>
              <w:rPr>
                <w:rFonts w:ascii="Arial" w:hAnsi="Arial" w:cs="Arial"/>
                <w:b/>
                <w:bCs/>
              </w:rPr>
            </w:pPr>
            <w:r w:rsidRPr="00A15527">
              <w:rPr>
                <w:rFonts w:ascii="Arial" w:hAnsi="Arial" w:cs="Arial"/>
                <w:b/>
                <w:bCs/>
              </w:rPr>
              <w:t>NPV (£m)</w:t>
            </w:r>
          </w:p>
        </w:tc>
        <w:tc>
          <w:tcPr>
            <w:tcW w:w="0" w:type="auto"/>
            <w:vAlign w:val="center"/>
            <w:hideMark/>
          </w:tcPr>
          <w:p w14:paraId="18287243" w14:textId="77777777" w:rsidR="00A15527" w:rsidRPr="00A15527" w:rsidRDefault="00A15527" w:rsidP="00A15527">
            <w:pPr>
              <w:rPr>
                <w:rFonts w:ascii="Arial" w:hAnsi="Arial" w:cs="Arial"/>
                <w:b/>
                <w:bCs/>
              </w:rPr>
            </w:pPr>
            <w:r w:rsidRPr="00A15527">
              <w:rPr>
                <w:rFonts w:ascii="Arial" w:hAnsi="Arial" w:cs="Arial"/>
                <w:b/>
                <w:bCs/>
              </w:rPr>
              <w:t>PI</w:t>
            </w:r>
          </w:p>
        </w:tc>
      </w:tr>
      <w:tr w:rsidR="00A15527" w:rsidRPr="00A15527" w14:paraId="7D373857" w14:textId="77777777">
        <w:trPr>
          <w:tblCellSpacing w:w="15" w:type="dxa"/>
        </w:trPr>
        <w:tc>
          <w:tcPr>
            <w:tcW w:w="0" w:type="auto"/>
            <w:vAlign w:val="center"/>
            <w:hideMark/>
          </w:tcPr>
          <w:p w14:paraId="33AD7701" w14:textId="77777777" w:rsidR="00A15527" w:rsidRPr="00A15527" w:rsidRDefault="00A15527" w:rsidP="00A15527">
            <w:pPr>
              <w:rPr>
                <w:rFonts w:ascii="Arial" w:hAnsi="Arial" w:cs="Arial"/>
              </w:rPr>
            </w:pPr>
            <w:r w:rsidRPr="00A15527">
              <w:rPr>
                <w:rFonts w:ascii="Arial" w:hAnsi="Arial" w:cs="Arial"/>
              </w:rPr>
              <w:t>A</w:t>
            </w:r>
          </w:p>
        </w:tc>
        <w:tc>
          <w:tcPr>
            <w:tcW w:w="0" w:type="auto"/>
            <w:vAlign w:val="center"/>
            <w:hideMark/>
          </w:tcPr>
          <w:p w14:paraId="20BB3A15" w14:textId="77777777" w:rsidR="00A15527" w:rsidRPr="00A15527" w:rsidRDefault="00A15527" w:rsidP="00A15527">
            <w:pPr>
              <w:rPr>
                <w:rFonts w:ascii="Arial" w:hAnsi="Arial" w:cs="Arial"/>
              </w:rPr>
            </w:pPr>
            <w:r w:rsidRPr="00A15527">
              <w:rPr>
                <w:rFonts w:ascii="Arial" w:hAnsi="Arial" w:cs="Arial"/>
              </w:rPr>
              <w:t>≈ £10.1m</w:t>
            </w:r>
          </w:p>
        </w:tc>
        <w:tc>
          <w:tcPr>
            <w:tcW w:w="0" w:type="auto"/>
            <w:vAlign w:val="center"/>
            <w:hideMark/>
          </w:tcPr>
          <w:p w14:paraId="49AFED81" w14:textId="77777777" w:rsidR="00A15527" w:rsidRPr="00A15527" w:rsidRDefault="00A15527" w:rsidP="00A15527">
            <w:pPr>
              <w:rPr>
                <w:rFonts w:ascii="Arial" w:hAnsi="Arial" w:cs="Arial"/>
              </w:rPr>
            </w:pPr>
            <w:r w:rsidRPr="00A15527">
              <w:rPr>
                <w:rFonts w:ascii="Arial" w:hAnsi="Arial" w:cs="Arial"/>
              </w:rPr>
              <w:t>1.25</w:t>
            </w:r>
          </w:p>
        </w:tc>
      </w:tr>
      <w:tr w:rsidR="00A15527" w:rsidRPr="00A15527" w14:paraId="684937E5" w14:textId="77777777">
        <w:trPr>
          <w:tblCellSpacing w:w="15" w:type="dxa"/>
        </w:trPr>
        <w:tc>
          <w:tcPr>
            <w:tcW w:w="0" w:type="auto"/>
            <w:vAlign w:val="center"/>
            <w:hideMark/>
          </w:tcPr>
          <w:p w14:paraId="4A795093" w14:textId="77777777" w:rsidR="00A15527" w:rsidRPr="00A15527" w:rsidRDefault="00A15527" w:rsidP="00A15527">
            <w:pPr>
              <w:rPr>
                <w:rFonts w:ascii="Arial" w:hAnsi="Arial" w:cs="Arial"/>
              </w:rPr>
            </w:pPr>
            <w:r w:rsidRPr="00A15527">
              <w:rPr>
                <w:rFonts w:ascii="Arial" w:hAnsi="Arial" w:cs="Arial"/>
              </w:rPr>
              <w:t>B</w:t>
            </w:r>
          </w:p>
        </w:tc>
        <w:tc>
          <w:tcPr>
            <w:tcW w:w="0" w:type="auto"/>
            <w:vAlign w:val="center"/>
            <w:hideMark/>
          </w:tcPr>
          <w:p w14:paraId="2B14F1B1" w14:textId="77777777" w:rsidR="00A15527" w:rsidRPr="00A15527" w:rsidRDefault="00A15527" w:rsidP="00A15527">
            <w:pPr>
              <w:rPr>
                <w:rFonts w:ascii="Arial" w:hAnsi="Arial" w:cs="Arial"/>
              </w:rPr>
            </w:pPr>
            <w:r w:rsidRPr="00A15527">
              <w:rPr>
                <w:rFonts w:ascii="Arial" w:hAnsi="Arial" w:cs="Arial"/>
              </w:rPr>
              <w:t>≈ –£2.3m</w:t>
            </w:r>
          </w:p>
        </w:tc>
        <w:tc>
          <w:tcPr>
            <w:tcW w:w="0" w:type="auto"/>
            <w:vAlign w:val="center"/>
            <w:hideMark/>
          </w:tcPr>
          <w:p w14:paraId="5D88E86B" w14:textId="77777777" w:rsidR="00A15527" w:rsidRPr="00A15527" w:rsidRDefault="00A15527" w:rsidP="00A15527">
            <w:pPr>
              <w:rPr>
                <w:rFonts w:ascii="Arial" w:hAnsi="Arial" w:cs="Arial"/>
              </w:rPr>
            </w:pPr>
            <w:r w:rsidRPr="00A15527">
              <w:rPr>
                <w:rFonts w:ascii="Arial" w:hAnsi="Arial" w:cs="Arial"/>
              </w:rPr>
              <w:t>&lt;1</w:t>
            </w:r>
          </w:p>
        </w:tc>
      </w:tr>
      <w:tr w:rsidR="00A15527" w:rsidRPr="00A15527" w14:paraId="0493783B" w14:textId="77777777">
        <w:trPr>
          <w:tblCellSpacing w:w="15" w:type="dxa"/>
        </w:trPr>
        <w:tc>
          <w:tcPr>
            <w:tcW w:w="0" w:type="auto"/>
            <w:vAlign w:val="center"/>
            <w:hideMark/>
          </w:tcPr>
          <w:p w14:paraId="5BF24307" w14:textId="77777777" w:rsidR="00A15527" w:rsidRPr="00A15527" w:rsidRDefault="00A15527" w:rsidP="00A15527">
            <w:pPr>
              <w:rPr>
                <w:rFonts w:ascii="Arial" w:hAnsi="Arial" w:cs="Arial"/>
              </w:rPr>
            </w:pPr>
            <w:r w:rsidRPr="00A15527">
              <w:rPr>
                <w:rFonts w:ascii="Arial" w:hAnsi="Arial" w:cs="Arial"/>
              </w:rPr>
              <w:t>C</w:t>
            </w:r>
          </w:p>
        </w:tc>
        <w:tc>
          <w:tcPr>
            <w:tcW w:w="0" w:type="auto"/>
            <w:vAlign w:val="center"/>
            <w:hideMark/>
          </w:tcPr>
          <w:p w14:paraId="78024087" w14:textId="77777777" w:rsidR="00A15527" w:rsidRPr="00A15527" w:rsidRDefault="00A15527" w:rsidP="00A15527">
            <w:pPr>
              <w:rPr>
                <w:rFonts w:ascii="Arial" w:hAnsi="Arial" w:cs="Arial"/>
              </w:rPr>
            </w:pPr>
            <w:r w:rsidRPr="00A15527">
              <w:rPr>
                <w:rFonts w:ascii="Arial" w:hAnsi="Arial" w:cs="Arial"/>
              </w:rPr>
              <w:t>≈ £11.8m</w:t>
            </w:r>
          </w:p>
        </w:tc>
        <w:tc>
          <w:tcPr>
            <w:tcW w:w="0" w:type="auto"/>
            <w:vAlign w:val="center"/>
            <w:hideMark/>
          </w:tcPr>
          <w:p w14:paraId="097264D8" w14:textId="77777777" w:rsidR="00A15527" w:rsidRPr="00A15527" w:rsidRDefault="00A15527" w:rsidP="00A15527">
            <w:pPr>
              <w:rPr>
                <w:rFonts w:ascii="Arial" w:hAnsi="Arial" w:cs="Arial"/>
              </w:rPr>
            </w:pPr>
            <w:r w:rsidRPr="00A15527">
              <w:rPr>
                <w:rFonts w:ascii="Arial" w:hAnsi="Arial" w:cs="Arial"/>
              </w:rPr>
              <w:t>1.24</w:t>
            </w:r>
          </w:p>
        </w:tc>
      </w:tr>
    </w:tbl>
    <w:p w14:paraId="28782708" w14:textId="77777777" w:rsidR="00A15527" w:rsidRPr="00A15527" w:rsidRDefault="00A15527" w:rsidP="00A15527">
      <w:pPr>
        <w:rPr>
          <w:rFonts w:ascii="Arial" w:hAnsi="Arial" w:cs="Arial"/>
        </w:rPr>
      </w:pPr>
      <w:r w:rsidRPr="00A15527">
        <w:rPr>
          <w:rFonts w:ascii="Arial" w:hAnsi="Arial" w:cs="Arial"/>
        </w:rPr>
        <w:t>A and C are viable; B destroys value.</w:t>
      </w:r>
    </w:p>
    <w:p w14:paraId="247E2F35" w14:textId="5D4CF8E1" w:rsidR="00A15527" w:rsidRPr="00A15527" w:rsidRDefault="00A15527" w:rsidP="00A15527">
      <w:pPr>
        <w:rPr>
          <w:rFonts w:ascii="Arial" w:hAnsi="Arial" w:cs="Arial"/>
        </w:rPr>
      </w:pPr>
    </w:p>
    <w:p w14:paraId="17E5BACE" w14:textId="77777777" w:rsidR="00A15527" w:rsidRPr="00A15527" w:rsidRDefault="00A15527" w:rsidP="00A15527">
      <w:pPr>
        <w:rPr>
          <w:rFonts w:ascii="Arial" w:hAnsi="Arial" w:cs="Arial"/>
          <w:b/>
          <w:bCs/>
        </w:rPr>
      </w:pPr>
      <w:r w:rsidRPr="00A15527">
        <w:rPr>
          <w:rFonts w:ascii="Arial" w:hAnsi="Arial" w:cs="Arial"/>
          <w:b/>
          <w:bCs/>
        </w:rPr>
        <w:t>5.4 Internal Rate of Return (IRR)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1"/>
        <w:gridCol w:w="883"/>
      </w:tblGrid>
      <w:tr w:rsidR="00A15527" w:rsidRPr="00A15527" w14:paraId="7F8DC290" w14:textId="77777777">
        <w:trPr>
          <w:tblHeader/>
          <w:tblCellSpacing w:w="15" w:type="dxa"/>
        </w:trPr>
        <w:tc>
          <w:tcPr>
            <w:tcW w:w="0" w:type="auto"/>
            <w:vAlign w:val="center"/>
            <w:hideMark/>
          </w:tcPr>
          <w:p w14:paraId="633C2D4D" w14:textId="77777777" w:rsidR="00A15527" w:rsidRPr="00A15527" w:rsidRDefault="00A15527" w:rsidP="00A15527">
            <w:pPr>
              <w:rPr>
                <w:rFonts w:ascii="Arial" w:hAnsi="Arial" w:cs="Arial"/>
                <w:b/>
                <w:bCs/>
              </w:rPr>
            </w:pPr>
            <w:r w:rsidRPr="00A15527">
              <w:rPr>
                <w:rFonts w:ascii="Arial" w:hAnsi="Arial" w:cs="Arial"/>
                <w:b/>
                <w:bCs/>
              </w:rPr>
              <w:lastRenderedPageBreak/>
              <w:t>Project</w:t>
            </w:r>
          </w:p>
        </w:tc>
        <w:tc>
          <w:tcPr>
            <w:tcW w:w="0" w:type="auto"/>
            <w:vAlign w:val="center"/>
            <w:hideMark/>
          </w:tcPr>
          <w:p w14:paraId="16A2D338" w14:textId="77777777" w:rsidR="00A15527" w:rsidRPr="00A15527" w:rsidRDefault="00A15527" w:rsidP="00A15527">
            <w:pPr>
              <w:rPr>
                <w:rFonts w:ascii="Arial" w:hAnsi="Arial" w:cs="Arial"/>
                <w:b/>
                <w:bCs/>
              </w:rPr>
            </w:pPr>
            <w:r w:rsidRPr="00A15527">
              <w:rPr>
                <w:rFonts w:ascii="Arial" w:hAnsi="Arial" w:cs="Arial"/>
                <w:b/>
                <w:bCs/>
              </w:rPr>
              <w:t>IRR</w:t>
            </w:r>
          </w:p>
        </w:tc>
      </w:tr>
      <w:tr w:rsidR="00A15527" w:rsidRPr="00A15527" w14:paraId="5503AFEA" w14:textId="77777777">
        <w:trPr>
          <w:tblCellSpacing w:w="15" w:type="dxa"/>
        </w:trPr>
        <w:tc>
          <w:tcPr>
            <w:tcW w:w="0" w:type="auto"/>
            <w:vAlign w:val="center"/>
            <w:hideMark/>
          </w:tcPr>
          <w:p w14:paraId="7C6E097E" w14:textId="77777777" w:rsidR="00A15527" w:rsidRPr="00A15527" w:rsidRDefault="00A15527" w:rsidP="00A15527">
            <w:pPr>
              <w:rPr>
                <w:rFonts w:ascii="Arial" w:hAnsi="Arial" w:cs="Arial"/>
              </w:rPr>
            </w:pPr>
            <w:r w:rsidRPr="00A15527">
              <w:rPr>
                <w:rFonts w:ascii="Arial" w:hAnsi="Arial" w:cs="Arial"/>
              </w:rPr>
              <w:t>A</w:t>
            </w:r>
          </w:p>
        </w:tc>
        <w:tc>
          <w:tcPr>
            <w:tcW w:w="0" w:type="auto"/>
            <w:vAlign w:val="center"/>
            <w:hideMark/>
          </w:tcPr>
          <w:p w14:paraId="246F184B" w14:textId="77777777" w:rsidR="00A15527" w:rsidRPr="00A15527" w:rsidRDefault="00A15527" w:rsidP="00A15527">
            <w:pPr>
              <w:rPr>
                <w:rFonts w:ascii="Arial" w:hAnsi="Arial" w:cs="Arial"/>
              </w:rPr>
            </w:pPr>
            <w:r w:rsidRPr="00A15527">
              <w:rPr>
                <w:rFonts w:ascii="Arial" w:hAnsi="Arial" w:cs="Arial"/>
              </w:rPr>
              <w:t>14–15%</w:t>
            </w:r>
          </w:p>
        </w:tc>
      </w:tr>
      <w:tr w:rsidR="00A15527" w:rsidRPr="00A15527" w14:paraId="542922AE" w14:textId="77777777">
        <w:trPr>
          <w:tblCellSpacing w:w="15" w:type="dxa"/>
        </w:trPr>
        <w:tc>
          <w:tcPr>
            <w:tcW w:w="0" w:type="auto"/>
            <w:vAlign w:val="center"/>
            <w:hideMark/>
          </w:tcPr>
          <w:p w14:paraId="09808678" w14:textId="77777777" w:rsidR="00A15527" w:rsidRPr="00A15527" w:rsidRDefault="00A15527" w:rsidP="00A15527">
            <w:pPr>
              <w:rPr>
                <w:rFonts w:ascii="Arial" w:hAnsi="Arial" w:cs="Arial"/>
              </w:rPr>
            </w:pPr>
            <w:r w:rsidRPr="00A15527">
              <w:rPr>
                <w:rFonts w:ascii="Arial" w:hAnsi="Arial" w:cs="Arial"/>
              </w:rPr>
              <w:t>B</w:t>
            </w:r>
          </w:p>
        </w:tc>
        <w:tc>
          <w:tcPr>
            <w:tcW w:w="0" w:type="auto"/>
            <w:vAlign w:val="center"/>
            <w:hideMark/>
          </w:tcPr>
          <w:p w14:paraId="22B350A2" w14:textId="77777777" w:rsidR="00A15527" w:rsidRPr="00A15527" w:rsidRDefault="00A15527" w:rsidP="00A15527">
            <w:pPr>
              <w:rPr>
                <w:rFonts w:ascii="Arial" w:hAnsi="Arial" w:cs="Arial"/>
              </w:rPr>
            </w:pPr>
            <w:r w:rsidRPr="00A15527">
              <w:rPr>
                <w:rFonts w:ascii="Arial" w:hAnsi="Arial" w:cs="Arial"/>
              </w:rPr>
              <w:t>&lt;10%</w:t>
            </w:r>
          </w:p>
        </w:tc>
      </w:tr>
      <w:tr w:rsidR="00A15527" w:rsidRPr="00A15527" w14:paraId="2E29E124" w14:textId="77777777">
        <w:trPr>
          <w:tblCellSpacing w:w="15" w:type="dxa"/>
        </w:trPr>
        <w:tc>
          <w:tcPr>
            <w:tcW w:w="0" w:type="auto"/>
            <w:vAlign w:val="center"/>
            <w:hideMark/>
          </w:tcPr>
          <w:p w14:paraId="49244028" w14:textId="77777777" w:rsidR="00A15527" w:rsidRPr="00A15527" w:rsidRDefault="00A15527" w:rsidP="00A15527">
            <w:pPr>
              <w:rPr>
                <w:rFonts w:ascii="Arial" w:hAnsi="Arial" w:cs="Arial"/>
              </w:rPr>
            </w:pPr>
            <w:r w:rsidRPr="00A15527">
              <w:rPr>
                <w:rFonts w:ascii="Arial" w:hAnsi="Arial" w:cs="Arial"/>
              </w:rPr>
              <w:t>C</w:t>
            </w:r>
          </w:p>
        </w:tc>
        <w:tc>
          <w:tcPr>
            <w:tcW w:w="0" w:type="auto"/>
            <w:vAlign w:val="center"/>
            <w:hideMark/>
          </w:tcPr>
          <w:p w14:paraId="0EBE1B4C" w14:textId="77777777" w:rsidR="00A15527" w:rsidRPr="00A15527" w:rsidRDefault="00A15527" w:rsidP="00A15527">
            <w:pPr>
              <w:rPr>
                <w:rFonts w:ascii="Arial" w:hAnsi="Arial" w:cs="Arial"/>
              </w:rPr>
            </w:pPr>
            <w:r w:rsidRPr="00A15527">
              <w:rPr>
                <w:rFonts w:ascii="Arial" w:hAnsi="Arial" w:cs="Arial"/>
              </w:rPr>
              <w:t>17–18%</w:t>
            </w:r>
          </w:p>
        </w:tc>
      </w:tr>
    </w:tbl>
    <w:p w14:paraId="17AEF434" w14:textId="77777777" w:rsidR="00A15527" w:rsidRPr="00A15527" w:rsidRDefault="00A15527" w:rsidP="00A15527">
      <w:pPr>
        <w:rPr>
          <w:rFonts w:ascii="Arial" w:hAnsi="Arial" w:cs="Arial"/>
        </w:rPr>
      </w:pPr>
      <w:r w:rsidRPr="00A15527">
        <w:rPr>
          <w:rFonts w:ascii="Arial" w:hAnsi="Arial" w:cs="Arial"/>
        </w:rPr>
        <w:t>C is the strongest performer.</w:t>
      </w:r>
    </w:p>
    <w:p w14:paraId="2DDB255D" w14:textId="6CF4C406" w:rsidR="00A15527" w:rsidRPr="00A15527" w:rsidRDefault="00A15527" w:rsidP="00A15527">
      <w:pPr>
        <w:rPr>
          <w:rFonts w:ascii="Arial" w:hAnsi="Arial" w:cs="Arial"/>
        </w:rPr>
      </w:pPr>
    </w:p>
    <w:p w14:paraId="4B353CA6" w14:textId="77777777" w:rsidR="00A15527" w:rsidRPr="00A15527" w:rsidRDefault="00A15527" w:rsidP="00A15527">
      <w:pPr>
        <w:rPr>
          <w:rFonts w:ascii="Arial" w:hAnsi="Arial" w:cs="Arial"/>
          <w:b/>
          <w:bCs/>
        </w:rPr>
      </w:pPr>
      <w:r w:rsidRPr="00A15527">
        <w:rPr>
          <w:rFonts w:ascii="Arial" w:hAnsi="Arial" w:cs="Arial"/>
          <w:b/>
          <w:bCs/>
        </w:rPr>
        <w:t>5.5 Risk Assessment</w:t>
      </w:r>
    </w:p>
    <w:p w14:paraId="54647A4E" w14:textId="77777777" w:rsidR="00A15527" w:rsidRPr="00A15527" w:rsidRDefault="00A15527" w:rsidP="00A15527">
      <w:pPr>
        <w:numPr>
          <w:ilvl w:val="0"/>
          <w:numId w:val="18"/>
        </w:numPr>
        <w:rPr>
          <w:rFonts w:ascii="Arial" w:hAnsi="Arial" w:cs="Arial"/>
        </w:rPr>
      </w:pPr>
      <w:r w:rsidRPr="00A15527">
        <w:rPr>
          <w:rFonts w:ascii="Arial" w:hAnsi="Arial" w:cs="Arial"/>
          <w:b/>
          <w:bCs/>
        </w:rPr>
        <w:t>Project A</w:t>
      </w:r>
      <w:r w:rsidRPr="00A15527">
        <w:rPr>
          <w:rFonts w:ascii="Arial" w:hAnsi="Arial" w:cs="Arial"/>
        </w:rPr>
        <w:t>: Moderate cash flows, relatively stable.</w:t>
      </w:r>
    </w:p>
    <w:p w14:paraId="2DB4DF8C" w14:textId="77777777" w:rsidR="00A15527" w:rsidRPr="00A15527" w:rsidRDefault="00A15527" w:rsidP="00A15527">
      <w:pPr>
        <w:numPr>
          <w:ilvl w:val="0"/>
          <w:numId w:val="18"/>
        </w:numPr>
        <w:rPr>
          <w:rFonts w:ascii="Arial" w:hAnsi="Arial" w:cs="Arial"/>
        </w:rPr>
      </w:pPr>
      <w:r w:rsidRPr="00A15527">
        <w:rPr>
          <w:rFonts w:ascii="Arial" w:hAnsi="Arial" w:cs="Arial"/>
          <w:b/>
          <w:bCs/>
        </w:rPr>
        <w:t>Project B</w:t>
      </w:r>
      <w:r w:rsidRPr="00A15527">
        <w:rPr>
          <w:rFonts w:ascii="Arial" w:hAnsi="Arial" w:cs="Arial"/>
        </w:rPr>
        <w:t>: Low and constant returns; least attractive.</w:t>
      </w:r>
    </w:p>
    <w:p w14:paraId="0EF0D634" w14:textId="77777777" w:rsidR="00A15527" w:rsidRPr="00A15527" w:rsidRDefault="00A15527" w:rsidP="00A15527">
      <w:pPr>
        <w:numPr>
          <w:ilvl w:val="0"/>
          <w:numId w:val="18"/>
        </w:numPr>
        <w:rPr>
          <w:rFonts w:ascii="Arial" w:hAnsi="Arial" w:cs="Arial"/>
        </w:rPr>
      </w:pPr>
      <w:r w:rsidRPr="00A15527">
        <w:rPr>
          <w:rFonts w:ascii="Arial" w:hAnsi="Arial" w:cs="Arial"/>
          <w:b/>
          <w:bCs/>
        </w:rPr>
        <w:t>Project C</w:t>
      </w:r>
      <w:r w:rsidRPr="00A15527">
        <w:rPr>
          <w:rFonts w:ascii="Arial" w:hAnsi="Arial" w:cs="Arial"/>
        </w:rPr>
        <w:t>: Higher variability but strongest value creation, positive long-term strategic fit.</w:t>
      </w:r>
    </w:p>
    <w:p w14:paraId="48564249" w14:textId="40FCA4D8" w:rsidR="00A15527" w:rsidRPr="00A15527" w:rsidRDefault="00A15527" w:rsidP="00A15527">
      <w:pPr>
        <w:rPr>
          <w:rFonts w:ascii="Arial" w:hAnsi="Arial" w:cs="Arial"/>
        </w:rPr>
      </w:pPr>
    </w:p>
    <w:p w14:paraId="3039C99B" w14:textId="77777777" w:rsidR="00A15527" w:rsidRPr="00A15527" w:rsidRDefault="00A15527" w:rsidP="00A15527">
      <w:pPr>
        <w:rPr>
          <w:rFonts w:ascii="Arial" w:hAnsi="Arial" w:cs="Arial"/>
          <w:b/>
          <w:bCs/>
        </w:rPr>
      </w:pPr>
      <w:r w:rsidRPr="00A15527">
        <w:rPr>
          <w:rFonts w:ascii="Arial" w:hAnsi="Arial" w:cs="Arial"/>
          <w:b/>
          <w:bCs/>
        </w:rPr>
        <w:t>5.6 Capital Rationing Decision</w:t>
      </w:r>
    </w:p>
    <w:p w14:paraId="33F8060B" w14:textId="77777777" w:rsidR="00A15527" w:rsidRPr="00A15527" w:rsidRDefault="00A15527" w:rsidP="00A15527">
      <w:pPr>
        <w:rPr>
          <w:rFonts w:ascii="Arial" w:hAnsi="Arial" w:cs="Arial"/>
        </w:rPr>
      </w:pPr>
      <w:r w:rsidRPr="00A15527">
        <w:rPr>
          <w:rFonts w:ascii="Arial" w:hAnsi="Arial" w:cs="Arial"/>
        </w:rPr>
        <w:t>Available capital: £60m.</w:t>
      </w:r>
    </w:p>
    <w:p w14:paraId="4D0C9974" w14:textId="77777777" w:rsidR="00A15527" w:rsidRPr="00A15527" w:rsidRDefault="00A15527" w:rsidP="00A15527">
      <w:pPr>
        <w:rPr>
          <w:rFonts w:ascii="Arial" w:hAnsi="Arial" w:cs="Arial"/>
        </w:rPr>
      </w:pPr>
      <w:r w:rsidRPr="00A15527">
        <w:rPr>
          <w:rFonts w:ascii="Arial" w:hAnsi="Arial" w:cs="Arial"/>
        </w:rPr>
        <w:t>Possible portfolios:</w:t>
      </w:r>
    </w:p>
    <w:p w14:paraId="7767DF96" w14:textId="77777777" w:rsidR="00A15527" w:rsidRPr="00A15527" w:rsidRDefault="00A15527" w:rsidP="00A15527">
      <w:pPr>
        <w:numPr>
          <w:ilvl w:val="0"/>
          <w:numId w:val="19"/>
        </w:numPr>
        <w:rPr>
          <w:rFonts w:ascii="Arial" w:hAnsi="Arial" w:cs="Arial"/>
        </w:rPr>
      </w:pPr>
      <w:r w:rsidRPr="00A15527">
        <w:rPr>
          <w:rFonts w:ascii="Arial" w:hAnsi="Arial" w:cs="Arial"/>
        </w:rPr>
        <w:t xml:space="preserve">A + B = £70m → </w:t>
      </w:r>
      <w:r w:rsidRPr="00A15527">
        <w:rPr>
          <w:rFonts w:ascii="Arial" w:hAnsi="Arial" w:cs="Arial"/>
          <w:b/>
          <w:bCs/>
        </w:rPr>
        <w:t>reject</w:t>
      </w:r>
    </w:p>
    <w:p w14:paraId="66F985A3" w14:textId="77777777" w:rsidR="00A15527" w:rsidRPr="00A15527" w:rsidRDefault="00A15527" w:rsidP="00A15527">
      <w:pPr>
        <w:numPr>
          <w:ilvl w:val="0"/>
          <w:numId w:val="19"/>
        </w:numPr>
        <w:rPr>
          <w:rFonts w:ascii="Arial" w:hAnsi="Arial" w:cs="Arial"/>
        </w:rPr>
      </w:pPr>
      <w:r w:rsidRPr="00A15527">
        <w:rPr>
          <w:rFonts w:ascii="Arial" w:hAnsi="Arial" w:cs="Arial"/>
        </w:rPr>
        <w:t xml:space="preserve">A + C = £90m → </w:t>
      </w:r>
      <w:r w:rsidRPr="00A15527">
        <w:rPr>
          <w:rFonts w:ascii="Arial" w:hAnsi="Arial" w:cs="Arial"/>
          <w:b/>
          <w:bCs/>
        </w:rPr>
        <w:t>reject</w:t>
      </w:r>
    </w:p>
    <w:p w14:paraId="0D8899B5" w14:textId="77777777" w:rsidR="00A15527" w:rsidRPr="00A15527" w:rsidRDefault="00A15527" w:rsidP="00A15527">
      <w:pPr>
        <w:numPr>
          <w:ilvl w:val="0"/>
          <w:numId w:val="19"/>
        </w:numPr>
        <w:rPr>
          <w:rFonts w:ascii="Arial" w:hAnsi="Arial" w:cs="Arial"/>
        </w:rPr>
      </w:pPr>
      <w:r w:rsidRPr="00A15527">
        <w:rPr>
          <w:rFonts w:ascii="Arial" w:hAnsi="Arial" w:cs="Arial"/>
        </w:rPr>
        <w:t xml:space="preserve">B + C = £80m → </w:t>
      </w:r>
      <w:r w:rsidRPr="00A15527">
        <w:rPr>
          <w:rFonts w:ascii="Arial" w:hAnsi="Arial" w:cs="Arial"/>
          <w:b/>
          <w:bCs/>
        </w:rPr>
        <w:t>reject</w:t>
      </w:r>
    </w:p>
    <w:p w14:paraId="4C7D5FEA" w14:textId="77777777" w:rsidR="00A15527" w:rsidRPr="00A15527" w:rsidRDefault="00A15527" w:rsidP="00A15527">
      <w:pPr>
        <w:numPr>
          <w:ilvl w:val="0"/>
          <w:numId w:val="19"/>
        </w:numPr>
        <w:rPr>
          <w:rFonts w:ascii="Arial" w:hAnsi="Arial" w:cs="Arial"/>
        </w:rPr>
      </w:pPr>
      <w:r w:rsidRPr="00A15527">
        <w:rPr>
          <w:rFonts w:ascii="Arial" w:hAnsi="Arial" w:cs="Arial"/>
        </w:rPr>
        <w:t>Only viable single selections: A (£40m) or C (£50m)</w:t>
      </w:r>
    </w:p>
    <w:p w14:paraId="00D55F77" w14:textId="77777777" w:rsidR="00A15527" w:rsidRPr="00A15527" w:rsidRDefault="00A15527" w:rsidP="00A15527">
      <w:pPr>
        <w:rPr>
          <w:rFonts w:ascii="Arial" w:hAnsi="Arial" w:cs="Arial"/>
        </w:rPr>
      </w:pPr>
      <w:r w:rsidRPr="00A15527">
        <w:rPr>
          <w:rFonts w:ascii="Arial" w:hAnsi="Arial" w:cs="Arial"/>
          <w:b/>
          <w:bCs/>
        </w:rPr>
        <w:t>Recommendation: Invest in Project C</w:t>
      </w:r>
      <w:r w:rsidRPr="00A15527">
        <w:rPr>
          <w:rFonts w:ascii="Arial" w:hAnsi="Arial" w:cs="Arial"/>
        </w:rPr>
        <w:t>, due to:</w:t>
      </w:r>
    </w:p>
    <w:p w14:paraId="14BC0856" w14:textId="77777777" w:rsidR="00A15527" w:rsidRPr="00A15527" w:rsidRDefault="00A15527" w:rsidP="00A15527">
      <w:pPr>
        <w:numPr>
          <w:ilvl w:val="0"/>
          <w:numId w:val="20"/>
        </w:numPr>
        <w:rPr>
          <w:rFonts w:ascii="Arial" w:hAnsi="Arial" w:cs="Arial"/>
        </w:rPr>
      </w:pPr>
      <w:r w:rsidRPr="00A15527">
        <w:rPr>
          <w:rFonts w:ascii="Arial" w:hAnsi="Arial" w:cs="Arial"/>
        </w:rPr>
        <w:t>Highest NPV</w:t>
      </w:r>
    </w:p>
    <w:p w14:paraId="0C989640" w14:textId="77777777" w:rsidR="00A15527" w:rsidRPr="00A15527" w:rsidRDefault="00A15527" w:rsidP="00A15527">
      <w:pPr>
        <w:numPr>
          <w:ilvl w:val="0"/>
          <w:numId w:val="20"/>
        </w:numPr>
        <w:rPr>
          <w:rFonts w:ascii="Arial" w:hAnsi="Arial" w:cs="Arial"/>
        </w:rPr>
      </w:pPr>
      <w:r w:rsidRPr="00A15527">
        <w:rPr>
          <w:rFonts w:ascii="Arial" w:hAnsi="Arial" w:cs="Arial"/>
        </w:rPr>
        <w:t>Highest IRR</w:t>
      </w:r>
    </w:p>
    <w:p w14:paraId="54C8CD68" w14:textId="77777777" w:rsidR="00A15527" w:rsidRPr="00A15527" w:rsidRDefault="00A15527" w:rsidP="00A15527">
      <w:pPr>
        <w:numPr>
          <w:ilvl w:val="0"/>
          <w:numId w:val="20"/>
        </w:numPr>
        <w:rPr>
          <w:rFonts w:ascii="Arial" w:hAnsi="Arial" w:cs="Arial"/>
        </w:rPr>
      </w:pPr>
      <w:r w:rsidRPr="00A15527">
        <w:rPr>
          <w:rFonts w:ascii="Arial" w:hAnsi="Arial" w:cs="Arial"/>
        </w:rPr>
        <w:t>Strongest ARR</w:t>
      </w:r>
    </w:p>
    <w:p w14:paraId="367D0129" w14:textId="77777777" w:rsidR="00A15527" w:rsidRPr="00A15527" w:rsidRDefault="00A15527" w:rsidP="00A15527">
      <w:pPr>
        <w:numPr>
          <w:ilvl w:val="0"/>
          <w:numId w:val="20"/>
        </w:numPr>
        <w:rPr>
          <w:rFonts w:ascii="Arial" w:hAnsi="Arial" w:cs="Arial"/>
        </w:rPr>
      </w:pPr>
      <w:r w:rsidRPr="00A15527">
        <w:rPr>
          <w:rFonts w:ascii="Arial" w:hAnsi="Arial" w:cs="Arial"/>
        </w:rPr>
        <w:t>Best long-term cash profile</w:t>
      </w:r>
    </w:p>
    <w:p w14:paraId="74A2531D" w14:textId="77777777" w:rsidR="00A15527" w:rsidRPr="00A15527" w:rsidRDefault="00A15527" w:rsidP="00A15527">
      <w:pPr>
        <w:numPr>
          <w:ilvl w:val="0"/>
          <w:numId w:val="20"/>
        </w:numPr>
        <w:rPr>
          <w:rFonts w:ascii="Arial" w:hAnsi="Arial" w:cs="Arial"/>
        </w:rPr>
      </w:pPr>
      <w:r w:rsidRPr="00A15527">
        <w:rPr>
          <w:rFonts w:ascii="Arial" w:hAnsi="Arial" w:cs="Arial"/>
        </w:rPr>
        <w:t>Alignment with high-growth product areas</w:t>
      </w:r>
    </w:p>
    <w:p w14:paraId="125B7BD8" w14:textId="77777777" w:rsidR="00A15527" w:rsidRPr="00A15527" w:rsidRDefault="00A15527" w:rsidP="00A15527">
      <w:pPr>
        <w:numPr>
          <w:ilvl w:val="0"/>
          <w:numId w:val="20"/>
        </w:numPr>
        <w:rPr>
          <w:rFonts w:ascii="Arial" w:hAnsi="Arial" w:cs="Arial"/>
        </w:rPr>
      </w:pPr>
      <w:r w:rsidRPr="00A15527">
        <w:rPr>
          <w:rFonts w:ascii="Arial" w:hAnsi="Arial" w:cs="Arial"/>
        </w:rPr>
        <w:t>Ability to support recovery during Years 3–5 when cash flows become stronger</w:t>
      </w:r>
    </w:p>
    <w:p w14:paraId="5AAACE21" w14:textId="374CC3FE" w:rsidR="00A15527" w:rsidRPr="00A15527" w:rsidRDefault="00A15527" w:rsidP="00A15527">
      <w:pPr>
        <w:rPr>
          <w:rFonts w:ascii="Arial" w:hAnsi="Arial" w:cs="Arial"/>
        </w:rPr>
      </w:pPr>
    </w:p>
    <w:p w14:paraId="65B2BED3" w14:textId="1707B2BB" w:rsidR="00A15527" w:rsidRPr="00A15527" w:rsidRDefault="00A15527" w:rsidP="00A15527">
      <w:pPr>
        <w:rPr>
          <w:rFonts w:ascii="Arial" w:hAnsi="Arial" w:cs="Arial"/>
          <w:b/>
          <w:bCs/>
        </w:rPr>
      </w:pPr>
      <w:r w:rsidRPr="00A15527">
        <w:rPr>
          <w:rFonts w:ascii="Arial" w:hAnsi="Arial" w:cs="Arial"/>
          <w:b/>
          <w:bCs/>
        </w:rPr>
        <w:t xml:space="preserve">6. Conclusion </w:t>
      </w:r>
    </w:p>
    <w:p w14:paraId="154F81A4" w14:textId="77777777" w:rsidR="00A15527" w:rsidRPr="00A15527" w:rsidRDefault="00A15527" w:rsidP="00A15527">
      <w:pPr>
        <w:rPr>
          <w:rFonts w:ascii="Arial" w:hAnsi="Arial" w:cs="Arial"/>
        </w:rPr>
      </w:pPr>
      <w:r w:rsidRPr="00A15527">
        <w:rPr>
          <w:rFonts w:ascii="Arial" w:hAnsi="Arial" w:cs="Arial"/>
        </w:rPr>
        <w:t>General Electronics is experiencing severe financial distress, triggered by falling revenues, substantial net losses, deteriorating liquidity and rising leverage. Ratio analysis reveals prolonged profitability weakness, inefficient working capital management and increasing solvency risk. The firm’s Altman Z-Score confirms it is inside the bankruptcy “distress zone”. Despite this, GE maintains strong operational cash generation, suggesting that the core business retains underlying strength. With decisive action, recovery is achievable.</w:t>
      </w:r>
    </w:p>
    <w:p w14:paraId="262D3404" w14:textId="77777777" w:rsidR="00A15527" w:rsidRPr="00A15527" w:rsidRDefault="00A15527" w:rsidP="00A15527">
      <w:pPr>
        <w:rPr>
          <w:rFonts w:ascii="Arial" w:hAnsi="Arial" w:cs="Arial"/>
        </w:rPr>
      </w:pPr>
      <w:r w:rsidRPr="00A15527">
        <w:rPr>
          <w:rFonts w:ascii="Arial" w:hAnsi="Arial" w:cs="Arial"/>
        </w:rPr>
        <w:lastRenderedPageBreak/>
        <w:t>Improving working capital performance is essential to stabilising short-term liquidity. Enhanced receivables management, better inventory control, extended payables terms and reduced reliance on short-term credit will shorten the cash operating cycle. Strategic restructuring—including targeted divestitures, equity injections, debt renegotiations and major cost rationalisation—will help restore solvency and strengthen the balance sheet. Attention to global risks and CSR will maintain ethical integrity and long-term stakeholder trust.</w:t>
      </w:r>
    </w:p>
    <w:p w14:paraId="2F314336" w14:textId="77777777" w:rsidR="00A15527" w:rsidRPr="00A15527" w:rsidRDefault="00A15527" w:rsidP="00A15527">
      <w:pPr>
        <w:rPr>
          <w:rFonts w:ascii="Arial" w:hAnsi="Arial" w:cs="Arial"/>
        </w:rPr>
      </w:pPr>
      <w:r w:rsidRPr="00A15527">
        <w:rPr>
          <w:rFonts w:ascii="Arial" w:hAnsi="Arial" w:cs="Arial"/>
        </w:rPr>
        <w:t>The investment appraisal demonstrates that Project C is the most financially attractive under capital rationing constraints. Its superior NPV, IRR and ARR, combined with strong long-term cash flows, make it the ideal project to support GE’s turnaround and build future strategic advantage.</w:t>
      </w:r>
    </w:p>
    <w:p w14:paraId="0FEC4C95" w14:textId="77777777" w:rsidR="00A15527" w:rsidRPr="00A15527" w:rsidRDefault="00A15527" w:rsidP="00A15527">
      <w:pPr>
        <w:rPr>
          <w:rFonts w:ascii="Arial" w:hAnsi="Arial" w:cs="Arial"/>
        </w:rPr>
      </w:pPr>
      <w:r w:rsidRPr="00A15527">
        <w:rPr>
          <w:rFonts w:ascii="Arial" w:hAnsi="Arial" w:cs="Arial"/>
        </w:rPr>
        <w:t>If GE implements the recommendations within this report—strengthening liquidity, restructuring capital, and investing strategically—it can reverse its decline, rebuild shareholder confidence and position itself for sustainable growth in a highly competitive global industry.</w:t>
      </w:r>
    </w:p>
    <w:p w14:paraId="77429B0F" w14:textId="1D60600A" w:rsidR="00A15527" w:rsidRDefault="00A15527" w:rsidP="00A15527">
      <w:pPr>
        <w:rPr>
          <w:rFonts w:ascii="Arial" w:hAnsi="Arial" w:cs="Arial"/>
        </w:rPr>
      </w:pPr>
    </w:p>
    <w:p w14:paraId="65DD823C" w14:textId="77777777" w:rsidR="00A15527" w:rsidRDefault="00A15527" w:rsidP="00A15527">
      <w:pPr>
        <w:rPr>
          <w:rFonts w:ascii="Arial" w:hAnsi="Arial" w:cs="Arial"/>
        </w:rPr>
      </w:pPr>
    </w:p>
    <w:p w14:paraId="335EDAD1" w14:textId="77777777" w:rsidR="00A15527" w:rsidRDefault="00A15527" w:rsidP="00A15527">
      <w:pPr>
        <w:rPr>
          <w:rFonts w:ascii="Arial" w:hAnsi="Arial" w:cs="Arial"/>
        </w:rPr>
      </w:pPr>
    </w:p>
    <w:p w14:paraId="09EF064B" w14:textId="77777777" w:rsidR="00A15527" w:rsidRDefault="00A15527" w:rsidP="00A15527">
      <w:pPr>
        <w:rPr>
          <w:rFonts w:ascii="Arial" w:hAnsi="Arial" w:cs="Arial"/>
        </w:rPr>
      </w:pPr>
    </w:p>
    <w:p w14:paraId="404F1CF7" w14:textId="77777777" w:rsidR="00A15527" w:rsidRDefault="00A15527" w:rsidP="00A15527">
      <w:pPr>
        <w:rPr>
          <w:rFonts w:ascii="Arial" w:hAnsi="Arial" w:cs="Arial"/>
        </w:rPr>
      </w:pPr>
    </w:p>
    <w:p w14:paraId="29A69C71" w14:textId="77777777" w:rsidR="00A15527" w:rsidRDefault="00A15527" w:rsidP="00A15527">
      <w:pPr>
        <w:rPr>
          <w:rFonts w:ascii="Arial" w:hAnsi="Arial" w:cs="Arial"/>
        </w:rPr>
      </w:pPr>
    </w:p>
    <w:p w14:paraId="76C781DD" w14:textId="77777777" w:rsidR="00A15527" w:rsidRDefault="00A15527" w:rsidP="00A15527">
      <w:pPr>
        <w:rPr>
          <w:rFonts w:ascii="Arial" w:hAnsi="Arial" w:cs="Arial"/>
        </w:rPr>
      </w:pPr>
    </w:p>
    <w:p w14:paraId="1D80CFD1" w14:textId="77777777" w:rsidR="00A15527" w:rsidRDefault="00A15527" w:rsidP="00A15527">
      <w:pPr>
        <w:rPr>
          <w:rFonts w:ascii="Arial" w:hAnsi="Arial" w:cs="Arial"/>
        </w:rPr>
      </w:pPr>
    </w:p>
    <w:p w14:paraId="39AA981D" w14:textId="77777777" w:rsidR="00A15527" w:rsidRDefault="00A15527" w:rsidP="00A15527">
      <w:pPr>
        <w:rPr>
          <w:rFonts w:ascii="Arial" w:hAnsi="Arial" w:cs="Arial"/>
        </w:rPr>
      </w:pPr>
    </w:p>
    <w:p w14:paraId="1C9F9131" w14:textId="77777777" w:rsidR="00A15527" w:rsidRDefault="00A15527" w:rsidP="00A15527">
      <w:pPr>
        <w:rPr>
          <w:rFonts w:ascii="Arial" w:hAnsi="Arial" w:cs="Arial"/>
        </w:rPr>
      </w:pPr>
    </w:p>
    <w:p w14:paraId="6203C5B4" w14:textId="77777777" w:rsidR="00A15527" w:rsidRDefault="00A15527" w:rsidP="00A15527">
      <w:pPr>
        <w:rPr>
          <w:rFonts w:ascii="Arial" w:hAnsi="Arial" w:cs="Arial"/>
        </w:rPr>
      </w:pPr>
    </w:p>
    <w:p w14:paraId="1D651928" w14:textId="77777777" w:rsidR="00A15527" w:rsidRDefault="00A15527" w:rsidP="00A15527">
      <w:pPr>
        <w:rPr>
          <w:rFonts w:ascii="Arial" w:hAnsi="Arial" w:cs="Arial"/>
        </w:rPr>
      </w:pPr>
    </w:p>
    <w:p w14:paraId="16D16120" w14:textId="77777777" w:rsidR="00A15527" w:rsidRDefault="00A15527" w:rsidP="00A15527">
      <w:pPr>
        <w:rPr>
          <w:rFonts w:ascii="Arial" w:hAnsi="Arial" w:cs="Arial"/>
        </w:rPr>
      </w:pPr>
    </w:p>
    <w:p w14:paraId="67EEBB9D" w14:textId="77777777" w:rsidR="00A15527" w:rsidRDefault="00A15527" w:rsidP="00A15527">
      <w:pPr>
        <w:rPr>
          <w:rFonts w:ascii="Arial" w:hAnsi="Arial" w:cs="Arial"/>
        </w:rPr>
      </w:pPr>
    </w:p>
    <w:p w14:paraId="418063DE" w14:textId="77777777" w:rsidR="00A15527" w:rsidRDefault="00A15527" w:rsidP="00A15527">
      <w:pPr>
        <w:rPr>
          <w:rFonts w:ascii="Arial" w:hAnsi="Arial" w:cs="Arial"/>
        </w:rPr>
      </w:pPr>
    </w:p>
    <w:p w14:paraId="68FF59A5" w14:textId="77777777" w:rsidR="00A15527" w:rsidRDefault="00A15527" w:rsidP="00A15527">
      <w:pPr>
        <w:rPr>
          <w:rFonts w:ascii="Arial" w:hAnsi="Arial" w:cs="Arial"/>
        </w:rPr>
      </w:pPr>
    </w:p>
    <w:p w14:paraId="6DABCF14" w14:textId="77777777" w:rsidR="00A15527" w:rsidRDefault="00A15527" w:rsidP="00A15527">
      <w:pPr>
        <w:rPr>
          <w:rFonts w:ascii="Arial" w:hAnsi="Arial" w:cs="Arial"/>
        </w:rPr>
      </w:pPr>
    </w:p>
    <w:p w14:paraId="2F7EF105" w14:textId="77777777" w:rsidR="00A15527" w:rsidRDefault="00A15527" w:rsidP="00A15527">
      <w:pPr>
        <w:rPr>
          <w:rFonts w:ascii="Arial" w:hAnsi="Arial" w:cs="Arial"/>
        </w:rPr>
      </w:pPr>
    </w:p>
    <w:p w14:paraId="45DD8745" w14:textId="77777777" w:rsidR="00A15527" w:rsidRDefault="00A15527" w:rsidP="00A15527">
      <w:pPr>
        <w:rPr>
          <w:rFonts w:ascii="Arial" w:hAnsi="Arial" w:cs="Arial"/>
        </w:rPr>
      </w:pPr>
    </w:p>
    <w:p w14:paraId="07136567" w14:textId="77777777" w:rsidR="00A15527" w:rsidRDefault="00A15527" w:rsidP="00A15527">
      <w:pPr>
        <w:rPr>
          <w:rFonts w:ascii="Arial" w:hAnsi="Arial" w:cs="Arial"/>
        </w:rPr>
      </w:pPr>
    </w:p>
    <w:p w14:paraId="5AF7189B" w14:textId="77777777" w:rsidR="00A15527" w:rsidRDefault="00A15527" w:rsidP="00A15527">
      <w:pPr>
        <w:rPr>
          <w:rFonts w:ascii="Arial" w:hAnsi="Arial" w:cs="Arial"/>
        </w:rPr>
      </w:pPr>
    </w:p>
    <w:p w14:paraId="14388FF6" w14:textId="77777777" w:rsidR="00A15527" w:rsidRPr="00A15527" w:rsidRDefault="00A15527" w:rsidP="00A15527">
      <w:pPr>
        <w:rPr>
          <w:rFonts w:ascii="Arial" w:hAnsi="Arial" w:cs="Arial"/>
        </w:rPr>
      </w:pPr>
    </w:p>
    <w:p w14:paraId="514391B9" w14:textId="77777777" w:rsidR="00A15527" w:rsidRPr="00A15527" w:rsidRDefault="00A15527" w:rsidP="00A15527">
      <w:pPr>
        <w:rPr>
          <w:rFonts w:ascii="Arial" w:hAnsi="Arial" w:cs="Arial"/>
          <w:b/>
          <w:bCs/>
        </w:rPr>
      </w:pPr>
      <w:r w:rsidRPr="00A15527">
        <w:rPr>
          <w:rFonts w:ascii="Arial" w:hAnsi="Arial" w:cs="Arial"/>
          <w:b/>
          <w:bCs/>
        </w:rPr>
        <w:lastRenderedPageBreak/>
        <w:t>References (Harvard Style)</w:t>
      </w:r>
    </w:p>
    <w:p w14:paraId="283A490A" w14:textId="77777777" w:rsidR="00A15527" w:rsidRPr="00A15527" w:rsidRDefault="00A15527" w:rsidP="00A15527">
      <w:pPr>
        <w:rPr>
          <w:rFonts w:ascii="Arial" w:hAnsi="Arial" w:cs="Arial"/>
        </w:rPr>
      </w:pPr>
      <w:r w:rsidRPr="00A15527">
        <w:rPr>
          <w:rFonts w:ascii="Arial" w:hAnsi="Arial" w:cs="Arial"/>
        </w:rPr>
        <w:t xml:space="preserve">Altman, E. (2013) </w:t>
      </w:r>
      <w:r w:rsidRPr="00A15527">
        <w:rPr>
          <w:rFonts w:ascii="Arial" w:hAnsi="Arial" w:cs="Arial"/>
          <w:i/>
          <w:iCs/>
        </w:rPr>
        <w:t>Corporate Financial Distress &amp; Bankruptcy</w:t>
      </w:r>
      <w:r w:rsidRPr="00A15527">
        <w:rPr>
          <w:rFonts w:ascii="Arial" w:hAnsi="Arial" w:cs="Arial"/>
        </w:rPr>
        <w:t>. New York: Wiley.</w:t>
      </w:r>
      <w:r w:rsidRPr="00A15527">
        <w:rPr>
          <w:rFonts w:ascii="Arial" w:hAnsi="Arial" w:cs="Arial"/>
        </w:rPr>
        <w:br/>
        <w:t xml:space="preserve">Arnold, G. (2022) </w:t>
      </w:r>
      <w:r w:rsidRPr="00A15527">
        <w:rPr>
          <w:rFonts w:ascii="Arial" w:hAnsi="Arial" w:cs="Arial"/>
          <w:i/>
          <w:iCs/>
        </w:rPr>
        <w:t>Corporate Financial Management</w:t>
      </w:r>
      <w:r w:rsidRPr="00A15527">
        <w:rPr>
          <w:rFonts w:ascii="Arial" w:hAnsi="Arial" w:cs="Arial"/>
        </w:rPr>
        <w:t xml:space="preserve">. 7th </w:t>
      </w:r>
      <w:proofErr w:type="spellStart"/>
      <w:r w:rsidRPr="00A15527">
        <w:rPr>
          <w:rFonts w:ascii="Arial" w:hAnsi="Arial" w:cs="Arial"/>
        </w:rPr>
        <w:t>edn</w:t>
      </w:r>
      <w:proofErr w:type="spellEnd"/>
      <w:r w:rsidRPr="00A15527">
        <w:rPr>
          <w:rFonts w:ascii="Arial" w:hAnsi="Arial" w:cs="Arial"/>
        </w:rPr>
        <w:t>. Harlow: Pearson.</w:t>
      </w:r>
      <w:r w:rsidRPr="00A15527">
        <w:rPr>
          <w:rFonts w:ascii="Arial" w:hAnsi="Arial" w:cs="Arial"/>
        </w:rPr>
        <w:br/>
      </w:r>
      <w:proofErr w:type="spellStart"/>
      <w:r w:rsidRPr="00A15527">
        <w:rPr>
          <w:rFonts w:ascii="Arial" w:hAnsi="Arial" w:cs="Arial"/>
        </w:rPr>
        <w:t>Atrill</w:t>
      </w:r>
      <w:proofErr w:type="spellEnd"/>
      <w:r w:rsidRPr="00A15527">
        <w:rPr>
          <w:rFonts w:ascii="Arial" w:hAnsi="Arial" w:cs="Arial"/>
        </w:rPr>
        <w:t xml:space="preserve">, P. and McLaney, E. (2019) </w:t>
      </w:r>
      <w:r w:rsidRPr="00A15527">
        <w:rPr>
          <w:rFonts w:ascii="Arial" w:hAnsi="Arial" w:cs="Arial"/>
          <w:i/>
          <w:iCs/>
        </w:rPr>
        <w:t>Accounting and Finance for Non-Specialists</w:t>
      </w:r>
      <w:r w:rsidRPr="00A15527">
        <w:rPr>
          <w:rFonts w:ascii="Arial" w:hAnsi="Arial" w:cs="Arial"/>
        </w:rPr>
        <w:t xml:space="preserve">. 11th </w:t>
      </w:r>
      <w:proofErr w:type="spellStart"/>
      <w:r w:rsidRPr="00A15527">
        <w:rPr>
          <w:rFonts w:ascii="Arial" w:hAnsi="Arial" w:cs="Arial"/>
        </w:rPr>
        <w:t>edn</w:t>
      </w:r>
      <w:proofErr w:type="spellEnd"/>
      <w:r w:rsidRPr="00A15527">
        <w:rPr>
          <w:rFonts w:ascii="Arial" w:hAnsi="Arial" w:cs="Arial"/>
        </w:rPr>
        <w:t>. Pearson.</w:t>
      </w:r>
      <w:r w:rsidRPr="00A15527">
        <w:rPr>
          <w:rFonts w:ascii="Arial" w:hAnsi="Arial" w:cs="Arial"/>
        </w:rPr>
        <w:br/>
        <w:t xml:space="preserve">Brealey, R., Myers, S. and Allen, F. (2020) </w:t>
      </w:r>
      <w:r w:rsidRPr="00A15527">
        <w:rPr>
          <w:rFonts w:ascii="Arial" w:hAnsi="Arial" w:cs="Arial"/>
          <w:i/>
          <w:iCs/>
        </w:rPr>
        <w:t>Principles of Corporate Finance</w:t>
      </w:r>
      <w:r w:rsidRPr="00A15527">
        <w:rPr>
          <w:rFonts w:ascii="Arial" w:hAnsi="Arial" w:cs="Arial"/>
        </w:rPr>
        <w:t xml:space="preserve">. 13th </w:t>
      </w:r>
      <w:proofErr w:type="spellStart"/>
      <w:r w:rsidRPr="00A15527">
        <w:rPr>
          <w:rFonts w:ascii="Arial" w:hAnsi="Arial" w:cs="Arial"/>
        </w:rPr>
        <w:t>edn</w:t>
      </w:r>
      <w:proofErr w:type="spellEnd"/>
      <w:r w:rsidRPr="00A15527">
        <w:rPr>
          <w:rFonts w:ascii="Arial" w:hAnsi="Arial" w:cs="Arial"/>
        </w:rPr>
        <w:t>. McGraw-Hill.</w:t>
      </w:r>
      <w:r w:rsidRPr="00A15527">
        <w:rPr>
          <w:rFonts w:ascii="Arial" w:hAnsi="Arial" w:cs="Arial"/>
        </w:rPr>
        <w:br/>
        <w:t xml:space="preserve">Carroll, A. (1991) ‘The Pyramid of Corporate Social Responsibility’, </w:t>
      </w:r>
      <w:r w:rsidRPr="00A15527">
        <w:rPr>
          <w:rFonts w:ascii="Arial" w:hAnsi="Arial" w:cs="Arial"/>
          <w:i/>
          <w:iCs/>
        </w:rPr>
        <w:t>Business Horizons</w:t>
      </w:r>
      <w:r w:rsidRPr="00A15527">
        <w:rPr>
          <w:rFonts w:ascii="Arial" w:hAnsi="Arial" w:cs="Arial"/>
        </w:rPr>
        <w:t>, 34(4), pp. 39–48.</w:t>
      </w:r>
      <w:r w:rsidRPr="00A15527">
        <w:rPr>
          <w:rFonts w:ascii="Arial" w:hAnsi="Arial" w:cs="Arial"/>
        </w:rPr>
        <w:br/>
        <w:t xml:space="preserve">Christopher, M. (2016) </w:t>
      </w:r>
      <w:r w:rsidRPr="00A15527">
        <w:rPr>
          <w:rFonts w:ascii="Arial" w:hAnsi="Arial" w:cs="Arial"/>
          <w:i/>
          <w:iCs/>
        </w:rPr>
        <w:t>Logistics &amp; Supply Chain Management</w:t>
      </w:r>
      <w:r w:rsidRPr="00A15527">
        <w:rPr>
          <w:rFonts w:ascii="Arial" w:hAnsi="Arial" w:cs="Arial"/>
        </w:rPr>
        <w:t xml:space="preserve">. 5th </w:t>
      </w:r>
      <w:proofErr w:type="spellStart"/>
      <w:r w:rsidRPr="00A15527">
        <w:rPr>
          <w:rFonts w:ascii="Arial" w:hAnsi="Arial" w:cs="Arial"/>
        </w:rPr>
        <w:t>edn</w:t>
      </w:r>
      <w:proofErr w:type="spellEnd"/>
      <w:r w:rsidRPr="00A15527">
        <w:rPr>
          <w:rFonts w:ascii="Arial" w:hAnsi="Arial" w:cs="Arial"/>
        </w:rPr>
        <w:t>. Pearson.</w:t>
      </w:r>
      <w:r w:rsidRPr="00A15527">
        <w:rPr>
          <w:rFonts w:ascii="Arial" w:hAnsi="Arial" w:cs="Arial"/>
        </w:rPr>
        <w:br/>
        <w:t xml:space="preserve">Damodaran, A. (2015) </w:t>
      </w:r>
      <w:r w:rsidRPr="00A15527">
        <w:rPr>
          <w:rFonts w:ascii="Arial" w:hAnsi="Arial" w:cs="Arial"/>
          <w:i/>
          <w:iCs/>
        </w:rPr>
        <w:t>Applied Corporate Finance</w:t>
      </w:r>
      <w:r w:rsidRPr="00A15527">
        <w:rPr>
          <w:rFonts w:ascii="Arial" w:hAnsi="Arial" w:cs="Arial"/>
        </w:rPr>
        <w:t xml:space="preserve">. 4th </w:t>
      </w:r>
      <w:proofErr w:type="spellStart"/>
      <w:r w:rsidRPr="00A15527">
        <w:rPr>
          <w:rFonts w:ascii="Arial" w:hAnsi="Arial" w:cs="Arial"/>
        </w:rPr>
        <w:t>edn</w:t>
      </w:r>
      <w:proofErr w:type="spellEnd"/>
      <w:r w:rsidRPr="00A15527">
        <w:rPr>
          <w:rFonts w:ascii="Arial" w:hAnsi="Arial" w:cs="Arial"/>
        </w:rPr>
        <w:t>. Wiley.</w:t>
      </w:r>
      <w:r w:rsidRPr="00A15527">
        <w:rPr>
          <w:rFonts w:ascii="Arial" w:hAnsi="Arial" w:cs="Arial"/>
        </w:rPr>
        <w:br/>
        <w:t xml:space="preserve">Kotter, J. (2012) </w:t>
      </w:r>
      <w:r w:rsidRPr="00A15527">
        <w:rPr>
          <w:rFonts w:ascii="Arial" w:hAnsi="Arial" w:cs="Arial"/>
          <w:i/>
          <w:iCs/>
        </w:rPr>
        <w:t>Leading Change</w:t>
      </w:r>
      <w:r w:rsidRPr="00A15527">
        <w:rPr>
          <w:rFonts w:ascii="Arial" w:hAnsi="Arial" w:cs="Arial"/>
        </w:rPr>
        <w:t>. Harvard Business Review Press.</w:t>
      </w:r>
      <w:r w:rsidRPr="00A15527">
        <w:rPr>
          <w:rFonts w:ascii="Arial" w:hAnsi="Arial" w:cs="Arial"/>
        </w:rPr>
        <w:br/>
        <w:t xml:space="preserve">Porter, M. (2008) </w:t>
      </w:r>
      <w:r w:rsidRPr="00A15527">
        <w:rPr>
          <w:rFonts w:ascii="Arial" w:hAnsi="Arial" w:cs="Arial"/>
          <w:i/>
          <w:iCs/>
        </w:rPr>
        <w:t>Competitive Strategy</w:t>
      </w:r>
      <w:r w:rsidRPr="00A15527">
        <w:rPr>
          <w:rFonts w:ascii="Arial" w:hAnsi="Arial" w:cs="Arial"/>
        </w:rPr>
        <w:t>. Free Press.</w:t>
      </w:r>
    </w:p>
    <w:p w14:paraId="5E211C21" w14:textId="77777777" w:rsidR="00A15527" w:rsidRPr="00A15527" w:rsidRDefault="00A15527">
      <w:pPr>
        <w:rPr>
          <w:rFonts w:ascii="Arial" w:hAnsi="Arial" w:cs="Arial"/>
          <w:lang w:val="en-US"/>
        </w:rPr>
      </w:pPr>
    </w:p>
    <w:p w14:paraId="6D5605D2" w14:textId="77777777" w:rsidR="00A15527" w:rsidRPr="00A15527" w:rsidRDefault="00A15527">
      <w:pPr>
        <w:rPr>
          <w:rFonts w:ascii="Arial" w:hAnsi="Arial" w:cs="Arial"/>
          <w:lang w:val="en-US"/>
        </w:rPr>
      </w:pPr>
    </w:p>
    <w:sectPr w:rsidR="00A15527" w:rsidRPr="00A155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B1CFE"/>
    <w:multiLevelType w:val="multilevel"/>
    <w:tmpl w:val="F2AC4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9E0837"/>
    <w:multiLevelType w:val="multilevel"/>
    <w:tmpl w:val="8CD8A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613426"/>
    <w:multiLevelType w:val="multilevel"/>
    <w:tmpl w:val="A7BA2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4320F3"/>
    <w:multiLevelType w:val="multilevel"/>
    <w:tmpl w:val="9E081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226DEC"/>
    <w:multiLevelType w:val="multilevel"/>
    <w:tmpl w:val="6D0E2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8065CB"/>
    <w:multiLevelType w:val="multilevel"/>
    <w:tmpl w:val="C9FA1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330560"/>
    <w:multiLevelType w:val="multilevel"/>
    <w:tmpl w:val="C8DC4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B619B3"/>
    <w:multiLevelType w:val="multilevel"/>
    <w:tmpl w:val="37CAB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1A2293"/>
    <w:multiLevelType w:val="multilevel"/>
    <w:tmpl w:val="2650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73606F"/>
    <w:multiLevelType w:val="multilevel"/>
    <w:tmpl w:val="796E0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B226F5"/>
    <w:multiLevelType w:val="multilevel"/>
    <w:tmpl w:val="5CC8F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771E35"/>
    <w:multiLevelType w:val="multilevel"/>
    <w:tmpl w:val="20EAF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701EBC"/>
    <w:multiLevelType w:val="multilevel"/>
    <w:tmpl w:val="93C80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B112F4"/>
    <w:multiLevelType w:val="multilevel"/>
    <w:tmpl w:val="9272C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12518A"/>
    <w:multiLevelType w:val="multilevel"/>
    <w:tmpl w:val="B56EE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625CF4"/>
    <w:multiLevelType w:val="multilevel"/>
    <w:tmpl w:val="8AD6D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2812A3"/>
    <w:multiLevelType w:val="multilevel"/>
    <w:tmpl w:val="48A2D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545CFE"/>
    <w:multiLevelType w:val="multilevel"/>
    <w:tmpl w:val="6CFC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250EC1"/>
    <w:multiLevelType w:val="multilevel"/>
    <w:tmpl w:val="5F5CE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ED711C"/>
    <w:multiLevelType w:val="multilevel"/>
    <w:tmpl w:val="0842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444267">
    <w:abstractNumId w:val="9"/>
  </w:num>
  <w:num w:numId="2" w16cid:durableId="1417166849">
    <w:abstractNumId w:val="18"/>
  </w:num>
  <w:num w:numId="3" w16cid:durableId="1385567125">
    <w:abstractNumId w:val="2"/>
  </w:num>
  <w:num w:numId="4" w16cid:durableId="1913852379">
    <w:abstractNumId w:val="14"/>
  </w:num>
  <w:num w:numId="5" w16cid:durableId="49043433">
    <w:abstractNumId w:val="3"/>
  </w:num>
  <w:num w:numId="6" w16cid:durableId="440153080">
    <w:abstractNumId w:val="5"/>
  </w:num>
  <w:num w:numId="7" w16cid:durableId="1520974162">
    <w:abstractNumId w:val="16"/>
  </w:num>
  <w:num w:numId="8" w16cid:durableId="775054658">
    <w:abstractNumId w:val="12"/>
  </w:num>
  <w:num w:numId="9" w16cid:durableId="69891807">
    <w:abstractNumId w:val="15"/>
  </w:num>
  <w:num w:numId="10" w16cid:durableId="90785801">
    <w:abstractNumId w:val="0"/>
  </w:num>
  <w:num w:numId="11" w16cid:durableId="1838575278">
    <w:abstractNumId w:val="7"/>
  </w:num>
  <w:num w:numId="12" w16cid:durableId="1222715066">
    <w:abstractNumId w:val="10"/>
  </w:num>
  <w:num w:numId="13" w16cid:durableId="818153053">
    <w:abstractNumId w:val="17"/>
  </w:num>
  <w:num w:numId="14" w16cid:durableId="1215235116">
    <w:abstractNumId w:val="8"/>
  </w:num>
  <w:num w:numId="15" w16cid:durableId="1526214730">
    <w:abstractNumId w:val="6"/>
  </w:num>
  <w:num w:numId="16" w16cid:durableId="1492403925">
    <w:abstractNumId w:val="4"/>
  </w:num>
  <w:num w:numId="17" w16cid:durableId="1302925552">
    <w:abstractNumId w:val="1"/>
  </w:num>
  <w:num w:numId="18" w16cid:durableId="365713512">
    <w:abstractNumId w:val="19"/>
  </w:num>
  <w:num w:numId="19" w16cid:durableId="1996372374">
    <w:abstractNumId w:val="11"/>
  </w:num>
  <w:num w:numId="20" w16cid:durableId="205129978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527"/>
    <w:rsid w:val="003F15E6"/>
    <w:rsid w:val="00A15527"/>
    <w:rsid w:val="00FA3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0B0CA"/>
  <w15:chartTrackingRefBased/>
  <w15:docId w15:val="{53B87287-C022-447E-A0E7-1AAA85BA3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5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55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55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55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55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55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55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55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55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5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55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55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55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55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55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55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55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5527"/>
    <w:rPr>
      <w:rFonts w:eastAsiaTheme="majorEastAsia" w:cstheme="majorBidi"/>
      <w:color w:val="272727" w:themeColor="text1" w:themeTint="D8"/>
    </w:rPr>
  </w:style>
  <w:style w:type="paragraph" w:styleId="Title">
    <w:name w:val="Title"/>
    <w:basedOn w:val="Normal"/>
    <w:next w:val="Normal"/>
    <w:link w:val="TitleChar"/>
    <w:uiPriority w:val="10"/>
    <w:qFormat/>
    <w:rsid w:val="00A155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55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55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55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5527"/>
    <w:pPr>
      <w:spacing w:before="160"/>
      <w:jc w:val="center"/>
    </w:pPr>
    <w:rPr>
      <w:i/>
      <w:iCs/>
      <w:color w:val="404040" w:themeColor="text1" w:themeTint="BF"/>
    </w:rPr>
  </w:style>
  <w:style w:type="character" w:customStyle="1" w:styleId="QuoteChar">
    <w:name w:val="Quote Char"/>
    <w:basedOn w:val="DefaultParagraphFont"/>
    <w:link w:val="Quote"/>
    <w:uiPriority w:val="29"/>
    <w:rsid w:val="00A15527"/>
    <w:rPr>
      <w:i/>
      <w:iCs/>
      <w:color w:val="404040" w:themeColor="text1" w:themeTint="BF"/>
    </w:rPr>
  </w:style>
  <w:style w:type="paragraph" w:styleId="ListParagraph">
    <w:name w:val="List Paragraph"/>
    <w:basedOn w:val="Normal"/>
    <w:uiPriority w:val="34"/>
    <w:qFormat/>
    <w:rsid w:val="00A15527"/>
    <w:pPr>
      <w:ind w:left="720"/>
      <w:contextualSpacing/>
    </w:pPr>
  </w:style>
  <w:style w:type="character" w:styleId="IntenseEmphasis">
    <w:name w:val="Intense Emphasis"/>
    <w:basedOn w:val="DefaultParagraphFont"/>
    <w:uiPriority w:val="21"/>
    <w:qFormat/>
    <w:rsid w:val="00A15527"/>
    <w:rPr>
      <w:i/>
      <w:iCs/>
      <w:color w:val="0F4761" w:themeColor="accent1" w:themeShade="BF"/>
    </w:rPr>
  </w:style>
  <w:style w:type="paragraph" w:styleId="IntenseQuote">
    <w:name w:val="Intense Quote"/>
    <w:basedOn w:val="Normal"/>
    <w:next w:val="Normal"/>
    <w:link w:val="IntenseQuoteChar"/>
    <w:uiPriority w:val="30"/>
    <w:qFormat/>
    <w:rsid w:val="00A155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5527"/>
    <w:rPr>
      <w:i/>
      <w:iCs/>
      <w:color w:val="0F4761" w:themeColor="accent1" w:themeShade="BF"/>
    </w:rPr>
  </w:style>
  <w:style w:type="character" w:styleId="IntenseReference">
    <w:name w:val="Intense Reference"/>
    <w:basedOn w:val="DefaultParagraphFont"/>
    <w:uiPriority w:val="32"/>
    <w:qFormat/>
    <w:rsid w:val="00A1552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12</Pages>
  <Words>2348</Words>
  <Characters>14048</Characters>
  <Application>Microsoft Office Word</Application>
  <DocSecurity>0</DocSecurity>
  <Lines>878</Lines>
  <Paragraphs>356</Paragraphs>
  <ScaleCrop>false</ScaleCrop>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1</cp:revision>
  <dcterms:created xsi:type="dcterms:W3CDTF">2025-11-24T08:56:00Z</dcterms:created>
  <dcterms:modified xsi:type="dcterms:W3CDTF">2025-11-24T09:04:00Z</dcterms:modified>
</cp:coreProperties>
</file>