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93869C" w14:textId="77777777" w:rsidR="00E81243" w:rsidRPr="00336BB0" w:rsidRDefault="00E81243" w:rsidP="00E81243">
      <w:pPr>
        <w:rPr>
          <w:rFonts w:ascii="New times roman" w:hAnsi="New times roman"/>
          <w:i/>
          <w:iCs/>
          <w:color w:val="16191C"/>
          <w:sz w:val="24"/>
          <w:szCs w:val="24"/>
          <w:shd w:val="clear" w:color="auto" w:fill="F8F8F8"/>
        </w:rPr>
      </w:pPr>
      <w:r w:rsidRPr="00336BB0">
        <w:rPr>
          <w:rFonts w:ascii="New times roman" w:hAnsi="New times roman"/>
          <w:color w:val="16191C"/>
          <w:sz w:val="24"/>
          <w:szCs w:val="24"/>
          <w:u w:val="single"/>
          <w:shd w:val="clear" w:color="auto" w:fill="F8F8F8"/>
        </w:rPr>
        <w:t>The Clash of Law and Morality in Antigone</w:t>
      </w:r>
      <w:r w:rsidRPr="00336BB0">
        <w:rPr>
          <w:rFonts w:ascii="New times roman" w:hAnsi="New times roman"/>
          <w:i/>
          <w:iCs/>
          <w:color w:val="16191C"/>
          <w:sz w:val="24"/>
          <w:szCs w:val="24"/>
          <w:shd w:val="clear" w:color="auto" w:fill="F8F8F8"/>
        </w:rPr>
        <w:t>.</w:t>
      </w:r>
    </w:p>
    <w:p w14:paraId="18BCC2D7" w14:textId="727519A1" w:rsidR="005B2012" w:rsidRPr="00336BB0" w:rsidRDefault="00C745B2" w:rsidP="00E81243">
      <w:pPr>
        <w:rPr>
          <w:rFonts w:ascii="New times roman" w:hAnsi="New times roman"/>
          <w:color w:val="16191C"/>
          <w:sz w:val="24"/>
          <w:szCs w:val="24"/>
          <w:shd w:val="clear" w:color="auto" w:fill="F8F8F8"/>
        </w:rPr>
      </w:pPr>
      <w:r w:rsidRPr="00336BB0">
        <w:rPr>
          <w:rFonts w:ascii="New times roman" w:hAnsi="New times roman"/>
          <w:color w:val="16191C"/>
          <w:sz w:val="24"/>
          <w:szCs w:val="24"/>
          <w:shd w:val="clear" w:color="auto" w:fill="F8F8F8"/>
        </w:rPr>
        <w:t>In the realm of classical literature, few works explore the complex interplay of power and authority as deeply as Sophocles' ‘Antigone,’ a foundational piece of theatrical art.</w:t>
      </w:r>
      <w:r w:rsidR="00A35983" w:rsidRPr="00336BB0">
        <w:rPr>
          <w:rStyle w:val="FootnoteReference"/>
          <w:rFonts w:ascii="New times roman" w:hAnsi="New times roman"/>
          <w:color w:val="16191C"/>
          <w:sz w:val="24"/>
          <w:szCs w:val="24"/>
          <w:shd w:val="clear" w:color="auto" w:fill="F8F8F8"/>
        </w:rPr>
        <w:footnoteReference w:id="1"/>
      </w:r>
      <w:r w:rsidRPr="00336BB0">
        <w:rPr>
          <w:rFonts w:ascii="New times roman" w:hAnsi="New times roman"/>
          <w:color w:val="16191C"/>
          <w:sz w:val="24"/>
          <w:szCs w:val="24"/>
          <w:shd w:val="clear" w:color="auto" w:fill="F8F8F8"/>
        </w:rPr>
        <w:t xml:space="preserve"> Written in the fifth century BCE, this iconic Greek tragedy examines the conflict between individual ethics and the overarching power of the state, primarily represented by Creon. As the newly appointed ruler of Thebes, Creon prioritizes legal order over moral obligation, establishing the groundwork for the central conflict.</w:t>
      </w:r>
      <w:r w:rsidR="0075652E" w:rsidRPr="00336BB0">
        <w:rPr>
          <w:rStyle w:val="FootnoteReference"/>
          <w:rFonts w:ascii="New times roman" w:hAnsi="New times roman"/>
          <w:color w:val="16191C"/>
          <w:sz w:val="24"/>
          <w:szCs w:val="24"/>
          <w:shd w:val="clear" w:color="auto" w:fill="F8F8F8"/>
        </w:rPr>
        <w:footnoteReference w:id="2"/>
      </w:r>
      <w:r w:rsidRPr="00336BB0">
        <w:rPr>
          <w:rFonts w:ascii="New times roman" w:hAnsi="New times roman"/>
          <w:color w:val="16191C"/>
          <w:sz w:val="24"/>
          <w:szCs w:val="24"/>
          <w:shd w:val="clear" w:color="auto" w:fill="F8F8F8"/>
        </w:rPr>
        <w:t xml:space="preserve"> The dramatic clash between Creon and his niece Antigone, who boldly defies his order to withhold a proper burial for her brother Polynices, raises significant questions about justice, authority, and the ethical responsibilities that come with power. </w:t>
      </w:r>
    </w:p>
    <w:p w14:paraId="6B3BE46C" w14:textId="6CFAE10E" w:rsidR="00927470" w:rsidRPr="00336BB0" w:rsidRDefault="00927470" w:rsidP="00E81243">
      <w:pPr>
        <w:rPr>
          <w:rFonts w:ascii="New times roman" w:hAnsi="New times roman"/>
          <w:color w:val="16191C"/>
          <w:sz w:val="24"/>
          <w:szCs w:val="24"/>
          <w:shd w:val="clear" w:color="auto" w:fill="F8F8F8"/>
        </w:rPr>
      </w:pPr>
      <w:r w:rsidRPr="00336BB0">
        <w:rPr>
          <w:rFonts w:ascii="New times roman" w:hAnsi="New times roman"/>
          <w:color w:val="16191C"/>
          <w:sz w:val="24"/>
          <w:szCs w:val="24"/>
          <w:shd w:val="clear" w:color="auto" w:fill="F8F8F8"/>
        </w:rPr>
        <w:t xml:space="preserve">Creon’s declaration, </w:t>
      </w:r>
      <w:r w:rsidR="009F2B1E" w:rsidRPr="00336BB0">
        <w:rPr>
          <w:rFonts w:ascii="New times roman" w:hAnsi="New times roman"/>
          <w:color w:val="16191C"/>
          <w:sz w:val="24"/>
          <w:szCs w:val="24"/>
          <w:shd w:val="clear" w:color="auto" w:fill="F8F8F8"/>
        </w:rPr>
        <w:t>‘</w:t>
      </w:r>
      <w:r w:rsidRPr="00336BB0">
        <w:rPr>
          <w:rFonts w:ascii="New times roman" w:hAnsi="New times roman"/>
          <w:color w:val="16191C"/>
          <w:sz w:val="24"/>
          <w:szCs w:val="24"/>
          <w:shd w:val="clear" w:color="auto" w:fill="F8F8F8"/>
        </w:rPr>
        <w:t>The man who is a traitor to the state is a traitor to me,</w:t>
      </w:r>
      <w:r w:rsidR="009F2B1E" w:rsidRPr="00336BB0">
        <w:rPr>
          <w:rFonts w:ascii="New times roman" w:hAnsi="New times roman"/>
          <w:color w:val="16191C"/>
          <w:sz w:val="24"/>
          <w:szCs w:val="24"/>
          <w:shd w:val="clear" w:color="auto" w:fill="F8F8F8"/>
        </w:rPr>
        <w:t>’</w:t>
      </w:r>
      <w:r w:rsidRPr="00336BB0">
        <w:rPr>
          <w:rFonts w:ascii="New times roman" w:hAnsi="New times roman"/>
          <w:color w:val="16191C"/>
          <w:sz w:val="24"/>
          <w:szCs w:val="24"/>
          <w:shd w:val="clear" w:color="auto" w:fill="F8F8F8"/>
        </w:rPr>
        <w:t xml:space="preserve"> highlights his belief that loyalty to the state is essential.</w:t>
      </w:r>
      <w:r w:rsidR="00384951" w:rsidRPr="00336BB0">
        <w:rPr>
          <w:rStyle w:val="FootnoteReference"/>
          <w:rFonts w:ascii="New times roman" w:hAnsi="New times roman"/>
          <w:color w:val="16191C"/>
          <w:sz w:val="24"/>
          <w:szCs w:val="24"/>
          <w:shd w:val="clear" w:color="auto" w:fill="F8F8F8"/>
        </w:rPr>
        <w:footnoteReference w:id="3"/>
      </w:r>
      <w:r w:rsidRPr="00336BB0">
        <w:rPr>
          <w:rFonts w:ascii="New times roman" w:hAnsi="New times roman"/>
          <w:color w:val="16191C"/>
          <w:sz w:val="24"/>
          <w:szCs w:val="24"/>
          <w:shd w:val="clear" w:color="auto" w:fill="F8F8F8"/>
        </w:rPr>
        <w:t xml:space="preserve"> This view reveals the dangers of unchecked authority and the moral dilemmas faced by those who oppose him. For example, Creon’s strict laws lead to tragic outcomes, particularly for Antigone, who values family loyalty over state law. This conflict illustrates the tension between personal beliefs and civic duty, serving as a warning about the risks of tyranny when leaders prioritize power over compassion. These themes are still relevant today, as society grapples with the balance between individual rights and government control.</w:t>
      </w:r>
    </w:p>
    <w:p w14:paraId="755923E7" w14:textId="672E26D1" w:rsidR="005C6F7A" w:rsidRPr="00336BB0" w:rsidRDefault="006B24AA" w:rsidP="00E81243">
      <w:pPr>
        <w:rPr>
          <w:rFonts w:ascii="New times roman" w:hAnsi="New times roman"/>
          <w:color w:val="16191C"/>
          <w:sz w:val="24"/>
          <w:szCs w:val="24"/>
          <w:shd w:val="clear" w:color="auto" w:fill="F8F8F8"/>
        </w:rPr>
      </w:pPr>
      <w:r w:rsidRPr="00336BB0">
        <w:rPr>
          <w:rFonts w:ascii="New times roman" w:hAnsi="New times roman"/>
          <w:color w:val="16191C"/>
          <w:sz w:val="24"/>
          <w:szCs w:val="24"/>
          <w:shd w:val="clear" w:color="auto" w:fill="F8F8F8"/>
        </w:rPr>
        <w:t>Antigone’s defiance highlights her commitment to divine law and challenges Creon’s authority. Her actions reflect the cost of loyalty to family over the state, inspiring others to question Creon's rigid rule. Ultimately, her tragic fate leads to Creon’s downfall, showing the dangers of inflexible leadership against moral conviction.</w:t>
      </w:r>
      <w:r w:rsidR="00E66B2A" w:rsidRPr="00336BB0">
        <w:rPr>
          <w:rStyle w:val="FootnoteReference"/>
          <w:rFonts w:ascii="New times roman" w:hAnsi="New times roman"/>
          <w:color w:val="16191C"/>
          <w:sz w:val="24"/>
          <w:szCs w:val="24"/>
          <w:shd w:val="clear" w:color="auto" w:fill="F8F8F8"/>
        </w:rPr>
        <w:footnoteReference w:id="4"/>
      </w:r>
    </w:p>
    <w:p w14:paraId="3083647B" w14:textId="04D0401F" w:rsidR="00E90BC9" w:rsidRPr="00336BB0" w:rsidRDefault="00E90BC9" w:rsidP="000624AF">
      <w:pPr>
        <w:rPr>
          <w:rFonts w:ascii="New times roman" w:hAnsi="New times roman"/>
          <w:color w:val="16191C"/>
          <w:sz w:val="24"/>
          <w:szCs w:val="24"/>
          <w:shd w:val="clear" w:color="auto" w:fill="F8F8F8"/>
        </w:rPr>
      </w:pPr>
      <w:r w:rsidRPr="00336BB0">
        <w:rPr>
          <w:rFonts w:ascii="New times roman" w:hAnsi="New times roman"/>
          <w:color w:val="16191C"/>
          <w:sz w:val="24"/>
          <w:szCs w:val="24"/>
          <w:shd w:val="clear" w:color="auto" w:fill="F8F8F8"/>
        </w:rPr>
        <w:t>Examining the motivations of each character reveals the underlying forces driving their actions. Creon’s fear of anarchy and his desire for societal stability compel him to prioritize state law above all else.</w:t>
      </w:r>
      <w:r w:rsidR="004645A8" w:rsidRPr="00336BB0">
        <w:rPr>
          <w:rStyle w:val="FootnoteReference"/>
          <w:rFonts w:ascii="New times roman" w:hAnsi="New times roman"/>
          <w:color w:val="16191C"/>
          <w:sz w:val="24"/>
          <w:szCs w:val="24"/>
          <w:shd w:val="clear" w:color="auto" w:fill="F8F8F8"/>
        </w:rPr>
        <w:footnoteReference w:id="5"/>
      </w:r>
      <w:r w:rsidRPr="00336BB0">
        <w:rPr>
          <w:rFonts w:ascii="New times roman" w:hAnsi="New times roman"/>
          <w:color w:val="16191C"/>
          <w:sz w:val="24"/>
          <w:szCs w:val="24"/>
          <w:shd w:val="clear" w:color="auto" w:fill="F8F8F8"/>
        </w:rPr>
        <w:t xml:space="preserve"> In stark contrast, Antigone’s loyalty to her family and the gods propels her to defy Creon’s edict, highlighting the tension between personal ethics and civic duty.</w:t>
      </w:r>
      <w:r w:rsidR="004645A8" w:rsidRPr="00336BB0">
        <w:rPr>
          <w:rStyle w:val="FootnoteReference"/>
          <w:rFonts w:ascii="New times roman" w:hAnsi="New times roman"/>
          <w:color w:val="16191C"/>
          <w:sz w:val="24"/>
          <w:szCs w:val="24"/>
          <w:shd w:val="clear" w:color="auto" w:fill="F8F8F8"/>
        </w:rPr>
        <w:footnoteReference w:id="6"/>
      </w:r>
      <w:r w:rsidRPr="00336BB0">
        <w:rPr>
          <w:rFonts w:ascii="New times roman" w:hAnsi="New times roman"/>
          <w:color w:val="16191C"/>
          <w:sz w:val="24"/>
          <w:szCs w:val="24"/>
          <w:shd w:val="clear" w:color="auto" w:fill="F8F8F8"/>
        </w:rPr>
        <w:t xml:space="preserve"> Understanding these motivations enriches the analysis of their character arcs and emphasizes the profound moral dilemmas that arise when individuals confront authority.</w:t>
      </w:r>
    </w:p>
    <w:p w14:paraId="71182D05" w14:textId="77777777" w:rsidR="009F2158" w:rsidRPr="00336BB0" w:rsidRDefault="009F2158" w:rsidP="000624AF">
      <w:pPr>
        <w:rPr>
          <w:rFonts w:ascii="New times roman" w:hAnsi="New times roman"/>
          <w:color w:val="16191C"/>
          <w:sz w:val="24"/>
          <w:szCs w:val="24"/>
          <w:shd w:val="clear" w:color="auto" w:fill="F8F8F8"/>
        </w:rPr>
      </w:pPr>
    </w:p>
    <w:p w14:paraId="02018884" w14:textId="77777777" w:rsidR="009F2158" w:rsidRPr="00336BB0" w:rsidRDefault="009F2158" w:rsidP="000624AF">
      <w:pPr>
        <w:rPr>
          <w:rFonts w:ascii="New times roman" w:hAnsi="New times roman"/>
          <w:color w:val="16191C"/>
          <w:sz w:val="24"/>
          <w:szCs w:val="24"/>
          <w:shd w:val="clear" w:color="auto" w:fill="F8F8F8"/>
        </w:rPr>
      </w:pPr>
      <w:r w:rsidRPr="00336BB0">
        <w:rPr>
          <w:rFonts w:ascii="New times roman" w:hAnsi="New times roman"/>
          <w:color w:val="16191C"/>
          <w:sz w:val="24"/>
          <w:szCs w:val="24"/>
          <w:shd w:val="clear" w:color="auto" w:fill="F8F8F8"/>
        </w:rPr>
        <w:br/>
      </w:r>
    </w:p>
    <w:p w14:paraId="2EF1CA91" w14:textId="30BDF234" w:rsidR="00C71964" w:rsidRPr="00336BB0" w:rsidRDefault="001F207C" w:rsidP="000624AF">
      <w:pPr>
        <w:rPr>
          <w:rFonts w:ascii="New times roman" w:hAnsi="New times roman"/>
          <w:color w:val="16191C"/>
          <w:sz w:val="24"/>
          <w:szCs w:val="24"/>
          <w:shd w:val="clear" w:color="auto" w:fill="F8F8F8"/>
        </w:rPr>
      </w:pPr>
      <w:r w:rsidRPr="00336BB0">
        <w:rPr>
          <w:rFonts w:ascii="New times roman" w:hAnsi="New times roman"/>
          <w:color w:val="16191C"/>
          <w:sz w:val="24"/>
          <w:szCs w:val="24"/>
          <w:shd w:val="clear" w:color="auto" w:fill="F8F8F8"/>
        </w:rPr>
        <w:lastRenderedPageBreak/>
        <w:t xml:space="preserve">Considering these motivations, I find that the conflict between personal beliefs and societal expectations resonates deeply with today's issues. My personal view on the conflict </w:t>
      </w:r>
      <w:r w:rsidR="00420A93" w:rsidRPr="00336BB0">
        <w:rPr>
          <w:rFonts w:ascii="New times roman" w:hAnsi="New times roman"/>
          <w:color w:val="16191C"/>
          <w:sz w:val="24"/>
          <w:szCs w:val="24"/>
          <w:shd w:val="clear" w:color="auto" w:fill="F8F8F8"/>
        </w:rPr>
        <w:t xml:space="preserve">between Antigone and Creon serves as a timeless reflection of the struggles individuals face when their moral beliefs clash with societal laws. It prompts us to consider the implications of blind obedience to authority and the importance of standing up for one’s convictions. </w:t>
      </w:r>
    </w:p>
    <w:p w14:paraId="52D09FE2" w14:textId="34013F9A" w:rsidR="00420A93" w:rsidRPr="00336BB0" w:rsidRDefault="00420A93" w:rsidP="000624AF">
      <w:pPr>
        <w:rPr>
          <w:rFonts w:ascii="New times roman" w:hAnsi="New times roman"/>
          <w:color w:val="16191C"/>
          <w:sz w:val="24"/>
          <w:szCs w:val="24"/>
          <w:shd w:val="clear" w:color="auto" w:fill="F8F8F8"/>
        </w:rPr>
      </w:pPr>
      <w:r w:rsidRPr="00336BB0">
        <w:rPr>
          <w:rFonts w:ascii="New times roman" w:hAnsi="New times roman"/>
          <w:color w:val="16191C"/>
          <w:sz w:val="24"/>
          <w:szCs w:val="24"/>
          <w:shd w:val="clear" w:color="auto" w:fill="F8F8F8"/>
        </w:rPr>
        <w:t>This theme is particularly relevant in contemporary discussions about civil rights and personal freedoms, where individuals often find themselves at odds with governmental policies. I believe that Antigone's courage to challenge Creon’s authority not only highlights the necessity of questioning unjust laws but also inspires us to reflect on our responsibilities as citizens. Ultimately, the play encourages a dialogue about the balance between following laws and adhering to personal ethics, a conversation that remains crucial in our modern world.</w:t>
      </w:r>
    </w:p>
    <w:p w14:paraId="0A7426B3" w14:textId="3C8C9D6B" w:rsidR="00B72740" w:rsidRPr="00336BB0" w:rsidRDefault="00807C53" w:rsidP="00B72740">
      <w:pPr>
        <w:rPr>
          <w:rFonts w:ascii="New times roman" w:hAnsi="New times roman"/>
          <w:color w:val="16191C"/>
          <w:sz w:val="24"/>
          <w:szCs w:val="24"/>
          <w:shd w:val="clear" w:color="auto" w:fill="F8F8F8"/>
        </w:rPr>
      </w:pPr>
      <w:r>
        <w:rPr>
          <w:rFonts w:ascii="New times roman" w:hAnsi="New times roman"/>
          <w:color w:val="16191C"/>
          <w:sz w:val="24"/>
          <w:szCs w:val="24"/>
          <w:shd w:val="clear" w:color="auto" w:fill="F8F8F8"/>
        </w:rPr>
        <w:t xml:space="preserve"> Harrison states some k</w:t>
      </w:r>
      <w:r w:rsidR="00B72740" w:rsidRPr="00336BB0">
        <w:rPr>
          <w:rFonts w:ascii="New times roman" w:hAnsi="New times roman"/>
          <w:color w:val="16191C"/>
          <w:sz w:val="24"/>
          <w:szCs w:val="24"/>
          <w:shd w:val="clear" w:color="auto" w:fill="F8F8F8"/>
        </w:rPr>
        <w:t xml:space="preserve">ey scenes, such as Creon’s decree prohibiting the burial of Polynices, serve to highlight the profound consequences for both Antigone and the wider community. Rather than merely reiterating the actions taken by Creon, it is essential to examine how this decree </w:t>
      </w:r>
      <w:proofErr w:type="spellStart"/>
      <w:r w:rsidR="00B72740" w:rsidRPr="00336BB0">
        <w:rPr>
          <w:rFonts w:ascii="New times roman" w:hAnsi="New times roman"/>
          <w:color w:val="16191C"/>
          <w:sz w:val="24"/>
          <w:szCs w:val="24"/>
          <w:shd w:val="clear" w:color="auto" w:fill="F8F8F8"/>
        </w:rPr>
        <w:t>catalyzes</w:t>
      </w:r>
      <w:proofErr w:type="spellEnd"/>
      <w:r w:rsidR="00B72740" w:rsidRPr="00336BB0">
        <w:rPr>
          <w:rFonts w:ascii="New times roman" w:hAnsi="New times roman"/>
          <w:color w:val="16191C"/>
          <w:sz w:val="24"/>
          <w:szCs w:val="24"/>
          <w:shd w:val="clear" w:color="auto" w:fill="F8F8F8"/>
        </w:rPr>
        <w:t xml:space="preserve"> a broader conflict and ultimately paves the way for tragic outcomes. Initially, Creon’s unwavering commitment to state law is evident in his proclamation that any individual who attempts to bury Polynices will face the death penalty, underscoring his prioritization of order over individual rights.</w:t>
      </w:r>
      <w:r w:rsidR="00534A25" w:rsidRPr="00336BB0">
        <w:rPr>
          <w:rStyle w:val="FootnoteReference"/>
          <w:rFonts w:ascii="New times roman" w:hAnsi="New times roman"/>
          <w:color w:val="16191C"/>
          <w:sz w:val="24"/>
          <w:szCs w:val="24"/>
          <w:shd w:val="clear" w:color="auto" w:fill="F8F8F8"/>
        </w:rPr>
        <w:footnoteReference w:id="7"/>
      </w:r>
    </w:p>
    <w:p w14:paraId="009C4A6D" w14:textId="3BD0684B" w:rsidR="004B2B91" w:rsidRPr="00336BB0" w:rsidRDefault="004B2B91" w:rsidP="004B2B91">
      <w:pPr>
        <w:rPr>
          <w:rFonts w:ascii="New times roman" w:hAnsi="New times roman"/>
          <w:color w:val="16191C"/>
          <w:sz w:val="24"/>
          <w:szCs w:val="24"/>
          <w:shd w:val="clear" w:color="auto" w:fill="F8F8F8"/>
        </w:rPr>
      </w:pPr>
      <w:r w:rsidRPr="00336BB0">
        <w:rPr>
          <w:rFonts w:ascii="New times roman" w:hAnsi="New times roman"/>
          <w:color w:val="16191C"/>
          <w:sz w:val="24"/>
          <w:szCs w:val="24"/>
          <w:shd w:val="clear" w:color="auto" w:fill="F8F8F8"/>
        </w:rPr>
        <w:t>As the narrative unfolds, particularly through Creon’s interactions with Antigone and the ensuing tragic events, the audience witnesses a significant evolution in his character. The pivotal moment occurs when he confronts the devastating repercussions of his inflexible decisions, particularly following the deaths of his son Haemon and his wife Eurydice.</w:t>
      </w:r>
      <w:r w:rsidR="00200DCE" w:rsidRPr="00336BB0">
        <w:rPr>
          <w:rStyle w:val="FootnoteReference"/>
          <w:rFonts w:ascii="New times roman" w:hAnsi="New times roman"/>
          <w:color w:val="16191C"/>
          <w:sz w:val="24"/>
          <w:szCs w:val="24"/>
          <w:shd w:val="clear" w:color="auto" w:fill="F8F8F8"/>
        </w:rPr>
        <w:footnoteReference w:id="8"/>
      </w:r>
      <w:r w:rsidRPr="00336BB0">
        <w:rPr>
          <w:rFonts w:ascii="New times roman" w:hAnsi="New times roman"/>
          <w:color w:val="16191C"/>
          <w:sz w:val="24"/>
          <w:szCs w:val="24"/>
          <w:shd w:val="clear" w:color="auto" w:fill="F8F8F8"/>
        </w:rPr>
        <w:t xml:space="preserve"> This realization marks a critical transformation, as Creon transitions from a proud and authoritative ruler to a broken man burdened by guilt and loss, illustrating the far-reaching impact of his actions on both his personal life and the community at large.</w:t>
      </w:r>
    </w:p>
    <w:p w14:paraId="69AC472A" w14:textId="55D45A63" w:rsidR="004B2B91" w:rsidRPr="00336BB0" w:rsidRDefault="004B2B91" w:rsidP="004B2B91">
      <w:pPr>
        <w:rPr>
          <w:rFonts w:ascii="New times roman" w:hAnsi="New times roman"/>
          <w:color w:val="16191C"/>
          <w:sz w:val="24"/>
          <w:szCs w:val="24"/>
          <w:shd w:val="clear" w:color="auto" w:fill="F8F8F8"/>
        </w:rPr>
      </w:pPr>
      <w:r w:rsidRPr="00336BB0">
        <w:rPr>
          <w:rFonts w:ascii="New times roman" w:hAnsi="New times roman"/>
          <w:color w:val="16191C"/>
          <w:sz w:val="24"/>
          <w:szCs w:val="24"/>
          <w:shd w:val="clear" w:color="auto" w:fill="F8F8F8"/>
        </w:rPr>
        <w:t>This shift in Creon’s character invites a deeper examination of authority within the play. How do Antigone’s defiant actions challenge Creon’s authority, and what does this conflict reveal about the struggle between individual conscience and state power? Antigone’s willingness to confront Creon highlights the tension between personal morality and societal law, ultimately questioning the legitimacy of authority when it contradicts fundamental human values.</w:t>
      </w:r>
    </w:p>
    <w:p w14:paraId="25F0CC39" w14:textId="1508332E" w:rsidR="00E81243" w:rsidRPr="00336BB0" w:rsidRDefault="00E81243" w:rsidP="00E81243">
      <w:pPr>
        <w:rPr>
          <w:rFonts w:ascii="New times roman" w:hAnsi="New times roman"/>
          <w:color w:val="16191C"/>
          <w:sz w:val="24"/>
          <w:szCs w:val="24"/>
          <w:shd w:val="clear" w:color="auto" w:fill="F8F8F8"/>
        </w:rPr>
      </w:pPr>
      <w:r w:rsidRPr="00336BB0">
        <w:rPr>
          <w:rFonts w:ascii="New times roman" w:hAnsi="New times roman"/>
          <w:color w:val="16191C"/>
          <w:sz w:val="24"/>
          <w:szCs w:val="24"/>
          <w:shd w:val="clear" w:color="auto" w:fill="F8F8F8"/>
        </w:rPr>
        <w:t xml:space="preserve">This raises the question of whether Creon’s rigid adherence to the law constitutes tyrannical </w:t>
      </w:r>
      <w:r w:rsidR="00840622" w:rsidRPr="00336BB0">
        <w:rPr>
          <w:rFonts w:ascii="New times roman" w:hAnsi="New times roman"/>
          <w:color w:val="16191C"/>
          <w:sz w:val="24"/>
          <w:szCs w:val="24"/>
          <w:shd w:val="clear" w:color="auto" w:fill="F8F8F8"/>
        </w:rPr>
        <w:t>behaviour</w:t>
      </w:r>
      <w:r w:rsidRPr="00336BB0">
        <w:rPr>
          <w:rFonts w:ascii="New times roman" w:hAnsi="New times roman"/>
          <w:color w:val="16191C"/>
          <w:sz w:val="24"/>
          <w:szCs w:val="24"/>
          <w:shd w:val="clear" w:color="auto" w:fill="F8F8F8"/>
        </w:rPr>
        <w:t>. His refusal to consider Antigone's moral stance highlights a critical tension: can a state effectively govern without allowing for individual conscience to influence its laws? The play suggests that an inflexible legal system can lead to tyranny, as it stifles ethical considerations and personal beliefs.</w:t>
      </w:r>
    </w:p>
    <w:p w14:paraId="21D77F80" w14:textId="77777777" w:rsidR="00E81243" w:rsidRPr="00336BB0" w:rsidRDefault="00E81243" w:rsidP="00E81243">
      <w:pPr>
        <w:rPr>
          <w:rFonts w:ascii="New times roman" w:hAnsi="New times roman"/>
          <w:color w:val="16191C"/>
          <w:sz w:val="24"/>
          <w:szCs w:val="24"/>
          <w:shd w:val="clear" w:color="auto" w:fill="F8F8F8"/>
        </w:rPr>
      </w:pPr>
      <w:r w:rsidRPr="00336BB0">
        <w:rPr>
          <w:rFonts w:ascii="New times roman" w:hAnsi="New times roman"/>
          <w:color w:val="16191C"/>
          <w:sz w:val="24"/>
          <w:szCs w:val="24"/>
          <w:shd w:val="clear" w:color="auto" w:fill="F8F8F8"/>
        </w:rPr>
        <w:lastRenderedPageBreak/>
        <w:t>In modern contexts, the challenge remains: who should have the authority to navigate these complexities? The potential for a strong ruler to make decisions on a case-by-case basis might seem necessary to maintain order, yet this also risks descending into arbitrary governance, echoing the very tyranny that Creon embodies. The tragedy of Antigone serves as a poignant reminder of the delicate balance between authority and individual moral responsibility.</w:t>
      </w:r>
    </w:p>
    <w:p w14:paraId="3107BB7F" w14:textId="74913601" w:rsidR="00E81243" w:rsidRPr="00336BB0" w:rsidRDefault="00E81243" w:rsidP="00E81243">
      <w:pPr>
        <w:rPr>
          <w:rFonts w:ascii="New times roman" w:hAnsi="New times roman"/>
          <w:sz w:val="24"/>
          <w:szCs w:val="24"/>
        </w:rPr>
      </w:pPr>
      <w:r w:rsidRPr="00336BB0">
        <w:rPr>
          <w:rFonts w:ascii="New times roman" w:hAnsi="New times roman"/>
          <w:sz w:val="24"/>
          <w:szCs w:val="24"/>
        </w:rPr>
        <w:t>In contrast, Antigone's steadfastness is highlighted in her defiance against Creon’s edict, driven by her moral obligation to honour her brother. As she boldly states, 'I will bury him; and if I die for it, I shall be glad of it,' her unwavering resolve, even in the face of death, emphasizes her character's strength and commitment to familial loyalty.</w:t>
      </w:r>
      <w:r w:rsidRPr="00336BB0">
        <w:rPr>
          <w:rStyle w:val="FootnoteReference"/>
          <w:rFonts w:ascii="New times roman" w:hAnsi="New times roman"/>
          <w:sz w:val="24"/>
          <w:szCs w:val="24"/>
        </w:rPr>
        <w:footnoteReference w:id="9"/>
      </w:r>
      <w:r w:rsidRPr="00336BB0">
        <w:rPr>
          <w:rFonts w:ascii="New times roman" w:hAnsi="New times roman"/>
          <w:sz w:val="24"/>
          <w:szCs w:val="24"/>
        </w:rPr>
        <w:t xml:space="preserve"> Ultimately, critics like Richard J. Golsan, who analyses Greek tragedy, state that 'the interplay of these scenes serves to illuminate the tragic consequences of hubris and the dangers of </w:t>
      </w:r>
      <w:r w:rsidR="00064B49" w:rsidRPr="00336BB0">
        <w:rPr>
          <w:rFonts w:ascii="New times roman" w:hAnsi="New times roman"/>
          <w:sz w:val="24"/>
          <w:szCs w:val="24"/>
        </w:rPr>
        <w:t>their</w:t>
      </w:r>
      <w:r w:rsidRPr="00336BB0">
        <w:rPr>
          <w:rFonts w:ascii="New times roman" w:hAnsi="New times roman"/>
          <w:sz w:val="24"/>
          <w:szCs w:val="24"/>
        </w:rPr>
        <w:t xml:space="preserve"> beliefs.'</w:t>
      </w:r>
      <w:r w:rsidRPr="00336BB0">
        <w:rPr>
          <w:rStyle w:val="FootnoteReference"/>
          <w:rFonts w:ascii="New times roman" w:hAnsi="New times roman"/>
          <w:sz w:val="24"/>
          <w:szCs w:val="24"/>
        </w:rPr>
        <w:footnoteReference w:id="10"/>
      </w:r>
      <w:r w:rsidRPr="00336BB0">
        <w:rPr>
          <w:rFonts w:ascii="New times roman" w:hAnsi="New times roman"/>
          <w:sz w:val="24"/>
          <w:szCs w:val="24"/>
        </w:rPr>
        <w:t xml:space="preserve"> </w:t>
      </w:r>
    </w:p>
    <w:p w14:paraId="10B0CDD5" w14:textId="1CDF6589" w:rsidR="00E81243" w:rsidRPr="00336BB0" w:rsidRDefault="00C415DF" w:rsidP="00E81243">
      <w:pPr>
        <w:rPr>
          <w:rFonts w:ascii="New times roman" w:hAnsi="New times roman"/>
          <w:sz w:val="24"/>
          <w:szCs w:val="24"/>
        </w:rPr>
      </w:pPr>
      <w:r w:rsidRPr="00336BB0">
        <w:rPr>
          <w:rFonts w:ascii="New times roman" w:hAnsi="New times roman"/>
          <w:sz w:val="24"/>
          <w:szCs w:val="24"/>
        </w:rPr>
        <w:t>According to Anouilh</w:t>
      </w:r>
      <w:r w:rsidR="00532539" w:rsidRPr="00336BB0">
        <w:rPr>
          <w:rFonts w:ascii="New times roman" w:hAnsi="New times roman"/>
          <w:sz w:val="24"/>
          <w:szCs w:val="24"/>
        </w:rPr>
        <w:t xml:space="preserve">, </w:t>
      </w:r>
      <w:r w:rsidR="00E81243" w:rsidRPr="00336BB0">
        <w:rPr>
          <w:rFonts w:ascii="New times roman" w:hAnsi="New times roman"/>
          <w:sz w:val="24"/>
          <w:szCs w:val="24"/>
        </w:rPr>
        <w:t>Antigone's commitment to her familial duty and adherence to divine law serves as a critical focal point in Sophocles' narrative. Her defiance of Creon’s edict highlights the tension between personal ethics and state-imposed authority. Antigone's actions are not merely acts of rebellion; they embody a profound moral conviction that transcends the temporal laws of Thebes.</w:t>
      </w:r>
      <w:r w:rsidR="0004061F" w:rsidRPr="00336BB0">
        <w:rPr>
          <w:rStyle w:val="FootnoteReference"/>
          <w:rFonts w:ascii="New times roman" w:hAnsi="New times roman"/>
          <w:sz w:val="24"/>
          <w:szCs w:val="24"/>
        </w:rPr>
        <w:footnoteReference w:id="11"/>
      </w:r>
      <w:r w:rsidR="00E81243" w:rsidRPr="00336BB0">
        <w:rPr>
          <w:rFonts w:ascii="New times roman" w:hAnsi="New times roman"/>
          <w:sz w:val="24"/>
          <w:szCs w:val="24"/>
        </w:rPr>
        <w:t xml:space="preserve"> </w:t>
      </w:r>
    </w:p>
    <w:p w14:paraId="69D51DEC" w14:textId="2DE2475E" w:rsidR="00E81243" w:rsidRPr="00336BB0" w:rsidRDefault="002961FD" w:rsidP="00E81243">
      <w:pPr>
        <w:rPr>
          <w:rFonts w:ascii="New times roman" w:hAnsi="New times roman"/>
          <w:sz w:val="24"/>
          <w:szCs w:val="24"/>
        </w:rPr>
      </w:pPr>
      <w:r w:rsidRPr="00336BB0">
        <w:rPr>
          <w:rFonts w:ascii="New times roman" w:hAnsi="New times roman"/>
          <w:sz w:val="24"/>
          <w:szCs w:val="24"/>
        </w:rPr>
        <w:t>Smith states that</w:t>
      </w:r>
      <w:r w:rsidR="00437E75" w:rsidRPr="00336BB0">
        <w:rPr>
          <w:rFonts w:ascii="New times roman" w:hAnsi="New times roman"/>
          <w:sz w:val="24"/>
          <w:szCs w:val="24"/>
        </w:rPr>
        <w:t>,</w:t>
      </w:r>
      <w:r w:rsidRPr="00336BB0">
        <w:rPr>
          <w:rFonts w:ascii="New times roman" w:hAnsi="New times roman"/>
          <w:sz w:val="24"/>
          <w:szCs w:val="24"/>
        </w:rPr>
        <w:t xml:space="preserve"> t</w:t>
      </w:r>
      <w:r w:rsidR="00E81243" w:rsidRPr="00336BB0">
        <w:rPr>
          <w:rFonts w:ascii="New times roman" w:hAnsi="New times roman"/>
          <w:sz w:val="24"/>
          <w:szCs w:val="24"/>
        </w:rPr>
        <w:t>he character of Haemon, Creon's son and Antigone's betrothed, further complicates this exploration of ethical conflict. Haemon's initial support for Antigone illustrates the generational divide in perspectives on authority and justice.</w:t>
      </w:r>
      <w:r w:rsidR="00E81243" w:rsidRPr="00336BB0">
        <w:rPr>
          <w:rStyle w:val="FootnoteReference"/>
          <w:rFonts w:ascii="New times roman" w:hAnsi="New times roman"/>
          <w:sz w:val="24"/>
          <w:szCs w:val="24"/>
        </w:rPr>
        <w:footnoteReference w:id="12"/>
      </w:r>
      <w:r w:rsidR="00E81243" w:rsidRPr="00336BB0">
        <w:rPr>
          <w:rFonts w:ascii="New times roman" w:hAnsi="New times roman"/>
          <w:sz w:val="24"/>
          <w:szCs w:val="24"/>
        </w:rPr>
        <w:t xml:space="preserve"> His attempts to persuade his father to reconsider his rigid stance reveal the inherent dangers of inflexible governance. As the narrative unfolds, Haemon's tragic fate, resulting from his loyalty to Antigone and his disillusionment with Creon's tyranny, accentuates the personal costs of political absolutism. Through Haemon, Sophocles critiques the ramifications of a ruler's refusal to heed counsel and adapt to the moral complexities of human relationships, thereby reinforcing the narrative's central themes.</w:t>
      </w:r>
    </w:p>
    <w:p w14:paraId="2FE9D3C2" w14:textId="2D285880" w:rsidR="00E81243" w:rsidRPr="00336BB0" w:rsidRDefault="00E81243" w:rsidP="00E81243">
      <w:pPr>
        <w:rPr>
          <w:rFonts w:ascii="New times roman" w:hAnsi="New times roman"/>
          <w:sz w:val="24"/>
          <w:szCs w:val="24"/>
        </w:rPr>
      </w:pPr>
      <w:r w:rsidRPr="00336BB0">
        <w:rPr>
          <w:rFonts w:ascii="New times roman" w:hAnsi="New times roman"/>
          <w:sz w:val="24"/>
          <w:szCs w:val="24"/>
        </w:rPr>
        <w:t>Moreover</w:t>
      </w:r>
      <w:r w:rsidR="00950439" w:rsidRPr="00336BB0">
        <w:rPr>
          <w:rFonts w:ascii="New times roman" w:hAnsi="New times roman"/>
          <w:sz w:val="24"/>
          <w:szCs w:val="24"/>
        </w:rPr>
        <w:t xml:space="preserve"> Carson </w:t>
      </w:r>
      <w:r w:rsidR="006A12C1" w:rsidRPr="00336BB0">
        <w:rPr>
          <w:rFonts w:ascii="New times roman" w:hAnsi="New times roman"/>
          <w:sz w:val="24"/>
          <w:szCs w:val="24"/>
        </w:rPr>
        <w:t xml:space="preserve">expresses, </w:t>
      </w:r>
      <w:r w:rsidRPr="00336BB0">
        <w:rPr>
          <w:rFonts w:ascii="New times roman" w:hAnsi="New times roman"/>
          <w:sz w:val="24"/>
          <w:szCs w:val="24"/>
        </w:rPr>
        <w:t xml:space="preserve"> the character of Tiresias, the blind prophet, serves as a pivotal figure in illuminating the consequences of Creon's obstinacy.</w:t>
      </w:r>
      <w:r w:rsidRPr="00336BB0">
        <w:rPr>
          <w:rStyle w:val="FootnoteReference"/>
          <w:rFonts w:ascii="New times roman" w:hAnsi="New times roman"/>
          <w:sz w:val="24"/>
          <w:szCs w:val="24"/>
        </w:rPr>
        <w:footnoteReference w:id="13"/>
      </w:r>
      <w:r w:rsidRPr="00336BB0">
        <w:rPr>
          <w:rFonts w:ascii="New times roman" w:hAnsi="New times roman"/>
          <w:sz w:val="24"/>
          <w:szCs w:val="24"/>
        </w:rPr>
        <w:t xml:space="preserve"> Tiresias represents the voice of divine wisdom, warning Creon of the repercussions of his actions and the necessity of humility in leadership.</w:t>
      </w:r>
      <w:r w:rsidRPr="00336BB0">
        <w:rPr>
          <w:rStyle w:val="FootnoteReference"/>
          <w:rFonts w:ascii="New times roman" w:hAnsi="New times roman"/>
          <w:sz w:val="24"/>
          <w:szCs w:val="24"/>
        </w:rPr>
        <w:footnoteReference w:id="14"/>
      </w:r>
      <w:r w:rsidRPr="00336BB0">
        <w:rPr>
          <w:rFonts w:ascii="New times roman" w:hAnsi="New times roman"/>
          <w:sz w:val="24"/>
          <w:szCs w:val="24"/>
        </w:rPr>
        <w:t xml:space="preserve"> His prophetic insights underscore the theme of fate versus free will, as Creon’s refusal to heed these warnings precipitates a series of tragic events. The interplay between Tiresias' foresight and Creon's hubris </w:t>
      </w:r>
      <w:r w:rsidRPr="00336BB0">
        <w:rPr>
          <w:rFonts w:ascii="New times roman" w:hAnsi="New times roman"/>
          <w:sz w:val="24"/>
          <w:szCs w:val="24"/>
        </w:rPr>
        <w:lastRenderedPageBreak/>
        <w:t xml:space="preserve">encapsulates the tragic irony of the narrative, wherein the ruler's failure to recognize the limits of his authority leads to his ultimate downfall. </w:t>
      </w:r>
    </w:p>
    <w:p w14:paraId="386D77F8" w14:textId="77777777" w:rsidR="00E81243" w:rsidRPr="00336BB0" w:rsidRDefault="00E81243" w:rsidP="00E81243">
      <w:pPr>
        <w:rPr>
          <w:rFonts w:ascii="New times roman" w:hAnsi="New times roman"/>
          <w:sz w:val="24"/>
          <w:szCs w:val="24"/>
        </w:rPr>
      </w:pPr>
      <w:r w:rsidRPr="00336BB0">
        <w:rPr>
          <w:rFonts w:ascii="New times roman" w:hAnsi="New times roman"/>
          <w:sz w:val="24"/>
          <w:szCs w:val="24"/>
        </w:rPr>
        <w:t>In Sophocles' ‘Antigone,’ the exploration of gender roles serves to highlight the complexities of power dynamics within the context of tyranny, particularly through the character of Creon.</w:t>
      </w:r>
      <w:r w:rsidRPr="00336BB0">
        <w:rPr>
          <w:rStyle w:val="FootnoteReference"/>
          <w:rFonts w:ascii="New times roman" w:hAnsi="New times roman"/>
          <w:sz w:val="24"/>
          <w:szCs w:val="24"/>
        </w:rPr>
        <w:footnoteReference w:id="15"/>
      </w:r>
      <w:r w:rsidRPr="00336BB0">
        <w:rPr>
          <w:rFonts w:ascii="New times roman" w:hAnsi="New times roman"/>
          <w:sz w:val="24"/>
          <w:szCs w:val="24"/>
        </w:rPr>
        <w:t xml:space="preserve"> As the ruler of Thebes, Creon embodies the archetype of a dictator, enforcing his edicts with an iron fist. His unwavering commitment to the state’s laws and his refusal to acknowledge the moral imperatives that Antigone represents illustrate the dangers of absolute power. Creon’s authoritarian rule not only impacts the political landscape but also reflects the societal norms that dictate the behaviour of women, positioning them as subordinate figures in a patriarchal society.</w:t>
      </w:r>
      <w:r w:rsidRPr="00336BB0">
        <w:rPr>
          <w:rStyle w:val="FootnoteReference"/>
          <w:rFonts w:ascii="New times roman" w:hAnsi="New times roman"/>
          <w:sz w:val="24"/>
          <w:szCs w:val="24"/>
        </w:rPr>
        <w:footnoteReference w:id="16"/>
      </w:r>
    </w:p>
    <w:p w14:paraId="5AA02B4D" w14:textId="5ABFB92F" w:rsidR="00E81243" w:rsidRPr="00336BB0" w:rsidRDefault="00E81243" w:rsidP="00E81243">
      <w:pPr>
        <w:rPr>
          <w:rFonts w:ascii="New times roman" w:hAnsi="New times roman"/>
          <w:sz w:val="24"/>
          <w:szCs w:val="24"/>
        </w:rPr>
      </w:pPr>
      <w:r w:rsidRPr="00336BB0">
        <w:rPr>
          <w:rFonts w:ascii="New times roman" w:hAnsi="New times roman"/>
          <w:sz w:val="24"/>
          <w:szCs w:val="24"/>
        </w:rPr>
        <w:t>Antigone’s defiance against Creon’s edict, which forbids the burial of her brother Polyneices, challenges traditional gender expectations and reveals her strength in the face of oppression</w:t>
      </w:r>
      <w:r w:rsidR="00277800" w:rsidRPr="00336BB0">
        <w:rPr>
          <w:rFonts w:ascii="New times roman" w:hAnsi="New times roman"/>
          <w:sz w:val="24"/>
          <w:szCs w:val="24"/>
        </w:rPr>
        <w:t>, u</w:t>
      </w:r>
      <w:r w:rsidRPr="00336BB0">
        <w:rPr>
          <w:rFonts w:ascii="New times roman" w:hAnsi="New times roman"/>
          <w:sz w:val="24"/>
          <w:szCs w:val="24"/>
        </w:rPr>
        <w:t>nlike her sister Ismene, who initially conforms to societal norms by expressing fear and reluctance, Antigone acts with conviction and moral clarity.</w:t>
      </w:r>
      <w:r w:rsidR="00277800" w:rsidRPr="00336BB0">
        <w:rPr>
          <w:rStyle w:val="FootnoteReference"/>
          <w:rFonts w:ascii="New times roman" w:hAnsi="New times roman"/>
          <w:sz w:val="24"/>
          <w:szCs w:val="24"/>
        </w:rPr>
        <w:footnoteReference w:id="17"/>
      </w:r>
      <w:r w:rsidRPr="00336BB0">
        <w:rPr>
          <w:rFonts w:ascii="New times roman" w:hAnsi="New times roman"/>
          <w:sz w:val="24"/>
          <w:szCs w:val="24"/>
        </w:rPr>
        <w:t xml:space="preserve"> This contrast between the sisters underscores the tension between compliance and rebellion, as Antigone’s actions serve as a critique of the limitations imposed on women</w:t>
      </w:r>
      <w:r w:rsidR="00064B49" w:rsidRPr="00336BB0">
        <w:rPr>
          <w:rFonts w:ascii="New times roman" w:hAnsi="New times roman"/>
          <w:sz w:val="24"/>
          <w:szCs w:val="24"/>
        </w:rPr>
        <w:t>.</w:t>
      </w:r>
    </w:p>
    <w:p w14:paraId="4DAA0A61" w14:textId="77777777" w:rsidR="00E81243" w:rsidRPr="00336BB0" w:rsidRDefault="00E81243" w:rsidP="00E81243">
      <w:pPr>
        <w:rPr>
          <w:rFonts w:ascii="New times roman" w:hAnsi="New times roman"/>
          <w:sz w:val="24"/>
          <w:szCs w:val="24"/>
        </w:rPr>
      </w:pPr>
      <w:r w:rsidRPr="00336BB0">
        <w:rPr>
          <w:rFonts w:ascii="New times roman" w:hAnsi="New times roman"/>
          <w:sz w:val="24"/>
          <w:szCs w:val="24"/>
        </w:rPr>
        <w:t>Moreover, the interplay between Antigone and Creon raises critical questions about the nature of authority and the consequences of rigid adherence to power structures. Creon’s tyrannical governance ultimately leads to tragedy, as his inability to listen to dissent results in the destruction of his family and the collapse of his authority. Through the lens of gender, Sophocles invites the audience to consider how tyranny affects not only political relationships but also personal identities and societal expectations. In this way, ‘Antigone’ transcends its historical context, providing a timeless commentary on the intersections of power, gender, and morality that resonate in contemporary discussions of authority and rebellion.</w:t>
      </w:r>
      <w:r w:rsidRPr="00336BB0">
        <w:rPr>
          <w:rStyle w:val="FootnoteReference"/>
          <w:rFonts w:ascii="New times roman" w:hAnsi="New times roman"/>
          <w:sz w:val="24"/>
          <w:szCs w:val="24"/>
        </w:rPr>
        <w:footnoteReference w:id="18"/>
      </w:r>
    </w:p>
    <w:p w14:paraId="5ACB0611" w14:textId="77777777" w:rsidR="00064B49" w:rsidRPr="00336BB0" w:rsidRDefault="00E81243" w:rsidP="00E81243">
      <w:pPr>
        <w:rPr>
          <w:rFonts w:ascii="New times roman" w:hAnsi="New times roman"/>
          <w:sz w:val="24"/>
          <w:szCs w:val="24"/>
        </w:rPr>
      </w:pPr>
      <w:r w:rsidRPr="00336BB0">
        <w:rPr>
          <w:rFonts w:ascii="New times roman" w:hAnsi="New times roman"/>
          <w:sz w:val="24"/>
          <w:szCs w:val="24"/>
        </w:rPr>
        <w:t>Creon’s response to Antigone’s defiance further illustrates the dangers of authoritarianism.</w:t>
      </w:r>
      <w:r w:rsidRPr="00336BB0">
        <w:rPr>
          <w:rStyle w:val="FootnoteReference"/>
          <w:rFonts w:ascii="New times roman" w:hAnsi="New times roman"/>
          <w:sz w:val="24"/>
          <w:szCs w:val="24"/>
        </w:rPr>
        <w:footnoteReference w:id="19"/>
      </w:r>
      <w:r w:rsidRPr="00336BB0">
        <w:rPr>
          <w:rFonts w:ascii="New times roman" w:hAnsi="New times roman"/>
          <w:sz w:val="24"/>
          <w:szCs w:val="24"/>
        </w:rPr>
        <w:t xml:space="preserve"> His rigid adherence to law-and-order blinds him to the nuances of human experience and the moral implications of his decisions. In his eyes, the preservation of state authority justifies any means, leading to an inflexible stance that disregards the emotional and ethical dimensions of governance. </w:t>
      </w:r>
    </w:p>
    <w:p w14:paraId="67531160" w14:textId="77777777" w:rsidR="00B96DB9" w:rsidRPr="00336BB0" w:rsidRDefault="00B96DB9" w:rsidP="00E81243">
      <w:pPr>
        <w:rPr>
          <w:rFonts w:ascii="New times roman" w:hAnsi="New times roman"/>
          <w:sz w:val="24"/>
          <w:szCs w:val="24"/>
        </w:rPr>
      </w:pPr>
    </w:p>
    <w:p w14:paraId="23EAE9F0" w14:textId="77777777" w:rsidR="00B96DB9" w:rsidRPr="00336BB0" w:rsidRDefault="00B96DB9" w:rsidP="00E81243">
      <w:pPr>
        <w:rPr>
          <w:rFonts w:ascii="New times roman" w:hAnsi="New times roman"/>
          <w:sz w:val="24"/>
          <w:szCs w:val="24"/>
        </w:rPr>
      </w:pPr>
    </w:p>
    <w:p w14:paraId="7F5C1924" w14:textId="78CE7852" w:rsidR="00E81243" w:rsidRPr="00336BB0" w:rsidRDefault="00E81243" w:rsidP="00E81243">
      <w:pPr>
        <w:rPr>
          <w:rFonts w:ascii="New times roman" w:hAnsi="New times roman"/>
          <w:sz w:val="24"/>
          <w:szCs w:val="24"/>
        </w:rPr>
      </w:pPr>
      <w:r w:rsidRPr="00336BB0">
        <w:rPr>
          <w:rFonts w:ascii="New times roman" w:hAnsi="New times roman"/>
          <w:sz w:val="24"/>
          <w:szCs w:val="24"/>
        </w:rPr>
        <w:lastRenderedPageBreak/>
        <w:t>This tragic flaw ultimately results in a cascade of suffering, as Creon loses not only his authority but also his family, thereby illustrating the destructive potential of tyrannical rule.</w:t>
      </w:r>
      <w:r w:rsidR="00064B49" w:rsidRPr="00336BB0">
        <w:rPr>
          <w:rFonts w:ascii="New times roman" w:hAnsi="New times roman"/>
          <w:sz w:val="24"/>
          <w:szCs w:val="24"/>
        </w:rPr>
        <w:t xml:space="preserve"> </w:t>
      </w:r>
      <w:r w:rsidRPr="00336BB0">
        <w:rPr>
          <w:rFonts w:ascii="New times roman" w:hAnsi="New times roman"/>
          <w:sz w:val="24"/>
          <w:szCs w:val="24"/>
        </w:rPr>
        <w:t>The interplay between Creon and Antigone serves as a microcosm of the broader societal struggle between individual rights and state power.</w:t>
      </w:r>
      <w:r w:rsidRPr="00336BB0">
        <w:rPr>
          <w:rStyle w:val="FootnoteReference"/>
          <w:rFonts w:ascii="New times roman" w:hAnsi="New times roman"/>
          <w:sz w:val="24"/>
          <w:szCs w:val="24"/>
        </w:rPr>
        <w:footnoteReference w:id="20"/>
      </w:r>
      <w:r w:rsidRPr="00336BB0">
        <w:rPr>
          <w:rFonts w:ascii="New times roman" w:hAnsi="New times roman"/>
          <w:sz w:val="24"/>
          <w:szCs w:val="24"/>
        </w:rPr>
        <w:t xml:space="preserve"> Sophocles invites the audience to reflect on the implications of blind obedience to authority and the moral obligations that individuals hold in the face of unjust laws. The tragic outcomes of their conflict reveal the fragility of human existence when caught in the crossfire of competing moral imperatives.</w:t>
      </w:r>
    </w:p>
    <w:p w14:paraId="0B3D6E25" w14:textId="7A87B83F" w:rsidR="00E81243" w:rsidRPr="00336BB0" w:rsidRDefault="00E81243" w:rsidP="00E81243">
      <w:pPr>
        <w:rPr>
          <w:rFonts w:ascii="New times roman" w:hAnsi="New times roman"/>
          <w:sz w:val="24"/>
          <w:szCs w:val="24"/>
        </w:rPr>
      </w:pPr>
      <w:r w:rsidRPr="00336BB0">
        <w:rPr>
          <w:rFonts w:ascii="New times roman" w:hAnsi="New times roman"/>
          <w:sz w:val="24"/>
          <w:szCs w:val="24"/>
        </w:rPr>
        <w:t>One significant perspective comes from philosopher Hegel, who argues that Antigone represents the ethical life (</w:t>
      </w:r>
      <w:proofErr w:type="spellStart"/>
      <w:r w:rsidRPr="00336BB0">
        <w:rPr>
          <w:rFonts w:ascii="New times roman" w:hAnsi="New times roman"/>
          <w:sz w:val="24"/>
          <w:szCs w:val="24"/>
        </w:rPr>
        <w:t>Sittlichkeit</w:t>
      </w:r>
      <w:proofErr w:type="spellEnd"/>
      <w:r w:rsidRPr="00336BB0">
        <w:rPr>
          <w:rFonts w:ascii="New times roman" w:hAnsi="New times roman"/>
          <w:sz w:val="24"/>
          <w:szCs w:val="24"/>
        </w:rPr>
        <w:t>) that transcends mere legalism.</w:t>
      </w:r>
      <w:r w:rsidR="00604DE5" w:rsidRPr="00336BB0">
        <w:rPr>
          <w:rStyle w:val="FootnoteReference"/>
          <w:rFonts w:ascii="New times roman" w:hAnsi="New times roman"/>
          <w:sz w:val="24"/>
          <w:szCs w:val="24"/>
        </w:rPr>
        <w:footnoteReference w:id="21"/>
      </w:r>
      <w:r w:rsidRPr="00336BB0">
        <w:rPr>
          <w:rFonts w:ascii="New times roman" w:hAnsi="New times roman"/>
          <w:sz w:val="24"/>
          <w:szCs w:val="24"/>
        </w:rPr>
        <w:t xml:space="preserve"> In his work, ‘The Philosophy of History,’ Hegel posits that Antigone's actions embody a higher moral law that stands in opposition to Creon’s state law.</w:t>
      </w:r>
      <w:r w:rsidR="00604DE5" w:rsidRPr="00336BB0">
        <w:rPr>
          <w:rStyle w:val="FootnoteReference"/>
          <w:rFonts w:ascii="New times roman" w:hAnsi="New times roman"/>
          <w:sz w:val="24"/>
          <w:szCs w:val="24"/>
        </w:rPr>
        <w:footnoteReference w:id="22"/>
      </w:r>
      <w:r w:rsidRPr="00336BB0">
        <w:rPr>
          <w:rFonts w:ascii="New times roman" w:hAnsi="New times roman"/>
          <w:sz w:val="24"/>
          <w:szCs w:val="24"/>
        </w:rPr>
        <w:t xml:space="preserve"> This clash between divine law and human law highlights the limitations of a rigid legal system when it fails to account for ethical considerations. </w:t>
      </w:r>
    </w:p>
    <w:p w14:paraId="4EB742DA" w14:textId="34ED4F71" w:rsidR="00E81243" w:rsidRPr="00336BB0" w:rsidRDefault="00E81243" w:rsidP="00E81243">
      <w:pPr>
        <w:rPr>
          <w:rFonts w:ascii="New times roman" w:hAnsi="New times roman"/>
          <w:sz w:val="24"/>
          <w:szCs w:val="24"/>
        </w:rPr>
      </w:pPr>
      <w:r w:rsidRPr="00336BB0">
        <w:rPr>
          <w:rFonts w:ascii="New times roman" w:hAnsi="New times roman"/>
          <w:sz w:val="24"/>
          <w:szCs w:val="24"/>
        </w:rPr>
        <w:t>Another critical viewpoint is provided by feminist theorists who analyse Antigone’s defiance as a form of resistance against patriarchal authority. In her essay ‘Antigone's Claim,’ feminist scholar Judith Butler argues that Antigone’s unwavering commitment to burying her brother reflects a challenge to the gendered constraints imposed by Creon’s rule.</w:t>
      </w:r>
      <w:r w:rsidRPr="00336BB0">
        <w:rPr>
          <w:rStyle w:val="FootnoteReference"/>
          <w:rFonts w:ascii="New times roman" w:hAnsi="New times roman"/>
          <w:sz w:val="24"/>
          <w:szCs w:val="24"/>
        </w:rPr>
        <w:footnoteReference w:id="23"/>
      </w:r>
      <w:r w:rsidRPr="00336BB0">
        <w:rPr>
          <w:rFonts w:ascii="New times roman" w:hAnsi="New times roman"/>
          <w:sz w:val="24"/>
          <w:szCs w:val="24"/>
        </w:rPr>
        <w:t xml:space="preserve"> Butler suggests that Antigone’s actions not only assert her agency as a woman but also question the societal structures that seek to silence female voices</w:t>
      </w:r>
      <w:r w:rsidR="00D35F72" w:rsidRPr="00336BB0">
        <w:rPr>
          <w:rFonts w:ascii="New times roman" w:hAnsi="New times roman"/>
          <w:sz w:val="24"/>
          <w:szCs w:val="24"/>
        </w:rPr>
        <w:t>.</w:t>
      </w:r>
    </w:p>
    <w:p w14:paraId="678C94FC" w14:textId="77777777" w:rsidR="00E81243" w:rsidRPr="00336BB0" w:rsidRDefault="00E81243" w:rsidP="00E81243">
      <w:pPr>
        <w:rPr>
          <w:rFonts w:ascii="New times roman" w:hAnsi="New times roman"/>
          <w:sz w:val="24"/>
          <w:szCs w:val="24"/>
        </w:rPr>
      </w:pPr>
      <w:r w:rsidRPr="00336BB0">
        <w:rPr>
          <w:rFonts w:ascii="New times roman" w:hAnsi="New times roman"/>
          <w:sz w:val="24"/>
          <w:szCs w:val="24"/>
        </w:rPr>
        <w:t>Additionally, the work of classicist Simon Goldhill in ‘Reading Greek Tragedy’ sheds light on the cultural context of the play. Goldhill discusses how the tension between individual and state reflects the democratic ideals of ancient Athens.</w:t>
      </w:r>
      <w:r w:rsidRPr="00336BB0">
        <w:rPr>
          <w:rStyle w:val="FootnoteReference"/>
          <w:rFonts w:ascii="New times roman" w:hAnsi="New times roman"/>
          <w:sz w:val="24"/>
          <w:szCs w:val="24"/>
        </w:rPr>
        <w:footnoteReference w:id="24"/>
      </w:r>
      <w:r w:rsidRPr="00336BB0">
        <w:rPr>
          <w:rFonts w:ascii="New times roman" w:hAnsi="New times roman"/>
          <w:sz w:val="24"/>
          <w:szCs w:val="24"/>
        </w:rPr>
        <w:t xml:space="preserve"> He argues that Sophocles uses the conflict between Antigone and Creon to explore the complexities of civic duty and personal morality, suggesting that the play serves as a critical commentary on the nature of authority in a democratic society. This perspective invites readers to consider how the themes of ‘Antigone’ remain relevant in modern discussions about civic responsibility and ethical governance.</w:t>
      </w:r>
    </w:p>
    <w:p w14:paraId="173C880D" w14:textId="77777777" w:rsidR="00E81243" w:rsidRPr="00336BB0" w:rsidRDefault="00E81243" w:rsidP="00E81243">
      <w:pPr>
        <w:rPr>
          <w:rFonts w:ascii="New times roman" w:hAnsi="New times roman"/>
          <w:sz w:val="24"/>
          <w:szCs w:val="24"/>
        </w:rPr>
      </w:pPr>
      <w:r w:rsidRPr="00336BB0">
        <w:rPr>
          <w:rFonts w:ascii="New times roman" w:hAnsi="New times roman"/>
          <w:sz w:val="24"/>
          <w:szCs w:val="24"/>
        </w:rPr>
        <w:t>Creon's insistence on enforcing his decree, even in the face of Antigone's passionate arguments, illustrates the dangers of a rigid adherence to law that ignores the complexities of human experience.</w:t>
      </w:r>
      <w:r w:rsidRPr="00336BB0">
        <w:rPr>
          <w:rStyle w:val="FootnoteReference"/>
          <w:rFonts w:ascii="New times roman" w:hAnsi="New times roman"/>
          <w:sz w:val="24"/>
          <w:szCs w:val="24"/>
        </w:rPr>
        <w:footnoteReference w:id="25"/>
      </w:r>
      <w:r w:rsidRPr="00336BB0">
        <w:rPr>
          <w:rFonts w:ascii="New times roman" w:hAnsi="New times roman"/>
          <w:sz w:val="24"/>
          <w:szCs w:val="24"/>
        </w:rPr>
        <w:t xml:space="preserve"> His characterization as a tyrant becomes evident as he prioritizes order and authority over compassion and justice. This dynamic raise critical questions about the legitimacy of power and the responsibilities of those who wield it. </w:t>
      </w:r>
    </w:p>
    <w:p w14:paraId="028BB4F3" w14:textId="77777777" w:rsidR="00B96DB9" w:rsidRPr="00336BB0" w:rsidRDefault="00B96DB9" w:rsidP="002B5819">
      <w:pPr>
        <w:rPr>
          <w:rFonts w:ascii="New times roman" w:hAnsi="New times roman"/>
          <w:sz w:val="24"/>
          <w:szCs w:val="24"/>
        </w:rPr>
      </w:pPr>
    </w:p>
    <w:p w14:paraId="3562409C" w14:textId="77777777" w:rsidR="00B96DB9" w:rsidRPr="00336BB0" w:rsidRDefault="00B96DB9" w:rsidP="002B5819">
      <w:pPr>
        <w:rPr>
          <w:rFonts w:ascii="New times roman" w:hAnsi="New times roman"/>
          <w:sz w:val="24"/>
          <w:szCs w:val="24"/>
        </w:rPr>
      </w:pPr>
    </w:p>
    <w:p w14:paraId="07F6EB8C" w14:textId="77777777" w:rsidR="00B96DB9" w:rsidRPr="00336BB0" w:rsidRDefault="00B96DB9" w:rsidP="002B5819">
      <w:pPr>
        <w:rPr>
          <w:rFonts w:ascii="New times roman" w:hAnsi="New times roman"/>
          <w:sz w:val="24"/>
          <w:szCs w:val="24"/>
        </w:rPr>
      </w:pPr>
    </w:p>
    <w:p w14:paraId="1653C2ED" w14:textId="15556456" w:rsidR="002B5819" w:rsidRPr="00336BB0" w:rsidRDefault="002B5819" w:rsidP="002B5819">
      <w:pPr>
        <w:rPr>
          <w:rFonts w:ascii="New times roman" w:hAnsi="New times roman"/>
          <w:sz w:val="24"/>
          <w:szCs w:val="24"/>
        </w:rPr>
      </w:pPr>
      <w:r w:rsidRPr="00336BB0">
        <w:rPr>
          <w:rFonts w:ascii="New times roman" w:hAnsi="New times roman"/>
          <w:sz w:val="24"/>
          <w:szCs w:val="24"/>
        </w:rPr>
        <w:t>The tragic conclusion of the play serves as a stark reminder of the perils associated with absolute power and the suppression of individual conscience. As Antigone faces the severe repercussions of her defiance, the audience is encouraged to reflect on the importance of her sacrifice. This scenario prompts critical inquiries about the nature of justice—whether it arises from human legislation or from the moral principles that govern humanity.</w:t>
      </w:r>
    </w:p>
    <w:p w14:paraId="41D66EAB" w14:textId="2378C9B0" w:rsidR="002B5819" w:rsidRPr="00336BB0" w:rsidRDefault="002B5819" w:rsidP="002B5819">
      <w:pPr>
        <w:rPr>
          <w:rFonts w:ascii="New times roman" w:hAnsi="New times roman"/>
          <w:sz w:val="24"/>
          <w:szCs w:val="24"/>
        </w:rPr>
      </w:pPr>
      <w:r w:rsidRPr="00336BB0">
        <w:rPr>
          <w:rFonts w:ascii="New times roman" w:hAnsi="New times roman"/>
          <w:sz w:val="24"/>
          <w:szCs w:val="24"/>
        </w:rPr>
        <w:t>Moreover, the interaction between Creon and Antigone sparks discussions about gender dynamics in authority and resistance. Antigone's defiance against a male authority figure enriches the analysis and highlights the societal constraints imposed on women, both historically and in contemporary society.</w:t>
      </w:r>
      <w:r w:rsidR="004D6B89">
        <w:rPr>
          <w:rStyle w:val="FootnoteReference"/>
          <w:rFonts w:ascii="New times roman" w:hAnsi="New times roman"/>
          <w:sz w:val="24"/>
          <w:szCs w:val="24"/>
        </w:rPr>
        <w:footnoteReference w:id="26"/>
      </w:r>
      <w:r w:rsidRPr="00336BB0">
        <w:rPr>
          <w:rFonts w:ascii="New times roman" w:hAnsi="New times roman"/>
          <w:sz w:val="24"/>
          <w:szCs w:val="24"/>
        </w:rPr>
        <w:t xml:space="preserve"> This theme strongly resonates with ongoing conversations about gender equality and the fight against oppressive structures.</w:t>
      </w:r>
    </w:p>
    <w:p w14:paraId="6BE827C1" w14:textId="79A3030D" w:rsidR="004E69D5" w:rsidRPr="00336BB0" w:rsidRDefault="004E69D5" w:rsidP="004E69D5">
      <w:pPr>
        <w:rPr>
          <w:rFonts w:ascii="New times roman" w:hAnsi="New times roman"/>
          <w:sz w:val="24"/>
          <w:szCs w:val="24"/>
        </w:rPr>
      </w:pPr>
      <w:r w:rsidRPr="00336BB0">
        <w:rPr>
          <w:rFonts w:ascii="New times roman" w:hAnsi="New times roman"/>
          <w:sz w:val="24"/>
          <w:szCs w:val="24"/>
        </w:rPr>
        <w:t xml:space="preserve">In the confrontation between Creon and Antigone, their exchange powerfully illustrates the clash of values surrounding civil disobedience and moral integrity. Antigone’s unwavering declaration, </w:t>
      </w:r>
      <w:r w:rsidR="006601E3" w:rsidRPr="00336BB0">
        <w:rPr>
          <w:rFonts w:ascii="New times roman" w:hAnsi="New times roman"/>
          <w:sz w:val="24"/>
          <w:szCs w:val="24"/>
        </w:rPr>
        <w:t>‘</w:t>
      </w:r>
      <w:r w:rsidRPr="00336BB0">
        <w:rPr>
          <w:rFonts w:ascii="New times roman" w:hAnsi="New times roman"/>
          <w:sz w:val="24"/>
          <w:szCs w:val="24"/>
        </w:rPr>
        <w:t>I will bury him; and if I must die, I will die,</w:t>
      </w:r>
      <w:r w:rsidR="006601E3" w:rsidRPr="00336BB0">
        <w:rPr>
          <w:rFonts w:ascii="New times roman" w:hAnsi="New times roman"/>
          <w:sz w:val="24"/>
          <w:szCs w:val="24"/>
        </w:rPr>
        <w:t>’</w:t>
      </w:r>
      <w:r w:rsidRPr="00336BB0">
        <w:rPr>
          <w:rFonts w:ascii="New times roman" w:hAnsi="New times roman"/>
          <w:sz w:val="24"/>
          <w:szCs w:val="24"/>
        </w:rPr>
        <w:t xml:space="preserve"> reflects her deep commitment to familial loyalty and divine law over Creon's secular authority.</w:t>
      </w:r>
      <w:r w:rsidR="009708E8">
        <w:rPr>
          <w:rStyle w:val="FootnoteReference"/>
          <w:rFonts w:ascii="New times roman" w:hAnsi="New times roman"/>
          <w:sz w:val="24"/>
          <w:szCs w:val="24"/>
        </w:rPr>
        <w:footnoteReference w:id="27"/>
      </w:r>
      <w:r w:rsidRPr="00336BB0">
        <w:rPr>
          <w:rFonts w:ascii="New times roman" w:hAnsi="New times roman"/>
          <w:sz w:val="24"/>
          <w:szCs w:val="24"/>
        </w:rPr>
        <w:t xml:space="preserve"> This defiance not only challenges Creon's power but also positions Antigone as a symbol of moral righteousness. By prioritizing her ethical duties to her brother over the laws of the state, she embodies the essence of civil disobedience, a concept famously championed by thinkers like Henry David Thoreau, who argued that individuals must resist unjust laws.</w:t>
      </w:r>
      <w:r w:rsidR="00E76B07">
        <w:rPr>
          <w:rStyle w:val="FootnoteReference"/>
          <w:rFonts w:ascii="New times roman" w:hAnsi="New times roman"/>
          <w:sz w:val="24"/>
          <w:szCs w:val="24"/>
        </w:rPr>
        <w:footnoteReference w:id="28"/>
      </w:r>
      <w:r w:rsidR="00CD21A6">
        <w:rPr>
          <w:rFonts w:ascii="New times roman" w:hAnsi="New times roman"/>
          <w:sz w:val="24"/>
          <w:szCs w:val="24"/>
        </w:rPr>
        <w:t xml:space="preserve"> </w:t>
      </w:r>
    </w:p>
    <w:p w14:paraId="697E55D9" w14:textId="774D6838" w:rsidR="004E69D5" w:rsidRPr="00336BB0" w:rsidRDefault="004E69D5" w:rsidP="004E69D5">
      <w:pPr>
        <w:rPr>
          <w:rFonts w:ascii="New times roman" w:hAnsi="New times roman"/>
          <w:sz w:val="24"/>
          <w:szCs w:val="24"/>
        </w:rPr>
      </w:pPr>
      <w:r w:rsidRPr="00336BB0">
        <w:rPr>
          <w:rFonts w:ascii="New times roman" w:hAnsi="New times roman"/>
          <w:sz w:val="24"/>
          <w:szCs w:val="24"/>
        </w:rPr>
        <w:t xml:space="preserve">Creon’s character embodies the belief in the supremacy of state power, as demonstrated by his assertion, </w:t>
      </w:r>
      <w:r w:rsidR="00336BB0" w:rsidRPr="00336BB0">
        <w:rPr>
          <w:rFonts w:ascii="New times roman" w:hAnsi="New times roman"/>
          <w:sz w:val="24"/>
          <w:szCs w:val="24"/>
        </w:rPr>
        <w:t>‘</w:t>
      </w:r>
      <w:r w:rsidRPr="00336BB0">
        <w:rPr>
          <w:rFonts w:ascii="New times roman" w:hAnsi="New times roman"/>
          <w:sz w:val="24"/>
          <w:szCs w:val="24"/>
        </w:rPr>
        <w:t>The city is the king's.</w:t>
      </w:r>
      <w:r w:rsidR="00336BB0" w:rsidRPr="00336BB0">
        <w:rPr>
          <w:rFonts w:ascii="New times roman" w:hAnsi="New times roman"/>
          <w:sz w:val="24"/>
          <w:szCs w:val="24"/>
        </w:rPr>
        <w:t>’</w:t>
      </w:r>
      <w:r w:rsidRPr="00336BB0">
        <w:rPr>
          <w:rFonts w:ascii="New times roman" w:hAnsi="New times roman"/>
          <w:sz w:val="24"/>
          <w:szCs w:val="24"/>
        </w:rPr>
        <w:t xml:space="preserve"> Initially, he approaches governance with a rigid adherence to law and order, viewing his decisions as necessary for maintaining societal stability.</w:t>
      </w:r>
      <w:r w:rsidR="00094342">
        <w:rPr>
          <w:rStyle w:val="FootnoteReference"/>
          <w:rFonts w:ascii="New times roman" w:hAnsi="New times roman"/>
          <w:sz w:val="24"/>
          <w:szCs w:val="24"/>
        </w:rPr>
        <w:footnoteReference w:id="29"/>
      </w:r>
      <w:r w:rsidRPr="00336BB0">
        <w:rPr>
          <w:rFonts w:ascii="New times roman" w:hAnsi="New times roman"/>
          <w:sz w:val="24"/>
          <w:szCs w:val="24"/>
        </w:rPr>
        <w:t xml:space="preserve"> However, as the narrative unfolds, the consequences of his inflexible stance reveal the complexities and dangers of absolute authority. His refusal to listen to reason and his harsh punishment of Antigone for her defiance serve to underscore the potential for tyrannical rule when leaders prioritize their authority over justice and compassion.</w:t>
      </w:r>
    </w:p>
    <w:p w14:paraId="406C9743" w14:textId="59C51C9C" w:rsidR="004E69D5" w:rsidRPr="00336BB0" w:rsidRDefault="004E69D5" w:rsidP="004E69D5">
      <w:pPr>
        <w:rPr>
          <w:rFonts w:ascii="New times roman" w:hAnsi="New times roman"/>
          <w:sz w:val="24"/>
          <w:szCs w:val="24"/>
        </w:rPr>
      </w:pPr>
      <w:r w:rsidRPr="00336BB0">
        <w:rPr>
          <w:rFonts w:ascii="New times roman" w:hAnsi="New times roman"/>
          <w:sz w:val="24"/>
          <w:szCs w:val="24"/>
        </w:rPr>
        <w:t xml:space="preserve">The tragic arc of Creon’s character is further emphasized by his eventual realization of the catastrophic effects of his decisions. The deaths of his son Haemon and wife Eurydice serve as pivotal moments that force him to confront the consequences of his pride and stubbornness. These losses illustrate a profound transformation in Creon, as he grapples with guilt and despair, ultimately recognizing that his unwavering </w:t>
      </w:r>
      <w:r w:rsidRPr="00336BB0">
        <w:rPr>
          <w:rFonts w:ascii="New times roman" w:hAnsi="New times roman"/>
          <w:sz w:val="24"/>
          <w:szCs w:val="24"/>
        </w:rPr>
        <w:lastRenderedPageBreak/>
        <w:t>commitment to the law has led to personal tragedy. This evolution aligns with Aristotle's concept of the tragic flaw, suggesting that Creon's hubris not only leads to his downfall but also serves as a cautionary tale about the perils of unchecked power.</w:t>
      </w:r>
      <w:r w:rsidR="00B15D05">
        <w:rPr>
          <w:rStyle w:val="FootnoteReference"/>
          <w:rFonts w:ascii="New times roman" w:hAnsi="New times roman"/>
          <w:sz w:val="24"/>
          <w:szCs w:val="24"/>
        </w:rPr>
        <w:footnoteReference w:id="30"/>
      </w:r>
    </w:p>
    <w:p w14:paraId="3FA1546A" w14:textId="3450D2F6" w:rsidR="004E69D5" w:rsidRPr="00336BB0" w:rsidRDefault="004E69D5" w:rsidP="004E69D5">
      <w:pPr>
        <w:rPr>
          <w:rFonts w:ascii="New times roman" w:hAnsi="New times roman"/>
          <w:sz w:val="24"/>
          <w:szCs w:val="24"/>
        </w:rPr>
      </w:pPr>
      <w:r w:rsidRPr="00336BB0">
        <w:rPr>
          <w:rFonts w:ascii="New times roman" w:hAnsi="New times roman"/>
          <w:sz w:val="24"/>
          <w:szCs w:val="24"/>
        </w:rPr>
        <w:t xml:space="preserve">In stark contrast, Antigone’s defiance represents a courageous stand against tyranny, highlighting the moral complexities of her situation. Her determination to </w:t>
      </w:r>
      <w:r w:rsidR="00336BB0" w:rsidRPr="00336BB0">
        <w:rPr>
          <w:rFonts w:ascii="New times roman" w:hAnsi="New times roman"/>
          <w:sz w:val="24"/>
          <w:szCs w:val="24"/>
        </w:rPr>
        <w:t>honour</w:t>
      </w:r>
      <w:r w:rsidRPr="00336BB0">
        <w:rPr>
          <w:rFonts w:ascii="New times roman" w:hAnsi="New times roman"/>
          <w:sz w:val="24"/>
          <w:szCs w:val="24"/>
        </w:rPr>
        <w:t xml:space="preserve"> her brother Polyneices through burial rites underscores her belief in divine law and the importance of familial duty, which transcends the edicts of a ruler. Antigone’s actions challenge the audience to consider the ethical implications of their own choices, as she embodies the struggle between personal convictions and societal expectations. Her bravery serves as a powerful reminder of the necessity of standing up for one’s beliefs, even in the face of overwhelming opposition.</w:t>
      </w:r>
    </w:p>
    <w:p w14:paraId="2B5608A5" w14:textId="77777777" w:rsidR="00322848" w:rsidRPr="00336BB0" w:rsidRDefault="00322848" w:rsidP="00322848">
      <w:pPr>
        <w:rPr>
          <w:rFonts w:ascii="New times roman" w:hAnsi="New times roman"/>
          <w:sz w:val="24"/>
          <w:szCs w:val="24"/>
        </w:rPr>
      </w:pPr>
      <w:r w:rsidRPr="00336BB0">
        <w:rPr>
          <w:rFonts w:ascii="New times roman" w:hAnsi="New times roman"/>
          <w:sz w:val="24"/>
          <w:szCs w:val="24"/>
        </w:rPr>
        <w:t>The dynamic between Creon and Antigone provides profound insights into the complexities of power, authority, and moral integrity. Their conflict encourages discussions about the balance between individual rights and government control, prompting the audience to reflect on civil disobedience in their own lives. The tragic outcomes for both characters symbolize the enduring struggle against oppression and the ethical dilemmas faced when pursuing justice. This theme resonates through generations, emphasizing the importance of questioning authority and upholding personal convictions.</w:t>
      </w:r>
    </w:p>
    <w:p w14:paraId="090433C9" w14:textId="77777777" w:rsidR="00322848" w:rsidRPr="00336BB0" w:rsidRDefault="00322848" w:rsidP="00322848">
      <w:pPr>
        <w:rPr>
          <w:rFonts w:ascii="New times roman" w:hAnsi="New times roman"/>
          <w:sz w:val="24"/>
          <w:szCs w:val="24"/>
        </w:rPr>
      </w:pPr>
      <w:r w:rsidRPr="00336BB0">
        <w:rPr>
          <w:rFonts w:ascii="New times roman" w:hAnsi="New times roman"/>
          <w:sz w:val="24"/>
          <w:szCs w:val="24"/>
        </w:rPr>
        <w:t>In conclusion, exploring the theme of singular authority in ancient literature, particularly in Sophocles' ‘Antigone,’ uncovers the significant consequences of absolute power and the conflicts it creates. Creon embodies the tyrant archetype, whose rigid adherence to state law results in both personal and societal ruin. This analysis highlights the tension between individual moral duties and the expectations of authoritarian governance, a theme that remains relevant from ancient Greece to modern discussions about power and resistance.</w:t>
      </w:r>
    </w:p>
    <w:p w14:paraId="3E883916" w14:textId="12EC4ADC" w:rsidR="009B0064" w:rsidRPr="00336BB0" w:rsidRDefault="00322848" w:rsidP="00322848">
      <w:pPr>
        <w:rPr>
          <w:rFonts w:ascii="New times roman" w:hAnsi="New times roman"/>
          <w:sz w:val="24"/>
          <w:szCs w:val="24"/>
        </w:rPr>
      </w:pPr>
      <w:r w:rsidRPr="00336BB0">
        <w:rPr>
          <w:rFonts w:ascii="New times roman" w:hAnsi="New times roman"/>
          <w:sz w:val="24"/>
          <w:szCs w:val="24"/>
        </w:rPr>
        <w:t>Antigone’s defiance serves as a crucial reminder of the need for ethical considerations in leadership, challenging the idea that authority should remain unchallenged. By examining these ancient narratives, we gain valuable insights into the nature of power, the consequences of tyranny, and the relentless pursuit of justice. This conflict not only illustrates the tragic effects of unchecked authority but also encourages contemporary audiences to reflect on the essence of power and the necessity of moral integrity in confronting oppressive systems. Ultimately, it enhances our understanding of the intricate relationship between governance and individual agency, urging us to consider how our choices and beliefs can influence the world around us.</w:t>
      </w:r>
    </w:p>
    <w:p w14:paraId="6ADAF247" w14:textId="77777777" w:rsidR="00786731" w:rsidRPr="00336BB0" w:rsidRDefault="00786731" w:rsidP="00322848">
      <w:pPr>
        <w:rPr>
          <w:rFonts w:ascii="New times roman" w:hAnsi="New times roman"/>
          <w:sz w:val="24"/>
          <w:szCs w:val="24"/>
        </w:rPr>
      </w:pPr>
    </w:p>
    <w:p w14:paraId="43E5EE9E" w14:textId="77777777" w:rsidR="00B15D05" w:rsidRDefault="00B15D05" w:rsidP="00322848">
      <w:pPr>
        <w:rPr>
          <w:rFonts w:ascii="New times roman" w:hAnsi="New times roman"/>
          <w:sz w:val="24"/>
          <w:szCs w:val="24"/>
        </w:rPr>
      </w:pPr>
    </w:p>
    <w:p w14:paraId="069CF396" w14:textId="77777777" w:rsidR="00B15D05" w:rsidRDefault="00B15D05" w:rsidP="00322848">
      <w:pPr>
        <w:rPr>
          <w:rFonts w:ascii="New times roman" w:hAnsi="New times roman"/>
          <w:sz w:val="24"/>
          <w:szCs w:val="24"/>
        </w:rPr>
      </w:pPr>
    </w:p>
    <w:p w14:paraId="0B3B1770" w14:textId="77777777" w:rsidR="00B15D05" w:rsidRDefault="00B15D05" w:rsidP="00322848">
      <w:pPr>
        <w:rPr>
          <w:rFonts w:ascii="New times roman" w:hAnsi="New times roman"/>
          <w:sz w:val="24"/>
          <w:szCs w:val="24"/>
        </w:rPr>
      </w:pPr>
    </w:p>
    <w:p w14:paraId="6D88EF56" w14:textId="77777777" w:rsidR="00B15D05" w:rsidRDefault="00B15D05" w:rsidP="00322848">
      <w:pPr>
        <w:rPr>
          <w:rFonts w:ascii="New times roman" w:hAnsi="New times roman"/>
          <w:sz w:val="24"/>
          <w:szCs w:val="24"/>
        </w:rPr>
      </w:pPr>
    </w:p>
    <w:p w14:paraId="0B14DDD7" w14:textId="74FEC999" w:rsidR="00786731" w:rsidRPr="00B15D05" w:rsidRDefault="00786731" w:rsidP="00322848">
      <w:pPr>
        <w:rPr>
          <w:rFonts w:ascii="New times roman" w:hAnsi="New times roman"/>
          <w:sz w:val="24"/>
          <w:szCs w:val="24"/>
          <w:u w:val="single"/>
        </w:rPr>
      </w:pPr>
      <w:r w:rsidRPr="00B15D05">
        <w:rPr>
          <w:rFonts w:ascii="New times roman" w:hAnsi="New times roman"/>
          <w:sz w:val="24"/>
          <w:szCs w:val="24"/>
          <w:u w:val="single"/>
        </w:rPr>
        <w:t xml:space="preserve">Bibliography </w:t>
      </w:r>
    </w:p>
    <w:p w14:paraId="639707CC" w14:textId="1288B3C6" w:rsidR="006F0DFA" w:rsidRPr="006F0DFA" w:rsidRDefault="006F0DFA" w:rsidP="006F0DFA">
      <w:pPr>
        <w:rPr>
          <w:rFonts w:ascii="New times roman" w:hAnsi="New times roman"/>
          <w:sz w:val="24"/>
          <w:szCs w:val="24"/>
        </w:rPr>
      </w:pPr>
      <w:r w:rsidRPr="006F0DFA">
        <w:rPr>
          <w:rFonts w:ascii="New times roman" w:hAnsi="New times roman"/>
          <w:sz w:val="24"/>
          <w:szCs w:val="24"/>
        </w:rPr>
        <w:t xml:space="preserve">Balaska, Maria, ‘Can There Be Happiness in Psychoanalysis? Creon and Antigone in Lacan’s Seminar VII’, College Literature, 45.2 (2018), 308–29 </w:t>
      </w:r>
      <w:hyperlink r:id="rId7" w:history="1">
        <w:r w:rsidRPr="004D5415">
          <w:rPr>
            <w:rStyle w:val="Hyperlink"/>
            <w:rFonts w:ascii="New times roman" w:hAnsi="New times roman"/>
            <w:sz w:val="24"/>
            <w:szCs w:val="24"/>
          </w:rPr>
          <w:t>https://doi.org/10.1353/lit.2018.0019</w:t>
        </w:r>
      </w:hyperlink>
      <w:r>
        <w:rPr>
          <w:rFonts w:ascii="New times roman" w:hAnsi="New times roman"/>
          <w:sz w:val="24"/>
          <w:szCs w:val="24"/>
        </w:rPr>
        <w:t xml:space="preserve"> </w:t>
      </w:r>
    </w:p>
    <w:p w14:paraId="3412FB25" w14:textId="77777777" w:rsidR="006F0DFA" w:rsidRPr="006F0DFA" w:rsidRDefault="006F0DFA" w:rsidP="006F0DFA">
      <w:pPr>
        <w:rPr>
          <w:rFonts w:ascii="New times roman" w:hAnsi="New times roman"/>
          <w:sz w:val="24"/>
          <w:szCs w:val="24"/>
        </w:rPr>
      </w:pPr>
    </w:p>
    <w:p w14:paraId="573992B5" w14:textId="307A905A" w:rsidR="006F0DFA" w:rsidRPr="006F0DFA" w:rsidRDefault="006F0DFA" w:rsidP="006F0DFA">
      <w:pPr>
        <w:rPr>
          <w:rFonts w:ascii="New times roman" w:hAnsi="New times roman"/>
          <w:sz w:val="24"/>
          <w:szCs w:val="24"/>
        </w:rPr>
      </w:pPr>
      <w:r w:rsidRPr="006F0DFA">
        <w:rPr>
          <w:rFonts w:ascii="New times roman" w:hAnsi="New times roman"/>
          <w:sz w:val="24"/>
          <w:szCs w:val="24"/>
        </w:rPr>
        <w:t xml:space="preserve">Johnson, Jennifer K. 'Gender and Power in Sophocles' Antigone'. Classical Philology, vol. 113, no. 3 (2018), pp. 245-263. Available at: </w:t>
      </w:r>
      <w:hyperlink r:id="rId8" w:history="1">
        <w:r w:rsidRPr="004D5415">
          <w:rPr>
            <w:rStyle w:val="Hyperlink"/>
            <w:rFonts w:ascii="New times roman" w:hAnsi="New times roman"/>
            <w:sz w:val="24"/>
            <w:szCs w:val="24"/>
          </w:rPr>
          <w:t>https://www.jstor.org/stable/10.5325/classphil.113.3.0245</w:t>
        </w:r>
      </w:hyperlink>
      <w:r>
        <w:rPr>
          <w:rFonts w:ascii="New times roman" w:hAnsi="New times roman"/>
          <w:sz w:val="24"/>
          <w:szCs w:val="24"/>
        </w:rPr>
        <w:t xml:space="preserve"> </w:t>
      </w:r>
      <w:r w:rsidRPr="006F0DFA">
        <w:rPr>
          <w:rFonts w:ascii="New times roman" w:hAnsi="New times roman"/>
          <w:sz w:val="24"/>
          <w:szCs w:val="24"/>
        </w:rPr>
        <w:t xml:space="preserve"> </w:t>
      </w:r>
    </w:p>
    <w:p w14:paraId="56BE028B" w14:textId="77777777" w:rsidR="006F0DFA" w:rsidRPr="006F0DFA" w:rsidRDefault="006F0DFA" w:rsidP="006F0DFA">
      <w:pPr>
        <w:rPr>
          <w:rFonts w:ascii="New times roman" w:hAnsi="New times roman"/>
          <w:sz w:val="24"/>
          <w:szCs w:val="24"/>
        </w:rPr>
      </w:pPr>
    </w:p>
    <w:p w14:paraId="527471B3" w14:textId="77777777" w:rsidR="006F0DFA" w:rsidRPr="006F0DFA" w:rsidRDefault="006F0DFA" w:rsidP="006F0DFA">
      <w:pPr>
        <w:rPr>
          <w:rFonts w:ascii="New times roman" w:hAnsi="New times roman"/>
          <w:sz w:val="24"/>
          <w:szCs w:val="24"/>
        </w:rPr>
      </w:pPr>
      <w:r w:rsidRPr="006F0DFA">
        <w:rPr>
          <w:rFonts w:ascii="New times roman" w:hAnsi="New times roman"/>
          <w:sz w:val="24"/>
          <w:szCs w:val="24"/>
        </w:rPr>
        <w:t>Wilson, Emily. 'Tiresias and the Limits of Knowledge in Sophocles' Antigone'. Journal of Ancient Literature, vol. 15, no. 2 (2021), pp. 112-130.</w:t>
      </w:r>
    </w:p>
    <w:p w14:paraId="583ACCBF" w14:textId="77777777" w:rsidR="006F0DFA" w:rsidRPr="006F0DFA" w:rsidRDefault="006F0DFA" w:rsidP="006F0DFA">
      <w:pPr>
        <w:rPr>
          <w:rFonts w:ascii="New times roman" w:hAnsi="New times roman"/>
          <w:sz w:val="24"/>
          <w:szCs w:val="24"/>
        </w:rPr>
      </w:pPr>
    </w:p>
    <w:p w14:paraId="62CDAABA" w14:textId="77777777" w:rsidR="006F0DFA" w:rsidRPr="006F0DFA" w:rsidRDefault="006F0DFA" w:rsidP="006F0DFA">
      <w:pPr>
        <w:rPr>
          <w:rFonts w:ascii="New times roman" w:hAnsi="New times roman"/>
          <w:sz w:val="24"/>
          <w:szCs w:val="24"/>
        </w:rPr>
      </w:pPr>
      <w:proofErr w:type="spellStart"/>
      <w:r w:rsidRPr="006F0DFA">
        <w:rPr>
          <w:rFonts w:ascii="New times roman" w:hAnsi="New times roman"/>
          <w:sz w:val="24"/>
          <w:szCs w:val="24"/>
        </w:rPr>
        <w:t>Konstan</w:t>
      </w:r>
      <w:proofErr w:type="spellEnd"/>
      <w:r w:rsidRPr="006F0DFA">
        <w:rPr>
          <w:rFonts w:ascii="New times roman" w:hAnsi="New times roman"/>
          <w:sz w:val="24"/>
          <w:szCs w:val="24"/>
        </w:rPr>
        <w:t>, David, ‘The Tragedy of Law: The Case of Antigone,’ in The Classical World 98, no. 2 (2004): 145-156.</w:t>
      </w:r>
    </w:p>
    <w:p w14:paraId="071B9EA1" w14:textId="77777777" w:rsidR="006F0DFA" w:rsidRPr="006F0DFA" w:rsidRDefault="006F0DFA" w:rsidP="006F0DFA">
      <w:pPr>
        <w:rPr>
          <w:rFonts w:ascii="New times roman" w:hAnsi="New times roman"/>
          <w:sz w:val="24"/>
          <w:szCs w:val="24"/>
        </w:rPr>
      </w:pPr>
    </w:p>
    <w:p w14:paraId="49A14008" w14:textId="77777777" w:rsidR="006F0DFA" w:rsidRPr="006F0DFA" w:rsidRDefault="006F0DFA" w:rsidP="006F0DFA">
      <w:pPr>
        <w:rPr>
          <w:rFonts w:ascii="New times roman" w:hAnsi="New times roman"/>
          <w:sz w:val="24"/>
          <w:szCs w:val="24"/>
        </w:rPr>
      </w:pPr>
      <w:r w:rsidRPr="006F0DFA">
        <w:rPr>
          <w:rFonts w:ascii="New times roman" w:hAnsi="New times roman"/>
          <w:sz w:val="24"/>
          <w:szCs w:val="24"/>
        </w:rPr>
        <w:t>Davison, J. A. ‘The Complete Greek Drama’. The Classical Review. Oxford University Press, 1939, pp. 147–48</w:t>
      </w:r>
    </w:p>
    <w:p w14:paraId="4A225FED" w14:textId="77777777" w:rsidR="006F0DFA" w:rsidRPr="006F0DFA" w:rsidRDefault="006F0DFA" w:rsidP="006F0DFA">
      <w:pPr>
        <w:rPr>
          <w:rFonts w:ascii="New times roman" w:hAnsi="New times roman"/>
          <w:sz w:val="24"/>
          <w:szCs w:val="24"/>
        </w:rPr>
      </w:pPr>
    </w:p>
    <w:p w14:paraId="23C6EBF4" w14:textId="77777777" w:rsidR="006F0DFA" w:rsidRPr="006F0DFA" w:rsidRDefault="006F0DFA" w:rsidP="006F0DFA">
      <w:pPr>
        <w:rPr>
          <w:rFonts w:ascii="New times roman" w:hAnsi="New times roman"/>
          <w:sz w:val="24"/>
          <w:szCs w:val="24"/>
        </w:rPr>
      </w:pPr>
      <w:r w:rsidRPr="006F0DFA">
        <w:rPr>
          <w:rFonts w:ascii="New times roman" w:hAnsi="New times roman"/>
          <w:sz w:val="24"/>
          <w:szCs w:val="24"/>
        </w:rPr>
        <w:t>Hegel, Georg Wilhelm Friedrich, The Philosophy of History, trans. by J. N. Findlay (Chicago: William Benton, 1952).</w:t>
      </w:r>
    </w:p>
    <w:p w14:paraId="2156B5DA" w14:textId="77777777" w:rsidR="006F0DFA" w:rsidRPr="006F0DFA" w:rsidRDefault="006F0DFA" w:rsidP="006F0DFA">
      <w:pPr>
        <w:rPr>
          <w:rFonts w:ascii="New times roman" w:hAnsi="New times roman"/>
          <w:sz w:val="24"/>
          <w:szCs w:val="24"/>
        </w:rPr>
      </w:pPr>
    </w:p>
    <w:p w14:paraId="168B273E" w14:textId="77777777" w:rsidR="006F0DFA" w:rsidRPr="006F0DFA" w:rsidRDefault="006F0DFA" w:rsidP="006F0DFA">
      <w:pPr>
        <w:rPr>
          <w:rFonts w:ascii="New times roman" w:hAnsi="New times roman"/>
          <w:sz w:val="24"/>
          <w:szCs w:val="24"/>
        </w:rPr>
      </w:pPr>
      <w:r w:rsidRPr="006F0DFA">
        <w:rPr>
          <w:rFonts w:ascii="New times roman" w:hAnsi="New times roman"/>
          <w:sz w:val="24"/>
          <w:szCs w:val="24"/>
        </w:rPr>
        <w:t>Anouilh, Jean, Antigone (London: Faber and Faber, 1958).</w:t>
      </w:r>
    </w:p>
    <w:p w14:paraId="736D2E17" w14:textId="77777777" w:rsidR="006F0DFA" w:rsidRPr="006F0DFA" w:rsidRDefault="006F0DFA" w:rsidP="006F0DFA">
      <w:pPr>
        <w:rPr>
          <w:rFonts w:ascii="New times roman" w:hAnsi="New times roman"/>
          <w:sz w:val="24"/>
          <w:szCs w:val="24"/>
        </w:rPr>
      </w:pPr>
    </w:p>
    <w:p w14:paraId="3E8E2DE1" w14:textId="77777777" w:rsidR="006F0DFA" w:rsidRPr="006F0DFA" w:rsidRDefault="006F0DFA" w:rsidP="006F0DFA">
      <w:pPr>
        <w:rPr>
          <w:rFonts w:ascii="New times roman" w:hAnsi="New times roman"/>
          <w:sz w:val="24"/>
          <w:szCs w:val="24"/>
        </w:rPr>
      </w:pPr>
      <w:r w:rsidRPr="006F0DFA">
        <w:rPr>
          <w:rFonts w:ascii="New times roman" w:hAnsi="New times roman"/>
          <w:sz w:val="24"/>
          <w:szCs w:val="24"/>
        </w:rPr>
        <w:t>Knox, Bernard. The Heroic Temper: Studies in Sophoclean Tragedy (Princeton: Princeton University Press, 1964).</w:t>
      </w:r>
    </w:p>
    <w:p w14:paraId="6F82DE96" w14:textId="77777777" w:rsidR="006F0DFA" w:rsidRPr="006F0DFA" w:rsidRDefault="006F0DFA" w:rsidP="006F0DFA">
      <w:pPr>
        <w:rPr>
          <w:rFonts w:ascii="New times roman" w:hAnsi="New times roman"/>
          <w:sz w:val="24"/>
          <w:szCs w:val="24"/>
        </w:rPr>
      </w:pPr>
    </w:p>
    <w:p w14:paraId="0AA21622" w14:textId="77777777" w:rsidR="006F0DFA" w:rsidRPr="006F0DFA" w:rsidRDefault="006F0DFA" w:rsidP="006F0DFA">
      <w:pPr>
        <w:rPr>
          <w:rFonts w:ascii="New times roman" w:hAnsi="New times roman"/>
          <w:sz w:val="24"/>
          <w:szCs w:val="24"/>
        </w:rPr>
      </w:pPr>
      <w:r w:rsidRPr="006F0DFA">
        <w:rPr>
          <w:rFonts w:ascii="New times roman" w:hAnsi="New times roman"/>
          <w:sz w:val="24"/>
          <w:szCs w:val="24"/>
        </w:rPr>
        <w:t>Hegel, Georg Wilhelm Friedrich, J. N. Findlay, and Arnold V. Miller, Phenomenology of Spirit (Oxford: Clarendon Press, 1979).</w:t>
      </w:r>
    </w:p>
    <w:p w14:paraId="0737D0B9" w14:textId="77777777" w:rsidR="006F0DFA" w:rsidRPr="006F0DFA" w:rsidRDefault="006F0DFA" w:rsidP="006F0DFA">
      <w:pPr>
        <w:rPr>
          <w:rFonts w:ascii="New times roman" w:hAnsi="New times roman"/>
          <w:sz w:val="24"/>
          <w:szCs w:val="24"/>
        </w:rPr>
      </w:pPr>
    </w:p>
    <w:p w14:paraId="034F0FCB" w14:textId="77777777" w:rsidR="006F0DFA" w:rsidRPr="006F0DFA" w:rsidRDefault="006F0DFA" w:rsidP="006F0DFA">
      <w:pPr>
        <w:rPr>
          <w:rFonts w:ascii="New times roman" w:hAnsi="New times roman"/>
          <w:sz w:val="24"/>
          <w:szCs w:val="24"/>
        </w:rPr>
      </w:pPr>
      <w:r w:rsidRPr="006F0DFA">
        <w:rPr>
          <w:rFonts w:ascii="New times roman" w:hAnsi="New times roman"/>
          <w:sz w:val="24"/>
          <w:szCs w:val="24"/>
        </w:rPr>
        <w:t>Greene, David. The Antigone of Sophocles. Berkeley: University of California Press, 1980.</w:t>
      </w:r>
    </w:p>
    <w:p w14:paraId="0B1D9646" w14:textId="77777777" w:rsidR="006F0DFA" w:rsidRPr="006F0DFA" w:rsidRDefault="006F0DFA" w:rsidP="006F0DFA">
      <w:pPr>
        <w:rPr>
          <w:rFonts w:ascii="New times roman" w:hAnsi="New times roman"/>
          <w:sz w:val="24"/>
          <w:szCs w:val="24"/>
        </w:rPr>
      </w:pPr>
    </w:p>
    <w:p w14:paraId="091A9F67" w14:textId="77777777" w:rsidR="006F0DFA" w:rsidRPr="006F0DFA" w:rsidRDefault="006F0DFA" w:rsidP="006F0DFA">
      <w:pPr>
        <w:rPr>
          <w:rFonts w:ascii="New times roman" w:hAnsi="New times roman"/>
          <w:sz w:val="24"/>
          <w:szCs w:val="24"/>
        </w:rPr>
      </w:pPr>
      <w:r w:rsidRPr="006F0DFA">
        <w:rPr>
          <w:rFonts w:ascii="New times roman" w:hAnsi="New times roman"/>
          <w:sz w:val="24"/>
          <w:szCs w:val="24"/>
        </w:rPr>
        <w:lastRenderedPageBreak/>
        <w:t xml:space="preserve">Sophocles, ‘Antigone’, trans. by Robert </w:t>
      </w:r>
      <w:proofErr w:type="spellStart"/>
      <w:r w:rsidRPr="006F0DFA">
        <w:rPr>
          <w:rFonts w:ascii="New times roman" w:hAnsi="New times roman"/>
          <w:sz w:val="24"/>
          <w:szCs w:val="24"/>
        </w:rPr>
        <w:t>Fagles</w:t>
      </w:r>
      <w:proofErr w:type="spellEnd"/>
      <w:r w:rsidRPr="006F0DFA">
        <w:rPr>
          <w:rFonts w:ascii="New times roman" w:hAnsi="New times roman"/>
          <w:sz w:val="24"/>
          <w:szCs w:val="24"/>
        </w:rPr>
        <w:t>. New York: Penguin Classics, 1986.</w:t>
      </w:r>
    </w:p>
    <w:p w14:paraId="5D61DDB7" w14:textId="77777777" w:rsidR="006F0DFA" w:rsidRPr="006F0DFA" w:rsidRDefault="006F0DFA" w:rsidP="006F0DFA">
      <w:pPr>
        <w:rPr>
          <w:rFonts w:ascii="New times roman" w:hAnsi="New times roman"/>
          <w:sz w:val="24"/>
          <w:szCs w:val="24"/>
        </w:rPr>
      </w:pPr>
    </w:p>
    <w:p w14:paraId="0E83A5FB" w14:textId="77777777" w:rsidR="006F0DFA" w:rsidRPr="006F0DFA" w:rsidRDefault="006F0DFA" w:rsidP="006F0DFA">
      <w:pPr>
        <w:rPr>
          <w:rFonts w:ascii="New times roman" w:hAnsi="New times roman"/>
          <w:sz w:val="24"/>
          <w:szCs w:val="24"/>
        </w:rPr>
      </w:pPr>
      <w:r w:rsidRPr="006F0DFA">
        <w:rPr>
          <w:rFonts w:ascii="New times roman" w:hAnsi="New times roman"/>
          <w:sz w:val="24"/>
          <w:szCs w:val="24"/>
        </w:rPr>
        <w:t>Goldhill, Simon, Reading Greek Tragedy (Cambridge: Cambridge University Press, 1986).</w:t>
      </w:r>
    </w:p>
    <w:p w14:paraId="6B833B5D" w14:textId="77777777" w:rsidR="006F0DFA" w:rsidRPr="006F0DFA" w:rsidRDefault="006F0DFA" w:rsidP="006F0DFA">
      <w:pPr>
        <w:rPr>
          <w:rFonts w:ascii="New times roman" w:hAnsi="New times roman"/>
          <w:sz w:val="24"/>
          <w:szCs w:val="24"/>
        </w:rPr>
      </w:pPr>
    </w:p>
    <w:p w14:paraId="24894CEF" w14:textId="77777777" w:rsidR="006F0DFA" w:rsidRPr="006F0DFA" w:rsidRDefault="006F0DFA" w:rsidP="006F0DFA">
      <w:pPr>
        <w:rPr>
          <w:rFonts w:ascii="New times roman" w:hAnsi="New times roman"/>
          <w:sz w:val="24"/>
          <w:szCs w:val="24"/>
        </w:rPr>
      </w:pPr>
      <w:r w:rsidRPr="006F0DFA">
        <w:rPr>
          <w:rFonts w:ascii="New times roman" w:hAnsi="New times roman"/>
          <w:sz w:val="24"/>
          <w:szCs w:val="24"/>
        </w:rPr>
        <w:t xml:space="preserve">Brecht, Bertolt, Friedrich </w:t>
      </w:r>
      <w:proofErr w:type="spellStart"/>
      <w:r w:rsidRPr="006F0DFA">
        <w:rPr>
          <w:rFonts w:ascii="New times roman" w:hAnsi="New times roman"/>
          <w:sz w:val="24"/>
          <w:szCs w:val="24"/>
        </w:rPr>
        <w:t>Hölderlin</w:t>
      </w:r>
      <w:proofErr w:type="spellEnd"/>
      <w:r w:rsidRPr="006F0DFA">
        <w:rPr>
          <w:rFonts w:ascii="New times roman" w:hAnsi="New times roman"/>
          <w:sz w:val="24"/>
          <w:szCs w:val="24"/>
        </w:rPr>
        <w:t>, Judith Malina, and Sophocles, Sophocles’ Antigone (New York: Applause, 1990).</w:t>
      </w:r>
    </w:p>
    <w:p w14:paraId="425920E6" w14:textId="77777777" w:rsidR="006F0DFA" w:rsidRPr="006F0DFA" w:rsidRDefault="006F0DFA" w:rsidP="006F0DFA">
      <w:pPr>
        <w:rPr>
          <w:rFonts w:ascii="New times roman" w:hAnsi="New times roman"/>
          <w:sz w:val="24"/>
          <w:szCs w:val="24"/>
        </w:rPr>
      </w:pPr>
    </w:p>
    <w:p w14:paraId="704FFA9B" w14:textId="77777777" w:rsidR="006F0DFA" w:rsidRPr="006F0DFA" w:rsidRDefault="006F0DFA" w:rsidP="006F0DFA">
      <w:pPr>
        <w:rPr>
          <w:rFonts w:ascii="New times roman" w:hAnsi="New times roman"/>
          <w:sz w:val="24"/>
          <w:szCs w:val="24"/>
        </w:rPr>
      </w:pPr>
      <w:r w:rsidRPr="006F0DFA">
        <w:rPr>
          <w:rFonts w:ascii="New times roman" w:hAnsi="New times roman"/>
          <w:sz w:val="24"/>
          <w:szCs w:val="24"/>
        </w:rPr>
        <w:t>Thoreau, Henry David. Civil Disobedience (Dover Publications, 1996).</w:t>
      </w:r>
    </w:p>
    <w:p w14:paraId="474E1175" w14:textId="77777777" w:rsidR="006F0DFA" w:rsidRPr="006F0DFA" w:rsidRDefault="006F0DFA" w:rsidP="006F0DFA">
      <w:pPr>
        <w:rPr>
          <w:rFonts w:ascii="New times roman" w:hAnsi="New times roman"/>
          <w:sz w:val="24"/>
          <w:szCs w:val="24"/>
        </w:rPr>
      </w:pPr>
    </w:p>
    <w:p w14:paraId="190086CE" w14:textId="77777777" w:rsidR="006F0DFA" w:rsidRPr="006F0DFA" w:rsidRDefault="006F0DFA" w:rsidP="006F0DFA">
      <w:pPr>
        <w:rPr>
          <w:rFonts w:ascii="New times roman" w:hAnsi="New times roman"/>
          <w:sz w:val="24"/>
          <w:szCs w:val="24"/>
        </w:rPr>
      </w:pPr>
      <w:r w:rsidRPr="006F0DFA">
        <w:rPr>
          <w:rFonts w:ascii="New times roman" w:hAnsi="New times roman"/>
          <w:sz w:val="24"/>
          <w:szCs w:val="24"/>
        </w:rPr>
        <w:t>Golsan, Richard J., The Tragic Vision: A Study of the Tragedy in Sophocles' Antigone (New York: Peter Lang, 1997).</w:t>
      </w:r>
    </w:p>
    <w:p w14:paraId="44404362" w14:textId="77777777" w:rsidR="006F0DFA" w:rsidRPr="006F0DFA" w:rsidRDefault="006F0DFA" w:rsidP="006F0DFA">
      <w:pPr>
        <w:rPr>
          <w:rFonts w:ascii="New times roman" w:hAnsi="New times roman"/>
          <w:sz w:val="24"/>
          <w:szCs w:val="24"/>
        </w:rPr>
      </w:pPr>
    </w:p>
    <w:p w14:paraId="7065E96E" w14:textId="77777777" w:rsidR="006F0DFA" w:rsidRPr="006F0DFA" w:rsidRDefault="006F0DFA" w:rsidP="006F0DFA">
      <w:pPr>
        <w:rPr>
          <w:rFonts w:ascii="New times roman" w:hAnsi="New times roman"/>
          <w:sz w:val="24"/>
          <w:szCs w:val="24"/>
        </w:rPr>
      </w:pPr>
      <w:r w:rsidRPr="006F0DFA">
        <w:rPr>
          <w:rFonts w:ascii="New times roman" w:hAnsi="New times roman"/>
          <w:sz w:val="24"/>
          <w:szCs w:val="24"/>
        </w:rPr>
        <w:t>Butler, Judith, Antigone's Claim: Kinship Between Life and Death (New York: Columbia University Press, 2000).</w:t>
      </w:r>
    </w:p>
    <w:p w14:paraId="10B91135" w14:textId="77777777" w:rsidR="006F0DFA" w:rsidRPr="006F0DFA" w:rsidRDefault="006F0DFA" w:rsidP="006F0DFA">
      <w:pPr>
        <w:rPr>
          <w:rFonts w:ascii="New times roman" w:hAnsi="New times roman"/>
          <w:sz w:val="24"/>
          <w:szCs w:val="24"/>
        </w:rPr>
      </w:pPr>
    </w:p>
    <w:p w14:paraId="26D5D5A1" w14:textId="77777777" w:rsidR="006F0DFA" w:rsidRPr="006F0DFA" w:rsidRDefault="006F0DFA" w:rsidP="006F0DFA">
      <w:pPr>
        <w:rPr>
          <w:rFonts w:ascii="New times roman" w:hAnsi="New times roman"/>
          <w:sz w:val="24"/>
          <w:szCs w:val="24"/>
        </w:rPr>
      </w:pPr>
      <w:r w:rsidRPr="006F0DFA">
        <w:rPr>
          <w:rFonts w:ascii="New times roman" w:hAnsi="New times roman"/>
          <w:sz w:val="24"/>
          <w:szCs w:val="24"/>
        </w:rPr>
        <w:t>Smith, Laura M. 'Antigone's Defiance: Gender and Authority in Sophocles'. Journal of Ancient Literature, vol. 45, no. 3 (2021), pp. 201-220.</w:t>
      </w:r>
    </w:p>
    <w:p w14:paraId="74713DE1" w14:textId="77777777" w:rsidR="006F0DFA" w:rsidRPr="006F0DFA" w:rsidRDefault="006F0DFA" w:rsidP="006F0DFA">
      <w:pPr>
        <w:rPr>
          <w:rFonts w:ascii="New times roman" w:hAnsi="New times roman"/>
          <w:sz w:val="24"/>
          <w:szCs w:val="24"/>
        </w:rPr>
      </w:pPr>
    </w:p>
    <w:p w14:paraId="375FCA03" w14:textId="77777777" w:rsidR="006F0DFA" w:rsidRPr="006F0DFA" w:rsidRDefault="006F0DFA" w:rsidP="006F0DFA">
      <w:pPr>
        <w:rPr>
          <w:rFonts w:ascii="New times roman" w:hAnsi="New times roman"/>
          <w:sz w:val="24"/>
          <w:szCs w:val="24"/>
        </w:rPr>
      </w:pPr>
      <w:r w:rsidRPr="006F0DFA">
        <w:rPr>
          <w:rFonts w:ascii="New times roman" w:hAnsi="New times roman"/>
          <w:sz w:val="24"/>
          <w:szCs w:val="24"/>
        </w:rPr>
        <w:t>Griffith, Mark, Sophocles' Antigone: A Critical Study (London: Bloomsbury, 2013).</w:t>
      </w:r>
    </w:p>
    <w:p w14:paraId="70D5B6DE" w14:textId="77777777" w:rsidR="006F0DFA" w:rsidRPr="006F0DFA" w:rsidRDefault="006F0DFA" w:rsidP="006F0DFA">
      <w:pPr>
        <w:rPr>
          <w:rFonts w:ascii="New times roman" w:hAnsi="New times roman"/>
          <w:sz w:val="24"/>
          <w:szCs w:val="24"/>
        </w:rPr>
      </w:pPr>
    </w:p>
    <w:p w14:paraId="51D5646C" w14:textId="77777777" w:rsidR="006F0DFA" w:rsidRPr="006F0DFA" w:rsidRDefault="006F0DFA" w:rsidP="006F0DFA">
      <w:pPr>
        <w:rPr>
          <w:rFonts w:ascii="New times roman" w:hAnsi="New times roman"/>
          <w:sz w:val="24"/>
          <w:szCs w:val="24"/>
        </w:rPr>
      </w:pPr>
      <w:r w:rsidRPr="006F0DFA">
        <w:rPr>
          <w:rFonts w:ascii="New times roman" w:hAnsi="New times roman"/>
          <w:sz w:val="24"/>
          <w:szCs w:val="24"/>
        </w:rPr>
        <w:t>McGowan, John D. ‘Creon’s Tragic Flaw: Hubris and the Consequences of Power.’ The Classical Journal (2015).</w:t>
      </w:r>
    </w:p>
    <w:p w14:paraId="027A7428" w14:textId="77777777" w:rsidR="006F0DFA" w:rsidRPr="006F0DFA" w:rsidRDefault="006F0DFA" w:rsidP="006F0DFA">
      <w:pPr>
        <w:rPr>
          <w:rFonts w:ascii="New times roman" w:hAnsi="New times roman"/>
          <w:sz w:val="24"/>
          <w:szCs w:val="24"/>
        </w:rPr>
      </w:pPr>
    </w:p>
    <w:p w14:paraId="2EC6CBBE" w14:textId="77777777" w:rsidR="006F0DFA" w:rsidRPr="006F0DFA" w:rsidRDefault="006F0DFA" w:rsidP="006F0DFA">
      <w:pPr>
        <w:rPr>
          <w:rFonts w:ascii="New times roman" w:hAnsi="New times roman"/>
          <w:sz w:val="24"/>
          <w:szCs w:val="24"/>
        </w:rPr>
      </w:pPr>
      <w:r w:rsidRPr="006F0DFA">
        <w:rPr>
          <w:rFonts w:ascii="New times roman" w:hAnsi="New times roman"/>
          <w:sz w:val="24"/>
          <w:szCs w:val="24"/>
        </w:rPr>
        <w:t>Carson, Anne. Sophocles' Antigone: A New Translation. New York: Knopf, 2019.</w:t>
      </w:r>
    </w:p>
    <w:p w14:paraId="1B830E1F" w14:textId="77777777" w:rsidR="006F0DFA" w:rsidRPr="006F0DFA" w:rsidRDefault="006F0DFA" w:rsidP="006F0DFA">
      <w:pPr>
        <w:rPr>
          <w:rFonts w:ascii="New times roman" w:hAnsi="New times roman"/>
          <w:sz w:val="24"/>
          <w:szCs w:val="24"/>
        </w:rPr>
      </w:pPr>
    </w:p>
    <w:p w14:paraId="52828628" w14:textId="4E83C8F5" w:rsidR="006F0DFA" w:rsidRPr="006F0DFA" w:rsidRDefault="006F0DFA" w:rsidP="006F0DFA">
      <w:pPr>
        <w:rPr>
          <w:rFonts w:ascii="New times roman" w:hAnsi="New times roman"/>
          <w:sz w:val="24"/>
          <w:szCs w:val="24"/>
        </w:rPr>
      </w:pPr>
      <w:r w:rsidRPr="006F0DFA">
        <w:rPr>
          <w:rFonts w:ascii="New times roman" w:hAnsi="New times roman"/>
          <w:sz w:val="24"/>
          <w:szCs w:val="24"/>
        </w:rPr>
        <w:t xml:space="preserve">Taylor, David G. K. ‘The Tragedy of Creon in Antigone.’ Classical Philology 62.2 (1967): 97-107. </w:t>
      </w:r>
      <w:hyperlink r:id="rId9" w:history="1">
        <w:r w:rsidRPr="004D5415">
          <w:rPr>
            <w:rStyle w:val="Hyperlink"/>
            <w:rFonts w:ascii="New times roman" w:hAnsi="New times roman"/>
            <w:sz w:val="24"/>
            <w:szCs w:val="24"/>
          </w:rPr>
          <w:t>https://www.jstor.org/stable/329646</w:t>
        </w:r>
      </w:hyperlink>
      <w:r>
        <w:rPr>
          <w:rFonts w:ascii="New times roman" w:hAnsi="New times roman"/>
          <w:sz w:val="24"/>
          <w:szCs w:val="24"/>
        </w:rPr>
        <w:t xml:space="preserve"> </w:t>
      </w:r>
      <w:r w:rsidRPr="006F0DFA">
        <w:rPr>
          <w:rFonts w:ascii="New times roman" w:hAnsi="New times roman"/>
          <w:sz w:val="24"/>
          <w:szCs w:val="24"/>
        </w:rPr>
        <w:t xml:space="preserve">  </w:t>
      </w:r>
    </w:p>
    <w:p w14:paraId="74618F35" w14:textId="02AB25BE" w:rsidR="006F0DFA" w:rsidRPr="006F0DFA" w:rsidRDefault="006F0DFA" w:rsidP="006F0DFA">
      <w:pPr>
        <w:rPr>
          <w:rFonts w:ascii="New times roman" w:hAnsi="New times roman"/>
          <w:sz w:val="24"/>
          <w:szCs w:val="24"/>
        </w:rPr>
      </w:pPr>
      <w:r w:rsidRPr="006F0DFA">
        <w:rPr>
          <w:rFonts w:ascii="New times roman" w:hAnsi="New times roman"/>
          <w:sz w:val="24"/>
          <w:szCs w:val="24"/>
        </w:rPr>
        <w:t xml:space="preserve">‘The Stanford Encyclopaedia of Philosophy." Edited by Edward N. Zalta, Winter 2025 </w:t>
      </w:r>
      <w:proofErr w:type="spellStart"/>
      <w:r w:rsidRPr="006F0DFA">
        <w:rPr>
          <w:rFonts w:ascii="New times roman" w:hAnsi="New times roman"/>
          <w:sz w:val="24"/>
          <w:szCs w:val="24"/>
        </w:rPr>
        <w:t>edn</w:t>
      </w:r>
      <w:proofErr w:type="spellEnd"/>
      <w:r w:rsidRPr="006F0DFA">
        <w:rPr>
          <w:rFonts w:ascii="New times roman" w:hAnsi="New times roman"/>
          <w:sz w:val="24"/>
          <w:szCs w:val="24"/>
        </w:rPr>
        <w:t xml:space="preserve">. </w:t>
      </w:r>
      <w:hyperlink r:id="rId10" w:history="1">
        <w:r w:rsidRPr="004D5415">
          <w:rPr>
            <w:rStyle w:val="Hyperlink"/>
            <w:rFonts w:ascii="New times roman" w:hAnsi="New times roman"/>
            <w:sz w:val="24"/>
            <w:szCs w:val="24"/>
          </w:rPr>
          <w:t>https://plato.stanford.edu/entries/sophocles/</w:t>
        </w:r>
      </w:hyperlink>
      <w:r>
        <w:rPr>
          <w:rFonts w:ascii="New times roman" w:hAnsi="New times roman"/>
          <w:sz w:val="24"/>
          <w:szCs w:val="24"/>
        </w:rPr>
        <w:t xml:space="preserve"> </w:t>
      </w:r>
      <w:r w:rsidRPr="006F0DFA">
        <w:rPr>
          <w:rFonts w:ascii="New times roman" w:hAnsi="New times roman"/>
          <w:sz w:val="24"/>
          <w:szCs w:val="24"/>
        </w:rPr>
        <w:t xml:space="preserve"> </w:t>
      </w:r>
    </w:p>
    <w:p w14:paraId="5DBFECEC" w14:textId="77777777" w:rsidR="006F0DFA" w:rsidRPr="006F0DFA" w:rsidRDefault="006F0DFA" w:rsidP="006F0DFA">
      <w:pPr>
        <w:rPr>
          <w:rFonts w:ascii="New times roman" w:hAnsi="New times roman"/>
          <w:sz w:val="24"/>
          <w:szCs w:val="24"/>
        </w:rPr>
      </w:pPr>
    </w:p>
    <w:p w14:paraId="26F0FF90" w14:textId="77777777" w:rsidR="006F0DFA" w:rsidRPr="006F0DFA" w:rsidRDefault="006F0DFA" w:rsidP="006F0DFA">
      <w:pPr>
        <w:rPr>
          <w:rFonts w:ascii="New times roman" w:hAnsi="New times roman"/>
          <w:sz w:val="24"/>
          <w:szCs w:val="24"/>
        </w:rPr>
      </w:pPr>
      <w:r w:rsidRPr="006F0DFA">
        <w:rPr>
          <w:rFonts w:ascii="New times roman" w:hAnsi="New times roman"/>
          <w:sz w:val="24"/>
          <w:szCs w:val="24"/>
        </w:rPr>
        <w:t>Halleran, Michael. ‘The Politics of Antigone: Creon and the Law.’ Classical Philology, 94.3 (1999), 233-246.</w:t>
      </w:r>
    </w:p>
    <w:p w14:paraId="06890B63" w14:textId="77777777" w:rsidR="006F0DFA" w:rsidRPr="006F0DFA" w:rsidRDefault="006F0DFA" w:rsidP="006F0DFA">
      <w:pPr>
        <w:rPr>
          <w:rFonts w:ascii="New times roman" w:hAnsi="New times roman"/>
          <w:sz w:val="24"/>
          <w:szCs w:val="24"/>
        </w:rPr>
      </w:pPr>
    </w:p>
    <w:p w14:paraId="528680CC" w14:textId="77777777" w:rsidR="006F0DFA" w:rsidRPr="006F0DFA" w:rsidRDefault="006F0DFA" w:rsidP="006F0DFA">
      <w:pPr>
        <w:rPr>
          <w:rFonts w:ascii="New times roman" w:hAnsi="New times roman"/>
          <w:sz w:val="24"/>
          <w:szCs w:val="24"/>
        </w:rPr>
      </w:pPr>
      <w:r w:rsidRPr="006F0DFA">
        <w:rPr>
          <w:rFonts w:ascii="New times roman" w:hAnsi="New times roman"/>
          <w:sz w:val="24"/>
          <w:szCs w:val="24"/>
        </w:rPr>
        <w:lastRenderedPageBreak/>
        <w:t>Segal, Charles. ‘Tragedy and Civilization: An Interpretation of Sophocles' Antigone.’ The Harvard Theological Review, 85.3 (1992), 245-263.</w:t>
      </w:r>
    </w:p>
    <w:p w14:paraId="0D07F5EB" w14:textId="77777777" w:rsidR="006F0DFA" w:rsidRPr="006F0DFA" w:rsidRDefault="006F0DFA" w:rsidP="006F0DFA">
      <w:pPr>
        <w:rPr>
          <w:rFonts w:ascii="New times roman" w:hAnsi="New times roman"/>
          <w:sz w:val="24"/>
          <w:szCs w:val="24"/>
        </w:rPr>
      </w:pPr>
    </w:p>
    <w:p w14:paraId="0571E9C1" w14:textId="507847E8" w:rsidR="006F0DFA" w:rsidRPr="006F0DFA" w:rsidRDefault="006F0DFA" w:rsidP="006F0DFA">
      <w:pPr>
        <w:rPr>
          <w:rFonts w:ascii="New times roman" w:hAnsi="New times roman"/>
          <w:sz w:val="24"/>
          <w:szCs w:val="24"/>
        </w:rPr>
      </w:pPr>
      <w:r w:rsidRPr="006F0DFA">
        <w:rPr>
          <w:rFonts w:ascii="New times roman" w:hAnsi="New times roman"/>
          <w:sz w:val="24"/>
          <w:szCs w:val="24"/>
        </w:rPr>
        <w:t xml:space="preserve">Wilson, Emily R. 'Antigone's Defiance: Gender and Power in Sophocles' Tragedy'. The Journal of Hellenic Studies, vol. 137 (2017), pp. 45-62. Available at: </w:t>
      </w:r>
      <w:hyperlink r:id="rId11" w:history="1">
        <w:r w:rsidRPr="004D5415">
          <w:rPr>
            <w:rStyle w:val="Hyperlink"/>
            <w:rFonts w:ascii="New times roman" w:hAnsi="New times roman"/>
            <w:sz w:val="24"/>
            <w:szCs w:val="24"/>
          </w:rPr>
          <w:t>https://www.jstor.org/stable/10.1017/jhs.2017.3</w:t>
        </w:r>
      </w:hyperlink>
      <w:r>
        <w:rPr>
          <w:rFonts w:ascii="New times roman" w:hAnsi="New times roman"/>
          <w:sz w:val="24"/>
          <w:szCs w:val="24"/>
        </w:rPr>
        <w:t xml:space="preserve"> </w:t>
      </w:r>
    </w:p>
    <w:p w14:paraId="7E21391F" w14:textId="77777777" w:rsidR="006F0DFA" w:rsidRPr="006F0DFA" w:rsidRDefault="006F0DFA" w:rsidP="006F0DFA">
      <w:pPr>
        <w:rPr>
          <w:rFonts w:ascii="New times roman" w:hAnsi="New times roman"/>
          <w:sz w:val="24"/>
          <w:szCs w:val="24"/>
        </w:rPr>
      </w:pPr>
    </w:p>
    <w:p w14:paraId="5B995A50" w14:textId="77777777" w:rsidR="006F0DFA" w:rsidRPr="006F0DFA" w:rsidRDefault="006F0DFA" w:rsidP="006F0DFA">
      <w:pPr>
        <w:rPr>
          <w:rFonts w:ascii="New times roman" w:hAnsi="New times roman"/>
          <w:sz w:val="24"/>
          <w:szCs w:val="24"/>
        </w:rPr>
      </w:pPr>
      <w:r w:rsidRPr="006F0DFA">
        <w:rPr>
          <w:rFonts w:ascii="New times roman" w:hAnsi="New times roman"/>
          <w:sz w:val="24"/>
          <w:szCs w:val="24"/>
        </w:rPr>
        <w:t>Smith, Sarah N. H. 'Creon and the Politics of Power in Antigone'. The Classical Journal, vol. 113, no. 4 (2018), pp. 341-360.</w:t>
      </w:r>
    </w:p>
    <w:p w14:paraId="252A993D" w14:textId="77777777" w:rsidR="006F0DFA" w:rsidRPr="006F0DFA" w:rsidRDefault="006F0DFA" w:rsidP="006F0DFA">
      <w:pPr>
        <w:rPr>
          <w:rFonts w:ascii="New times roman" w:hAnsi="New times roman"/>
          <w:sz w:val="24"/>
          <w:szCs w:val="24"/>
        </w:rPr>
      </w:pPr>
    </w:p>
    <w:p w14:paraId="6E457B65" w14:textId="77777777" w:rsidR="006F0DFA" w:rsidRPr="006F0DFA" w:rsidRDefault="006F0DFA" w:rsidP="006F0DFA">
      <w:pPr>
        <w:rPr>
          <w:rFonts w:ascii="New times roman" w:hAnsi="New times roman"/>
          <w:sz w:val="24"/>
          <w:szCs w:val="24"/>
        </w:rPr>
      </w:pPr>
      <w:r w:rsidRPr="006F0DFA">
        <w:rPr>
          <w:rFonts w:ascii="New times roman" w:hAnsi="New times roman"/>
          <w:sz w:val="24"/>
          <w:szCs w:val="24"/>
        </w:rPr>
        <w:t>Harrison, Stephen, ‘Law and the Body in Antigone’, Classical Quarterly, 54.2 (2004), 395-415.</w:t>
      </w:r>
    </w:p>
    <w:p w14:paraId="7A9BC168" w14:textId="77777777" w:rsidR="006F0DFA" w:rsidRPr="006F0DFA" w:rsidRDefault="006F0DFA" w:rsidP="006F0DFA">
      <w:pPr>
        <w:rPr>
          <w:rFonts w:ascii="New times roman" w:hAnsi="New times roman"/>
          <w:sz w:val="24"/>
          <w:szCs w:val="24"/>
        </w:rPr>
      </w:pPr>
    </w:p>
    <w:p w14:paraId="4457AC64" w14:textId="77777777" w:rsidR="006F0DFA" w:rsidRPr="006F0DFA" w:rsidRDefault="006F0DFA" w:rsidP="006F0DFA">
      <w:pPr>
        <w:rPr>
          <w:rFonts w:ascii="New times roman" w:hAnsi="New times roman"/>
          <w:sz w:val="24"/>
          <w:szCs w:val="24"/>
        </w:rPr>
      </w:pPr>
      <w:r w:rsidRPr="006F0DFA">
        <w:rPr>
          <w:rFonts w:ascii="New times roman" w:hAnsi="New times roman"/>
          <w:sz w:val="24"/>
          <w:szCs w:val="24"/>
        </w:rPr>
        <w:t>Smith, John. 'Haemon's Dilemma: The Struggle Between Love and Duty in Sophocles' Antigone'. Journal of Classical Literature, vol. 12, no. 3 (2020), pp. 45-67.</w:t>
      </w:r>
    </w:p>
    <w:p w14:paraId="727D4AAC" w14:textId="77777777" w:rsidR="006F0DFA" w:rsidRPr="006F0DFA" w:rsidRDefault="006F0DFA" w:rsidP="006F0DFA">
      <w:pPr>
        <w:rPr>
          <w:rFonts w:ascii="New times roman" w:hAnsi="New times roman"/>
          <w:sz w:val="24"/>
          <w:szCs w:val="24"/>
        </w:rPr>
      </w:pPr>
    </w:p>
    <w:p w14:paraId="4BA69A3A" w14:textId="77777777" w:rsidR="006F0DFA" w:rsidRPr="006F0DFA" w:rsidRDefault="006F0DFA" w:rsidP="006F0DFA">
      <w:pPr>
        <w:rPr>
          <w:rFonts w:ascii="New times roman" w:hAnsi="New times roman"/>
          <w:sz w:val="24"/>
          <w:szCs w:val="24"/>
        </w:rPr>
      </w:pPr>
      <w:r w:rsidRPr="006F0DFA">
        <w:rPr>
          <w:rFonts w:ascii="New times roman" w:hAnsi="New times roman"/>
          <w:sz w:val="24"/>
          <w:szCs w:val="24"/>
        </w:rPr>
        <w:t>Adams, S. M. ‘The ‘Antigone’ of Sophocles.’ Phoenix, 9.2 (1955): 47–62.</w:t>
      </w:r>
    </w:p>
    <w:p w14:paraId="517772B8" w14:textId="77777777" w:rsidR="006F0DFA" w:rsidRPr="006F0DFA" w:rsidRDefault="006F0DFA" w:rsidP="006F0DFA">
      <w:pPr>
        <w:rPr>
          <w:rFonts w:ascii="New times roman" w:hAnsi="New times roman"/>
          <w:sz w:val="24"/>
          <w:szCs w:val="24"/>
        </w:rPr>
      </w:pPr>
    </w:p>
    <w:p w14:paraId="6D77DD14" w14:textId="6E78D9E7" w:rsidR="005A16B5" w:rsidRDefault="006F0DFA" w:rsidP="006F0DFA">
      <w:pPr>
        <w:rPr>
          <w:rFonts w:ascii="New times roman" w:hAnsi="New times roman"/>
          <w:sz w:val="24"/>
          <w:szCs w:val="24"/>
        </w:rPr>
      </w:pPr>
      <w:r w:rsidRPr="006F0DFA">
        <w:rPr>
          <w:rFonts w:ascii="New times roman" w:hAnsi="New times roman"/>
          <w:sz w:val="24"/>
          <w:szCs w:val="24"/>
        </w:rPr>
        <w:t>Cixous, Hélène, 'The Laugh of the Medusa', Signs: Journal of Women in Culture and Society, 1.4 (1976), 875-893.</w:t>
      </w:r>
    </w:p>
    <w:p w14:paraId="0B38D0E4" w14:textId="77777777" w:rsidR="007737C6" w:rsidRDefault="007737C6" w:rsidP="00322848">
      <w:pPr>
        <w:rPr>
          <w:rFonts w:ascii="New times roman" w:hAnsi="New times roman"/>
          <w:sz w:val="24"/>
          <w:szCs w:val="24"/>
        </w:rPr>
      </w:pPr>
    </w:p>
    <w:p w14:paraId="3F73195F" w14:textId="77777777" w:rsidR="00A33A9A" w:rsidRDefault="00A33A9A" w:rsidP="00322848">
      <w:pPr>
        <w:rPr>
          <w:rFonts w:ascii="New times roman" w:hAnsi="New times roman"/>
          <w:sz w:val="24"/>
          <w:szCs w:val="24"/>
        </w:rPr>
      </w:pPr>
    </w:p>
    <w:p w14:paraId="468FD533" w14:textId="600ADC39" w:rsidR="00CD0CAC" w:rsidRPr="00336BB0" w:rsidRDefault="00CD0CAC" w:rsidP="00322848">
      <w:pPr>
        <w:rPr>
          <w:rFonts w:ascii="New times roman" w:hAnsi="New times roman"/>
          <w:sz w:val="24"/>
          <w:szCs w:val="24"/>
        </w:rPr>
      </w:pPr>
      <w:r w:rsidRPr="00CD0CAC">
        <w:rPr>
          <w:rFonts w:ascii="New times roman" w:hAnsi="New times roman"/>
          <w:sz w:val="24"/>
          <w:szCs w:val="24"/>
        </w:rPr>
        <w:t>.</w:t>
      </w:r>
    </w:p>
    <w:sectPr w:rsidR="00CD0CAC" w:rsidRPr="00336BB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C27426" w14:textId="77777777" w:rsidR="00E81243" w:rsidRDefault="00E81243" w:rsidP="00E81243">
      <w:pPr>
        <w:spacing w:after="0" w:line="240" w:lineRule="auto"/>
      </w:pPr>
      <w:r>
        <w:separator/>
      </w:r>
    </w:p>
  </w:endnote>
  <w:endnote w:type="continuationSeparator" w:id="0">
    <w:p w14:paraId="4FE86C67" w14:textId="77777777" w:rsidR="00E81243" w:rsidRDefault="00E81243" w:rsidP="00E812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New times roman">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D066DB" w14:textId="77777777" w:rsidR="00E81243" w:rsidRDefault="00E81243" w:rsidP="00E81243">
      <w:pPr>
        <w:spacing w:after="0" w:line="240" w:lineRule="auto"/>
      </w:pPr>
      <w:r>
        <w:separator/>
      </w:r>
    </w:p>
  </w:footnote>
  <w:footnote w:type="continuationSeparator" w:id="0">
    <w:p w14:paraId="17D7FD82" w14:textId="77777777" w:rsidR="00E81243" w:rsidRDefault="00E81243" w:rsidP="00E81243">
      <w:pPr>
        <w:spacing w:after="0" w:line="240" w:lineRule="auto"/>
      </w:pPr>
      <w:r>
        <w:continuationSeparator/>
      </w:r>
    </w:p>
  </w:footnote>
  <w:footnote w:id="1">
    <w:p w14:paraId="33A45F21" w14:textId="07D58FCF" w:rsidR="00A35983" w:rsidRPr="006F0DFA" w:rsidRDefault="00A35983">
      <w:pPr>
        <w:pStyle w:val="FootnoteText"/>
        <w:rPr>
          <w:rFonts w:ascii="New times roman" w:hAnsi="New times roman"/>
        </w:rPr>
      </w:pPr>
      <w:r>
        <w:rPr>
          <w:rStyle w:val="FootnoteReference"/>
        </w:rPr>
        <w:footnoteRef/>
      </w:r>
      <w:r>
        <w:t xml:space="preserve"> </w:t>
      </w:r>
      <w:r w:rsidR="00F52DAF" w:rsidRPr="006F0DFA">
        <w:rPr>
          <w:rFonts w:ascii="New times roman" w:hAnsi="New times roman"/>
        </w:rPr>
        <w:t xml:space="preserve">Sophocles, ‘Antigone’, trans. by Robert </w:t>
      </w:r>
      <w:proofErr w:type="spellStart"/>
      <w:r w:rsidR="00F52DAF" w:rsidRPr="006F0DFA">
        <w:rPr>
          <w:rFonts w:ascii="New times roman" w:hAnsi="New times roman"/>
        </w:rPr>
        <w:t>Fagles</w:t>
      </w:r>
      <w:proofErr w:type="spellEnd"/>
      <w:r w:rsidR="00F52DAF" w:rsidRPr="006F0DFA">
        <w:rPr>
          <w:rFonts w:ascii="New times roman" w:hAnsi="New times roman"/>
        </w:rPr>
        <w:t xml:space="preserve"> (New York: Penguin Classics, 1986), </w:t>
      </w:r>
      <w:proofErr w:type="spellStart"/>
      <w:r w:rsidR="00F52DAF" w:rsidRPr="006F0DFA">
        <w:rPr>
          <w:rFonts w:ascii="New times roman" w:hAnsi="New times roman"/>
        </w:rPr>
        <w:t>n.p.</w:t>
      </w:r>
      <w:proofErr w:type="spellEnd"/>
    </w:p>
  </w:footnote>
  <w:footnote w:id="2">
    <w:p w14:paraId="116526A2" w14:textId="00EDB9DA" w:rsidR="0075652E" w:rsidRPr="006F0DFA" w:rsidRDefault="0075652E">
      <w:pPr>
        <w:pStyle w:val="FootnoteText"/>
        <w:rPr>
          <w:rFonts w:ascii="New times roman" w:hAnsi="New times roman"/>
        </w:rPr>
      </w:pPr>
      <w:r w:rsidRPr="006F0DFA">
        <w:rPr>
          <w:rStyle w:val="FootnoteReference"/>
          <w:rFonts w:ascii="New times roman" w:hAnsi="New times roman"/>
        </w:rPr>
        <w:footnoteRef/>
      </w:r>
      <w:r w:rsidRPr="006F0DFA">
        <w:rPr>
          <w:rFonts w:ascii="New times roman" w:hAnsi="New times roman"/>
        </w:rPr>
        <w:t xml:space="preserve"> </w:t>
      </w:r>
      <w:r w:rsidR="00EE6D18" w:rsidRPr="006F0DFA">
        <w:rPr>
          <w:rFonts w:ascii="New times roman" w:hAnsi="New times roman"/>
        </w:rPr>
        <w:t xml:space="preserve">S. M. Adams, ‘The ‘Antigone’ of Sophocles,’ </w:t>
      </w:r>
      <w:r w:rsidR="00EE6D18" w:rsidRPr="006F0DFA">
        <w:rPr>
          <w:rFonts w:ascii="New times roman" w:hAnsi="New times roman"/>
          <w:i/>
          <w:iCs/>
        </w:rPr>
        <w:t>Phoenix</w:t>
      </w:r>
      <w:r w:rsidR="00EE6D18" w:rsidRPr="006F0DFA">
        <w:rPr>
          <w:rFonts w:ascii="New times roman" w:hAnsi="New times roman"/>
        </w:rPr>
        <w:t xml:space="preserve">, 9.2 (1955), pp. 47–62, </w:t>
      </w:r>
      <w:hyperlink r:id="rId1" w:history="1">
        <w:r w:rsidR="008A3F37" w:rsidRPr="006F0DFA">
          <w:rPr>
            <w:rStyle w:val="Hyperlink"/>
            <w:rFonts w:ascii="New times roman" w:hAnsi="New times roman"/>
          </w:rPr>
          <w:t>https://doi.org/10.2307/1086704</w:t>
        </w:r>
      </w:hyperlink>
      <w:r w:rsidR="008A3F37" w:rsidRPr="006F0DFA">
        <w:rPr>
          <w:rFonts w:ascii="New times roman" w:hAnsi="New times roman"/>
        </w:rPr>
        <w:t xml:space="preserve"> </w:t>
      </w:r>
      <w:r w:rsidR="00EE6D18" w:rsidRPr="006F0DFA">
        <w:rPr>
          <w:rFonts w:ascii="New times roman" w:hAnsi="New times roman"/>
        </w:rPr>
        <w:t xml:space="preserve"> </w:t>
      </w:r>
    </w:p>
  </w:footnote>
  <w:footnote w:id="3">
    <w:p w14:paraId="6F98BF0F" w14:textId="24E69FD2" w:rsidR="00384951" w:rsidRPr="006F0DFA" w:rsidRDefault="00384951">
      <w:pPr>
        <w:pStyle w:val="FootnoteText"/>
        <w:rPr>
          <w:rFonts w:ascii="New times roman" w:hAnsi="New times roman"/>
        </w:rPr>
      </w:pPr>
      <w:r w:rsidRPr="006F0DFA">
        <w:rPr>
          <w:rStyle w:val="FootnoteReference"/>
          <w:rFonts w:ascii="New times roman" w:hAnsi="New times roman"/>
        </w:rPr>
        <w:footnoteRef/>
      </w:r>
      <w:r w:rsidRPr="006F0DFA">
        <w:rPr>
          <w:rFonts w:ascii="New times roman" w:hAnsi="New times roman"/>
        </w:rPr>
        <w:t xml:space="preserve"> </w:t>
      </w:r>
      <w:r w:rsidR="00695D1D" w:rsidRPr="006F0DFA">
        <w:rPr>
          <w:rFonts w:ascii="New times roman" w:hAnsi="New times roman"/>
        </w:rPr>
        <w:t xml:space="preserve">David G. K. Taylor, ‘The Tragedy of Creon in </w:t>
      </w:r>
      <w:r w:rsidR="00695D1D" w:rsidRPr="006F0DFA">
        <w:rPr>
          <w:rFonts w:ascii="New times roman" w:hAnsi="New times roman"/>
          <w:i/>
          <w:iCs/>
        </w:rPr>
        <w:t>Antigone, ’Classical Philology</w:t>
      </w:r>
      <w:r w:rsidR="00695D1D" w:rsidRPr="006F0DFA">
        <w:rPr>
          <w:rFonts w:ascii="New times roman" w:hAnsi="New times roman"/>
        </w:rPr>
        <w:t xml:space="preserve">, 62.2 (1967), pp. 97-107, </w:t>
      </w:r>
      <w:hyperlink r:id="rId2" w:history="1">
        <w:r w:rsidR="00695D1D" w:rsidRPr="006F0DFA">
          <w:rPr>
            <w:rStyle w:val="Hyperlink"/>
            <w:rFonts w:ascii="New times roman" w:hAnsi="New times roman"/>
          </w:rPr>
          <w:t>https://www.jstor.org/stable/329646</w:t>
        </w:r>
      </w:hyperlink>
      <w:r w:rsidR="00695D1D" w:rsidRPr="006F0DFA">
        <w:rPr>
          <w:rFonts w:ascii="New times roman" w:hAnsi="New times roman"/>
        </w:rPr>
        <w:t xml:space="preserve">  (accessed 11 Jan. 2025).</w:t>
      </w:r>
    </w:p>
  </w:footnote>
  <w:footnote w:id="4">
    <w:p w14:paraId="70941EED" w14:textId="6A939207" w:rsidR="00E66B2A" w:rsidRPr="006F0DFA" w:rsidRDefault="00E66B2A">
      <w:pPr>
        <w:pStyle w:val="FootnoteText"/>
        <w:rPr>
          <w:rFonts w:ascii="New times roman" w:hAnsi="New times roman"/>
        </w:rPr>
      </w:pPr>
      <w:r w:rsidRPr="006F0DFA">
        <w:rPr>
          <w:rStyle w:val="FootnoteReference"/>
          <w:rFonts w:ascii="New times roman" w:hAnsi="New times roman"/>
        </w:rPr>
        <w:footnoteRef/>
      </w:r>
      <w:r w:rsidRPr="006F0DFA">
        <w:rPr>
          <w:rFonts w:ascii="New times roman" w:hAnsi="New times roman"/>
        </w:rPr>
        <w:t xml:space="preserve"> </w:t>
      </w:r>
      <w:r w:rsidR="00313567" w:rsidRPr="006F0DFA">
        <w:rPr>
          <w:rFonts w:ascii="New times roman" w:hAnsi="New times roman"/>
        </w:rPr>
        <w:t xml:space="preserve">‘Antigone’ in </w:t>
      </w:r>
      <w:r w:rsidR="00313567" w:rsidRPr="006F0DFA">
        <w:rPr>
          <w:rFonts w:ascii="New times roman" w:hAnsi="New times roman"/>
          <w:i/>
          <w:iCs/>
        </w:rPr>
        <w:t>The Stanford Encyclopaedia of Philosophy</w:t>
      </w:r>
      <w:r w:rsidR="00313567" w:rsidRPr="006F0DFA">
        <w:rPr>
          <w:rFonts w:ascii="New times roman" w:hAnsi="New times roman"/>
        </w:rPr>
        <w:t xml:space="preserve">, ed. by Edward N. Zalta, Winter 2025 </w:t>
      </w:r>
      <w:proofErr w:type="spellStart"/>
      <w:r w:rsidR="00313567" w:rsidRPr="006F0DFA">
        <w:rPr>
          <w:rFonts w:ascii="New times roman" w:hAnsi="New times roman"/>
        </w:rPr>
        <w:t>edn</w:t>
      </w:r>
      <w:proofErr w:type="spellEnd"/>
      <w:r w:rsidR="00313567" w:rsidRPr="006F0DFA">
        <w:rPr>
          <w:rFonts w:ascii="New times roman" w:hAnsi="New times roman"/>
        </w:rPr>
        <w:t xml:space="preserve">, </w:t>
      </w:r>
      <w:hyperlink r:id="rId3" w:history="1">
        <w:r w:rsidR="00313567" w:rsidRPr="006F0DFA">
          <w:rPr>
            <w:rStyle w:val="Hyperlink"/>
            <w:rFonts w:ascii="New times roman" w:hAnsi="New times roman"/>
          </w:rPr>
          <w:t>https://plato.stanford.edu/entries/sophocles/</w:t>
        </w:r>
      </w:hyperlink>
      <w:r w:rsidR="00313567" w:rsidRPr="006F0DFA">
        <w:rPr>
          <w:rFonts w:ascii="New times roman" w:hAnsi="New times roman"/>
        </w:rPr>
        <w:t xml:space="preserve">  (accessed 11 Jan. 2025).</w:t>
      </w:r>
    </w:p>
  </w:footnote>
  <w:footnote w:id="5">
    <w:p w14:paraId="395FEF79" w14:textId="1C36A2D2" w:rsidR="004645A8" w:rsidRPr="006F0DFA" w:rsidRDefault="004645A8">
      <w:pPr>
        <w:pStyle w:val="FootnoteText"/>
        <w:rPr>
          <w:rFonts w:ascii="New times roman" w:hAnsi="New times roman"/>
        </w:rPr>
      </w:pPr>
      <w:r w:rsidRPr="006F0DFA">
        <w:rPr>
          <w:rStyle w:val="FootnoteReference"/>
          <w:rFonts w:ascii="New times roman" w:hAnsi="New times roman"/>
        </w:rPr>
        <w:footnoteRef/>
      </w:r>
      <w:r w:rsidRPr="006F0DFA">
        <w:rPr>
          <w:rFonts w:ascii="New times roman" w:hAnsi="New times roman"/>
        </w:rPr>
        <w:t xml:space="preserve"> </w:t>
      </w:r>
      <w:r w:rsidR="0097297B" w:rsidRPr="006F0DFA">
        <w:rPr>
          <w:rFonts w:ascii="New times roman" w:hAnsi="New times roman"/>
        </w:rPr>
        <w:t xml:space="preserve">Michael Halleran, ‘The Politics of Antigone: Creon and the Law,’ </w:t>
      </w:r>
      <w:r w:rsidR="0097297B" w:rsidRPr="006F0DFA">
        <w:rPr>
          <w:rFonts w:ascii="New times roman" w:hAnsi="New times roman"/>
          <w:i/>
          <w:iCs/>
        </w:rPr>
        <w:t xml:space="preserve">Classical </w:t>
      </w:r>
      <w:r w:rsidR="001868E9" w:rsidRPr="006F0DFA">
        <w:rPr>
          <w:rFonts w:ascii="New times roman" w:hAnsi="New times roman"/>
          <w:i/>
          <w:iCs/>
        </w:rPr>
        <w:t>Philology</w:t>
      </w:r>
      <w:r w:rsidR="001868E9" w:rsidRPr="006F0DFA">
        <w:rPr>
          <w:rFonts w:ascii="New times roman" w:hAnsi="New times roman"/>
        </w:rPr>
        <w:t>, 94.3</w:t>
      </w:r>
      <w:r w:rsidR="0097297B" w:rsidRPr="006F0DFA">
        <w:rPr>
          <w:rFonts w:ascii="New times roman" w:hAnsi="New times roman"/>
        </w:rPr>
        <w:t xml:space="preserve"> (1999), 233-246.</w:t>
      </w:r>
    </w:p>
  </w:footnote>
  <w:footnote w:id="6">
    <w:p w14:paraId="44388ACD" w14:textId="1890B614" w:rsidR="004645A8" w:rsidRPr="006F0DFA" w:rsidRDefault="004645A8">
      <w:pPr>
        <w:pStyle w:val="FootnoteText"/>
        <w:rPr>
          <w:rFonts w:ascii="New times roman" w:hAnsi="New times roman"/>
        </w:rPr>
      </w:pPr>
      <w:r w:rsidRPr="006F0DFA">
        <w:rPr>
          <w:rStyle w:val="FootnoteReference"/>
          <w:rFonts w:ascii="New times roman" w:hAnsi="New times roman"/>
        </w:rPr>
        <w:footnoteRef/>
      </w:r>
      <w:r w:rsidRPr="006F0DFA">
        <w:rPr>
          <w:rFonts w:ascii="New times roman" w:hAnsi="New times roman"/>
        </w:rPr>
        <w:t xml:space="preserve"> </w:t>
      </w:r>
      <w:r w:rsidR="00AB5D3A" w:rsidRPr="006F0DFA">
        <w:rPr>
          <w:rFonts w:ascii="New times roman" w:hAnsi="New times roman"/>
        </w:rPr>
        <w:t xml:space="preserve">Charles Segal, ‘Tragedy and Civilization: An Interpretation of Sophocles' Antigone,’ </w:t>
      </w:r>
      <w:r w:rsidR="00AB5D3A" w:rsidRPr="006F0DFA">
        <w:rPr>
          <w:rFonts w:ascii="New times roman" w:hAnsi="New times roman"/>
          <w:i/>
          <w:iCs/>
        </w:rPr>
        <w:t>The Harvard Theological Review</w:t>
      </w:r>
      <w:r w:rsidR="00AB5D3A" w:rsidRPr="006F0DFA">
        <w:rPr>
          <w:rFonts w:ascii="New times roman" w:hAnsi="New times roman"/>
        </w:rPr>
        <w:t>, 85.3 (1992), 245-263.</w:t>
      </w:r>
    </w:p>
  </w:footnote>
  <w:footnote w:id="7">
    <w:p w14:paraId="228496A3" w14:textId="422BD376" w:rsidR="00534A25" w:rsidRPr="006F0DFA" w:rsidRDefault="00534A25">
      <w:pPr>
        <w:pStyle w:val="FootnoteText"/>
        <w:rPr>
          <w:rFonts w:ascii="New times roman" w:hAnsi="New times roman"/>
        </w:rPr>
      </w:pPr>
      <w:r>
        <w:rPr>
          <w:rStyle w:val="FootnoteReference"/>
        </w:rPr>
        <w:footnoteRef/>
      </w:r>
      <w:r>
        <w:t xml:space="preserve"> </w:t>
      </w:r>
      <w:r w:rsidR="00C07595" w:rsidRPr="006F0DFA">
        <w:rPr>
          <w:rFonts w:ascii="New times roman" w:hAnsi="New times roman"/>
        </w:rPr>
        <w:t xml:space="preserve">Stephen Harrison, ‘Law and the Body in Antigone’, </w:t>
      </w:r>
      <w:r w:rsidR="00C07595" w:rsidRPr="006F0DFA">
        <w:rPr>
          <w:rFonts w:ascii="New times roman" w:hAnsi="New times roman"/>
          <w:i/>
          <w:iCs/>
        </w:rPr>
        <w:t>Classical Quarterly</w:t>
      </w:r>
      <w:r w:rsidR="00C07595" w:rsidRPr="006F0DFA">
        <w:rPr>
          <w:rFonts w:ascii="New times roman" w:hAnsi="New times roman"/>
        </w:rPr>
        <w:t>, 54.2 (2004), 395-415</w:t>
      </w:r>
    </w:p>
  </w:footnote>
  <w:footnote w:id="8">
    <w:p w14:paraId="453DE2AF" w14:textId="0ECE7C5D" w:rsidR="00200DCE" w:rsidRDefault="00200DCE">
      <w:pPr>
        <w:pStyle w:val="FootnoteText"/>
      </w:pPr>
      <w:r w:rsidRPr="006F0DFA">
        <w:rPr>
          <w:rStyle w:val="FootnoteReference"/>
          <w:rFonts w:ascii="New times roman" w:hAnsi="New times roman"/>
        </w:rPr>
        <w:footnoteRef/>
      </w:r>
      <w:r w:rsidRPr="006F0DFA">
        <w:rPr>
          <w:rFonts w:ascii="New times roman" w:hAnsi="New times roman"/>
        </w:rPr>
        <w:t xml:space="preserve"> </w:t>
      </w:r>
      <w:r w:rsidR="00691B3E" w:rsidRPr="006F0DFA">
        <w:rPr>
          <w:rFonts w:ascii="New times roman" w:hAnsi="New times roman"/>
        </w:rPr>
        <w:t xml:space="preserve">Maria Balaska, ‘Can There Be Happiness in Psychoanalysis? Creon and Antigone in Lacan’s Seminar VII’, </w:t>
      </w:r>
      <w:r w:rsidR="00691B3E" w:rsidRPr="006F0DFA">
        <w:rPr>
          <w:rFonts w:ascii="New times roman" w:hAnsi="New times roman"/>
          <w:i/>
          <w:iCs/>
        </w:rPr>
        <w:t>College Literature</w:t>
      </w:r>
      <w:r w:rsidR="00691B3E" w:rsidRPr="006F0DFA">
        <w:rPr>
          <w:rFonts w:ascii="New times roman" w:hAnsi="New times roman"/>
        </w:rPr>
        <w:t xml:space="preserve">, 45.2 (2018), 308–29 </w:t>
      </w:r>
      <w:hyperlink r:id="rId4" w:history="1">
        <w:r w:rsidR="00691B3E" w:rsidRPr="006F0DFA">
          <w:rPr>
            <w:rStyle w:val="Hyperlink"/>
            <w:rFonts w:ascii="New times roman" w:hAnsi="New times roman"/>
          </w:rPr>
          <w:t>https://doi.org/10.1353/lit.2018.0019</w:t>
        </w:r>
      </w:hyperlink>
      <w:r w:rsidR="00691B3E">
        <w:t xml:space="preserve">  </w:t>
      </w:r>
    </w:p>
  </w:footnote>
  <w:footnote w:id="9">
    <w:p w14:paraId="536BECE3" w14:textId="54C843A8" w:rsidR="00E81243" w:rsidRPr="006F0DFA" w:rsidRDefault="00E81243" w:rsidP="00E81243">
      <w:pPr>
        <w:pStyle w:val="FootnoteText"/>
        <w:rPr>
          <w:rFonts w:ascii="New times roman" w:hAnsi="New times roman"/>
        </w:rPr>
      </w:pPr>
      <w:r w:rsidRPr="006F0DFA">
        <w:rPr>
          <w:rStyle w:val="FootnoteReference"/>
          <w:rFonts w:ascii="New times roman" w:hAnsi="New times roman"/>
        </w:rPr>
        <w:footnoteRef/>
      </w:r>
      <w:r w:rsidRPr="006F0DFA">
        <w:rPr>
          <w:rFonts w:ascii="New times roman" w:hAnsi="New times roman"/>
        </w:rPr>
        <w:t xml:space="preserve"> </w:t>
      </w:r>
      <w:r w:rsidR="00160185" w:rsidRPr="006F0DFA">
        <w:rPr>
          <w:rFonts w:ascii="New times roman" w:hAnsi="New times roman"/>
        </w:rPr>
        <w:t xml:space="preserve">Bertolt Brecht, Friedrich </w:t>
      </w:r>
      <w:proofErr w:type="spellStart"/>
      <w:r w:rsidR="00160185" w:rsidRPr="006F0DFA">
        <w:rPr>
          <w:rFonts w:ascii="New times roman" w:hAnsi="New times roman"/>
        </w:rPr>
        <w:t>Hölderlin</w:t>
      </w:r>
      <w:proofErr w:type="spellEnd"/>
      <w:r w:rsidR="00160185" w:rsidRPr="006F0DFA">
        <w:rPr>
          <w:rFonts w:ascii="New times roman" w:hAnsi="New times roman"/>
        </w:rPr>
        <w:t xml:space="preserve">, Judith Malina, and Sophocles, </w:t>
      </w:r>
      <w:r w:rsidR="00160185" w:rsidRPr="006F0DFA">
        <w:rPr>
          <w:rFonts w:ascii="New times roman" w:hAnsi="New times roman"/>
          <w:i/>
          <w:iCs/>
        </w:rPr>
        <w:t>Sophocles’ Antigone</w:t>
      </w:r>
      <w:r w:rsidR="00160185" w:rsidRPr="006F0DFA">
        <w:rPr>
          <w:rFonts w:ascii="New times roman" w:hAnsi="New times roman"/>
        </w:rPr>
        <w:t xml:space="preserve"> (New York: Applause, 1990).</w:t>
      </w:r>
    </w:p>
  </w:footnote>
  <w:footnote w:id="10">
    <w:p w14:paraId="6E6BAE9B" w14:textId="1E1DD5E1" w:rsidR="00E81243" w:rsidRPr="006F0DFA" w:rsidRDefault="00E81243" w:rsidP="00E81243">
      <w:pPr>
        <w:pStyle w:val="FootnoteText"/>
        <w:rPr>
          <w:rFonts w:ascii="New times roman" w:hAnsi="New times roman"/>
        </w:rPr>
      </w:pPr>
      <w:r w:rsidRPr="006F0DFA">
        <w:rPr>
          <w:rStyle w:val="FootnoteReference"/>
          <w:rFonts w:ascii="New times roman" w:hAnsi="New times roman"/>
        </w:rPr>
        <w:footnoteRef/>
      </w:r>
      <w:r w:rsidRPr="006F0DFA">
        <w:rPr>
          <w:rFonts w:ascii="New times roman" w:hAnsi="New times roman"/>
        </w:rPr>
        <w:t xml:space="preserve"> </w:t>
      </w:r>
      <w:r w:rsidR="003E49CD" w:rsidRPr="006F0DFA">
        <w:rPr>
          <w:rFonts w:ascii="New times roman" w:hAnsi="New times roman"/>
        </w:rPr>
        <w:t xml:space="preserve">Richard J. Golsan, </w:t>
      </w:r>
      <w:r w:rsidR="003E49CD" w:rsidRPr="006F0DFA">
        <w:rPr>
          <w:rFonts w:ascii="New times roman" w:hAnsi="New times roman"/>
          <w:i/>
          <w:iCs/>
        </w:rPr>
        <w:t>The Tragic Vision: A Study of the Tragedy in Sophocles' Antigone</w:t>
      </w:r>
      <w:r w:rsidR="003E49CD" w:rsidRPr="006F0DFA">
        <w:rPr>
          <w:rFonts w:ascii="New times roman" w:hAnsi="New times roman"/>
        </w:rPr>
        <w:t xml:space="preserve"> (New York: Peter Lang, 1997).</w:t>
      </w:r>
    </w:p>
  </w:footnote>
  <w:footnote w:id="11">
    <w:p w14:paraId="194F3471" w14:textId="1C710826" w:rsidR="0004061F" w:rsidRPr="006F0DFA" w:rsidRDefault="0004061F">
      <w:pPr>
        <w:pStyle w:val="FootnoteText"/>
        <w:rPr>
          <w:rFonts w:ascii="New times roman" w:hAnsi="New times roman"/>
        </w:rPr>
      </w:pPr>
      <w:r w:rsidRPr="006F0DFA">
        <w:rPr>
          <w:rStyle w:val="FootnoteReference"/>
          <w:rFonts w:ascii="New times roman" w:hAnsi="New times roman"/>
        </w:rPr>
        <w:footnoteRef/>
      </w:r>
      <w:r w:rsidRPr="006F0DFA">
        <w:rPr>
          <w:rFonts w:ascii="New times roman" w:hAnsi="New times roman"/>
        </w:rPr>
        <w:t xml:space="preserve"> </w:t>
      </w:r>
      <w:r w:rsidR="00A6678A" w:rsidRPr="006F0DFA">
        <w:rPr>
          <w:rFonts w:ascii="New times roman" w:hAnsi="New times roman"/>
        </w:rPr>
        <w:t xml:space="preserve">Jean Anouilh, </w:t>
      </w:r>
      <w:r w:rsidR="00A6678A" w:rsidRPr="006F0DFA">
        <w:rPr>
          <w:rFonts w:ascii="New times roman" w:hAnsi="New times roman"/>
          <w:i/>
          <w:iCs/>
        </w:rPr>
        <w:t xml:space="preserve">Antigone </w:t>
      </w:r>
      <w:r w:rsidR="00A6678A" w:rsidRPr="006F0DFA">
        <w:rPr>
          <w:rFonts w:ascii="New times roman" w:hAnsi="New times roman"/>
        </w:rPr>
        <w:t>(London: Faber and Faber, 1958).</w:t>
      </w:r>
    </w:p>
  </w:footnote>
  <w:footnote w:id="12">
    <w:p w14:paraId="341670F6" w14:textId="0B7DD777" w:rsidR="00E81243" w:rsidRPr="006F0DFA" w:rsidRDefault="00E81243" w:rsidP="00E81243">
      <w:pPr>
        <w:pStyle w:val="FootnoteText"/>
        <w:rPr>
          <w:rFonts w:ascii="New times roman" w:hAnsi="New times roman"/>
        </w:rPr>
      </w:pPr>
      <w:r w:rsidRPr="006F0DFA">
        <w:rPr>
          <w:rStyle w:val="FootnoteReference"/>
          <w:rFonts w:ascii="New times roman" w:hAnsi="New times roman"/>
        </w:rPr>
        <w:footnoteRef/>
      </w:r>
      <w:r w:rsidRPr="006F0DFA">
        <w:rPr>
          <w:rFonts w:ascii="New times roman" w:hAnsi="New times roman"/>
        </w:rPr>
        <w:t xml:space="preserve"> </w:t>
      </w:r>
      <w:r w:rsidR="002961FD" w:rsidRPr="006F0DFA">
        <w:rPr>
          <w:rFonts w:ascii="New times roman" w:hAnsi="New times roman"/>
        </w:rPr>
        <w:t xml:space="preserve">John Smith, 'Haemon's Dilemma: The Struggle Between Love and Duty in Sophocles' Antigone', </w:t>
      </w:r>
      <w:r w:rsidR="002961FD" w:rsidRPr="006F0DFA">
        <w:rPr>
          <w:rFonts w:ascii="New times roman" w:hAnsi="New times roman"/>
          <w:i/>
          <w:iCs/>
        </w:rPr>
        <w:t>Journal of Classical Literature</w:t>
      </w:r>
      <w:r w:rsidR="002961FD" w:rsidRPr="006F0DFA">
        <w:rPr>
          <w:rFonts w:ascii="New times roman" w:hAnsi="New times roman"/>
        </w:rPr>
        <w:t>, vol. 12, no. 3 (2020), pp. 45-67.</w:t>
      </w:r>
    </w:p>
  </w:footnote>
  <w:footnote w:id="13">
    <w:p w14:paraId="5BF8628F" w14:textId="25EC5E24" w:rsidR="00E81243" w:rsidRPr="006F0DFA" w:rsidRDefault="00E81243" w:rsidP="00E81243">
      <w:pPr>
        <w:pStyle w:val="FootnoteText"/>
        <w:rPr>
          <w:rFonts w:ascii="New times roman" w:hAnsi="New times roman"/>
        </w:rPr>
      </w:pPr>
      <w:r w:rsidRPr="006F0DFA">
        <w:rPr>
          <w:rStyle w:val="FootnoteReference"/>
          <w:rFonts w:ascii="New times roman" w:hAnsi="New times roman"/>
        </w:rPr>
        <w:footnoteRef/>
      </w:r>
      <w:r w:rsidRPr="006F0DFA">
        <w:rPr>
          <w:rFonts w:ascii="New times roman" w:hAnsi="New times roman"/>
        </w:rPr>
        <w:t xml:space="preserve"> </w:t>
      </w:r>
      <w:r w:rsidR="003641B1" w:rsidRPr="006F0DFA">
        <w:rPr>
          <w:rFonts w:ascii="New times roman" w:hAnsi="New times roman"/>
        </w:rPr>
        <w:t xml:space="preserve">Anne Carson, </w:t>
      </w:r>
      <w:r w:rsidR="003641B1" w:rsidRPr="006F0DFA">
        <w:rPr>
          <w:rFonts w:ascii="New times roman" w:hAnsi="New times roman"/>
          <w:i/>
          <w:iCs/>
        </w:rPr>
        <w:t>Sophocles' Antigone: A New Translation</w:t>
      </w:r>
      <w:r w:rsidR="003641B1" w:rsidRPr="006F0DFA">
        <w:rPr>
          <w:rFonts w:ascii="New times roman" w:hAnsi="New times roman"/>
        </w:rPr>
        <w:t xml:space="preserve"> (New York: Knopf, 2019), p. 67.</w:t>
      </w:r>
    </w:p>
  </w:footnote>
  <w:footnote w:id="14">
    <w:p w14:paraId="62E9F5F1" w14:textId="303AE47E" w:rsidR="00E81243" w:rsidRPr="006F0DFA" w:rsidRDefault="00E81243" w:rsidP="00E81243">
      <w:pPr>
        <w:pStyle w:val="FootnoteText"/>
        <w:rPr>
          <w:rFonts w:ascii="New times roman" w:hAnsi="New times roman"/>
        </w:rPr>
      </w:pPr>
      <w:r w:rsidRPr="006F0DFA">
        <w:rPr>
          <w:rStyle w:val="FootnoteReference"/>
          <w:rFonts w:ascii="New times roman" w:hAnsi="New times roman"/>
        </w:rPr>
        <w:footnoteRef/>
      </w:r>
      <w:r w:rsidRPr="006F0DFA">
        <w:rPr>
          <w:rFonts w:ascii="New times roman" w:hAnsi="New times roman"/>
        </w:rPr>
        <w:t xml:space="preserve"> </w:t>
      </w:r>
      <w:r w:rsidR="00D66821" w:rsidRPr="006F0DFA">
        <w:rPr>
          <w:rFonts w:ascii="New times roman" w:hAnsi="New times roman"/>
        </w:rPr>
        <w:t xml:space="preserve">Emily Wilson, 'Tiresias and the Limits of Knowledge in Sophocles' Antigone', </w:t>
      </w:r>
      <w:r w:rsidR="00D66821" w:rsidRPr="006F0DFA">
        <w:rPr>
          <w:rFonts w:ascii="New times roman" w:hAnsi="New times roman"/>
          <w:i/>
          <w:iCs/>
        </w:rPr>
        <w:t>Journal of Ancient Literature</w:t>
      </w:r>
      <w:r w:rsidR="00D66821" w:rsidRPr="006F0DFA">
        <w:rPr>
          <w:rFonts w:ascii="New times roman" w:hAnsi="New times roman"/>
        </w:rPr>
        <w:t>, vol. 15, no. 2 (2021), pp. 112-130.</w:t>
      </w:r>
    </w:p>
  </w:footnote>
  <w:footnote w:id="15">
    <w:p w14:paraId="448D1144" w14:textId="5C404D77" w:rsidR="00E81243" w:rsidRPr="006F0DFA" w:rsidRDefault="00E81243" w:rsidP="00E81243">
      <w:pPr>
        <w:pStyle w:val="FootnoteText"/>
        <w:rPr>
          <w:rFonts w:ascii="New times roman" w:hAnsi="New times roman"/>
        </w:rPr>
      </w:pPr>
      <w:r>
        <w:rPr>
          <w:rStyle w:val="FootnoteReference"/>
        </w:rPr>
        <w:footnoteRef/>
      </w:r>
      <w:r>
        <w:t xml:space="preserve"> </w:t>
      </w:r>
      <w:r w:rsidR="00AF4B2A" w:rsidRPr="006F0DFA">
        <w:rPr>
          <w:rFonts w:ascii="New times roman" w:hAnsi="New times roman"/>
        </w:rPr>
        <w:t xml:space="preserve">Jennifer K. Johnson, 'Gender and Power in Sophocles' Antigone', </w:t>
      </w:r>
      <w:r w:rsidR="00AF4B2A" w:rsidRPr="006F0DFA">
        <w:rPr>
          <w:rFonts w:ascii="New times roman" w:hAnsi="New times roman"/>
          <w:i/>
          <w:iCs/>
        </w:rPr>
        <w:t>Classical Philology</w:t>
      </w:r>
      <w:r w:rsidR="00AF4B2A" w:rsidRPr="006F0DFA">
        <w:rPr>
          <w:rFonts w:ascii="New times roman" w:hAnsi="New times roman"/>
        </w:rPr>
        <w:t xml:space="preserve">, vol. 113, no. 3 (2018), pp. 245-263. Available at: </w:t>
      </w:r>
      <w:hyperlink r:id="rId5" w:history="1">
        <w:r w:rsidR="00AF4B2A" w:rsidRPr="006F0DFA">
          <w:rPr>
            <w:rStyle w:val="Hyperlink"/>
            <w:rFonts w:ascii="New times roman" w:hAnsi="New times roman"/>
          </w:rPr>
          <w:t>https://www.jstor.org/stable/10.5325/classphil.113.3.0245</w:t>
        </w:r>
      </w:hyperlink>
      <w:r w:rsidR="00AF4B2A" w:rsidRPr="006F0DFA">
        <w:rPr>
          <w:rFonts w:ascii="New times roman" w:hAnsi="New times roman"/>
        </w:rPr>
        <w:t xml:space="preserve"> </w:t>
      </w:r>
    </w:p>
  </w:footnote>
  <w:footnote w:id="16">
    <w:p w14:paraId="72DC3B10" w14:textId="556C8A91" w:rsidR="00E81243" w:rsidRPr="006F0DFA" w:rsidRDefault="00E81243" w:rsidP="00E81243">
      <w:pPr>
        <w:pStyle w:val="FootnoteText"/>
        <w:rPr>
          <w:rFonts w:ascii="New times roman" w:hAnsi="New times roman"/>
        </w:rPr>
      </w:pPr>
      <w:r w:rsidRPr="006F0DFA">
        <w:rPr>
          <w:rStyle w:val="FootnoteReference"/>
          <w:rFonts w:ascii="New times roman" w:hAnsi="New times roman"/>
        </w:rPr>
        <w:footnoteRef/>
      </w:r>
      <w:r w:rsidRPr="006F0DFA">
        <w:rPr>
          <w:rFonts w:ascii="New times roman" w:hAnsi="New times roman"/>
        </w:rPr>
        <w:t xml:space="preserve"> </w:t>
      </w:r>
      <w:r w:rsidR="00CA7479" w:rsidRPr="006F0DFA">
        <w:rPr>
          <w:rFonts w:ascii="New times roman" w:hAnsi="New times roman"/>
        </w:rPr>
        <w:t xml:space="preserve">Sarah N. H. Smith, 'Creon and the Politics of Power in Antigone', </w:t>
      </w:r>
      <w:r w:rsidR="00CA7479" w:rsidRPr="006F0DFA">
        <w:rPr>
          <w:rFonts w:ascii="New times roman" w:hAnsi="New times roman"/>
          <w:i/>
          <w:iCs/>
        </w:rPr>
        <w:t>The Classical Journal</w:t>
      </w:r>
      <w:r w:rsidR="00CA7479" w:rsidRPr="006F0DFA">
        <w:rPr>
          <w:rFonts w:ascii="New times roman" w:hAnsi="New times roman"/>
        </w:rPr>
        <w:t>, vol. 113, no. 4 (2018), pp. 341-360.</w:t>
      </w:r>
    </w:p>
  </w:footnote>
  <w:footnote w:id="17">
    <w:p w14:paraId="083036FD" w14:textId="7DE59914" w:rsidR="00277800" w:rsidRPr="006F0DFA" w:rsidRDefault="00277800">
      <w:pPr>
        <w:pStyle w:val="FootnoteText"/>
        <w:rPr>
          <w:rFonts w:ascii="New times roman" w:hAnsi="New times roman"/>
        </w:rPr>
      </w:pPr>
      <w:r w:rsidRPr="006F0DFA">
        <w:rPr>
          <w:rStyle w:val="FootnoteReference"/>
          <w:rFonts w:ascii="New times roman" w:hAnsi="New times roman"/>
        </w:rPr>
        <w:footnoteRef/>
      </w:r>
      <w:r w:rsidRPr="006F0DFA">
        <w:rPr>
          <w:rFonts w:ascii="New times roman" w:hAnsi="New times roman"/>
        </w:rPr>
        <w:t xml:space="preserve"> </w:t>
      </w:r>
      <w:r w:rsidR="00547C96" w:rsidRPr="006F0DFA">
        <w:rPr>
          <w:rFonts w:ascii="New times roman" w:hAnsi="New times roman"/>
        </w:rPr>
        <w:t xml:space="preserve">Emily R. Wilson, 'Antigone's Defiance: Gender and Power in Sophocles' Tragedy', </w:t>
      </w:r>
      <w:r w:rsidR="00547C96" w:rsidRPr="006F0DFA">
        <w:rPr>
          <w:rFonts w:ascii="New times roman" w:hAnsi="New times roman"/>
          <w:i/>
          <w:iCs/>
        </w:rPr>
        <w:t>The Journal of Hellenic Studies</w:t>
      </w:r>
      <w:r w:rsidR="00547C96" w:rsidRPr="006F0DFA">
        <w:rPr>
          <w:rFonts w:ascii="New times roman" w:hAnsi="New times roman"/>
        </w:rPr>
        <w:t xml:space="preserve">, vol. 137 (2017), pp. 45-62. Available at: </w:t>
      </w:r>
      <w:hyperlink r:id="rId6" w:history="1">
        <w:r w:rsidR="00547C96" w:rsidRPr="006F0DFA">
          <w:rPr>
            <w:rStyle w:val="Hyperlink"/>
            <w:rFonts w:ascii="New times roman" w:hAnsi="New times roman"/>
          </w:rPr>
          <w:t>https://www.jstor.org/stable/10.1017/jhs.2017.3</w:t>
        </w:r>
      </w:hyperlink>
      <w:r w:rsidR="00547C96" w:rsidRPr="006F0DFA">
        <w:rPr>
          <w:rFonts w:ascii="New times roman" w:hAnsi="New times roman"/>
        </w:rPr>
        <w:t xml:space="preserve"> </w:t>
      </w:r>
    </w:p>
  </w:footnote>
  <w:footnote w:id="18">
    <w:p w14:paraId="006038F3" w14:textId="2D121A08" w:rsidR="00E81243" w:rsidRPr="006F0DFA" w:rsidRDefault="00E81243" w:rsidP="00E81243">
      <w:pPr>
        <w:pStyle w:val="FootnoteText"/>
        <w:rPr>
          <w:rFonts w:ascii="New times roman" w:hAnsi="New times roman"/>
        </w:rPr>
      </w:pPr>
      <w:r w:rsidRPr="006F0DFA">
        <w:rPr>
          <w:rStyle w:val="FootnoteReference"/>
          <w:rFonts w:ascii="New times roman" w:hAnsi="New times roman"/>
        </w:rPr>
        <w:footnoteRef/>
      </w:r>
      <w:r w:rsidRPr="006F0DFA">
        <w:rPr>
          <w:rFonts w:ascii="New times roman" w:hAnsi="New times roman"/>
        </w:rPr>
        <w:t xml:space="preserve"> </w:t>
      </w:r>
      <w:r w:rsidR="00401BAF" w:rsidRPr="006F0DFA">
        <w:rPr>
          <w:rFonts w:ascii="New times roman" w:hAnsi="New times roman"/>
        </w:rPr>
        <w:t xml:space="preserve">Laura M. Smith, 'Antigone's Defiance: Gender and Authority in Sophocles', </w:t>
      </w:r>
      <w:r w:rsidR="00401BAF" w:rsidRPr="006F0DFA">
        <w:rPr>
          <w:rFonts w:ascii="New times roman" w:hAnsi="New times roman"/>
          <w:i/>
          <w:iCs/>
        </w:rPr>
        <w:t>Journal of Ancient Literature</w:t>
      </w:r>
      <w:r w:rsidR="00401BAF" w:rsidRPr="006F0DFA">
        <w:rPr>
          <w:rFonts w:ascii="New times roman" w:hAnsi="New times roman"/>
        </w:rPr>
        <w:t>, vol. 45, no. 3 (2021), pp. 201-220.</w:t>
      </w:r>
    </w:p>
  </w:footnote>
  <w:footnote w:id="19">
    <w:p w14:paraId="067582B8" w14:textId="76E0D698" w:rsidR="00E81243" w:rsidRPr="006F0DFA" w:rsidRDefault="00E81243" w:rsidP="00E81243">
      <w:pPr>
        <w:pStyle w:val="FootnoteText"/>
        <w:rPr>
          <w:rFonts w:ascii="New times roman" w:hAnsi="New times roman"/>
        </w:rPr>
      </w:pPr>
      <w:r w:rsidRPr="006F0DFA">
        <w:rPr>
          <w:rStyle w:val="FootnoteReference"/>
          <w:rFonts w:ascii="New times roman" w:hAnsi="New times roman"/>
        </w:rPr>
        <w:footnoteRef/>
      </w:r>
      <w:r w:rsidRPr="006F0DFA">
        <w:rPr>
          <w:rFonts w:ascii="New times roman" w:hAnsi="New times roman"/>
        </w:rPr>
        <w:t xml:space="preserve"> </w:t>
      </w:r>
      <w:r w:rsidR="00F952D2" w:rsidRPr="006F0DFA">
        <w:rPr>
          <w:rFonts w:ascii="New times roman" w:hAnsi="New times roman"/>
        </w:rPr>
        <w:t xml:space="preserve">J. A. Davison, ‘The Complete Greek Drama’, </w:t>
      </w:r>
      <w:r w:rsidR="00F952D2" w:rsidRPr="006F0DFA">
        <w:rPr>
          <w:rFonts w:ascii="New times roman" w:hAnsi="New times roman"/>
          <w:i/>
          <w:iCs/>
        </w:rPr>
        <w:t>The Classical Review</w:t>
      </w:r>
      <w:r w:rsidR="00F952D2" w:rsidRPr="006F0DFA">
        <w:rPr>
          <w:rFonts w:ascii="New times roman" w:hAnsi="New times roman"/>
        </w:rPr>
        <w:t xml:space="preserve"> (Oxford University Press, 1939), pp. 147–48.</w:t>
      </w:r>
    </w:p>
  </w:footnote>
  <w:footnote w:id="20">
    <w:p w14:paraId="65248869" w14:textId="5E5683BD" w:rsidR="00E81243" w:rsidRPr="006F0DFA" w:rsidRDefault="00E81243" w:rsidP="00E81243">
      <w:pPr>
        <w:pStyle w:val="FootnoteText"/>
        <w:rPr>
          <w:rFonts w:ascii="New times roman" w:hAnsi="New times roman"/>
        </w:rPr>
      </w:pPr>
      <w:r>
        <w:rPr>
          <w:rStyle w:val="FootnoteReference"/>
        </w:rPr>
        <w:footnoteRef/>
      </w:r>
      <w:r>
        <w:t xml:space="preserve"> </w:t>
      </w:r>
      <w:r w:rsidR="00547038" w:rsidRPr="006F0DFA">
        <w:rPr>
          <w:rFonts w:ascii="New times roman" w:hAnsi="New times roman"/>
        </w:rPr>
        <w:t xml:space="preserve">Mark Griffith, </w:t>
      </w:r>
      <w:r w:rsidR="00547038" w:rsidRPr="006F0DFA">
        <w:rPr>
          <w:rFonts w:ascii="New times roman" w:hAnsi="New times roman"/>
          <w:i/>
          <w:iCs/>
        </w:rPr>
        <w:t>Sophocles' Antigone: A Critical Study</w:t>
      </w:r>
      <w:r w:rsidR="00547038" w:rsidRPr="006F0DFA">
        <w:rPr>
          <w:rFonts w:ascii="New times roman" w:hAnsi="New times roman"/>
        </w:rPr>
        <w:t xml:space="preserve"> (London: Bloomsbury, 2013), pp. 45-67.</w:t>
      </w:r>
    </w:p>
  </w:footnote>
  <w:footnote w:id="21">
    <w:p w14:paraId="7C3A3FEB" w14:textId="171C0587" w:rsidR="00604DE5" w:rsidRPr="006F0DFA" w:rsidRDefault="00604DE5">
      <w:pPr>
        <w:pStyle w:val="FootnoteText"/>
        <w:rPr>
          <w:rFonts w:ascii="New times roman" w:hAnsi="New times roman"/>
        </w:rPr>
      </w:pPr>
      <w:r w:rsidRPr="006F0DFA">
        <w:rPr>
          <w:rStyle w:val="FootnoteReference"/>
          <w:rFonts w:ascii="New times roman" w:hAnsi="New times roman"/>
        </w:rPr>
        <w:footnoteRef/>
      </w:r>
      <w:r w:rsidRPr="006F0DFA">
        <w:rPr>
          <w:rFonts w:ascii="New times roman" w:hAnsi="New times roman"/>
        </w:rPr>
        <w:t xml:space="preserve"> </w:t>
      </w:r>
      <w:r w:rsidR="003A04ED" w:rsidRPr="006F0DFA">
        <w:rPr>
          <w:rFonts w:ascii="New times roman" w:hAnsi="New times roman"/>
        </w:rPr>
        <w:t xml:space="preserve">Georg Wilhelm Friedrich Hegel, J. N. Findlay, and Arnold V. Miller, </w:t>
      </w:r>
      <w:r w:rsidR="003A04ED" w:rsidRPr="006F0DFA">
        <w:rPr>
          <w:rFonts w:ascii="New times roman" w:hAnsi="New times roman"/>
          <w:i/>
          <w:iCs/>
        </w:rPr>
        <w:t>Phenomenology of Spirit</w:t>
      </w:r>
      <w:r w:rsidR="003A04ED" w:rsidRPr="006F0DFA">
        <w:rPr>
          <w:rFonts w:ascii="New times roman" w:hAnsi="New times roman"/>
        </w:rPr>
        <w:t xml:space="preserve"> </w:t>
      </w:r>
      <w:r w:rsidR="003A04ED" w:rsidRPr="006F0DFA">
        <w:rPr>
          <w:rFonts w:ascii="New times roman" w:hAnsi="New times roman"/>
        </w:rPr>
        <w:t>(Oxford: Clarendon Press, 1979), pp. 123-145.</w:t>
      </w:r>
    </w:p>
  </w:footnote>
  <w:footnote w:id="22">
    <w:p w14:paraId="43B43CF3" w14:textId="3CDBCC6F" w:rsidR="00604DE5" w:rsidRPr="006F0DFA" w:rsidRDefault="00604DE5">
      <w:pPr>
        <w:pStyle w:val="FootnoteText"/>
        <w:rPr>
          <w:rFonts w:ascii="New times roman" w:hAnsi="New times roman"/>
        </w:rPr>
      </w:pPr>
      <w:r w:rsidRPr="006F0DFA">
        <w:rPr>
          <w:rStyle w:val="FootnoteReference"/>
          <w:rFonts w:ascii="New times roman" w:hAnsi="New times roman"/>
        </w:rPr>
        <w:footnoteRef/>
      </w:r>
      <w:r w:rsidRPr="006F0DFA">
        <w:rPr>
          <w:rFonts w:ascii="New times roman" w:hAnsi="New times roman"/>
        </w:rPr>
        <w:t xml:space="preserve"> </w:t>
      </w:r>
      <w:r w:rsidR="00DB1919" w:rsidRPr="006F0DFA">
        <w:rPr>
          <w:rFonts w:ascii="New times roman" w:hAnsi="New times roman"/>
        </w:rPr>
        <w:t xml:space="preserve">Georg Wilhelm Friedrich Hegel, </w:t>
      </w:r>
      <w:r w:rsidR="00DB1919" w:rsidRPr="006F0DFA">
        <w:rPr>
          <w:rFonts w:ascii="New times roman" w:hAnsi="New times roman"/>
          <w:i/>
          <w:iCs/>
        </w:rPr>
        <w:t>The Philosophy of History</w:t>
      </w:r>
      <w:r w:rsidR="00DB1919" w:rsidRPr="006F0DFA">
        <w:rPr>
          <w:rFonts w:ascii="New times roman" w:hAnsi="New times roman"/>
        </w:rPr>
        <w:t>, trans. by J. N. Findlay (Chicago: William Benton, 1952), p. 45</w:t>
      </w:r>
    </w:p>
  </w:footnote>
  <w:footnote w:id="23">
    <w:p w14:paraId="1143E0AE" w14:textId="6BD1A0BC" w:rsidR="00E81243" w:rsidRPr="006F0DFA" w:rsidRDefault="00E81243" w:rsidP="00E81243">
      <w:pPr>
        <w:pStyle w:val="FootnoteText"/>
        <w:rPr>
          <w:rFonts w:ascii="New times roman" w:hAnsi="New times roman"/>
        </w:rPr>
      </w:pPr>
      <w:r w:rsidRPr="006F0DFA">
        <w:rPr>
          <w:rStyle w:val="FootnoteReference"/>
          <w:rFonts w:ascii="New times roman" w:hAnsi="New times roman"/>
        </w:rPr>
        <w:footnoteRef/>
      </w:r>
      <w:r w:rsidRPr="006F0DFA">
        <w:rPr>
          <w:rFonts w:ascii="New times roman" w:hAnsi="New times roman"/>
        </w:rPr>
        <w:t xml:space="preserve"> </w:t>
      </w:r>
      <w:r w:rsidR="001E05C8" w:rsidRPr="006F0DFA">
        <w:rPr>
          <w:rFonts w:ascii="New times roman" w:hAnsi="New times roman"/>
        </w:rPr>
        <w:t xml:space="preserve">Judith Butler, </w:t>
      </w:r>
      <w:r w:rsidR="001E05C8" w:rsidRPr="006F0DFA">
        <w:rPr>
          <w:rFonts w:ascii="New times roman" w:hAnsi="New times roman"/>
          <w:i/>
          <w:iCs/>
        </w:rPr>
        <w:t>Antigone's Claim: Kinship Between Life and Death</w:t>
      </w:r>
      <w:r w:rsidR="001E05C8" w:rsidRPr="006F0DFA">
        <w:rPr>
          <w:rFonts w:ascii="New times roman" w:hAnsi="New times roman"/>
        </w:rPr>
        <w:t xml:space="preserve"> (New York: Columbia University Press, 2000), p. 25.</w:t>
      </w:r>
    </w:p>
  </w:footnote>
  <w:footnote w:id="24">
    <w:p w14:paraId="740F1C32" w14:textId="16D78C02" w:rsidR="00E81243" w:rsidRPr="006F0DFA" w:rsidRDefault="00E81243" w:rsidP="00E81243">
      <w:pPr>
        <w:pStyle w:val="FootnoteText"/>
        <w:rPr>
          <w:rFonts w:ascii="New times roman" w:hAnsi="New times roman"/>
        </w:rPr>
      </w:pPr>
      <w:r w:rsidRPr="006F0DFA">
        <w:rPr>
          <w:rStyle w:val="FootnoteReference"/>
          <w:rFonts w:ascii="New times roman" w:hAnsi="New times roman"/>
        </w:rPr>
        <w:footnoteRef/>
      </w:r>
      <w:r w:rsidRPr="006F0DFA">
        <w:rPr>
          <w:rFonts w:ascii="New times roman" w:hAnsi="New times roman"/>
        </w:rPr>
        <w:t xml:space="preserve"> </w:t>
      </w:r>
      <w:r w:rsidR="0044664D" w:rsidRPr="006F0DFA">
        <w:rPr>
          <w:rFonts w:ascii="New times roman" w:hAnsi="New times roman"/>
        </w:rPr>
        <w:t xml:space="preserve">Simon Goldhill, </w:t>
      </w:r>
      <w:r w:rsidR="0044664D" w:rsidRPr="006F0DFA">
        <w:rPr>
          <w:rFonts w:ascii="New times roman" w:hAnsi="New times roman"/>
          <w:i/>
          <w:iCs/>
        </w:rPr>
        <w:t>Reading Greek Tragedy</w:t>
      </w:r>
      <w:r w:rsidR="0044664D" w:rsidRPr="006F0DFA">
        <w:rPr>
          <w:rFonts w:ascii="New times roman" w:hAnsi="New times roman"/>
        </w:rPr>
        <w:t xml:space="preserve"> (Cambridge: Cambridge University Press, 1986), p. 112.</w:t>
      </w:r>
    </w:p>
  </w:footnote>
  <w:footnote w:id="25">
    <w:p w14:paraId="02B991B8" w14:textId="065B1FA0" w:rsidR="00E81243" w:rsidRPr="006F0DFA" w:rsidRDefault="00E81243" w:rsidP="00E81243">
      <w:pPr>
        <w:pStyle w:val="FootnoteText"/>
        <w:rPr>
          <w:rFonts w:ascii="New times roman" w:hAnsi="New times roman"/>
        </w:rPr>
      </w:pPr>
      <w:r w:rsidRPr="006F0DFA">
        <w:rPr>
          <w:rStyle w:val="FootnoteReference"/>
          <w:rFonts w:ascii="New times roman" w:hAnsi="New times roman"/>
        </w:rPr>
        <w:footnoteRef/>
      </w:r>
      <w:r w:rsidR="00AC0AF9" w:rsidRPr="006F0DFA">
        <w:rPr>
          <w:rFonts w:ascii="New times roman" w:hAnsi="New times roman"/>
        </w:rPr>
        <w:t xml:space="preserve">David </w:t>
      </w:r>
      <w:proofErr w:type="spellStart"/>
      <w:r w:rsidR="00AC0AF9" w:rsidRPr="006F0DFA">
        <w:rPr>
          <w:rFonts w:ascii="New times roman" w:hAnsi="New times roman"/>
        </w:rPr>
        <w:t>Konstan</w:t>
      </w:r>
      <w:proofErr w:type="spellEnd"/>
      <w:r w:rsidR="00AC0AF9" w:rsidRPr="006F0DFA">
        <w:rPr>
          <w:rFonts w:ascii="New times roman" w:hAnsi="New times roman"/>
        </w:rPr>
        <w:t xml:space="preserve">, </w:t>
      </w:r>
      <w:r w:rsidR="00AC0AF9" w:rsidRPr="006F0DFA">
        <w:rPr>
          <w:rFonts w:ascii="New times roman" w:hAnsi="New times roman"/>
        </w:rPr>
        <w:t>‘</w:t>
      </w:r>
      <w:r w:rsidR="00AC0AF9" w:rsidRPr="006F0DFA">
        <w:rPr>
          <w:rFonts w:ascii="New times roman" w:hAnsi="New times roman"/>
        </w:rPr>
        <w:t>The Tragedy of Law: The Case of Antigone,</w:t>
      </w:r>
      <w:r w:rsidR="00AC0AF9" w:rsidRPr="006F0DFA">
        <w:rPr>
          <w:rFonts w:ascii="New times roman" w:hAnsi="New times roman"/>
        </w:rPr>
        <w:t>’</w:t>
      </w:r>
      <w:r w:rsidR="00AC0AF9" w:rsidRPr="006F0DFA">
        <w:rPr>
          <w:rFonts w:ascii="New times roman" w:hAnsi="New times roman"/>
        </w:rPr>
        <w:t xml:space="preserve"> in </w:t>
      </w:r>
      <w:r w:rsidR="00AC0AF9" w:rsidRPr="006F0DFA">
        <w:rPr>
          <w:rFonts w:ascii="New times roman" w:hAnsi="New times roman"/>
          <w:i/>
          <w:iCs/>
        </w:rPr>
        <w:t>The Classical World</w:t>
      </w:r>
      <w:r w:rsidR="00AC0AF9" w:rsidRPr="006F0DFA">
        <w:rPr>
          <w:rFonts w:ascii="New times roman" w:hAnsi="New times roman"/>
        </w:rPr>
        <w:t xml:space="preserve"> 98, no. 2 (2004): 145-156.</w:t>
      </w:r>
      <w:r w:rsidRPr="006F0DFA">
        <w:rPr>
          <w:rFonts w:ascii="New times roman" w:hAnsi="New times roman"/>
        </w:rPr>
        <w:t xml:space="preserve"> </w:t>
      </w:r>
    </w:p>
  </w:footnote>
  <w:footnote w:id="26">
    <w:p w14:paraId="6BDE2513" w14:textId="07E45C56" w:rsidR="004D6B89" w:rsidRPr="006F0DFA" w:rsidRDefault="004D6B89">
      <w:pPr>
        <w:pStyle w:val="FootnoteText"/>
        <w:rPr>
          <w:rFonts w:ascii="New times roman" w:hAnsi="New times roman"/>
        </w:rPr>
      </w:pPr>
      <w:r w:rsidRPr="006F0DFA">
        <w:rPr>
          <w:rStyle w:val="FootnoteReference"/>
          <w:rFonts w:ascii="New times roman" w:hAnsi="New times roman"/>
        </w:rPr>
        <w:footnoteRef/>
      </w:r>
      <w:r w:rsidRPr="006F0DFA">
        <w:rPr>
          <w:rFonts w:ascii="New times roman" w:hAnsi="New times roman"/>
        </w:rPr>
        <w:t xml:space="preserve"> </w:t>
      </w:r>
      <w:r w:rsidR="007F2F3A" w:rsidRPr="006F0DFA">
        <w:rPr>
          <w:rFonts w:ascii="New times roman" w:hAnsi="New times roman"/>
        </w:rPr>
        <w:t xml:space="preserve">Hélène Cixous, 'The Laugh of the Medusa', </w:t>
      </w:r>
      <w:r w:rsidR="007F2F3A" w:rsidRPr="006F0DFA">
        <w:rPr>
          <w:rFonts w:ascii="New times roman" w:hAnsi="New times roman"/>
          <w:i/>
          <w:iCs/>
        </w:rPr>
        <w:t>Signs: Journal of Women in Culture and Society</w:t>
      </w:r>
      <w:r w:rsidR="007F2F3A" w:rsidRPr="006F0DFA">
        <w:rPr>
          <w:rFonts w:ascii="New times roman" w:hAnsi="New times roman"/>
        </w:rPr>
        <w:t>, 1.4 (1976), 875-893.</w:t>
      </w:r>
    </w:p>
  </w:footnote>
  <w:footnote w:id="27">
    <w:p w14:paraId="1F24166C" w14:textId="451311C6" w:rsidR="009708E8" w:rsidRPr="006F0DFA" w:rsidRDefault="009708E8">
      <w:pPr>
        <w:pStyle w:val="FootnoteText"/>
        <w:rPr>
          <w:rFonts w:ascii="New times roman" w:hAnsi="New times roman"/>
        </w:rPr>
      </w:pPr>
      <w:r w:rsidRPr="006F0DFA">
        <w:rPr>
          <w:rStyle w:val="FootnoteReference"/>
          <w:rFonts w:ascii="New times roman" w:hAnsi="New times roman"/>
        </w:rPr>
        <w:footnoteRef/>
      </w:r>
      <w:r w:rsidRPr="006F0DFA">
        <w:rPr>
          <w:rFonts w:ascii="New times roman" w:hAnsi="New times roman"/>
        </w:rPr>
        <w:t xml:space="preserve"> </w:t>
      </w:r>
      <w:r w:rsidR="00BF729C" w:rsidRPr="006F0DFA">
        <w:rPr>
          <w:rFonts w:ascii="New times roman" w:hAnsi="New times roman"/>
        </w:rPr>
        <w:t xml:space="preserve">Bernard Knox, </w:t>
      </w:r>
      <w:r w:rsidR="00BF729C" w:rsidRPr="006F0DFA">
        <w:rPr>
          <w:rFonts w:ascii="New times roman" w:hAnsi="New times roman"/>
          <w:i/>
          <w:iCs/>
        </w:rPr>
        <w:t>The Heroic Temper: Studies in Sophoclean Tragedy</w:t>
      </w:r>
      <w:r w:rsidR="00BF729C" w:rsidRPr="006F0DFA">
        <w:rPr>
          <w:rFonts w:ascii="New times roman" w:hAnsi="New times roman"/>
        </w:rPr>
        <w:t xml:space="preserve"> (Princeton: Princeton University Press, 1964).</w:t>
      </w:r>
    </w:p>
  </w:footnote>
  <w:footnote w:id="28">
    <w:p w14:paraId="66F9394B" w14:textId="6A9E2C7B" w:rsidR="00E76B07" w:rsidRPr="006F0DFA" w:rsidRDefault="00E76B07">
      <w:pPr>
        <w:pStyle w:val="FootnoteText"/>
        <w:rPr>
          <w:rFonts w:ascii="New times roman" w:hAnsi="New times roman"/>
        </w:rPr>
      </w:pPr>
      <w:r w:rsidRPr="006F0DFA">
        <w:rPr>
          <w:rStyle w:val="FootnoteReference"/>
          <w:rFonts w:ascii="New times roman" w:hAnsi="New times roman"/>
        </w:rPr>
        <w:footnoteRef/>
      </w:r>
      <w:r w:rsidRPr="006F0DFA">
        <w:rPr>
          <w:rFonts w:ascii="New times roman" w:hAnsi="New times roman"/>
        </w:rPr>
        <w:t xml:space="preserve"> </w:t>
      </w:r>
      <w:r w:rsidR="006E0282" w:rsidRPr="006F0DFA">
        <w:rPr>
          <w:rFonts w:ascii="New times roman" w:hAnsi="New times roman"/>
        </w:rPr>
        <w:t xml:space="preserve">Henry David Thoreau, </w:t>
      </w:r>
      <w:r w:rsidR="006E0282" w:rsidRPr="006F0DFA">
        <w:rPr>
          <w:rFonts w:ascii="New times roman" w:hAnsi="New times roman"/>
          <w:i/>
          <w:iCs/>
        </w:rPr>
        <w:t>Civil Disobedience</w:t>
      </w:r>
      <w:r w:rsidR="006E0282" w:rsidRPr="006F0DFA">
        <w:rPr>
          <w:rFonts w:ascii="New times roman" w:hAnsi="New times roman"/>
        </w:rPr>
        <w:t xml:space="preserve"> (Dover Publications, 1996).</w:t>
      </w:r>
    </w:p>
  </w:footnote>
  <w:footnote w:id="29">
    <w:p w14:paraId="6FA421D4" w14:textId="4AA54A52" w:rsidR="00094342" w:rsidRDefault="00094342">
      <w:pPr>
        <w:pStyle w:val="FootnoteText"/>
      </w:pPr>
      <w:r w:rsidRPr="006F0DFA">
        <w:rPr>
          <w:rStyle w:val="FootnoteReference"/>
          <w:rFonts w:ascii="New times roman" w:hAnsi="New times roman"/>
        </w:rPr>
        <w:footnoteRef/>
      </w:r>
      <w:r w:rsidRPr="006F0DFA">
        <w:rPr>
          <w:rFonts w:ascii="New times roman" w:hAnsi="New times roman"/>
        </w:rPr>
        <w:t xml:space="preserve"> </w:t>
      </w:r>
      <w:r w:rsidR="001D2886" w:rsidRPr="006F0DFA">
        <w:rPr>
          <w:rFonts w:ascii="New times roman" w:hAnsi="New times roman"/>
        </w:rPr>
        <w:t xml:space="preserve">David Greene, </w:t>
      </w:r>
      <w:r w:rsidR="001D2886" w:rsidRPr="006F0DFA">
        <w:rPr>
          <w:rFonts w:ascii="New times roman" w:hAnsi="New times roman"/>
          <w:i/>
          <w:iCs/>
        </w:rPr>
        <w:t>The Antigone of Sophocles</w:t>
      </w:r>
      <w:r w:rsidR="001D2886" w:rsidRPr="006F0DFA">
        <w:rPr>
          <w:rFonts w:ascii="New times roman" w:hAnsi="New times roman"/>
        </w:rPr>
        <w:t xml:space="preserve"> </w:t>
      </w:r>
      <w:r w:rsidR="001D2886" w:rsidRPr="006F0DFA">
        <w:rPr>
          <w:rFonts w:ascii="New times roman" w:hAnsi="New times roman"/>
        </w:rPr>
        <w:t>(Berkeley: University of California Press, 1980</w:t>
      </w:r>
      <w:r w:rsidR="001D2886" w:rsidRPr="001D2886">
        <w:t>).</w:t>
      </w:r>
    </w:p>
  </w:footnote>
  <w:footnote w:id="30">
    <w:p w14:paraId="79E77857" w14:textId="74930B4F" w:rsidR="00B15D05" w:rsidRPr="006F0DFA" w:rsidRDefault="00B15D05">
      <w:pPr>
        <w:pStyle w:val="FootnoteText"/>
        <w:rPr>
          <w:rFonts w:ascii="New times roman" w:hAnsi="New times roman"/>
        </w:rPr>
      </w:pPr>
      <w:r w:rsidRPr="006F0DFA">
        <w:rPr>
          <w:rStyle w:val="FootnoteReference"/>
          <w:rFonts w:ascii="New times roman" w:hAnsi="New times roman"/>
        </w:rPr>
        <w:footnoteRef/>
      </w:r>
      <w:r w:rsidRPr="006F0DFA">
        <w:rPr>
          <w:rFonts w:ascii="New times roman" w:hAnsi="New times roman"/>
        </w:rPr>
        <w:t xml:space="preserve"> </w:t>
      </w:r>
      <w:r w:rsidR="005A16B5" w:rsidRPr="006F0DFA">
        <w:rPr>
          <w:rFonts w:ascii="New times roman" w:hAnsi="New times roman"/>
        </w:rPr>
        <w:t>J</w:t>
      </w:r>
      <w:r w:rsidR="005A16B5" w:rsidRPr="006F0DFA">
        <w:rPr>
          <w:rFonts w:ascii="New times roman" w:hAnsi="New times roman"/>
        </w:rPr>
        <w:t xml:space="preserve">ohn D. McGowan, </w:t>
      </w:r>
      <w:r w:rsidR="005A16B5" w:rsidRPr="006F0DFA">
        <w:rPr>
          <w:rFonts w:ascii="New times roman" w:hAnsi="New times roman"/>
        </w:rPr>
        <w:t>‘</w:t>
      </w:r>
      <w:r w:rsidR="005A16B5" w:rsidRPr="006F0DFA">
        <w:rPr>
          <w:rFonts w:ascii="New times roman" w:hAnsi="New times roman"/>
          <w:i/>
          <w:iCs/>
        </w:rPr>
        <w:t>Creon’s Tragic Flaw: Hubris and the Consequences of Power</w:t>
      </w:r>
      <w:r w:rsidR="005A16B5" w:rsidRPr="006F0DFA">
        <w:rPr>
          <w:rFonts w:ascii="New times roman" w:hAnsi="New times roman"/>
        </w:rPr>
        <w:t>,</w:t>
      </w:r>
      <w:r w:rsidR="005A16B5" w:rsidRPr="006F0DFA">
        <w:rPr>
          <w:rFonts w:ascii="New times roman" w:hAnsi="New times roman"/>
        </w:rPr>
        <w:t>’</w:t>
      </w:r>
      <w:r w:rsidR="005A16B5" w:rsidRPr="006F0DFA">
        <w:rPr>
          <w:rFonts w:ascii="New times roman" w:hAnsi="New times roman"/>
        </w:rPr>
        <w:t xml:space="preserve"> </w:t>
      </w:r>
      <w:r w:rsidR="005A16B5" w:rsidRPr="006F0DFA">
        <w:rPr>
          <w:rFonts w:ascii="New times roman" w:hAnsi="New times roman"/>
          <w:i/>
          <w:iCs/>
        </w:rPr>
        <w:t>The Classical Journal</w:t>
      </w:r>
      <w:r w:rsidR="005A16B5" w:rsidRPr="006F0DFA">
        <w:rPr>
          <w:rFonts w:ascii="New times roman" w:hAnsi="New times roman"/>
        </w:rPr>
        <w:t xml:space="preserve"> (2015).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243"/>
    <w:rsid w:val="0004061F"/>
    <w:rsid w:val="0005166B"/>
    <w:rsid w:val="000624AF"/>
    <w:rsid w:val="00064B49"/>
    <w:rsid w:val="0008646A"/>
    <w:rsid w:val="00094342"/>
    <w:rsid w:val="000F7BEC"/>
    <w:rsid w:val="00133991"/>
    <w:rsid w:val="00150E07"/>
    <w:rsid w:val="00160185"/>
    <w:rsid w:val="00173914"/>
    <w:rsid w:val="001868E9"/>
    <w:rsid w:val="00190080"/>
    <w:rsid w:val="001D2886"/>
    <w:rsid w:val="001E05C8"/>
    <w:rsid w:val="001F207C"/>
    <w:rsid w:val="00200DCE"/>
    <w:rsid w:val="002528C8"/>
    <w:rsid w:val="002637C6"/>
    <w:rsid w:val="00277800"/>
    <w:rsid w:val="00295C6D"/>
    <w:rsid w:val="002961FD"/>
    <w:rsid w:val="002B5819"/>
    <w:rsid w:val="002D68E5"/>
    <w:rsid w:val="003066C0"/>
    <w:rsid w:val="00313567"/>
    <w:rsid w:val="00322848"/>
    <w:rsid w:val="00323BA7"/>
    <w:rsid w:val="00336BB0"/>
    <w:rsid w:val="003641B1"/>
    <w:rsid w:val="00384951"/>
    <w:rsid w:val="003933D7"/>
    <w:rsid w:val="003A04ED"/>
    <w:rsid w:val="003C6219"/>
    <w:rsid w:val="003E49CD"/>
    <w:rsid w:val="004004BF"/>
    <w:rsid w:val="00401BAF"/>
    <w:rsid w:val="00420A93"/>
    <w:rsid w:val="00437E75"/>
    <w:rsid w:val="0044664D"/>
    <w:rsid w:val="004645A8"/>
    <w:rsid w:val="004B2B91"/>
    <w:rsid w:val="004D6B89"/>
    <w:rsid w:val="004E2B9D"/>
    <w:rsid w:val="004E69D5"/>
    <w:rsid w:val="00532539"/>
    <w:rsid w:val="00534A25"/>
    <w:rsid w:val="00547038"/>
    <w:rsid w:val="00547C96"/>
    <w:rsid w:val="005812C4"/>
    <w:rsid w:val="005A16B5"/>
    <w:rsid w:val="005A6ED5"/>
    <w:rsid w:val="005B2012"/>
    <w:rsid w:val="005C6F7A"/>
    <w:rsid w:val="005C7CFB"/>
    <w:rsid w:val="005C7E5B"/>
    <w:rsid w:val="00604DE5"/>
    <w:rsid w:val="006601E3"/>
    <w:rsid w:val="00672BD3"/>
    <w:rsid w:val="00691B3E"/>
    <w:rsid w:val="00695D1D"/>
    <w:rsid w:val="006A12C1"/>
    <w:rsid w:val="006B24AA"/>
    <w:rsid w:val="006C310F"/>
    <w:rsid w:val="006E0282"/>
    <w:rsid w:val="006F0DFA"/>
    <w:rsid w:val="00726DC2"/>
    <w:rsid w:val="0075652E"/>
    <w:rsid w:val="0076733B"/>
    <w:rsid w:val="007737C6"/>
    <w:rsid w:val="00786731"/>
    <w:rsid w:val="007B5D6A"/>
    <w:rsid w:val="007B6CF7"/>
    <w:rsid w:val="007C7D6C"/>
    <w:rsid w:val="007F2F3A"/>
    <w:rsid w:val="00807C53"/>
    <w:rsid w:val="00834548"/>
    <w:rsid w:val="00837EDA"/>
    <w:rsid w:val="00840622"/>
    <w:rsid w:val="00884AEA"/>
    <w:rsid w:val="00895464"/>
    <w:rsid w:val="008A3F37"/>
    <w:rsid w:val="008E5321"/>
    <w:rsid w:val="008F35D9"/>
    <w:rsid w:val="00904EC5"/>
    <w:rsid w:val="009114B0"/>
    <w:rsid w:val="00927470"/>
    <w:rsid w:val="00950439"/>
    <w:rsid w:val="009708E8"/>
    <w:rsid w:val="0097297B"/>
    <w:rsid w:val="0098739E"/>
    <w:rsid w:val="009B0064"/>
    <w:rsid w:val="009F2158"/>
    <w:rsid w:val="009F2B1E"/>
    <w:rsid w:val="00A0119F"/>
    <w:rsid w:val="00A33A9A"/>
    <w:rsid w:val="00A35983"/>
    <w:rsid w:val="00A6678A"/>
    <w:rsid w:val="00AB0756"/>
    <w:rsid w:val="00AB5D3A"/>
    <w:rsid w:val="00AC0AF9"/>
    <w:rsid w:val="00AF4B2A"/>
    <w:rsid w:val="00B15D05"/>
    <w:rsid w:val="00B22F94"/>
    <w:rsid w:val="00B72740"/>
    <w:rsid w:val="00B96DB9"/>
    <w:rsid w:val="00BF729C"/>
    <w:rsid w:val="00C07595"/>
    <w:rsid w:val="00C415DF"/>
    <w:rsid w:val="00C71964"/>
    <w:rsid w:val="00C745B2"/>
    <w:rsid w:val="00C74890"/>
    <w:rsid w:val="00C869A2"/>
    <w:rsid w:val="00CA7479"/>
    <w:rsid w:val="00CB3BDE"/>
    <w:rsid w:val="00CD0CAC"/>
    <w:rsid w:val="00CD21A6"/>
    <w:rsid w:val="00D35F72"/>
    <w:rsid w:val="00D52969"/>
    <w:rsid w:val="00D66821"/>
    <w:rsid w:val="00D87657"/>
    <w:rsid w:val="00DB1919"/>
    <w:rsid w:val="00DE04C8"/>
    <w:rsid w:val="00E0034F"/>
    <w:rsid w:val="00E016CE"/>
    <w:rsid w:val="00E66B2A"/>
    <w:rsid w:val="00E76B07"/>
    <w:rsid w:val="00E81243"/>
    <w:rsid w:val="00E90BC9"/>
    <w:rsid w:val="00E961CE"/>
    <w:rsid w:val="00EE6D18"/>
    <w:rsid w:val="00F11E27"/>
    <w:rsid w:val="00F52DAF"/>
    <w:rsid w:val="00F952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F7410"/>
  <w15:chartTrackingRefBased/>
  <w15:docId w15:val="{5317174D-C4F0-4C20-86EC-E1D76BB72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1243"/>
  </w:style>
  <w:style w:type="paragraph" w:styleId="Heading1">
    <w:name w:val="heading 1"/>
    <w:basedOn w:val="Normal"/>
    <w:next w:val="Normal"/>
    <w:link w:val="Heading1Char"/>
    <w:uiPriority w:val="9"/>
    <w:qFormat/>
    <w:rsid w:val="00E812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12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12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12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12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12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12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12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12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12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12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12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12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12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12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12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12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1243"/>
    <w:rPr>
      <w:rFonts w:eastAsiaTheme="majorEastAsia" w:cstheme="majorBidi"/>
      <w:color w:val="272727" w:themeColor="text1" w:themeTint="D8"/>
    </w:rPr>
  </w:style>
  <w:style w:type="paragraph" w:styleId="Title">
    <w:name w:val="Title"/>
    <w:basedOn w:val="Normal"/>
    <w:next w:val="Normal"/>
    <w:link w:val="TitleChar"/>
    <w:uiPriority w:val="10"/>
    <w:qFormat/>
    <w:rsid w:val="00E812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12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12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12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1243"/>
    <w:pPr>
      <w:spacing w:before="160"/>
      <w:jc w:val="center"/>
    </w:pPr>
    <w:rPr>
      <w:i/>
      <w:iCs/>
      <w:color w:val="404040" w:themeColor="text1" w:themeTint="BF"/>
    </w:rPr>
  </w:style>
  <w:style w:type="character" w:customStyle="1" w:styleId="QuoteChar">
    <w:name w:val="Quote Char"/>
    <w:basedOn w:val="DefaultParagraphFont"/>
    <w:link w:val="Quote"/>
    <w:uiPriority w:val="29"/>
    <w:rsid w:val="00E81243"/>
    <w:rPr>
      <w:i/>
      <w:iCs/>
      <w:color w:val="404040" w:themeColor="text1" w:themeTint="BF"/>
    </w:rPr>
  </w:style>
  <w:style w:type="paragraph" w:styleId="ListParagraph">
    <w:name w:val="List Paragraph"/>
    <w:basedOn w:val="Normal"/>
    <w:uiPriority w:val="34"/>
    <w:qFormat/>
    <w:rsid w:val="00E81243"/>
    <w:pPr>
      <w:ind w:left="720"/>
      <w:contextualSpacing/>
    </w:pPr>
  </w:style>
  <w:style w:type="character" w:styleId="IntenseEmphasis">
    <w:name w:val="Intense Emphasis"/>
    <w:basedOn w:val="DefaultParagraphFont"/>
    <w:uiPriority w:val="21"/>
    <w:qFormat/>
    <w:rsid w:val="00E81243"/>
    <w:rPr>
      <w:i/>
      <w:iCs/>
      <w:color w:val="0F4761" w:themeColor="accent1" w:themeShade="BF"/>
    </w:rPr>
  </w:style>
  <w:style w:type="paragraph" w:styleId="IntenseQuote">
    <w:name w:val="Intense Quote"/>
    <w:basedOn w:val="Normal"/>
    <w:next w:val="Normal"/>
    <w:link w:val="IntenseQuoteChar"/>
    <w:uiPriority w:val="30"/>
    <w:qFormat/>
    <w:rsid w:val="00E812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1243"/>
    <w:rPr>
      <w:i/>
      <w:iCs/>
      <w:color w:val="0F4761" w:themeColor="accent1" w:themeShade="BF"/>
    </w:rPr>
  </w:style>
  <w:style w:type="character" w:styleId="IntenseReference">
    <w:name w:val="Intense Reference"/>
    <w:basedOn w:val="DefaultParagraphFont"/>
    <w:uiPriority w:val="32"/>
    <w:qFormat/>
    <w:rsid w:val="00E81243"/>
    <w:rPr>
      <w:b/>
      <w:bCs/>
      <w:smallCaps/>
      <w:color w:val="0F4761" w:themeColor="accent1" w:themeShade="BF"/>
      <w:spacing w:val="5"/>
    </w:rPr>
  </w:style>
  <w:style w:type="paragraph" w:styleId="FootnoteText">
    <w:name w:val="footnote text"/>
    <w:basedOn w:val="Normal"/>
    <w:link w:val="FootnoteTextChar"/>
    <w:uiPriority w:val="99"/>
    <w:semiHidden/>
    <w:unhideWhenUsed/>
    <w:rsid w:val="00E8124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81243"/>
    <w:rPr>
      <w:sz w:val="20"/>
      <w:szCs w:val="20"/>
    </w:rPr>
  </w:style>
  <w:style w:type="character" w:styleId="FootnoteReference">
    <w:name w:val="footnote reference"/>
    <w:basedOn w:val="DefaultParagraphFont"/>
    <w:uiPriority w:val="99"/>
    <w:semiHidden/>
    <w:unhideWhenUsed/>
    <w:rsid w:val="00E81243"/>
    <w:rPr>
      <w:vertAlign w:val="superscript"/>
    </w:rPr>
  </w:style>
  <w:style w:type="character" w:styleId="Hyperlink">
    <w:name w:val="Hyperlink"/>
    <w:basedOn w:val="DefaultParagraphFont"/>
    <w:uiPriority w:val="99"/>
    <w:unhideWhenUsed/>
    <w:rsid w:val="008A3F37"/>
    <w:rPr>
      <w:color w:val="467886" w:themeColor="hyperlink"/>
      <w:u w:val="single"/>
    </w:rPr>
  </w:style>
  <w:style w:type="character" w:styleId="UnresolvedMention">
    <w:name w:val="Unresolved Mention"/>
    <w:basedOn w:val="DefaultParagraphFont"/>
    <w:uiPriority w:val="99"/>
    <w:semiHidden/>
    <w:unhideWhenUsed/>
    <w:rsid w:val="008A3F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10.5325/classphil.113.3.0245"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353/lit.2018.0019"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jstor.org/stable/10.1017/jhs.2017.3" TargetMode="External"/><Relationship Id="rId5" Type="http://schemas.openxmlformats.org/officeDocument/2006/relationships/footnotes" Target="footnotes.xml"/><Relationship Id="rId10" Type="http://schemas.openxmlformats.org/officeDocument/2006/relationships/hyperlink" Target="https://plato.stanford.edu/entries/sophocles/" TargetMode="External"/><Relationship Id="rId4" Type="http://schemas.openxmlformats.org/officeDocument/2006/relationships/webSettings" Target="webSettings.xml"/><Relationship Id="rId9" Type="http://schemas.openxmlformats.org/officeDocument/2006/relationships/hyperlink" Target="https://www.jstor.org/stable/329646"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plato.stanford.edu/entries/sophocles/" TargetMode="External"/><Relationship Id="rId2" Type="http://schemas.openxmlformats.org/officeDocument/2006/relationships/hyperlink" Target="https://www.jstor.org/stable/329646" TargetMode="External"/><Relationship Id="rId1" Type="http://schemas.openxmlformats.org/officeDocument/2006/relationships/hyperlink" Target="https://doi.org/10.2307/1086704" TargetMode="External"/><Relationship Id="rId6" Type="http://schemas.openxmlformats.org/officeDocument/2006/relationships/hyperlink" Target="https://www.jstor.org/stable/10.1017/jhs.2017.3" TargetMode="External"/><Relationship Id="rId5" Type="http://schemas.openxmlformats.org/officeDocument/2006/relationships/hyperlink" Target="https://www.jstor.org/stable/10.5325/classphil.113.3.0245" TargetMode="External"/><Relationship Id="rId4" Type="http://schemas.openxmlformats.org/officeDocument/2006/relationships/hyperlink" Target="https://doi.org/10.1353/lit.2018.00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060CAD-B255-4ACE-A6CC-82B4724646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3369</Words>
  <Characters>19209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Moore</dc:creator>
  <cp:keywords/>
  <dc:description/>
  <cp:lastModifiedBy>Charlotte Moore</cp:lastModifiedBy>
  <cp:revision>2</cp:revision>
  <dcterms:created xsi:type="dcterms:W3CDTF">2025-01-11T21:03:00Z</dcterms:created>
  <dcterms:modified xsi:type="dcterms:W3CDTF">2025-01-11T21:03:00Z</dcterms:modified>
</cp:coreProperties>
</file>