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467F3BD">
      <w:pPr>
        <w:spacing w:before="100" w:beforeAutospacing="1" w:after="100" w:afterAutospacing="1" w:line="360" w:lineRule="auto"/>
        <w:ind w:left="5040"/>
        <w:jc w:val="both"/>
        <w:outlineLvl w:val="1"/>
        <w:rPr>
          <w:rFonts w:ascii="Arial" w:hAnsi="Arial" w:eastAsia="Times New Roman" w:cs="Arial"/>
          <w:b/>
          <w:bCs/>
        </w:rPr>
      </w:pPr>
      <w:r>
        <w:rPr>
          <w:rFonts w:ascii="Arial" w:hAnsi="Arial" w:eastAsia="Times New Roman" w:cs="Arial"/>
          <w:b/>
          <w:bCs/>
        </w:rPr>
        <w:drawing>
          <wp:inline distT="0" distB="0" distL="0" distR="0">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792095" cy="1158240"/>
                    </a:xfrm>
                    <a:prstGeom prst="rect">
                      <a:avLst/>
                    </a:prstGeom>
                    <a:noFill/>
                  </pic:spPr>
                </pic:pic>
              </a:graphicData>
            </a:graphic>
          </wp:inline>
        </w:drawing>
      </w:r>
    </w:p>
    <w:tbl>
      <w:tblPr>
        <w:tblStyle w:val="6"/>
        <w:tblW w:w="0" w:type="auto"/>
        <w:jc w:val="center"/>
        <w:tblBorders>
          <w:top w:val="single" w:color="auto" w:sz="18" w:space="0"/>
          <w:left w:val="single" w:color="auto" w:sz="18" w:space="0"/>
          <w:bottom w:val="single" w:color="auto" w:sz="18" w:space="0"/>
          <w:right w:val="single" w:color="auto" w:sz="18" w:space="0"/>
          <w:insideH w:val="single" w:color="auto" w:sz="6" w:space="0"/>
          <w:insideV w:val="single" w:color="auto" w:sz="6" w:space="0"/>
        </w:tblBorders>
        <w:tblLayout w:type="autofit"/>
        <w:tblCellMar>
          <w:top w:w="0" w:type="dxa"/>
          <w:left w:w="108" w:type="dxa"/>
          <w:bottom w:w="0" w:type="dxa"/>
          <w:right w:w="108" w:type="dxa"/>
        </w:tblCellMar>
      </w:tblPr>
      <w:tblGrid>
        <w:gridCol w:w="2282"/>
        <w:gridCol w:w="5825"/>
      </w:tblGrid>
      <w:tr w14:paraId="69DE67BF">
        <w:tblPrEx>
          <w:tblBorders>
            <w:top w:val="single" w:color="auto" w:sz="18" w:space="0"/>
            <w:left w:val="single" w:color="auto" w:sz="18" w:space="0"/>
            <w:bottom w:val="single" w:color="auto" w:sz="18" w:space="0"/>
            <w:right w:val="single" w:color="auto" w:sz="18" w:space="0"/>
            <w:insideH w:val="single" w:color="auto" w:sz="6" w:space="0"/>
            <w:insideV w:val="single" w:color="auto" w:sz="6" w:space="0"/>
          </w:tblBorders>
          <w:tblCellMar>
            <w:top w:w="0" w:type="dxa"/>
            <w:left w:w="108" w:type="dxa"/>
            <w:bottom w:w="0" w:type="dxa"/>
            <w:right w:w="108" w:type="dxa"/>
          </w:tblCellMar>
        </w:tblPrEx>
        <w:trPr>
          <w:trHeight w:val="179" w:hRule="atLeast"/>
          <w:jc w:val="center"/>
        </w:trPr>
        <w:tc>
          <w:tcPr>
            <w:tcW w:w="0" w:type="auto"/>
          </w:tcPr>
          <w:p w14:paraId="4C54EBFF">
            <w:pPr>
              <w:spacing w:after="0" w:line="360" w:lineRule="auto"/>
              <w:jc w:val="both"/>
              <w:rPr>
                <w:rFonts w:ascii="Arial" w:hAnsi="Arial" w:cs="Arial"/>
                <w:b/>
                <w:bCs/>
              </w:rPr>
            </w:pPr>
            <w:r>
              <w:rPr>
                <w:rFonts w:ascii="Arial" w:hAnsi="Arial" w:cs="Arial"/>
                <w:b/>
                <w:bCs/>
              </w:rPr>
              <w:t>Student Name:</w:t>
            </w:r>
          </w:p>
        </w:tc>
        <w:tc>
          <w:tcPr>
            <w:tcW w:w="5825" w:type="dxa"/>
          </w:tcPr>
          <w:p w14:paraId="16C5AEBA">
            <w:pPr>
              <w:spacing w:after="0" w:line="360" w:lineRule="auto"/>
              <w:jc w:val="both"/>
              <w:rPr>
                <w:rFonts w:hint="default" w:ascii="Arial" w:hAnsi="Arial" w:cs="Arial"/>
                <w:bCs/>
                <w:lang w:val="en-GB"/>
              </w:rPr>
            </w:pPr>
            <w:r>
              <w:rPr>
                <w:rFonts w:hint="default" w:ascii="Arial" w:hAnsi="Arial" w:cs="Arial"/>
                <w:bCs/>
                <w:lang w:val="en-GB"/>
              </w:rPr>
              <w:t>DHARMINDER SINGH</w:t>
            </w:r>
          </w:p>
        </w:tc>
      </w:tr>
      <w:tr w14:paraId="2C5CFADC">
        <w:tblPrEx>
          <w:tblBorders>
            <w:top w:val="single" w:color="auto" w:sz="18" w:space="0"/>
            <w:left w:val="single" w:color="auto" w:sz="18" w:space="0"/>
            <w:bottom w:val="single" w:color="auto" w:sz="18" w:space="0"/>
            <w:right w:val="single" w:color="auto" w:sz="18" w:space="0"/>
            <w:insideH w:val="single" w:color="auto" w:sz="6" w:space="0"/>
            <w:insideV w:val="single" w:color="auto" w:sz="6" w:space="0"/>
          </w:tblBorders>
          <w:tblCellMar>
            <w:top w:w="0" w:type="dxa"/>
            <w:left w:w="108" w:type="dxa"/>
            <w:bottom w:w="0" w:type="dxa"/>
            <w:right w:w="108" w:type="dxa"/>
          </w:tblCellMar>
        </w:tblPrEx>
        <w:trPr>
          <w:jc w:val="center"/>
        </w:trPr>
        <w:tc>
          <w:tcPr>
            <w:tcW w:w="0" w:type="auto"/>
          </w:tcPr>
          <w:p w14:paraId="1E5CAAE2">
            <w:pPr>
              <w:spacing w:after="0" w:line="360" w:lineRule="auto"/>
              <w:jc w:val="both"/>
              <w:rPr>
                <w:rFonts w:ascii="Arial" w:hAnsi="Arial" w:cs="Arial"/>
              </w:rPr>
            </w:pPr>
            <w:r>
              <w:rPr>
                <w:rFonts w:ascii="Arial" w:hAnsi="Arial" w:cs="Arial"/>
                <w:b/>
                <w:bCs/>
              </w:rPr>
              <w:t>Student ID Number:</w:t>
            </w:r>
          </w:p>
        </w:tc>
        <w:tc>
          <w:tcPr>
            <w:tcW w:w="5825" w:type="dxa"/>
          </w:tcPr>
          <w:p w14:paraId="13FA7599">
            <w:pPr>
              <w:spacing w:after="0" w:line="360" w:lineRule="auto"/>
              <w:jc w:val="both"/>
              <w:rPr>
                <w:rFonts w:hint="default" w:ascii="Arial" w:hAnsi="Arial" w:cs="Arial"/>
                <w:lang w:val="en-GB"/>
              </w:rPr>
            </w:pPr>
            <w:r>
              <w:rPr>
                <w:rFonts w:hint="default" w:ascii="Arial" w:hAnsi="Arial" w:cs="Arial"/>
                <w:lang w:val="en-GB"/>
              </w:rPr>
              <w:t>2545374</w:t>
            </w:r>
          </w:p>
        </w:tc>
      </w:tr>
    </w:tbl>
    <w:p w14:paraId="607C4783">
      <w:pPr>
        <w:spacing w:before="100" w:beforeAutospacing="1" w:after="100" w:afterAutospacing="1" w:line="360" w:lineRule="auto"/>
        <w:jc w:val="both"/>
        <w:outlineLvl w:val="2"/>
        <w:rPr>
          <w:rFonts w:ascii="Arial" w:hAnsi="Arial" w:eastAsia="Times New Roman" w:cs="Arial"/>
          <w:b/>
          <w:bCs/>
        </w:rPr>
      </w:pPr>
    </w:p>
    <w:p w14:paraId="47010B9F">
      <w:pPr>
        <w:spacing w:before="100" w:beforeAutospacing="1" w:after="100" w:afterAutospacing="1" w:line="360" w:lineRule="auto"/>
        <w:jc w:val="both"/>
        <w:outlineLvl w:val="1"/>
        <w:rPr>
          <w:rFonts w:ascii="Arial" w:hAnsi="Arial" w:eastAsia="Times New Roman" w:cs="Arial"/>
          <w:b/>
          <w:bCs/>
        </w:rPr>
      </w:pPr>
    </w:p>
    <w:p w14:paraId="084EAEB6">
      <w:pPr>
        <w:spacing w:before="100" w:beforeAutospacing="1" w:after="100" w:afterAutospacing="1" w:line="360" w:lineRule="auto"/>
        <w:jc w:val="both"/>
        <w:outlineLvl w:val="1"/>
        <w:rPr>
          <w:rFonts w:ascii="Arial" w:hAnsi="Arial" w:eastAsia="Times New Roman" w:cs="Arial"/>
          <w:b/>
          <w:bCs/>
        </w:rPr>
      </w:pPr>
    </w:p>
    <w:p w14:paraId="2D7D6AA1">
      <w:pPr>
        <w:spacing w:before="100" w:beforeAutospacing="1" w:after="100" w:afterAutospacing="1" w:line="360" w:lineRule="auto"/>
        <w:jc w:val="both"/>
        <w:outlineLvl w:val="1"/>
        <w:rPr>
          <w:rFonts w:ascii="Arial" w:hAnsi="Arial" w:eastAsia="Times New Roman" w:cs="Arial"/>
          <w:b/>
          <w:bCs/>
        </w:rPr>
      </w:pPr>
    </w:p>
    <w:p w14:paraId="3F849FF0">
      <w:pPr>
        <w:spacing w:before="100" w:beforeAutospacing="1" w:after="100" w:afterAutospacing="1" w:line="360" w:lineRule="auto"/>
        <w:jc w:val="both"/>
        <w:outlineLvl w:val="1"/>
        <w:rPr>
          <w:rFonts w:ascii="Arial" w:hAnsi="Arial" w:eastAsia="Times New Roman" w:cs="Arial"/>
          <w:b/>
          <w:bCs/>
        </w:rPr>
      </w:pPr>
    </w:p>
    <w:p w14:paraId="67A36FCA">
      <w:pPr>
        <w:spacing w:before="100" w:beforeAutospacing="1" w:after="100" w:afterAutospacing="1" w:line="360" w:lineRule="auto"/>
        <w:jc w:val="both"/>
        <w:outlineLvl w:val="1"/>
        <w:rPr>
          <w:rFonts w:ascii="Arial" w:hAnsi="Arial" w:eastAsia="Times New Roman" w:cs="Arial"/>
          <w:b/>
          <w:bCs/>
        </w:rPr>
      </w:pPr>
    </w:p>
    <w:p w14:paraId="6FA3BFCD">
      <w:pPr>
        <w:spacing w:before="100" w:beforeAutospacing="1" w:after="100" w:afterAutospacing="1" w:line="360" w:lineRule="auto"/>
        <w:jc w:val="both"/>
        <w:outlineLvl w:val="1"/>
        <w:rPr>
          <w:rFonts w:ascii="Arial" w:hAnsi="Arial" w:eastAsia="Times New Roman" w:cs="Arial"/>
          <w:b/>
          <w:bCs/>
        </w:rPr>
      </w:pPr>
    </w:p>
    <w:p w14:paraId="7E8E20F6">
      <w:pPr>
        <w:spacing w:before="100" w:beforeAutospacing="1" w:after="100" w:afterAutospacing="1" w:line="360" w:lineRule="auto"/>
        <w:jc w:val="both"/>
        <w:outlineLvl w:val="1"/>
        <w:rPr>
          <w:rFonts w:ascii="Arial" w:hAnsi="Arial" w:eastAsia="Times New Roman" w:cs="Arial"/>
          <w:b/>
          <w:bCs/>
        </w:rPr>
      </w:pPr>
    </w:p>
    <w:p w14:paraId="16568730">
      <w:pPr>
        <w:spacing w:before="100" w:beforeAutospacing="1" w:after="100" w:afterAutospacing="1" w:line="360" w:lineRule="auto"/>
        <w:jc w:val="both"/>
        <w:outlineLvl w:val="1"/>
        <w:rPr>
          <w:rFonts w:ascii="Arial" w:hAnsi="Arial" w:eastAsia="Times New Roman" w:cs="Arial"/>
          <w:b/>
          <w:bCs/>
        </w:rPr>
      </w:pPr>
    </w:p>
    <w:p w14:paraId="0FE6055B">
      <w:pPr>
        <w:spacing w:before="100" w:beforeAutospacing="1" w:after="100" w:afterAutospacing="1" w:line="360" w:lineRule="auto"/>
        <w:jc w:val="both"/>
        <w:outlineLvl w:val="1"/>
        <w:rPr>
          <w:rFonts w:ascii="Arial" w:hAnsi="Arial" w:eastAsia="Times New Roman" w:cs="Arial"/>
          <w:b/>
          <w:bCs/>
        </w:rPr>
      </w:pPr>
    </w:p>
    <w:p w14:paraId="3E6D9089">
      <w:pPr>
        <w:spacing w:before="100" w:beforeAutospacing="1" w:after="100" w:afterAutospacing="1" w:line="360" w:lineRule="auto"/>
        <w:jc w:val="both"/>
        <w:outlineLvl w:val="1"/>
        <w:rPr>
          <w:rFonts w:ascii="Arial" w:hAnsi="Arial" w:eastAsia="Times New Roman" w:cs="Arial"/>
          <w:b/>
          <w:bCs/>
        </w:rPr>
      </w:pPr>
    </w:p>
    <w:p w14:paraId="6909FE79">
      <w:pPr>
        <w:spacing w:before="100" w:beforeAutospacing="1" w:after="100" w:afterAutospacing="1" w:line="360" w:lineRule="auto"/>
        <w:jc w:val="both"/>
        <w:outlineLvl w:val="1"/>
        <w:rPr>
          <w:rFonts w:ascii="Arial" w:hAnsi="Arial" w:eastAsia="Times New Roman" w:cs="Arial"/>
          <w:b/>
          <w:bCs/>
        </w:rPr>
      </w:pPr>
    </w:p>
    <w:p w14:paraId="725770FF">
      <w:pPr>
        <w:spacing w:before="100" w:beforeAutospacing="1" w:after="100" w:afterAutospacing="1" w:line="360" w:lineRule="auto"/>
        <w:jc w:val="both"/>
        <w:outlineLvl w:val="1"/>
        <w:rPr>
          <w:rFonts w:ascii="Arial" w:hAnsi="Arial" w:eastAsia="Times New Roman" w:cs="Arial"/>
          <w:b/>
          <w:bCs/>
        </w:rPr>
      </w:pPr>
    </w:p>
    <w:p w14:paraId="17C6BF33">
      <w:pPr>
        <w:spacing w:before="100" w:beforeAutospacing="1" w:after="100" w:afterAutospacing="1" w:line="360" w:lineRule="auto"/>
        <w:jc w:val="both"/>
        <w:outlineLvl w:val="1"/>
        <w:rPr>
          <w:rFonts w:ascii="Arial" w:hAnsi="Arial" w:eastAsia="Times New Roman" w:cs="Arial"/>
          <w:b/>
          <w:bCs/>
        </w:rPr>
      </w:pPr>
    </w:p>
    <w:p w14:paraId="6C55315E">
      <w:pPr>
        <w:spacing w:before="100" w:beforeAutospacing="1" w:after="100" w:afterAutospacing="1" w:line="360" w:lineRule="auto"/>
        <w:jc w:val="both"/>
        <w:outlineLvl w:val="1"/>
        <w:rPr>
          <w:rFonts w:ascii="Arial" w:hAnsi="Arial" w:eastAsia="Times New Roman" w:cs="Arial"/>
          <w:b/>
          <w:bCs/>
        </w:rPr>
      </w:pPr>
    </w:p>
    <w:p w14:paraId="4496A7AC">
      <w:pPr>
        <w:spacing w:before="100" w:beforeAutospacing="1" w:after="100" w:afterAutospacing="1" w:line="240" w:lineRule="auto"/>
        <w:outlineLvl w:val="0"/>
        <w:rPr>
          <w:rFonts w:ascii="Arial" w:hAnsi="Arial" w:eastAsia="Times New Roman" w:cs="Arial"/>
          <w:b/>
          <w:bCs/>
          <w:kern w:val="36"/>
          <w:sz w:val="24"/>
          <w:szCs w:val="24"/>
        </w:rPr>
      </w:pPr>
      <w:r>
        <w:rPr>
          <w:rFonts w:ascii="Arial" w:hAnsi="Arial" w:eastAsia="Times New Roman" w:cs="Arial"/>
          <w:b/>
          <w:bCs/>
          <w:kern w:val="36"/>
          <w:sz w:val="24"/>
          <w:szCs w:val="24"/>
        </w:rPr>
        <w:t>Table of Contents</w:t>
      </w:r>
    </w:p>
    <w:p w14:paraId="59283658">
      <w:pPr>
        <w:spacing w:before="100" w:beforeAutospacing="1" w:after="100" w:afterAutospacing="1" w:line="240" w:lineRule="auto"/>
        <w:ind w:left="360"/>
        <w:rPr>
          <w:rFonts w:ascii="Arial" w:hAnsi="Arial" w:eastAsia="Times New Roman" w:cs="Arial"/>
          <w:sz w:val="24"/>
          <w:szCs w:val="24"/>
        </w:rPr>
      </w:pPr>
      <w:r>
        <w:rPr>
          <w:rFonts w:ascii="Arial" w:hAnsi="Arial" w:eastAsia="Times New Roman" w:cs="Arial"/>
          <w:sz w:val="24"/>
          <w:szCs w:val="24"/>
        </w:rPr>
        <w:t>Introduction to the Research Paper and Topic Development .................................... 3</w:t>
      </w:r>
    </w:p>
    <w:p w14:paraId="18A56A7D">
      <w:pPr>
        <w:spacing w:before="100" w:beforeAutospacing="1" w:after="100" w:afterAutospacing="1" w:line="240" w:lineRule="auto"/>
        <w:ind w:left="360"/>
        <w:rPr>
          <w:rFonts w:ascii="Arial" w:hAnsi="Arial" w:eastAsia="Times New Roman" w:cs="Arial"/>
          <w:sz w:val="24"/>
          <w:szCs w:val="24"/>
        </w:rPr>
      </w:pPr>
      <w:r>
        <w:rPr>
          <w:rFonts w:ascii="Arial" w:hAnsi="Arial" w:eastAsia="Times New Roman" w:cs="Arial"/>
          <w:sz w:val="24"/>
          <w:szCs w:val="24"/>
        </w:rPr>
        <w:t>Understanding the Purpose and Research Question ................................................ 4</w:t>
      </w:r>
    </w:p>
    <w:p w14:paraId="7D63453F">
      <w:pPr>
        <w:spacing w:before="100" w:beforeAutospacing="1" w:after="100" w:afterAutospacing="1" w:line="240" w:lineRule="auto"/>
        <w:ind w:left="360"/>
        <w:rPr>
          <w:rFonts w:ascii="Arial" w:hAnsi="Arial" w:eastAsia="Times New Roman" w:cs="Arial"/>
          <w:sz w:val="24"/>
          <w:szCs w:val="24"/>
        </w:rPr>
      </w:pPr>
      <w:r>
        <w:rPr>
          <w:rFonts w:ascii="Arial" w:hAnsi="Arial" w:eastAsia="Times New Roman" w:cs="Arial"/>
          <w:sz w:val="24"/>
          <w:szCs w:val="24"/>
        </w:rPr>
        <w:t>Understanding the Research Methods ...................................................................... 4</w:t>
      </w:r>
    </w:p>
    <w:p w14:paraId="7F24F013">
      <w:pPr>
        <w:spacing w:before="100" w:beforeAutospacing="1" w:after="100" w:afterAutospacing="1" w:line="240" w:lineRule="auto"/>
        <w:ind w:left="360"/>
        <w:rPr>
          <w:rFonts w:ascii="Arial" w:hAnsi="Arial" w:eastAsia="Times New Roman" w:cs="Arial"/>
          <w:sz w:val="24"/>
          <w:szCs w:val="24"/>
        </w:rPr>
      </w:pPr>
      <w:r>
        <w:rPr>
          <w:rFonts w:ascii="Arial" w:hAnsi="Arial" w:eastAsia="Times New Roman" w:cs="Arial"/>
          <w:sz w:val="24"/>
          <w:szCs w:val="24"/>
        </w:rPr>
        <w:t>Conclusion ................................................................................................................. 6</w:t>
      </w:r>
    </w:p>
    <w:p w14:paraId="3235C532">
      <w:pPr>
        <w:spacing w:before="100" w:beforeAutospacing="1" w:after="100" w:afterAutospacing="1" w:line="240" w:lineRule="auto"/>
        <w:ind w:left="360"/>
        <w:rPr>
          <w:rFonts w:ascii="Arial" w:hAnsi="Arial" w:eastAsia="Times New Roman" w:cs="Arial"/>
          <w:sz w:val="24"/>
          <w:szCs w:val="24"/>
        </w:rPr>
      </w:pPr>
      <w:r>
        <w:rPr>
          <w:rFonts w:ascii="Arial" w:hAnsi="Arial" w:eastAsia="Times New Roman" w:cs="Arial"/>
          <w:sz w:val="24"/>
          <w:szCs w:val="24"/>
        </w:rPr>
        <w:t>References ................................................................................................................ 8</w:t>
      </w:r>
    </w:p>
    <w:p w14:paraId="5EAAAC74">
      <w:pPr>
        <w:spacing w:before="100" w:beforeAutospacing="1" w:after="100" w:afterAutospacing="1" w:line="360" w:lineRule="auto"/>
        <w:jc w:val="both"/>
        <w:outlineLvl w:val="1"/>
        <w:rPr>
          <w:rFonts w:ascii="Arial" w:hAnsi="Arial" w:eastAsia="Times New Roman" w:cs="Arial"/>
          <w:b/>
          <w:bCs/>
          <w:sz w:val="24"/>
          <w:szCs w:val="24"/>
        </w:rPr>
      </w:pPr>
    </w:p>
    <w:p w14:paraId="5D313DE4">
      <w:pPr>
        <w:spacing w:before="100" w:beforeAutospacing="1" w:after="100" w:afterAutospacing="1" w:line="360" w:lineRule="auto"/>
        <w:jc w:val="both"/>
        <w:outlineLvl w:val="1"/>
        <w:rPr>
          <w:rFonts w:ascii="Arial" w:hAnsi="Arial" w:eastAsia="Times New Roman" w:cs="Arial"/>
          <w:b/>
          <w:bCs/>
        </w:rPr>
      </w:pPr>
    </w:p>
    <w:p w14:paraId="6D29F324">
      <w:pPr>
        <w:spacing w:before="100" w:beforeAutospacing="1" w:after="100" w:afterAutospacing="1" w:line="360" w:lineRule="auto"/>
        <w:jc w:val="both"/>
        <w:outlineLvl w:val="1"/>
        <w:rPr>
          <w:rFonts w:ascii="Arial" w:hAnsi="Arial" w:eastAsia="Times New Roman" w:cs="Arial"/>
          <w:b/>
          <w:bCs/>
        </w:rPr>
      </w:pPr>
    </w:p>
    <w:p w14:paraId="4C4FCFCA">
      <w:pPr>
        <w:spacing w:before="100" w:beforeAutospacing="1" w:after="100" w:afterAutospacing="1" w:line="360" w:lineRule="auto"/>
        <w:jc w:val="both"/>
        <w:outlineLvl w:val="1"/>
        <w:rPr>
          <w:rFonts w:ascii="Arial" w:hAnsi="Arial" w:eastAsia="Times New Roman" w:cs="Arial"/>
          <w:b/>
          <w:bCs/>
        </w:rPr>
      </w:pPr>
    </w:p>
    <w:p w14:paraId="709D0FC8">
      <w:pPr>
        <w:spacing w:before="100" w:beforeAutospacing="1" w:after="100" w:afterAutospacing="1" w:line="360" w:lineRule="auto"/>
        <w:jc w:val="both"/>
        <w:outlineLvl w:val="1"/>
        <w:rPr>
          <w:rFonts w:ascii="Arial" w:hAnsi="Arial" w:eastAsia="Times New Roman" w:cs="Arial"/>
          <w:b/>
          <w:bCs/>
        </w:rPr>
      </w:pPr>
    </w:p>
    <w:p w14:paraId="380FA3C6">
      <w:pPr>
        <w:spacing w:before="100" w:beforeAutospacing="1" w:after="100" w:afterAutospacing="1" w:line="360" w:lineRule="auto"/>
        <w:jc w:val="both"/>
        <w:outlineLvl w:val="1"/>
        <w:rPr>
          <w:rFonts w:ascii="Arial" w:hAnsi="Arial" w:eastAsia="Times New Roman" w:cs="Arial"/>
          <w:b/>
          <w:bCs/>
        </w:rPr>
      </w:pPr>
    </w:p>
    <w:p w14:paraId="56AFA286">
      <w:pPr>
        <w:spacing w:before="100" w:beforeAutospacing="1" w:after="100" w:afterAutospacing="1" w:line="360" w:lineRule="auto"/>
        <w:jc w:val="both"/>
        <w:outlineLvl w:val="1"/>
        <w:rPr>
          <w:rFonts w:ascii="Arial" w:hAnsi="Arial" w:eastAsia="Times New Roman" w:cs="Arial"/>
          <w:b/>
          <w:bCs/>
        </w:rPr>
      </w:pPr>
    </w:p>
    <w:p w14:paraId="61ED1900">
      <w:pPr>
        <w:spacing w:before="100" w:beforeAutospacing="1" w:after="100" w:afterAutospacing="1" w:line="360" w:lineRule="auto"/>
        <w:jc w:val="both"/>
        <w:outlineLvl w:val="1"/>
        <w:rPr>
          <w:rFonts w:ascii="Arial" w:hAnsi="Arial" w:eastAsia="Times New Roman" w:cs="Arial"/>
          <w:b/>
          <w:bCs/>
        </w:rPr>
      </w:pPr>
    </w:p>
    <w:p w14:paraId="695E6EE2">
      <w:pPr>
        <w:spacing w:before="100" w:beforeAutospacing="1" w:after="100" w:afterAutospacing="1" w:line="360" w:lineRule="auto"/>
        <w:jc w:val="both"/>
        <w:outlineLvl w:val="1"/>
        <w:rPr>
          <w:rFonts w:ascii="Arial" w:hAnsi="Arial" w:eastAsia="Times New Roman" w:cs="Arial"/>
          <w:b/>
          <w:bCs/>
        </w:rPr>
      </w:pPr>
    </w:p>
    <w:p w14:paraId="10BDFAD0">
      <w:pPr>
        <w:spacing w:before="100" w:beforeAutospacing="1" w:after="100" w:afterAutospacing="1" w:line="360" w:lineRule="auto"/>
        <w:jc w:val="both"/>
        <w:outlineLvl w:val="1"/>
        <w:rPr>
          <w:rFonts w:ascii="Arial" w:hAnsi="Arial" w:eastAsia="Times New Roman" w:cs="Arial"/>
          <w:b/>
          <w:bCs/>
        </w:rPr>
      </w:pPr>
    </w:p>
    <w:p w14:paraId="1FB3288B">
      <w:pPr>
        <w:spacing w:before="100" w:beforeAutospacing="1" w:after="100" w:afterAutospacing="1" w:line="360" w:lineRule="auto"/>
        <w:jc w:val="both"/>
        <w:outlineLvl w:val="1"/>
        <w:rPr>
          <w:rFonts w:ascii="Arial" w:hAnsi="Arial" w:eastAsia="Times New Roman" w:cs="Arial"/>
          <w:b/>
          <w:bCs/>
        </w:rPr>
      </w:pPr>
    </w:p>
    <w:p w14:paraId="12F5EFFF">
      <w:pPr>
        <w:spacing w:before="100" w:beforeAutospacing="1" w:after="100" w:afterAutospacing="1" w:line="360" w:lineRule="auto"/>
        <w:jc w:val="both"/>
        <w:outlineLvl w:val="1"/>
        <w:rPr>
          <w:rFonts w:ascii="Arial" w:hAnsi="Arial" w:eastAsia="Times New Roman" w:cs="Arial"/>
          <w:b/>
          <w:bCs/>
        </w:rPr>
      </w:pPr>
    </w:p>
    <w:p w14:paraId="561F2471">
      <w:pPr>
        <w:spacing w:before="100" w:beforeAutospacing="1" w:after="100" w:afterAutospacing="1" w:line="360" w:lineRule="auto"/>
        <w:jc w:val="both"/>
        <w:outlineLvl w:val="1"/>
        <w:rPr>
          <w:rFonts w:ascii="Arial" w:hAnsi="Arial" w:eastAsia="Times New Roman" w:cs="Arial"/>
          <w:b/>
          <w:bCs/>
        </w:rPr>
      </w:pPr>
    </w:p>
    <w:p w14:paraId="784469F0">
      <w:pPr>
        <w:spacing w:before="100" w:beforeAutospacing="1" w:after="100" w:afterAutospacing="1" w:line="360" w:lineRule="auto"/>
        <w:jc w:val="both"/>
        <w:outlineLvl w:val="1"/>
        <w:rPr>
          <w:rFonts w:ascii="Arial" w:hAnsi="Arial" w:eastAsia="Times New Roman" w:cs="Arial"/>
          <w:b/>
          <w:bCs/>
        </w:rPr>
      </w:pPr>
    </w:p>
    <w:p w14:paraId="230D1764">
      <w:pPr>
        <w:spacing w:before="100" w:beforeAutospacing="1" w:after="100" w:afterAutospacing="1" w:line="360" w:lineRule="auto"/>
        <w:jc w:val="both"/>
        <w:outlineLvl w:val="1"/>
        <w:rPr>
          <w:rFonts w:ascii="Arial" w:hAnsi="Arial" w:eastAsia="Times New Roman" w:cs="Arial"/>
          <w:b/>
          <w:bCs/>
        </w:rPr>
      </w:pPr>
    </w:p>
    <w:p w14:paraId="53DE3309">
      <w:pPr>
        <w:spacing w:before="100" w:beforeAutospacing="1" w:after="100" w:afterAutospacing="1" w:line="360" w:lineRule="auto"/>
        <w:jc w:val="both"/>
        <w:outlineLvl w:val="1"/>
        <w:rPr>
          <w:rFonts w:ascii="Arial" w:hAnsi="Arial" w:eastAsia="Times New Roman" w:cs="Arial"/>
          <w:b/>
          <w:bCs/>
        </w:rPr>
      </w:pPr>
      <w:r>
        <w:rPr>
          <w:rFonts w:ascii="Arial" w:hAnsi="Arial" w:eastAsia="Times New Roman" w:cs="Arial"/>
          <w:b/>
          <w:bCs/>
        </w:rPr>
        <w:t>1. Introduction to the Research Paper and Topic Development</w:t>
      </w:r>
    </w:p>
    <w:p w14:paraId="64E9508C">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1.1 Paper Details</w:t>
      </w:r>
    </w:p>
    <w:p w14:paraId="182B3863">
      <w:pPr>
        <w:spacing w:before="100" w:beforeAutospacing="1" w:after="100" w:afterAutospacing="1" w:line="360" w:lineRule="auto"/>
        <w:jc w:val="both"/>
        <w:rPr>
          <w:rFonts w:ascii="Arial" w:hAnsi="Arial" w:eastAsia="Times New Roman" w:cs="Arial"/>
        </w:rPr>
      </w:pPr>
      <w:r>
        <w:rPr>
          <w:rFonts w:ascii="Arial" w:hAnsi="Arial" w:eastAsia="Times New Roman" w:cs="Arial"/>
        </w:rPr>
        <w:t xml:space="preserve">This report examines the research paper </w:t>
      </w:r>
      <w:r>
        <w:rPr>
          <w:rFonts w:ascii="Arial" w:hAnsi="Arial" w:eastAsia="Times New Roman" w:cs="Arial"/>
          <w:b/>
          <w:bCs/>
          <w:i/>
          <w:iCs/>
        </w:rPr>
        <w:t>A qualitative study of organisational resilience in care homes in Scotland</w:t>
      </w:r>
      <w:r>
        <w:rPr>
          <w:rFonts w:ascii="Arial" w:hAnsi="Arial" w:eastAsia="Times New Roman" w:cs="Arial"/>
        </w:rPr>
        <w:t xml:space="preserve">, written by Ross </w:t>
      </w:r>
      <w:r>
        <w:rPr>
          <w:rFonts w:ascii="Arial" w:hAnsi="Arial" w:eastAsia="Times New Roman" w:cs="Arial"/>
          <w:iCs/>
        </w:rPr>
        <w:t>et al.</w:t>
      </w:r>
      <w:r>
        <w:rPr>
          <w:rFonts w:ascii="Arial" w:hAnsi="Arial" w:eastAsia="Times New Roman" w:cs="Arial"/>
        </w:rPr>
        <w:t xml:space="preserve"> and published in </w:t>
      </w:r>
      <w:r>
        <w:rPr>
          <w:rFonts w:ascii="Arial" w:hAnsi="Arial" w:eastAsia="Times New Roman" w:cs="Arial"/>
          <w:b/>
          <w:bCs/>
        </w:rPr>
        <w:t>2022</w:t>
      </w:r>
      <w:r>
        <w:rPr>
          <w:rFonts w:ascii="Arial" w:hAnsi="Arial" w:eastAsia="Times New Roman" w:cs="Arial"/>
        </w:rPr>
        <w:t xml:space="preserve">. The study investigates how care home organisations and staff adapt to everyday challenges to provide safe, effective and person-centred care for older adults living in Scottish care homes (Ross </w:t>
      </w:r>
      <w:r>
        <w:rPr>
          <w:rFonts w:ascii="Arial" w:hAnsi="Arial" w:eastAsia="Times New Roman" w:cs="Arial"/>
          <w:i/>
          <w:iCs/>
        </w:rPr>
        <w:t>et al.</w:t>
      </w:r>
      <w:r>
        <w:rPr>
          <w:rFonts w:ascii="Arial" w:hAnsi="Arial" w:eastAsia="Times New Roman" w:cs="Arial"/>
        </w:rPr>
        <w:t>, 2022).</w:t>
      </w:r>
    </w:p>
    <w:p w14:paraId="7C5DF8C4">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1.2 Main Topic or Problem Explored in the Paper</w:t>
      </w:r>
    </w:p>
    <w:p w14:paraId="43343CA7">
      <w:pPr>
        <w:spacing w:before="100" w:beforeAutospacing="1" w:after="100" w:afterAutospacing="1" w:line="360" w:lineRule="auto"/>
        <w:jc w:val="both"/>
        <w:outlineLvl w:val="2"/>
        <w:rPr>
          <w:rFonts w:ascii="Arial" w:hAnsi="Arial" w:eastAsia="Times New Roman" w:cs="Arial"/>
        </w:rPr>
      </w:pPr>
      <w:r>
        <w:rPr>
          <w:rFonts w:ascii="Arial" w:hAnsi="Arial" w:eastAsia="Times New Roman" w:cs="Arial"/>
        </w:rPr>
        <w:t>This research paper seeks to understand organizational resilience in care homes by considering how the staff cope with complicated care situations while providing quality care at the same time. The researchers went beyond just identifying the challenges and focused on understanding how the staff adapt to the changing situation of the residents despite being faced with staff shortages and lack of resources (Ross et al., 2022).</w:t>
      </w:r>
    </w:p>
    <w:p w14:paraId="206BD52F">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1.3 Who Is the Research About?</w:t>
      </w:r>
    </w:p>
    <w:p w14:paraId="296E83B1">
      <w:pPr>
        <w:spacing w:before="100" w:beforeAutospacing="1" w:after="100" w:afterAutospacing="1" w:line="360" w:lineRule="auto"/>
        <w:jc w:val="both"/>
        <w:outlineLvl w:val="2"/>
        <w:rPr>
          <w:rFonts w:ascii="Arial" w:hAnsi="Arial" w:eastAsia="Times New Roman" w:cs="Arial"/>
        </w:rPr>
      </w:pPr>
      <w:r>
        <w:rPr>
          <w:rFonts w:ascii="Arial" w:hAnsi="Arial" w:eastAsia="Times New Roman" w:cs="Arial"/>
        </w:rPr>
        <w:t>The study was done through participation of care home managers, senior carers, care assistants, residents, families of the residents, healthcare professionals, care inspectors and many more stakeholders from Scottish care homes. Through having different participant groups, it became easier for the researcher to analyze organizational resilience through diverse angles (Ross et al., 2022).</w:t>
      </w:r>
    </w:p>
    <w:p w14:paraId="1F0033DA">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1.4 Why Is This Topic Important in UK Health and Social Care?</w:t>
      </w:r>
    </w:p>
    <w:p w14:paraId="3B75DB6A">
      <w:pPr>
        <w:spacing w:before="100" w:beforeAutospacing="1" w:after="100" w:afterAutospacing="1" w:line="360" w:lineRule="auto"/>
        <w:jc w:val="both"/>
        <w:rPr>
          <w:rFonts w:ascii="Arial" w:hAnsi="Arial" w:eastAsia="Times New Roman" w:cs="Arial"/>
        </w:rPr>
      </w:pPr>
      <w:r>
        <w:rPr>
          <w:rFonts w:ascii="Arial" w:hAnsi="Arial" w:eastAsia="Times New Roman" w:cs="Arial"/>
        </w:rPr>
        <w:t xml:space="preserve">This topic is important because the ageing population in the UK has led to an increased demand for better quality of residential care. Most of the older population have problems with frailty, dementia, and other long-term conditions that need coordination and person-centered care. Learning how the care home sector copes with these changes would not only lead to better quality of care, but also resident safety and resilience of the staff. This topic is in line with the present-day health and social care priorities in the UK. (Ross </w:t>
      </w:r>
      <w:r>
        <w:rPr>
          <w:rFonts w:ascii="Arial" w:hAnsi="Arial" w:eastAsia="Times New Roman" w:cs="Arial"/>
          <w:iCs/>
        </w:rPr>
        <w:t>et al.</w:t>
      </w:r>
      <w:r>
        <w:rPr>
          <w:rFonts w:ascii="Arial" w:hAnsi="Arial" w:eastAsia="Times New Roman" w:cs="Arial"/>
        </w:rPr>
        <w:t>, 2022; Care Quality Commission, 2024).</w:t>
      </w:r>
    </w:p>
    <w:p w14:paraId="093853F8">
      <w:pPr>
        <w:spacing w:before="100" w:beforeAutospacing="1" w:after="100" w:afterAutospacing="1" w:line="360" w:lineRule="auto"/>
        <w:jc w:val="both"/>
        <w:outlineLvl w:val="1"/>
        <w:rPr>
          <w:rFonts w:ascii="Arial" w:hAnsi="Arial" w:eastAsia="Times New Roman" w:cs="Arial"/>
          <w:b/>
          <w:bCs/>
        </w:rPr>
      </w:pPr>
    </w:p>
    <w:p w14:paraId="0D23FDDE">
      <w:pPr>
        <w:spacing w:before="100" w:beforeAutospacing="1" w:after="100" w:afterAutospacing="1" w:line="360" w:lineRule="auto"/>
        <w:jc w:val="both"/>
        <w:outlineLvl w:val="1"/>
        <w:rPr>
          <w:rFonts w:ascii="Arial" w:hAnsi="Arial" w:eastAsia="Times New Roman" w:cs="Arial"/>
          <w:b/>
          <w:bCs/>
        </w:rPr>
      </w:pPr>
      <w:r>
        <w:rPr>
          <w:rFonts w:ascii="Arial" w:hAnsi="Arial" w:eastAsia="Times New Roman" w:cs="Arial"/>
          <w:b/>
          <w:bCs/>
        </w:rPr>
        <w:t>2. Understanding the Purpose and Research Question</w:t>
      </w:r>
    </w:p>
    <w:p w14:paraId="51186F9B">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2.1 Research Questions or Objectives</w:t>
      </w:r>
    </w:p>
    <w:p w14:paraId="114DB046">
      <w:pPr>
        <w:spacing w:before="100" w:beforeAutospacing="1" w:after="100" w:afterAutospacing="1" w:line="360" w:lineRule="auto"/>
        <w:jc w:val="both"/>
        <w:rPr>
          <w:rFonts w:ascii="Arial" w:hAnsi="Arial" w:eastAsia="Times New Roman" w:cs="Arial"/>
        </w:rPr>
      </w:pPr>
      <w:r>
        <w:rPr>
          <w:rFonts w:ascii="Arial" w:hAnsi="Arial" w:eastAsia="Times New Roman" w:cs="Arial"/>
        </w:rPr>
        <w:t xml:space="preserve">The main objective of the study is to investigate how the staff and organizations operating in care homes deal with the challenges of everyday activities and ensure safety and quality of care provided. In particular, the authors were interested in exploring the role of organizational resilience in achieving positive outcomes for older people and finding ways for improving care delivery in care homes in Scotland. Through the use of RHC and CARE models, the study has investigated how the staff manage conflicting priorities, deal with changes in situations, and improve the organizational performance to deliver better services (Ross </w:t>
      </w:r>
      <w:r>
        <w:rPr>
          <w:rFonts w:ascii="Arial" w:hAnsi="Arial" w:eastAsia="Times New Roman" w:cs="Arial"/>
          <w:iCs/>
        </w:rPr>
        <w:t>et al.</w:t>
      </w:r>
      <w:r>
        <w:rPr>
          <w:rFonts w:ascii="Arial" w:hAnsi="Arial" w:eastAsia="Times New Roman" w:cs="Arial"/>
        </w:rPr>
        <w:t>, 2022).</w:t>
      </w:r>
    </w:p>
    <w:p w14:paraId="5FF96BD3">
      <w:pPr>
        <w:spacing w:before="100" w:beforeAutospacing="1" w:after="100" w:afterAutospacing="1" w:line="360" w:lineRule="auto"/>
        <w:jc w:val="both"/>
        <w:outlineLvl w:val="1"/>
        <w:rPr>
          <w:rFonts w:ascii="Arial" w:hAnsi="Arial" w:eastAsia="Times New Roman" w:cs="Arial"/>
          <w:b/>
          <w:bCs/>
        </w:rPr>
      </w:pPr>
      <w:r>
        <w:rPr>
          <w:rFonts w:ascii="Arial" w:hAnsi="Arial" w:eastAsia="Times New Roman" w:cs="Arial"/>
          <w:b/>
          <w:bCs/>
        </w:rPr>
        <w:t xml:space="preserve">3. Understanding the Research Methods </w:t>
      </w:r>
    </w:p>
    <w:p w14:paraId="320F10B9">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3.1 Understanding Research Approaches</w:t>
      </w:r>
    </w:p>
    <w:p w14:paraId="0F44F097">
      <w:pPr>
        <w:spacing w:before="100" w:beforeAutospacing="1" w:after="100" w:afterAutospacing="1" w:line="360" w:lineRule="auto"/>
        <w:jc w:val="both"/>
        <w:outlineLvl w:val="2"/>
        <w:rPr>
          <w:rFonts w:ascii="Arial" w:hAnsi="Arial" w:eastAsia="Times New Roman" w:cs="Arial"/>
        </w:rPr>
      </w:pPr>
      <w:r>
        <w:rPr>
          <w:rFonts w:ascii="Arial" w:hAnsi="Arial" w:eastAsia="Times New Roman" w:cs="Arial"/>
        </w:rPr>
        <w:t xml:space="preserve">Health and social care research is often done through the use of quantitative, qualitative, or mixed methods approaches. </w:t>
      </w:r>
      <w:r>
        <w:rPr>
          <w:rFonts w:ascii="Arial" w:hAnsi="Arial" w:eastAsia="Times New Roman" w:cs="Arial"/>
          <w:b/>
        </w:rPr>
        <w:t>Quantitative research</w:t>
      </w:r>
      <w:r>
        <w:rPr>
          <w:rFonts w:ascii="Arial" w:hAnsi="Arial" w:eastAsia="Times New Roman" w:cs="Arial"/>
        </w:rPr>
        <w:t xml:space="preserve"> involves collecting numeric data that are analyzed statistically to find patterns, relationships, or differences between variables. This type of research can be useful in finding results or testing hypotheses. On the other hand, </w:t>
      </w:r>
      <w:r>
        <w:rPr>
          <w:rFonts w:ascii="Arial" w:hAnsi="Arial" w:eastAsia="Times New Roman" w:cs="Arial"/>
          <w:b/>
        </w:rPr>
        <w:t>qualitative research</w:t>
      </w:r>
      <w:r>
        <w:rPr>
          <w:rFonts w:ascii="Arial" w:hAnsi="Arial" w:eastAsia="Times New Roman" w:cs="Arial"/>
        </w:rPr>
        <w:t xml:space="preserve"> involves examining people’s experiences, behaviors, and perceptions through the collection of non-numeric data, such as interviews, which give in-depth insight into complex phenomena (Braun and Clarke, 2022). </w:t>
      </w:r>
      <w:r>
        <w:rPr>
          <w:rFonts w:ascii="Arial" w:hAnsi="Arial" w:eastAsia="Times New Roman" w:cs="Arial"/>
          <w:b/>
        </w:rPr>
        <w:t>Mixed methods research</w:t>
      </w:r>
      <w:r>
        <w:rPr>
          <w:rFonts w:ascii="Arial" w:hAnsi="Arial" w:eastAsia="Times New Roman" w:cs="Arial"/>
        </w:rPr>
        <w:t xml:space="preserve"> involves combining qualitative and quantitative research to get an insight through the integration of numeric data and experiences of participants (Schoonenboom and Johnson, 2021). </w:t>
      </w:r>
    </w:p>
    <w:p w14:paraId="5575740F">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3.2 Research Design Used in the Selected Study</w:t>
      </w:r>
    </w:p>
    <w:p w14:paraId="185AE9A3">
      <w:pPr>
        <w:spacing w:before="100" w:beforeAutospacing="1" w:after="100" w:afterAutospacing="1" w:line="360" w:lineRule="auto"/>
        <w:jc w:val="both"/>
        <w:outlineLvl w:val="2"/>
        <w:rPr>
          <w:rFonts w:ascii="Arial" w:hAnsi="Arial" w:eastAsia="Times New Roman" w:cs="Arial"/>
        </w:rPr>
      </w:pPr>
      <w:r>
        <w:rPr>
          <w:rFonts w:ascii="Arial" w:hAnsi="Arial" w:eastAsia="Times New Roman" w:cs="Arial"/>
        </w:rPr>
        <w:t xml:space="preserve">The chosen paper involved the use of a </w:t>
      </w:r>
      <w:r>
        <w:rPr>
          <w:rFonts w:ascii="Arial" w:hAnsi="Arial" w:eastAsia="Times New Roman" w:cs="Arial"/>
          <w:b/>
        </w:rPr>
        <w:t>qualitative research method</w:t>
      </w:r>
      <w:r>
        <w:rPr>
          <w:rFonts w:ascii="Arial" w:hAnsi="Arial" w:eastAsia="Times New Roman" w:cs="Arial"/>
        </w:rPr>
        <w:t xml:space="preserve"> since the researchers were interested in exploring the manner in which the staff in care homes cope with the challenges faced in their daily work. As opposed to using numbers in collecting data, the researchers were able to capture the experience, behavior and decision making of the subjects involved in the study within a</w:t>
      </w:r>
      <w:r>
        <w:rPr>
          <w:rFonts w:hint="default" w:ascii="Arial" w:hAnsi="Arial" w:eastAsia="Times New Roman" w:cs="Arial"/>
          <w:lang w:val="en-GB"/>
        </w:rPr>
        <w:t>n</w:t>
      </w:r>
      <w:r>
        <w:rPr>
          <w:rFonts w:ascii="Arial" w:hAnsi="Arial" w:eastAsia="Times New Roman" w:cs="Arial"/>
        </w:rPr>
        <w:t xml:space="preserve"> actual care setting. This was done using the Resilient Healthcare (RHC) and CARE framework in understanding the role played by organizational resilience in ensuring safe, effective and person-centered care (Ross et al., 2022).</w:t>
      </w:r>
    </w:p>
    <w:p w14:paraId="47542212">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3.3 Primary and Secondary Data Collection</w:t>
      </w:r>
    </w:p>
    <w:p w14:paraId="2C9A0579">
      <w:pPr>
        <w:spacing w:before="100" w:beforeAutospacing="1" w:after="100" w:afterAutospacing="1" w:line="360" w:lineRule="auto"/>
        <w:jc w:val="both"/>
        <w:outlineLvl w:val="1"/>
        <w:rPr>
          <w:rFonts w:ascii="Arial" w:hAnsi="Arial" w:eastAsia="Times New Roman" w:cs="Arial"/>
        </w:rPr>
      </w:pPr>
      <w:r>
        <w:rPr>
          <w:rFonts w:ascii="Arial" w:hAnsi="Arial" w:eastAsia="Times New Roman" w:cs="Arial"/>
          <w:b/>
        </w:rPr>
        <w:t>Primary data</w:t>
      </w:r>
      <w:r>
        <w:rPr>
          <w:rFonts w:ascii="Arial" w:hAnsi="Arial" w:eastAsia="Times New Roman" w:cs="Arial"/>
        </w:rPr>
        <w:t xml:space="preserve"> is the term used for original data that was collected for the particular research question while </w:t>
      </w:r>
      <w:r>
        <w:rPr>
          <w:rFonts w:ascii="Arial" w:hAnsi="Arial" w:eastAsia="Times New Roman" w:cs="Arial"/>
          <w:b/>
        </w:rPr>
        <w:t>secondary data</w:t>
      </w:r>
      <w:r>
        <w:rPr>
          <w:rFonts w:ascii="Arial" w:hAnsi="Arial" w:eastAsia="Times New Roman" w:cs="Arial"/>
        </w:rPr>
        <w:t xml:space="preserve"> is the data that had already been collected for other purposes</w:t>
      </w:r>
      <w:r>
        <w:rPr>
          <w:rFonts w:hint="default" w:ascii="Arial" w:hAnsi="Arial" w:eastAsia="Times New Roman" w:cs="Arial"/>
          <w:lang w:val="en-GB"/>
        </w:rPr>
        <w:t>.</w:t>
      </w:r>
      <w:r>
        <w:rPr>
          <w:rFonts w:ascii="Arial" w:hAnsi="Arial" w:eastAsia="Times New Roman" w:cs="Arial"/>
        </w:rPr>
        <w:t xml:space="preserve"> The primary data collection usually yields more relevant information since it</w:t>
      </w:r>
      <w:r>
        <w:rPr>
          <w:rFonts w:hint="default" w:ascii="Arial" w:hAnsi="Arial" w:eastAsia="Times New Roman" w:cs="Arial"/>
          <w:lang w:val="en-GB"/>
        </w:rPr>
        <w:t>’s</w:t>
      </w:r>
      <w:bookmarkStart w:id="0" w:name="_GoBack"/>
      <w:bookmarkEnd w:id="0"/>
      <w:r>
        <w:rPr>
          <w:rFonts w:ascii="Arial" w:hAnsi="Arial" w:eastAsia="Times New Roman" w:cs="Arial"/>
        </w:rPr>
        <w:t xml:space="preserve"> collected particularly for the purpose of the research.</w:t>
      </w:r>
    </w:p>
    <w:p w14:paraId="535CEC3D">
      <w:pPr>
        <w:spacing w:before="100" w:beforeAutospacing="1" w:after="100" w:afterAutospacing="1" w:line="360" w:lineRule="auto"/>
        <w:jc w:val="both"/>
        <w:outlineLvl w:val="1"/>
        <w:rPr>
          <w:rFonts w:ascii="Arial" w:hAnsi="Arial" w:eastAsia="Times New Roman" w:cs="Arial"/>
        </w:rPr>
      </w:pPr>
      <w:r>
        <w:rPr>
          <w:rFonts w:ascii="Arial" w:hAnsi="Arial" w:eastAsia="Times New Roman" w:cs="Arial"/>
        </w:rPr>
        <w:t>In this research, only the primary data collection process has been used. The researchers have collected the original data directly from the managers of the care homes, carers, residents, relatives, health care providers through observation, interviews, focus groups and workshops. It helped the researchers to obtain first-hand experience of their day-to-day activities and gain an understanding of organizational resilience in care homes in Scotland (Ross et al., 2022).</w:t>
      </w:r>
    </w:p>
    <w:p w14:paraId="5AC5C353">
      <w:pPr>
        <w:tabs>
          <w:tab w:val="left" w:pos="3810"/>
        </w:tabs>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3.4 Data Collection Methods</w:t>
      </w:r>
      <w:r>
        <w:rPr>
          <w:rFonts w:ascii="Arial" w:hAnsi="Arial" w:eastAsia="Times New Roman" w:cs="Arial"/>
          <w:b/>
          <w:bCs/>
        </w:rPr>
        <w:tab/>
      </w:r>
    </w:p>
    <w:p w14:paraId="3A645E10">
      <w:pPr>
        <w:spacing w:before="100" w:beforeAutospacing="1" w:after="100" w:afterAutospacing="1" w:line="360" w:lineRule="auto"/>
        <w:jc w:val="both"/>
        <w:outlineLvl w:val="2"/>
        <w:rPr>
          <w:rFonts w:ascii="Arial" w:hAnsi="Arial" w:eastAsia="Times New Roman" w:cs="Arial"/>
        </w:rPr>
      </w:pPr>
      <w:r>
        <w:rPr>
          <w:rFonts w:ascii="Arial" w:hAnsi="Arial" w:eastAsia="Times New Roman" w:cs="Arial"/>
        </w:rPr>
        <w:t xml:space="preserve">To achieve their research objective, the researchers employed a number of approaches in collecting the primary data. In doing so, they aimed at having a holistic perspective on organisational resilience in the care homes of Scotland. The process of data collection involved </w:t>
      </w:r>
      <w:r>
        <w:rPr>
          <w:rFonts w:ascii="Arial" w:hAnsi="Arial" w:eastAsia="Times New Roman" w:cs="Arial"/>
          <w:b/>
        </w:rPr>
        <w:t>68</w:t>
      </w:r>
      <w:r>
        <w:rPr>
          <w:rFonts w:ascii="Arial" w:hAnsi="Arial" w:eastAsia="Times New Roman" w:cs="Arial"/>
        </w:rPr>
        <w:t xml:space="preserve"> hours of non-participant observations, </w:t>
      </w:r>
      <w:r>
        <w:rPr>
          <w:rFonts w:ascii="Arial" w:hAnsi="Arial" w:eastAsia="Times New Roman" w:cs="Arial"/>
          <w:b/>
        </w:rPr>
        <w:t xml:space="preserve">33 </w:t>
      </w:r>
      <w:r>
        <w:rPr>
          <w:rFonts w:ascii="Arial" w:hAnsi="Arial" w:eastAsia="Times New Roman" w:cs="Arial"/>
        </w:rPr>
        <w:t xml:space="preserve">one-on-one interviews, </w:t>
      </w:r>
      <w:r>
        <w:rPr>
          <w:rFonts w:ascii="Arial" w:hAnsi="Arial" w:eastAsia="Times New Roman" w:cs="Arial"/>
          <w:b/>
        </w:rPr>
        <w:t xml:space="preserve">three </w:t>
      </w:r>
      <w:r>
        <w:rPr>
          <w:rFonts w:ascii="Arial" w:hAnsi="Arial" w:eastAsia="Times New Roman" w:cs="Arial"/>
        </w:rPr>
        <w:t xml:space="preserve">focus groups consisting of </w:t>
      </w:r>
      <w:r>
        <w:rPr>
          <w:rFonts w:ascii="Arial" w:hAnsi="Arial" w:eastAsia="Times New Roman" w:cs="Arial"/>
          <w:b/>
        </w:rPr>
        <w:t>19</w:t>
      </w:r>
      <w:r>
        <w:rPr>
          <w:rFonts w:ascii="Arial" w:hAnsi="Arial" w:eastAsia="Times New Roman" w:cs="Arial"/>
        </w:rPr>
        <w:t xml:space="preserve"> people, </w:t>
      </w:r>
      <w:r>
        <w:rPr>
          <w:rFonts w:ascii="Arial" w:hAnsi="Arial" w:eastAsia="Times New Roman" w:cs="Arial"/>
          <w:b/>
        </w:rPr>
        <w:t>eight</w:t>
      </w:r>
      <w:r>
        <w:rPr>
          <w:rFonts w:ascii="Arial" w:hAnsi="Arial" w:eastAsia="Times New Roman" w:cs="Arial"/>
        </w:rPr>
        <w:t xml:space="preserve"> interviews with residents and family members, and </w:t>
      </w:r>
      <w:r>
        <w:rPr>
          <w:rFonts w:ascii="Arial" w:hAnsi="Arial" w:eastAsia="Times New Roman" w:cs="Arial"/>
          <w:b/>
        </w:rPr>
        <w:t>five</w:t>
      </w:r>
      <w:r>
        <w:rPr>
          <w:rFonts w:ascii="Arial" w:hAnsi="Arial" w:eastAsia="Times New Roman" w:cs="Arial"/>
        </w:rPr>
        <w:t xml:space="preserve"> round table discussions with </w:t>
      </w:r>
      <w:r>
        <w:rPr>
          <w:rFonts w:ascii="Arial" w:hAnsi="Arial" w:eastAsia="Times New Roman" w:cs="Arial"/>
          <w:b/>
        </w:rPr>
        <w:t>31</w:t>
      </w:r>
      <w:r>
        <w:rPr>
          <w:rFonts w:ascii="Arial" w:hAnsi="Arial" w:eastAsia="Times New Roman" w:cs="Arial"/>
        </w:rPr>
        <w:t xml:space="preserve"> stakeholders.</w:t>
      </w:r>
      <w:r>
        <w:rPr>
          <w:rFonts w:hint="default" w:ascii="Arial" w:hAnsi="Arial" w:eastAsia="Times New Roman" w:cs="Arial"/>
          <w:lang w:val="en-GB"/>
        </w:rPr>
        <w:t xml:space="preserve"> </w:t>
      </w:r>
      <w:r>
        <w:rPr>
          <w:rFonts w:ascii="Arial" w:hAnsi="Arial" w:eastAsia="Times New Roman" w:cs="Arial"/>
        </w:rPr>
        <w:t>By using multiple methods of collecting the data, the researchers gained insights into the concept of organisational resilience from various perspectives (Ross et al., 2022).</w:t>
      </w:r>
    </w:p>
    <w:p w14:paraId="3C9E43FC">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3.5 Data Analysis</w:t>
      </w:r>
    </w:p>
    <w:p w14:paraId="01F31E9B">
      <w:pPr>
        <w:spacing w:before="100" w:beforeAutospacing="1" w:after="100" w:afterAutospacing="1" w:line="360" w:lineRule="auto"/>
        <w:jc w:val="both"/>
        <w:outlineLvl w:val="2"/>
        <w:rPr>
          <w:rFonts w:ascii="Arial" w:hAnsi="Arial" w:eastAsia="Times New Roman" w:cs="Arial"/>
        </w:rPr>
      </w:pPr>
      <w:r>
        <w:rPr>
          <w:rFonts w:ascii="Arial" w:hAnsi="Arial" w:eastAsia="Times New Roman" w:cs="Arial"/>
        </w:rPr>
        <w:t xml:space="preserve">Data collected were analyzed using </w:t>
      </w:r>
      <w:r>
        <w:rPr>
          <w:rFonts w:ascii="Arial" w:hAnsi="Arial" w:eastAsia="Times New Roman" w:cs="Arial"/>
          <w:b/>
        </w:rPr>
        <w:t xml:space="preserve">QSR NVivo 12 </w:t>
      </w:r>
      <w:r>
        <w:rPr>
          <w:rFonts w:ascii="Arial" w:hAnsi="Arial" w:eastAsia="Times New Roman" w:cs="Arial"/>
        </w:rPr>
        <w:t>software. Audio recordings of interviews, focus groups, and workshops were transcribed verbatim and subjected to a two-tiered analysis process based on the CARE framework. While the first tier looked at how employees dealt with everyday difficulties, the second one involved identifying themes related to organizational resilience. These themes include three broad themes of care planning and information use, coordination of everyday care activities, and providing person-centred care. Thematic analysis ensured a systematic approach to analyzing complex data while making sure that all relevant patterns in participant experience were properly identified (Ross et al., 2022; Braun and Clarke, 2022).</w:t>
      </w:r>
    </w:p>
    <w:p w14:paraId="13ABB7BB">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3.6 Evaluation of the Research Methods</w:t>
      </w:r>
    </w:p>
    <w:p w14:paraId="69108020">
      <w:pPr>
        <w:spacing w:before="100" w:beforeAutospacing="1" w:after="100" w:afterAutospacing="1" w:line="360" w:lineRule="auto"/>
        <w:jc w:val="both"/>
        <w:outlineLvl w:val="1"/>
        <w:rPr>
          <w:rFonts w:ascii="Arial" w:hAnsi="Arial" w:eastAsia="Times New Roman" w:cs="Arial"/>
        </w:rPr>
      </w:pPr>
      <w:r>
        <w:rPr>
          <w:rFonts w:ascii="Arial" w:hAnsi="Arial" w:eastAsia="Times New Roman" w:cs="Arial"/>
        </w:rPr>
        <w:t>The qualitative research methodology used was suitable for this study since it helped the researchers understand the actual experiences of the people involved in everyday care homes. The inclusion of multiple data collection methods and participants of various professional backgrounds increased the credibility of the results through methodological triangulation. In addition, the prolonged fieldwork conducted for 24 months ensured that a thorough understanding of the organisational resilience was achieved.</w:t>
      </w:r>
    </w:p>
    <w:p w14:paraId="7C156E83">
      <w:pPr>
        <w:spacing w:before="100" w:beforeAutospacing="1" w:after="100" w:afterAutospacing="1" w:line="360" w:lineRule="auto"/>
        <w:jc w:val="both"/>
        <w:outlineLvl w:val="1"/>
        <w:rPr>
          <w:rFonts w:ascii="Arial" w:hAnsi="Arial" w:eastAsia="Times New Roman" w:cs="Arial"/>
          <w:b/>
          <w:bCs/>
        </w:rPr>
      </w:pPr>
      <w:r>
        <w:rPr>
          <w:rFonts w:ascii="Arial" w:hAnsi="Arial" w:eastAsia="Times New Roman" w:cs="Arial"/>
          <w:b/>
          <w:bCs/>
        </w:rPr>
        <w:t>4. Conclusion</w:t>
      </w:r>
    </w:p>
    <w:p w14:paraId="48115A33">
      <w:pPr>
        <w:spacing w:before="100" w:beforeAutospacing="1" w:after="100" w:afterAutospacing="1" w:line="360" w:lineRule="auto"/>
        <w:jc w:val="both"/>
        <w:rPr>
          <w:rFonts w:ascii="Arial" w:hAnsi="Arial" w:eastAsia="Times New Roman" w:cs="Arial"/>
        </w:rPr>
      </w:pPr>
      <w:r>
        <w:rPr>
          <w:rFonts w:ascii="Arial" w:hAnsi="Arial" w:eastAsia="Times New Roman" w:cs="Arial"/>
        </w:rPr>
        <w:t>In this report, the selected research paper was reviewed to create an understanding of research literacy in UK health and social care. The purpose of the study was identified, and the research questions were assessed, together with the qualitative research methodology applied to assess the organizational resilience among Scottish care homes. Additionally, the differences between primary and secondary data were explained, while the process of data collection and thematic analysis was assessed in terms of the selected research paper. Finally, the strengths and weaknesses of research methodology were critically evaluated (Ross et al., 2022).</w:t>
      </w:r>
    </w:p>
    <w:p w14:paraId="60257D6C">
      <w:pPr>
        <w:spacing w:before="100" w:beforeAutospacing="1" w:after="100" w:afterAutospacing="1" w:line="360" w:lineRule="auto"/>
        <w:jc w:val="both"/>
        <w:rPr>
          <w:rFonts w:ascii="Arial" w:hAnsi="Arial" w:eastAsia="Times New Roman" w:cs="Arial"/>
        </w:rPr>
      </w:pPr>
      <w:r>
        <w:rPr>
          <w:rFonts w:ascii="Arial" w:hAnsi="Arial" w:eastAsia="Times New Roman" w:cs="Arial"/>
        </w:rPr>
        <w:t>Completing this research report has increased my understanding of the research process and made me realize the significance of choosing relevant methodologies to answer a particular research question. I have also gained more awareness about the significance of evaluating research evidence critically before using it in practice. The research literacy skills I have acquired will assist me in my further academic learning by helping me to locate credible evidence, interpret research findings and make decisions based on quality evidence.</w:t>
      </w:r>
      <w:r>
        <w:rPr>
          <w:rFonts w:hint="default" w:ascii="Arial" w:hAnsi="Arial" w:eastAsia="Times New Roman" w:cs="Arial"/>
          <w:lang w:val="en-GB"/>
        </w:rPr>
        <w:t xml:space="preserve"> </w:t>
      </w:r>
      <w:r>
        <w:rPr>
          <w:rFonts w:ascii="Arial" w:hAnsi="Arial" w:eastAsia="Times New Roman" w:cs="Arial"/>
        </w:rPr>
        <w:t>Critical interpretation of research is important for health and social care practitioners as it assists in making decisions and improving the quality of care (Greenhalgh et al., 2022; NHS England, 2023; Nuffield Trust, 2023).</w:t>
      </w:r>
    </w:p>
    <w:p w14:paraId="0A15427D">
      <w:pPr>
        <w:spacing w:line="360" w:lineRule="auto"/>
        <w:jc w:val="both"/>
        <w:rPr>
          <w:rFonts w:ascii="Arial" w:hAnsi="Arial" w:cs="Arial"/>
          <w:b/>
        </w:rPr>
      </w:pPr>
    </w:p>
    <w:p w14:paraId="69087EFC">
      <w:pPr>
        <w:spacing w:line="360" w:lineRule="auto"/>
        <w:jc w:val="both"/>
        <w:rPr>
          <w:rFonts w:ascii="Arial" w:hAnsi="Arial" w:cs="Arial"/>
          <w:b/>
        </w:rPr>
      </w:pPr>
    </w:p>
    <w:p w14:paraId="2F278E44">
      <w:pPr>
        <w:spacing w:line="360" w:lineRule="auto"/>
        <w:jc w:val="both"/>
        <w:rPr>
          <w:rFonts w:ascii="Arial" w:hAnsi="Arial" w:cs="Arial"/>
          <w:b/>
        </w:rPr>
      </w:pPr>
    </w:p>
    <w:p w14:paraId="72E5C4C2">
      <w:pPr>
        <w:spacing w:line="360" w:lineRule="auto"/>
        <w:jc w:val="both"/>
        <w:rPr>
          <w:rFonts w:ascii="Arial" w:hAnsi="Arial" w:cs="Arial"/>
          <w:b/>
        </w:rPr>
      </w:pPr>
    </w:p>
    <w:p w14:paraId="13E2BBCF">
      <w:pPr>
        <w:spacing w:line="360" w:lineRule="auto"/>
        <w:jc w:val="both"/>
        <w:rPr>
          <w:rFonts w:ascii="Arial" w:hAnsi="Arial" w:cs="Arial"/>
          <w:b/>
        </w:rPr>
      </w:pPr>
    </w:p>
    <w:p w14:paraId="6CBD27AF">
      <w:pPr>
        <w:spacing w:line="360" w:lineRule="auto"/>
        <w:jc w:val="both"/>
        <w:rPr>
          <w:rFonts w:ascii="Arial" w:hAnsi="Arial" w:cs="Arial"/>
          <w:b/>
        </w:rPr>
      </w:pPr>
    </w:p>
    <w:p w14:paraId="2ACCE7CB">
      <w:pPr>
        <w:spacing w:line="360" w:lineRule="auto"/>
        <w:jc w:val="both"/>
        <w:rPr>
          <w:rFonts w:ascii="Arial" w:hAnsi="Arial" w:cs="Arial"/>
          <w:b/>
        </w:rPr>
      </w:pPr>
    </w:p>
    <w:p w14:paraId="65F1C424">
      <w:pPr>
        <w:spacing w:line="360" w:lineRule="auto"/>
        <w:jc w:val="both"/>
        <w:rPr>
          <w:rFonts w:ascii="Arial" w:hAnsi="Arial" w:cs="Arial"/>
          <w:b/>
        </w:rPr>
      </w:pPr>
    </w:p>
    <w:p w14:paraId="3C93EDC5">
      <w:pPr>
        <w:spacing w:line="360" w:lineRule="auto"/>
        <w:jc w:val="both"/>
        <w:rPr>
          <w:rFonts w:ascii="Arial" w:hAnsi="Arial" w:cs="Arial"/>
          <w:b/>
        </w:rPr>
      </w:pPr>
    </w:p>
    <w:p w14:paraId="752CDD99">
      <w:pPr>
        <w:spacing w:line="360" w:lineRule="auto"/>
        <w:jc w:val="both"/>
        <w:rPr>
          <w:rFonts w:ascii="Arial" w:hAnsi="Arial" w:cs="Arial"/>
          <w:b/>
        </w:rPr>
      </w:pPr>
    </w:p>
    <w:p w14:paraId="208B8314">
      <w:pPr>
        <w:spacing w:line="360" w:lineRule="auto"/>
        <w:jc w:val="both"/>
        <w:rPr>
          <w:rFonts w:ascii="Arial" w:hAnsi="Arial" w:cs="Arial"/>
          <w:b/>
        </w:rPr>
      </w:pPr>
    </w:p>
    <w:p w14:paraId="72EE7760">
      <w:pPr>
        <w:spacing w:line="360" w:lineRule="auto"/>
        <w:jc w:val="both"/>
        <w:rPr>
          <w:rFonts w:ascii="Arial" w:hAnsi="Arial" w:cs="Arial"/>
          <w:b/>
        </w:rPr>
      </w:pPr>
    </w:p>
    <w:p w14:paraId="2B9EE83D">
      <w:pPr>
        <w:spacing w:line="360" w:lineRule="auto"/>
        <w:jc w:val="both"/>
        <w:rPr>
          <w:rFonts w:ascii="Arial" w:hAnsi="Arial" w:cs="Arial"/>
          <w:b/>
        </w:rPr>
      </w:pPr>
    </w:p>
    <w:p w14:paraId="1AE11EFB">
      <w:pPr>
        <w:spacing w:line="360" w:lineRule="auto"/>
        <w:jc w:val="both"/>
        <w:rPr>
          <w:rFonts w:ascii="Arial" w:hAnsi="Arial" w:cs="Arial"/>
          <w:b/>
        </w:rPr>
      </w:pPr>
    </w:p>
    <w:p w14:paraId="204CD3B3">
      <w:pPr>
        <w:spacing w:line="360" w:lineRule="auto"/>
        <w:jc w:val="both"/>
        <w:rPr>
          <w:rFonts w:ascii="Arial" w:hAnsi="Arial" w:cs="Arial"/>
          <w:b/>
        </w:rPr>
      </w:pPr>
    </w:p>
    <w:p w14:paraId="3A287E93">
      <w:pPr>
        <w:spacing w:line="360" w:lineRule="auto"/>
        <w:jc w:val="both"/>
        <w:rPr>
          <w:rFonts w:ascii="Arial" w:hAnsi="Arial" w:cs="Arial"/>
          <w:b/>
        </w:rPr>
      </w:pPr>
    </w:p>
    <w:p w14:paraId="51A1FEA1">
      <w:pPr>
        <w:spacing w:line="360" w:lineRule="auto"/>
        <w:jc w:val="both"/>
        <w:rPr>
          <w:rFonts w:ascii="Arial" w:hAnsi="Arial" w:cs="Arial"/>
          <w:b/>
        </w:rPr>
      </w:pPr>
    </w:p>
    <w:p w14:paraId="1F2F9E6F">
      <w:pPr>
        <w:spacing w:line="360" w:lineRule="auto"/>
        <w:jc w:val="both"/>
        <w:rPr>
          <w:rFonts w:ascii="Arial" w:hAnsi="Arial" w:cs="Arial"/>
          <w:b/>
        </w:rPr>
      </w:pPr>
    </w:p>
    <w:p w14:paraId="47B32606">
      <w:pPr>
        <w:spacing w:line="360" w:lineRule="auto"/>
        <w:jc w:val="both"/>
        <w:rPr>
          <w:rFonts w:ascii="Arial" w:hAnsi="Arial" w:cs="Arial"/>
          <w:b/>
        </w:rPr>
      </w:pPr>
    </w:p>
    <w:p w14:paraId="5BA460B4">
      <w:pPr>
        <w:spacing w:line="360" w:lineRule="auto"/>
        <w:jc w:val="both"/>
        <w:rPr>
          <w:rFonts w:ascii="Arial" w:hAnsi="Arial" w:cs="Arial"/>
          <w:b/>
        </w:rPr>
      </w:pPr>
    </w:p>
    <w:p w14:paraId="121ED07B">
      <w:pPr>
        <w:spacing w:line="360" w:lineRule="auto"/>
        <w:jc w:val="both"/>
        <w:rPr>
          <w:rFonts w:ascii="Arial" w:hAnsi="Arial" w:cs="Arial"/>
          <w:b/>
        </w:rPr>
      </w:pPr>
      <w:r>
        <w:rPr>
          <w:rFonts w:ascii="Arial" w:hAnsi="Arial" w:cs="Arial"/>
          <w:b/>
        </w:rPr>
        <w:t>REFERENCES</w:t>
      </w:r>
    </w:p>
    <w:p w14:paraId="012B143F">
      <w:pPr>
        <w:spacing w:before="100" w:beforeAutospacing="1" w:after="100" w:afterAutospacing="1" w:line="360" w:lineRule="auto"/>
        <w:jc w:val="both"/>
        <w:rPr>
          <w:rFonts w:ascii="Arial" w:hAnsi="Arial" w:eastAsia="Times New Roman" w:cs="Arial"/>
        </w:rPr>
      </w:pPr>
      <w:r>
        <w:rPr>
          <w:rFonts w:ascii="Arial" w:hAnsi="Arial" w:eastAsia="Times New Roman" w:cs="Arial"/>
        </w:rPr>
        <w:t xml:space="preserve">Braun, V. and Clarke, V. (2022) </w:t>
      </w:r>
      <w:r>
        <w:rPr>
          <w:rFonts w:ascii="Arial" w:hAnsi="Arial" w:eastAsia="Times New Roman" w:cs="Arial"/>
          <w:i/>
          <w:iCs/>
        </w:rPr>
        <w:t>Thematic Analysis: A Practical Guide</w:t>
      </w:r>
      <w:r>
        <w:rPr>
          <w:rFonts w:ascii="Arial" w:hAnsi="Arial" w:eastAsia="Times New Roman" w:cs="Arial"/>
        </w:rPr>
        <w:t>. London: SAGE.</w:t>
      </w:r>
    </w:p>
    <w:p w14:paraId="4CAB3C70">
      <w:pPr>
        <w:spacing w:before="100" w:beforeAutospacing="1" w:after="100" w:afterAutospacing="1" w:line="360" w:lineRule="auto"/>
        <w:jc w:val="both"/>
        <w:rPr>
          <w:rFonts w:ascii="Arial" w:hAnsi="Arial" w:eastAsia="Times New Roman" w:cs="Arial"/>
        </w:rPr>
      </w:pPr>
      <w:r>
        <w:rPr>
          <w:rFonts w:ascii="Arial" w:hAnsi="Arial" w:eastAsia="Times New Roman" w:cs="Arial"/>
        </w:rPr>
        <w:t xml:space="preserve">Care Quality Commission (2024) </w:t>
      </w:r>
      <w:r>
        <w:rPr>
          <w:rFonts w:ascii="Arial" w:hAnsi="Arial" w:eastAsia="Times New Roman" w:cs="Arial"/>
          <w:i/>
          <w:iCs/>
        </w:rPr>
        <w:t>The state of health care and adult social care in England 2023/24</w:t>
      </w:r>
      <w:r>
        <w:rPr>
          <w:rFonts w:ascii="Arial" w:hAnsi="Arial" w:eastAsia="Times New Roman" w:cs="Arial"/>
        </w:rPr>
        <w:t>. London: Care Quality Commission.</w:t>
      </w:r>
    </w:p>
    <w:p w14:paraId="60FDAF9C">
      <w:pPr>
        <w:spacing w:before="100" w:beforeAutospacing="1" w:after="100" w:afterAutospacing="1" w:line="360" w:lineRule="auto"/>
        <w:jc w:val="both"/>
        <w:rPr>
          <w:rFonts w:ascii="Arial" w:hAnsi="Arial" w:eastAsia="Times New Roman" w:cs="Arial"/>
        </w:rPr>
      </w:pPr>
      <w:r>
        <w:rPr>
          <w:rFonts w:ascii="Arial" w:hAnsi="Arial" w:eastAsia="Times New Roman" w:cs="Arial"/>
        </w:rPr>
        <w:t xml:space="preserve">Greenhalgh, T., Papoutsi, C., Shaw, S., Byrne, E. and Hassan, N. (2022) 'Beyond adoption: A new framework for theorising and evaluating non-adoption, abandonment and challenges to the scale-up, spread and sustainability of health and care technologies', </w:t>
      </w:r>
      <w:r>
        <w:rPr>
          <w:rFonts w:ascii="Arial" w:hAnsi="Arial" w:eastAsia="Times New Roman" w:cs="Arial"/>
          <w:i/>
          <w:iCs/>
        </w:rPr>
        <w:t>Journal of Medical Internet Research</w:t>
      </w:r>
      <w:r>
        <w:rPr>
          <w:rFonts w:ascii="Arial" w:hAnsi="Arial" w:eastAsia="Times New Roman" w:cs="Arial"/>
        </w:rPr>
        <w:t>, 24, e41927.</w:t>
      </w:r>
    </w:p>
    <w:p w14:paraId="4C369019">
      <w:pPr>
        <w:spacing w:before="100" w:beforeAutospacing="1" w:after="100" w:afterAutospacing="1" w:line="360" w:lineRule="auto"/>
        <w:jc w:val="both"/>
        <w:rPr>
          <w:rFonts w:ascii="Arial" w:hAnsi="Arial" w:eastAsia="Times New Roman" w:cs="Arial"/>
        </w:rPr>
      </w:pPr>
      <w:r>
        <w:rPr>
          <w:rFonts w:ascii="Arial" w:hAnsi="Arial" w:eastAsia="Times New Roman" w:cs="Arial"/>
        </w:rPr>
        <w:t xml:space="preserve">NHS England (2023) </w:t>
      </w:r>
      <w:r>
        <w:rPr>
          <w:rFonts w:ascii="Arial" w:hAnsi="Arial" w:eastAsia="Times New Roman" w:cs="Arial"/>
          <w:i/>
          <w:iCs/>
        </w:rPr>
        <w:t>Universal personalised care: Implementing the comprehensive model</w:t>
      </w:r>
      <w:r>
        <w:rPr>
          <w:rFonts w:ascii="Arial" w:hAnsi="Arial" w:eastAsia="Times New Roman" w:cs="Arial"/>
        </w:rPr>
        <w:t>. London: NHS England.</w:t>
      </w:r>
    </w:p>
    <w:p w14:paraId="799EB70E">
      <w:pPr>
        <w:spacing w:before="100" w:beforeAutospacing="1" w:after="100" w:afterAutospacing="1" w:line="360" w:lineRule="auto"/>
        <w:jc w:val="both"/>
        <w:rPr>
          <w:rFonts w:ascii="Arial" w:hAnsi="Arial" w:eastAsia="Times New Roman" w:cs="Arial"/>
        </w:rPr>
      </w:pPr>
      <w:r>
        <w:rPr>
          <w:rFonts w:ascii="Arial" w:hAnsi="Arial" w:eastAsia="Times New Roman" w:cs="Arial"/>
        </w:rPr>
        <w:t xml:space="preserve">Nuffield Trust (2023) </w:t>
      </w:r>
      <w:r>
        <w:rPr>
          <w:rFonts w:ascii="Arial" w:hAnsi="Arial" w:eastAsia="Times New Roman" w:cs="Arial"/>
          <w:i/>
          <w:iCs/>
        </w:rPr>
        <w:t>The state of the adult social care workforce in England</w:t>
      </w:r>
      <w:r>
        <w:rPr>
          <w:rFonts w:ascii="Arial" w:hAnsi="Arial" w:eastAsia="Times New Roman" w:cs="Arial"/>
        </w:rPr>
        <w:t>. London: Nuffield Trust.</w:t>
      </w:r>
    </w:p>
    <w:p w14:paraId="2884A437">
      <w:pPr>
        <w:spacing w:before="100" w:beforeAutospacing="1" w:after="100" w:afterAutospacing="1" w:line="360" w:lineRule="auto"/>
        <w:jc w:val="both"/>
        <w:rPr>
          <w:rFonts w:ascii="Arial" w:hAnsi="Arial" w:eastAsia="Times New Roman" w:cs="Arial"/>
        </w:rPr>
      </w:pPr>
      <w:r>
        <w:rPr>
          <w:rFonts w:ascii="Arial" w:hAnsi="Arial" w:eastAsia="Times New Roman" w:cs="Arial"/>
        </w:rPr>
        <w:t xml:space="preserve">Ross, A., Anderson, J.E., Selveindran, S., MacBride, T., Bowie, P., Sherriff, A., Young, L., Fioratou, E., Roddy, E., Edwards, H., Dewar, B. and Macpherson, L.M. (2022) 'A qualitative study of organisational resilience in care homes in Scotland', </w:t>
      </w:r>
      <w:r>
        <w:rPr>
          <w:rFonts w:ascii="Arial" w:hAnsi="Arial" w:eastAsia="Times New Roman" w:cs="Arial"/>
          <w:i/>
          <w:iCs/>
        </w:rPr>
        <w:t>PLOS ONE</w:t>
      </w:r>
      <w:r>
        <w:rPr>
          <w:rFonts w:ascii="Arial" w:hAnsi="Arial" w:eastAsia="Times New Roman" w:cs="Arial"/>
        </w:rPr>
        <w:t>, 17(12), e0279376.</w:t>
      </w:r>
    </w:p>
    <w:p w14:paraId="62296D6F">
      <w:pPr>
        <w:spacing w:before="100" w:beforeAutospacing="1" w:after="100" w:afterAutospacing="1" w:line="360" w:lineRule="auto"/>
        <w:jc w:val="both"/>
        <w:rPr>
          <w:rFonts w:ascii="Arial" w:hAnsi="Arial" w:eastAsia="Times New Roman" w:cs="Arial"/>
        </w:rPr>
      </w:pPr>
      <w:r>
        <w:rPr>
          <w:rFonts w:ascii="Arial" w:hAnsi="Arial" w:eastAsia="Times New Roman" w:cs="Arial"/>
        </w:rPr>
        <w:t xml:space="preserve">Schoonenboom, J. and Johnson, R.B. (2021) 'How to construct a mixed methods research design', </w:t>
      </w:r>
      <w:r>
        <w:rPr>
          <w:rFonts w:ascii="Arial" w:hAnsi="Arial" w:eastAsia="Times New Roman" w:cs="Arial"/>
          <w:i/>
          <w:iCs/>
        </w:rPr>
        <w:t>KZfSS Kölner Zeitschrift für Soziologie und Sozialpsychologie</w:t>
      </w:r>
      <w:r>
        <w:rPr>
          <w:rFonts w:ascii="Arial" w:hAnsi="Arial" w:eastAsia="Times New Roman" w:cs="Arial"/>
        </w:rPr>
        <w:t>, 73(Suppl. 2), pp. 107–131.</w:t>
      </w:r>
    </w:p>
    <w:p w14:paraId="255FBD36">
      <w:pPr>
        <w:spacing w:before="100" w:beforeAutospacing="1" w:after="100" w:afterAutospacing="1" w:line="360" w:lineRule="auto"/>
        <w:jc w:val="both"/>
        <w:rPr>
          <w:rFonts w:ascii="Arial" w:hAnsi="Arial" w:eastAsia="Times New Roman" w:cs="Arial"/>
        </w:rPr>
      </w:pPr>
      <w:r>
        <w:rPr>
          <w:rFonts w:ascii="Arial" w:hAnsi="Arial" w:eastAsia="Times New Roman" w:cs="Arial"/>
        </w:rPr>
        <w:t xml:space="preserve">Sileyew, K.J. (2020) 'Research design and methodology', in Abu-Taieh, E., El Mouatasim, H. and Al Hadid, I. (eds.) </w:t>
      </w:r>
      <w:r>
        <w:rPr>
          <w:rFonts w:ascii="Arial" w:hAnsi="Arial" w:eastAsia="Times New Roman" w:cs="Arial"/>
          <w:i/>
          <w:iCs/>
        </w:rPr>
        <w:t>Cyberspace</w:t>
      </w:r>
      <w:r>
        <w:rPr>
          <w:rFonts w:ascii="Arial" w:hAnsi="Arial" w:eastAsia="Times New Roman" w:cs="Arial"/>
        </w:rPr>
        <w:t>. Rijeka: IntechOpen.</w:t>
      </w:r>
    </w:p>
    <w:sectPr>
      <w:footerReference r:id="rId5" w:type="default"/>
      <w:pgSz w:w="12240" w:h="15840"/>
      <w:pgMar w:top="1440" w:right="1440" w:bottom="1440" w:left="1440" w:header="720" w:footer="720" w:gutter="0"/>
      <w:pgBorders w:offsetFrom="page">
        <w:top w:val="single" w:color="auto" w:sz="12" w:space="24"/>
        <w:left w:val="single" w:color="auto" w:sz="12" w:space="24"/>
        <w:bottom w:val="single" w:color="auto" w:sz="12" w:space="24"/>
        <w:right w:val="single" w:color="auto" w:sz="12"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70515493"/>
      <w:docPartObj>
        <w:docPartGallery w:val="autotext"/>
      </w:docPartObj>
    </w:sdtPr>
    <w:sdtContent>
      <w:p w14:paraId="5CB2F57B">
        <w:pPr>
          <w:pStyle w:val="4"/>
          <w:jc w:val="right"/>
        </w:pPr>
        <w:r>
          <w:fldChar w:fldCharType="begin"/>
        </w:r>
        <w:r>
          <w:instrText xml:space="preserve"> PAGE   \* MERGEFORMAT </w:instrText>
        </w:r>
        <w:r>
          <w:fldChar w:fldCharType="separate"/>
        </w:r>
        <w:r>
          <w:t>8</w:t>
        </w:r>
        <w:r>
          <w:fldChar w:fldCharType="end"/>
        </w:r>
      </w:p>
    </w:sdtContent>
  </w:sdt>
  <w:p w14:paraId="3230CFB9">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20DD"/>
    <w:rsid w:val="000720DD"/>
    <w:rsid w:val="00496F17"/>
    <w:rsid w:val="005B5CE3"/>
    <w:rsid w:val="006E6127"/>
    <w:rsid w:val="009016DC"/>
    <w:rsid w:val="00905E37"/>
    <w:rsid w:val="00A03DE7"/>
    <w:rsid w:val="00A32679"/>
    <w:rsid w:val="00CC45F0"/>
    <w:rsid w:val="00D91419"/>
    <w:rsid w:val="0C181618"/>
    <w:rsid w:val="23B53041"/>
    <w:rsid w:val="407E035E"/>
    <w:rsid w:val="4D064D46"/>
    <w:rsid w:val="692053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8"/>
    <w:unhideWhenUsed/>
    <w:qFormat/>
    <w:uiPriority w:val="99"/>
    <w:pPr>
      <w:tabs>
        <w:tab w:val="center" w:pos="4680"/>
        <w:tab w:val="right" w:pos="9360"/>
      </w:tabs>
      <w:spacing w:after="0" w:line="240" w:lineRule="auto"/>
    </w:pPr>
  </w:style>
  <w:style w:type="paragraph" w:styleId="5">
    <w:name w:val="header"/>
    <w:basedOn w:val="1"/>
    <w:link w:val="7"/>
    <w:unhideWhenUsed/>
    <w:qFormat/>
    <w:uiPriority w:val="99"/>
    <w:pPr>
      <w:tabs>
        <w:tab w:val="center" w:pos="4680"/>
        <w:tab w:val="right" w:pos="9360"/>
      </w:tabs>
      <w:spacing w:after="0" w:line="240" w:lineRule="auto"/>
    </w:pPr>
  </w:style>
  <w:style w:type="table" w:styleId="6">
    <w:name w:val="Table Grid"/>
    <w:basedOn w:val="3"/>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7">
    <w:name w:val="Header Char"/>
    <w:basedOn w:val="2"/>
    <w:link w:val="5"/>
    <w:qFormat/>
    <w:uiPriority w:val="99"/>
  </w:style>
  <w:style w:type="character" w:customStyle="1" w:styleId="8">
    <w:name w:val="Footer Char"/>
    <w:basedOn w:val="2"/>
    <w:link w:val="4"/>
    <w:qFormat/>
    <w:uiPriority w:val="99"/>
  </w:style>
  <w:style w:type="paragraph" w:styleId="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8</Pages>
  <Words>1651</Words>
  <Characters>9965</Characters>
  <Lines>82</Lines>
  <Paragraphs>23</Paragraphs>
  <TotalTime>72</TotalTime>
  <ScaleCrop>false</ScaleCrop>
  <LinksUpToDate>false</LinksUpToDate>
  <CharactersWithSpaces>11570</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2026-08-02T10:28:00Z</dcterms:created>
  <dc:creator>Zuhra Asghar</dc:creator>
  <cp:lastModifiedBy>WPS_1784131123</cp:lastModifiedBy>
  <dcterms:modified xsi:type="dcterms:W3CDTF">2026-08-09T17:42:54Z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eyJoZGlkIjoiYmFiOTM3ZGFlZjc0ODYxYjc0OWE4MzI2ZjM3N2E1ZmQiLCJ1c2VySWQiOiIzODQ4Mjk0NDA3NzE1In0=</vt:lpwstr>
  </property>
  <property fmtid="{D5CDD505-2E9C-101B-9397-08002B2CF9AE}" pid="3" name="KSOProductBuildVer">
    <vt:lpwstr>1033-12.1.0.28032</vt:lpwstr>
  </property>
  <property fmtid="{D5CDD505-2E9C-101B-9397-08002B2CF9AE}" pid="4" name="ICV">
    <vt:lpwstr>FF7A5ABCDFA243C38B0D274F598C254B_13</vt:lpwstr>
  </property>
</Properties>
</file>