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64EFD9A" w14:textId="77777777" w:rsidR="00D55F80" w:rsidRPr="00BA1D53" w:rsidRDefault="00D55F80" w:rsidP="00D55F80">
      <w:pPr>
        <w:rPr>
          <w:rFonts w:cs="Arial"/>
        </w:rPr>
      </w:pPr>
    </w:p>
    <w:p w14:paraId="6F63ABB3" w14:textId="77777777" w:rsidR="00D55F80" w:rsidRPr="00BA1D53" w:rsidRDefault="00D55F80" w:rsidP="00D55F80">
      <w:pPr>
        <w:rPr>
          <w:rFonts w:cs="Arial"/>
        </w:rPr>
      </w:pPr>
      <w:r w:rsidRPr="00BA1D53">
        <w:rPr>
          <w:rFonts w:cs="Arial"/>
          <w:noProof/>
          <w:lang w:val="en-US"/>
        </w:rPr>
        <w:drawing>
          <wp:anchor distT="0" distB="0" distL="114300" distR="114300" simplePos="0" relativeHeight="251659264" behindDoc="0" locked="0" layoutInCell="1" hidden="0" allowOverlap="1" wp14:anchorId="59B38E1E" wp14:editId="585FF208">
            <wp:simplePos x="0" y="0"/>
            <wp:positionH relativeFrom="column">
              <wp:posOffset>1819275</wp:posOffset>
            </wp:positionH>
            <wp:positionV relativeFrom="paragraph">
              <wp:posOffset>260985</wp:posOffset>
            </wp:positionV>
            <wp:extent cx="1990725" cy="952500"/>
            <wp:effectExtent l="0" t="0" r="9525" b="0"/>
            <wp:wrapSquare wrapText="bothSides" distT="0" distB="0" distL="114300" distR="114300"/>
            <wp:docPr id="1581556340"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990725" cy="952500"/>
                    </a:xfrm>
                    <a:prstGeom prst="rect">
                      <a:avLst/>
                    </a:prstGeom>
                    <a:ln/>
                  </pic:spPr>
                </pic:pic>
              </a:graphicData>
            </a:graphic>
            <wp14:sizeRelH relativeFrom="margin">
              <wp14:pctWidth>0</wp14:pctWidth>
            </wp14:sizeRelH>
            <wp14:sizeRelV relativeFrom="margin">
              <wp14:pctHeight>0</wp14:pctHeight>
            </wp14:sizeRelV>
          </wp:anchor>
        </w:drawing>
      </w:r>
    </w:p>
    <w:p w14:paraId="5DBED90D" w14:textId="77777777" w:rsidR="00D55F80" w:rsidRPr="00BA1D53" w:rsidRDefault="00D55F80" w:rsidP="00D55F80">
      <w:pPr>
        <w:rPr>
          <w:rFonts w:cs="Arial"/>
        </w:rPr>
      </w:pPr>
    </w:p>
    <w:p w14:paraId="7D99BEA1" w14:textId="77777777" w:rsidR="00D55F80" w:rsidRPr="00BA1D53" w:rsidRDefault="00D55F80" w:rsidP="00D55F80">
      <w:pPr>
        <w:rPr>
          <w:rFonts w:cs="Arial"/>
        </w:rPr>
      </w:pPr>
    </w:p>
    <w:p w14:paraId="0E3330CF" w14:textId="77777777" w:rsidR="00D55F80" w:rsidRPr="00BA1D53" w:rsidRDefault="00D55F80" w:rsidP="00D55F80">
      <w:pPr>
        <w:rPr>
          <w:rFonts w:cs="Arial"/>
        </w:rPr>
      </w:pPr>
    </w:p>
    <w:p w14:paraId="5CE434A9" w14:textId="77777777" w:rsidR="00D55F80" w:rsidRPr="00BA1D53" w:rsidRDefault="00D55F80" w:rsidP="00D55F80">
      <w:pPr>
        <w:rPr>
          <w:rFonts w:cs="Arial"/>
        </w:rPr>
      </w:pPr>
    </w:p>
    <w:p w14:paraId="39C531D4" w14:textId="77777777" w:rsidR="00D55F80" w:rsidRPr="00BA1D53" w:rsidRDefault="00D55F80" w:rsidP="00D55F80">
      <w:pPr>
        <w:rPr>
          <w:rFonts w:cs="Arial"/>
        </w:rPr>
      </w:pPr>
    </w:p>
    <w:p w14:paraId="5D156436" w14:textId="77777777" w:rsidR="00D55F80" w:rsidRPr="00BA1D53" w:rsidRDefault="00D55F80" w:rsidP="00D55F80">
      <w:pPr>
        <w:jc w:val="left"/>
        <w:rPr>
          <w:rFonts w:cs="Arial"/>
          <w:sz w:val="28"/>
        </w:rPr>
      </w:pPr>
      <w:r w:rsidRPr="00BA1D53">
        <w:rPr>
          <w:rFonts w:cs="Arial"/>
          <w:sz w:val="28"/>
        </w:rPr>
        <w:t>Programme: Master of Business Administration</w:t>
      </w:r>
    </w:p>
    <w:p w14:paraId="18B24F6D" w14:textId="77777777" w:rsidR="00D55F80" w:rsidRPr="00BA1D53" w:rsidRDefault="00D55F80" w:rsidP="00D55F80">
      <w:pPr>
        <w:jc w:val="left"/>
        <w:rPr>
          <w:rFonts w:cs="Arial"/>
          <w:sz w:val="28"/>
        </w:rPr>
      </w:pPr>
      <w:r w:rsidRPr="00BA1D53">
        <w:rPr>
          <w:rFonts w:cs="Arial"/>
          <w:sz w:val="28"/>
        </w:rPr>
        <w:t>Module Code: LCMB7002</w:t>
      </w:r>
    </w:p>
    <w:p w14:paraId="0B9DB9FB" w14:textId="77777777" w:rsidR="00D55F80" w:rsidRPr="00BA1D53" w:rsidRDefault="00D55F80" w:rsidP="00D55F80">
      <w:pPr>
        <w:jc w:val="left"/>
        <w:rPr>
          <w:rFonts w:cs="Arial"/>
          <w:sz w:val="28"/>
        </w:rPr>
      </w:pPr>
      <w:r w:rsidRPr="00BA1D53">
        <w:rPr>
          <w:rFonts w:cs="Arial"/>
          <w:sz w:val="28"/>
        </w:rPr>
        <w:t>Module Name: Financial Management</w:t>
      </w:r>
    </w:p>
    <w:p w14:paraId="3CF47A32" w14:textId="77777777" w:rsidR="00D55F80" w:rsidRPr="00BA1D53" w:rsidRDefault="00D55F80" w:rsidP="00D55F80">
      <w:pPr>
        <w:jc w:val="left"/>
        <w:rPr>
          <w:rFonts w:cs="Arial"/>
          <w:sz w:val="28"/>
        </w:rPr>
      </w:pPr>
      <w:r w:rsidRPr="00BA1D53">
        <w:rPr>
          <w:rFonts w:cs="Arial"/>
          <w:sz w:val="28"/>
        </w:rPr>
        <w:t>Title of the assignment: Financial performance and management</w:t>
      </w:r>
    </w:p>
    <w:p w14:paraId="0A00A9DB" w14:textId="77777777" w:rsidR="00D55F80" w:rsidRPr="00BA1D53" w:rsidRDefault="00D55F80" w:rsidP="00D55F80">
      <w:pPr>
        <w:jc w:val="left"/>
        <w:rPr>
          <w:rFonts w:cs="Arial"/>
          <w:sz w:val="28"/>
        </w:rPr>
      </w:pPr>
      <w:r w:rsidRPr="00BA1D53">
        <w:rPr>
          <w:rFonts w:cs="Arial"/>
          <w:sz w:val="28"/>
        </w:rPr>
        <w:t>Lecturer name: Patrick Yeboah</w:t>
      </w:r>
    </w:p>
    <w:p w14:paraId="18948F4A" w14:textId="77777777" w:rsidR="00D55F80" w:rsidRPr="00BA1D53" w:rsidRDefault="00D55F80" w:rsidP="00D55F80">
      <w:pPr>
        <w:jc w:val="left"/>
        <w:rPr>
          <w:rFonts w:cs="Arial"/>
          <w:sz w:val="28"/>
        </w:rPr>
      </w:pPr>
      <w:r w:rsidRPr="00BA1D53">
        <w:rPr>
          <w:rFonts w:cs="Arial"/>
          <w:sz w:val="28"/>
        </w:rPr>
        <w:t>Student name: Syed Ajharul Amin</w:t>
      </w:r>
    </w:p>
    <w:p w14:paraId="1649C72D" w14:textId="77777777" w:rsidR="00D55F80" w:rsidRPr="00BA1D53" w:rsidRDefault="00D55F80" w:rsidP="00D55F80">
      <w:pPr>
        <w:jc w:val="left"/>
        <w:rPr>
          <w:rFonts w:cs="Arial"/>
          <w:sz w:val="28"/>
        </w:rPr>
      </w:pPr>
      <w:r w:rsidRPr="00BA1D53">
        <w:rPr>
          <w:rFonts w:cs="Arial"/>
          <w:sz w:val="28"/>
        </w:rPr>
        <w:t>Student ID: 2436655</w:t>
      </w:r>
    </w:p>
    <w:p w14:paraId="313BB537" w14:textId="301D1AE2" w:rsidR="00D55F80" w:rsidRPr="00BA1D53" w:rsidRDefault="00D55F80" w:rsidP="00D55F80">
      <w:pPr>
        <w:jc w:val="left"/>
        <w:rPr>
          <w:rFonts w:cs="Arial"/>
          <w:sz w:val="28"/>
        </w:rPr>
      </w:pPr>
      <w:r w:rsidRPr="00BA1D53">
        <w:rPr>
          <w:rFonts w:cs="Arial"/>
          <w:sz w:val="28"/>
        </w:rPr>
        <w:t xml:space="preserve">Word Count: </w:t>
      </w:r>
      <w:r w:rsidR="00F246E4">
        <w:rPr>
          <w:rFonts w:cs="Arial"/>
          <w:sz w:val="28"/>
        </w:rPr>
        <w:t>5</w:t>
      </w:r>
      <w:r w:rsidR="000F0229">
        <w:rPr>
          <w:rFonts w:cs="Arial"/>
          <w:sz w:val="28"/>
        </w:rPr>
        <w:t>413</w:t>
      </w:r>
    </w:p>
    <w:p w14:paraId="5AA3D1C6" w14:textId="77777777" w:rsidR="00D55F80" w:rsidRPr="00BA1D53" w:rsidRDefault="00D55F80" w:rsidP="00D55F80">
      <w:pPr>
        <w:jc w:val="left"/>
        <w:rPr>
          <w:rFonts w:cs="Arial"/>
          <w:sz w:val="28"/>
        </w:rPr>
      </w:pPr>
      <w:r w:rsidRPr="00BA1D53">
        <w:rPr>
          <w:rFonts w:cs="Arial"/>
          <w:sz w:val="28"/>
        </w:rPr>
        <w:t>Date of submission: 24th November 2025</w:t>
      </w:r>
    </w:p>
    <w:p w14:paraId="75ABFF1A" w14:textId="77777777" w:rsidR="000F19BD" w:rsidRPr="00BA1D53" w:rsidRDefault="000F19BD">
      <w:pPr>
        <w:spacing w:line="259" w:lineRule="auto"/>
        <w:jc w:val="left"/>
        <w:rPr>
          <w:rFonts w:cs="Arial"/>
        </w:rPr>
      </w:pPr>
      <w:r w:rsidRPr="00BA1D53">
        <w:rPr>
          <w:rFonts w:cs="Arial"/>
        </w:rPr>
        <w:br w:type="page"/>
      </w:r>
    </w:p>
    <w:sdt>
      <w:sdtPr>
        <w:rPr>
          <w:rFonts w:ascii="Arial" w:eastAsiaTheme="minorHAnsi" w:hAnsi="Arial" w:cs="Arial"/>
          <w:color w:val="auto"/>
          <w:sz w:val="24"/>
          <w:szCs w:val="22"/>
          <w:lang w:val="en-GB"/>
        </w:rPr>
        <w:id w:val="833335176"/>
        <w:docPartObj>
          <w:docPartGallery w:val="Table of Contents"/>
          <w:docPartUnique/>
        </w:docPartObj>
      </w:sdtPr>
      <w:sdtEndPr>
        <w:rPr>
          <w:b/>
          <w:bCs/>
          <w:noProof/>
        </w:rPr>
      </w:sdtEndPr>
      <w:sdtContent>
        <w:p w14:paraId="206BFEB0" w14:textId="7315727A" w:rsidR="000F19BD" w:rsidRPr="00BA1D53" w:rsidRDefault="000F19BD">
          <w:pPr>
            <w:pStyle w:val="TOCHeading"/>
            <w:rPr>
              <w:rFonts w:ascii="Arial" w:hAnsi="Arial" w:cs="Arial"/>
              <w:color w:val="auto"/>
            </w:rPr>
          </w:pPr>
          <w:r w:rsidRPr="00BA1D53">
            <w:rPr>
              <w:rFonts w:ascii="Arial" w:hAnsi="Arial" w:cs="Arial"/>
              <w:color w:val="auto"/>
            </w:rPr>
            <w:t>Table of Contents</w:t>
          </w:r>
        </w:p>
        <w:bookmarkStart w:id="0" w:name="_GoBack"/>
        <w:bookmarkEnd w:id="0"/>
        <w:p w14:paraId="2BC045FE" w14:textId="5C5E4CBD" w:rsidR="00767A07" w:rsidRDefault="000F19BD">
          <w:pPr>
            <w:pStyle w:val="TOC1"/>
            <w:tabs>
              <w:tab w:val="right" w:leader="dot" w:pos="9350"/>
            </w:tabs>
            <w:rPr>
              <w:rFonts w:asciiTheme="minorHAnsi" w:eastAsiaTheme="minorEastAsia" w:hAnsiTheme="minorHAnsi"/>
              <w:noProof/>
              <w:sz w:val="22"/>
              <w:lang w:val="en-US"/>
            </w:rPr>
          </w:pPr>
          <w:r w:rsidRPr="00BA1D53">
            <w:rPr>
              <w:rFonts w:cs="Arial"/>
            </w:rPr>
            <w:fldChar w:fldCharType="begin"/>
          </w:r>
          <w:r w:rsidRPr="00BA1D53">
            <w:rPr>
              <w:rFonts w:cs="Arial"/>
            </w:rPr>
            <w:instrText xml:space="preserve"> TOC \o "1-3" \h \z \u </w:instrText>
          </w:r>
          <w:r w:rsidRPr="00BA1D53">
            <w:rPr>
              <w:rFonts w:cs="Arial"/>
            </w:rPr>
            <w:fldChar w:fldCharType="separate"/>
          </w:r>
          <w:hyperlink w:anchor="_Toc214712738" w:history="1">
            <w:r w:rsidR="00767A07" w:rsidRPr="00884556">
              <w:rPr>
                <w:rStyle w:val="Hyperlink"/>
                <w:rFonts w:cs="Arial"/>
                <w:noProof/>
              </w:rPr>
              <w:t>Introduction</w:t>
            </w:r>
            <w:r w:rsidR="00767A07">
              <w:rPr>
                <w:noProof/>
                <w:webHidden/>
              </w:rPr>
              <w:tab/>
            </w:r>
            <w:r w:rsidR="00767A07">
              <w:rPr>
                <w:noProof/>
                <w:webHidden/>
              </w:rPr>
              <w:fldChar w:fldCharType="begin"/>
            </w:r>
            <w:r w:rsidR="00767A07">
              <w:rPr>
                <w:noProof/>
                <w:webHidden/>
              </w:rPr>
              <w:instrText xml:space="preserve"> PAGEREF _Toc214712738 \h </w:instrText>
            </w:r>
            <w:r w:rsidR="00767A07">
              <w:rPr>
                <w:noProof/>
                <w:webHidden/>
              </w:rPr>
            </w:r>
            <w:r w:rsidR="00767A07">
              <w:rPr>
                <w:noProof/>
                <w:webHidden/>
              </w:rPr>
              <w:fldChar w:fldCharType="separate"/>
            </w:r>
            <w:r w:rsidR="00767A07">
              <w:rPr>
                <w:noProof/>
                <w:webHidden/>
              </w:rPr>
              <w:t>1</w:t>
            </w:r>
            <w:r w:rsidR="00767A07">
              <w:rPr>
                <w:noProof/>
                <w:webHidden/>
              </w:rPr>
              <w:fldChar w:fldCharType="end"/>
            </w:r>
          </w:hyperlink>
        </w:p>
        <w:p w14:paraId="0A49E038" w14:textId="77168870" w:rsidR="00767A07" w:rsidRDefault="00767A07">
          <w:pPr>
            <w:pStyle w:val="TOC1"/>
            <w:tabs>
              <w:tab w:val="right" w:leader="dot" w:pos="9350"/>
            </w:tabs>
            <w:rPr>
              <w:rFonts w:asciiTheme="minorHAnsi" w:eastAsiaTheme="minorEastAsia" w:hAnsiTheme="minorHAnsi"/>
              <w:noProof/>
              <w:sz w:val="22"/>
              <w:lang w:val="en-US"/>
            </w:rPr>
          </w:pPr>
          <w:hyperlink w:anchor="_Toc214712739" w:history="1">
            <w:r w:rsidRPr="00884556">
              <w:rPr>
                <w:rStyle w:val="Hyperlink"/>
                <w:rFonts w:cs="Arial"/>
                <w:noProof/>
              </w:rPr>
              <w:t>Financial Health Check</w:t>
            </w:r>
            <w:r>
              <w:rPr>
                <w:noProof/>
                <w:webHidden/>
              </w:rPr>
              <w:tab/>
            </w:r>
            <w:r>
              <w:rPr>
                <w:noProof/>
                <w:webHidden/>
              </w:rPr>
              <w:fldChar w:fldCharType="begin"/>
            </w:r>
            <w:r>
              <w:rPr>
                <w:noProof/>
                <w:webHidden/>
              </w:rPr>
              <w:instrText xml:space="preserve"> PAGEREF _Toc214712739 \h </w:instrText>
            </w:r>
            <w:r>
              <w:rPr>
                <w:noProof/>
                <w:webHidden/>
              </w:rPr>
            </w:r>
            <w:r>
              <w:rPr>
                <w:noProof/>
                <w:webHidden/>
              </w:rPr>
              <w:fldChar w:fldCharType="separate"/>
            </w:r>
            <w:r>
              <w:rPr>
                <w:noProof/>
                <w:webHidden/>
              </w:rPr>
              <w:t>1</w:t>
            </w:r>
            <w:r>
              <w:rPr>
                <w:noProof/>
                <w:webHidden/>
              </w:rPr>
              <w:fldChar w:fldCharType="end"/>
            </w:r>
          </w:hyperlink>
        </w:p>
        <w:p w14:paraId="4F2B67A2" w14:textId="05C734A8" w:rsidR="00767A07" w:rsidRDefault="00767A07">
          <w:pPr>
            <w:pStyle w:val="TOC2"/>
            <w:tabs>
              <w:tab w:val="right" w:leader="dot" w:pos="9350"/>
            </w:tabs>
            <w:rPr>
              <w:rFonts w:asciiTheme="minorHAnsi" w:eastAsiaTheme="minorEastAsia" w:hAnsiTheme="minorHAnsi"/>
              <w:noProof/>
              <w:sz w:val="22"/>
              <w:lang w:val="en-US"/>
            </w:rPr>
          </w:pPr>
          <w:hyperlink w:anchor="_Toc214712740" w:history="1">
            <w:r w:rsidRPr="00884556">
              <w:rPr>
                <w:rStyle w:val="Hyperlink"/>
                <w:rFonts w:cs="Arial"/>
                <w:noProof/>
              </w:rPr>
              <w:t>Ratio Analysis of General Electronics</w:t>
            </w:r>
            <w:r>
              <w:rPr>
                <w:noProof/>
                <w:webHidden/>
              </w:rPr>
              <w:tab/>
            </w:r>
            <w:r>
              <w:rPr>
                <w:noProof/>
                <w:webHidden/>
              </w:rPr>
              <w:fldChar w:fldCharType="begin"/>
            </w:r>
            <w:r>
              <w:rPr>
                <w:noProof/>
                <w:webHidden/>
              </w:rPr>
              <w:instrText xml:space="preserve"> PAGEREF _Toc214712740 \h </w:instrText>
            </w:r>
            <w:r>
              <w:rPr>
                <w:noProof/>
                <w:webHidden/>
              </w:rPr>
            </w:r>
            <w:r>
              <w:rPr>
                <w:noProof/>
                <w:webHidden/>
              </w:rPr>
              <w:fldChar w:fldCharType="separate"/>
            </w:r>
            <w:r>
              <w:rPr>
                <w:noProof/>
                <w:webHidden/>
              </w:rPr>
              <w:t>2</w:t>
            </w:r>
            <w:r>
              <w:rPr>
                <w:noProof/>
                <w:webHidden/>
              </w:rPr>
              <w:fldChar w:fldCharType="end"/>
            </w:r>
          </w:hyperlink>
        </w:p>
        <w:p w14:paraId="4F33A0E5" w14:textId="45D9BD96" w:rsidR="00767A07" w:rsidRDefault="00767A07">
          <w:pPr>
            <w:pStyle w:val="TOC3"/>
            <w:tabs>
              <w:tab w:val="right" w:leader="dot" w:pos="9350"/>
            </w:tabs>
            <w:rPr>
              <w:rFonts w:asciiTheme="minorHAnsi" w:eastAsiaTheme="minorEastAsia" w:hAnsiTheme="minorHAnsi"/>
              <w:noProof/>
              <w:sz w:val="22"/>
              <w:lang w:val="en-US"/>
            </w:rPr>
          </w:pPr>
          <w:hyperlink w:anchor="_Toc214712741" w:history="1">
            <w:r w:rsidRPr="00884556">
              <w:rPr>
                <w:rStyle w:val="Hyperlink"/>
                <w:rFonts w:cs="Arial"/>
                <w:noProof/>
              </w:rPr>
              <w:t>Profitability Ratios</w:t>
            </w:r>
            <w:r>
              <w:rPr>
                <w:noProof/>
                <w:webHidden/>
              </w:rPr>
              <w:tab/>
            </w:r>
            <w:r>
              <w:rPr>
                <w:noProof/>
                <w:webHidden/>
              </w:rPr>
              <w:fldChar w:fldCharType="begin"/>
            </w:r>
            <w:r>
              <w:rPr>
                <w:noProof/>
                <w:webHidden/>
              </w:rPr>
              <w:instrText xml:space="preserve"> PAGEREF _Toc214712741 \h </w:instrText>
            </w:r>
            <w:r>
              <w:rPr>
                <w:noProof/>
                <w:webHidden/>
              </w:rPr>
            </w:r>
            <w:r>
              <w:rPr>
                <w:noProof/>
                <w:webHidden/>
              </w:rPr>
              <w:fldChar w:fldCharType="separate"/>
            </w:r>
            <w:r>
              <w:rPr>
                <w:noProof/>
                <w:webHidden/>
              </w:rPr>
              <w:t>4</w:t>
            </w:r>
            <w:r>
              <w:rPr>
                <w:noProof/>
                <w:webHidden/>
              </w:rPr>
              <w:fldChar w:fldCharType="end"/>
            </w:r>
          </w:hyperlink>
        </w:p>
        <w:p w14:paraId="0AB05261" w14:textId="5D228DE9" w:rsidR="00767A07" w:rsidRDefault="00767A07">
          <w:pPr>
            <w:pStyle w:val="TOC2"/>
            <w:tabs>
              <w:tab w:val="right" w:leader="dot" w:pos="9350"/>
            </w:tabs>
            <w:rPr>
              <w:rFonts w:asciiTheme="minorHAnsi" w:eastAsiaTheme="minorEastAsia" w:hAnsiTheme="minorHAnsi"/>
              <w:noProof/>
              <w:sz w:val="22"/>
              <w:lang w:val="en-US"/>
            </w:rPr>
          </w:pPr>
          <w:hyperlink w:anchor="_Toc214712742" w:history="1">
            <w:r w:rsidRPr="00884556">
              <w:rPr>
                <w:rStyle w:val="Hyperlink"/>
                <w:noProof/>
              </w:rPr>
              <w:t>Liquidity Ratios</w:t>
            </w:r>
            <w:r>
              <w:rPr>
                <w:noProof/>
                <w:webHidden/>
              </w:rPr>
              <w:tab/>
            </w:r>
            <w:r>
              <w:rPr>
                <w:noProof/>
                <w:webHidden/>
              </w:rPr>
              <w:fldChar w:fldCharType="begin"/>
            </w:r>
            <w:r>
              <w:rPr>
                <w:noProof/>
                <w:webHidden/>
              </w:rPr>
              <w:instrText xml:space="preserve"> PAGEREF _Toc214712742 \h </w:instrText>
            </w:r>
            <w:r>
              <w:rPr>
                <w:noProof/>
                <w:webHidden/>
              </w:rPr>
            </w:r>
            <w:r>
              <w:rPr>
                <w:noProof/>
                <w:webHidden/>
              </w:rPr>
              <w:fldChar w:fldCharType="separate"/>
            </w:r>
            <w:r>
              <w:rPr>
                <w:noProof/>
                <w:webHidden/>
              </w:rPr>
              <w:t>4</w:t>
            </w:r>
            <w:r>
              <w:rPr>
                <w:noProof/>
                <w:webHidden/>
              </w:rPr>
              <w:fldChar w:fldCharType="end"/>
            </w:r>
          </w:hyperlink>
        </w:p>
        <w:p w14:paraId="2954F6E8" w14:textId="17EB5812" w:rsidR="00767A07" w:rsidRDefault="00767A07">
          <w:pPr>
            <w:pStyle w:val="TOC3"/>
            <w:tabs>
              <w:tab w:val="right" w:leader="dot" w:pos="9350"/>
            </w:tabs>
            <w:rPr>
              <w:rFonts w:asciiTheme="minorHAnsi" w:eastAsiaTheme="minorEastAsia" w:hAnsiTheme="minorHAnsi"/>
              <w:noProof/>
              <w:sz w:val="22"/>
              <w:lang w:val="en-US"/>
            </w:rPr>
          </w:pPr>
          <w:hyperlink w:anchor="_Toc214712743" w:history="1">
            <w:r w:rsidRPr="00884556">
              <w:rPr>
                <w:rStyle w:val="Hyperlink"/>
                <w:rFonts w:cs="Arial"/>
                <w:noProof/>
              </w:rPr>
              <w:t>Efficiency Ratios</w:t>
            </w:r>
            <w:r>
              <w:rPr>
                <w:noProof/>
                <w:webHidden/>
              </w:rPr>
              <w:tab/>
            </w:r>
            <w:r>
              <w:rPr>
                <w:noProof/>
                <w:webHidden/>
              </w:rPr>
              <w:fldChar w:fldCharType="begin"/>
            </w:r>
            <w:r>
              <w:rPr>
                <w:noProof/>
                <w:webHidden/>
              </w:rPr>
              <w:instrText xml:space="preserve"> PAGEREF _Toc214712743 \h </w:instrText>
            </w:r>
            <w:r>
              <w:rPr>
                <w:noProof/>
                <w:webHidden/>
              </w:rPr>
            </w:r>
            <w:r>
              <w:rPr>
                <w:noProof/>
                <w:webHidden/>
              </w:rPr>
              <w:fldChar w:fldCharType="separate"/>
            </w:r>
            <w:r>
              <w:rPr>
                <w:noProof/>
                <w:webHidden/>
              </w:rPr>
              <w:t>5</w:t>
            </w:r>
            <w:r>
              <w:rPr>
                <w:noProof/>
                <w:webHidden/>
              </w:rPr>
              <w:fldChar w:fldCharType="end"/>
            </w:r>
          </w:hyperlink>
        </w:p>
        <w:p w14:paraId="3B90E771" w14:textId="4236FABF" w:rsidR="00767A07" w:rsidRDefault="00767A07">
          <w:pPr>
            <w:pStyle w:val="TOC3"/>
            <w:tabs>
              <w:tab w:val="right" w:leader="dot" w:pos="9350"/>
            </w:tabs>
            <w:rPr>
              <w:rFonts w:asciiTheme="minorHAnsi" w:eastAsiaTheme="minorEastAsia" w:hAnsiTheme="minorHAnsi"/>
              <w:noProof/>
              <w:sz w:val="22"/>
              <w:lang w:val="en-US"/>
            </w:rPr>
          </w:pPr>
          <w:hyperlink w:anchor="_Toc214712744" w:history="1">
            <w:r w:rsidRPr="00884556">
              <w:rPr>
                <w:rStyle w:val="Hyperlink"/>
                <w:rFonts w:cs="Arial"/>
                <w:noProof/>
              </w:rPr>
              <w:t>Gearing Ratios</w:t>
            </w:r>
            <w:r>
              <w:rPr>
                <w:noProof/>
                <w:webHidden/>
              </w:rPr>
              <w:tab/>
            </w:r>
            <w:r>
              <w:rPr>
                <w:noProof/>
                <w:webHidden/>
              </w:rPr>
              <w:fldChar w:fldCharType="begin"/>
            </w:r>
            <w:r>
              <w:rPr>
                <w:noProof/>
                <w:webHidden/>
              </w:rPr>
              <w:instrText xml:space="preserve"> PAGEREF _Toc214712744 \h </w:instrText>
            </w:r>
            <w:r>
              <w:rPr>
                <w:noProof/>
                <w:webHidden/>
              </w:rPr>
            </w:r>
            <w:r>
              <w:rPr>
                <w:noProof/>
                <w:webHidden/>
              </w:rPr>
              <w:fldChar w:fldCharType="separate"/>
            </w:r>
            <w:r>
              <w:rPr>
                <w:noProof/>
                <w:webHidden/>
              </w:rPr>
              <w:t>6</w:t>
            </w:r>
            <w:r>
              <w:rPr>
                <w:noProof/>
                <w:webHidden/>
              </w:rPr>
              <w:fldChar w:fldCharType="end"/>
            </w:r>
          </w:hyperlink>
        </w:p>
        <w:p w14:paraId="410BA6A1" w14:textId="1E3FC669" w:rsidR="00767A07" w:rsidRDefault="00767A07">
          <w:pPr>
            <w:pStyle w:val="TOC3"/>
            <w:tabs>
              <w:tab w:val="right" w:leader="dot" w:pos="9350"/>
            </w:tabs>
            <w:rPr>
              <w:rFonts w:asciiTheme="minorHAnsi" w:eastAsiaTheme="minorEastAsia" w:hAnsiTheme="minorHAnsi"/>
              <w:noProof/>
              <w:sz w:val="22"/>
              <w:lang w:val="en-US"/>
            </w:rPr>
          </w:pPr>
          <w:hyperlink w:anchor="_Toc214712745" w:history="1">
            <w:r w:rsidRPr="00884556">
              <w:rPr>
                <w:rStyle w:val="Hyperlink"/>
                <w:rFonts w:cs="Arial"/>
                <w:noProof/>
              </w:rPr>
              <w:t>Investment Ratios</w:t>
            </w:r>
            <w:r>
              <w:rPr>
                <w:noProof/>
                <w:webHidden/>
              </w:rPr>
              <w:tab/>
            </w:r>
            <w:r>
              <w:rPr>
                <w:noProof/>
                <w:webHidden/>
              </w:rPr>
              <w:fldChar w:fldCharType="begin"/>
            </w:r>
            <w:r>
              <w:rPr>
                <w:noProof/>
                <w:webHidden/>
              </w:rPr>
              <w:instrText xml:space="preserve"> PAGEREF _Toc214712745 \h </w:instrText>
            </w:r>
            <w:r>
              <w:rPr>
                <w:noProof/>
                <w:webHidden/>
              </w:rPr>
            </w:r>
            <w:r>
              <w:rPr>
                <w:noProof/>
                <w:webHidden/>
              </w:rPr>
              <w:fldChar w:fldCharType="separate"/>
            </w:r>
            <w:r>
              <w:rPr>
                <w:noProof/>
                <w:webHidden/>
              </w:rPr>
              <w:t>7</w:t>
            </w:r>
            <w:r>
              <w:rPr>
                <w:noProof/>
                <w:webHidden/>
              </w:rPr>
              <w:fldChar w:fldCharType="end"/>
            </w:r>
          </w:hyperlink>
        </w:p>
        <w:p w14:paraId="77043A63" w14:textId="16E4BFF8" w:rsidR="00767A07" w:rsidRDefault="00767A07">
          <w:pPr>
            <w:pStyle w:val="TOC2"/>
            <w:tabs>
              <w:tab w:val="right" w:leader="dot" w:pos="9350"/>
            </w:tabs>
            <w:rPr>
              <w:rFonts w:asciiTheme="minorHAnsi" w:eastAsiaTheme="minorEastAsia" w:hAnsiTheme="minorHAnsi"/>
              <w:noProof/>
              <w:sz w:val="22"/>
              <w:lang w:val="en-US"/>
            </w:rPr>
          </w:pPr>
          <w:hyperlink w:anchor="_Toc214712746" w:history="1">
            <w:r w:rsidRPr="00884556">
              <w:rPr>
                <w:rStyle w:val="Hyperlink"/>
                <w:rFonts w:cs="Arial"/>
                <w:noProof/>
              </w:rPr>
              <w:t>Trends, Strengths, and Threats in Financial Performance</w:t>
            </w:r>
            <w:r>
              <w:rPr>
                <w:noProof/>
                <w:webHidden/>
              </w:rPr>
              <w:tab/>
            </w:r>
            <w:r>
              <w:rPr>
                <w:noProof/>
                <w:webHidden/>
              </w:rPr>
              <w:fldChar w:fldCharType="begin"/>
            </w:r>
            <w:r>
              <w:rPr>
                <w:noProof/>
                <w:webHidden/>
              </w:rPr>
              <w:instrText xml:space="preserve"> PAGEREF _Toc214712746 \h </w:instrText>
            </w:r>
            <w:r>
              <w:rPr>
                <w:noProof/>
                <w:webHidden/>
              </w:rPr>
            </w:r>
            <w:r>
              <w:rPr>
                <w:noProof/>
                <w:webHidden/>
              </w:rPr>
              <w:fldChar w:fldCharType="separate"/>
            </w:r>
            <w:r>
              <w:rPr>
                <w:noProof/>
                <w:webHidden/>
              </w:rPr>
              <w:t>7</w:t>
            </w:r>
            <w:r>
              <w:rPr>
                <w:noProof/>
                <w:webHidden/>
              </w:rPr>
              <w:fldChar w:fldCharType="end"/>
            </w:r>
          </w:hyperlink>
        </w:p>
        <w:p w14:paraId="7840E83D" w14:textId="58620507" w:rsidR="00767A07" w:rsidRDefault="00767A07">
          <w:pPr>
            <w:pStyle w:val="TOC2"/>
            <w:tabs>
              <w:tab w:val="right" w:leader="dot" w:pos="9350"/>
            </w:tabs>
            <w:rPr>
              <w:rFonts w:asciiTheme="minorHAnsi" w:eastAsiaTheme="minorEastAsia" w:hAnsiTheme="minorHAnsi"/>
              <w:noProof/>
              <w:sz w:val="22"/>
              <w:lang w:val="en-US"/>
            </w:rPr>
          </w:pPr>
          <w:hyperlink w:anchor="_Toc214712747" w:history="1">
            <w:r w:rsidRPr="00884556">
              <w:rPr>
                <w:rStyle w:val="Hyperlink"/>
                <w:rFonts w:cs="Arial"/>
                <w:noProof/>
              </w:rPr>
              <w:t>Strengths in the Financials</w:t>
            </w:r>
            <w:r>
              <w:rPr>
                <w:noProof/>
                <w:webHidden/>
              </w:rPr>
              <w:tab/>
            </w:r>
            <w:r>
              <w:rPr>
                <w:noProof/>
                <w:webHidden/>
              </w:rPr>
              <w:fldChar w:fldCharType="begin"/>
            </w:r>
            <w:r>
              <w:rPr>
                <w:noProof/>
                <w:webHidden/>
              </w:rPr>
              <w:instrText xml:space="preserve"> PAGEREF _Toc214712747 \h </w:instrText>
            </w:r>
            <w:r>
              <w:rPr>
                <w:noProof/>
                <w:webHidden/>
              </w:rPr>
            </w:r>
            <w:r>
              <w:rPr>
                <w:noProof/>
                <w:webHidden/>
              </w:rPr>
              <w:fldChar w:fldCharType="separate"/>
            </w:r>
            <w:r>
              <w:rPr>
                <w:noProof/>
                <w:webHidden/>
              </w:rPr>
              <w:t>8</w:t>
            </w:r>
            <w:r>
              <w:rPr>
                <w:noProof/>
                <w:webHidden/>
              </w:rPr>
              <w:fldChar w:fldCharType="end"/>
            </w:r>
          </w:hyperlink>
        </w:p>
        <w:p w14:paraId="6D1A6B29" w14:textId="05C3981B" w:rsidR="00767A07" w:rsidRDefault="00767A07">
          <w:pPr>
            <w:pStyle w:val="TOC2"/>
            <w:tabs>
              <w:tab w:val="right" w:leader="dot" w:pos="9350"/>
            </w:tabs>
            <w:rPr>
              <w:rFonts w:asciiTheme="minorHAnsi" w:eastAsiaTheme="minorEastAsia" w:hAnsiTheme="minorHAnsi"/>
              <w:noProof/>
              <w:sz w:val="22"/>
              <w:lang w:val="en-US"/>
            </w:rPr>
          </w:pPr>
          <w:hyperlink w:anchor="_Toc214712748" w:history="1">
            <w:r w:rsidRPr="00884556">
              <w:rPr>
                <w:rStyle w:val="Hyperlink"/>
                <w:rFonts w:cs="Arial"/>
                <w:noProof/>
              </w:rPr>
              <w:t>Financial Weaknesses</w:t>
            </w:r>
            <w:r>
              <w:rPr>
                <w:noProof/>
                <w:webHidden/>
              </w:rPr>
              <w:tab/>
            </w:r>
            <w:r>
              <w:rPr>
                <w:noProof/>
                <w:webHidden/>
              </w:rPr>
              <w:fldChar w:fldCharType="begin"/>
            </w:r>
            <w:r>
              <w:rPr>
                <w:noProof/>
                <w:webHidden/>
              </w:rPr>
              <w:instrText xml:space="preserve"> PAGEREF _Toc214712748 \h </w:instrText>
            </w:r>
            <w:r>
              <w:rPr>
                <w:noProof/>
                <w:webHidden/>
              </w:rPr>
            </w:r>
            <w:r>
              <w:rPr>
                <w:noProof/>
                <w:webHidden/>
              </w:rPr>
              <w:fldChar w:fldCharType="separate"/>
            </w:r>
            <w:r>
              <w:rPr>
                <w:noProof/>
                <w:webHidden/>
              </w:rPr>
              <w:t>8</w:t>
            </w:r>
            <w:r>
              <w:rPr>
                <w:noProof/>
                <w:webHidden/>
              </w:rPr>
              <w:fldChar w:fldCharType="end"/>
            </w:r>
          </w:hyperlink>
        </w:p>
        <w:p w14:paraId="298DFF9A" w14:textId="1BB81E23" w:rsidR="00767A07" w:rsidRDefault="00767A07">
          <w:pPr>
            <w:pStyle w:val="TOC2"/>
            <w:tabs>
              <w:tab w:val="right" w:leader="dot" w:pos="9350"/>
            </w:tabs>
            <w:rPr>
              <w:rFonts w:asciiTheme="minorHAnsi" w:eastAsiaTheme="minorEastAsia" w:hAnsiTheme="minorHAnsi"/>
              <w:noProof/>
              <w:sz w:val="22"/>
              <w:lang w:val="en-US"/>
            </w:rPr>
          </w:pPr>
          <w:hyperlink w:anchor="_Toc214712749" w:history="1">
            <w:r w:rsidRPr="00884556">
              <w:rPr>
                <w:rStyle w:val="Hyperlink"/>
                <w:rFonts w:cs="Arial"/>
                <w:noProof/>
              </w:rPr>
              <w:t>Corporate Failure Prediction Using Altman Z-Score</w:t>
            </w:r>
            <w:r>
              <w:rPr>
                <w:noProof/>
                <w:webHidden/>
              </w:rPr>
              <w:tab/>
            </w:r>
            <w:r>
              <w:rPr>
                <w:noProof/>
                <w:webHidden/>
              </w:rPr>
              <w:fldChar w:fldCharType="begin"/>
            </w:r>
            <w:r>
              <w:rPr>
                <w:noProof/>
                <w:webHidden/>
              </w:rPr>
              <w:instrText xml:space="preserve"> PAGEREF _Toc214712749 \h </w:instrText>
            </w:r>
            <w:r>
              <w:rPr>
                <w:noProof/>
                <w:webHidden/>
              </w:rPr>
            </w:r>
            <w:r>
              <w:rPr>
                <w:noProof/>
                <w:webHidden/>
              </w:rPr>
              <w:fldChar w:fldCharType="separate"/>
            </w:r>
            <w:r>
              <w:rPr>
                <w:noProof/>
                <w:webHidden/>
              </w:rPr>
              <w:t>9</w:t>
            </w:r>
            <w:r>
              <w:rPr>
                <w:noProof/>
                <w:webHidden/>
              </w:rPr>
              <w:fldChar w:fldCharType="end"/>
            </w:r>
          </w:hyperlink>
        </w:p>
        <w:p w14:paraId="47938C97" w14:textId="54D860EA" w:rsidR="00767A07" w:rsidRDefault="00767A07">
          <w:pPr>
            <w:pStyle w:val="TOC3"/>
            <w:tabs>
              <w:tab w:val="right" w:leader="dot" w:pos="9350"/>
            </w:tabs>
            <w:rPr>
              <w:rFonts w:asciiTheme="minorHAnsi" w:eastAsiaTheme="minorEastAsia" w:hAnsiTheme="minorHAnsi"/>
              <w:noProof/>
              <w:sz w:val="22"/>
              <w:lang w:val="en-US"/>
            </w:rPr>
          </w:pPr>
          <w:hyperlink w:anchor="_Toc214712750" w:history="1">
            <w:r w:rsidRPr="00884556">
              <w:rPr>
                <w:rStyle w:val="Hyperlink"/>
                <w:rFonts w:cs="Arial"/>
                <w:noProof/>
              </w:rPr>
              <w:t>Altman Z-Score Calculation</w:t>
            </w:r>
            <w:r>
              <w:rPr>
                <w:noProof/>
                <w:webHidden/>
              </w:rPr>
              <w:tab/>
            </w:r>
            <w:r>
              <w:rPr>
                <w:noProof/>
                <w:webHidden/>
              </w:rPr>
              <w:fldChar w:fldCharType="begin"/>
            </w:r>
            <w:r>
              <w:rPr>
                <w:noProof/>
                <w:webHidden/>
              </w:rPr>
              <w:instrText xml:space="preserve"> PAGEREF _Toc214712750 \h </w:instrText>
            </w:r>
            <w:r>
              <w:rPr>
                <w:noProof/>
                <w:webHidden/>
              </w:rPr>
            </w:r>
            <w:r>
              <w:rPr>
                <w:noProof/>
                <w:webHidden/>
              </w:rPr>
              <w:fldChar w:fldCharType="separate"/>
            </w:r>
            <w:r>
              <w:rPr>
                <w:noProof/>
                <w:webHidden/>
              </w:rPr>
              <w:t>9</w:t>
            </w:r>
            <w:r>
              <w:rPr>
                <w:noProof/>
                <w:webHidden/>
              </w:rPr>
              <w:fldChar w:fldCharType="end"/>
            </w:r>
          </w:hyperlink>
        </w:p>
        <w:p w14:paraId="028547F0" w14:textId="27BBF4CC" w:rsidR="00767A07" w:rsidRDefault="00767A07">
          <w:pPr>
            <w:pStyle w:val="TOC1"/>
            <w:tabs>
              <w:tab w:val="right" w:leader="dot" w:pos="9350"/>
            </w:tabs>
            <w:rPr>
              <w:rFonts w:asciiTheme="minorHAnsi" w:eastAsiaTheme="minorEastAsia" w:hAnsiTheme="minorHAnsi"/>
              <w:noProof/>
              <w:sz w:val="22"/>
              <w:lang w:val="en-US"/>
            </w:rPr>
          </w:pPr>
          <w:hyperlink w:anchor="_Toc214712751" w:history="1">
            <w:r w:rsidRPr="00884556">
              <w:rPr>
                <w:rStyle w:val="Hyperlink"/>
                <w:rFonts w:cs="Arial"/>
                <w:noProof/>
              </w:rPr>
              <w:t>Working Capital Management Analysis</w:t>
            </w:r>
            <w:r>
              <w:rPr>
                <w:noProof/>
                <w:webHidden/>
              </w:rPr>
              <w:tab/>
            </w:r>
            <w:r>
              <w:rPr>
                <w:noProof/>
                <w:webHidden/>
              </w:rPr>
              <w:fldChar w:fldCharType="begin"/>
            </w:r>
            <w:r>
              <w:rPr>
                <w:noProof/>
                <w:webHidden/>
              </w:rPr>
              <w:instrText xml:space="preserve"> PAGEREF _Toc214712751 \h </w:instrText>
            </w:r>
            <w:r>
              <w:rPr>
                <w:noProof/>
                <w:webHidden/>
              </w:rPr>
            </w:r>
            <w:r>
              <w:rPr>
                <w:noProof/>
                <w:webHidden/>
              </w:rPr>
              <w:fldChar w:fldCharType="separate"/>
            </w:r>
            <w:r>
              <w:rPr>
                <w:noProof/>
                <w:webHidden/>
              </w:rPr>
              <w:t>10</w:t>
            </w:r>
            <w:r>
              <w:rPr>
                <w:noProof/>
                <w:webHidden/>
              </w:rPr>
              <w:fldChar w:fldCharType="end"/>
            </w:r>
          </w:hyperlink>
        </w:p>
        <w:p w14:paraId="4E2575D0" w14:textId="7C6C2DFF" w:rsidR="00767A07" w:rsidRDefault="00767A07">
          <w:pPr>
            <w:pStyle w:val="TOC2"/>
            <w:tabs>
              <w:tab w:val="right" w:leader="dot" w:pos="9350"/>
            </w:tabs>
            <w:rPr>
              <w:rFonts w:asciiTheme="minorHAnsi" w:eastAsiaTheme="minorEastAsia" w:hAnsiTheme="minorHAnsi"/>
              <w:noProof/>
              <w:sz w:val="22"/>
              <w:lang w:val="en-US"/>
            </w:rPr>
          </w:pPr>
          <w:hyperlink w:anchor="_Toc214712752" w:history="1">
            <w:r w:rsidRPr="00884556">
              <w:rPr>
                <w:rStyle w:val="Hyperlink"/>
                <w:rFonts w:cs="Arial"/>
                <w:noProof/>
              </w:rPr>
              <w:t>Cash Operating Cycle Analysis</w:t>
            </w:r>
            <w:r>
              <w:rPr>
                <w:noProof/>
                <w:webHidden/>
              </w:rPr>
              <w:tab/>
            </w:r>
            <w:r>
              <w:rPr>
                <w:noProof/>
                <w:webHidden/>
              </w:rPr>
              <w:fldChar w:fldCharType="begin"/>
            </w:r>
            <w:r>
              <w:rPr>
                <w:noProof/>
                <w:webHidden/>
              </w:rPr>
              <w:instrText xml:space="preserve"> PAGEREF _Toc214712752 \h </w:instrText>
            </w:r>
            <w:r>
              <w:rPr>
                <w:noProof/>
                <w:webHidden/>
              </w:rPr>
            </w:r>
            <w:r>
              <w:rPr>
                <w:noProof/>
                <w:webHidden/>
              </w:rPr>
              <w:fldChar w:fldCharType="separate"/>
            </w:r>
            <w:r>
              <w:rPr>
                <w:noProof/>
                <w:webHidden/>
              </w:rPr>
              <w:t>10</w:t>
            </w:r>
            <w:r>
              <w:rPr>
                <w:noProof/>
                <w:webHidden/>
              </w:rPr>
              <w:fldChar w:fldCharType="end"/>
            </w:r>
          </w:hyperlink>
        </w:p>
        <w:p w14:paraId="0E258C2D" w14:textId="19F4253C" w:rsidR="00767A07" w:rsidRDefault="00767A07">
          <w:pPr>
            <w:pStyle w:val="TOC2"/>
            <w:tabs>
              <w:tab w:val="right" w:leader="dot" w:pos="9350"/>
            </w:tabs>
            <w:rPr>
              <w:rFonts w:asciiTheme="minorHAnsi" w:eastAsiaTheme="minorEastAsia" w:hAnsiTheme="minorHAnsi"/>
              <w:noProof/>
              <w:sz w:val="22"/>
              <w:lang w:val="en-US"/>
            </w:rPr>
          </w:pPr>
          <w:hyperlink w:anchor="_Toc214712753" w:history="1">
            <w:r w:rsidRPr="00884556">
              <w:rPr>
                <w:rStyle w:val="Hyperlink"/>
                <w:rFonts w:cs="Arial"/>
                <w:noProof/>
              </w:rPr>
              <w:t>Strategies for Improving Liquidity</w:t>
            </w:r>
            <w:r>
              <w:rPr>
                <w:noProof/>
                <w:webHidden/>
              </w:rPr>
              <w:tab/>
            </w:r>
            <w:r>
              <w:rPr>
                <w:noProof/>
                <w:webHidden/>
              </w:rPr>
              <w:fldChar w:fldCharType="begin"/>
            </w:r>
            <w:r>
              <w:rPr>
                <w:noProof/>
                <w:webHidden/>
              </w:rPr>
              <w:instrText xml:space="preserve"> PAGEREF _Toc214712753 \h </w:instrText>
            </w:r>
            <w:r>
              <w:rPr>
                <w:noProof/>
                <w:webHidden/>
              </w:rPr>
            </w:r>
            <w:r>
              <w:rPr>
                <w:noProof/>
                <w:webHidden/>
              </w:rPr>
              <w:fldChar w:fldCharType="separate"/>
            </w:r>
            <w:r>
              <w:rPr>
                <w:noProof/>
                <w:webHidden/>
              </w:rPr>
              <w:t>11</w:t>
            </w:r>
            <w:r>
              <w:rPr>
                <w:noProof/>
                <w:webHidden/>
              </w:rPr>
              <w:fldChar w:fldCharType="end"/>
            </w:r>
          </w:hyperlink>
        </w:p>
        <w:p w14:paraId="517F5C22" w14:textId="0137C59B" w:rsidR="00767A07" w:rsidRDefault="00767A07">
          <w:pPr>
            <w:pStyle w:val="TOC2"/>
            <w:tabs>
              <w:tab w:val="right" w:leader="dot" w:pos="9350"/>
            </w:tabs>
            <w:rPr>
              <w:rFonts w:asciiTheme="minorHAnsi" w:eastAsiaTheme="minorEastAsia" w:hAnsiTheme="minorHAnsi"/>
              <w:noProof/>
              <w:sz w:val="22"/>
              <w:lang w:val="en-US"/>
            </w:rPr>
          </w:pPr>
          <w:hyperlink w:anchor="_Toc214712754" w:history="1">
            <w:r w:rsidRPr="00884556">
              <w:rPr>
                <w:rStyle w:val="Hyperlink"/>
                <w:rFonts w:cs="Arial"/>
                <w:noProof/>
              </w:rPr>
              <w:t>Short-term vs Long-term Financing</w:t>
            </w:r>
            <w:r>
              <w:rPr>
                <w:noProof/>
                <w:webHidden/>
              </w:rPr>
              <w:tab/>
            </w:r>
            <w:r>
              <w:rPr>
                <w:noProof/>
                <w:webHidden/>
              </w:rPr>
              <w:fldChar w:fldCharType="begin"/>
            </w:r>
            <w:r>
              <w:rPr>
                <w:noProof/>
                <w:webHidden/>
              </w:rPr>
              <w:instrText xml:space="preserve"> PAGEREF _Toc214712754 \h </w:instrText>
            </w:r>
            <w:r>
              <w:rPr>
                <w:noProof/>
                <w:webHidden/>
              </w:rPr>
            </w:r>
            <w:r>
              <w:rPr>
                <w:noProof/>
                <w:webHidden/>
              </w:rPr>
              <w:fldChar w:fldCharType="separate"/>
            </w:r>
            <w:r>
              <w:rPr>
                <w:noProof/>
                <w:webHidden/>
              </w:rPr>
              <w:t>12</w:t>
            </w:r>
            <w:r>
              <w:rPr>
                <w:noProof/>
                <w:webHidden/>
              </w:rPr>
              <w:fldChar w:fldCharType="end"/>
            </w:r>
          </w:hyperlink>
        </w:p>
        <w:p w14:paraId="1DFE70A0" w14:textId="1447F515" w:rsidR="00767A07" w:rsidRDefault="00767A07">
          <w:pPr>
            <w:pStyle w:val="TOC2"/>
            <w:tabs>
              <w:tab w:val="right" w:leader="dot" w:pos="9350"/>
            </w:tabs>
            <w:rPr>
              <w:rFonts w:asciiTheme="minorHAnsi" w:eastAsiaTheme="minorEastAsia" w:hAnsiTheme="minorHAnsi"/>
              <w:noProof/>
              <w:sz w:val="22"/>
              <w:lang w:val="en-US"/>
            </w:rPr>
          </w:pPr>
          <w:hyperlink w:anchor="_Toc214712755" w:history="1">
            <w:r w:rsidRPr="00884556">
              <w:rPr>
                <w:rStyle w:val="Hyperlink"/>
                <w:rFonts w:cs="Arial"/>
                <w:noProof/>
              </w:rPr>
              <w:t>Evaluating the Financing and the Financing Options</w:t>
            </w:r>
            <w:r>
              <w:rPr>
                <w:noProof/>
                <w:webHidden/>
              </w:rPr>
              <w:tab/>
            </w:r>
            <w:r>
              <w:rPr>
                <w:noProof/>
                <w:webHidden/>
              </w:rPr>
              <w:fldChar w:fldCharType="begin"/>
            </w:r>
            <w:r>
              <w:rPr>
                <w:noProof/>
                <w:webHidden/>
              </w:rPr>
              <w:instrText xml:space="preserve"> PAGEREF _Toc214712755 \h </w:instrText>
            </w:r>
            <w:r>
              <w:rPr>
                <w:noProof/>
                <w:webHidden/>
              </w:rPr>
            </w:r>
            <w:r>
              <w:rPr>
                <w:noProof/>
                <w:webHidden/>
              </w:rPr>
              <w:fldChar w:fldCharType="separate"/>
            </w:r>
            <w:r>
              <w:rPr>
                <w:noProof/>
                <w:webHidden/>
              </w:rPr>
              <w:t>12</w:t>
            </w:r>
            <w:r>
              <w:rPr>
                <w:noProof/>
                <w:webHidden/>
              </w:rPr>
              <w:fldChar w:fldCharType="end"/>
            </w:r>
          </w:hyperlink>
        </w:p>
        <w:p w14:paraId="45336FA9" w14:textId="00C91B18" w:rsidR="00767A07" w:rsidRDefault="00767A07">
          <w:pPr>
            <w:pStyle w:val="TOC1"/>
            <w:tabs>
              <w:tab w:val="right" w:leader="dot" w:pos="9350"/>
            </w:tabs>
            <w:rPr>
              <w:rFonts w:asciiTheme="minorHAnsi" w:eastAsiaTheme="minorEastAsia" w:hAnsiTheme="minorHAnsi"/>
              <w:noProof/>
              <w:sz w:val="22"/>
              <w:lang w:val="en-US"/>
            </w:rPr>
          </w:pPr>
          <w:hyperlink w:anchor="_Toc214712756" w:history="1">
            <w:r w:rsidRPr="00884556">
              <w:rPr>
                <w:rStyle w:val="Hyperlink"/>
                <w:rFonts w:cs="Arial"/>
                <w:noProof/>
              </w:rPr>
              <w:t>Strategic Financial Restructuring Plan for General Electronics</w:t>
            </w:r>
            <w:r>
              <w:rPr>
                <w:noProof/>
                <w:webHidden/>
              </w:rPr>
              <w:tab/>
            </w:r>
            <w:r>
              <w:rPr>
                <w:noProof/>
                <w:webHidden/>
              </w:rPr>
              <w:fldChar w:fldCharType="begin"/>
            </w:r>
            <w:r>
              <w:rPr>
                <w:noProof/>
                <w:webHidden/>
              </w:rPr>
              <w:instrText xml:space="preserve"> PAGEREF _Toc214712756 \h </w:instrText>
            </w:r>
            <w:r>
              <w:rPr>
                <w:noProof/>
                <w:webHidden/>
              </w:rPr>
            </w:r>
            <w:r>
              <w:rPr>
                <w:noProof/>
                <w:webHidden/>
              </w:rPr>
              <w:fldChar w:fldCharType="separate"/>
            </w:r>
            <w:r>
              <w:rPr>
                <w:noProof/>
                <w:webHidden/>
              </w:rPr>
              <w:t>13</w:t>
            </w:r>
            <w:r>
              <w:rPr>
                <w:noProof/>
                <w:webHidden/>
              </w:rPr>
              <w:fldChar w:fldCharType="end"/>
            </w:r>
          </w:hyperlink>
        </w:p>
        <w:p w14:paraId="614F6F73" w14:textId="498F978A" w:rsidR="00767A07" w:rsidRDefault="00767A07">
          <w:pPr>
            <w:pStyle w:val="TOC2"/>
            <w:tabs>
              <w:tab w:val="right" w:leader="dot" w:pos="9350"/>
            </w:tabs>
            <w:rPr>
              <w:rFonts w:asciiTheme="minorHAnsi" w:eastAsiaTheme="minorEastAsia" w:hAnsiTheme="minorHAnsi"/>
              <w:noProof/>
              <w:sz w:val="22"/>
              <w:lang w:val="en-US"/>
            </w:rPr>
          </w:pPr>
          <w:hyperlink w:anchor="_Toc214712757" w:history="1">
            <w:r w:rsidRPr="00884556">
              <w:rPr>
                <w:rStyle w:val="Hyperlink"/>
                <w:rFonts w:cs="Arial"/>
                <w:noProof/>
              </w:rPr>
              <w:t>Selection of Financial Structuring</w:t>
            </w:r>
            <w:r>
              <w:rPr>
                <w:noProof/>
                <w:webHidden/>
              </w:rPr>
              <w:tab/>
            </w:r>
            <w:r>
              <w:rPr>
                <w:noProof/>
                <w:webHidden/>
              </w:rPr>
              <w:fldChar w:fldCharType="begin"/>
            </w:r>
            <w:r>
              <w:rPr>
                <w:noProof/>
                <w:webHidden/>
              </w:rPr>
              <w:instrText xml:space="preserve"> PAGEREF _Toc214712757 \h </w:instrText>
            </w:r>
            <w:r>
              <w:rPr>
                <w:noProof/>
                <w:webHidden/>
              </w:rPr>
            </w:r>
            <w:r>
              <w:rPr>
                <w:noProof/>
                <w:webHidden/>
              </w:rPr>
              <w:fldChar w:fldCharType="separate"/>
            </w:r>
            <w:r>
              <w:rPr>
                <w:noProof/>
                <w:webHidden/>
              </w:rPr>
              <w:t>13</w:t>
            </w:r>
            <w:r>
              <w:rPr>
                <w:noProof/>
                <w:webHidden/>
              </w:rPr>
              <w:fldChar w:fldCharType="end"/>
            </w:r>
          </w:hyperlink>
        </w:p>
        <w:p w14:paraId="3F736C70" w14:textId="440EA536" w:rsidR="00767A07" w:rsidRDefault="00767A07">
          <w:pPr>
            <w:pStyle w:val="TOC3"/>
            <w:tabs>
              <w:tab w:val="right" w:leader="dot" w:pos="9350"/>
            </w:tabs>
            <w:rPr>
              <w:rFonts w:asciiTheme="minorHAnsi" w:eastAsiaTheme="minorEastAsia" w:hAnsiTheme="minorHAnsi"/>
              <w:noProof/>
              <w:sz w:val="22"/>
              <w:lang w:val="en-US"/>
            </w:rPr>
          </w:pPr>
          <w:hyperlink w:anchor="_Toc214712758" w:history="1">
            <w:r w:rsidRPr="00884556">
              <w:rPr>
                <w:rStyle w:val="Hyperlink"/>
                <w:rFonts w:cs="Arial"/>
                <w:noProof/>
              </w:rPr>
              <w:t>Sale of Non-Core Assets</w:t>
            </w:r>
            <w:r>
              <w:rPr>
                <w:noProof/>
                <w:webHidden/>
              </w:rPr>
              <w:tab/>
            </w:r>
            <w:r>
              <w:rPr>
                <w:noProof/>
                <w:webHidden/>
              </w:rPr>
              <w:fldChar w:fldCharType="begin"/>
            </w:r>
            <w:r>
              <w:rPr>
                <w:noProof/>
                <w:webHidden/>
              </w:rPr>
              <w:instrText xml:space="preserve"> PAGEREF _Toc214712758 \h </w:instrText>
            </w:r>
            <w:r>
              <w:rPr>
                <w:noProof/>
                <w:webHidden/>
              </w:rPr>
            </w:r>
            <w:r>
              <w:rPr>
                <w:noProof/>
                <w:webHidden/>
              </w:rPr>
              <w:fldChar w:fldCharType="separate"/>
            </w:r>
            <w:r>
              <w:rPr>
                <w:noProof/>
                <w:webHidden/>
              </w:rPr>
              <w:t>13</w:t>
            </w:r>
            <w:r>
              <w:rPr>
                <w:noProof/>
                <w:webHidden/>
              </w:rPr>
              <w:fldChar w:fldCharType="end"/>
            </w:r>
          </w:hyperlink>
        </w:p>
        <w:p w14:paraId="4A13E079" w14:textId="6DA3A141" w:rsidR="00767A07" w:rsidRDefault="00767A07">
          <w:pPr>
            <w:pStyle w:val="TOC3"/>
            <w:tabs>
              <w:tab w:val="right" w:leader="dot" w:pos="9350"/>
            </w:tabs>
            <w:rPr>
              <w:rFonts w:asciiTheme="minorHAnsi" w:eastAsiaTheme="minorEastAsia" w:hAnsiTheme="minorHAnsi"/>
              <w:noProof/>
              <w:sz w:val="22"/>
              <w:lang w:val="en-US"/>
            </w:rPr>
          </w:pPr>
          <w:hyperlink w:anchor="_Toc214712759" w:history="1">
            <w:r w:rsidRPr="00884556">
              <w:rPr>
                <w:rStyle w:val="Hyperlink"/>
                <w:rFonts w:cs="Arial"/>
                <w:noProof/>
              </w:rPr>
              <w:t>Merger or Acquisition</w:t>
            </w:r>
            <w:r>
              <w:rPr>
                <w:noProof/>
                <w:webHidden/>
              </w:rPr>
              <w:tab/>
            </w:r>
            <w:r>
              <w:rPr>
                <w:noProof/>
                <w:webHidden/>
              </w:rPr>
              <w:fldChar w:fldCharType="begin"/>
            </w:r>
            <w:r>
              <w:rPr>
                <w:noProof/>
                <w:webHidden/>
              </w:rPr>
              <w:instrText xml:space="preserve"> PAGEREF _Toc214712759 \h </w:instrText>
            </w:r>
            <w:r>
              <w:rPr>
                <w:noProof/>
                <w:webHidden/>
              </w:rPr>
            </w:r>
            <w:r>
              <w:rPr>
                <w:noProof/>
                <w:webHidden/>
              </w:rPr>
              <w:fldChar w:fldCharType="separate"/>
            </w:r>
            <w:r>
              <w:rPr>
                <w:noProof/>
                <w:webHidden/>
              </w:rPr>
              <w:t>14</w:t>
            </w:r>
            <w:r>
              <w:rPr>
                <w:noProof/>
                <w:webHidden/>
              </w:rPr>
              <w:fldChar w:fldCharType="end"/>
            </w:r>
          </w:hyperlink>
        </w:p>
        <w:p w14:paraId="77976F59" w14:textId="56A86438" w:rsidR="00767A07" w:rsidRDefault="00767A07">
          <w:pPr>
            <w:pStyle w:val="TOC3"/>
            <w:tabs>
              <w:tab w:val="right" w:leader="dot" w:pos="9350"/>
            </w:tabs>
            <w:rPr>
              <w:rFonts w:asciiTheme="minorHAnsi" w:eastAsiaTheme="minorEastAsia" w:hAnsiTheme="minorHAnsi"/>
              <w:noProof/>
              <w:sz w:val="22"/>
              <w:lang w:val="en-US"/>
            </w:rPr>
          </w:pPr>
          <w:hyperlink w:anchor="_Toc214712760" w:history="1">
            <w:r w:rsidRPr="00884556">
              <w:rPr>
                <w:rStyle w:val="Hyperlink"/>
                <w:rFonts w:cs="Arial"/>
                <w:noProof/>
              </w:rPr>
              <w:t>Equity Injection</w:t>
            </w:r>
            <w:r>
              <w:rPr>
                <w:noProof/>
                <w:webHidden/>
              </w:rPr>
              <w:tab/>
            </w:r>
            <w:r>
              <w:rPr>
                <w:noProof/>
                <w:webHidden/>
              </w:rPr>
              <w:fldChar w:fldCharType="begin"/>
            </w:r>
            <w:r>
              <w:rPr>
                <w:noProof/>
                <w:webHidden/>
              </w:rPr>
              <w:instrText xml:space="preserve"> PAGEREF _Toc214712760 \h </w:instrText>
            </w:r>
            <w:r>
              <w:rPr>
                <w:noProof/>
                <w:webHidden/>
              </w:rPr>
            </w:r>
            <w:r>
              <w:rPr>
                <w:noProof/>
                <w:webHidden/>
              </w:rPr>
              <w:fldChar w:fldCharType="separate"/>
            </w:r>
            <w:r>
              <w:rPr>
                <w:noProof/>
                <w:webHidden/>
              </w:rPr>
              <w:t>14</w:t>
            </w:r>
            <w:r>
              <w:rPr>
                <w:noProof/>
                <w:webHidden/>
              </w:rPr>
              <w:fldChar w:fldCharType="end"/>
            </w:r>
          </w:hyperlink>
        </w:p>
        <w:p w14:paraId="0797B108" w14:textId="36957D82" w:rsidR="00767A07" w:rsidRDefault="00767A07">
          <w:pPr>
            <w:pStyle w:val="TOC2"/>
            <w:tabs>
              <w:tab w:val="right" w:leader="dot" w:pos="9350"/>
            </w:tabs>
            <w:rPr>
              <w:rFonts w:asciiTheme="minorHAnsi" w:eastAsiaTheme="minorEastAsia" w:hAnsiTheme="minorHAnsi"/>
              <w:noProof/>
              <w:sz w:val="22"/>
              <w:lang w:val="en-US"/>
            </w:rPr>
          </w:pPr>
          <w:hyperlink w:anchor="_Toc214712761" w:history="1">
            <w:r w:rsidRPr="00884556">
              <w:rPr>
                <w:rStyle w:val="Hyperlink"/>
                <w:rFonts w:cs="Arial"/>
                <w:noProof/>
              </w:rPr>
              <w:t>International and Ethical Considerations</w:t>
            </w:r>
            <w:r>
              <w:rPr>
                <w:noProof/>
                <w:webHidden/>
              </w:rPr>
              <w:tab/>
            </w:r>
            <w:r>
              <w:rPr>
                <w:noProof/>
                <w:webHidden/>
              </w:rPr>
              <w:fldChar w:fldCharType="begin"/>
            </w:r>
            <w:r>
              <w:rPr>
                <w:noProof/>
                <w:webHidden/>
              </w:rPr>
              <w:instrText xml:space="preserve"> PAGEREF _Toc214712761 \h </w:instrText>
            </w:r>
            <w:r>
              <w:rPr>
                <w:noProof/>
                <w:webHidden/>
              </w:rPr>
            </w:r>
            <w:r>
              <w:rPr>
                <w:noProof/>
                <w:webHidden/>
              </w:rPr>
              <w:fldChar w:fldCharType="separate"/>
            </w:r>
            <w:r>
              <w:rPr>
                <w:noProof/>
                <w:webHidden/>
              </w:rPr>
              <w:t>15</w:t>
            </w:r>
            <w:r>
              <w:rPr>
                <w:noProof/>
                <w:webHidden/>
              </w:rPr>
              <w:fldChar w:fldCharType="end"/>
            </w:r>
          </w:hyperlink>
        </w:p>
        <w:p w14:paraId="616F3195" w14:textId="0CB8BA6F" w:rsidR="00767A07" w:rsidRDefault="00767A07">
          <w:pPr>
            <w:pStyle w:val="TOC1"/>
            <w:tabs>
              <w:tab w:val="right" w:leader="dot" w:pos="9350"/>
            </w:tabs>
            <w:rPr>
              <w:rFonts w:asciiTheme="minorHAnsi" w:eastAsiaTheme="minorEastAsia" w:hAnsiTheme="minorHAnsi"/>
              <w:noProof/>
              <w:sz w:val="22"/>
              <w:lang w:val="en-US"/>
            </w:rPr>
          </w:pPr>
          <w:hyperlink w:anchor="_Toc214712762" w:history="1">
            <w:r w:rsidRPr="00884556">
              <w:rPr>
                <w:rStyle w:val="Hyperlink"/>
                <w:rFonts w:cs="Arial"/>
                <w:noProof/>
              </w:rPr>
              <w:t>Investment Appraisal and Capital Budgeting</w:t>
            </w:r>
            <w:r>
              <w:rPr>
                <w:noProof/>
                <w:webHidden/>
              </w:rPr>
              <w:tab/>
            </w:r>
            <w:r>
              <w:rPr>
                <w:noProof/>
                <w:webHidden/>
              </w:rPr>
              <w:fldChar w:fldCharType="begin"/>
            </w:r>
            <w:r>
              <w:rPr>
                <w:noProof/>
                <w:webHidden/>
              </w:rPr>
              <w:instrText xml:space="preserve"> PAGEREF _Toc214712762 \h </w:instrText>
            </w:r>
            <w:r>
              <w:rPr>
                <w:noProof/>
                <w:webHidden/>
              </w:rPr>
            </w:r>
            <w:r>
              <w:rPr>
                <w:noProof/>
                <w:webHidden/>
              </w:rPr>
              <w:fldChar w:fldCharType="separate"/>
            </w:r>
            <w:r>
              <w:rPr>
                <w:noProof/>
                <w:webHidden/>
              </w:rPr>
              <w:t>16</w:t>
            </w:r>
            <w:r>
              <w:rPr>
                <w:noProof/>
                <w:webHidden/>
              </w:rPr>
              <w:fldChar w:fldCharType="end"/>
            </w:r>
          </w:hyperlink>
        </w:p>
        <w:p w14:paraId="01CE0B62" w14:textId="08E175BE" w:rsidR="00767A07" w:rsidRDefault="00767A07">
          <w:pPr>
            <w:pStyle w:val="TOC2"/>
            <w:tabs>
              <w:tab w:val="right" w:leader="dot" w:pos="9350"/>
            </w:tabs>
            <w:rPr>
              <w:rFonts w:asciiTheme="minorHAnsi" w:eastAsiaTheme="minorEastAsia" w:hAnsiTheme="minorHAnsi"/>
              <w:noProof/>
              <w:sz w:val="22"/>
              <w:lang w:val="en-US"/>
            </w:rPr>
          </w:pPr>
          <w:hyperlink w:anchor="_Toc214712763" w:history="1">
            <w:r w:rsidRPr="00884556">
              <w:rPr>
                <w:rStyle w:val="Hyperlink"/>
                <w:rFonts w:cs="Arial"/>
                <w:noProof/>
              </w:rPr>
              <w:t>Project A</w:t>
            </w:r>
            <w:r>
              <w:rPr>
                <w:noProof/>
                <w:webHidden/>
              </w:rPr>
              <w:tab/>
            </w:r>
            <w:r>
              <w:rPr>
                <w:noProof/>
                <w:webHidden/>
              </w:rPr>
              <w:fldChar w:fldCharType="begin"/>
            </w:r>
            <w:r>
              <w:rPr>
                <w:noProof/>
                <w:webHidden/>
              </w:rPr>
              <w:instrText xml:space="preserve"> PAGEREF _Toc214712763 \h </w:instrText>
            </w:r>
            <w:r>
              <w:rPr>
                <w:noProof/>
                <w:webHidden/>
              </w:rPr>
            </w:r>
            <w:r>
              <w:rPr>
                <w:noProof/>
                <w:webHidden/>
              </w:rPr>
              <w:fldChar w:fldCharType="separate"/>
            </w:r>
            <w:r>
              <w:rPr>
                <w:noProof/>
                <w:webHidden/>
              </w:rPr>
              <w:t>18</w:t>
            </w:r>
            <w:r>
              <w:rPr>
                <w:noProof/>
                <w:webHidden/>
              </w:rPr>
              <w:fldChar w:fldCharType="end"/>
            </w:r>
          </w:hyperlink>
        </w:p>
        <w:p w14:paraId="58975171" w14:textId="4FCBBA3B" w:rsidR="00767A07" w:rsidRDefault="00767A07">
          <w:pPr>
            <w:pStyle w:val="TOC2"/>
            <w:tabs>
              <w:tab w:val="right" w:leader="dot" w:pos="9350"/>
            </w:tabs>
            <w:rPr>
              <w:rFonts w:asciiTheme="minorHAnsi" w:eastAsiaTheme="minorEastAsia" w:hAnsiTheme="minorHAnsi"/>
              <w:noProof/>
              <w:sz w:val="22"/>
              <w:lang w:val="en-US"/>
            </w:rPr>
          </w:pPr>
          <w:hyperlink w:anchor="_Toc214712764" w:history="1">
            <w:r w:rsidRPr="00884556">
              <w:rPr>
                <w:rStyle w:val="Hyperlink"/>
                <w:rFonts w:cs="Arial"/>
                <w:noProof/>
              </w:rPr>
              <w:t>Project B</w:t>
            </w:r>
            <w:r>
              <w:rPr>
                <w:noProof/>
                <w:webHidden/>
              </w:rPr>
              <w:tab/>
            </w:r>
            <w:r>
              <w:rPr>
                <w:noProof/>
                <w:webHidden/>
              </w:rPr>
              <w:fldChar w:fldCharType="begin"/>
            </w:r>
            <w:r>
              <w:rPr>
                <w:noProof/>
                <w:webHidden/>
              </w:rPr>
              <w:instrText xml:space="preserve"> PAGEREF _Toc214712764 \h </w:instrText>
            </w:r>
            <w:r>
              <w:rPr>
                <w:noProof/>
                <w:webHidden/>
              </w:rPr>
            </w:r>
            <w:r>
              <w:rPr>
                <w:noProof/>
                <w:webHidden/>
              </w:rPr>
              <w:fldChar w:fldCharType="separate"/>
            </w:r>
            <w:r>
              <w:rPr>
                <w:noProof/>
                <w:webHidden/>
              </w:rPr>
              <w:t>19</w:t>
            </w:r>
            <w:r>
              <w:rPr>
                <w:noProof/>
                <w:webHidden/>
              </w:rPr>
              <w:fldChar w:fldCharType="end"/>
            </w:r>
          </w:hyperlink>
        </w:p>
        <w:p w14:paraId="401C47A7" w14:textId="7FCCDE9F" w:rsidR="00767A07" w:rsidRDefault="00767A07">
          <w:pPr>
            <w:pStyle w:val="TOC2"/>
            <w:tabs>
              <w:tab w:val="right" w:leader="dot" w:pos="9350"/>
            </w:tabs>
            <w:rPr>
              <w:rFonts w:asciiTheme="minorHAnsi" w:eastAsiaTheme="minorEastAsia" w:hAnsiTheme="minorHAnsi"/>
              <w:noProof/>
              <w:sz w:val="22"/>
              <w:lang w:val="en-US"/>
            </w:rPr>
          </w:pPr>
          <w:hyperlink w:anchor="_Toc214712765" w:history="1">
            <w:r w:rsidRPr="00884556">
              <w:rPr>
                <w:rStyle w:val="Hyperlink"/>
                <w:rFonts w:cs="Arial"/>
                <w:noProof/>
              </w:rPr>
              <w:t>Project C</w:t>
            </w:r>
            <w:r>
              <w:rPr>
                <w:noProof/>
                <w:webHidden/>
              </w:rPr>
              <w:tab/>
            </w:r>
            <w:r>
              <w:rPr>
                <w:noProof/>
                <w:webHidden/>
              </w:rPr>
              <w:fldChar w:fldCharType="begin"/>
            </w:r>
            <w:r>
              <w:rPr>
                <w:noProof/>
                <w:webHidden/>
              </w:rPr>
              <w:instrText xml:space="preserve"> PAGEREF _Toc214712765 \h </w:instrText>
            </w:r>
            <w:r>
              <w:rPr>
                <w:noProof/>
                <w:webHidden/>
              </w:rPr>
            </w:r>
            <w:r>
              <w:rPr>
                <w:noProof/>
                <w:webHidden/>
              </w:rPr>
              <w:fldChar w:fldCharType="separate"/>
            </w:r>
            <w:r>
              <w:rPr>
                <w:noProof/>
                <w:webHidden/>
              </w:rPr>
              <w:t>20</w:t>
            </w:r>
            <w:r>
              <w:rPr>
                <w:noProof/>
                <w:webHidden/>
              </w:rPr>
              <w:fldChar w:fldCharType="end"/>
            </w:r>
          </w:hyperlink>
        </w:p>
        <w:p w14:paraId="17F595DB" w14:textId="16666D21" w:rsidR="00767A07" w:rsidRDefault="00767A07">
          <w:pPr>
            <w:pStyle w:val="TOC2"/>
            <w:tabs>
              <w:tab w:val="right" w:leader="dot" w:pos="9350"/>
            </w:tabs>
            <w:rPr>
              <w:rFonts w:asciiTheme="minorHAnsi" w:eastAsiaTheme="minorEastAsia" w:hAnsiTheme="minorHAnsi"/>
              <w:noProof/>
              <w:sz w:val="22"/>
              <w:lang w:val="en-US"/>
            </w:rPr>
          </w:pPr>
          <w:hyperlink w:anchor="_Toc214712766" w:history="1">
            <w:r w:rsidRPr="00884556">
              <w:rPr>
                <w:rStyle w:val="Hyperlink"/>
                <w:rFonts w:cs="Arial"/>
                <w:noProof/>
              </w:rPr>
              <w:t>Capital Rationing and Investment Decision</w:t>
            </w:r>
            <w:r>
              <w:rPr>
                <w:noProof/>
                <w:webHidden/>
              </w:rPr>
              <w:tab/>
            </w:r>
            <w:r>
              <w:rPr>
                <w:noProof/>
                <w:webHidden/>
              </w:rPr>
              <w:fldChar w:fldCharType="begin"/>
            </w:r>
            <w:r>
              <w:rPr>
                <w:noProof/>
                <w:webHidden/>
              </w:rPr>
              <w:instrText xml:space="preserve"> PAGEREF _Toc214712766 \h </w:instrText>
            </w:r>
            <w:r>
              <w:rPr>
                <w:noProof/>
                <w:webHidden/>
              </w:rPr>
            </w:r>
            <w:r>
              <w:rPr>
                <w:noProof/>
                <w:webHidden/>
              </w:rPr>
              <w:fldChar w:fldCharType="separate"/>
            </w:r>
            <w:r>
              <w:rPr>
                <w:noProof/>
                <w:webHidden/>
              </w:rPr>
              <w:t>21</w:t>
            </w:r>
            <w:r>
              <w:rPr>
                <w:noProof/>
                <w:webHidden/>
              </w:rPr>
              <w:fldChar w:fldCharType="end"/>
            </w:r>
          </w:hyperlink>
        </w:p>
        <w:p w14:paraId="4382B146" w14:textId="2BDDE1C8" w:rsidR="00767A07" w:rsidRDefault="00767A07">
          <w:pPr>
            <w:pStyle w:val="TOC2"/>
            <w:tabs>
              <w:tab w:val="right" w:leader="dot" w:pos="9350"/>
            </w:tabs>
            <w:rPr>
              <w:rFonts w:asciiTheme="minorHAnsi" w:eastAsiaTheme="minorEastAsia" w:hAnsiTheme="minorHAnsi"/>
              <w:noProof/>
              <w:sz w:val="22"/>
              <w:lang w:val="en-US"/>
            </w:rPr>
          </w:pPr>
          <w:hyperlink w:anchor="_Toc214712767" w:history="1">
            <w:r w:rsidRPr="00884556">
              <w:rPr>
                <w:rStyle w:val="Hyperlink"/>
                <w:rFonts w:cs="Arial"/>
                <w:noProof/>
              </w:rPr>
              <w:t>Justification Based on the Company’s Financial Performance</w:t>
            </w:r>
            <w:r>
              <w:rPr>
                <w:noProof/>
                <w:webHidden/>
              </w:rPr>
              <w:tab/>
            </w:r>
            <w:r>
              <w:rPr>
                <w:noProof/>
                <w:webHidden/>
              </w:rPr>
              <w:fldChar w:fldCharType="begin"/>
            </w:r>
            <w:r>
              <w:rPr>
                <w:noProof/>
                <w:webHidden/>
              </w:rPr>
              <w:instrText xml:space="preserve"> PAGEREF _Toc214712767 \h </w:instrText>
            </w:r>
            <w:r>
              <w:rPr>
                <w:noProof/>
                <w:webHidden/>
              </w:rPr>
            </w:r>
            <w:r>
              <w:rPr>
                <w:noProof/>
                <w:webHidden/>
              </w:rPr>
              <w:fldChar w:fldCharType="separate"/>
            </w:r>
            <w:r>
              <w:rPr>
                <w:noProof/>
                <w:webHidden/>
              </w:rPr>
              <w:t>22</w:t>
            </w:r>
            <w:r>
              <w:rPr>
                <w:noProof/>
                <w:webHidden/>
              </w:rPr>
              <w:fldChar w:fldCharType="end"/>
            </w:r>
          </w:hyperlink>
        </w:p>
        <w:p w14:paraId="07D7A58C" w14:textId="26FBE2A2" w:rsidR="00767A07" w:rsidRDefault="00767A07">
          <w:pPr>
            <w:pStyle w:val="TOC2"/>
            <w:tabs>
              <w:tab w:val="right" w:leader="dot" w:pos="9350"/>
            </w:tabs>
            <w:rPr>
              <w:rFonts w:asciiTheme="minorHAnsi" w:eastAsiaTheme="minorEastAsia" w:hAnsiTheme="minorHAnsi"/>
              <w:noProof/>
              <w:sz w:val="22"/>
              <w:lang w:val="en-US"/>
            </w:rPr>
          </w:pPr>
          <w:hyperlink w:anchor="_Toc214712768" w:history="1">
            <w:r w:rsidRPr="00884556">
              <w:rPr>
                <w:rStyle w:val="Hyperlink"/>
                <w:noProof/>
              </w:rPr>
              <w:t>Risk Characteristics &amp; Considerations</w:t>
            </w:r>
            <w:r>
              <w:rPr>
                <w:noProof/>
                <w:webHidden/>
              </w:rPr>
              <w:tab/>
            </w:r>
            <w:r>
              <w:rPr>
                <w:noProof/>
                <w:webHidden/>
              </w:rPr>
              <w:fldChar w:fldCharType="begin"/>
            </w:r>
            <w:r>
              <w:rPr>
                <w:noProof/>
                <w:webHidden/>
              </w:rPr>
              <w:instrText xml:space="preserve"> PAGEREF _Toc214712768 \h </w:instrText>
            </w:r>
            <w:r>
              <w:rPr>
                <w:noProof/>
                <w:webHidden/>
              </w:rPr>
            </w:r>
            <w:r>
              <w:rPr>
                <w:noProof/>
                <w:webHidden/>
              </w:rPr>
              <w:fldChar w:fldCharType="separate"/>
            </w:r>
            <w:r>
              <w:rPr>
                <w:noProof/>
                <w:webHidden/>
              </w:rPr>
              <w:t>23</w:t>
            </w:r>
            <w:r>
              <w:rPr>
                <w:noProof/>
                <w:webHidden/>
              </w:rPr>
              <w:fldChar w:fldCharType="end"/>
            </w:r>
          </w:hyperlink>
        </w:p>
        <w:p w14:paraId="76F69A89" w14:textId="1AF3C7F7" w:rsidR="00767A07" w:rsidRDefault="00767A07">
          <w:pPr>
            <w:pStyle w:val="TOC2"/>
            <w:tabs>
              <w:tab w:val="right" w:leader="dot" w:pos="9350"/>
            </w:tabs>
            <w:rPr>
              <w:rFonts w:asciiTheme="minorHAnsi" w:eastAsiaTheme="minorEastAsia" w:hAnsiTheme="minorHAnsi"/>
              <w:noProof/>
              <w:sz w:val="22"/>
              <w:lang w:val="en-US"/>
            </w:rPr>
          </w:pPr>
          <w:hyperlink w:anchor="_Toc214712769" w:history="1">
            <w:r w:rsidRPr="00884556">
              <w:rPr>
                <w:rStyle w:val="Hyperlink"/>
                <w:noProof/>
              </w:rPr>
              <w:t>Recommendations</w:t>
            </w:r>
            <w:r>
              <w:rPr>
                <w:noProof/>
                <w:webHidden/>
              </w:rPr>
              <w:tab/>
            </w:r>
            <w:r>
              <w:rPr>
                <w:noProof/>
                <w:webHidden/>
              </w:rPr>
              <w:fldChar w:fldCharType="begin"/>
            </w:r>
            <w:r>
              <w:rPr>
                <w:noProof/>
                <w:webHidden/>
              </w:rPr>
              <w:instrText xml:space="preserve"> PAGEREF _Toc214712769 \h </w:instrText>
            </w:r>
            <w:r>
              <w:rPr>
                <w:noProof/>
                <w:webHidden/>
              </w:rPr>
            </w:r>
            <w:r>
              <w:rPr>
                <w:noProof/>
                <w:webHidden/>
              </w:rPr>
              <w:fldChar w:fldCharType="separate"/>
            </w:r>
            <w:r>
              <w:rPr>
                <w:noProof/>
                <w:webHidden/>
              </w:rPr>
              <w:t>23</w:t>
            </w:r>
            <w:r>
              <w:rPr>
                <w:noProof/>
                <w:webHidden/>
              </w:rPr>
              <w:fldChar w:fldCharType="end"/>
            </w:r>
          </w:hyperlink>
        </w:p>
        <w:p w14:paraId="6D938030" w14:textId="07FAF620" w:rsidR="00767A07" w:rsidRDefault="00767A07">
          <w:pPr>
            <w:pStyle w:val="TOC1"/>
            <w:tabs>
              <w:tab w:val="right" w:leader="dot" w:pos="9350"/>
            </w:tabs>
            <w:rPr>
              <w:rFonts w:asciiTheme="minorHAnsi" w:eastAsiaTheme="minorEastAsia" w:hAnsiTheme="minorHAnsi"/>
              <w:noProof/>
              <w:sz w:val="22"/>
              <w:lang w:val="en-US"/>
            </w:rPr>
          </w:pPr>
          <w:hyperlink w:anchor="_Toc214712770" w:history="1">
            <w:r w:rsidRPr="00884556">
              <w:rPr>
                <w:rStyle w:val="Hyperlink"/>
                <w:noProof/>
              </w:rPr>
              <w:t>Conclusion</w:t>
            </w:r>
            <w:r>
              <w:rPr>
                <w:noProof/>
                <w:webHidden/>
              </w:rPr>
              <w:tab/>
            </w:r>
            <w:r>
              <w:rPr>
                <w:noProof/>
                <w:webHidden/>
              </w:rPr>
              <w:fldChar w:fldCharType="begin"/>
            </w:r>
            <w:r>
              <w:rPr>
                <w:noProof/>
                <w:webHidden/>
              </w:rPr>
              <w:instrText xml:space="preserve"> PAGEREF _Toc214712770 \h </w:instrText>
            </w:r>
            <w:r>
              <w:rPr>
                <w:noProof/>
                <w:webHidden/>
              </w:rPr>
            </w:r>
            <w:r>
              <w:rPr>
                <w:noProof/>
                <w:webHidden/>
              </w:rPr>
              <w:fldChar w:fldCharType="separate"/>
            </w:r>
            <w:r>
              <w:rPr>
                <w:noProof/>
                <w:webHidden/>
              </w:rPr>
              <w:t>24</w:t>
            </w:r>
            <w:r>
              <w:rPr>
                <w:noProof/>
                <w:webHidden/>
              </w:rPr>
              <w:fldChar w:fldCharType="end"/>
            </w:r>
          </w:hyperlink>
        </w:p>
        <w:p w14:paraId="4EA9AC8B" w14:textId="695AE19E" w:rsidR="00767A07" w:rsidRDefault="00767A07">
          <w:pPr>
            <w:pStyle w:val="TOC1"/>
            <w:tabs>
              <w:tab w:val="right" w:leader="dot" w:pos="9350"/>
            </w:tabs>
            <w:rPr>
              <w:rFonts w:asciiTheme="minorHAnsi" w:eastAsiaTheme="minorEastAsia" w:hAnsiTheme="minorHAnsi"/>
              <w:noProof/>
              <w:sz w:val="22"/>
              <w:lang w:val="en-US"/>
            </w:rPr>
          </w:pPr>
          <w:hyperlink w:anchor="_Toc214712771" w:history="1">
            <w:r w:rsidRPr="00884556">
              <w:rPr>
                <w:rStyle w:val="Hyperlink"/>
                <w:rFonts w:cs="Arial"/>
                <w:noProof/>
              </w:rPr>
              <w:t>References</w:t>
            </w:r>
            <w:r>
              <w:rPr>
                <w:noProof/>
                <w:webHidden/>
              </w:rPr>
              <w:tab/>
            </w:r>
            <w:r>
              <w:rPr>
                <w:noProof/>
                <w:webHidden/>
              </w:rPr>
              <w:fldChar w:fldCharType="begin"/>
            </w:r>
            <w:r>
              <w:rPr>
                <w:noProof/>
                <w:webHidden/>
              </w:rPr>
              <w:instrText xml:space="preserve"> PAGEREF _Toc214712771 \h </w:instrText>
            </w:r>
            <w:r>
              <w:rPr>
                <w:noProof/>
                <w:webHidden/>
              </w:rPr>
            </w:r>
            <w:r>
              <w:rPr>
                <w:noProof/>
                <w:webHidden/>
              </w:rPr>
              <w:fldChar w:fldCharType="separate"/>
            </w:r>
            <w:r>
              <w:rPr>
                <w:noProof/>
                <w:webHidden/>
              </w:rPr>
              <w:t>25</w:t>
            </w:r>
            <w:r>
              <w:rPr>
                <w:noProof/>
                <w:webHidden/>
              </w:rPr>
              <w:fldChar w:fldCharType="end"/>
            </w:r>
          </w:hyperlink>
        </w:p>
        <w:p w14:paraId="5E4D3B1E" w14:textId="3E2D686C" w:rsidR="00767A07" w:rsidRDefault="00767A07">
          <w:pPr>
            <w:pStyle w:val="TOC1"/>
            <w:tabs>
              <w:tab w:val="right" w:leader="dot" w:pos="9350"/>
            </w:tabs>
            <w:rPr>
              <w:rFonts w:asciiTheme="minorHAnsi" w:eastAsiaTheme="minorEastAsia" w:hAnsiTheme="minorHAnsi"/>
              <w:noProof/>
              <w:sz w:val="22"/>
              <w:lang w:val="en-US"/>
            </w:rPr>
          </w:pPr>
          <w:hyperlink w:anchor="_Toc214712772" w:history="1">
            <w:r w:rsidRPr="00884556">
              <w:rPr>
                <w:rStyle w:val="Hyperlink"/>
                <w:rFonts w:cs="Arial"/>
                <w:noProof/>
              </w:rPr>
              <w:t>Appendix</w:t>
            </w:r>
            <w:r>
              <w:rPr>
                <w:noProof/>
                <w:webHidden/>
              </w:rPr>
              <w:tab/>
            </w:r>
            <w:r>
              <w:rPr>
                <w:noProof/>
                <w:webHidden/>
              </w:rPr>
              <w:fldChar w:fldCharType="begin"/>
            </w:r>
            <w:r>
              <w:rPr>
                <w:noProof/>
                <w:webHidden/>
              </w:rPr>
              <w:instrText xml:space="preserve"> PAGEREF _Toc214712772 \h </w:instrText>
            </w:r>
            <w:r>
              <w:rPr>
                <w:noProof/>
                <w:webHidden/>
              </w:rPr>
            </w:r>
            <w:r>
              <w:rPr>
                <w:noProof/>
                <w:webHidden/>
              </w:rPr>
              <w:fldChar w:fldCharType="separate"/>
            </w:r>
            <w:r>
              <w:rPr>
                <w:noProof/>
                <w:webHidden/>
              </w:rPr>
              <w:t>28</w:t>
            </w:r>
            <w:r>
              <w:rPr>
                <w:noProof/>
                <w:webHidden/>
              </w:rPr>
              <w:fldChar w:fldCharType="end"/>
            </w:r>
          </w:hyperlink>
        </w:p>
        <w:p w14:paraId="6A165D3B" w14:textId="3C65E2F3" w:rsidR="000F19BD" w:rsidRPr="00BA1D53" w:rsidRDefault="000F19BD">
          <w:pPr>
            <w:rPr>
              <w:rFonts w:cs="Arial"/>
            </w:rPr>
          </w:pPr>
          <w:r w:rsidRPr="00BA1D53">
            <w:rPr>
              <w:rFonts w:cs="Arial"/>
              <w:b/>
              <w:bCs/>
              <w:noProof/>
            </w:rPr>
            <w:fldChar w:fldCharType="end"/>
          </w:r>
        </w:p>
      </w:sdtContent>
    </w:sdt>
    <w:p w14:paraId="627D4403" w14:textId="77777777" w:rsidR="00A35A72" w:rsidRDefault="00A35A72">
      <w:pPr>
        <w:pStyle w:val="TableofFigures"/>
        <w:tabs>
          <w:tab w:val="right" w:leader="dot" w:pos="9350"/>
        </w:tabs>
        <w:rPr>
          <w:rFonts w:cs="Arial"/>
          <w:b/>
          <w:bCs/>
          <w:sz w:val="32"/>
          <w:szCs w:val="28"/>
        </w:rPr>
      </w:pPr>
    </w:p>
    <w:p w14:paraId="3524DF8E" w14:textId="6993B46A" w:rsidR="00FD41DC" w:rsidRPr="00FD41DC" w:rsidRDefault="00FD41DC">
      <w:pPr>
        <w:pStyle w:val="TableofFigures"/>
        <w:tabs>
          <w:tab w:val="right" w:leader="dot" w:pos="9350"/>
        </w:tabs>
        <w:rPr>
          <w:rFonts w:cs="Arial"/>
          <w:b/>
          <w:bCs/>
          <w:sz w:val="32"/>
          <w:szCs w:val="28"/>
        </w:rPr>
      </w:pPr>
      <w:r w:rsidRPr="00FD41DC">
        <w:rPr>
          <w:rFonts w:cs="Arial"/>
          <w:b/>
          <w:bCs/>
          <w:sz w:val="32"/>
          <w:szCs w:val="28"/>
        </w:rPr>
        <w:t>List of Figures</w:t>
      </w:r>
    </w:p>
    <w:p w14:paraId="00A2E05B" w14:textId="28796ACD" w:rsidR="000F0229" w:rsidRDefault="00FD41DC">
      <w:pPr>
        <w:pStyle w:val="TableofFigures"/>
        <w:tabs>
          <w:tab w:val="right" w:leader="dot" w:pos="9350"/>
        </w:tabs>
        <w:rPr>
          <w:rFonts w:asciiTheme="minorHAnsi" w:eastAsiaTheme="minorEastAsia" w:hAnsiTheme="minorHAnsi"/>
          <w:noProof/>
          <w:sz w:val="22"/>
          <w:lang w:val="en-US"/>
        </w:rPr>
      </w:pPr>
      <w:r>
        <w:rPr>
          <w:rFonts w:cs="Arial"/>
        </w:rPr>
        <w:fldChar w:fldCharType="begin"/>
      </w:r>
      <w:r>
        <w:rPr>
          <w:rFonts w:cs="Arial"/>
        </w:rPr>
        <w:instrText xml:space="preserve"> TOC \h \z \c "Figure" </w:instrText>
      </w:r>
      <w:r>
        <w:rPr>
          <w:rFonts w:cs="Arial"/>
        </w:rPr>
        <w:fldChar w:fldCharType="separate"/>
      </w:r>
      <w:hyperlink w:anchor="_Toc214664104" w:history="1">
        <w:r w:rsidR="000F0229" w:rsidRPr="00101CC7">
          <w:rPr>
            <w:rStyle w:val="Hyperlink"/>
            <w:noProof/>
          </w:rPr>
          <w:t>Figure 1 Profitability Ratios</w:t>
        </w:r>
        <w:r w:rsidR="000F0229">
          <w:rPr>
            <w:noProof/>
            <w:webHidden/>
          </w:rPr>
          <w:tab/>
        </w:r>
        <w:r w:rsidR="000F0229">
          <w:rPr>
            <w:noProof/>
            <w:webHidden/>
          </w:rPr>
          <w:fldChar w:fldCharType="begin"/>
        </w:r>
        <w:r w:rsidR="000F0229">
          <w:rPr>
            <w:noProof/>
            <w:webHidden/>
          </w:rPr>
          <w:instrText xml:space="preserve"> PAGEREF _Toc214664104 \h </w:instrText>
        </w:r>
        <w:r w:rsidR="000F0229">
          <w:rPr>
            <w:noProof/>
            <w:webHidden/>
          </w:rPr>
        </w:r>
        <w:r w:rsidR="000F0229">
          <w:rPr>
            <w:noProof/>
            <w:webHidden/>
          </w:rPr>
          <w:fldChar w:fldCharType="separate"/>
        </w:r>
        <w:r w:rsidR="000F0229">
          <w:rPr>
            <w:noProof/>
            <w:webHidden/>
          </w:rPr>
          <w:t>4</w:t>
        </w:r>
        <w:r w:rsidR="000F0229">
          <w:rPr>
            <w:noProof/>
            <w:webHidden/>
          </w:rPr>
          <w:fldChar w:fldCharType="end"/>
        </w:r>
      </w:hyperlink>
    </w:p>
    <w:p w14:paraId="0385C466" w14:textId="35C9025C" w:rsidR="000F0229" w:rsidRDefault="000B3CD1">
      <w:pPr>
        <w:pStyle w:val="TableofFigures"/>
        <w:tabs>
          <w:tab w:val="right" w:leader="dot" w:pos="9350"/>
        </w:tabs>
        <w:rPr>
          <w:rFonts w:asciiTheme="minorHAnsi" w:eastAsiaTheme="minorEastAsia" w:hAnsiTheme="minorHAnsi"/>
          <w:noProof/>
          <w:sz w:val="22"/>
          <w:lang w:val="en-US"/>
        </w:rPr>
      </w:pPr>
      <w:hyperlink w:anchor="_Toc214664105" w:history="1">
        <w:r w:rsidR="000F0229" w:rsidRPr="00101CC7">
          <w:rPr>
            <w:rStyle w:val="Hyperlink"/>
            <w:noProof/>
          </w:rPr>
          <w:t>Figure 2 Liquidity Ratios</w:t>
        </w:r>
        <w:r w:rsidR="000F0229">
          <w:rPr>
            <w:noProof/>
            <w:webHidden/>
          </w:rPr>
          <w:tab/>
        </w:r>
        <w:r w:rsidR="000F0229">
          <w:rPr>
            <w:noProof/>
            <w:webHidden/>
          </w:rPr>
          <w:fldChar w:fldCharType="begin"/>
        </w:r>
        <w:r w:rsidR="000F0229">
          <w:rPr>
            <w:noProof/>
            <w:webHidden/>
          </w:rPr>
          <w:instrText xml:space="preserve"> PAGEREF _Toc214664105 \h </w:instrText>
        </w:r>
        <w:r w:rsidR="000F0229">
          <w:rPr>
            <w:noProof/>
            <w:webHidden/>
          </w:rPr>
        </w:r>
        <w:r w:rsidR="000F0229">
          <w:rPr>
            <w:noProof/>
            <w:webHidden/>
          </w:rPr>
          <w:fldChar w:fldCharType="separate"/>
        </w:r>
        <w:r w:rsidR="000F0229">
          <w:rPr>
            <w:noProof/>
            <w:webHidden/>
          </w:rPr>
          <w:t>5</w:t>
        </w:r>
        <w:r w:rsidR="000F0229">
          <w:rPr>
            <w:noProof/>
            <w:webHidden/>
          </w:rPr>
          <w:fldChar w:fldCharType="end"/>
        </w:r>
      </w:hyperlink>
    </w:p>
    <w:p w14:paraId="3DCC3F85" w14:textId="627ED73B" w:rsidR="000F0229" w:rsidRDefault="000B3CD1">
      <w:pPr>
        <w:pStyle w:val="TableofFigures"/>
        <w:tabs>
          <w:tab w:val="right" w:leader="dot" w:pos="9350"/>
        </w:tabs>
        <w:rPr>
          <w:rFonts w:asciiTheme="minorHAnsi" w:eastAsiaTheme="minorEastAsia" w:hAnsiTheme="minorHAnsi"/>
          <w:noProof/>
          <w:sz w:val="22"/>
          <w:lang w:val="en-US"/>
        </w:rPr>
      </w:pPr>
      <w:hyperlink w:anchor="_Toc214664106" w:history="1">
        <w:r w:rsidR="000F0229" w:rsidRPr="00101CC7">
          <w:rPr>
            <w:rStyle w:val="Hyperlink"/>
            <w:noProof/>
          </w:rPr>
          <w:t>Figure 3 Efficiency Ratios</w:t>
        </w:r>
        <w:r w:rsidR="000F0229">
          <w:rPr>
            <w:noProof/>
            <w:webHidden/>
          </w:rPr>
          <w:tab/>
        </w:r>
        <w:r w:rsidR="000F0229">
          <w:rPr>
            <w:noProof/>
            <w:webHidden/>
          </w:rPr>
          <w:fldChar w:fldCharType="begin"/>
        </w:r>
        <w:r w:rsidR="000F0229">
          <w:rPr>
            <w:noProof/>
            <w:webHidden/>
          </w:rPr>
          <w:instrText xml:space="preserve"> PAGEREF _Toc214664106 \h </w:instrText>
        </w:r>
        <w:r w:rsidR="000F0229">
          <w:rPr>
            <w:noProof/>
            <w:webHidden/>
          </w:rPr>
        </w:r>
        <w:r w:rsidR="000F0229">
          <w:rPr>
            <w:noProof/>
            <w:webHidden/>
          </w:rPr>
          <w:fldChar w:fldCharType="separate"/>
        </w:r>
        <w:r w:rsidR="000F0229">
          <w:rPr>
            <w:noProof/>
            <w:webHidden/>
          </w:rPr>
          <w:t>6</w:t>
        </w:r>
        <w:r w:rsidR="000F0229">
          <w:rPr>
            <w:noProof/>
            <w:webHidden/>
          </w:rPr>
          <w:fldChar w:fldCharType="end"/>
        </w:r>
      </w:hyperlink>
    </w:p>
    <w:p w14:paraId="5FAD94B5" w14:textId="0B883A6E" w:rsidR="000F0229" w:rsidRDefault="000B3CD1">
      <w:pPr>
        <w:pStyle w:val="TableofFigures"/>
        <w:tabs>
          <w:tab w:val="right" w:leader="dot" w:pos="9350"/>
        </w:tabs>
        <w:rPr>
          <w:rFonts w:asciiTheme="minorHAnsi" w:eastAsiaTheme="minorEastAsia" w:hAnsiTheme="minorHAnsi"/>
          <w:noProof/>
          <w:sz w:val="22"/>
          <w:lang w:val="en-US"/>
        </w:rPr>
      </w:pPr>
      <w:hyperlink w:anchor="_Toc214664107" w:history="1">
        <w:r w:rsidR="000F0229" w:rsidRPr="00101CC7">
          <w:rPr>
            <w:rStyle w:val="Hyperlink"/>
            <w:noProof/>
          </w:rPr>
          <w:t>Figure 4 Gearing Ratios</w:t>
        </w:r>
        <w:r w:rsidR="000F0229">
          <w:rPr>
            <w:noProof/>
            <w:webHidden/>
          </w:rPr>
          <w:tab/>
        </w:r>
        <w:r w:rsidR="000F0229">
          <w:rPr>
            <w:noProof/>
            <w:webHidden/>
          </w:rPr>
          <w:fldChar w:fldCharType="begin"/>
        </w:r>
        <w:r w:rsidR="000F0229">
          <w:rPr>
            <w:noProof/>
            <w:webHidden/>
          </w:rPr>
          <w:instrText xml:space="preserve"> PAGEREF _Toc214664107 \h </w:instrText>
        </w:r>
        <w:r w:rsidR="000F0229">
          <w:rPr>
            <w:noProof/>
            <w:webHidden/>
          </w:rPr>
        </w:r>
        <w:r w:rsidR="000F0229">
          <w:rPr>
            <w:noProof/>
            <w:webHidden/>
          </w:rPr>
          <w:fldChar w:fldCharType="separate"/>
        </w:r>
        <w:r w:rsidR="000F0229">
          <w:rPr>
            <w:noProof/>
            <w:webHidden/>
          </w:rPr>
          <w:t>7</w:t>
        </w:r>
        <w:r w:rsidR="000F0229">
          <w:rPr>
            <w:noProof/>
            <w:webHidden/>
          </w:rPr>
          <w:fldChar w:fldCharType="end"/>
        </w:r>
      </w:hyperlink>
    </w:p>
    <w:p w14:paraId="75E8B38D" w14:textId="508104D3" w:rsidR="000F19BD" w:rsidRPr="00BA1D53" w:rsidRDefault="00FD41DC">
      <w:pPr>
        <w:spacing w:line="259" w:lineRule="auto"/>
        <w:jc w:val="left"/>
        <w:rPr>
          <w:rFonts w:cs="Arial"/>
        </w:rPr>
      </w:pPr>
      <w:r>
        <w:rPr>
          <w:rFonts w:cs="Arial"/>
        </w:rPr>
        <w:fldChar w:fldCharType="end"/>
      </w:r>
      <w:r w:rsidR="000F19BD" w:rsidRPr="00BA1D53">
        <w:rPr>
          <w:rFonts w:cs="Arial"/>
        </w:rPr>
        <w:br w:type="page"/>
      </w:r>
    </w:p>
    <w:p w14:paraId="5141D350" w14:textId="77777777" w:rsidR="006077BF" w:rsidRPr="00BA1D53" w:rsidRDefault="006077BF" w:rsidP="00272F68">
      <w:pPr>
        <w:rPr>
          <w:rFonts w:cs="Arial"/>
        </w:rPr>
        <w:sectPr w:rsidR="006077BF" w:rsidRPr="00BA1D53" w:rsidSect="00603E7D">
          <w:footerReference w:type="default" r:id="rId9"/>
          <w:pgSz w:w="12240" w:h="15840"/>
          <w:pgMar w:top="1440" w:right="1440" w:bottom="1440" w:left="1440" w:header="720" w:footer="720" w:gutter="0"/>
          <w:pgNumType w:fmt="lowerRoman"/>
          <w:cols w:space="720"/>
          <w:docGrid w:linePitch="360"/>
        </w:sectPr>
      </w:pPr>
    </w:p>
    <w:p w14:paraId="5888643B" w14:textId="506FA784" w:rsidR="00C41AB3" w:rsidRPr="00BA1D53" w:rsidRDefault="00E41A5F" w:rsidP="00272F68">
      <w:pPr>
        <w:pStyle w:val="Heading1"/>
        <w:rPr>
          <w:rFonts w:cs="Arial"/>
          <w:b w:val="0"/>
          <w:bCs w:val="0"/>
          <w:color w:val="auto"/>
        </w:rPr>
      </w:pPr>
      <w:bookmarkStart w:id="1" w:name="_Toc214712738"/>
      <w:r w:rsidRPr="00BA1D53">
        <w:rPr>
          <w:rStyle w:val="Strong"/>
          <w:rFonts w:cs="Arial"/>
          <w:b/>
          <w:bCs/>
          <w:color w:val="auto"/>
        </w:rPr>
        <w:lastRenderedPageBreak/>
        <w:t>Introduction</w:t>
      </w:r>
      <w:bookmarkEnd w:id="1"/>
    </w:p>
    <w:p w14:paraId="0B72DECE" w14:textId="378F13A1" w:rsidR="00F642BD" w:rsidRPr="00BA1D53" w:rsidRDefault="00B93E0B" w:rsidP="00E87136">
      <w:pPr>
        <w:rPr>
          <w:rStyle w:val="Strong"/>
          <w:rFonts w:eastAsia="Times New Roman" w:cs="Arial"/>
          <w:b w:val="0"/>
          <w:szCs w:val="24"/>
          <w:lang w:val="en-US"/>
        </w:rPr>
      </w:pPr>
      <w:r w:rsidRPr="00BA1D53">
        <w:rPr>
          <w:rStyle w:val="Strong"/>
          <w:rFonts w:eastAsia="Times New Roman" w:cs="Arial"/>
          <w:b w:val="0"/>
          <w:szCs w:val="24"/>
          <w:lang w:val="en-US"/>
        </w:rPr>
        <w:t xml:space="preserve">The report gives a financial analysis of General Electronics, which is a multinational corporation dealing with consumer electronics. </w:t>
      </w:r>
      <w:r w:rsidR="00552A83">
        <w:rPr>
          <w:rStyle w:val="Strong"/>
          <w:rFonts w:eastAsia="Times New Roman" w:cs="Arial"/>
          <w:b w:val="0"/>
          <w:szCs w:val="24"/>
          <w:lang w:val="en-US"/>
        </w:rPr>
        <w:t>The firm</w:t>
      </w:r>
      <w:r w:rsidRPr="00BA1D53">
        <w:rPr>
          <w:rStyle w:val="Strong"/>
          <w:rFonts w:eastAsia="Times New Roman" w:cs="Arial"/>
          <w:b w:val="0"/>
          <w:szCs w:val="24"/>
          <w:lang w:val="en-US"/>
        </w:rPr>
        <w:t xml:space="preserve"> has witnessed a reduction in revenues, profitability, and liquidity, resulting in a financial crisis. This report contains the most significant financial performance ratios, profitability, liquidity, efficiency, and gearing ratios and explains the weaknesses that are low returns on the capital employed and decreasing trends in the gross profit ratios. </w:t>
      </w:r>
      <w:r w:rsidR="00D6777A" w:rsidRPr="00BA1D53">
        <w:rPr>
          <w:rStyle w:val="Strong"/>
          <w:rFonts w:eastAsia="Times New Roman" w:cs="Arial"/>
          <w:b w:val="0"/>
          <w:szCs w:val="24"/>
          <w:lang w:val="en-US"/>
        </w:rPr>
        <w:t xml:space="preserve">Also, during the working capital analysis, the Altman Z-score model shows that this company faces a greater threat of corporate failure. </w:t>
      </w:r>
      <w:r w:rsidR="006E74FE" w:rsidRPr="00BA1D53">
        <w:rPr>
          <w:rStyle w:val="Strong"/>
          <w:rFonts w:eastAsia="Times New Roman" w:cs="Arial"/>
          <w:b w:val="0"/>
          <w:szCs w:val="24"/>
          <w:lang w:val="en-US"/>
        </w:rPr>
        <w:t xml:space="preserve">Potential financial restructuring mechanisms, including asset sales, mergers, and equity injections, are also addressed in the report. </w:t>
      </w:r>
      <w:r w:rsidR="00272F68" w:rsidRPr="00BA1D53">
        <w:rPr>
          <w:rStyle w:val="Strong"/>
          <w:rFonts w:eastAsia="Times New Roman" w:cs="Arial"/>
          <w:b w:val="0"/>
          <w:szCs w:val="24"/>
          <w:lang w:val="en-US"/>
        </w:rPr>
        <w:t>It concludes with an investment appraisal of several projects, providing guidance in decision-making with capital rationing constraints.</w:t>
      </w:r>
    </w:p>
    <w:p w14:paraId="6AEEB12B" w14:textId="52756010" w:rsidR="000174BE" w:rsidRPr="00BA1D53" w:rsidRDefault="000174BE" w:rsidP="00E87136">
      <w:pPr>
        <w:pStyle w:val="Heading1"/>
        <w:rPr>
          <w:rStyle w:val="Strong"/>
          <w:rFonts w:eastAsia="Times New Roman" w:cs="Arial"/>
          <w:b/>
          <w:bCs/>
          <w:color w:val="auto"/>
          <w:szCs w:val="24"/>
          <w:lang w:val="en-US"/>
        </w:rPr>
      </w:pPr>
      <w:bookmarkStart w:id="2" w:name="_Toc214712739"/>
      <w:r w:rsidRPr="00BA1D53">
        <w:rPr>
          <w:rFonts w:cs="Arial"/>
          <w:color w:val="auto"/>
        </w:rPr>
        <w:t>Financial Health Check</w:t>
      </w:r>
      <w:bookmarkEnd w:id="2"/>
    </w:p>
    <w:p w14:paraId="7F7E2966" w14:textId="0EEACBAB" w:rsidR="005E7F27" w:rsidRDefault="00E83D2F" w:rsidP="00272F68">
      <w:pPr>
        <w:rPr>
          <w:rFonts w:cs="Arial"/>
        </w:rPr>
      </w:pPr>
      <w:r w:rsidRPr="00BA1D53">
        <w:rPr>
          <w:rFonts w:cs="Arial"/>
        </w:rPr>
        <w:t xml:space="preserve">The firm has </w:t>
      </w:r>
      <w:r w:rsidR="0056720A" w:rsidRPr="00BA1D53">
        <w:rPr>
          <w:rFonts w:cs="Arial"/>
        </w:rPr>
        <w:t>overcome its hardships and challenges</w:t>
      </w:r>
      <w:r w:rsidRPr="00BA1D53">
        <w:rPr>
          <w:rFonts w:cs="Arial"/>
        </w:rPr>
        <w:t xml:space="preserve"> to remain profit-driven over the </w:t>
      </w:r>
      <w:r w:rsidR="0056720A" w:rsidRPr="00BA1D53">
        <w:rPr>
          <w:rFonts w:cs="Arial"/>
        </w:rPr>
        <w:t>previous</w:t>
      </w:r>
      <w:r w:rsidRPr="00BA1D53">
        <w:rPr>
          <w:rFonts w:cs="Arial"/>
        </w:rPr>
        <w:t xml:space="preserve"> few years (2020-24). Nevertheless, 2020 had the highest net sales of </w:t>
      </w:r>
      <w:r w:rsidR="00124D0E" w:rsidRPr="00BA1D53">
        <w:rPr>
          <w:rFonts w:cs="Arial"/>
        </w:rPr>
        <w:t>£</w:t>
      </w:r>
      <w:r w:rsidRPr="00BA1D53">
        <w:rPr>
          <w:rFonts w:cs="Arial"/>
        </w:rPr>
        <w:t xml:space="preserve">614.68 million. It has declined steadily since then, with the numbers displaying </w:t>
      </w:r>
      <w:r w:rsidR="00124D0E" w:rsidRPr="00BA1D53">
        <w:rPr>
          <w:rFonts w:cs="Arial"/>
        </w:rPr>
        <w:t>£</w:t>
      </w:r>
      <w:r w:rsidRPr="00BA1D53">
        <w:rPr>
          <w:rFonts w:cs="Arial"/>
        </w:rPr>
        <w:t xml:space="preserve">394.88 million in 2024. A decline in net sales of this kind indicates a </w:t>
      </w:r>
      <w:r w:rsidR="0056720A" w:rsidRPr="00BA1D53">
        <w:rPr>
          <w:rFonts w:cs="Arial"/>
        </w:rPr>
        <w:t>decrease</w:t>
      </w:r>
      <w:r w:rsidRPr="00BA1D53">
        <w:rPr>
          <w:rFonts w:cs="Arial"/>
        </w:rPr>
        <w:t xml:space="preserve"> in the market demand or industry competition generally (</w:t>
      </w:r>
      <w:r w:rsidR="00D0315B" w:rsidRPr="00D0315B">
        <w:rPr>
          <w:rFonts w:cs="Arial"/>
        </w:rPr>
        <w:t>Robert, Jennifer</w:t>
      </w:r>
      <w:r w:rsidR="00D0315B">
        <w:rPr>
          <w:rFonts w:cs="Arial"/>
        </w:rPr>
        <w:t xml:space="preserve"> and</w:t>
      </w:r>
      <w:r w:rsidR="00D0315B" w:rsidRPr="00D0315B">
        <w:rPr>
          <w:rFonts w:cs="Arial"/>
        </w:rPr>
        <w:t xml:space="preserve"> Todd</w:t>
      </w:r>
      <w:r w:rsidRPr="00BA1D53">
        <w:rPr>
          <w:rFonts w:cs="Arial"/>
        </w:rPr>
        <w:t>, 20</w:t>
      </w:r>
      <w:r w:rsidR="00D0315B">
        <w:rPr>
          <w:rFonts w:cs="Arial"/>
        </w:rPr>
        <w:t>23</w:t>
      </w:r>
      <w:r w:rsidRPr="00BA1D53">
        <w:rPr>
          <w:rFonts w:cs="Arial"/>
        </w:rPr>
        <w:t xml:space="preserve">). </w:t>
      </w:r>
      <w:r w:rsidR="0056720A" w:rsidRPr="00BA1D53">
        <w:rPr>
          <w:rFonts w:cs="Arial"/>
        </w:rPr>
        <w:t>The cost of sales is on a downward trend because the price in 2024 is lower (</w:t>
      </w:r>
      <w:r w:rsidR="00124D0E" w:rsidRPr="00BA1D53">
        <w:rPr>
          <w:rFonts w:cs="Arial"/>
        </w:rPr>
        <w:t>£</w:t>
      </w:r>
      <w:r w:rsidR="0056720A" w:rsidRPr="00BA1D53">
        <w:rPr>
          <w:rFonts w:cs="Arial"/>
        </w:rPr>
        <w:t>280.89 million) than in 2020, when it</w:t>
      </w:r>
      <w:r w:rsidRPr="00BA1D53">
        <w:rPr>
          <w:rFonts w:cs="Arial"/>
        </w:rPr>
        <w:t xml:space="preserve"> was </w:t>
      </w:r>
      <w:r w:rsidR="00124D0E" w:rsidRPr="00BA1D53">
        <w:rPr>
          <w:rFonts w:cs="Arial"/>
        </w:rPr>
        <w:t>£</w:t>
      </w:r>
      <w:r w:rsidRPr="00BA1D53">
        <w:rPr>
          <w:rFonts w:cs="Arial"/>
        </w:rPr>
        <w:t xml:space="preserve">438.42 million. This has also influenced the gross profit in the company. The gross profit was 176.26 million in 2020, but it decreased significantly in 2024, even though the cost of sales was reduced. This is </w:t>
      </w:r>
      <w:r w:rsidR="0056720A" w:rsidRPr="00BA1D53">
        <w:rPr>
          <w:rFonts w:cs="Arial"/>
        </w:rPr>
        <w:t>because of poor sales and a lack of operational efficiency, as evidenced by</w:t>
      </w:r>
      <w:r w:rsidRPr="00BA1D53">
        <w:rPr>
          <w:rFonts w:cs="Arial"/>
        </w:rPr>
        <w:t xml:space="preserve"> increasing operating costs. In 2020, sales totalled </w:t>
      </w:r>
      <w:r w:rsidR="00124D0E" w:rsidRPr="00BA1D53">
        <w:rPr>
          <w:rFonts w:cs="Arial"/>
        </w:rPr>
        <w:t>£</w:t>
      </w:r>
      <w:r w:rsidRPr="00BA1D53">
        <w:rPr>
          <w:rFonts w:cs="Arial"/>
        </w:rPr>
        <w:t>138.99 million</w:t>
      </w:r>
      <w:r w:rsidR="0056720A" w:rsidRPr="00BA1D53">
        <w:rPr>
          <w:rFonts w:cs="Arial"/>
        </w:rPr>
        <w:t>, and in 2024, they fell</w:t>
      </w:r>
      <w:r w:rsidRPr="00BA1D53">
        <w:rPr>
          <w:rFonts w:cs="Arial"/>
        </w:rPr>
        <w:t xml:space="preserve"> to </w:t>
      </w:r>
      <w:r w:rsidR="00124D0E" w:rsidRPr="00BA1D53">
        <w:rPr>
          <w:rFonts w:cs="Arial"/>
        </w:rPr>
        <w:t>£</w:t>
      </w:r>
      <w:r w:rsidRPr="00BA1D53">
        <w:rPr>
          <w:rFonts w:cs="Arial"/>
        </w:rPr>
        <w:t>129.29 million.</w:t>
      </w:r>
    </w:p>
    <w:p w14:paraId="2707F352" w14:textId="0BD2FCF8" w:rsidR="00DF2558" w:rsidRPr="000F0229" w:rsidRDefault="00FB6C21" w:rsidP="00272F68">
      <w:pPr>
        <w:rPr>
          <w:rStyle w:val="Strong"/>
          <w:rFonts w:cs="Arial"/>
          <w:b w:val="0"/>
          <w:bCs w:val="0"/>
        </w:rPr>
      </w:pPr>
      <w:r w:rsidRPr="00FB6C21">
        <w:rPr>
          <w:rFonts w:cs="Arial"/>
          <w:b/>
          <w:bCs/>
        </w:rPr>
        <w:t xml:space="preserve">Financial Position Analysis: </w:t>
      </w:r>
      <w:r w:rsidRPr="00FB6C21">
        <w:rPr>
          <w:rFonts w:cs="Arial"/>
        </w:rPr>
        <w:t xml:space="preserve">The consolidated financial position indicates that total assets and equity have declined considerably as </w:t>
      </w:r>
      <w:r>
        <w:rPr>
          <w:rFonts w:cs="Arial"/>
        </w:rPr>
        <w:t>of 2022 and onwards,</w:t>
      </w:r>
      <w:r w:rsidRPr="00FB6C21">
        <w:rPr>
          <w:rFonts w:cs="Arial"/>
        </w:rPr>
        <w:t xml:space="preserve"> and this has been attributed to low cash, inventories, and retained earnings. There was also </w:t>
      </w:r>
      <w:r>
        <w:rPr>
          <w:rFonts w:cs="Arial"/>
        </w:rPr>
        <w:t>a reduction in liabilities,</w:t>
      </w:r>
      <w:r w:rsidRPr="00FB6C21">
        <w:rPr>
          <w:rFonts w:cs="Arial"/>
        </w:rPr>
        <w:t xml:space="preserve"> but at a low rate. High treasury stock also decreases equity. </w:t>
      </w:r>
      <w:r w:rsidR="00DF2558">
        <w:rPr>
          <w:rFonts w:cs="Arial"/>
        </w:rPr>
        <w:t>T</w:t>
      </w:r>
      <w:r w:rsidRPr="00FB6C21">
        <w:rPr>
          <w:rFonts w:cs="Arial"/>
        </w:rPr>
        <w:t xml:space="preserve">he financial strength of the company has decreased, which is indicated by the reduction in liquidity, assets, and shareholder value </w:t>
      </w:r>
      <w:r>
        <w:rPr>
          <w:rFonts w:cs="Arial"/>
        </w:rPr>
        <w:t>over the past five years</w:t>
      </w:r>
      <w:r w:rsidRPr="00FB6C21">
        <w:rPr>
          <w:rFonts w:cs="Arial"/>
        </w:rPr>
        <w:t>.</w:t>
      </w:r>
    </w:p>
    <w:p w14:paraId="148A41BC" w14:textId="6D6B754E" w:rsidR="00DF2558" w:rsidRPr="00F642BD" w:rsidRDefault="00DF2558" w:rsidP="00F642BD">
      <w:r w:rsidRPr="00DF2558">
        <w:rPr>
          <w:b/>
          <w:bCs/>
        </w:rPr>
        <w:lastRenderedPageBreak/>
        <w:t>Cash Flow Statement:</w:t>
      </w:r>
      <w:r>
        <w:t xml:space="preserve"> </w:t>
      </w:r>
      <w:r w:rsidRPr="00DF2558">
        <w:t>The place of the cash flow statement depicts improving operating cash in 2024</w:t>
      </w:r>
      <w:r>
        <w:t>,</w:t>
      </w:r>
      <w:r w:rsidRPr="00DF2558">
        <w:t xml:space="preserve"> even though there is a net loss, which is due to the working-capital adjustments. Cash investment is regular because of the continuous purchases of assets. The </w:t>
      </w:r>
      <w:r>
        <w:t>financial</w:t>
      </w:r>
      <w:r w:rsidRPr="00DF2558">
        <w:t xml:space="preserve"> activities are oscillating with high borrowing and credit line reimbursement. Generally, the cash showed a downward trend in 2024, </w:t>
      </w:r>
      <w:r w:rsidR="00F642BD">
        <w:t>indicating</w:t>
      </w:r>
      <w:r w:rsidRPr="00DF2558">
        <w:t xml:space="preserve"> more reliance on financing and lower profitability than </w:t>
      </w:r>
      <w:r>
        <w:t>in</w:t>
      </w:r>
      <w:r w:rsidRPr="00DF2558">
        <w:t xml:space="preserve"> previous years.</w:t>
      </w:r>
    </w:p>
    <w:p w14:paraId="6A44681B" w14:textId="6CF1D521" w:rsidR="00D82001" w:rsidRPr="00BA1D53" w:rsidRDefault="00D82001" w:rsidP="00272F68">
      <w:pPr>
        <w:pStyle w:val="Heading2"/>
        <w:jc w:val="both"/>
        <w:rPr>
          <w:rFonts w:cs="Arial"/>
          <w:color w:val="auto"/>
          <w:sz w:val="27"/>
        </w:rPr>
      </w:pPr>
      <w:bookmarkStart w:id="3" w:name="_Toc214414585"/>
      <w:bookmarkStart w:id="4" w:name="_Toc214712740"/>
      <w:r w:rsidRPr="00BA1D53">
        <w:rPr>
          <w:rFonts w:cs="Arial"/>
          <w:color w:val="auto"/>
        </w:rPr>
        <w:t>Ratio Analysis of General Electronics</w:t>
      </w:r>
      <w:bookmarkEnd w:id="3"/>
      <w:bookmarkEnd w:id="4"/>
      <w:r w:rsidRPr="00BA1D53">
        <w:rPr>
          <w:rFonts w:cs="Arial"/>
          <w:color w:val="auto"/>
        </w:rPr>
        <w:t xml:space="preserve"> </w:t>
      </w:r>
    </w:p>
    <w:p w14:paraId="26180B24" w14:textId="20B4F13B" w:rsidR="00C642D1" w:rsidRDefault="00D64ED0" w:rsidP="00272F68">
      <w:pPr>
        <w:rPr>
          <w:rFonts w:cs="Arial"/>
        </w:rPr>
      </w:pPr>
      <w:r w:rsidRPr="00BA1D53">
        <w:rPr>
          <w:rFonts w:cs="Arial"/>
        </w:rPr>
        <w:t>The financial analysis of the last five years across general electronics indicates that it has recorded major changes in key financial ratios, which include its advantages and disadvantages.</w:t>
      </w:r>
    </w:p>
    <w:p w14:paraId="589731E9" w14:textId="3B628A71" w:rsidR="00A74E70" w:rsidRDefault="00A74E70" w:rsidP="00272F68">
      <w:pPr>
        <w:rPr>
          <w:rFonts w:cs="Arial"/>
        </w:rPr>
      </w:pPr>
    </w:p>
    <w:p w14:paraId="4E65DFE0" w14:textId="354A7183" w:rsidR="00A74E70" w:rsidRDefault="00A74E70" w:rsidP="00272F68">
      <w:pPr>
        <w:rPr>
          <w:rFonts w:cs="Arial"/>
        </w:rPr>
      </w:pPr>
    </w:p>
    <w:p w14:paraId="03F17FF7" w14:textId="62C6E43F" w:rsidR="00A74E70" w:rsidRDefault="00A74E70" w:rsidP="00272F68">
      <w:pPr>
        <w:rPr>
          <w:rFonts w:cs="Arial"/>
        </w:rPr>
      </w:pPr>
    </w:p>
    <w:p w14:paraId="032F239A" w14:textId="42756ED6" w:rsidR="00A74E70" w:rsidRDefault="00A74E70" w:rsidP="00272F68">
      <w:pPr>
        <w:rPr>
          <w:rFonts w:cs="Arial"/>
        </w:rPr>
      </w:pPr>
    </w:p>
    <w:p w14:paraId="2E29E1CF" w14:textId="17C8996B" w:rsidR="00A74E70" w:rsidRDefault="00A74E70" w:rsidP="00272F68">
      <w:pPr>
        <w:rPr>
          <w:rFonts w:cs="Arial"/>
        </w:rPr>
      </w:pPr>
    </w:p>
    <w:p w14:paraId="05B261D6" w14:textId="275FF88E" w:rsidR="00A74E70" w:rsidRDefault="00A74E70" w:rsidP="00272F68">
      <w:pPr>
        <w:rPr>
          <w:rFonts w:cs="Arial"/>
        </w:rPr>
      </w:pPr>
    </w:p>
    <w:p w14:paraId="27CF20B3" w14:textId="502646F2" w:rsidR="00A74E70" w:rsidRDefault="00A74E70" w:rsidP="00272F68">
      <w:pPr>
        <w:rPr>
          <w:rFonts w:cs="Arial"/>
        </w:rPr>
      </w:pPr>
    </w:p>
    <w:p w14:paraId="677C9C89" w14:textId="6D9478E0" w:rsidR="00A74E70" w:rsidRDefault="00512367" w:rsidP="00272F68">
      <w:pPr>
        <w:rPr>
          <w:rFonts w:cs="Arial"/>
        </w:rPr>
      </w:pPr>
      <w:r w:rsidRPr="00BA4CB6">
        <w:rPr>
          <w:noProof/>
          <w:lang w:val="en-US"/>
        </w:rPr>
        <w:lastRenderedPageBreak/>
        <w:drawing>
          <wp:inline distT="0" distB="0" distL="0" distR="0" wp14:anchorId="73EE1199" wp14:editId="170BFD0C">
            <wp:extent cx="5981700" cy="6720502"/>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83323" cy="6722325"/>
                    </a:xfrm>
                    <a:prstGeom prst="rect">
                      <a:avLst/>
                    </a:prstGeom>
                    <a:noFill/>
                    <a:ln>
                      <a:noFill/>
                    </a:ln>
                  </pic:spPr>
                </pic:pic>
              </a:graphicData>
            </a:graphic>
          </wp:inline>
        </w:drawing>
      </w:r>
    </w:p>
    <w:p w14:paraId="11676BEC" w14:textId="22D2A845" w:rsidR="00A74E70" w:rsidRDefault="00512367" w:rsidP="00272F68">
      <w:pPr>
        <w:rPr>
          <w:rFonts w:cs="Arial"/>
        </w:rPr>
      </w:pPr>
      <w:r w:rsidRPr="00BA4CB6">
        <w:rPr>
          <w:noProof/>
          <w:lang w:val="en-US"/>
        </w:rPr>
        <w:drawing>
          <wp:inline distT="0" distB="0" distL="0" distR="0" wp14:anchorId="068E2A60" wp14:editId="0CBC35E5">
            <wp:extent cx="5981700" cy="81530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25174"/>
                    <a:stretch/>
                  </pic:blipFill>
                  <pic:spPr bwMode="auto">
                    <a:xfrm>
                      <a:off x="0" y="0"/>
                      <a:ext cx="6030893" cy="822014"/>
                    </a:xfrm>
                    <a:prstGeom prst="rect">
                      <a:avLst/>
                    </a:prstGeom>
                    <a:noFill/>
                    <a:ln>
                      <a:noFill/>
                    </a:ln>
                    <a:extLst>
                      <a:ext uri="{53640926-AAD7-44D8-BBD7-CCE9431645EC}">
                        <a14:shadowObscured xmlns:a14="http://schemas.microsoft.com/office/drawing/2010/main"/>
                      </a:ext>
                    </a:extLst>
                  </pic:spPr>
                </pic:pic>
              </a:graphicData>
            </a:graphic>
          </wp:inline>
        </w:drawing>
      </w:r>
    </w:p>
    <w:p w14:paraId="537336C7" w14:textId="0503982D" w:rsidR="007E0B3A" w:rsidRPr="00BA1D53" w:rsidRDefault="007E0B3A" w:rsidP="007E0B3A">
      <w:pPr>
        <w:jc w:val="center"/>
        <w:rPr>
          <w:rFonts w:cs="Arial"/>
        </w:rPr>
      </w:pPr>
    </w:p>
    <w:p w14:paraId="0370184F" w14:textId="77777777" w:rsidR="00C642D1" w:rsidRPr="00BA1D53" w:rsidRDefault="00C642D1" w:rsidP="000F19BD">
      <w:pPr>
        <w:pStyle w:val="Heading3"/>
        <w:rPr>
          <w:rFonts w:cs="Arial"/>
        </w:rPr>
      </w:pPr>
      <w:bookmarkStart w:id="5" w:name="_Toc213267771"/>
      <w:bookmarkStart w:id="6" w:name="_Toc214414586"/>
      <w:bookmarkStart w:id="7" w:name="_Toc214712741"/>
      <w:r w:rsidRPr="00BA1D53">
        <w:rPr>
          <w:rFonts w:cs="Arial"/>
        </w:rPr>
        <w:lastRenderedPageBreak/>
        <w:t>Profitability Ratios</w:t>
      </w:r>
      <w:bookmarkEnd w:id="5"/>
      <w:bookmarkEnd w:id="6"/>
      <w:bookmarkEnd w:id="7"/>
    </w:p>
    <w:p w14:paraId="130B9911" w14:textId="3C9DCA47" w:rsidR="007E0B3A" w:rsidRDefault="0050626C" w:rsidP="00272F68">
      <w:pPr>
        <w:pStyle w:val="NormalWeb"/>
        <w:spacing w:line="360" w:lineRule="auto"/>
        <w:jc w:val="both"/>
        <w:rPr>
          <w:rFonts w:cs="Arial"/>
        </w:rPr>
      </w:pPr>
      <w:r w:rsidRPr="0050626C">
        <w:rPr>
          <w:rFonts w:cs="Arial"/>
        </w:rPr>
        <w:t>The ratios that depict how well an organisation has been able to make a profit in relation to its revenue, assets and equity are profitability ratios (Tracy, 2012).</w:t>
      </w:r>
    </w:p>
    <w:p w14:paraId="464F258A" w14:textId="77777777" w:rsidR="007E0B3A" w:rsidRDefault="007E0B3A" w:rsidP="007E0B3A">
      <w:pPr>
        <w:pStyle w:val="NormalWeb"/>
        <w:keepNext/>
        <w:spacing w:line="360" w:lineRule="auto"/>
        <w:jc w:val="center"/>
      </w:pPr>
      <w:r w:rsidRPr="00BA1D53">
        <w:rPr>
          <w:rFonts w:cs="Arial"/>
          <w:noProof/>
        </w:rPr>
        <w:drawing>
          <wp:inline distT="0" distB="0" distL="0" distR="0" wp14:anchorId="747A3A87" wp14:editId="102445E8">
            <wp:extent cx="3916680" cy="2354348"/>
            <wp:effectExtent l="0" t="0" r="762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19447" cy="2356011"/>
                    </a:xfrm>
                    <a:prstGeom prst="rect">
                      <a:avLst/>
                    </a:prstGeom>
                    <a:noFill/>
                  </pic:spPr>
                </pic:pic>
              </a:graphicData>
            </a:graphic>
          </wp:inline>
        </w:drawing>
      </w:r>
    </w:p>
    <w:p w14:paraId="79050988" w14:textId="74A88178" w:rsidR="007E0B3A" w:rsidRDefault="007E0B3A" w:rsidP="007E0B3A">
      <w:pPr>
        <w:pStyle w:val="Caption"/>
        <w:jc w:val="center"/>
      </w:pPr>
      <w:bookmarkStart w:id="8" w:name="_Toc214664104"/>
      <w:r>
        <w:t xml:space="preserve">Figure </w:t>
      </w:r>
      <w:r>
        <w:fldChar w:fldCharType="begin"/>
      </w:r>
      <w:r>
        <w:instrText xml:space="preserve"> SEQ Figure \* ARABIC </w:instrText>
      </w:r>
      <w:r>
        <w:fldChar w:fldCharType="separate"/>
      </w:r>
      <w:r>
        <w:rPr>
          <w:noProof/>
        </w:rPr>
        <w:t>1</w:t>
      </w:r>
      <w:r>
        <w:fldChar w:fldCharType="end"/>
      </w:r>
      <w:r>
        <w:t xml:space="preserve"> </w:t>
      </w:r>
      <w:r w:rsidRPr="00E66DA8">
        <w:t>Profitability Ratios</w:t>
      </w:r>
      <w:bookmarkEnd w:id="8"/>
    </w:p>
    <w:p w14:paraId="61A073BB" w14:textId="45C0302D" w:rsidR="007E0B3A" w:rsidRDefault="007E0B3A" w:rsidP="007E0B3A">
      <w:pPr>
        <w:pStyle w:val="Caption"/>
        <w:jc w:val="center"/>
        <w:rPr>
          <w:rFonts w:cs="Arial"/>
        </w:rPr>
      </w:pPr>
      <w:r>
        <w:t>Source: Self-made</w:t>
      </w:r>
    </w:p>
    <w:p w14:paraId="7977F2AA" w14:textId="77777777" w:rsidR="00351FDA" w:rsidRPr="00351FDA" w:rsidRDefault="00A46BB6" w:rsidP="00351FDA">
      <w:pPr>
        <w:rPr>
          <w:rFonts w:eastAsia="Times New Roman" w:cs="Arial"/>
          <w:szCs w:val="24"/>
          <w:lang w:val="en-US"/>
        </w:rPr>
      </w:pPr>
      <w:r w:rsidRPr="00A46BB6">
        <w:rPr>
          <w:rFonts w:eastAsia="Times New Roman" w:cs="Arial"/>
          <w:szCs w:val="24"/>
          <w:lang w:val="en-US"/>
        </w:rPr>
        <w:t xml:space="preserve">The negative value of Return on Capital Employed (ROCE) in 2024 means that the company was no longer making profits on the employed capital. </w:t>
      </w:r>
      <w:r w:rsidR="00351FDA" w:rsidRPr="00351FDA">
        <w:rPr>
          <w:rFonts w:eastAsia="Times New Roman" w:cs="Arial"/>
          <w:szCs w:val="24"/>
          <w:lang w:val="en-US"/>
        </w:rPr>
        <w:t>In 2020, 2021 and 2024, Gross Profit Margin has held fairly constant at 29 per cent, whereas it shrank to 23% in 2023, indicating an impact on cost management and margins. Meanwhile, the Net Operating Profit Margin deteriorated to -4% in 2024, according to the comparison with 6% in the previous year, due to the deterioration of operational efficiency.</w:t>
      </w:r>
    </w:p>
    <w:p w14:paraId="09A55221" w14:textId="77777777" w:rsidR="00351FDA" w:rsidRPr="00351FDA" w:rsidRDefault="00351FDA" w:rsidP="00351FDA">
      <w:pPr>
        <w:pStyle w:val="Heading2"/>
      </w:pPr>
      <w:bookmarkStart w:id="9" w:name="_Toc214414587"/>
      <w:bookmarkStart w:id="10" w:name="_Toc214712742"/>
      <w:r w:rsidRPr="00351FDA">
        <w:t>Liquidity Ratios</w:t>
      </w:r>
      <w:bookmarkEnd w:id="9"/>
      <w:bookmarkEnd w:id="10"/>
    </w:p>
    <w:p w14:paraId="1169AB6E" w14:textId="264C84E5" w:rsidR="007E0B3A" w:rsidRPr="00FF0358" w:rsidRDefault="00351FDA" w:rsidP="00351FDA">
      <w:r w:rsidRPr="00351FDA">
        <w:rPr>
          <w:rFonts w:eastAsia="Times New Roman" w:cs="Arial"/>
          <w:szCs w:val="24"/>
          <w:lang w:val="en-US"/>
        </w:rPr>
        <w:t xml:space="preserve">The liquidity ratios are needed to know the capacity of a company to meet its current needs. The Current Ratio, preferably 2:1, has been relatively constant over the years, reflecting the ability of the firm to meet short-term obligations. Nevertheless, a stricter liquidity ratio is the Acid Test Ratio, which doesn't include inventory in assets. </w:t>
      </w:r>
      <w:r w:rsidR="0048174B" w:rsidRPr="0048174B">
        <w:rPr>
          <w:rFonts w:cs="Arial"/>
        </w:rPr>
        <w:t xml:space="preserve">The optimal Acid Test Ratio is usually 1:1. However, the fact that both ratios have </w:t>
      </w:r>
      <w:r w:rsidR="00E17460">
        <w:rPr>
          <w:rFonts w:cs="Arial"/>
        </w:rPr>
        <w:t>decreased slightly over time suggests that the firm might be experiencing challenges with</w:t>
      </w:r>
      <w:r w:rsidR="0048174B" w:rsidRPr="0048174B">
        <w:rPr>
          <w:rFonts w:cs="Arial"/>
        </w:rPr>
        <w:t xml:space="preserve"> its short-term solvency.</w:t>
      </w:r>
    </w:p>
    <w:p w14:paraId="20FE73CD" w14:textId="77777777" w:rsidR="007E0B3A" w:rsidRDefault="007E0B3A" w:rsidP="007E0B3A">
      <w:pPr>
        <w:pStyle w:val="NormalWeb"/>
        <w:keepNext/>
        <w:spacing w:line="360" w:lineRule="auto"/>
        <w:jc w:val="center"/>
      </w:pPr>
      <w:r w:rsidRPr="00BA1D53">
        <w:rPr>
          <w:rFonts w:cs="Arial"/>
          <w:noProof/>
        </w:rPr>
        <w:lastRenderedPageBreak/>
        <w:drawing>
          <wp:inline distT="0" distB="0" distL="0" distR="0" wp14:anchorId="07FBF9F6" wp14:editId="73B3BA75">
            <wp:extent cx="3701564" cy="2225040"/>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06371" cy="2227930"/>
                    </a:xfrm>
                    <a:prstGeom prst="rect">
                      <a:avLst/>
                    </a:prstGeom>
                    <a:noFill/>
                  </pic:spPr>
                </pic:pic>
              </a:graphicData>
            </a:graphic>
          </wp:inline>
        </w:drawing>
      </w:r>
    </w:p>
    <w:p w14:paraId="70662573" w14:textId="487FEFCC" w:rsidR="007E0B3A" w:rsidRDefault="007E0B3A" w:rsidP="007E0B3A">
      <w:pPr>
        <w:pStyle w:val="Caption"/>
        <w:jc w:val="center"/>
      </w:pPr>
      <w:bookmarkStart w:id="11" w:name="_Toc214664105"/>
      <w:r>
        <w:t xml:space="preserve">Figure </w:t>
      </w:r>
      <w:r>
        <w:fldChar w:fldCharType="begin"/>
      </w:r>
      <w:r>
        <w:instrText xml:space="preserve"> SEQ Figure \* ARABIC </w:instrText>
      </w:r>
      <w:r>
        <w:fldChar w:fldCharType="separate"/>
      </w:r>
      <w:r>
        <w:rPr>
          <w:noProof/>
        </w:rPr>
        <w:t>2</w:t>
      </w:r>
      <w:r>
        <w:fldChar w:fldCharType="end"/>
      </w:r>
      <w:r>
        <w:t xml:space="preserve"> </w:t>
      </w:r>
      <w:r w:rsidRPr="00F017EA">
        <w:t>Liquidity Ratios</w:t>
      </w:r>
      <w:bookmarkEnd w:id="11"/>
    </w:p>
    <w:p w14:paraId="1DE25F4C" w14:textId="14112286" w:rsidR="007E0B3A" w:rsidRPr="00BA1D53" w:rsidRDefault="007E0B3A" w:rsidP="007E0B3A">
      <w:pPr>
        <w:pStyle w:val="Caption"/>
        <w:jc w:val="center"/>
        <w:rPr>
          <w:rFonts w:cs="Arial"/>
          <w:b/>
          <w:bCs/>
        </w:rPr>
      </w:pPr>
      <w:r>
        <w:t>Source: Self-made</w:t>
      </w:r>
    </w:p>
    <w:p w14:paraId="61680905" w14:textId="4C696010" w:rsidR="00C642D1" w:rsidRPr="00BA1D53" w:rsidRDefault="0048174B" w:rsidP="00272F68">
      <w:pPr>
        <w:pStyle w:val="NormalWeb"/>
        <w:spacing w:line="360" w:lineRule="auto"/>
        <w:jc w:val="both"/>
        <w:rPr>
          <w:rFonts w:cs="Arial"/>
        </w:rPr>
      </w:pPr>
      <w:r w:rsidRPr="0048174B">
        <w:rPr>
          <w:rFonts w:cs="Arial"/>
        </w:rPr>
        <w:t xml:space="preserve">Current Ratio was greater than one throughout all the periods, which means that these companies typically possess enough assets to </w:t>
      </w:r>
      <w:r w:rsidR="00E17460">
        <w:rPr>
          <w:rFonts w:cs="Arial"/>
        </w:rPr>
        <w:t xml:space="preserve">cover </w:t>
      </w:r>
      <w:r w:rsidRPr="0048174B">
        <w:rPr>
          <w:rFonts w:cs="Arial"/>
        </w:rPr>
        <w:t>the current liabilities (Blessing and Sakouvogui, 2023). However, it slightly fell from 1.82 in 2020 to 1.53 in 2024. The Quick Ratio, a more important measure of liquidity, has been fluctuating with 1.15 in 2020 and 1.03 in 2024, meaning that there was an increase in deterioration of the immediate liquidity of the company</w:t>
      </w:r>
      <w:r w:rsidR="00E17460">
        <w:rPr>
          <w:rFonts w:cs="Arial"/>
        </w:rPr>
        <w:t xml:space="preserve"> </w:t>
      </w:r>
      <w:r w:rsidR="00E17460" w:rsidRPr="00E17460">
        <w:rPr>
          <w:rFonts w:cs="Arial"/>
        </w:rPr>
        <w:t>(Hertina, 2021)</w:t>
      </w:r>
      <w:r w:rsidRPr="0048174B">
        <w:rPr>
          <w:rFonts w:cs="Arial"/>
        </w:rPr>
        <w:t>.</w:t>
      </w:r>
      <w:r w:rsidR="00C642D1" w:rsidRPr="00BA1D53">
        <w:rPr>
          <w:rFonts w:cs="Arial"/>
        </w:rPr>
        <w:t xml:space="preserve"> It also </w:t>
      </w:r>
      <w:r w:rsidR="00536C6D" w:rsidRPr="00BA1D53">
        <w:rPr>
          <w:rFonts w:cs="Arial"/>
        </w:rPr>
        <w:t>shows</w:t>
      </w:r>
      <w:r w:rsidR="00C642D1" w:rsidRPr="00BA1D53">
        <w:rPr>
          <w:rFonts w:cs="Arial"/>
        </w:rPr>
        <w:t xml:space="preserve"> that the Cash Ratio has decreased, </w:t>
      </w:r>
      <w:r w:rsidR="00536C6D" w:rsidRPr="00BA1D53">
        <w:rPr>
          <w:rFonts w:cs="Arial"/>
        </w:rPr>
        <w:t>from 32 per cent in 2020 to at least 17 per cent in 2024. This decrease in cash relative to short-term loans suggests a potential</w:t>
      </w:r>
      <w:r w:rsidR="00C642D1" w:rsidRPr="00BA1D53">
        <w:rPr>
          <w:rFonts w:cs="Arial"/>
        </w:rPr>
        <w:t xml:space="preserve"> liquidity risk indicator.</w:t>
      </w:r>
    </w:p>
    <w:p w14:paraId="6F2EFE1F" w14:textId="77777777" w:rsidR="00C642D1" w:rsidRPr="00BA1D53" w:rsidRDefault="00C642D1" w:rsidP="000F19BD">
      <w:pPr>
        <w:pStyle w:val="Heading3"/>
        <w:rPr>
          <w:rFonts w:cs="Arial"/>
        </w:rPr>
      </w:pPr>
      <w:bookmarkStart w:id="12" w:name="_Toc213267773"/>
      <w:bookmarkStart w:id="13" w:name="_Toc214414588"/>
      <w:bookmarkStart w:id="14" w:name="_Toc214712743"/>
      <w:r w:rsidRPr="00BA1D53">
        <w:rPr>
          <w:rFonts w:cs="Arial"/>
        </w:rPr>
        <w:t>Efficiency Ratios</w:t>
      </w:r>
      <w:bookmarkEnd w:id="12"/>
      <w:bookmarkEnd w:id="13"/>
      <w:bookmarkEnd w:id="14"/>
    </w:p>
    <w:p w14:paraId="792709D8" w14:textId="77777777" w:rsidR="007E0B3A" w:rsidRDefault="00041179" w:rsidP="00272F68">
      <w:pPr>
        <w:rPr>
          <w:rFonts w:cs="Arial"/>
        </w:rPr>
      </w:pPr>
      <w:r w:rsidRPr="00BA1D53">
        <w:rPr>
          <w:rFonts w:cs="Arial"/>
        </w:rPr>
        <w:t xml:space="preserve">The efficiency ratios are employed to demonstrate the effectiveness of the company </w:t>
      </w:r>
      <w:r w:rsidR="00BC0BC9" w:rsidRPr="00BA1D53">
        <w:rPr>
          <w:rFonts w:cs="Arial"/>
        </w:rPr>
        <w:t>in utilising</w:t>
      </w:r>
      <w:r w:rsidRPr="00BA1D53">
        <w:rPr>
          <w:rFonts w:cs="Arial"/>
        </w:rPr>
        <w:t xml:space="preserve"> assets and liabilities to generate revenue (Lee, 2023).</w:t>
      </w:r>
    </w:p>
    <w:p w14:paraId="32D173A3" w14:textId="77777777" w:rsidR="007E0B3A" w:rsidRDefault="007E0B3A" w:rsidP="007E0B3A">
      <w:pPr>
        <w:keepNext/>
        <w:jc w:val="center"/>
      </w:pPr>
      <w:r w:rsidRPr="00BA1D53">
        <w:rPr>
          <w:rFonts w:cs="Arial"/>
          <w:noProof/>
          <w:lang w:val="en-US"/>
        </w:rPr>
        <w:lastRenderedPageBreak/>
        <w:drawing>
          <wp:inline distT="0" distB="0" distL="0" distR="0" wp14:anchorId="62B5BCB7" wp14:editId="6A230A7C">
            <wp:extent cx="3384649" cy="2034540"/>
            <wp:effectExtent l="0" t="0" r="635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90359" cy="2037972"/>
                    </a:xfrm>
                    <a:prstGeom prst="rect">
                      <a:avLst/>
                    </a:prstGeom>
                    <a:noFill/>
                  </pic:spPr>
                </pic:pic>
              </a:graphicData>
            </a:graphic>
          </wp:inline>
        </w:drawing>
      </w:r>
    </w:p>
    <w:p w14:paraId="1BA69BA8" w14:textId="5100C04C" w:rsidR="007E0B3A" w:rsidRDefault="007E0B3A" w:rsidP="007E0B3A">
      <w:pPr>
        <w:pStyle w:val="Caption"/>
        <w:jc w:val="center"/>
      </w:pPr>
      <w:bookmarkStart w:id="15" w:name="_Toc214664106"/>
      <w:r>
        <w:t xml:space="preserve">Figure </w:t>
      </w:r>
      <w:r>
        <w:fldChar w:fldCharType="begin"/>
      </w:r>
      <w:r>
        <w:instrText xml:space="preserve"> SEQ Figure \* ARABIC </w:instrText>
      </w:r>
      <w:r>
        <w:fldChar w:fldCharType="separate"/>
      </w:r>
      <w:r>
        <w:rPr>
          <w:noProof/>
        </w:rPr>
        <w:t>3</w:t>
      </w:r>
      <w:r>
        <w:fldChar w:fldCharType="end"/>
      </w:r>
      <w:r>
        <w:t xml:space="preserve"> </w:t>
      </w:r>
      <w:r w:rsidRPr="002E6AF5">
        <w:t>Efficiency Ratios</w:t>
      </w:r>
      <w:bookmarkEnd w:id="15"/>
    </w:p>
    <w:p w14:paraId="5F25CC20" w14:textId="0648385A" w:rsidR="007E0B3A" w:rsidRDefault="007E0B3A" w:rsidP="007E0B3A">
      <w:pPr>
        <w:pStyle w:val="Caption"/>
        <w:jc w:val="center"/>
        <w:rPr>
          <w:rFonts w:cs="Arial"/>
        </w:rPr>
      </w:pPr>
      <w:r>
        <w:t>Source: Self-made</w:t>
      </w:r>
    </w:p>
    <w:p w14:paraId="73A277F4" w14:textId="6292DF58" w:rsidR="00BE1564" w:rsidRPr="00BA1D53" w:rsidRDefault="00BE1564" w:rsidP="00272F68">
      <w:pPr>
        <w:rPr>
          <w:rFonts w:cs="Arial"/>
        </w:rPr>
      </w:pPr>
      <w:r>
        <w:rPr>
          <w:rFonts w:cs="Arial"/>
        </w:rPr>
        <w:t>T</w:t>
      </w:r>
      <w:r w:rsidR="00041179" w:rsidRPr="00BA1D53">
        <w:rPr>
          <w:rFonts w:cs="Arial"/>
        </w:rPr>
        <w:t>he inventory turnover has slowed and now measures 103 days as compared to 100 in 2020.</w:t>
      </w:r>
      <w:r>
        <w:rPr>
          <w:rFonts w:cs="Arial"/>
        </w:rPr>
        <w:t xml:space="preserve"> </w:t>
      </w:r>
      <w:r w:rsidRPr="00760C0B">
        <w:rPr>
          <w:rFonts w:cs="Arial"/>
        </w:rPr>
        <w:t>The days of inventory turnover show ups and downs</w:t>
      </w:r>
      <w:r>
        <w:rPr>
          <w:rFonts w:cs="Arial"/>
        </w:rPr>
        <w:t>,</w:t>
      </w:r>
      <w:r w:rsidRPr="00760C0B">
        <w:rPr>
          <w:rFonts w:cs="Arial"/>
        </w:rPr>
        <w:t xml:space="preserve"> with a peak in 2022.  Trade payables days are rising steadily</w:t>
      </w:r>
      <w:r>
        <w:rPr>
          <w:rFonts w:cs="Arial"/>
        </w:rPr>
        <w:t xml:space="preserve">, which means </w:t>
      </w:r>
      <w:r w:rsidRPr="00945055">
        <w:t xml:space="preserve">General Electronics </w:t>
      </w:r>
      <w:r w:rsidRPr="00760C0B">
        <w:rPr>
          <w:rFonts w:cs="Arial"/>
        </w:rPr>
        <w:t>takes a long time to pay.</w:t>
      </w:r>
      <w:r w:rsidR="008379CD">
        <w:rPr>
          <w:rFonts w:cs="Arial"/>
        </w:rPr>
        <w:t xml:space="preserve"> </w:t>
      </w:r>
      <w:r w:rsidR="0048174B" w:rsidRPr="0048174B">
        <w:rPr>
          <w:rFonts w:cs="Arial"/>
        </w:rPr>
        <w:t>The days of Trade Receivables are increasing, with the State experiencing increasing trends of 105 days and 94 days of Trade Receivables and Trade Payables, respectively, in 2024. This is a pointer to excessive collection and payment days that can influence the cash flow.  In line with these trends, it is seen that there is some definite improvement in receivables management, whereas there might be some payables and inventory turnover problems.</w:t>
      </w:r>
    </w:p>
    <w:p w14:paraId="3A50BED7" w14:textId="77777777" w:rsidR="00041179" w:rsidRPr="00BA1D53" w:rsidRDefault="00041179" w:rsidP="000F19BD">
      <w:pPr>
        <w:pStyle w:val="Heading3"/>
        <w:rPr>
          <w:rFonts w:cs="Arial"/>
        </w:rPr>
      </w:pPr>
      <w:bookmarkStart w:id="16" w:name="_Toc213267774"/>
      <w:bookmarkStart w:id="17" w:name="_Toc214414589"/>
      <w:bookmarkStart w:id="18" w:name="_Toc214712744"/>
      <w:r w:rsidRPr="00BA1D53">
        <w:rPr>
          <w:rFonts w:cs="Arial"/>
        </w:rPr>
        <w:t>Gearing Ratios</w:t>
      </w:r>
      <w:bookmarkEnd w:id="16"/>
      <w:bookmarkEnd w:id="17"/>
      <w:bookmarkEnd w:id="18"/>
    </w:p>
    <w:p w14:paraId="331BD018" w14:textId="668AD875" w:rsidR="007E0B3A" w:rsidRDefault="00E83D2F" w:rsidP="00552A83">
      <w:pPr>
        <w:pStyle w:val="NormalWeb"/>
        <w:spacing w:line="360" w:lineRule="auto"/>
        <w:jc w:val="both"/>
        <w:rPr>
          <w:rFonts w:cs="Arial"/>
        </w:rPr>
      </w:pPr>
      <w:r w:rsidRPr="00BA1D53">
        <w:rPr>
          <w:rFonts w:cs="Arial"/>
        </w:rPr>
        <w:t>Gearing ratios determine the risk and the financial leverage of the company (Aldo, 2022).</w:t>
      </w:r>
      <w:r w:rsidR="00552A83">
        <w:rPr>
          <w:rFonts w:cs="Arial"/>
        </w:rPr>
        <w:t xml:space="preserve"> </w:t>
      </w:r>
      <w:r w:rsidR="00552A83" w:rsidRPr="009B2A0D">
        <w:rPr>
          <w:rFonts w:cs="Arial"/>
        </w:rPr>
        <w:t xml:space="preserve">Capital structure gearing is </w:t>
      </w:r>
      <w:r w:rsidR="00552A83">
        <w:rPr>
          <w:rFonts w:cs="Arial"/>
        </w:rPr>
        <w:t>typically higher than leverage gearing, indicating a greater reliance on equity than on</w:t>
      </w:r>
      <w:r w:rsidR="00552A83" w:rsidRPr="009B2A0D">
        <w:rPr>
          <w:rFonts w:cs="Arial"/>
        </w:rPr>
        <w:t xml:space="preserve"> debt. In 2023, both ratios increased, resulting in increased financial risk. In 2024, both ratios show a slight decrease. Therefore, it appears that General Electronics has perhaps increased its debt in 2023. </w:t>
      </w:r>
      <w:r w:rsidR="00552A83" w:rsidRPr="000A5081">
        <w:rPr>
          <w:rFonts w:cs="Arial"/>
        </w:rPr>
        <w:t>This may enhance the financial leverage. In addition, it may adversely affect the future level of profitability unless well managed</w:t>
      </w:r>
      <w:r w:rsidR="00552A83" w:rsidRPr="009B2A0D">
        <w:rPr>
          <w:rFonts w:cs="Arial"/>
        </w:rPr>
        <w:t xml:space="preserve">. </w:t>
      </w:r>
    </w:p>
    <w:p w14:paraId="6E7A31F2" w14:textId="77777777" w:rsidR="007E0B3A" w:rsidRDefault="007E0B3A" w:rsidP="007E0B3A">
      <w:pPr>
        <w:keepNext/>
        <w:jc w:val="center"/>
      </w:pPr>
      <w:r w:rsidRPr="00BA1D53">
        <w:rPr>
          <w:rFonts w:cs="Arial"/>
          <w:noProof/>
          <w:lang w:val="en-US"/>
        </w:rPr>
        <w:lastRenderedPageBreak/>
        <w:drawing>
          <wp:inline distT="0" distB="0" distL="0" distR="0" wp14:anchorId="61C7232D" wp14:editId="26BC03CE">
            <wp:extent cx="3245207" cy="19507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45564" cy="1950935"/>
                    </a:xfrm>
                    <a:prstGeom prst="rect">
                      <a:avLst/>
                    </a:prstGeom>
                    <a:noFill/>
                  </pic:spPr>
                </pic:pic>
              </a:graphicData>
            </a:graphic>
          </wp:inline>
        </w:drawing>
      </w:r>
    </w:p>
    <w:p w14:paraId="7FD5177E" w14:textId="77777777" w:rsidR="007E0B3A" w:rsidRDefault="007E0B3A" w:rsidP="007E0B3A">
      <w:pPr>
        <w:pStyle w:val="Caption"/>
        <w:jc w:val="center"/>
      </w:pPr>
      <w:bookmarkStart w:id="19" w:name="_Toc214664107"/>
      <w:r>
        <w:t xml:space="preserve">Figure </w:t>
      </w:r>
      <w:r>
        <w:fldChar w:fldCharType="begin"/>
      </w:r>
      <w:r>
        <w:instrText xml:space="preserve"> SEQ Figure \* ARABIC </w:instrText>
      </w:r>
      <w:r>
        <w:fldChar w:fldCharType="separate"/>
      </w:r>
      <w:r>
        <w:rPr>
          <w:noProof/>
        </w:rPr>
        <w:t>4</w:t>
      </w:r>
      <w:r>
        <w:fldChar w:fldCharType="end"/>
      </w:r>
      <w:r>
        <w:t xml:space="preserve"> </w:t>
      </w:r>
      <w:r w:rsidRPr="00765BE6">
        <w:t>Gearing Ratios</w:t>
      </w:r>
      <w:bookmarkEnd w:id="19"/>
    </w:p>
    <w:p w14:paraId="37ECF676" w14:textId="2F202917" w:rsidR="007E0B3A" w:rsidRDefault="007E0B3A" w:rsidP="007E0B3A">
      <w:pPr>
        <w:pStyle w:val="Caption"/>
        <w:jc w:val="center"/>
        <w:rPr>
          <w:rFonts w:cs="Arial"/>
        </w:rPr>
      </w:pPr>
      <w:r>
        <w:t>Source: Self-made</w:t>
      </w:r>
    </w:p>
    <w:p w14:paraId="2F8BF070" w14:textId="4D0AF1D9" w:rsidR="00E83D2F" w:rsidRPr="00BA1D53" w:rsidRDefault="0056720A" w:rsidP="00272F68">
      <w:pPr>
        <w:rPr>
          <w:rFonts w:cs="Arial"/>
        </w:rPr>
      </w:pPr>
      <w:r w:rsidRPr="00BA1D53">
        <w:rPr>
          <w:rFonts w:cs="Arial"/>
        </w:rPr>
        <w:t xml:space="preserve">The interest coverage ratio has increased to 26.21, </w:t>
      </w:r>
      <w:r w:rsidR="006E74FE" w:rsidRPr="00BA1D53">
        <w:rPr>
          <w:rFonts w:cs="Arial"/>
        </w:rPr>
        <w:t xml:space="preserve">compared to negative levels </w:t>
      </w:r>
      <w:r w:rsidRPr="00BA1D53">
        <w:rPr>
          <w:rFonts w:cs="Arial"/>
        </w:rPr>
        <w:t>in 2020 and 2021, indicating that</w:t>
      </w:r>
      <w:r w:rsidR="00E83D2F" w:rsidRPr="00BA1D53">
        <w:rPr>
          <w:rFonts w:cs="Arial"/>
        </w:rPr>
        <w:t xml:space="preserve"> the company is now able to service its loans comfortably. The Leverage Ratio was not very high (5 to 9)</w:t>
      </w:r>
      <w:r w:rsidRPr="00BA1D53">
        <w:rPr>
          <w:rFonts w:cs="Arial"/>
        </w:rPr>
        <w:t>,</w:t>
      </w:r>
      <w:r w:rsidR="00E83D2F" w:rsidRPr="00BA1D53">
        <w:rPr>
          <w:rFonts w:cs="Arial"/>
        </w:rPr>
        <w:t xml:space="preserve"> which means that the company is not overleveraged. Over the years</w:t>
      </w:r>
      <w:r w:rsidRPr="00BA1D53">
        <w:rPr>
          <w:rFonts w:cs="Arial"/>
        </w:rPr>
        <w:t xml:space="preserve">, the debt accrued may pose risks in the </w:t>
      </w:r>
      <w:r w:rsidR="00E83D2F" w:rsidRPr="00BA1D53">
        <w:rPr>
          <w:rFonts w:cs="Arial"/>
        </w:rPr>
        <w:t>future.</w:t>
      </w:r>
    </w:p>
    <w:p w14:paraId="2693D53A" w14:textId="77777777" w:rsidR="00E83D2F" w:rsidRPr="00BA1D53" w:rsidRDefault="00E83D2F" w:rsidP="000F19BD">
      <w:pPr>
        <w:pStyle w:val="Heading3"/>
        <w:rPr>
          <w:rFonts w:eastAsiaTheme="minorHAnsi" w:cs="Arial"/>
        </w:rPr>
      </w:pPr>
      <w:bookmarkStart w:id="20" w:name="_Toc213267775"/>
      <w:bookmarkStart w:id="21" w:name="_Toc214414590"/>
      <w:bookmarkStart w:id="22" w:name="_Toc214712745"/>
      <w:r w:rsidRPr="00BA1D53">
        <w:rPr>
          <w:rFonts w:eastAsiaTheme="minorHAnsi" w:cs="Arial"/>
        </w:rPr>
        <w:t>Investment Ratios</w:t>
      </w:r>
      <w:bookmarkEnd w:id="20"/>
      <w:bookmarkEnd w:id="21"/>
      <w:bookmarkEnd w:id="22"/>
    </w:p>
    <w:p w14:paraId="6284A850" w14:textId="7CD05301" w:rsidR="00D82001" w:rsidRPr="00BA1D53" w:rsidRDefault="00E83D2F" w:rsidP="00E87136">
      <w:pPr>
        <w:pStyle w:val="NormalWeb"/>
        <w:spacing w:line="360" w:lineRule="auto"/>
        <w:jc w:val="both"/>
        <w:rPr>
          <w:rFonts w:cs="Arial"/>
        </w:rPr>
      </w:pPr>
      <w:r w:rsidRPr="00BA1D53">
        <w:rPr>
          <w:rFonts w:eastAsiaTheme="minorHAnsi" w:cs="Arial"/>
          <w:szCs w:val="22"/>
          <w:lang w:val="en-GB"/>
        </w:rPr>
        <w:t>Earnings Per Share (EPS) shows that revenues (2.72 in 2020) will decrease to negative values in 2023 and 2024</w:t>
      </w:r>
      <w:r w:rsidR="0056720A" w:rsidRPr="00BA1D53">
        <w:rPr>
          <w:rFonts w:eastAsiaTheme="minorHAnsi" w:cs="Arial"/>
          <w:szCs w:val="22"/>
          <w:lang w:val="en-GB"/>
        </w:rPr>
        <w:t>,</w:t>
      </w:r>
      <w:r w:rsidRPr="00BA1D53">
        <w:rPr>
          <w:rFonts w:eastAsiaTheme="minorHAnsi" w:cs="Arial"/>
          <w:szCs w:val="22"/>
          <w:lang w:val="en-GB"/>
        </w:rPr>
        <w:t xml:space="preserve"> indicating a decrease in profitability. The 2021 and 2022 P/E Ratios were high</w:t>
      </w:r>
      <w:r w:rsidR="0056720A" w:rsidRPr="00BA1D53">
        <w:rPr>
          <w:rFonts w:eastAsiaTheme="minorHAnsi" w:cs="Arial"/>
          <w:szCs w:val="22"/>
          <w:lang w:val="en-GB"/>
        </w:rPr>
        <w:t>,</w:t>
      </w:r>
      <w:r w:rsidRPr="00BA1D53">
        <w:rPr>
          <w:rFonts w:eastAsiaTheme="minorHAnsi" w:cs="Arial"/>
          <w:szCs w:val="22"/>
          <w:lang w:val="en-GB"/>
        </w:rPr>
        <w:t xml:space="preserve"> </w:t>
      </w:r>
      <w:r w:rsidR="0056720A" w:rsidRPr="00BA1D53">
        <w:rPr>
          <w:rFonts w:eastAsiaTheme="minorHAnsi" w:cs="Arial"/>
          <w:szCs w:val="22"/>
          <w:lang w:val="en-GB"/>
        </w:rPr>
        <w:t>indicating that the company was over-valued or there was an expectation of international growth</w:t>
      </w:r>
      <w:r w:rsidRPr="00BA1D53">
        <w:rPr>
          <w:rFonts w:eastAsiaTheme="minorHAnsi" w:cs="Arial"/>
          <w:szCs w:val="22"/>
          <w:lang w:val="en-GB"/>
        </w:rPr>
        <w:t xml:space="preserve">. The ratio, nevertheless, decreased to 0 in 2023 and 2024, </w:t>
      </w:r>
      <w:r w:rsidR="0056720A" w:rsidRPr="00BA1D53">
        <w:rPr>
          <w:rFonts w:eastAsiaTheme="minorHAnsi" w:cs="Arial"/>
          <w:szCs w:val="22"/>
          <w:lang w:val="en-GB"/>
        </w:rPr>
        <w:t>indicating that investors have lost faith in the company and are terrified it will</w:t>
      </w:r>
      <w:r w:rsidRPr="00BA1D53">
        <w:rPr>
          <w:rFonts w:eastAsiaTheme="minorHAnsi" w:cs="Arial"/>
          <w:szCs w:val="22"/>
          <w:lang w:val="en-GB"/>
        </w:rPr>
        <w:t xml:space="preserve"> make any profit (Tracy, 2012).</w:t>
      </w:r>
    </w:p>
    <w:p w14:paraId="11CBB458" w14:textId="66BAEF28" w:rsidR="00D82001" w:rsidRPr="00BA1D53" w:rsidRDefault="00D82001" w:rsidP="00272F68">
      <w:pPr>
        <w:pStyle w:val="Heading2"/>
        <w:jc w:val="both"/>
        <w:rPr>
          <w:rFonts w:cs="Arial"/>
          <w:color w:val="auto"/>
          <w:sz w:val="27"/>
        </w:rPr>
      </w:pPr>
      <w:bookmarkStart w:id="23" w:name="_Toc214712746"/>
      <w:r w:rsidRPr="00BA1D53">
        <w:rPr>
          <w:rFonts w:cs="Arial"/>
          <w:color w:val="auto"/>
        </w:rPr>
        <w:t>Trends, Strengths, and Threats in Financial Performance</w:t>
      </w:r>
      <w:bookmarkEnd w:id="23"/>
      <w:r w:rsidRPr="00BA1D53">
        <w:rPr>
          <w:rFonts w:cs="Arial"/>
          <w:color w:val="auto"/>
        </w:rPr>
        <w:t xml:space="preserve"> </w:t>
      </w:r>
    </w:p>
    <w:p w14:paraId="2CE97F1C" w14:textId="09E06CBE" w:rsidR="00EA684C" w:rsidRPr="00BA1D53" w:rsidRDefault="00EA684C" w:rsidP="00A12FB7">
      <w:pPr>
        <w:pStyle w:val="NormalWeb"/>
        <w:numPr>
          <w:ilvl w:val="0"/>
          <w:numId w:val="1"/>
        </w:numPr>
        <w:spacing w:line="360" w:lineRule="auto"/>
        <w:jc w:val="both"/>
        <w:rPr>
          <w:rStyle w:val="Strong"/>
          <w:rFonts w:cs="Arial"/>
          <w:b w:val="0"/>
          <w:bCs w:val="0"/>
        </w:rPr>
      </w:pPr>
      <w:r w:rsidRPr="00BA1D53">
        <w:rPr>
          <w:rStyle w:val="Strong"/>
          <w:rFonts w:cs="Arial"/>
        </w:rPr>
        <w:t>Profitability Decrease:</w:t>
      </w:r>
      <w:r w:rsidRPr="00BA1D53">
        <w:rPr>
          <w:rStyle w:val="Strong"/>
          <w:rFonts w:cs="Arial"/>
          <w:b w:val="0"/>
          <w:bCs w:val="0"/>
        </w:rPr>
        <w:t xml:space="preserve"> </w:t>
      </w:r>
      <w:r w:rsidR="00272F68" w:rsidRPr="00BA1D53">
        <w:rPr>
          <w:rStyle w:val="Strong"/>
          <w:rFonts w:cs="Arial"/>
          <w:b w:val="0"/>
          <w:bCs w:val="0"/>
        </w:rPr>
        <w:t>An apparent decline in profitability, particularly in ROCE and Net Operating Profit Margin, which is declining at an alarming rate, particularly in 2023 and 2024.</w:t>
      </w:r>
    </w:p>
    <w:p w14:paraId="14BE2BF1" w14:textId="0457CC4D" w:rsidR="00EA684C" w:rsidRPr="00BA1D53" w:rsidRDefault="00EA684C" w:rsidP="00A12FB7">
      <w:pPr>
        <w:pStyle w:val="NormalWeb"/>
        <w:numPr>
          <w:ilvl w:val="0"/>
          <w:numId w:val="1"/>
        </w:numPr>
        <w:spacing w:line="360" w:lineRule="auto"/>
        <w:jc w:val="both"/>
        <w:rPr>
          <w:rStyle w:val="Strong"/>
          <w:rFonts w:cs="Arial"/>
          <w:b w:val="0"/>
          <w:bCs w:val="0"/>
        </w:rPr>
      </w:pPr>
      <w:r w:rsidRPr="00BA1D53">
        <w:rPr>
          <w:rStyle w:val="Strong"/>
          <w:rFonts w:cs="Arial"/>
        </w:rPr>
        <w:t>Stability in Gross Profit Margin:</w:t>
      </w:r>
      <w:r w:rsidRPr="00BA1D53">
        <w:rPr>
          <w:rStyle w:val="Strong"/>
          <w:rFonts w:cs="Arial"/>
          <w:b w:val="0"/>
          <w:bCs w:val="0"/>
        </w:rPr>
        <w:t xml:space="preserve"> </w:t>
      </w:r>
      <w:r w:rsidR="00272F68" w:rsidRPr="00BA1D53">
        <w:rPr>
          <w:rStyle w:val="Strong"/>
          <w:rFonts w:cs="Arial"/>
          <w:b w:val="0"/>
          <w:bCs w:val="0"/>
        </w:rPr>
        <w:t xml:space="preserve">Gross Profit Margin 29% remained nearly the same in 2020, 2021 and 2024, which indicates that the company had taken firm control of its production process </w:t>
      </w:r>
      <w:r w:rsidR="006E74FE" w:rsidRPr="00BA1D53">
        <w:rPr>
          <w:rStyle w:val="Strong"/>
          <w:rFonts w:cs="Arial"/>
          <w:b w:val="0"/>
          <w:bCs w:val="0"/>
        </w:rPr>
        <w:t>regarding</w:t>
      </w:r>
      <w:r w:rsidR="00272F68" w:rsidRPr="00BA1D53">
        <w:rPr>
          <w:rStyle w:val="Strong"/>
          <w:rFonts w:cs="Arial"/>
          <w:b w:val="0"/>
          <w:bCs w:val="0"/>
        </w:rPr>
        <w:t xml:space="preserve"> direct expenses.</w:t>
      </w:r>
    </w:p>
    <w:p w14:paraId="5EA87D10" w14:textId="6567A00A" w:rsidR="00EA684C" w:rsidRPr="00BA1D53" w:rsidRDefault="00EA684C" w:rsidP="00A12FB7">
      <w:pPr>
        <w:pStyle w:val="NormalWeb"/>
        <w:numPr>
          <w:ilvl w:val="0"/>
          <w:numId w:val="1"/>
        </w:numPr>
        <w:spacing w:line="360" w:lineRule="auto"/>
        <w:jc w:val="both"/>
        <w:rPr>
          <w:rStyle w:val="Strong"/>
          <w:rFonts w:cs="Arial"/>
          <w:b w:val="0"/>
          <w:bCs w:val="0"/>
        </w:rPr>
      </w:pPr>
      <w:r w:rsidRPr="00BA1D53">
        <w:rPr>
          <w:rStyle w:val="Strong"/>
          <w:rFonts w:cs="Arial"/>
        </w:rPr>
        <w:lastRenderedPageBreak/>
        <w:t>Asset Turnover Stability:</w:t>
      </w:r>
      <w:r w:rsidRPr="00BA1D53">
        <w:rPr>
          <w:rStyle w:val="Strong"/>
          <w:rFonts w:cs="Arial"/>
          <w:b w:val="0"/>
          <w:bCs w:val="0"/>
        </w:rPr>
        <w:t xml:space="preserve"> </w:t>
      </w:r>
      <w:r w:rsidR="00272F68" w:rsidRPr="00BA1D53">
        <w:rPr>
          <w:rStyle w:val="Strong"/>
          <w:rFonts w:cs="Arial"/>
          <w:b w:val="0"/>
          <w:bCs w:val="0"/>
        </w:rPr>
        <w:t>Asset Turnover was relatively stable as it fluctuated around the 1.2 value, which means that the company was turning its assets into revenue.</w:t>
      </w:r>
    </w:p>
    <w:p w14:paraId="00D2B7B7" w14:textId="74771550" w:rsidR="00EA684C" w:rsidRPr="00BA1D53" w:rsidRDefault="00EA684C" w:rsidP="00A12FB7">
      <w:pPr>
        <w:pStyle w:val="NormalWeb"/>
        <w:numPr>
          <w:ilvl w:val="0"/>
          <w:numId w:val="1"/>
        </w:numPr>
        <w:spacing w:line="360" w:lineRule="auto"/>
        <w:jc w:val="both"/>
        <w:rPr>
          <w:rStyle w:val="Strong"/>
          <w:rFonts w:cs="Arial"/>
          <w:b w:val="0"/>
          <w:bCs w:val="0"/>
        </w:rPr>
      </w:pPr>
      <w:r w:rsidRPr="00BA1D53">
        <w:rPr>
          <w:rStyle w:val="Strong"/>
          <w:rFonts w:cs="Arial"/>
        </w:rPr>
        <w:t xml:space="preserve">Non-Current Asset Utilisation: </w:t>
      </w:r>
      <w:r w:rsidR="00272F68" w:rsidRPr="00BA1D53">
        <w:rPr>
          <w:rStyle w:val="Strong"/>
          <w:rFonts w:cs="Arial"/>
          <w:b w:val="0"/>
          <w:bCs w:val="0"/>
        </w:rPr>
        <w:t>Non-Current Asset Turnover Tracking reveals that the Company has reduced its turnover fourfold between 3.35 in 2020 and 4.88 in 2024. This is a positive indicator of the Company becoming more efficient in handling long-term assets.</w:t>
      </w:r>
    </w:p>
    <w:p w14:paraId="2EDEA659" w14:textId="5FC3AE60" w:rsidR="00EA684C" w:rsidRPr="00BA1D53" w:rsidRDefault="00EA684C" w:rsidP="00A12FB7">
      <w:pPr>
        <w:pStyle w:val="NormalWeb"/>
        <w:numPr>
          <w:ilvl w:val="0"/>
          <w:numId w:val="1"/>
        </w:numPr>
        <w:spacing w:line="360" w:lineRule="auto"/>
        <w:jc w:val="both"/>
        <w:rPr>
          <w:rStyle w:val="Strong"/>
          <w:rFonts w:cs="Arial"/>
          <w:b w:val="0"/>
          <w:bCs w:val="0"/>
        </w:rPr>
      </w:pPr>
      <w:r w:rsidRPr="00BA1D53">
        <w:rPr>
          <w:rStyle w:val="Strong"/>
          <w:rFonts w:cs="Arial"/>
        </w:rPr>
        <w:t>Liquidity Pressure:</w:t>
      </w:r>
      <w:r w:rsidRPr="00BA1D53">
        <w:rPr>
          <w:rStyle w:val="Strong"/>
          <w:rFonts w:cs="Arial"/>
          <w:b w:val="0"/>
          <w:bCs w:val="0"/>
        </w:rPr>
        <w:t xml:space="preserve"> </w:t>
      </w:r>
      <w:r w:rsidR="00272F68" w:rsidRPr="00BA1D53">
        <w:rPr>
          <w:rStyle w:val="Strong"/>
          <w:rFonts w:cs="Arial"/>
          <w:b w:val="0"/>
          <w:bCs w:val="0"/>
        </w:rPr>
        <w:t>Current Ratio, Quick Ratio and Cash Ratio have slightly decreased in recent years, and the Cash Ratio decreased considerably, signifying increased liquidity restraint and hardship.</w:t>
      </w:r>
    </w:p>
    <w:p w14:paraId="2EA06705" w14:textId="375435AA" w:rsidR="00EA684C" w:rsidRPr="00BA1D53" w:rsidRDefault="00EA684C" w:rsidP="00A12FB7">
      <w:pPr>
        <w:pStyle w:val="NormalWeb"/>
        <w:numPr>
          <w:ilvl w:val="0"/>
          <w:numId w:val="1"/>
        </w:numPr>
        <w:spacing w:line="360" w:lineRule="auto"/>
        <w:jc w:val="both"/>
        <w:rPr>
          <w:rStyle w:val="Strong"/>
          <w:rFonts w:cs="Arial"/>
          <w:b w:val="0"/>
          <w:bCs w:val="0"/>
        </w:rPr>
      </w:pPr>
      <w:r w:rsidRPr="00BA1D53">
        <w:rPr>
          <w:rStyle w:val="Strong"/>
          <w:rFonts w:cs="Arial"/>
        </w:rPr>
        <w:t>Raised Working Capital Cycle:</w:t>
      </w:r>
      <w:r w:rsidRPr="00BA1D53">
        <w:rPr>
          <w:rStyle w:val="Strong"/>
          <w:rFonts w:cs="Arial"/>
          <w:b w:val="0"/>
          <w:bCs w:val="0"/>
        </w:rPr>
        <w:t xml:space="preserve"> </w:t>
      </w:r>
      <w:r w:rsidR="00272F68" w:rsidRPr="00BA1D53">
        <w:rPr>
          <w:rStyle w:val="Strong"/>
          <w:rFonts w:cs="Arial"/>
          <w:b w:val="0"/>
          <w:bCs w:val="0"/>
        </w:rPr>
        <w:t>The Trade Receivables Days and Inventory Turnover Days are increased, and this attracts attention to delayed collection rates and ineffective use of inventory.</w:t>
      </w:r>
    </w:p>
    <w:p w14:paraId="0D209A4B" w14:textId="5DD7C99B" w:rsidR="00D82001" w:rsidRPr="00BA1D53" w:rsidRDefault="00EA684C" w:rsidP="00A12FB7">
      <w:pPr>
        <w:pStyle w:val="NormalWeb"/>
        <w:numPr>
          <w:ilvl w:val="0"/>
          <w:numId w:val="1"/>
        </w:numPr>
        <w:spacing w:line="360" w:lineRule="auto"/>
        <w:jc w:val="both"/>
        <w:rPr>
          <w:rFonts w:cs="Arial"/>
          <w:b/>
          <w:bCs/>
        </w:rPr>
      </w:pPr>
      <w:r w:rsidRPr="00BA1D53">
        <w:rPr>
          <w:rStyle w:val="Strong"/>
          <w:rFonts w:cs="Arial"/>
        </w:rPr>
        <w:t>Interest Recovery:</w:t>
      </w:r>
      <w:r w:rsidRPr="00BA1D53">
        <w:rPr>
          <w:rStyle w:val="Strong"/>
          <w:rFonts w:cs="Arial"/>
          <w:b w:val="0"/>
          <w:bCs w:val="0"/>
        </w:rPr>
        <w:t xml:space="preserve"> </w:t>
      </w:r>
      <w:r w:rsidR="00272F68" w:rsidRPr="00BA1D53">
        <w:rPr>
          <w:rStyle w:val="Strong"/>
          <w:rFonts w:cs="Arial"/>
          <w:b w:val="0"/>
          <w:bCs w:val="0"/>
        </w:rPr>
        <w:t>The Interest Coverage Ratio showed a good recovery in 2020 and 2021 to a healthy 26.21 in 2024, with a higher capacity of meeting the interest payments.</w:t>
      </w:r>
    </w:p>
    <w:p w14:paraId="36CBF096" w14:textId="77777777" w:rsidR="00D82001" w:rsidRPr="00BA1D53" w:rsidRDefault="00D82001" w:rsidP="00272F68">
      <w:pPr>
        <w:pStyle w:val="Heading2"/>
        <w:jc w:val="both"/>
        <w:rPr>
          <w:rFonts w:cs="Arial"/>
          <w:color w:val="auto"/>
        </w:rPr>
      </w:pPr>
      <w:bookmarkStart w:id="24" w:name="_Toc214712747"/>
      <w:r w:rsidRPr="00BA1D53">
        <w:rPr>
          <w:rStyle w:val="Strong"/>
          <w:rFonts w:cs="Arial"/>
          <w:b/>
          <w:bCs w:val="0"/>
          <w:color w:val="auto"/>
        </w:rPr>
        <w:t>Strengths in the Financials</w:t>
      </w:r>
      <w:bookmarkEnd w:id="24"/>
    </w:p>
    <w:p w14:paraId="648A9383" w14:textId="348AF5B1" w:rsidR="00E83D2F" w:rsidRPr="00BA1D53" w:rsidRDefault="00E83D2F" w:rsidP="00272F68">
      <w:pPr>
        <w:rPr>
          <w:rFonts w:eastAsia="Times New Roman" w:cs="Arial"/>
          <w:szCs w:val="24"/>
          <w:lang w:val="en-US"/>
        </w:rPr>
      </w:pPr>
      <w:r w:rsidRPr="00BA1D53">
        <w:rPr>
          <w:rFonts w:eastAsia="Times New Roman" w:cs="Arial"/>
          <w:szCs w:val="24"/>
          <w:lang w:val="en-US"/>
        </w:rPr>
        <w:t xml:space="preserve">The most significant aspect </w:t>
      </w:r>
      <w:r w:rsidR="0056720A" w:rsidRPr="00BA1D53">
        <w:rPr>
          <w:rFonts w:eastAsia="Times New Roman" w:cs="Arial"/>
          <w:szCs w:val="24"/>
          <w:lang w:val="en-US"/>
        </w:rPr>
        <w:t>of General Electronics' financial performance is its steady Gross Profit Margin, despite profitability issues</w:t>
      </w:r>
      <w:r w:rsidRPr="00BA1D53">
        <w:rPr>
          <w:rFonts w:eastAsia="Times New Roman" w:cs="Arial"/>
          <w:szCs w:val="24"/>
          <w:lang w:val="en-US"/>
        </w:rPr>
        <w:t xml:space="preserve">. Non-current Asset Turnover </w:t>
      </w:r>
      <w:r w:rsidR="0056720A" w:rsidRPr="00BA1D53">
        <w:rPr>
          <w:rFonts w:eastAsia="Times New Roman" w:cs="Arial"/>
          <w:szCs w:val="24"/>
          <w:lang w:val="en-US"/>
        </w:rPr>
        <w:t>is also moving in the same direction toward positive growth, indicating the efficient use of long-term</w:t>
      </w:r>
      <w:r w:rsidRPr="00BA1D53">
        <w:rPr>
          <w:rFonts w:eastAsia="Times New Roman" w:cs="Arial"/>
          <w:szCs w:val="24"/>
          <w:lang w:val="en-US"/>
        </w:rPr>
        <w:t xml:space="preserve"> assets. Also, the Interest Cover Ratio has been </w:t>
      </w:r>
      <w:r w:rsidR="0056720A" w:rsidRPr="00BA1D53">
        <w:rPr>
          <w:rFonts w:eastAsia="Times New Roman" w:cs="Arial"/>
          <w:szCs w:val="24"/>
          <w:lang w:val="en-US"/>
        </w:rPr>
        <w:t>significantly improved, suggesting</w:t>
      </w:r>
      <w:r w:rsidRPr="00BA1D53">
        <w:rPr>
          <w:rFonts w:eastAsia="Times New Roman" w:cs="Arial"/>
          <w:szCs w:val="24"/>
          <w:lang w:val="en-US"/>
        </w:rPr>
        <w:t xml:space="preserve"> a better capability of paying off debt. </w:t>
      </w:r>
      <w:r w:rsidR="00D64ED0" w:rsidRPr="00BA1D53">
        <w:rPr>
          <w:rFonts w:eastAsia="Times New Roman" w:cs="Arial"/>
          <w:szCs w:val="24"/>
          <w:lang w:val="en-US"/>
        </w:rPr>
        <w:t>Its Current Ratio is greater than one</w:t>
      </w:r>
      <w:r w:rsidR="00002D46" w:rsidRPr="00BA1D53">
        <w:rPr>
          <w:rFonts w:eastAsia="Times New Roman" w:cs="Arial"/>
          <w:szCs w:val="24"/>
          <w:lang w:val="en-US"/>
        </w:rPr>
        <w:t>, providing some confidence that the company will fulfil its</w:t>
      </w:r>
      <w:r w:rsidR="00D64ED0" w:rsidRPr="00BA1D53">
        <w:rPr>
          <w:rFonts w:eastAsia="Times New Roman" w:cs="Arial"/>
          <w:szCs w:val="24"/>
          <w:lang w:val="en-US"/>
        </w:rPr>
        <w:t xml:space="preserve"> short-term obligations (Lee, 2023).</w:t>
      </w:r>
    </w:p>
    <w:p w14:paraId="3349F769" w14:textId="327C9EA1" w:rsidR="00E83D2F" w:rsidRPr="00BA1D53" w:rsidRDefault="00E83D2F" w:rsidP="000F19BD">
      <w:pPr>
        <w:pStyle w:val="Heading2"/>
        <w:rPr>
          <w:rFonts w:cs="Arial"/>
          <w:color w:val="auto"/>
        </w:rPr>
      </w:pPr>
      <w:bookmarkStart w:id="25" w:name="_Toc214712748"/>
      <w:r w:rsidRPr="00BA1D53">
        <w:rPr>
          <w:rFonts w:cs="Arial"/>
          <w:color w:val="auto"/>
        </w:rPr>
        <w:t>Financial Weaknesses</w:t>
      </w:r>
      <w:bookmarkEnd w:id="25"/>
    </w:p>
    <w:p w14:paraId="2B3BC225" w14:textId="5F0D3E47" w:rsidR="00E416B5" w:rsidRPr="00BA1D53" w:rsidRDefault="00D6777A" w:rsidP="00272F68">
      <w:pPr>
        <w:rPr>
          <w:rFonts w:cs="Arial"/>
          <w:b/>
          <w:bCs/>
          <w:sz w:val="32"/>
          <w:szCs w:val="28"/>
        </w:rPr>
      </w:pPr>
      <w:r w:rsidRPr="00BA1D53">
        <w:rPr>
          <w:rFonts w:eastAsia="Times New Roman" w:cs="Arial"/>
          <w:szCs w:val="24"/>
          <w:lang w:val="en-US"/>
        </w:rPr>
        <w:t xml:space="preserve">Nevertheless, there are weaknesses in the company in spite of these strengths. The aggregate Profitability Ratios are steadily declining, and particularly these are ROCE and Net Operating Profit Margin, suggesting declining returns to capital and operational inefficiency. </w:t>
      </w:r>
      <w:r w:rsidR="00002D46" w:rsidRPr="00BA1D53">
        <w:rPr>
          <w:rFonts w:eastAsia="Times New Roman" w:cs="Arial"/>
          <w:szCs w:val="24"/>
          <w:lang w:val="en-US"/>
        </w:rPr>
        <w:t xml:space="preserve">The Liquidity Ratios, such as the Cash Ratio, have been decreasing over the years. </w:t>
      </w:r>
      <w:r w:rsidR="00E83D2F" w:rsidRPr="00BA1D53">
        <w:rPr>
          <w:rFonts w:eastAsia="Times New Roman" w:cs="Arial"/>
          <w:szCs w:val="24"/>
          <w:lang w:val="en-US"/>
        </w:rPr>
        <w:t xml:space="preserve"> It was an indicator of the reduced liquidity and potential challenges in meeting immediate financial obligations (Blessing and Sakouvogui, 2023). Moreover, </w:t>
      </w:r>
      <w:r w:rsidR="0056720A" w:rsidRPr="00BA1D53">
        <w:rPr>
          <w:rFonts w:eastAsia="Times New Roman" w:cs="Arial"/>
          <w:szCs w:val="24"/>
          <w:lang w:val="en-US"/>
        </w:rPr>
        <w:t xml:space="preserve">the increase </w:t>
      </w:r>
      <w:r w:rsidR="0056720A" w:rsidRPr="00BA1D53">
        <w:rPr>
          <w:rFonts w:eastAsia="Times New Roman" w:cs="Arial"/>
          <w:szCs w:val="24"/>
          <w:lang w:val="en-US"/>
        </w:rPr>
        <w:lastRenderedPageBreak/>
        <w:t xml:space="preserve">in Inventory Turnover Days and Trade Receivables Days </w:t>
      </w:r>
      <w:r w:rsidR="00E83D2F" w:rsidRPr="00BA1D53">
        <w:rPr>
          <w:rFonts w:eastAsia="Times New Roman" w:cs="Arial"/>
          <w:szCs w:val="24"/>
          <w:lang w:val="en-US"/>
        </w:rPr>
        <w:t>demonstrates poor working capital and cash management.</w:t>
      </w:r>
    </w:p>
    <w:p w14:paraId="35682B7D" w14:textId="2124184C" w:rsidR="00E416B5" w:rsidRPr="00BA1D53" w:rsidRDefault="00E416B5" w:rsidP="00272F68">
      <w:pPr>
        <w:pStyle w:val="Heading2"/>
        <w:jc w:val="both"/>
        <w:rPr>
          <w:rFonts w:cs="Arial"/>
          <w:color w:val="auto"/>
          <w:sz w:val="27"/>
        </w:rPr>
      </w:pPr>
      <w:bookmarkStart w:id="26" w:name="_Toc214712749"/>
      <w:r w:rsidRPr="00BA1D53">
        <w:rPr>
          <w:rStyle w:val="Strong"/>
          <w:rFonts w:cs="Arial"/>
          <w:b/>
          <w:bCs w:val="0"/>
          <w:color w:val="auto"/>
        </w:rPr>
        <w:t>Corporate Failure Prediction Using Altman Z-Score</w:t>
      </w:r>
      <w:bookmarkEnd w:id="26"/>
    </w:p>
    <w:p w14:paraId="78592795" w14:textId="6B15AD74" w:rsidR="00E416B5" w:rsidRPr="00BA1D53" w:rsidRDefault="006D18D0" w:rsidP="00272F68">
      <w:pPr>
        <w:pStyle w:val="NormalWeb"/>
        <w:spacing w:line="360" w:lineRule="auto"/>
        <w:jc w:val="both"/>
        <w:rPr>
          <w:rFonts w:cs="Arial"/>
        </w:rPr>
      </w:pPr>
      <w:r w:rsidRPr="00BA1D53">
        <w:rPr>
          <w:rFonts w:cs="Arial"/>
        </w:rPr>
        <w:t xml:space="preserve">The Altman Z-Score is an indicative model of corporate bankruptcy or financial instability, </w:t>
      </w:r>
      <w:r w:rsidR="00536C6D" w:rsidRPr="00BA1D53">
        <w:rPr>
          <w:rFonts w:cs="Arial"/>
        </w:rPr>
        <w:t>predicted using</w:t>
      </w:r>
      <w:r w:rsidRPr="00BA1D53">
        <w:rPr>
          <w:rFonts w:cs="Arial"/>
        </w:rPr>
        <w:t xml:space="preserve"> key financial ratios (Mattio, 2024). The score is obtained as follows:</w:t>
      </w:r>
    </w:p>
    <w:p w14:paraId="2B9CE643" w14:textId="3E9F5EE0" w:rsidR="00E834BD" w:rsidRPr="00BA1D53" w:rsidRDefault="00E416B5" w:rsidP="00272F68">
      <w:pPr>
        <w:rPr>
          <w:rFonts w:cs="Arial"/>
          <w:b/>
          <w:bCs/>
          <w:sz w:val="32"/>
          <w:szCs w:val="28"/>
        </w:rPr>
      </w:pPr>
      <w:r w:rsidRPr="00BA1D53">
        <w:rPr>
          <w:rFonts w:cs="Arial"/>
          <w:b/>
          <w:bCs/>
          <w:noProof/>
          <w:sz w:val="32"/>
          <w:szCs w:val="28"/>
          <w:lang w:val="en-US"/>
        </w:rPr>
        <w:drawing>
          <wp:inline distT="0" distB="0" distL="0" distR="0" wp14:anchorId="6FAFF5C8" wp14:editId="4C74F9C9">
            <wp:extent cx="5868219" cy="53347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868219" cy="533474"/>
                    </a:xfrm>
                    <a:prstGeom prst="rect">
                      <a:avLst/>
                    </a:prstGeom>
                  </pic:spPr>
                </pic:pic>
              </a:graphicData>
            </a:graphic>
          </wp:inline>
        </w:drawing>
      </w:r>
    </w:p>
    <w:p w14:paraId="3D2A9107" w14:textId="77777777" w:rsidR="00E416B5" w:rsidRPr="00BA1D53" w:rsidRDefault="00E416B5" w:rsidP="00272F68">
      <w:pPr>
        <w:pStyle w:val="NormalWeb"/>
        <w:spacing w:line="360" w:lineRule="auto"/>
        <w:jc w:val="both"/>
        <w:rPr>
          <w:rFonts w:cs="Arial"/>
        </w:rPr>
      </w:pPr>
      <w:r w:rsidRPr="00BA1D53">
        <w:rPr>
          <w:rFonts w:cs="Arial"/>
        </w:rPr>
        <w:t>Where:</w:t>
      </w:r>
    </w:p>
    <w:p w14:paraId="250A87C5" w14:textId="77777777" w:rsidR="00E416B5" w:rsidRPr="00BA1D53" w:rsidRDefault="00E416B5" w:rsidP="00A12FB7">
      <w:pPr>
        <w:pStyle w:val="NormalWeb"/>
        <w:numPr>
          <w:ilvl w:val="0"/>
          <w:numId w:val="2"/>
        </w:numPr>
        <w:spacing w:line="360" w:lineRule="auto"/>
        <w:jc w:val="both"/>
        <w:rPr>
          <w:rFonts w:cs="Arial"/>
        </w:rPr>
      </w:pPr>
      <w:r w:rsidRPr="00BA1D53">
        <w:rPr>
          <w:rStyle w:val="Strong"/>
          <w:rFonts w:cs="Arial"/>
        </w:rPr>
        <w:t>X1</w:t>
      </w:r>
      <w:r w:rsidRPr="00BA1D53">
        <w:rPr>
          <w:rFonts w:cs="Arial"/>
        </w:rPr>
        <w:t>: Working Capital / Total Assets</w:t>
      </w:r>
    </w:p>
    <w:p w14:paraId="20075C52" w14:textId="77777777" w:rsidR="00E416B5" w:rsidRPr="00BA1D53" w:rsidRDefault="00E416B5" w:rsidP="00A12FB7">
      <w:pPr>
        <w:pStyle w:val="NormalWeb"/>
        <w:numPr>
          <w:ilvl w:val="0"/>
          <w:numId w:val="2"/>
        </w:numPr>
        <w:spacing w:line="360" w:lineRule="auto"/>
        <w:jc w:val="both"/>
        <w:rPr>
          <w:rFonts w:cs="Arial"/>
        </w:rPr>
      </w:pPr>
      <w:r w:rsidRPr="00BA1D53">
        <w:rPr>
          <w:rStyle w:val="Strong"/>
          <w:rFonts w:cs="Arial"/>
        </w:rPr>
        <w:t>X2</w:t>
      </w:r>
      <w:r w:rsidRPr="00BA1D53">
        <w:rPr>
          <w:rFonts w:cs="Arial"/>
        </w:rPr>
        <w:t>: Retained Earnings / Total Assets</w:t>
      </w:r>
    </w:p>
    <w:p w14:paraId="556D81C4" w14:textId="77777777" w:rsidR="00E416B5" w:rsidRPr="00BA1D53" w:rsidRDefault="00E416B5" w:rsidP="00A12FB7">
      <w:pPr>
        <w:pStyle w:val="NormalWeb"/>
        <w:numPr>
          <w:ilvl w:val="0"/>
          <w:numId w:val="2"/>
        </w:numPr>
        <w:spacing w:line="360" w:lineRule="auto"/>
        <w:jc w:val="both"/>
        <w:rPr>
          <w:rFonts w:cs="Arial"/>
        </w:rPr>
      </w:pPr>
      <w:r w:rsidRPr="00BA1D53">
        <w:rPr>
          <w:rStyle w:val="Strong"/>
          <w:rFonts w:cs="Arial"/>
        </w:rPr>
        <w:t>X3</w:t>
      </w:r>
      <w:r w:rsidRPr="00BA1D53">
        <w:rPr>
          <w:rFonts w:cs="Arial"/>
        </w:rPr>
        <w:t>: Earnings Before Interest and Taxes (EBIT) / Total Assets</w:t>
      </w:r>
    </w:p>
    <w:p w14:paraId="65181D15" w14:textId="77777777" w:rsidR="00E416B5" w:rsidRPr="00BA1D53" w:rsidRDefault="00E416B5" w:rsidP="00A12FB7">
      <w:pPr>
        <w:pStyle w:val="NormalWeb"/>
        <w:numPr>
          <w:ilvl w:val="0"/>
          <w:numId w:val="2"/>
        </w:numPr>
        <w:spacing w:line="360" w:lineRule="auto"/>
        <w:jc w:val="both"/>
        <w:rPr>
          <w:rFonts w:cs="Arial"/>
        </w:rPr>
      </w:pPr>
      <w:r w:rsidRPr="00BA1D53">
        <w:rPr>
          <w:rStyle w:val="Strong"/>
          <w:rFonts w:cs="Arial"/>
        </w:rPr>
        <w:t>X4</w:t>
      </w:r>
      <w:r w:rsidRPr="00BA1D53">
        <w:rPr>
          <w:rFonts w:cs="Arial"/>
        </w:rPr>
        <w:t>: Market Value of Equity / Total Liabilities</w:t>
      </w:r>
    </w:p>
    <w:p w14:paraId="6920A982" w14:textId="77777777" w:rsidR="00E416B5" w:rsidRPr="00BA1D53" w:rsidRDefault="00E416B5" w:rsidP="00A12FB7">
      <w:pPr>
        <w:pStyle w:val="NormalWeb"/>
        <w:numPr>
          <w:ilvl w:val="0"/>
          <w:numId w:val="2"/>
        </w:numPr>
        <w:spacing w:line="360" w:lineRule="auto"/>
        <w:jc w:val="both"/>
        <w:rPr>
          <w:rFonts w:cs="Arial"/>
        </w:rPr>
      </w:pPr>
      <w:r w:rsidRPr="00BA1D53">
        <w:rPr>
          <w:rStyle w:val="Strong"/>
          <w:rFonts w:cs="Arial"/>
        </w:rPr>
        <w:t>X5</w:t>
      </w:r>
      <w:r w:rsidRPr="00BA1D53">
        <w:rPr>
          <w:rFonts w:cs="Arial"/>
        </w:rPr>
        <w:t>: Sales / Total Assets</w:t>
      </w:r>
    </w:p>
    <w:p w14:paraId="03077C77" w14:textId="71DE5263" w:rsidR="00E416B5" w:rsidRPr="00BA1D53" w:rsidRDefault="00E416B5" w:rsidP="000F19BD">
      <w:pPr>
        <w:pStyle w:val="Heading3"/>
        <w:rPr>
          <w:rStyle w:val="Strong"/>
          <w:rFonts w:cs="Arial"/>
          <w:b/>
          <w:bCs w:val="0"/>
        </w:rPr>
      </w:pPr>
      <w:bookmarkStart w:id="27" w:name="_Toc214712750"/>
      <w:r w:rsidRPr="00BA1D53">
        <w:rPr>
          <w:rStyle w:val="Strong"/>
          <w:rFonts w:cs="Arial"/>
          <w:b/>
          <w:bCs w:val="0"/>
        </w:rPr>
        <w:t>Altman Z-Score Calculation</w:t>
      </w:r>
      <w:bookmarkEnd w:id="27"/>
      <w:r w:rsidRPr="00BA1D53">
        <w:rPr>
          <w:rStyle w:val="Strong"/>
          <w:rFonts w:cs="Arial"/>
          <w:b/>
          <w:bCs w:val="0"/>
        </w:rPr>
        <w:t xml:space="preserve"> </w:t>
      </w:r>
    </w:p>
    <w:p w14:paraId="0CAF0E1E" w14:textId="27835C17" w:rsidR="00E416B5" w:rsidRPr="00BA1D53" w:rsidRDefault="00B77B6D" w:rsidP="00272F68">
      <w:pPr>
        <w:rPr>
          <w:rFonts w:cs="Arial"/>
          <w:lang w:val="en-US"/>
        </w:rPr>
      </w:pPr>
      <w:r w:rsidRPr="00BA1D53">
        <w:rPr>
          <w:rFonts w:cs="Arial"/>
          <w:lang w:val="en-US"/>
        </w:rPr>
        <w:t xml:space="preserve">We will calculate the </w:t>
      </w:r>
      <w:r w:rsidR="00536C6D" w:rsidRPr="00BA1D53">
        <w:rPr>
          <w:rFonts w:cs="Arial"/>
          <w:lang w:val="en-US"/>
        </w:rPr>
        <w:t>Z-score</w:t>
      </w:r>
      <w:r w:rsidRPr="00BA1D53">
        <w:rPr>
          <w:rFonts w:cs="Arial"/>
          <w:lang w:val="en-US"/>
        </w:rPr>
        <w:t xml:space="preserve"> for each year based on the given data for X1, X2, X3, X4, and X5.</w:t>
      </w:r>
    </w:p>
    <w:p w14:paraId="216B9A6D" w14:textId="1379C6B8" w:rsidR="00916703" w:rsidRDefault="00916703" w:rsidP="008379CD">
      <w:pPr>
        <w:pStyle w:val="Caption"/>
        <w:keepNext/>
        <w:jc w:val="center"/>
      </w:pPr>
      <w:r>
        <w:t xml:space="preserve">Table </w:t>
      </w:r>
      <w:r>
        <w:fldChar w:fldCharType="begin"/>
      </w:r>
      <w:r>
        <w:instrText xml:space="preserve"> SEQ Table \* ARABIC </w:instrText>
      </w:r>
      <w:r>
        <w:fldChar w:fldCharType="separate"/>
      </w:r>
      <w:r w:rsidR="006716D4">
        <w:rPr>
          <w:noProof/>
        </w:rPr>
        <w:t>4</w:t>
      </w:r>
      <w:r>
        <w:fldChar w:fldCharType="end"/>
      </w:r>
      <w:r>
        <w:t xml:space="preserve"> </w:t>
      </w:r>
      <w:r w:rsidRPr="00FE4E81">
        <w:t>Z-Score Calculation</w:t>
      </w:r>
    </w:p>
    <w:tbl>
      <w:tblPr>
        <w:tblStyle w:val="PlainTable1"/>
        <w:tblW w:w="0" w:type="auto"/>
        <w:jc w:val="center"/>
        <w:tblLook w:val="04A0" w:firstRow="1" w:lastRow="0" w:firstColumn="1" w:lastColumn="0" w:noHBand="0" w:noVBand="1"/>
      </w:tblPr>
      <w:tblGrid>
        <w:gridCol w:w="530"/>
        <w:gridCol w:w="648"/>
        <w:gridCol w:w="648"/>
        <w:gridCol w:w="647"/>
        <w:gridCol w:w="647"/>
        <w:gridCol w:w="647"/>
        <w:gridCol w:w="4936"/>
        <w:gridCol w:w="647"/>
      </w:tblGrid>
      <w:tr w:rsidR="00BA1D53" w:rsidRPr="00BA1D53" w14:paraId="6D61A36A" w14:textId="77777777" w:rsidTr="0091670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30" w:type="dxa"/>
            <w:hideMark/>
          </w:tcPr>
          <w:p w14:paraId="2FBA7218" w14:textId="77777777" w:rsidR="00B77B6D" w:rsidRPr="00BA1D53" w:rsidRDefault="00B77B6D" w:rsidP="00272F68">
            <w:pPr>
              <w:rPr>
                <w:rFonts w:eastAsia="Times New Roman" w:cs="Arial"/>
                <w:szCs w:val="24"/>
                <w:lang w:val="en-US"/>
              </w:rPr>
            </w:pPr>
            <w:r w:rsidRPr="00BA1D53">
              <w:rPr>
                <w:rFonts w:eastAsia="Times New Roman" w:cs="Arial"/>
                <w:szCs w:val="24"/>
                <w:lang w:val="en-US"/>
              </w:rPr>
              <w:t>Year</w:t>
            </w:r>
          </w:p>
        </w:tc>
        <w:tc>
          <w:tcPr>
            <w:tcW w:w="648" w:type="dxa"/>
            <w:hideMark/>
          </w:tcPr>
          <w:p w14:paraId="1EB7DB10" w14:textId="77777777" w:rsidR="00B77B6D" w:rsidRPr="00BA1D53" w:rsidRDefault="00B77B6D" w:rsidP="00272F68">
            <w:pPr>
              <w:cnfStyle w:val="100000000000" w:firstRow="1" w:lastRow="0" w:firstColumn="0" w:lastColumn="0" w:oddVBand="0" w:evenVBand="0" w:oddHBand="0"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X1</w:t>
            </w:r>
          </w:p>
        </w:tc>
        <w:tc>
          <w:tcPr>
            <w:tcW w:w="0" w:type="auto"/>
            <w:hideMark/>
          </w:tcPr>
          <w:p w14:paraId="0E5BAE36" w14:textId="77777777" w:rsidR="00B77B6D" w:rsidRPr="00BA1D53" w:rsidRDefault="00B77B6D" w:rsidP="00272F68">
            <w:pPr>
              <w:cnfStyle w:val="100000000000" w:firstRow="1" w:lastRow="0" w:firstColumn="0" w:lastColumn="0" w:oddVBand="0" w:evenVBand="0" w:oddHBand="0"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X2</w:t>
            </w:r>
          </w:p>
        </w:tc>
        <w:tc>
          <w:tcPr>
            <w:tcW w:w="0" w:type="auto"/>
            <w:hideMark/>
          </w:tcPr>
          <w:p w14:paraId="6E370656" w14:textId="77777777" w:rsidR="00B77B6D" w:rsidRPr="00BA1D53" w:rsidRDefault="00B77B6D" w:rsidP="00272F68">
            <w:pPr>
              <w:cnfStyle w:val="100000000000" w:firstRow="1" w:lastRow="0" w:firstColumn="0" w:lastColumn="0" w:oddVBand="0" w:evenVBand="0" w:oddHBand="0"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X3</w:t>
            </w:r>
          </w:p>
        </w:tc>
        <w:tc>
          <w:tcPr>
            <w:tcW w:w="0" w:type="auto"/>
            <w:hideMark/>
          </w:tcPr>
          <w:p w14:paraId="4FFAFE56" w14:textId="77777777" w:rsidR="00B77B6D" w:rsidRPr="00BA1D53" w:rsidRDefault="00B77B6D" w:rsidP="00272F68">
            <w:pPr>
              <w:cnfStyle w:val="100000000000" w:firstRow="1" w:lastRow="0" w:firstColumn="0" w:lastColumn="0" w:oddVBand="0" w:evenVBand="0" w:oddHBand="0"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X4</w:t>
            </w:r>
          </w:p>
        </w:tc>
        <w:tc>
          <w:tcPr>
            <w:tcW w:w="0" w:type="auto"/>
            <w:hideMark/>
          </w:tcPr>
          <w:p w14:paraId="6AFC1510" w14:textId="77777777" w:rsidR="00B77B6D" w:rsidRPr="00BA1D53" w:rsidRDefault="00B77B6D" w:rsidP="00272F68">
            <w:pPr>
              <w:cnfStyle w:val="100000000000" w:firstRow="1" w:lastRow="0" w:firstColumn="0" w:lastColumn="0" w:oddVBand="0" w:evenVBand="0" w:oddHBand="0"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X5</w:t>
            </w:r>
          </w:p>
        </w:tc>
        <w:tc>
          <w:tcPr>
            <w:tcW w:w="0" w:type="auto"/>
            <w:hideMark/>
          </w:tcPr>
          <w:p w14:paraId="63C0EF43" w14:textId="77777777" w:rsidR="00B77B6D" w:rsidRPr="00BA1D53" w:rsidRDefault="00B77B6D" w:rsidP="00272F68">
            <w:pPr>
              <w:cnfStyle w:val="100000000000" w:firstRow="1" w:lastRow="0" w:firstColumn="0" w:lastColumn="0" w:oddVBand="0" w:evenVBand="0" w:oddHBand="0"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Z-Score Calculation</w:t>
            </w:r>
          </w:p>
        </w:tc>
        <w:tc>
          <w:tcPr>
            <w:tcW w:w="0" w:type="auto"/>
            <w:hideMark/>
          </w:tcPr>
          <w:p w14:paraId="7BA7BF45" w14:textId="77777777" w:rsidR="00B77B6D" w:rsidRPr="00BA1D53" w:rsidRDefault="00B77B6D" w:rsidP="00272F68">
            <w:pPr>
              <w:cnfStyle w:val="100000000000" w:firstRow="1" w:lastRow="0" w:firstColumn="0" w:lastColumn="0" w:oddVBand="0" w:evenVBand="0" w:oddHBand="0"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Z-Score</w:t>
            </w:r>
          </w:p>
        </w:tc>
      </w:tr>
      <w:tr w:rsidR="00BA1D53" w:rsidRPr="00BA1D53" w14:paraId="7216DBB3" w14:textId="77777777" w:rsidTr="0091670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30" w:type="dxa"/>
            <w:hideMark/>
          </w:tcPr>
          <w:p w14:paraId="55C70255" w14:textId="77777777" w:rsidR="00B77B6D" w:rsidRPr="00BA1D53" w:rsidRDefault="00B77B6D" w:rsidP="00272F68">
            <w:pPr>
              <w:rPr>
                <w:rFonts w:eastAsia="Times New Roman" w:cs="Arial"/>
                <w:szCs w:val="24"/>
                <w:lang w:val="en-US"/>
              </w:rPr>
            </w:pPr>
            <w:r w:rsidRPr="00BA1D53">
              <w:rPr>
                <w:rFonts w:eastAsia="Times New Roman" w:cs="Arial"/>
                <w:szCs w:val="24"/>
                <w:lang w:val="en-US"/>
              </w:rPr>
              <w:t>2020</w:t>
            </w:r>
          </w:p>
        </w:tc>
        <w:tc>
          <w:tcPr>
            <w:tcW w:w="648" w:type="dxa"/>
            <w:hideMark/>
          </w:tcPr>
          <w:p w14:paraId="4EB15537" w14:textId="77777777" w:rsidR="00B77B6D" w:rsidRPr="00BA1D53" w:rsidRDefault="00B77B6D" w:rsidP="00272F68">
            <w:pPr>
              <w:cnfStyle w:val="000000100000" w:firstRow="0" w:lastRow="0" w:firstColumn="0" w:lastColumn="0" w:oddVBand="0" w:evenVBand="0" w:oddHBand="1"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0.2887</w:t>
            </w:r>
          </w:p>
        </w:tc>
        <w:tc>
          <w:tcPr>
            <w:tcW w:w="0" w:type="auto"/>
            <w:hideMark/>
          </w:tcPr>
          <w:p w14:paraId="041EECC3" w14:textId="77777777" w:rsidR="00B77B6D" w:rsidRPr="00BA1D53" w:rsidRDefault="00B77B6D" w:rsidP="00272F68">
            <w:pPr>
              <w:cnfStyle w:val="000000100000" w:firstRow="0" w:lastRow="0" w:firstColumn="0" w:lastColumn="0" w:oddVBand="0" w:evenVBand="0" w:oddHBand="1"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0.6369</w:t>
            </w:r>
          </w:p>
        </w:tc>
        <w:tc>
          <w:tcPr>
            <w:tcW w:w="0" w:type="auto"/>
            <w:hideMark/>
          </w:tcPr>
          <w:p w14:paraId="316D96C9" w14:textId="77777777" w:rsidR="00B77B6D" w:rsidRPr="00BA1D53" w:rsidRDefault="00B77B6D" w:rsidP="00272F68">
            <w:pPr>
              <w:cnfStyle w:val="000000100000" w:firstRow="0" w:lastRow="0" w:firstColumn="0" w:lastColumn="0" w:oddVBand="0" w:evenVBand="0" w:oddHBand="1"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0.0730</w:t>
            </w:r>
          </w:p>
        </w:tc>
        <w:tc>
          <w:tcPr>
            <w:tcW w:w="0" w:type="auto"/>
            <w:hideMark/>
          </w:tcPr>
          <w:p w14:paraId="543E5B5C" w14:textId="77777777" w:rsidR="00B77B6D" w:rsidRPr="00BA1D53" w:rsidRDefault="00B77B6D" w:rsidP="00272F68">
            <w:pPr>
              <w:cnfStyle w:val="000000100000" w:firstRow="0" w:lastRow="0" w:firstColumn="0" w:lastColumn="0" w:oddVBand="0" w:evenVBand="0" w:oddHBand="1"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0.0034</w:t>
            </w:r>
          </w:p>
        </w:tc>
        <w:tc>
          <w:tcPr>
            <w:tcW w:w="0" w:type="auto"/>
            <w:hideMark/>
          </w:tcPr>
          <w:p w14:paraId="7743B70E" w14:textId="77777777" w:rsidR="00B77B6D" w:rsidRPr="00BA1D53" w:rsidRDefault="00B77B6D" w:rsidP="00272F68">
            <w:pPr>
              <w:cnfStyle w:val="000000100000" w:firstRow="0" w:lastRow="0" w:firstColumn="0" w:lastColumn="0" w:oddVBand="0" w:evenVBand="0" w:oddHBand="1"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1.2046</w:t>
            </w:r>
          </w:p>
        </w:tc>
        <w:tc>
          <w:tcPr>
            <w:tcW w:w="0" w:type="auto"/>
            <w:hideMark/>
          </w:tcPr>
          <w:p w14:paraId="7BD27DBB" w14:textId="1AB6CB50" w:rsidR="00B77B6D" w:rsidRPr="00BA1D53" w:rsidRDefault="00B77B6D" w:rsidP="00272F68">
            <w:pPr>
              <w:cnfStyle w:val="000000100000" w:firstRow="0" w:lastRow="0" w:firstColumn="0" w:lastColumn="0" w:oddVBand="0" w:evenVBand="0" w:oddHBand="1"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Z=1.2×0.2887+1.4×0.6369+3.3×0.0730+0.6×0.0034+1.0×1.2046=1.5530</w:t>
            </w:r>
          </w:p>
        </w:tc>
        <w:tc>
          <w:tcPr>
            <w:tcW w:w="0" w:type="auto"/>
            <w:hideMark/>
          </w:tcPr>
          <w:p w14:paraId="552E73A1" w14:textId="77777777" w:rsidR="00B77B6D" w:rsidRPr="00BA1D53" w:rsidRDefault="00B77B6D" w:rsidP="00272F68">
            <w:pPr>
              <w:cnfStyle w:val="000000100000" w:firstRow="0" w:lastRow="0" w:firstColumn="0" w:lastColumn="0" w:oddVBand="0" w:evenVBand="0" w:oddHBand="1"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1.5530</w:t>
            </w:r>
          </w:p>
        </w:tc>
      </w:tr>
      <w:tr w:rsidR="00BA1D53" w:rsidRPr="00BA1D53" w14:paraId="4710BBE8" w14:textId="77777777" w:rsidTr="00916703">
        <w:trPr>
          <w:jc w:val="center"/>
        </w:trPr>
        <w:tc>
          <w:tcPr>
            <w:cnfStyle w:val="001000000000" w:firstRow="0" w:lastRow="0" w:firstColumn="1" w:lastColumn="0" w:oddVBand="0" w:evenVBand="0" w:oddHBand="0" w:evenHBand="0" w:firstRowFirstColumn="0" w:firstRowLastColumn="0" w:lastRowFirstColumn="0" w:lastRowLastColumn="0"/>
            <w:tcW w:w="530" w:type="dxa"/>
            <w:hideMark/>
          </w:tcPr>
          <w:p w14:paraId="71F757A9" w14:textId="77777777" w:rsidR="00B77B6D" w:rsidRPr="00BA1D53" w:rsidRDefault="00B77B6D" w:rsidP="00272F68">
            <w:pPr>
              <w:rPr>
                <w:rFonts w:eastAsia="Times New Roman" w:cs="Arial"/>
                <w:szCs w:val="24"/>
                <w:lang w:val="en-US"/>
              </w:rPr>
            </w:pPr>
            <w:r w:rsidRPr="00BA1D53">
              <w:rPr>
                <w:rFonts w:eastAsia="Times New Roman" w:cs="Arial"/>
                <w:szCs w:val="24"/>
                <w:lang w:val="en-US"/>
              </w:rPr>
              <w:t>2021</w:t>
            </w:r>
          </w:p>
        </w:tc>
        <w:tc>
          <w:tcPr>
            <w:tcW w:w="648" w:type="dxa"/>
            <w:hideMark/>
          </w:tcPr>
          <w:p w14:paraId="38EAF57E" w14:textId="77777777" w:rsidR="00B77B6D" w:rsidRPr="00BA1D53" w:rsidRDefault="00B77B6D" w:rsidP="00272F68">
            <w:pPr>
              <w:cnfStyle w:val="000000000000" w:firstRow="0" w:lastRow="0" w:firstColumn="0" w:lastColumn="0" w:oddVBand="0" w:evenVBand="0" w:oddHBand="0"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0.2358</w:t>
            </w:r>
          </w:p>
        </w:tc>
        <w:tc>
          <w:tcPr>
            <w:tcW w:w="0" w:type="auto"/>
            <w:hideMark/>
          </w:tcPr>
          <w:p w14:paraId="28D8A96F" w14:textId="77777777" w:rsidR="00B77B6D" w:rsidRPr="00BA1D53" w:rsidRDefault="00B77B6D" w:rsidP="00272F68">
            <w:pPr>
              <w:cnfStyle w:val="000000000000" w:firstRow="0" w:lastRow="0" w:firstColumn="0" w:lastColumn="0" w:oddVBand="0" w:evenVBand="0" w:oddHBand="0"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0.6472</w:t>
            </w:r>
          </w:p>
        </w:tc>
        <w:tc>
          <w:tcPr>
            <w:tcW w:w="0" w:type="auto"/>
            <w:hideMark/>
          </w:tcPr>
          <w:p w14:paraId="1AE8C5D1" w14:textId="77777777" w:rsidR="00B77B6D" w:rsidRPr="00BA1D53" w:rsidRDefault="00B77B6D" w:rsidP="00272F68">
            <w:pPr>
              <w:cnfStyle w:val="000000000000" w:firstRow="0" w:lastRow="0" w:firstColumn="0" w:lastColumn="0" w:oddVBand="0" w:evenVBand="0" w:oddHBand="0"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0.0456</w:t>
            </w:r>
          </w:p>
        </w:tc>
        <w:tc>
          <w:tcPr>
            <w:tcW w:w="0" w:type="auto"/>
            <w:hideMark/>
          </w:tcPr>
          <w:p w14:paraId="6EF9A922" w14:textId="77777777" w:rsidR="00B77B6D" w:rsidRPr="00BA1D53" w:rsidRDefault="00B77B6D" w:rsidP="00272F68">
            <w:pPr>
              <w:cnfStyle w:val="000000000000" w:firstRow="0" w:lastRow="0" w:firstColumn="0" w:lastColumn="0" w:oddVBand="0" w:evenVBand="0" w:oddHBand="0"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0.0004</w:t>
            </w:r>
          </w:p>
        </w:tc>
        <w:tc>
          <w:tcPr>
            <w:tcW w:w="0" w:type="auto"/>
            <w:hideMark/>
          </w:tcPr>
          <w:p w14:paraId="7ADA5EC1" w14:textId="77777777" w:rsidR="00B77B6D" w:rsidRPr="00BA1D53" w:rsidRDefault="00B77B6D" w:rsidP="00272F68">
            <w:pPr>
              <w:cnfStyle w:val="000000000000" w:firstRow="0" w:lastRow="0" w:firstColumn="0" w:lastColumn="0" w:oddVBand="0" w:evenVBand="0" w:oddHBand="0"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1.1788</w:t>
            </w:r>
          </w:p>
        </w:tc>
        <w:tc>
          <w:tcPr>
            <w:tcW w:w="0" w:type="auto"/>
            <w:hideMark/>
          </w:tcPr>
          <w:p w14:paraId="2672176A" w14:textId="4FD5D4AE" w:rsidR="00B77B6D" w:rsidRPr="00BA1D53" w:rsidRDefault="00B77B6D" w:rsidP="00272F68">
            <w:pPr>
              <w:cnfStyle w:val="000000000000" w:firstRow="0" w:lastRow="0" w:firstColumn="0" w:lastColumn="0" w:oddVBand="0" w:evenVBand="0" w:oddHBand="0"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Z=1.2×0.2358+1.4×0.6472+3.3×0.0456+0.6×0.0004+1.0×1.1788=1.5441</w:t>
            </w:r>
          </w:p>
        </w:tc>
        <w:tc>
          <w:tcPr>
            <w:tcW w:w="0" w:type="auto"/>
            <w:hideMark/>
          </w:tcPr>
          <w:p w14:paraId="01F8F662" w14:textId="77777777" w:rsidR="00B77B6D" w:rsidRPr="00BA1D53" w:rsidRDefault="00B77B6D" w:rsidP="00272F68">
            <w:pPr>
              <w:cnfStyle w:val="000000000000" w:firstRow="0" w:lastRow="0" w:firstColumn="0" w:lastColumn="0" w:oddVBand="0" w:evenVBand="0" w:oddHBand="0"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1.5441</w:t>
            </w:r>
          </w:p>
        </w:tc>
      </w:tr>
      <w:tr w:rsidR="00BA1D53" w:rsidRPr="00BA1D53" w14:paraId="3C5ABE08" w14:textId="77777777" w:rsidTr="0091670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30" w:type="dxa"/>
            <w:hideMark/>
          </w:tcPr>
          <w:p w14:paraId="680596DC" w14:textId="77777777" w:rsidR="00B77B6D" w:rsidRPr="00BA1D53" w:rsidRDefault="00B77B6D" w:rsidP="00272F68">
            <w:pPr>
              <w:rPr>
                <w:rFonts w:eastAsia="Times New Roman" w:cs="Arial"/>
                <w:szCs w:val="24"/>
                <w:lang w:val="en-US"/>
              </w:rPr>
            </w:pPr>
            <w:r w:rsidRPr="00BA1D53">
              <w:rPr>
                <w:rFonts w:eastAsia="Times New Roman" w:cs="Arial"/>
                <w:szCs w:val="24"/>
                <w:lang w:val="en-US"/>
              </w:rPr>
              <w:lastRenderedPageBreak/>
              <w:t>2022</w:t>
            </w:r>
          </w:p>
        </w:tc>
        <w:tc>
          <w:tcPr>
            <w:tcW w:w="648" w:type="dxa"/>
            <w:hideMark/>
          </w:tcPr>
          <w:p w14:paraId="39797620" w14:textId="77777777" w:rsidR="00B77B6D" w:rsidRPr="00BA1D53" w:rsidRDefault="00B77B6D" w:rsidP="00272F68">
            <w:pPr>
              <w:cnfStyle w:val="000000100000" w:firstRow="0" w:lastRow="0" w:firstColumn="0" w:lastColumn="0" w:oddVBand="0" w:evenVBand="0" w:oddHBand="1"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0.2411</w:t>
            </w:r>
          </w:p>
        </w:tc>
        <w:tc>
          <w:tcPr>
            <w:tcW w:w="0" w:type="auto"/>
            <w:hideMark/>
          </w:tcPr>
          <w:p w14:paraId="03B57B4D" w14:textId="77777777" w:rsidR="00B77B6D" w:rsidRPr="00BA1D53" w:rsidRDefault="00B77B6D" w:rsidP="00272F68">
            <w:pPr>
              <w:cnfStyle w:val="000000100000" w:firstRow="0" w:lastRow="0" w:firstColumn="0" w:lastColumn="0" w:oddVBand="0" w:evenVBand="0" w:oddHBand="1"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0.6559</w:t>
            </w:r>
          </w:p>
        </w:tc>
        <w:tc>
          <w:tcPr>
            <w:tcW w:w="0" w:type="auto"/>
            <w:hideMark/>
          </w:tcPr>
          <w:p w14:paraId="6447EBFF" w14:textId="77777777" w:rsidR="00B77B6D" w:rsidRPr="00BA1D53" w:rsidRDefault="00B77B6D" w:rsidP="00272F68">
            <w:pPr>
              <w:cnfStyle w:val="000000100000" w:firstRow="0" w:lastRow="0" w:firstColumn="0" w:lastColumn="0" w:oddVBand="0" w:evenVBand="0" w:oddHBand="1"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0.0289</w:t>
            </w:r>
          </w:p>
        </w:tc>
        <w:tc>
          <w:tcPr>
            <w:tcW w:w="0" w:type="auto"/>
            <w:hideMark/>
          </w:tcPr>
          <w:p w14:paraId="36358A3A" w14:textId="77777777" w:rsidR="00B77B6D" w:rsidRPr="00BA1D53" w:rsidRDefault="00B77B6D" w:rsidP="00272F68">
            <w:pPr>
              <w:cnfStyle w:val="000000100000" w:firstRow="0" w:lastRow="0" w:firstColumn="0" w:lastColumn="0" w:oddVBand="0" w:evenVBand="0" w:oddHBand="1"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0.0000</w:t>
            </w:r>
          </w:p>
        </w:tc>
        <w:tc>
          <w:tcPr>
            <w:tcW w:w="0" w:type="auto"/>
            <w:hideMark/>
          </w:tcPr>
          <w:p w14:paraId="3F049ED3" w14:textId="77777777" w:rsidR="00B77B6D" w:rsidRPr="00BA1D53" w:rsidRDefault="00B77B6D" w:rsidP="00272F68">
            <w:pPr>
              <w:cnfStyle w:val="000000100000" w:firstRow="0" w:lastRow="0" w:firstColumn="0" w:lastColumn="0" w:oddVBand="0" w:evenVBand="0" w:oddHBand="1"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1.0765</w:t>
            </w:r>
          </w:p>
        </w:tc>
        <w:tc>
          <w:tcPr>
            <w:tcW w:w="0" w:type="auto"/>
            <w:hideMark/>
          </w:tcPr>
          <w:p w14:paraId="2F4DD0A2" w14:textId="1A00BC48" w:rsidR="00B77B6D" w:rsidRPr="00BA1D53" w:rsidRDefault="00B77B6D" w:rsidP="00272F68">
            <w:pPr>
              <w:cnfStyle w:val="000000100000" w:firstRow="0" w:lastRow="0" w:firstColumn="0" w:lastColumn="0" w:oddVBand="0" w:evenVBand="0" w:oddHBand="1"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Z=1.2×0.2411+1.4×0.6559+3.3×0.0289+0.6×0.0000+1.0×1.0765=1.5741</w:t>
            </w:r>
          </w:p>
        </w:tc>
        <w:tc>
          <w:tcPr>
            <w:tcW w:w="0" w:type="auto"/>
            <w:hideMark/>
          </w:tcPr>
          <w:p w14:paraId="5749915F" w14:textId="77777777" w:rsidR="00B77B6D" w:rsidRPr="00BA1D53" w:rsidRDefault="00B77B6D" w:rsidP="00272F68">
            <w:pPr>
              <w:cnfStyle w:val="000000100000" w:firstRow="0" w:lastRow="0" w:firstColumn="0" w:lastColumn="0" w:oddVBand="0" w:evenVBand="0" w:oddHBand="1"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1.5741</w:t>
            </w:r>
          </w:p>
        </w:tc>
      </w:tr>
      <w:tr w:rsidR="00BA1D53" w:rsidRPr="00BA1D53" w14:paraId="341473B0" w14:textId="77777777" w:rsidTr="00916703">
        <w:trPr>
          <w:jc w:val="center"/>
        </w:trPr>
        <w:tc>
          <w:tcPr>
            <w:cnfStyle w:val="001000000000" w:firstRow="0" w:lastRow="0" w:firstColumn="1" w:lastColumn="0" w:oddVBand="0" w:evenVBand="0" w:oddHBand="0" w:evenHBand="0" w:firstRowFirstColumn="0" w:firstRowLastColumn="0" w:lastRowFirstColumn="0" w:lastRowLastColumn="0"/>
            <w:tcW w:w="530" w:type="dxa"/>
            <w:hideMark/>
          </w:tcPr>
          <w:p w14:paraId="00390E8E" w14:textId="77777777" w:rsidR="00B77B6D" w:rsidRPr="00BA1D53" w:rsidRDefault="00B77B6D" w:rsidP="00272F68">
            <w:pPr>
              <w:rPr>
                <w:rFonts w:eastAsia="Times New Roman" w:cs="Arial"/>
                <w:szCs w:val="24"/>
                <w:lang w:val="en-US"/>
              </w:rPr>
            </w:pPr>
            <w:r w:rsidRPr="00BA1D53">
              <w:rPr>
                <w:rFonts w:eastAsia="Times New Roman" w:cs="Arial"/>
                <w:szCs w:val="24"/>
                <w:lang w:val="en-US"/>
              </w:rPr>
              <w:t>2023</w:t>
            </w:r>
          </w:p>
        </w:tc>
        <w:tc>
          <w:tcPr>
            <w:tcW w:w="648" w:type="dxa"/>
            <w:hideMark/>
          </w:tcPr>
          <w:p w14:paraId="27F0024D" w14:textId="77777777" w:rsidR="00B77B6D" w:rsidRPr="00BA1D53" w:rsidRDefault="00B77B6D" w:rsidP="00272F68">
            <w:pPr>
              <w:cnfStyle w:val="000000000000" w:firstRow="0" w:lastRow="0" w:firstColumn="0" w:lastColumn="0" w:oddVBand="0" w:evenVBand="0" w:oddHBand="0"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0.2745</w:t>
            </w:r>
          </w:p>
        </w:tc>
        <w:tc>
          <w:tcPr>
            <w:tcW w:w="0" w:type="auto"/>
            <w:hideMark/>
          </w:tcPr>
          <w:p w14:paraId="3D951DF7" w14:textId="77777777" w:rsidR="00B77B6D" w:rsidRPr="00BA1D53" w:rsidRDefault="00B77B6D" w:rsidP="00272F68">
            <w:pPr>
              <w:cnfStyle w:val="000000000000" w:firstRow="0" w:lastRow="0" w:firstColumn="0" w:lastColumn="0" w:oddVBand="0" w:evenVBand="0" w:oddHBand="0"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0.6532</w:t>
            </w:r>
          </w:p>
        </w:tc>
        <w:tc>
          <w:tcPr>
            <w:tcW w:w="0" w:type="auto"/>
            <w:hideMark/>
          </w:tcPr>
          <w:p w14:paraId="1CAB545D" w14:textId="77777777" w:rsidR="00B77B6D" w:rsidRPr="00BA1D53" w:rsidRDefault="00B77B6D" w:rsidP="00272F68">
            <w:pPr>
              <w:cnfStyle w:val="000000000000" w:firstRow="0" w:lastRow="0" w:firstColumn="0" w:lastColumn="0" w:oddVBand="0" w:evenVBand="0" w:oddHBand="0"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-0.2397</w:t>
            </w:r>
          </w:p>
        </w:tc>
        <w:tc>
          <w:tcPr>
            <w:tcW w:w="0" w:type="auto"/>
            <w:hideMark/>
          </w:tcPr>
          <w:p w14:paraId="73D04022" w14:textId="77777777" w:rsidR="00B77B6D" w:rsidRPr="00BA1D53" w:rsidRDefault="00B77B6D" w:rsidP="00272F68">
            <w:pPr>
              <w:cnfStyle w:val="000000000000" w:firstRow="0" w:lastRow="0" w:firstColumn="0" w:lastColumn="0" w:oddVBand="0" w:evenVBand="0" w:oddHBand="0"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-0.0109</w:t>
            </w:r>
          </w:p>
        </w:tc>
        <w:tc>
          <w:tcPr>
            <w:tcW w:w="0" w:type="auto"/>
            <w:hideMark/>
          </w:tcPr>
          <w:p w14:paraId="17395C14" w14:textId="77777777" w:rsidR="00B77B6D" w:rsidRPr="00BA1D53" w:rsidRDefault="00B77B6D" w:rsidP="00272F68">
            <w:pPr>
              <w:cnfStyle w:val="000000000000" w:firstRow="0" w:lastRow="0" w:firstColumn="0" w:lastColumn="0" w:oddVBand="0" w:evenVBand="0" w:oddHBand="0"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1.1815</w:t>
            </w:r>
          </w:p>
        </w:tc>
        <w:tc>
          <w:tcPr>
            <w:tcW w:w="0" w:type="auto"/>
            <w:hideMark/>
          </w:tcPr>
          <w:p w14:paraId="0E8E2B55" w14:textId="459201A2" w:rsidR="00B77B6D" w:rsidRPr="00BA1D53" w:rsidRDefault="00B77B6D" w:rsidP="00272F68">
            <w:pPr>
              <w:cnfStyle w:val="000000000000" w:firstRow="0" w:lastRow="0" w:firstColumn="0" w:lastColumn="0" w:oddVBand="0" w:evenVBand="0" w:oddHBand="0"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Z=1.2×0.2745+1.4×0.6532+3.3×−0.2397+0.6×−0.0109+1.0×1.1815=1.2990</w:t>
            </w:r>
          </w:p>
        </w:tc>
        <w:tc>
          <w:tcPr>
            <w:tcW w:w="0" w:type="auto"/>
            <w:hideMark/>
          </w:tcPr>
          <w:p w14:paraId="7F211AF7" w14:textId="77777777" w:rsidR="00B77B6D" w:rsidRPr="00BA1D53" w:rsidRDefault="00B77B6D" w:rsidP="00272F68">
            <w:pPr>
              <w:cnfStyle w:val="000000000000" w:firstRow="0" w:lastRow="0" w:firstColumn="0" w:lastColumn="0" w:oddVBand="0" w:evenVBand="0" w:oddHBand="0"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1.2990</w:t>
            </w:r>
          </w:p>
        </w:tc>
      </w:tr>
      <w:tr w:rsidR="00BA1D53" w:rsidRPr="00BA1D53" w14:paraId="6244A1C8" w14:textId="77777777" w:rsidTr="00916703">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30" w:type="dxa"/>
            <w:hideMark/>
          </w:tcPr>
          <w:p w14:paraId="0FA6E774" w14:textId="77777777" w:rsidR="00B77B6D" w:rsidRPr="00BA1D53" w:rsidRDefault="00B77B6D" w:rsidP="00272F68">
            <w:pPr>
              <w:rPr>
                <w:rFonts w:eastAsia="Times New Roman" w:cs="Arial"/>
                <w:szCs w:val="24"/>
                <w:lang w:val="en-US"/>
              </w:rPr>
            </w:pPr>
            <w:r w:rsidRPr="00BA1D53">
              <w:rPr>
                <w:rFonts w:eastAsia="Times New Roman" w:cs="Arial"/>
                <w:szCs w:val="24"/>
                <w:lang w:val="en-US"/>
              </w:rPr>
              <w:t>2024</w:t>
            </w:r>
          </w:p>
        </w:tc>
        <w:tc>
          <w:tcPr>
            <w:tcW w:w="648" w:type="dxa"/>
            <w:hideMark/>
          </w:tcPr>
          <w:p w14:paraId="110A0FAE" w14:textId="77777777" w:rsidR="00B77B6D" w:rsidRPr="00BA1D53" w:rsidRDefault="00B77B6D" w:rsidP="00272F68">
            <w:pPr>
              <w:cnfStyle w:val="000000100000" w:firstRow="0" w:lastRow="0" w:firstColumn="0" w:lastColumn="0" w:oddVBand="0" w:evenVBand="0" w:oddHBand="1"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0.2604</w:t>
            </w:r>
          </w:p>
        </w:tc>
        <w:tc>
          <w:tcPr>
            <w:tcW w:w="0" w:type="auto"/>
            <w:hideMark/>
          </w:tcPr>
          <w:p w14:paraId="4A084513" w14:textId="77777777" w:rsidR="00B77B6D" w:rsidRPr="00BA1D53" w:rsidRDefault="00B77B6D" w:rsidP="00272F68">
            <w:pPr>
              <w:cnfStyle w:val="000000100000" w:firstRow="0" w:lastRow="0" w:firstColumn="0" w:lastColumn="0" w:oddVBand="0" w:evenVBand="0" w:oddHBand="1"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0.6446</w:t>
            </w:r>
          </w:p>
        </w:tc>
        <w:tc>
          <w:tcPr>
            <w:tcW w:w="0" w:type="auto"/>
            <w:hideMark/>
          </w:tcPr>
          <w:p w14:paraId="3A4ED2F4" w14:textId="77777777" w:rsidR="00B77B6D" w:rsidRPr="00BA1D53" w:rsidRDefault="00B77B6D" w:rsidP="00272F68">
            <w:pPr>
              <w:cnfStyle w:val="000000100000" w:firstRow="0" w:lastRow="0" w:firstColumn="0" w:lastColumn="0" w:oddVBand="0" w:evenVBand="0" w:oddHBand="1"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-0.0473</w:t>
            </w:r>
          </w:p>
        </w:tc>
        <w:tc>
          <w:tcPr>
            <w:tcW w:w="0" w:type="auto"/>
            <w:hideMark/>
          </w:tcPr>
          <w:p w14:paraId="7CFFA770" w14:textId="77777777" w:rsidR="00B77B6D" w:rsidRPr="00BA1D53" w:rsidRDefault="00B77B6D" w:rsidP="00272F68">
            <w:pPr>
              <w:cnfStyle w:val="000000100000" w:firstRow="0" w:lastRow="0" w:firstColumn="0" w:lastColumn="0" w:oddVBand="0" w:evenVBand="0" w:oddHBand="1"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-0.0028</w:t>
            </w:r>
          </w:p>
        </w:tc>
        <w:tc>
          <w:tcPr>
            <w:tcW w:w="0" w:type="auto"/>
            <w:hideMark/>
          </w:tcPr>
          <w:p w14:paraId="76C77ADB" w14:textId="77777777" w:rsidR="00B77B6D" w:rsidRPr="00BA1D53" w:rsidRDefault="00B77B6D" w:rsidP="00272F68">
            <w:pPr>
              <w:cnfStyle w:val="000000100000" w:firstRow="0" w:lastRow="0" w:firstColumn="0" w:lastColumn="0" w:oddVBand="0" w:evenVBand="0" w:oddHBand="1"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1.2212</w:t>
            </w:r>
          </w:p>
        </w:tc>
        <w:tc>
          <w:tcPr>
            <w:tcW w:w="0" w:type="auto"/>
            <w:hideMark/>
          </w:tcPr>
          <w:p w14:paraId="5DC11779" w14:textId="6A6DD7C5" w:rsidR="00B77B6D" w:rsidRPr="00BA1D53" w:rsidRDefault="00B77B6D" w:rsidP="00272F68">
            <w:pPr>
              <w:cnfStyle w:val="000000100000" w:firstRow="0" w:lastRow="0" w:firstColumn="0" w:lastColumn="0" w:oddVBand="0" w:evenVBand="0" w:oddHBand="1"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Z=1.2×0.2604+1.4×0.6446+3.3×−0.0473+0.6×−0.0028+1.0×1.2212=1.3309</w:t>
            </w:r>
          </w:p>
        </w:tc>
        <w:tc>
          <w:tcPr>
            <w:tcW w:w="0" w:type="auto"/>
            <w:hideMark/>
          </w:tcPr>
          <w:p w14:paraId="53AE56CC" w14:textId="77777777" w:rsidR="00B77B6D" w:rsidRPr="00BA1D53" w:rsidRDefault="00B77B6D" w:rsidP="00272F68">
            <w:pPr>
              <w:cnfStyle w:val="000000100000" w:firstRow="0" w:lastRow="0" w:firstColumn="0" w:lastColumn="0" w:oddVBand="0" w:evenVBand="0" w:oddHBand="1" w:evenHBand="0" w:firstRowFirstColumn="0" w:firstRowLastColumn="0" w:lastRowFirstColumn="0" w:lastRowLastColumn="0"/>
              <w:rPr>
                <w:rFonts w:eastAsia="Times New Roman" w:cs="Arial"/>
                <w:szCs w:val="24"/>
                <w:lang w:val="en-US"/>
              </w:rPr>
            </w:pPr>
            <w:r w:rsidRPr="00BA1D53">
              <w:rPr>
                <w:rFonts w:eastAsia="Times New Roman" w:cs="Arial"/>
                <w:szCs w:val="24"/>
                <w:lang w:val="en-US"/>
              </w:rPr>
              <w:t>1.3309</w:t>
            </w:r>
          </w:p>
        </w:tc>
      </w:tr>
    </w:tbl>
    <w:p w14:paraId="251D2A6C" w14:textId="2978B83D" w:rsidR="00B77B6D" w:rsidRPr="00BA1D53" w:rsidRDefault="00B77B6D" w:rsidP="00272F68">
      <w:pPr>
        <w:rPr>
          <w:rFonts w:cs="Arial"/>
          <w:lang w:val="en-US"/>
        </w:rPr>
      </w:pPr>
    </w:p>
    <w:p w14:paraId="1740BBED" w14:textId="1D9FFEE6" w:rsidR="008B39C0" w:rsidRPr="00BA1D53" w:rsidRDefault="006D18D0" w:rsidP="00E87136">
      <w:pPr>
        <w:pStyle w:val="NormalWeb"/>
        <w:spacing w:line="360" w:lineRule="auto"/>
        <w:jc w:val="both"/>
        <w:rPr>
          <w:rFonts w:cs="Arial"/>
        </w:rPr>
      </w:pPr>
      <w:r w:rsidRPr="00BA1D53">
        <w:rPr>
          <w:rFonts w:cs="Arial"/>
        </w:rPr>
        <w:t xml:space="preserve">The </w:t>
      </w:r>
      <w:r w:rsidR="00536C6D" w:rsidRPr="00BA1D53">
        <w:rPr>
          <w:rFonts w:cs="Arial"/>
        </w:rPr>
        <w:t>Z-score</w:t>
      </w:r>
      <w:r w:rsidRPr="00BA1D53">
        <w:rPr>
          <w:rFonts w:cs="Arial"/>
        </w:rPr>
        <w:t xml:space="preserve"> values are used to show the financial performance of General Electronics. A score ranging below 1.8 would generally indicate a high risk of bankruptcy</w:t>
      </w:r>
      <w:r w:rsidR="00536C6D" w:rsidRPr="00BA1D53">
        <w:rPr>
          <w:rFonts w:cs="Arial"/>
        </w:rPr>
        <w:t xml:space="preserve">, whereas a score of over three would indicate </w:t>
      </w:r>
      <w:r w:rsidRPr="00BA1D53">
        <w:rPr>
          <w:rFonts w:cs="Arial"/>
        </w:rPr>
        <w:t>financial stability. In this instance</w:t>
      </w:r>
      <w:r w:rsidR="00536C6D" w:rsidRPr="00BA1D53">
        <w:rPr>
          <w:rFonts w:cs="Arial"/>
        </w:rPr>
        <w:t>, the Z-score</w:t>
      </w:r>
      <w:r w:rsidRPr="00BA1D53">
        <w:rPr>
          <w:rFonts w:cs="Arial"/>
        </w:rPr>
        <w:t xml:space="preserve"> of the company in 2023 and 2024 has decreased below the threshold, and a higher risk of financial distress indicates a possible increase in financial predicament. The general downward trend of the </w:t>
      </w:r>
      <w:r w:rsidR="00536C6D" w:rsidRPr="00BA1D53">
        <w:rPr>
          <w:rFonts w:cs="Arial"/>
        </w:rPr>
        <w:t>Z-score</w:t>
      </w:r>
      <w:r w:rsidRPr="00BA1D53">
        <w:rPr>
          <w:rFonts w:cs="Arial"/>
        </w:rPr>
        <w:t xml:space="preserve"> between 2020 and 2024 </w:t>
      </w:r>
      <w:r w:rsidR="00536C6D" w:rsidRPr="00BA1D53">
        <w:rPr>
          <w:rFonts w:cs="Arial"/>
        </w:rPr>
        <w:t>suggests that General Electronics is experiencing a growing economic crisis, and therefore, restructuring may be necessary</w:t>
      </w:r>
      <w:r w:rsidRPr="00BA1D53">
        <w:rPr>
          <w:rFonts w:cs="Arial"/>
        </w:rPr>
        <w:t xml:space="preserve"> </w:t>
      </w:r>
      <w:r w:rsidR="00536C6D" w:rsidRPr="00BA1D53">
        <w:rPr>
          <w:rFonts w:cs="Arial"/>
        </w:rPr>
        <w:t>to prevent failure</w:t>
      </w:r>
      <w:r w:rsidRPr="00BA1D53">
        <w:rPr>
          <w:rFonts w:cs="Arial"/>
        </w:rPr>
        <w:t>.</w:t>
      </w:r>
    </w:p>
    <w:p w14:paraId="19948CFE" w14:textId="77777777" w:rsidR="008B39C0" w:rsidRPr="00BA1D53" w:rsidRDefault="008B39C0" w:rsidP="000F19BD">
      <w:pPr>
        <w:pStyle w:val="Heading1"/>
        <w:rPr>
          <w:rFonts w:cs="Arial"/>
          <w:color w:val="auto"/>
          <w:sz w:val="27"/>
          <w:lang w:val="en-US"/>
        </w:rPr>
      </w:pPr>
      <w:bookmarkStart w:id="28" w:name="_Toc214712751"/>
      <w:r w:rsidRPr="00BA1D53">
        <w:rPr>
          <w:rStyle w:val="Strong"/>
          <w:rFonts w:cs="Arial"/>
          <w:b/>
          <w:bCs/>
          <w:color w:val="auto"/>
        </w:rPr>
        <w:t>Working Capital Management Analysis</w:t>
      </w:r>
      <w:bookmarkEnd w:id="28"/>
    </w:p>
    <w:p w14:paraId="72F1A6CA" w14:textId="77777777" w:rsidR="008B39C0" w:rsidRPr="00BA1D53" w:rsidRDefault="008B39C0" w:rsidP="00272F68">
      <w:pPr>
        <w:pStyle w:val="Heading2"/>
        <w:jc w:val="both"/>
        <w:rPr>
          <w:rFonts w:cs="Arial"/>
          <w:color w:val="auto"/>
        </w:rPr>
      </w:pPr>
      <w:bookmarkStart w:id="29" w:name="_Toc214712752"/>
      <w:r w:rsidRPr="00BA1D53">
        <w:rPr>
          <w:rStyle w:val="Strong"/>
          <w:rFonts w:cs="Arial"/>
          <w:b/>
          <w:bCs w:val="0"/>
          <w:color w:val="auto"/>
        </w:rPr>
        <w:t>Cash Operating Cycle Analysis</w:t>
      </w:r>
      <w:bookmarkEnd w:id="29"/>
    </w:p>
    <w:p w14:paraId="3EDF29A8" w14:textId="48335609" w:rsidR="006D18D0" w:rsidRPr="00BA1D53" w:rsidRDefault="006E74FE" w:rsidP="00272F68">
      <w:pPr>
        <w:pStyle w:val="NormalWeb"/>
        <w:spacing w:line="360" w:lineRule="auto"/>
        <w:jc w:val="both"/>
        <w:rPr>
          <w:rFonts w:cs="Arial"/>
        </w:rPr>
      </w:pPr>
      <w:r w:rsidRPr="00BA1D53">
        <w:rPr>
          <w:rFonts w:cs="Arial"/>
        </w:rPr>
        <w:t>The Cash Operating Cycle (COC) refers to the period between the expenses of raw materials and the revenue received after the sales of the products (Asman et al., 2022). The COC of the company over the last five years has been fluctuating, which means that management of working capital has been rather inconsistent.</w:t>
      </w:r>
      <w:r w:rsidR="00E83D2F" w:rsidRPr="00BA1D53">
        <w:rPr>
          <w:rFonts w:cs="Arial"/>
        </w:rPr>
        <w:t xml:space="preserve"> </w:t>
      </w:r>
      <w:r w:rsidR="006D18D0" w:rsidRPr="00BA1D53">
        <w:rPr>
          <w:rFonts w:cs="Arial"/>
        </w:rPr>
        <w:t>The COC was 107.83 days in 2020</w:t>
      </w:r>
      <w:r w:rsidR="002C5DCC" w:rsidRPr="00BA1D53">
        <w:rPr>
          <w:rFonts w:cs="Arial"/>
        </w:rPr>
        <w:t>,</w:t>
      </w:r>
      <w:r w:rsidR="006D18D0" w:rsidRPr="00BA1D53">
        <w:rPr>
          <w:rFonts w:cs="Arial"/>
        </w:rPr>
        <w:t xml:space="preserve"> and it has risen to 113.96 days in 2021. This pattern </w:t>
      </w:r>
      <w:r w:rsidR="00712053" w:rsidRPr="00BA1D53">
        <w:rPr>
          <w:rFonts w:cs="Arial"/>
        </w:rPr>
        <w:t>continued until 2022,</w:t>
      </w:r>
      <w:r w:rsidR="006D18D0" w:rsidRPr="00BA1D53">
        <w:rPr>
          <w:rFonts w:cs="Arial"/>
        </w:rPr>
        <w:t xml:space="preserve"> as the high of the cycle was 139.87 days. However, </w:t>
      </w:r>
      <w:r w:rsidR="002C5DCC" w:rsidRPr="00BA1D53">
        <w:rPr>
          <w:rFonts w:cs="Arial"/>
        </w:rPr>
        <w:t xml:space="preserve">the </w:t>
      </w:r>
      <w:r w:rsidR="00712053" w:rsidRPr="00BA1D53">
        <w:rPr>
          <w:rFonts w:cs="Arial"/>
        </w:rPr>
        <w:t>period slightly increased</w:t>
      </w:r>
      <w:r w:rsidR="006D18D0" w:rsidRPr="00BA1D53">
        <w:rPr>
          <w:rFonts w:cs="Arial"/>
        </w:rPr>
        <w:t xml:space="preserve"> to 133.06 days in 2023 and 115.06 days in 2024.</w:t>
      </w:r>
    </w:p>
    <w:p w14:paraId="66969C58" w14:textId="035935A5" w:rsidR="008B39C0" w:rsidRPr="00BA1D53" w:rsidRDefault="006D18D0" w:rsidP="00272F68">
      <w:pPr>
        <w:pStyle w:val="NormalWeb"/>
        <w:spacing w:line="360" w:lineRule="auto"/>
        <w:jc w:val="both"/>
        <w:rPr>
          <w:rFonts w:cs="Arial"/>
        </w:rPr>
      </w:pPr>
      <w:r w:rsidRPr="00BA1D53">
        <w:rPr>
          <w:rFonts w:cs="Arial"/>
        </w:rPr>
        <w:lastRenderedPageBreak/>
        <w:t xml:space="preserve">The increased cash operating cycle may be associated with the liquidity problem because the </w:t>
      </w:r>
      <w:r w:rsidR="00712053" w:rsidRPr="00BA1D53">
        <w:rPr>
          <w:rFonts w:cs="Arial"/>
        </w:rPr>
        <w:t>longer the cycle, the more time</w:t>
      </w:r>
      <w:r w:rsidRPr="00BA1D53">
        <w:rPr>
          <w:rFonts w:cs="Arial"/>
        </w:rPr>
        <w:t xml:space="preserve"> the company </w:t>
      </w:r>
      <w:r w:rsidR="002C5DCC" w:rsidRPr="00BA1D53">
        <w:rPr>
          <w:rFonts w:cs="Arial"/>
        </w:rPr>
        <w:t xml:space="preserve">takes to transform investments into inventory and receivables into cash </w:t>
      </w:r>
      <w:r w:rsidRPr="00BA1D53">
        <w:rPr>
          <w:rFonts w:cs="Arial"/>
        </w:rPr>
        <w:t xml:space="preserve">(Blessing and Sakouvogui, 2023). The </w:t>
      </w:r>
      <w:r w:rsidR="002C5DCC" w:rsidRPr="00BA1D53">
        <w:rPr>
          <w:rFonts w:cs="Arial"/>
        </w:rPr>
        <w:t>increase in COC in 2022 is explained by slower inventory turnover and longer collection days on receivables, which hampered the company's cash flow</w:t>
      </w:r>
      <w:r w:rsidRPr="00BA1D53">
        <w:rPr>
          <w:rFonts w:cs="Arial"/>
        </w:rPr>
        <w:t xml:space="preserve">. Although the COC has slightly improved in 2024, it </w:t>
      </w:r>
      <w:r w:rsidR="002C5DCC" w:rsidRPr="00BA1D53">
        <w:rPr>
          <w:rFonts w:cs="Arial"/>
        </w:rPr>
        <w:t>remains relatively high, indicating that the company still needs to enhance the</w:t>
      </w:r>
      <w:r w:rsidRPr="00BA1D53">
        <w:rPr>
          <w:rFonts w:cs="Arial"/>
        </w:rPr>
        <w:t xml:space="preserve"> effective management of its working capital. The reduction of the COC would help liquidity and would provide the competence of the company to </w:t>
      </w:r>
      <w:r w:rsidR="002C5DCC" w:rsidRPr="00BA1D53">
        <w:rPr>
          <w:rFonts w:cs="Arial"/>
        </w:rPr>
        <w:t>fulfil</w:t>
      </w:r>
      <w:r w:rsidRPr="00BA1D53">
        <w:rPr>
          <w:rFonts w:cs="Arial"/>
        </w:rPr>
        <w:t xml:space="preserve"> its short-term liabilities.</w:t>
      </w:r>
    </w:p>
    <w:p w14:paraId="3AF8CD69" w14:textId="77777777" w:rsidR="008B39C0" w:rsidRPr="00BA1D53" w:rsidRDefault="008B39C0" w:rsidP="000F19BD">
      <w:pPr>
        <w:pStyle w:val="Heading2"/>
        <w:rPr>
          <w:rFonts w:cs="Arial"/>
          <w:color w:val="auto"/>
        </w:rPr>
      </w:pPr>
      <w:bookmarkStart w:id="30" w:name="_Toc214712753"/>
      <w:r w:rsidRPr="00BA1D53">
        <w:rPr>
          <w:rStyle w:val="Strong"/>
          <w:rFonts w:cs="Arial"/>
          <w:b/>
          <w:bCs w:val="0"/>
          <w:color w:val="auto"/>
        </w:rPr>
        <w:t>Strategies for Improving Liquidity</w:t>
      </w:r>
      <w:bookmarkEnd w:id="30"/>
    </w:p>
    <w:p w14:paraId="29FBB809" w14:textId="39F6E240" w:rsidR="006D18D0" w:rsidRPr="00BA1D53" w:rsidRDefault="006D18D0" w:rsidP="00272F68">
      <w:pPr>
        <w:pStyle w:val="NormalWeb"/>
        <w:spacing w:line="360" w:lineRule="auto"/>
        <w:jc w:val="both"/>
        <w:rPr>
          <w:rFonts w:cs="Arial"/>
        </w:rPr>
      </w:pPr>
      <w:r w:rsidRPr="00BA1D53">
        <w:rPr>
          <w:rFonts w:cs="Arial"/>
        </w:rPr>
        <w:t xml:space="preserve">To enhance liquidity and shorten the </w:t>
      </w:r>
      <w:r w:rsidR="002C5DCC" w:rsidRPr="00BA1D53">
        <w:rPr>
          <w:rFonts w:cs="Arial"/>
        </w:rPr>
        <w:t>company's cash operating cycle</w:t>
      </w:r>
      <w:r w:rsidRPr="00BA1D53">
        <w:rPr>
          <w:rFonts w:cs="Arial"/>
        </w:rPr>
        <w:t xml:space="preserve">, </w:t>
      </w:r>
      <w:r w:rsidR="002C5DCC" w:rsidRPr="00BA1D53">
        <w:rPr>
          <w:rFonts w:cs="Arial"/>
        </w:rPr>
        <w:t>several strategies may be implemented</w:t>
      </w:r>
      <w:r w:rsidRPr="00BA1D53">
        <w:rPr>
          <w:rFonts w:cs="Arial"/>
        </w:rPr>
        <w:t>.</w:t>
      </w:r>
    </w:p>
    <w:p w14:paraId="38CFF6BB" w14:textId="3229D273" w:rsidR="006D18D0" w:rsidRPr="00BA1D53" w:rsidRDefault="002C5DCC" w:rsidP="00272F68">
      <w:pPr>
        <w:pStyle w:val="NormalWeb"/>
        <w:spacing w:line="360" w:lineRule="auto"/>
        <w:jc w:val="both"/>
        <w:rPr>
          <w:rFonts w:cs="Arial"/>
        </w:rPr>
      </w:pPr>
      <w:r w:rsidRPr="00BA1D53">
        <w:rPr>
          <w:rFonts w:cs="Arial"/>
          <w:b/>
          <w:bCs/>
        </w:rPr>
        <w:t>Minimising Inventory Days</w:t>
      </w:r>
      <w:r w:rsidRPr="00BA1D53">
        <w:rPr>
          <w:rFonts w:cs="Arial"/>
        </w:rPr>
        <w:t>: This company should consider increasing its inventory turnover by</w:t>
      </w:r>
      <w:r w:rsidR="006D18D0" w:rsidRPr="00BA1D53">
        <w:rPr>
          <w:rFonts w:cs="Arial"/>
        </w:rPr>
        <w:t xml:space="preserve"> implementing just-in-time (JIT) inventory management or improved demand forecasting techniques (</w:t>
      </w:r>
      <w:r w:rsidR="00D0315B" w:rsidRPr="00D0315B">
        <w:rPr>
          <w:rFonts w:cs="Arial"/>
        </w:rPr>
        <w:t>Saleem</w:t>
      </w:r>
      <w:r w:rsidR="00D0315B">
        <w:rPr>
          <w:rFonts w:cs="Arial"/>
        </w:rPr>
        <w:t xml:space="preserve"> and</w:t>
      </w:r>
      <w:r w:rsidR="00D0315B" w:rsidRPr="00D0315B">
        <w:rPr>
          <w:rFonts w:cs="Arial"/>
        </w:rPr>
        <w:t xml:space="preserve"> Rehman</w:t>
      </w:r>
      <w:r w:rsidR="006D18D0" w:rsidRPr="00BA1D53">
        <w:rPr>
          <w:rFonts w:cs="Arial"/>
        </w:rPr>
        <w:t>, 20</w:t>
      </w:r>
      <w:r w:rsidR="00D0315B">
        <w:rPr>
          <w:rFonts w:cs="Arial"/>
        </w:rPr>
        <w:t>1</w:t>
      </w:r>
      <w:r w:rsidR="006D18D0" w:rsidRPr="00BA1D53">
        <w:rPr>
          <w:rFonts w:cs="Arial"/>
        </w:rPr>
        <w:t xml:space="preserve">1). Spending less inventory enables the company to release cash invested in stock. Enhanced supply chain management and relationships with vendors can also </w:t>
      </w:r>
      <w:r w:rsidRPr="00BA1D53">
        <w:rPr>
          <w:rFonts w:cs="Arial"/>
        </w:rPr>
        <w:t>help minimise the time required to replenish inventory and reduce</w:t>
      </w:r>
      <w:r w:rsidR="006D18D0" w:rsidRPr="00BA1D53">
        <w:rPr>
          <w:rFonts w:cs="Arial"/>
        </w:rPr>
        <w:t xml:space="preserve"> inventory days, thereby decreasing the COC.</w:t>
      </w:r>
    </w:p>
    <w:p w14:paraId="3F6D51A4" w14:textId="09811D48" w:rsidR="00EA684C" w:rsidRPr="00BA1D53" w:rsidRDefault="006D18D0" w:rsidP="00272F68">
      <w:pPr>
        <w:rPr>
          <w:rFonts w:cs="Arial"/>
        </w:rPr>
      </w:pPr>
      <w:r w:rsidRPr="00BA1D53">
        <w:rPr>
          <w:rFonts w:cs="Arial"/>
          <w:b/>
          <w:bCs/>
        </w:rPr>
        <w:t>Enhancing Receivables Collection:</w:t>
      </w:r>
      <w:r w:rsidRPr="00BA1D53">
        <w:rPr>
          <w:rFonts w:cs="Arial"/>
        </w:rPr>
        <w:t xml:space="preserve"> Accelerating the process of receivables is one of the best strategies to </w:t>
      </w:r>
      <w:r w:rsidR="002C5DCC" w:rsidRPr="00BA1D53">
        <w:rPr>
          <w:rFonts w:cs="Arial"/>
        </w:rPr>
        <w:t>strengthen</w:t>
      </w:r>
      <w:r w:rsidRPr="00BA1D53">
        <w:rPr>
          <w:rFonts w:cs="Arial"/>
        </w:rPr>
        <w:t xml:space="preserve"> liquidity (Mömmo, 2021). The firm can have </w:t>
      </w:r>
      <w:r w:rsidR="002C5DCC" w:rsidRPr="00BA1D53">
        <w:rPr>
          <w:rFonts w:cs="Arial"/>
        </w:rPr>
        <w:t>stricter</w:t>
      </w:r>
      <w:r w:rsidRPr="00BA1D53">
        <w:rPr>
          <w:rFonts w:cs="Arial"/>
        </w:rPr>
        <w:t xml:space="preserve"> credit policies and more effective billing practices. </w:t>
      </w:r>
      <w:r w:rsidR="00EA684C" w:rsidRPr="00BA1D53">
        <w:rPr>
          <w:rFonts w:cs="Arial"/>
        </w:rPr>
        <w:t xml:space="preserve">Trade Receivables Days can be </w:t>
      </w:r>
      <w:r w:rsidR="00712053" w:rsidRPr="00BA1D53">
        <w:rPr>
          <w:rFonts w:cs="Arial"/>
        </w:rPr>
        <w:t>minimised with discounts on advances, enhanced customer credit assessment and a superior invoice system to decrease the COC and optimise</w:t>
      </w:r>
      <w:r w:rsidR="00EA684C" w:rsidRPr="00BA1D53">
        <w:rPr>
          <w:rFonts w:cs="Arial"/>
        </w:rPr>
        <w:t xml:space="preserve"> available cash. </w:t>
      </w:r>
      <w:r w:rsidR="00712053" w:rsidRPr="00BA1D53">
        <w:rPr>
          <w:rFonts w:cs="Arial"/>
        </w:rPr>
        <w:t>Automated payment notices and a special collections team can also provide faster collections</w:t>
      </w:r>
      <w:r w:rsidR="00EA684C" w:rsidRPr="00BA1D53">
        <w:rPr>
          <w:rFonts w:cs="Arial"/>
        </w:rPr>
        <w:t>.</w:t>
      </w:r>
    </w:p>
    <w:p w14:paraId="07D006EE" w14:textId="7157BE61" w:rsidR="008B39C0" w:rsidRPr="00BA1D53" w:rsidRDefault="00EA684C" w:rsidP="00272F68">
      <w:pPr>
        <w:pStyle w:val="NormalWeb"/>
        <w:spacing w:line="360" w:lineRule="auto"/>
        <w:jc w:val="both"/>
        <w:rPr>
          <w:rFonts w:cs="Arial"/>
        </w:rPr>
      </w:pPr>
      <w:r w:rsidRPr="00BA1D53">
        <w:rPr>
          <w:rFonts w:cs="Arial"/>
          <w:b/>
          <w:bCs/>
        </w:rPr>
        <w:t>Smartening Payables:</w:t>
      </w:r>
      <w:r w:rsidRPr="00BA1D53">
        <w:rPr>
          <w:rFonts w:cs="Arial"/>
        </w:rPr>
        <w:t xml:space="preserve"> Payables must be managed effectively</w:t>
      </w:r>
      <w:r w:rsidR="00712053" w:rsidRPr="00BA1D53">
        <w:rPr>
          <w:rFonts w:cs="Arial"/>
        </w:rPr>
        <w:t>,</w:t>
      </w:r>
      <w:r w:rsidRPr="00BA1D53">
        <w:rPr>
          <w:rFonts w:cs="Arial"/>
        </w:rPr>
        <w:t xml:space="preserve"> though they should be collected as soon as possible (Yan et al., 2024). The company should re-examine the terms of supplier payments </w:t>
      </w:r>
      <w:r w:rsidR="00712053" w:rsidRPr="00BA1D53">
        <w:rPr>
          <w:rFonts w:cs="Arial"/>
        </w:rPr>
        <w:t>to ensure they do not undermine relationships</w:t>
      </w:r>
      <w:r w:rsidRPr="00BA1D53">
        <w:rPr>
          <w:rFonts w:cs="Arial"/>
        </w:rPr>
        <w:t xml:space="preserve"> with suppliers. </w:t>
      </w:r>
      <w:r w:rsidRPr="00BA1D53">
        <w:rPr>
          <w:rFonts w:cs="Arial"/>
        </w:rPr>
        <w:lastRenderedPageBreak/>
        <w:t>Where feasible</w:t>
      </w:r>
      <w:r w:rsidR="00712053" w:rsidRPr="00BA1D53">
        <w:rPr>
          <w:rFonts w:cs="Arial"/>
        </w:rPr>
        <w:t>, it would be better to extend payment terms to gain more time to collect cash from</w:t>
      </w:r>
      <w:r w:rsidRPr="00BA1D53">
        <w:rPr>
          <w:rFonts w:cs="Arial"/>
        </w:rPr>
        <w:t xml:space="preserve"> sales and raise liquidity.</w:t>
      </w:r>
    </w:p>
    <w:p w14:paraId="52A69D2B" w14:textId="77777777" w:rsidR="008B39C0" w:rsidRPr="00BA1D53" w:rsidRDefault="008B39C0" w:rsidP="00272F68">
      <w:pPr>
        <w:pStyle w:val="Heading2"/>
        <w:jc w:val="both"/>
        <w:rPr>
          <w:rFonts w:cs="Arial"/>
          <w:color w:val="auto"/>
        </w:rPr>
      </w:pPr>
      <w:bookmarkStart w:id="31" w:name="_Toc214712754"/>
      <w:r w:rsidRPr="00BA1D53">
        <w:rPr>
          <w:rStyle w:val="Strong"/>
          <w:rFonts w:cs="Arial"/>
          <w:b/>
          <w:bCs w:val="0"/>
          <w:color w:val="auto"/>
        </w:rPr>
        <w:t>Short-term vs Long-term Financing</w:t>
      </w:r>
      <w:bookmarkEnd w:id="31"/>
    </w:p>
    <w:p w14:paraId="2DA3F98B" w14:textId="04D8F9BD" w:rsidR="00D31D7C" w:rsidRPr="00BA1D53" w:rsidRDefault="00D31D7C" w:rsidP="00272F68">
      <w:pPr>
        <w:rPr>
          <w:rFonts w:eastAsia="Times New Roman" w:cs="Arial"/>
          <w:szCs w:val="24"/>
          <w:lang w:val="en-US"/>
        </w:rPr>
      </w:pPr>
      <w:r w:rsidRPr="00BA1D53">
        <w:rPr>
          <w:rFonts w:eastAsia="Times New Roman" w:cs="Arial"/>
          <w:szCs w:val="24"/>
          <w:lang w:val="en-US"/>
        </w:rPr>
        <w:t xml:space="preserve">Diffusion, whether in the short-term or long-term, </w:t>
      </w:r>
      <w:r w:rsidR="00712053" w:rsidRPr="00BA1D53">
        <w:rPr>
          <w:rFonts w:eastAsia="Times New Roman" w:cs="Arial"/>
          <w:szCs w:val="24"/>
          <w:lang w:val="en-US"/>
        </w:rPr>
        <w:t>presents a vital problem and is based on the company's liquidity management approach</w:t>
      </w:r>
      <w:r w:rsidRPr="00BA1D53">
        <w:rPr>
          <w:rFonts w:eastAsia="Times New Roman" w:cs="Arial"/>
          <w:szCs w:val="24"/>
          <w:lang w:val="en-US"/>
        </w:rPr>
        <w:t>. Both types of financing have certain advantages and disadvantages.</w:t>
      </w:r>
    </w:p>
    <w:p w14:paraId="06A9109B" w14:textId="549EFE42" w:rsidR="00D31D7C" w:rsidRPr="00BA1D53" w:rsidRDefault="00D31D7C" w:rsidP="00272F68">
      <w:pPr>
        <w:rPr>
          <w:rFonts w:eastAsia="Times New Roman" w:cs="Arial"/>
          <w:szCs w:val="24"/>
          <w:lang w:val="en-US"/>
        </w:rPr>
      </w:pPr>
      <w:r w:rsidRPr="00BA1D53">
        <w:rPr>
          <w:rFonts w:eastAsia="Times New Roman" w:cs="Arial"/>
          <w:b/>
          <w:bCs/>
          <w:szCs w:val="24"/>
          <w:lang w:val="en-US"/>
        </w:rPr>
        <w:t>Short-term Financing:</w:t>
      </w:r>
      <w:r w:rsidRPr="00BA1D53">
        <w:rPr>
          <w:rFonts w:eastAsia="Times New Roman" w:cs="Arial"/>
          <w:szCs w:val="24"/>
          <w:lang w:val="en-US"/>
        </w:rPr>
        <w:t xml:space="preserve"> </w:t>
      </w:r>
      <w:r w:rsidR="00712053" w:rsidRPr="00BA1D53">
        <w:rPr>
          <w:rFonts w:eastAsia="Times New Roman" w:cs="Arial"/>
          <w:szCs w:val="24"/>
          <w:lang w:val="en-US"/>
        </w:rPr>
        <w:t>Short-term financing refers to borrowing money for</w:t>
      </w:r>
      <w:r w:rsidRPr="00BA1D53">
        <w:rPr>
          <w:rFonts w:eastAsia="Times New Roman" w:cs="Arial"/>
          <w:szCs w:val="24"/>
          <w:lang w:val="en-US"/>
        </w:rPr>
        <w:t xml:space="preserve"> a period of one year or less. It is usually used to finance the working capital needs of the company, such as picking up stock and collecting receivables. </w:t>
      </w:r>
      <w:r w:rsidR="00AC35EB" w:rsidRPr="00BA1D53">
        <w:rPr>
          <w:rFonts w:eastAsia="Times New Roman" w:cs="Arial"/>
          <w:szCs w:val="24"/>
          <w:lang w:val="en-US"/>
        </w:rPr>
        <w:t>The major benefits of short-term financing are speed and flexibility. It will enable the company to fulfil the immediate liquidity demands without taking any long-term debt. Nonetheless, short-term funds may be costly in the long run since the enterprise may not need to reimburse the loan, and the interest charges are typically elevated compared to long-term charges. In addition, excessive use of short-term funding may result in the inability to maintain cash flows when the business has difficulties with satisfying repayment dates (</w:t>
      </w:r>
      <w:r w:rsidR="00D0315B" w:rsidRPr="00D0315B">
        <w:rPr>
          <w:rFonts w:cs="Arial"/>
        </w:rPr>
        <w:t>Saleem</w:t>
      </w:r>
      <w:r w:rsidR="00D0315B">
        <w:rPr>
          <w:rFonts w:cs="Arial"/>
        </w:rPr>
        <w:t xml:space="preserve"> and</w:t>
      </w:r>
      <w:r w:rsidR="00D0315B" w:rsidRPr="00D0315B">
        <w:rPr>
          <w:rFonts w:cs="Arial"/>
        </w:rPr>
        <w:t xml:space="preserve"> Rehman</w:t>
      </w:r>
      <w:r w:rsidR="00D0315B" w:rsidRPr="00BA1D53">
        <w:rPr>
          <w:rFonts w:cs="Arial"/>
        </w:rPr>
        <w:t>, 20</w:t>
      </w:r>
      <w:r w:rsidR="00D0315B">
        <w:rPr>
          <w:rFonts w:cs="Arial"/>
        </w:rPr>
        <w:t>1</w:t>
      </w:r>
      <w:r w:rsidR="00D0315B" w:rsidRPr="00BA1D53">
        <w:rPr>
          <w:rFonts w:cs="Arial"/>
        </w:rPr>
        <w:t>1</w:t>
      </w:r>
      <w:r w:rsidR="00AC35EB" w:rsidRPr="00BA1D53">
        <w:rPr>
          <w:rFonts w:eastAsia="Times New Roman" w:cs="Arial"/>
          <w:szCs w:val="24"/>
          <w:lang w:val="en-US"/>
        </w:rPr>
        <w:t>).</w:t>
      </w:r>
    </w:p>
    <w:p w14:paraId="1EEECC3F" w14:textId="5F771B56" w:rsidR="00D31D7C" w:rsidRPr="00BA1D53" w:rsidRDefault="00D31D7C" w:rsidP="00272F68">
      <w:pPr>
        <w:rPr>
          <w:rFonts w:eastAsia="Times New Roman" w:cs="Arial"/>
          <w:szCs w:val="24"/>
          <w:lang w:val="en-US"/>
        </w:rPr>
      </w:pPr>
      <w:r w:rsidRPr="00BA1D53">
        <w:rPr>
          <w:rFonts w:eastAsia="Times New Roman" w:cs="Arial"/>
          <w:b/>
          <w:bCs/>
          <w:szCs w:val="24"/>
          <w:lang w:val="en-US"/>
        </w:rPr>
        <w:t>Long-term Financing:</w:t>
      </w:r>
      <w:r w:rsidRPr="00BA1D53">
        <w:rPr>
          <w:rFonts w:eastAsia="Times New Roman" w:cs="Arial"/>
          <w:szCs w:val="24"/>
          <w:lang w:val="en-US"/>
        </w:rPr>
        <w:t xml:space="preserve"> Conversely, long-term financing will be used as a contrast to capital expenditures or business expansion. It also has the advantage of offering a reduced interest rate </w:t>
      </w:r>
      <w:r w:rsidR="00712053" w:rsidRPr="00BA1D53">
        <w:rPr>
          <w:rFonts w:eastAsia="Times New Roman" w:cs="Arial"/>
          <w:szCs w:val="24"/>
          <w:lang w:val="en-US"/>
        </w:rPr>
        <w:t>compared to short-term loans, allowing the business to repay without straining</w:t>
      </w:r>
      <w:r w:rsidRPr="00BA1D53">
        <w:rPr>
          <w:rFonts w:eastAsia="Times New Roman" w:cs="Arial"/>
          <w:szCs w:val="24"/>
          <w:lang w:val="en-US"/>
        </w:rPr>
        <w:t xml:space="preserve"> </w:t>
      </w:r>
      <w:r w:rsidR="00712053" w:rsidRPr="00BA1D53">
        <w:rPr>
          <w:rFonts w:eastAsia="Times New Roman" w:cs="Arial"/>
          <w:szCs w:val="24"/>
          <w:lang w:val="en-US"/>
        </w:rPr>
        <w:t xml:space="preserve">its </w:t>
      </w:r>
      <w:r w:rsidRPr="00BA1D53">
        <w:rPr>
          <w:rFonts w:eastAsia="Times New Roman" w:cs="Arial"/>
          <w:szCs w:val="24"/>
          <w:lang w:val="en-US"/>
        </w:rPr>
        <w:t xml:space="preserve">cash flow. Long-term financing could also help the company </w:t>
      </w:r>
      <w:r w:rsidR="00712053" w:rsidRPr="00BA1D53">
        <w:rPr>
          <w:rFonts w:eastAsia="Times New Roman" w:cs="Arial"/>
          <w:szCs w:val="24"/>
          <w:lang w:val="en-US"/>
        </w:rPr>
        <w:t>raise substantial investments, which can be utilised</w:t>
      </w:r>
      <w:r w:rsidRPr="00BA1D53">
        <w:rPr>
          <w:rFonts w:eastAsia="Times New Roman" w:cs="Arial"/>
          <w:szCs w:val="24"/>
          <w:lang w:val="en-US"/>
        </w:rPr>
        <w:t xml:space="preserve"> in strategic investments (Schoenmaker and Schramade, 2023). Nevertheless, it might not be flexible </w:t>
      </w:r>
      <w:r w:rsidR="00712053" w:rsidRPr="00BA1D53">
        <w:rPr>
          <w:rFonts w:eastAsia="Times New Roman" w:cs="Arial"/>
          <w:szCs w:val="24"/>
          <w:lang w:val="en-US"/>
        </w:rPr>
        <w:t>regarding short-term funding, and it may not be suitable for financing</w:t>
      </w:r>
      <w:r w:rsidRPr="00BA1D53">
        <w:rPr>
          <w:rFonts w:eastAsia="Times New Roman" w:cs="Arial"/>
          <w:szCs w:val="24"/>
          <w:lang w:val="en-US"/>
        </w:rPr>
        <w:t xml:space="preserve"> urgent working capital needs. Moreover, an </w:t>
      </w:r>
      <w:r w:rsidR="00712053" w:rsidRPr="00BA1D53">
        <w:rPr>
          <w:rFonts w:eastAsia="Times New Roman" w:cs="Arial"/>
          <w:szCs w:val="24"/>
          <w:lang w:val="en-US"/>
        </w:rPr>
        <w:t>extremely</w:t>
      </w:r>
      <w:r w:rsidRPr="00BA1D53">
        <w:rPr>
          <w:rFonts w:eastAsia="Times New Roman" w:cs="Arial"/>
          <w:szCs w:val="24"/>
          <w:lang w:val="en-US"/>
        </w:rPr>
        <w:t xml:space="preserve"> long-term debt amount can increase financial leverage within the company and diminish financial flexibility.</w:t>
      </w:r>
    </w:p>
    <w:p w14:paraId="4A1E60BB" w14:textId="7E15E00E" w:rsidR="00D31D7C" w:rsidRPr="00BA1D53" w:rsidRDefault="00D31D7C" w:rsidP="000F19BD">
      <w:pPr>
        <w:pStyle w:val="Heading2"/>
        <w:rPr>
          <w:rFonts w:cs="Arial"/>
          <w:color w:val="auto"/>
        </w:rPr>
      </w:pPr>
      <w:bookmarkStart w:id="32" w:name="_Toc214712755"/>
      <w:r w:rsidRPr="00BA1D53">
        <w:rPr>
          <w:rFonts w:cs="Arial"/>
          <w:color w:val="auto"/>
        </w:rPr>
        <w:t>Evaluating the Financing and the Financing Options</w:t>
      </w:r>
      <w:bookmarkEnd w:id="32"/>
    </w:p>
    <w:p w14:paraId="3464EDBE" w14:textId="1E0287F6" w:rsidR="008B39C0" w:rsidRPr="00BA1D53" w:rsidRDefault="00E83D2F" w:rsidP="00272F68">
      <w:pPr>
        <w:rPr>
          <w:rFonts w:eastAsia="Times New Roman" w:cs="Arial"/>
          <w:szCs w:val="24"/>
          <w:lang w:val="en-US"/>
        </w:rPr>
      </w:pPr>
      <w:r w:rsidRPr="00BA1D53">
        <w:rPr>
          <w:rFonts w:eastAsia="Times New Roman" w:cs="Arial"/>
          <w:szCs w:val="24"/>
          <w:lang w:val="en-US"/>
        </w:rPr>
        <w:t xml:space="preserve">The short-run cost of short-term funding will be recovered by increasing working capital efficiency and liquidity </w:t>
      </w:r>
      <w:r w:rsidR="0056720A" w:rsidRPr="00BA1D53">
        <w:rPr>
          <w:rFonts w:eastAsia="Times New Roman" w:cs="Arial"/>
          <w:szCs w:val="24"/>
          <w:lang w:val="en-US"/>
        </w:rPr>
        <w:t xml:space="preserve">through more efficient management of inventory and receivables </w:t>
      </w:r>
      <w:r w:rsidRPr="00BA1D53">
        <w:rPr>
          <w:rFonts w:eastAsia="Times New Roman" w:cs="Arial"/>
          <w:szCs w:val="24"/>
          <w:lang w:val="en-US"/>
        </w:rPr>
        <w:t xml:space="preserve">(Asman et al., 2022). When the firm keeps facing liquidity issues, it might be compelled </w:t>
      </w:r>
      <w:r w:rsidRPr="00BA1D53">
        <w:rPr>
          <w:rFonts w:eastAsia="Times New Roman" w:cs="Arial"/>
          <w:szCs w:val="24"/>
          <w:lang w:val="en-US"/>
        </w:rPr>
        <w:lastRenderedPageBreak/>
        <w:t xml:space="preserve">to borrow short-term loans or lines of credit to resolve the cash crunch. Long term, the business will be able to look into strategic investments like new product development or market entry. However, it must be </w:t>
      </w:r>
      <w:r w:rsidR="0056720A" w:rsidRPr="00BA1D53">
        <w:rPr>
          <w:rFonts w:eastAsia="Times New Roman" w:cs="Arial"/>
          <w:szCs w:val="24"/>
          <w:lang w:val="en-US"/>
        </w:rPr>
        <w:t>cautious about becoming excessively leveraged</w:t>
      </w:r>
      <w:r w:rsidRPr="00BA1D53">
        <w:rPr>
          <w:rFonts w:eastAsia="Times New Roman" w:cs="Arial"/>
          <w:szCs w:val="24"/>
          <w:lang w:val="en-US"/>
        </w:rPr>
        <w:t xml:space="preserve">, which will once again put stress on its cash flows and profitability. </w:t>
      </w:r>
      <w:r w:rsidR="00D31D7C" w:rsidRPr="00BA1D53">
        <w:rPr>
          <w:rFonts w:eastAsia="Times New Roman" w:cs="Arial"/>
          <w:szCs w:val="24"/>
          <w:lang w:val="en-US"/>
        </w:rPr>
        <w:t xml:space="preserve">Short-term and long-term funding focused on the </w:t>
      </w:r>
      <w:r w:rsidR="00712053" w:rsidRPr="00BA1D53">
        <w:rPr>
          <w:rFonts w:eastAsia="Times New Roman" w:cs="Arial"/>
          <w:szCs w:val="24"/>
          <w:lang w:val="en-US"/>
        </w:rPr>
        <w:t>optimisation of operational efficiency will help the company meet its liquidity needs and support long-term expansion</w:t>
      </w:r>
      <w:r w:rsidR="00D31D7C" w:rsidRPr="00BA1D53">
        <w:rPr>
          <w:rFonts w:eastAsia="Times New Roman" w:cs="Arial"/>
          <w:szCs w:val="24"/>
          <w:lang w:val="en-US"/>
        </w:rPr>
        <w:t>.</w:t>
      </w:r>
    </w:p>
    <w:p w14:paraId="480E955B" w14:textId="77777777" w:rsidR="00A27B1F" w:rsidRPr="00BA1D53" w:rsidRDefault="00A27B1F" w:rsidP="000F19BD">
      <w:pPr>
        <w:pStyle w:val="Heading1"/>
        <w:rPr>
          <w:rFonts w:cs="Arial"/>
          <w:color w:val="auto"/>
          <w:sz w:val="27"/>
          <w:lang w:val="en-US"/>
        </w:rPr>
      </w:pPr>
      <w:bookmarkStart w:id="33" w:name="_Toc214712756"/>
      <w:r w:rsidRPr="00BA1D53">
        <w:rPr>
          <w:rStyle w:val="Strong"/>
          <w:rFonts w:cs="Arial"/>
          <w:b/>
          <w:bCs/>
          <w:color w:val="auto"/>
        </w:rPr>
        <w:t>Strategic Financial Restructuring Plan for General Electronics</w:t>
      </w:r>
      <w:bookmarkEnd w:id="33"/>
    </w:p>
    <w:p w14:paraId="6AFF2E8C" w14:textId="121F4336" w:rsidR="00D31D7C" w:rsidRPr="00BA1D53" w:rsidRDefault="00D31D7C" w:rsidP="00272F68">
      <w:pPr>
        <w:rPr>
          <w:rFonts w:cs="Arial"/>
        </w:rPr>
      </w:pPr>
      <w:r w:rsidRPr="00BA1D53">
        <w:rPr>
          <w:rFonts w:cs="Arial"/>
        </w:rPr>
        <w:t xml:space="preserve">Over the past few years, General Electronics has been having significant financial issues. Consequently, it requires a total restructuring of its economic stance to normalise and survive over time. </w:t>
      </w:r>
      <w:r w:rsidR="00DF091F" w:rsidRPr="00BA1D53">
        <w:rPr>
          <w:rFonts w:cs="Arial"/>
        </w:rPr>
        <w:t xml:space="preserve">Its decent profitability, increasing losses and poor liquidity </w:t>
      </w:r>
      <w:r w:rsidR="0056720A" w:rsidRPr="00BA1D53">
        <w:rPr>
          <w:rFonts w:cs="Arial"/>
        </w:rPr>
        <w:t>indicate that the company needs emergency reorganisation</w:t>
      </w:r>
      <w:r w:rsidR="00DF091F" w:rsidRPr="00BA1D53">
        <w:rPr>
          <w:rFonts w:cs="Arial"/>
        </w:rPr>
        <w:t xml:space="preserve"> measures. </w:t>
      </w:r>
      <w:r w:rsidR="00AC35EB" w:rsidRPr="00BA1D53">
        <w:rPr>
          <w:rFonts w:cs="Arial"/>
        </w:rPr>
        <w:t>The plan offers reorganisation options, balances the effect on the shareholder value, debt structure, and flexibility of operations, and considers the worldwide and moral effects of the reorganisation.</w:t>
      </w:r>
    </w:p>
    <w:p w14:paraId="5AA99D21" w14:textId="6574F645" w:rsidR="00D31D7C" w:rsidRPr="00BA1D53" w:rsidRDefault="00D31D7C" w:rsidP="000F19BD">
      <w:pPr>
        <w:pStyle w:val="Heading2"/>
        <w:rPr>
          <w:rFonts w:cs="Arial"/>
          <w:color w:val="auto"/>
        </w:rPr>
      </w:pPr>
      <w:bookmarkStart w:id="34" w:name="_Toc214712757"/>
      <w:r w:rsidRPr="00BA1D53">
        <w:rPr>
          <w:rFonts w:cs="Arial"/>
          <w:color w:val="auto"/>
        </w:rPr>
        <w:t>Selection of Financial Structuring</w:t>
      </w:r>
      <w:bookmarkEnd w:id="34"/>
    </w:p>
    <w:p w14:paraId="37FDE6F6" w14:textId="5A90EAC0" w:rsidR="00D31D7C" w:rsidRPr="00BA1D53" w:rsidRDefault="00D31D7C" w:rsidP="000F19BD">
      <w:pPr>
        <w:pStyle w:val="Heading3"/>
        <w:rPr>
          <w:rFonts w:cs="Arial"/>
        </w:rPr>
      </w:pPr>
      <w:bookmarkStart w:id="35" w:name="_Toc214414603"/>
      <w:bookmarkStart w:id="36" w:name="_Toc214712758"/>
      <w:r w:rsidRPr="00BA1D53">
        <w:rPr>
          <w:rFonts w:cs="Arial"/>
        </w:rPr>
        <w:t>Sale of Non-Core Assets</w:t>
      </w:r>
      <w:bookmarkEnd w:id="35"/>
      <w:bookmarkEnd w:id="36"/>
    </w:p>
    <w:p w14:paraId="090AD1C9" w14:textId="25964916" w:rsidR="00AC35EB" w:rsidRPr="00BA1D53" w:rsidRDefault="00AC35EB" w:rsidP="00AC35EB">
      <w:pPr>
        <w:rPr>
          <w:rFonts w:cs="Arial"/>
        </w:rPr>
      </w:pPr>
      <w:r w:rsidRPr="00BA1D53">
        <w:rPr>
          <w:rFonts w:cs="Arial"/>
        </w:rPr>
        <w:t>Divestiture may be described as the selling off or disposal of non-core assets or business units. In various geographic areas, General Electronics operates differently. The firm might look to discard its non-profitable or redundant business units or resources. It would also generate new cash flows, aid in reducing debt, boost liquidity, and even streamline the company to concentrate on more profitable or strategically important activities (</w:t>
      </w:r>
      <w:r w:rsidR="00D0315B" w:rsidRPr="00D0315B">
        <w:rPr>
          <w:rFonts w:cs="Arial"/>
        </w:rPr>
        <w:t>Saleem</w:t>
      </w:r>
      <w:r w:rsidR="00D0315B">
        <w:rPr>
          <w:rFonts w:cs="Arial"/>
        </w:rPr>
        <w:t xml:space="preserve"> and</w:t>
      </w:r>
      <w:r w:rsidR="00D0315B" w:rsidRPr="00D0315B">
        <w:rPr>
          <w:rFonts w:cs="Arial"/>
        </w:rPr>
        <w:t xml:space="preserve"> Rehman</w:t>
      </w:r>
      <w:r w:rsidR="00D0315B" w:rsidRPr="00BA1D53">
        <w:rPr>
          <w:rFonts w:cs="Arial"/>
        </w:rPr>
        <w:t>, 20</w:t>
      </w:r>
      <w:r w:rsidR="00D0315B">
        <w:rPr>
          <w:rFonts w:cs="Arial"/>
        </w:rPr>
        <w:t>1</w:t>
      </w:r>
      <w:r w:rsidR="00D0315B" w:rsidRPr="00BA1D53">
        <w:rPr>
          <w:rFonts w:cs="Arial"/>
        </w:rPr>
        <w:t>1</w:t>
      </w:r>
      <w:r w:rsidRPr="00BA1D53">
        <w:rPr>
          <w:rFonts w:cs="Arial"/>
        </w:rPr>
        <w:t>). Selling non-core business will enable General Electronics to focus more on other growth opportunities.</w:t>
      </w:r>
    </w:p>
    <w:p w14:paraId="4F8A6FA6" w14:textId="7C9F3728" w:rsidR="00DF091F" w:rsidRPr="00BA1D53" w:rsidRDefault="00AC35EB" w:rsidP="000F19BD">
      <w:pPr>
        <w:pStyle w:val="NormalWeb"/>
        <w:spacing w:line="360" w:lineRule="auto"/>
        <w:jc w:val="both"/>
        <w:rPr>
          <w:rFonts w:cs="Arial"/>
        </w:rPr>
      </w:pPr>
      <w:r w:rsidRPr="00BA1D53">
        <w:rPr>
          <w:rFonts w:cs="Arial"/>
          <w:b/>
          <w:bCs/>
        </w:rPr>
        <w:t>Shareholder Value Implication:</w:t>
      </w:r>
      <w:r w:rsidRPr="00BA1D53">
        <w:rPr>
          <w:rFonts w:cs="Arial"/>
        </w:rPr>
        <w:t xml:space="preserve"> Capital repatriation has a positive effect on shareholder value through selling unproductive units and decreasing the threat of additional financial depreciation (Shekhar, 2025). The interim cash inflow may improve the liquidity position within a short period, but later developments may follow, as there may be divisions to be retained.</w:t>
      </w:r>
    </w:p>
    <w:p w14:paraId="0868ECA2" w14:textId="6226AA01" w:rsidR="00D31D7C" w:rsidRPr="00BA1D53" w:rsidRDefault="00DF091F" w:rsidP="00E87136">
      <w:pPr>
        <w:pStyle w:val="NormalWeb"/>
        <w:spacing w:line="360" w:lineRule="auto"/>
        <w:jc w:val="both"/>
        <w:rPr>
          <w:rFonts w:cs="Arial"/>
        </w:rPr>
      </w:pPr>
      <w:r w:rsidRPr="00BA1D53">
        <w:rPr>
          <w:rFonts w:cs="Arial"/>
          <w:b/>
          <w:bCs/>
        </w:rPr>
        <w:lastRenderedPageBreak/>
        <w:t>Debt Structure and Operational Flexibility:</w:t>
      </w:r>
      <w:r w:rsidRPr="00BA1D53">
        <w:rPr>
          <w:rFonts w:cs="Arial"/>
        </w:rPr>
        <w:t xml:space="preserve"> </w:t>
      </w:r>
      <w:r w:rsidR="00AC35EB" w:rsidRPr="00BA1D53">
        <w:rPr>
          <w:rFonts w:cs="Arial"/>
        </w:rPr>
        <w:t xml:space="preserve">The sale of assets would result in less debt within the company, improving the debt quality and lowering the financial leverage (Mavlutova et al., 2021). It may also open up operations and enable the management </w:t>
      </w:r>
      <w:r w:rsidR="009E1ED0" w:rsidRPr="00BA1D53">
        <w:rPr>
          <w:rFonts w:cs="Arial"/>
        </w:rPr>
        <w:t xml:space="preserve">to </w:t>
      </w:r>
      <w:r w:rsidR="00AC35EB" w:rsidRPr="00BA1D53">
        <w:rPr>
          <w:rFonts w:cs="Arial"/>
        </w:rPr>
        <w:t>focus on the core operations and sort out issues. However, organisations which diversified their revenue streams may lose some of their flexibility.</w:t>
      </w:r>
    </w:p>
    <w:p w14:paraId="3C4AB654" w14:textId="77777777" w:rsidR="00D31D7C" w:rsidRPr="00BA1D53" w:rsidRDefault="00D31D7C" w:rsidP="000F19BD">
      <w:pPr>
        <w:pStyle w:val="Heading3"/>
        <w:rPr>
          <w:rFonts w:cs="Arial"/>
        </w:rPr>
      </w:pPr>
      <w:bookmarkStart w:id="37" w:name="_Toc214414604"/>
      <w:bookmarkStart w:id="38" w:name="_Toc214712759"/>
      <w:r w:rsidRPr="00BA1D53">
        <w:rPr>
          <w:rFonts w:cs="Arial"/>
        </w:rPr>
        <w:t>Merger or Acquisition</w:t>
      </w:r>
      <w:bookmarkEnd w:id="37"/>
      <w:bookmarkEnd w:id="38"/>
    </w:p>
    <w:p w14:paraId="7C8BB183" w14:textId="2792678C" w:rsidR="00DF091F" w:rsidRPr="00BA1D53" w:rsidRDefault="00AC35EB" w:rsidP="000F19BD">
      <w:pPr>
        <w:pStyle w:val="NormalWeb"/>
        <w:spacing w:line="360" w:lineRule="auto"/>
        <w:jc w:val="both"/>
        <w:rPr>
          <w:rFonts w:cs="Arial"/>
        </w:rPr>
      </w:pPr>
      <w:r w:rsidRPr="00BA1D53">
        <w:rPr>
          <w:rFonts w:cs="Arial"/>
        </w:rPr>
        <w:t>The purchase or takeover of a company that runs a related or similar business can provide General Electronics with new revenues, market, and operational benefits. An arrangement like this can build manufacturing, selling, and marketing strengths</w:t>
      </w:r>
      <w:r w:rsidR="009E1ED0" w:rsidRPr="00BA1D53">
        <w:rPr>
          <w:rFonts w:cs="Arial"/>
        </w:rPr>
        <w:t>,</w:t>
      </w:r>
      <w:r w:rsidRPr="00BA1D53">
        <w:rPr>
          <w:rFonts w:cs="Arial"/>
        </w:rPr>
        <w:t xml:space="preserve"> enabling an opportunity to reduce costs and maximise profit.</w:t>
      </w:r>
      <w:r w:rsidR="00DF091F" w:rsidRPr="00BA1D53">
        <w:rPr>
          <w:rFonts w:cs="Arial"/>
        </w:rPr>
        <w:t xml:space="preserve"> Moreover, a takeover or merger with a financially secure organisation can provide General Electronics with the </w:t>
      </w:r>
      <w:r w:rsidR="0056720A" w:rsidRPr="00BA1D53">
        <w:rPr>
          <w:rFonts w:cs="Arial"/>
        </w:rPr>
        <w:t>financial and personnel resources to stabilise</w:t>
      </w:r>
      <w:r w:rsidR="00DF091F" w:rsidRPr="00BA1D53">
        <w:rPr>
          <w:rFonts w:cs="Arial"/>
        </w:rPr>
        <w:t xml:space="preserve"> and expand.</w:t>
      </w:r>
    </w:p>
    <w:p w14:paraId="66B731EE" w14:textId="4A5A1859" w:rsidR="00473493" w:rsidRPr="00BA1D53" w:rsidRDefault="00DF091F" w:rsidP="000F19BD">
      <w:pPr>
        <w:pStyle w:val="NormalWeb"/>
        <w:spacing w:line="360" w:lineRule="auto"/>
        <w:jc w:val="both"/>
        <w:rPr>
          <w:rFonts w:cs="Arial"/>
        </w:rPr>
      </w:pPr>
      <w:r w:rsidRPr="00BA1D53">
        <w:rPr>
          <w:rFonts w:cs="Arial"/>
          <w:b/>
          <w:bCs/>
        </w:rPr>
        <w:t>Impact on Shareholder Value:</w:t>
      </w:r>
      <w:r w:rsidRPr="00BA1D53">
        <w:rPr>
          <w:rFonts w:cs="Arial"/>
        </w:rPr>
        <w:t xml:space="preserve"> Mergers are likely to cause immediate shareholder value, especially where the participating firms are considered complementary and would </w:t>
      </w:r>
      <w:r w:rsidR="0056720A" w:rsidRPr="00BA1D53">
        <w:rPr>
          <w:rFonts w:cs="Arial"/>
        </w:rPr>
        <w:t>realise</w:t>
      </w:r>
      <w:r w:rsidRPr="00BA1D53">
        <w:rPr>
          <w:rFonts w:cs="Arial"/>
        </w:rPr>
        <w:t xml:space="preserve"> synergies (Perla, 2025).</w:t>
      </w:r>
      <w:r w:rsidR="00473493" w:rsidRPr="00BA1D53">
        <w:rPr>
          <w:rFonts w:cs="Arial"/>
        </w:rPr>
        <w:t xml:space="preserve"> Nonetheless, it might </w:t>
      </w:r>
      <w:r w:rsidR="002C5DCC" w:rsidRPr="00BA1D53">
        <w:rPr>
          <w:rFonts w:cs="Arial"/>
        </w:rPr>
        <w:t>initially cause uncertainty in the market, as investors may</w:t>
      </w:r>
      <w:r w:rsidR="00473493" w:rsidRPr="00BA1D53">
        <w:rPr>
          <w:rFonts w:cs="Arial"/>
        </w:rPr>
        <w:t xml:space="preserve"> perceive the merger as a </w:t>
      </w:r>
      <w:r w:rsidR="002C5DCC" w:rsidRPr="00BA1D53">
        <w:rPr>
          <w:rFonts w:cs="Arial"/>
        </w:rPr>
        <w:t>risky step unless it is communicated clearly</w:t>
      </w:r>
      <w:r w:rsidR="00473493" w:rsidRPr="00BA1D53">
        <w:rPr>
          <w:rFonts w:cs="Arial"/>
        </w:rPr>
        <w:t xml:space="preserve">. In the long run, the merger is likely to lead to </w:t>
      </w:r>
      <w:r w:rsidR="002C5DCC" w:rsidRPr="00BA1D53">
        <w:rPr>
          <w:rFonts w:cs="Arial"/>
        </w:rPr>
        <w:t>shareholder value growth if it successfully realises synergies</w:t>
      </w:r>
      <w:r w:rsidR="00473493" w:rsidRPr="00BA1D53">
        <w:rPr>
          <w:rFonts w:cs="Arial"/>
        </w:rPr>
        <w:t>.</w:t>
      </w:r>
    </w:p>
    <w:p w14:paraId="1D035F64" w14:textId="716FD493" w:rsidR="00473493" w:rsidRPr="00BA1D53" w:rsidRDefault="00473493" w:rsidP="000F19BD">
      <w:pPr>
        <w:pStyle w:val="NormalWeb"/>
        <w:spacing w:line="360" w:lineRule="auto"/>
        <w:jc w:val="both"/>
        <w:rPr>
          <w:rFonts w:cs="Arial"/>
        </w:rPr>
      </w:pPr>
      <w:r w:rsidRPr="00BA1D53">
        <w:rPr>
          <w:rFonts w:cs="Arial"/>
          <w:b/>
          <w:bCs/>
        </w:rPr>
        <w:t>Effect on Debt Structure and Operating Flexibility:</w:t>
      </w:r>
      <w:r w:rsidRPr="00BA1D53">
        <w:rPr>
          <w:rFonts w:cs="Arial"/>
        </w:rPr>
        <w:t xml:space="preserve"> A merger or acquisition may </w:t>
      </w:r>
      <w:r w:rsidR="002C5DCC" w:rsidRPr="00BA1D53">
        <w:rPr>
          <w:rFonts w:cs="Arial"/>
        </w:rPr>
        <w:t>increase</w:t>
      </w:r>
      <w:r w:rsidRPr="00BA1D53">
        <w:rPr>
          <w:rFonts w:cs="Arial"/>
        </w:rPr>
        <w:t xml:space="preserve"> the amount of debt </w:t>
      </w:r>
      <w:r w:rsidR="00712053" w:rsidRPr="00BA1D53">
        <w:rPr>
          <w:rFonts w:cs="Arial"/>
        </w:rPr>
        <w:t>General Electronics must</w:t>
      </w:r>
      <w:r w:rsidRPr="00BA1D53">
        <w:rPr>
          <w:rFonts w:cs="Arial"/>
        </w:rPr>
        <w:t xml:space="preserve"> borrow to cover the transaction. Nevertheless, when the target </w:t>
      </w:r>
      <w:r w:rsidR="002C5DCC" w:rsidRPr="00BA1D53">
        <w:rPr>
          <w:rFonts w:cs="Arial"/>
        </w:rPr>
        <w:t xml:space="preserve">has less debt or better cash flow, </w:t>
      </w:r>
      <w:r w:rsidRPr="00BA1D53">
        <w:rPr>
          <w:rFonts w:cs="Arial"/>
        </w:rPr>
        <w:t xml:space="preserve">the acquisition has the potential to be beneficial </w:t>
      </w:r>
      <w:r w:rsidR="002C5DCC" w:rsidRPr="00BA1D53">
        <w:rPr>
          <w:rFonts w:cs="Arial"/>
        </w:rPr>
        <w:t>for overall debt management</w:t>
      </w:r>
      <w:r w:rsidRPr="00BA1D53">
        <w:rPr>
          <w:rFonts w:cs="Arial"/>
        </w:rPr>
        <w:t xml:space="preserve">. In the short term, operational flexibility could </w:t>
      </w:r>
      <w:r w:rsidR="002C5DCC" w:rsidRPr="00BA1D53">
        <w:rPr>
          <w:rFonts w:cs="Arial"/>
        </w:rPr>
        <w:t>have been minimised</w:t>
      </w:r>
      <w:r w:rsidRPr="00BA1D53">
        <w:rPr>
          <w:rFonts w:cs="Arial"/>
        </w:rPr>
        <w:t xml:space="preserve"> as a result of integration (Lee, 2023). However, there might be </w:t>
      </w:r>
      <w:r w:rsidR="002C5DCC" w:rsidRPr="00BA1D53">
        <w:rPr>
          <w:rFonts w:cs="Arial"/>
        </w:rPr>
        <w:t>long-term flexibility if the merger results in greater efficiency</w:t>
      </w:r>
      <w:r w:rsidRPr="00BA1D53">
        <w:rPr>
          <w:rFonts w:cs="Arial"/>
        </w:rPr>
        <w:t xml:space="preserve"> and market power.</w:t>
      </w:r>
    </w:p>
    <w:p w14:paraId="256F3055" w14:textId="77777777" w:rsidR="00473493" w:rsidRPr="00BA1D53" w:rsidRDefault="00473493" w:rsidP="00B93E0B">
      <w:pPr>
        <w:pStyle w:val="Heading3"/>
        <w:rPr>
          <w:rFonts w:cs="Arial"/>
        </w:rPr>
      </w:pPr>
      <w:bookmarkStart w:id="39" w:name="_Toc214414605"/>
      <w:bookmarkStart w:id="40" w:name="_Toc214712760"/>
      <w:r w:rsidRPr="00BA1D53">
        <w:rPr>
          <w:rFonts w:cs="Arial"/>
        </w:rPr>
        <w:t>Equity Injection</w:t>
      </w:r>
      <w:bookmarkEnd w:id="39"/>
      <w:bookmarkEnd w:id="40"/>
    </w:p>
    <w:p w14:paraId="231FCC2D" w14:textId="28274069" w:rsidR="00DF091F" w:rsidRPr="00BA1D53" w:rsidRDefault="00002D46" w:rsidP="00B93E0B">
      <w:pPr>
        <w:pStyle w:val="NormalWeb"/>
        <w:spacing w:line="360" w:lineRule="auto"/>
        <w:jc w:val="both"/>
        <w:rPr>
          <w:rFonts w:cs="Arial"/>
        </w:rPr>
      </w:pPr>
      <w:r w:rsidRPr="00BA1D53">
        <w:rPr>
          <w:rFonts w:cs="Arial"/>
        </w:rPr>
        <w:t xml:space="preserve">The other option is to reorganise through equity injection where General Electronics is able to obtain capital through issuing existing and new shares through issuance of capital. </w:t>
      </w:r>
      <w:r w:rsidRPr="00BA1D53">
        <w:rPr>
          <w:rFonts w:cs="Arial"/>
        </w:rPr>
        <w:lastRenderedPageBreak/>
        <w:t>It would provide the business with the bonus to finance the debt, invest in growth and increase liquidity (</w:t>
      </w:r>
      <w:r w:rsidR="00D0315B" w:rsidRPr="00D0315B">
        <w:rPr>
          <w:rFonts w:cs="Arial"/>
        </w:rPr>
        <w:t>Saleem and Rehman, 2011</w:t>
      </w:r>
      <w:r w:rsidRPr="00BA1D53">
        <w:rPr>
          <w:rFonts w:cs="Arial"/>
        </w:rPr>
        <w:t>). The capital inflows would make the firm financially strong to survive and clear up financial difficulties.</w:t>
      </w:r>
    </w:p>
    <w:p w14:paraId="15E8AC19" w14:textId="27C648D4" w:rsidR="00DF091F" w:rsidRPr="00BA1D53" w:rsidRDefault="00DF091F" w:rsidP="00B93E0B">
      <w:pPr>
        <w:pStyle w:val="NormalWeb"/>
        <w:spacing w:line="360" w:lineRule="auto"/>
        <w:jc w:val="both"/>
        <w:rPr>
          <w:rFonts w:cs="Arial"/>
        </w:rPr>
      </w:pPr>
      <w:r w:rsidRPr="00BA1D53">
        <w:rPr>
          <w:rFonts w:cs="Arial"/>
          <w:b/>
          <w:bCs/>
        </w:rPr>
        <w:t>Shareholder Value Impact:</w:t>
      </w:r>
      <w:r w:rsidRPr="00BA1D53">
        <w:rPr>
          <w:rFonts w:cs="Arial"/>
        </w:rPr>
        <w:t xml:space="preserve"> </w:t>
      </w:r>
      <w:r w:rsidR="00AC35EB" w:rsidRPr="00BA1D53">
        <w:rPr>
          <w:rFonts w:cs="Arial"/>
        </w:rPr>
        <w:t>Equity injection would have a tendency to dilute the existing shareholders, but it might help in the financial long-term wellness (Perla, 2025). The ultimate impact of a capital inflow would be to increase the shareholder value through strengthening the balance sheet and reducing the expensive debt</w:t>
      </w:r>
      <w:r w:rsidR="009E1ED0" w:rsidRPr="00BA1D53">
        <w:rPr>
          <w:rFonts w:cs="Arial"/>
        </w:rPr>
        <w:t>, and enabling</w:t>
      </w:r>
      <w:r w:rsidR="00AC35EB" w:rsidRPr="00BA1D53">
        <w:rPr>
          <w:rFonts w:cs="Arial"/>
        </w:rPr>
        <w:t xml:space="preserve"> the firm to resume and expand.</w:t>
      </w:r>
    </w:p>
    <w:p w14:paraId="3947EAB6" w14:textId="182DE7D9" w:rsidR="00A27B1F" w:rsidRPr="00BA1D53" w:rsidRDefault="0056720A" w:rsidP="00B93E0B">
      <w:pPr>
        <w:pStyle w:val="NormalWeb"/>
        <w:spacing w:line="360" w:lineRule="auto"/>
        <w:jc w:val="both"/>
        <w:rPr>
          <w:rFonts w:cs="Arial"/>
        </w:rPr>
      </w:pPr>
      <w:r w:rsidRPr="00BA1D53">
        <w:rPr>
          <w:rFonts w:cs="Arial"/>
          <w:b/>
          <w:bCs/>
        </w:rPr>
        <w:t>Favourable</w:t>
      </w:r>
      <w:r w:rsidR="00DF091F" w:rsidRPr="00BA1D53">
        <w:rPr>
          <w:rFonts w:cs="Arial"/>
          <w:b/>
          <w:bCs/>
        </w:rPr>
        <w:t xml:space="preserve"> Impact on Debt Structure and Operational Flexibility:</w:t>
      </w:r>
      <w:r w:rsidR="00DF091F" w:rsidRPr="00BA1D53">
        <w:rPr>
          <w:rFonts w:cs="Arial"/>
        </w:rPr>
        <w:t xml:space="preserve"> </w:t>
      </w:r>
      <w:r w:rsidR="00AC35EB" w:rsidRPr="00BA1D53">
        <w:rPr>
          <w:rFonts w:cs="Arial"/>
        </w:rPr>
        <w:t>Capital infusion would positively affect the debt-to-equity ratio, reducing the reliance on external debt (Mavlutova et al., 2021). That can result in a more sustainable capital structure. The firm would also operate at a lower level of difficulty because it would no longer be over-dependent on outside lenders. However, this discount is offset by the reality that such a discount will dilute the interests of the current shareholders, which will negatively affect their control.</w:t>
      </w:r>
    </w:p>
    <w:p w14:paraId="170407E2" w14:textId="77777777" w:rsidR="00A27B1F" w:rsidRPr="00BA1D53" w:rsidRDefault="00A27B1F" w:rsidP="00B93E0B">
      <w:pPr>
        <w:pStyle w:val="Heading2"/>
        <w:rPr>
          <w:rFonts w:cs="Arial"/>
          <w:color w:val="auto"/>
        </w:rPr>
      </w:pPr>
      <w:bookmarkStart w:id="41" w:name="_Toc214712761"/>
      <w:r w:rsidRPr="00BA1D53">
        <w:rPr>
          <w:rStyle w:val="Strong"/>
          <w:rFonts w:cs="Arial"/>
          <w:b/>
          <w:bCs w:val="0"/>
          <w:color w:val="auto"/>
        </w:rPr>
        <w:t>International and Ethical Considerations</w:t>
      </w:r>
      <w:bookmarkEnd w:id="41"/>
    </w:p>
    <w:p w14:paraId="7A868C5A" w14:textId="158B6FEC" w:rsidR="00DF091F" w:rsidRPr="00BA1D53" w:rsidRDefault="00CF5B00" w:rsidP="00272F68">
      <w:pPr>
        <w:pStyle w:val="NormalWeb"/>
        <w:spacing w:line="360" w:lineRule="auto"/>
        <w:jc w:val="both"/>
        <w:rPr>
          <w:rFonts w:cs="Arial"/>
        </w:rPr>
      </w:pPr>
      <w:r w:rsidRPr="00BA1D53">
        <w:rPr>
          <w:rFonts w:cs="Arial"/>
        </w:rPr>
        <w:t xml:space="preserve">As General Electronics is a business corporation whose operations are global, the restructuring plan should </w:t>
      </w:r>
      <w:r w:rsidR="009E1ED0" w:rsidRPr="00BA1D53">
        <w:rPr>
          <w:rFonts w:cs="Arial"/>
        </w:rPr>
        <w:t>take into account</w:t>
      </w:r>
      <w:r w:rsidRPr="00BA1D53">
        <w:rPr>
          <w:rFonts w:cs="Arial"/>
        </w:rPr>
        <w:t xml:space="preserve"> different international variables.</w:t>
      </w:r>
    </w:p>
    <w:p w14:paraId="16C34D70" w14:textId="0AD77C7E" w:rsidR="00DF091F" w:rsidRPr="00BA1D53" w:rsidRDefault="00DF091F" w:rsidP="00272F68">
      <w:pPr>
        <w:pStyle w:val="NormalWeb"/>
        <w:spacing w:line="360" w:lineRule="auto"/>
        <w:jc w:val="both"/>
        <w:rPr>
          <w:rFonts w:cs="Arial"/>
        </w:rPr>
      </w:pPr>
      <w:r w:rsidRPr="00BA1D53">
        <w:rPr>
          <w:rFonts w:cs="Arial"/>
          <w:b/>
          <w:bCs/>
        </w:rPr>
        <w:t>Taxation:</w:t>
      </w:r>
      <w:r w:rsidRPr="00BA1D53">
        <w:rPr>
          <w:rFonts w:cs="Arial"/>
        </w:rPr>
        <w:t xml:space="preserve"> The company would </w:t>
      </w:r>
      <w:r w:rsidR="0056720A" w:rsidRPr="00BA1D53">
        <w:rPr>
          <w:rFonts w:cs="Arial"/>
        </w:rPr>
        <w:t>consider the tax implications</w:t>
      </w:r>
      <w:r w:rsidRPr="00BA1D53">
        <w:rPr>
          <w:rFonts w:cs="Arial"/>
        </w:rPr>
        <w:t xml:space="preserve"> of any reorganisation initiatives. Using the sales of non-core assets as an example, they may be taxable as capital gains taxes, depending on the jurisdiction (Vashisht et al., 2024). Likewise, when the conditions of the arrangement are not well-designed, a merger may </w:t>
      </w:r>
      <w:r w:rsidR="0056720A" w:rsidRPr="00BA1D53">
        <w:rPr>
          <w:rFonts w:cs="Arial"/>
        </w:rPr>
        <w:t>lead to taxation issues</w:t>
      </w:r>
      <w:r w:rsidRPr="00BA1D53">
        <w:rPr>
          <w:rFonts w:cs="Arial"/>
        </w:rPr>
        <w:t xml:space="preserve">. General electronics must aim to </w:t>
      </w:r>
      <w:r w:rsidR="0056720A" w:rsidRPr="00BA1D53">
        <w:rPr>
          <w:rFonts w:cs="Arial"/>
        </w:rPr>
        <w:t xml:space="preserve">structure their transactions to minimise the tax on them, potentially through tax credits, deferred taxable investments, or by considering cross-border tax strategies </w:t>
      </w:r>
      <w:r w:rsidRPr="00BA1D53">
        <w:rPr>
          <w:rFonts w:cs="Arial"/>
        </w:rPr>
        <w:t>where appropriate. The company must also follow tax regulations in all the countries it operates to avoid fines and maintain its image.</w:t>
      </w:r>
    </w:p>
    <w:p w14:paraId="5D7E7529" w14:textId="6BAD1B1D" w:rsidR="00DF091F" w:rsidRPr="00BA1D53" w:rsidRDefault="00DF091F" w:rsidP="00272F68">
      <w:pPr>
        <w:pStyle w:val="NormalWeb"/>
        <w:spacing w:line="360" w:lineRule="auto"/>
        <w:jc w:val="both"/>
        <w:rPr>
          <w:rFonts w:cs="Arial"/>
        </w:rPr>
      </w:pPr>
      <w:r w:rsidRPr="00BA1D53">
        <w:rPr>
          <w:rFonts w:cs="Arial"/>
          <w:b/>
          <w:bCs/>
        </w:rPr>
        <w:lastRenderedPageBreak/>
        <w:t>Currency Risk:</w:t>
      </w:r>
      <w:r w:rsidRPr="00BA1D53">
        <w:rPr>
          <w:rFonts w:cs="Arial"/>
        </w:rPr>
        <w:t xml:space="preserve"> General Electronics conducts its business across numerous countries</w:t>
      </w:r>
      <w:r w:rsidR="0056720A" w:rsidRPr="00BA1D53">
        <w:rPr>
          <w:rFonts w:cs="Arial"/>
        </w:rPr>
        <w:t>, which exposes</w:t>
      </w:r>
      <w:r w:rsidRPr="00BA1D53">
        <w:rPr>
          <w:rFonts w:cs="Arial"/>
        </w:rPr>
        <w:t xml:space="preserve"> the company to currency risk. The profitability of its foreign operations can also be affected by </w:t>
      </w:r>
      <w:r w:rsidR="0056720A" w:rsidRPr="00BA1D53">
        <w:rPr>
          <w:rFonts w:cs="Arial"/>
        </w:rPr>
        <w:t>foreign currency fluctuations, mainly when a business realises</w:t>
      </w:r>
      <w:r w:rsidRPr="00BA1D53">
        <w:rPr>
          <w:rFonts w:cs="Arial"/>
        </w:rPr>
        <w:t xml:space="preserve"> high proceeds or makes expenditures in other currencies (Shekhar, 2025). Another way </w:t>
      </w:r>
      <w:r w:rsidR="0056720A" w:rsidRPr="00BA1D53">
        <w:rPr>
          <w:rFonts w:cs="Arial"/>
        </w:rPr>
        <w:t>the firm can cope with currency risk during the restructuring process is by hedging or reorganising to concentrate business operations in markets where currency is stable</w:t>
      </w:r>
      <w:r w:rsidRPr="00BA1D53">
        <w:rPr>
          <w:rFonts w:cs="Arial"/>
        </w:rPr>
        <w:t>. Any divestiture or merger must also take into consideration the exchange rate risk and its potential impacts on the value of assets and liabilities that are in foreign currencies.</w:t>
      </w:r>
    </w:p>
    <w:p w14:paraId="57619DEE" w14:textId="31BA16B5" w:rsidR="00DF091F" w:rsidRPr="00BA1D53" w:rsidRDefault="00DF091F" w:rsidP="00272F68">
      <w:pPr>
        <w:pStyle w:val="NormalWeb"/>
        <w:spacing w:line="360" w:lineRule="auto"/>
        <w:jc w:val="both"/>
        <w:rPr>
          <w:rFonts w:cs="Arial"/>
        </w:rPr>
      </w:pPr>
      <w:r w:rsidRPr="00BA1D53">
        <w:rPr>
          <w:rFonts w:cs="Arial"/>
          <w:b/>
          <w:bCs/>
        </w:rPr>
        <w:t>Inflation:</w:t>
      </w:r>
      <w:r w:rsidRPr="00BA1D53">
        <w:rPr>
          <w:rFonts w:cs="Arial"/>
        </w:rPr>
        <w:t xml:space="preserve"> A high inflation rate, </w:t>
      </w:r>
      <w:r w:rsidR="0056720A" w:rsidRPr="00BA1D53">
        <w:rPr>
          <w:rFonts w:cs="Arial"/>
        </w:rPr>
        <w:t>especially in emerging economies where General Electronics might be involved in manufacturing or marketing products, could reduce</w:t>
      </w:r>
      <w:r w:rsidRPr="00BA1D53">
        <w:rPr>
          <w:rFonts w:cs="Arial"/>
        </w:rPr>
        <w:t xml:space="preserve"> its profitability and increase costs (Ha et al., 2022). The purchasing power of this company can be influenced by inflation, as some costs (e.g., labour and raw materials) may become more expensive. Inflationary trends should inform the financial assumptions and </w:t>
      </w:r>
      <w:r w:rsidR="0056720A" w:rsidRPr="00BA1D53">
        <w:rPr>
          <w:rFonts w:cs="Arial"/>
        </w:rPr>
        <w:t>restructuring</w:t>
      </w:r>
      <w:r w:rsidRPr="00BA1D53">
        <w:rPr>
          <w:rFonts w:cs="Arial"/>
        </w:rPr>
        <w:t xml:space="preserve"> decisions of the company. An example of this is when inflation is expected to increase in a specific market, the firm can retire in that market or negotiate with its suppliers to maintain a constant price at the current level.</w:t>
      </w:r>
    </w:p>
    <w:p w14:paraId="59952374" w14:textId="4F578ECD" w:rsidR="000174BE" w:rsidRPr="00BA1D53" w:rsidRDefault="00DF091F" w:rsidP="00E87136">
      <w:pPr>
        <w:pStyle w:val="NormalWeb"/>
        <w:spacing w:line="360" w:lineRule="auto"/>
        <w:jc w:val="both"/>
        <w:rPr>
          <w:rStyle w:val="Strong"/>
          <w:rFonts w:cs="Arial"/>
          <w:b w:val="0"/>
          <w:bCs w:val="0"/>
        </w:rPr>
      </w:pPr>
      <w:r w:rsidRPr="00BA1D53">
        <w:rPr>
          <w:rFonts w:cs="Arial"/>
          <w:b/>
          <w:bCs/>
        </w:rPr>
        <w:t>Corporate Social Responsibility (CSR):</w:t>
      </w:r>
      <w:r w:rsidRPr="00BA1D53">
        <w:rPr>
          <w:rFonts w:cs="Arial"/>
        </w:rPr>
        <w:t xml:space="preserve"> As </w:t>
      </w:r>
      <w:r w:rsidR="0056720A" w:rsidRPr="00BA1D53">
        <w:rPr>
          <w:rFonts w:cs="Arial"/>
        </w:rPr>
        <w:t>advocates of sustainability and ethical business practices in an increasingly dire global environment, General Electronics must ensure that the essence of CSR is reflected</w:t>
      </w:r>
      <w:r w:rsidRPr="00BA1D53">
        <w:rPr>
          <w:rFonts w:cs="Arial"/>
        </w:rPr>
        <w:t xml:space="preserve"> in its restructuring plan. The company might attempt to sell a non-core resource, or merge with another business, or infuse equity into the industry. In both cases, however, environmental, social and governance (ESG) should be considered when relocating. General Electronics will evaluate potential partners or investors </w:t>
      </w:r>
      <w:r w:rsidR="0056720A" w:rsidRPr="00BA1D53">
        <w:rPr>
          <w:rFonts w:cs="Arial"/>
        </w:rPr>
        <w:t>based on their CSR credentials to ensure the corporation upholds its integrity in sustainability, fair labour practices, and ethical business conduct</w:t>
      </w:r>
      <w:r w:rsidRPr="00BA1D53">
        <w:rPr>
          <w:rFonts w:cs="Arial"/>
        </w:rPr>
        <w:t>.</w:t>
      </w:r>
    </w:p>
    <w:p w14:paraId="4BD81E44" w14:textId="3D0DFA22" w:rsidR="00A27B1F" w:rsidRPr="00BA1D53" w:rsidRDefault="000174BE" w:rsidP="00272F68">
      <w:pPr>
        <w:pStyle w:val="Heading1"/>
        <w:rPr>
          <w:rStyle w:val="Strong"/>
          <w:rFonts w:cs="Arial"/>
          <w:color w:val="auto"/>
        </w:rPr>
      </w:pPr>
      <w:bookmarkStart w:id="42" w:name="_Toc214712762"/>
      <w:r w:rsidRPr="00BA1D53">
        <w:rPr>
          <w:rFonts w:cs="Arial"/>
          <w:color w:val="auto"/>
        </w:rPr>
        <w:t>Investment Appraisal and Capital Budgeting</w:t>
      </w:r>
      <w:bookmarkEnd w:id="42"/>
      <w:r w:rsidRPr="00BA1D53">
        <w:rPr>
          <w:rFonts w:cs="Arial"/>
          <w:color w:val="auto"/>
        </w:rPr>
        <w:t xml:space="preserve"> </w:t>
      </w:r>
    </w:p>
    <w:p w14:paraId="39A75BC8" w14:textId="77777777" w:rsidR="00C52562" w:rsidRDefault="0056720A" w:rsidP="00272F68">
      <w:pPr>
        <w:pStyle w:val="NormalWeb"/>
        <w:spacing w:line="360" w:lineRule="auto"/>
        <w:jc w:val="both"/>
        <w:rPr>
          <w:rFonts w:cs="Arial"/>
        </w:rPr>
      </w:pPr>
      <w:r w:rsidRPr="00BA1D53">
        <w:rPr>
          <w:rFonts w:cs="Arial"/>
        </w:rPr>
        <w:t xml:space="preserve">General Electronics has three investment projects to invest in.  They should choose one with a capital rate-capping figure of </w:t>
      </w:r>
      <w:r w:rsidR="00124D0E" w:rsidRPr="00BA1D53">
        <w:rPr>
          <w:rFonts w:cs="Arial"/>
        </w:rPr>
        <w:t>£</w:t>
      </w:r>
      <w:r w:rsidRPr="00BA1D53">
        <w:rPr>
          <w:rFonts w:cs="Arial"/>
        </w:rPr>
        <w:t xml:space="preserve">60 million 7. Comparison of these projects based on the significant financial instruments, Payback Period (PBP), Average rate of return (ARR), </w:t>
      </w:r>
      <w:r w:rsidRPr="00BA1D53">
        <w:rPr>
          <w:rFonts w:cs="Arial"/>
        </w:rPr>
        <w:lastRenderedPageBreak/>
        <w:t xml:space="preserve">Net present value (NPV), Profitability index (PI), and Internal rate of return (IRR), note that seemingly, there are differences in riskiness, returns and financial viability of the projects. </w:t>
      </w:r>
    </w:p>
    <w:p w14:paraId="0C5897D9" w14:textId="3DC60D77" w:rsidR="00C52562" w:rsidRDefault="00C52562" w:rsidP="00C52562">
      <w:pPr>
        <w:pStyle w:val="NormalWeb"/>
        <w:spacing w:line="360" w:lineRule="auto"/>
        <w:jc w:val="center"/>
        <w:rPr>
          <w:rFonts w:cs="Arial"/>
        </w:rPr>
      </w:pPr>
      <w:r w:rsidRPr="00BA1D53">
        <w:rPr>
          <w:rFonts w:cs="Arial"/>
          <w:noProof/>
        </w:rPr>
        <w:drawing>
          <wp:inline distT="0" distB="0" distL="0" distR="0" wp14:anchorId="71FF5975" wp14:editId="6C17C56D">
            <wp:extent cx="3406140" cy="2047459"/>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12945" cy="2051549"/>
                    </a:xfrm>
                    <a:prstGeom prst="rect">
                      <a:avLst/>
                    </a:prstGeom>
                    <a:noFill/>
                  </pic:spPr>
                </pic:pic>
              </a:graphicData>
            </a:graphic>
          </wp:inline>
        </w:drawing>
      </w:r>
    </w:p>
    <w:p w14:paraId="6AC6D5A2" w14:textId="0B26228F" w:rsidR="00552A83" w:rsidRDefault="00552A83" w:rsidP="00552A83">
      <w:pPr>
        <w:rPr>
          <w:rFonts w:eastAsia="Times New Roman" w:cs="Arial"/>
          <w:szCs w:val="24"/>
          <w:lang w:val="en-US"/>
        </w:rPr>
      </w:pPr>
      <w:r w:rsidRPr="00A874D3">
        <w:rPr>
          <w:rFonts w:eastAsia="Times New Roman" w:cs="Arial"/>
          <w:szCs w:val="24"/>
          <w:lang w:val="en-US"/>
        </w:rPr>
        <w:t xml:space="preserve">The bar chart </w:t>
      </w:r>
      <w:r>
        <w:rPr>
          <w:rFonts w:eastAsia="Times New Roman" w:cs="Arial"/>
          <w:szCs w:val="24"/>
          <w:lang w:val="en-US"/>
        </w:rPr>
        <w:t>shows the Net Present Value (NPV) of Project A, Project B, and Project C. Project A has a slightly positive NPV, indicating a slightly profitable investment</w:t>
      </w:r>
      <w:r w:rsidRPr="00A874D3">
        <w:rPr>
          <w:rFonts w:eastAsia="Times New Roman" w:cs="Arial"/>
          <w:szCs w:val="24"/>
          <w:lang w:val="en-US"/>
        </w:rPr>
        <w:t>. Project B</w:t>
      </w:r>
      <w:r>
        <w:rPr>
          <w:rFonts w:eastAsia="Times New Roman" w:cs="Arial"/>
          <w:szCs w:val="24"/>
          <w:lang w:val="en-US"/>
        </w:rPr>
        <w:t xml:space="preserve"> has a significant negative NPV, which implies a loss and an avoidance</w:t>
      </w:r>
      <w:r w:rsidRPr="00A874D3">
        <w:rPr>
          <w:rFonts w:eastAsia="Times New Roman" w:cs="Arial"/>
          <w:szCs w:val="24"/>
          <w:lang w:val="en-US"/>
        </w:rPr>
        <w:t>.</w:t>
      </w:r>
      <w:r>
        <w:rPr>
          <w:rFonts w:eastAsia="Times New Roman" w:cs="Arial"/>
          <w:szCs w:val="24"/>
          <w:lang w:val="en-US"/>
        </w:rPr>
        <w:t xml:space="preserve"> Lastly,</w:t>
      </w:r>
      <w:r w:rsidRPr="00A874D3">
        <w:rPr>
          <w:rFonts w:eastAsia="Times New Roman" w:cs="Arial"/>
          <w:szCs w:val="24"/>
          <w:lang w:val="en-US"/>
        </w:rPr>
        <w:t xml:space="preserve"> Project C has a </w:t>
      </w:r>
      <w:r>
        <w:rPr>
          <w:rFonts w:eastAsia="Times New Roman" w:cs="Arial"/>
          <w:szCs w:val="24"/>
          <w:lang w:val="en-US"/>
        </w:rPr>
        <w:t>significant</w:t>
      </w:r>
      <w:r w:rsidRPr="00A874D3">
        <w:rPr>
          <w:rFonts w:eastAsia="Times New Roman" w:cs="Arial"/>
          <w:szCs w:val="24"/>
          <w:lang w:val="en-US"/>
        </w:rPr>
        <w:t xml:space="preserve"> positive NPV</w:t>
      </w:r>
      <w:r>
        <w:rPr>
          <w:rFonts w:eastAsia="Times New Roman" w:cs="Arial"/>
          <w:szCs w:val="24"/>
          <w:lang w:val="en-US"/>
        </w:rPr>
        <w:t>,</w:t>
      </w:r>
      <w:r w:rsidRPr="00A874D3">
        <w:rPr>
          <w:rFonts w:eastAsia="Times New Roman" w:cs="Arial"/>
          <w:szCs w:val="24"/>
          <w:lang w:val="en-US"/>
        </w:rPr>
        <w:t xml:space="preserve"> </w:t>
      </w:r>
      <w:r>
        <w:rPr>
          <w:rFonts w:eastAsia="Times New Roman" w:cs="Arial"/>
          <w:szCs w:val="24"/>
          <w:lang w:val="en-US"/>
        </w:rPr>
        <w:t>indicating</w:t>
      </w:r>
      <w:r w:rsidRPr="00A874D3">
        <w:rPr>
          <w:rFonts w:eastAsia="Times New Roman" w:cs="Arial"/>
          <w:szCs w:val="24"/>
          <w:lang w:val="en-US"/>
        </w:rPr>
        <w:t xml:space="preserve"> that the investment is the most lucrative. Based on the NPVs, </w:t>
      </w:r>
      <w:r>
        <w:rPr>
          <w:rFonts w:eastAsia="Times New Roman" w:cs="Arial"/>
          <w:szCs w:val="24"/>
          <w:lang w:val="en-US"/>
        </w:rPr>
        <w:t>Project C, because of its financial attractiveness, should be given priority</w:t>
      </w:r>
      <w:r w:rsidRPr="00A874D3">
        <w:rPr>
          <w:rFonts w:eastAsia="Times New Roman" w:cs="Arial"/>
          <w:szCs w:val="24"/>
          <w:lang w:val="en-US"/>
        </w:rPr>
        <w:t>.</w:t>
      </w:r>
    </w:p>
    <w:p w14:paraId="4A9A90FE" w14:textId="355491E9" w:rsidR="00941E9D" w:rsidRPr="00BA1D53" w:rsidRDefault="00F871F5" w:rsidP="00272F68">
      <w:pPr>
        <w:pStyle w:val="NormalWeb"/>
        <w:spacing w:line="360" w:lineRule="auto"/>
        <w:jc w:val="both"/>
        <w:rPr>
          <w:rStyle w:val="Strong"/>
          <w:rFonts w:cs="Arial"/>
          <w:b w:val="0"/>
          <w:bCs w:val="0"/>
        </w:rPr>
      </w:pPr>
      <w:r w:rsidRPr="00BA1D53">
        <w:rPr>
          <w:rFonts w:cs="Arial"/>
        </w:rPr>
        <w:t xml:space="preserve">In this section, the </w:t>
      </w:r>
      <w:r w:rsidR="002C5DCC" w:rsidRPr="00BA1D53">
        <w:rPr>
          <w:rFonts w:cs="Arial"/>
        </w:rPr>
        <w:t>economic</w:t>
      </w:r>
      <w:r w:rsidRPr="00BA1D53">
        <w:rPr>
          <w:rFonts w:cs="Arial"/>
        </w:rPr>
        <w:t xml:space="preserve"> performance of both projects will be assessed</w:t>
      </w:r>
      <w:r w:rsidR="002C5DCC" w:rsidRPr="00BA1D53">
        <w:rPr>
          <w:rFonts w:cs="Arial"/>
        </w:rPr>
        <w:t xml:space="preserve">, and a recommendation will be made based on the overall financial position of the company and the </w:t>
      </w:r>
      <w:r w:rsidRPr="00BA1D53">
        <w:rPr>
          <w:rFonts w:cs="Arial"/>
        </w:rPr>
        <w:t>capital rationing constraint</w:t>
      </w:r>
      <w:r w:rsidR="00916703">
        <w:rPr>
          <w:rFonts w:cs="Arial"/>
        </w:rPr>
        <w:t>.</w:t>
      </w:r>
    </w:p>
    <w:p w14:paraId="339679D4" w14:textId="102035AA" w:rsidR="00916703" w:rsidRDefault="0080514E" w:rsidP="00916703">
      <w:pPr>
        <w:pStyle w:val="Caption"/>
        <w:keepNext/>
      </w:pPr>
      <w:r>
        <w:t xml:space="preserve">Table </w:t>
      </w:r>
      <w:r>
        <w:fldChar w:fldCharType="begin"/>
      </w:r>
      <w:r>
        <w:instrText xml:space="preserve"> SEQ Table \* ARABIC </w:instrText>
      </w:r>
      <w:r>
        <w:fldChar w:fldCharType="separate"/>
      </w:r>
      <w:r w:rsidR="006716D4">
        <w:rPr>
          <w:noProof/>
        </w:rPr>
        <w:t>5</w:t>
      </w:r>
      <w:r>
        <w:fldChar w:fldCharType="end"/>
      </w:r>
      <w:r>
        <w:t xml:space="preserve"> Project Analysis</w:t>
      </w:r>
      <w:bookmarkStart w:id="43" w:name="_Toc213267793"/>
    </w:p>
    <w:tbl>
      <w:tblPr>
        <w:tblStyle w:val="PlainTable2"/>
        <w:tblW w:w="0" w:type="auto"/>
        <w:jc w:val="center"/>
        <w:tblLook w:val="04A0" w:firstRow="1" w:lastRow="0" w:firstColumn="1" w:lastColumn="0" w:noHBand="0" w:noVBand="1"/>
      </w:tblPr>
      <w:tblGrid>
        <w:gridCol w:w="1270"/>
        <w:gridCol w:w="2298"/>
        <w:gridCol w:w="1030"/>
        <w:gridCol w:w="1030"/>
        <w:gridCol w:w="1070"/>
        <w:gridCol w:w="1283"/>
      </w:tblGrid>
      <w:tr w:rsidR="00916703" w:rsidRPr="00916703" w14:paraId="52CA43D2" w14:textId="77777777" w:rsidTr="00F642B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13BF7CF" w14:textId="77777777" w:rsidR="00916703" w:rsidRPr="00916703" w:rsidRDefault="00916703" w:rsidP="00916703">
            <w:pPr>
              <w:rPr>
                <w:lang w:val="en-US"/>
              </w:rPr>
            </w:pPr>
            <w:r w:rsidRPr="00916703">
              <w:rPr>
                <w:lang w:val="en-US"/>
              </w:rPr>
              <w:t>Project</w:t>
            </w:r>
          </w:p>
        </w:tc>
        <w:tc>
          <w:tcPr>
            <w:tcW w:w="0" w:type="auto"/>
            <w:hideMark/>
          </w:tcPr>
          <w:p w14:paraId="449E7327" w14:textId="77777777" w:rsidR="00916703" w:rsidRPr="00916703" w:rsidRDefault="00916703" w:rsidP="00916703">
            <w:pPr>
              <w:cnfStyle w:val="100000000000" w:firstRow="1" w:lastRow="0" w:firstColumn="0" w:lastColumn="0" w:oddVBand="0" w:evenVBand="0" w:oddHBand="0" w:evenHBand="0" w:firstRowFirstColumn="0" w:firstRowLastColumn="0" w:lastRowFirstColumn="0" w:lastRowLastColumn="0"/>
              <w:rPr>
                <w:lang w:val="en-US"/>
              </w:rPr>
            </w:pPr>
            <w:r w:rsidRPr="00916703">
              <w:rPr>
                <w:lang w:val="en-US"/>
              </w:rPr>
              <w:t>PBP</w:t>
            </w:r>
          </w:p>
        </w:tc>
        <w:tc>
          <w:tcPr>
            <w:tcW w:w="0" w:type="auto"/>
            <w:hideMark/>
          </w:tcPr>
          <w:p w14:paraId="0DB4666E" w14:textId="77777777" w:rsidR="00916703" w:rsidRPr="00916703" w:rsidRDefault="00916703" w:rsidP="00916703">
            <w:pPr>
              <w:cnfStyle w:val="100000000000" w:firstRow="1" w:lastRow="0" w:firstColumn="0" w:lastColumn="0" w:oddVBand="0" w:evenVBand="0" w:oddHBand="0" w:evenHBand="0" w:firstRowFirstColumn="0" w:firstRowLastColumn="0" w:lastRowFirstColumn="0" w:lastRowLastColumn="0"/>
              <w:rPr>
                <w:lang w:val="en-US"/>
              </w:rPr>
            </w:pPr>
            <w:r w:rsidRPr="00916703">
              <w:rPr>
                <w:lang w:val="en-US"/>
              </w:rPr>
              <w:t>ARR</w:t>
            </w:r>
          </w:p>
        </w:tc>
        <w:tc>
          <w:tcPr>
            <w:tcW w:w="0" w:type="auto"/>
            <w:hideMark/>
          </w:tcPr>
          <w:p w14:paraId="5CCA3378" w14:textId="77777777" w:rsidR="00916703" w:rsidRPr="00916703" w:rsidRDefault="00916703" w:rsidP="00916703">
            <w:pPr>
              <w:cnfStyle w:val="100000000000" w:firstRow="1" w:lastRow="0" w:firstColumn="0" w:lastColumn="0" w:oddVBand="0" w:evenVBand="0" w:oddHBand="0" w:evenHBand="0" w:firstRowFirstColumn="0" w:firstRowLastColumn="0" w:lastRowFirstColumn="0" w:lastRowLastColumn="0"/>
              <w:rPr>
                <w:lang w:val="en-US"/>
              </w:rPr>
            </w:pPr>
            <w:r w:rsidRPr="00916703">
              <w:rPr>
                <w:lang w:val="en-US"/>
              </w:rPr>
              <w:t>PI (%)</w:t>
            </w:r>
          </w:p>
        </w:tc>
        <w:tc>
          <w:tcPr>
            <w:tcW w:w="0" w:type="auto"/>
            <w:hideMark/>
          </w:tcPr>
          <w:p w14:paraId="5425748F" w14:textId="77777777" w:rsidR="00916703" w:rsidRPr="00916703" w:rsidRDefault="00916703" w:rsidP="00916703">
            <w:pPr>
              <w:cnfStyle w:val="100000000000" w:firstRow="1" w:lastRow="0" w:firstColumn="0" w:lastColumn="0" w:oddVBand="0" w:evenVBand="0" w:oddHBand="0" w:evenHBand="0" w:firstRowFirstColumn="0" w:firstRowLastColumn="0" w:lastRowFirstColumn="0" w:lastRowLastColumn="0"/>
              <w:rPr>
                <w:lang w:val="en-US"/>
              </w:rPr>
            </w:pPr>
            <w:r w:rsidRPr="00916703">
              <w:rPr>
                <w:lang w:val="en-US"/>
              </w:rPr>
              <w:t>IRR (%)</w:t>
            </w:r>
          </w:p>
        </w:tc>
        <w:tc>
          <w:tcPr>
            <w:tcW w:w="0" w:type="auto"/>
            <w:hideMark/>
          </w:tcPr>
          <w:p w14:paraId="3BF5765B" w14:textId="77777777" w:rsidR="00916703" w:rsidRPr="00916703" w:rsidRDefault="00916703" w:rsidP="00916703">
            <w:pPr>
              <w:cnfStyle w:val="100000000000" w:firstRow="1" w:lastRow="0" w:firstColumn="0" w:lastColumn="0" w:oddVBand="0" w:evenVBand="0" w:oddHBand="0" w:evenHBand="0" w:firstRowFirstColumn="0" w:firstRowLastColumn="0" w:lastRowFirstColumn="0" w:lastRowLastColumn="0"/>
              <w:rPr>
                <w:lang w:val="en-US"/>
              </w:rPr>
            </w:pPr>
            <w:r w:rsidRPr="00916703">
              <w:rPr>
                <w:lang w:val="en-US"/>
              </w:rPr>
              <w:t>NPV (£m)</w:t>
            </w:r>
          </w:p>
        </w:tc>
      </w:tr>
      <w:tr w:rsidR="00916703" w:rsidRPr="00916703" w14:paraId="10BA8FF6" w14:textId="77777777" w:rsidTr="00F642B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498A30F" w14:textId="77777777" w:rsidR="00916703" w:rsidRPr="00916703" w:rsidRDefault="00916703" w:rsidP="00916703">
            <w:pPr>
              <w:rPr>
                <w:lang w:val="en-US"/>
              </w:rPr>
            </w:pPr>
            <w:r w:rsidRPr="00916703">
              <w:rPr>
                <w:lang w:val="en-US"/>
              </w:rPr>
              <w:t>Project A</w:t>
            </w:r>
          </w:p>
        </w:tc>
        <w:tc>
          <w:tcPr>
            <w:tcW w:w="0" w:type="auto"/>
            <w:hideMark/>
          </w:tcPr>
          <w:p w14:paraId="5EB45322" w14:textId="77777777" w:rsidR="00916703" w:rsidRPr="00916703" w:rsidRDefault="00916703" w:rsidP="00916703">
            <w:pPr>
              <w:cnfStyle w:val="000000100000" w:firstRow="0" w:lastRow="0" w:firstColumn="0" w:lastColumn="0" w:oddVBand="0" w:evenVBand="0" w:oddHBand="1" w:evenHBand="0" w:firstRowFirstColumn="0" w:firstRowLastColumn="0" w:lastRowFirstColumn="0" w:lastRowLastColumn="0"/>
              <w:rPr>
                <w:lang w:val="en-US"/>
              </w:rPr>
            </w:pPr>
            <w:r w:rsidRPr="00916703">
              <w:rPr>
                <w:lang w:val="en-US"/>
              </w:rPr>
              <w:t>3 Years 4.8 Months</w:t>
            </w:r>
          </w:p>
        </w:tc>
        <w:tc>
          <w:tcPr>
            <w:tcW w:w="0" w:type="auto"/>
            <w:hideMark/>
          </w:tcPr>
          <w:p w14:paraId="46E633A4" w14:textId="77777777" w:rsidR="00916703" w:rsidRPr="00916703" w:rsidRDefault="00916703" w:rsidP="00916703">
            <w:pPr>
              <w:cnfStyle w:val="000000100000" w:firstRow="0" w:lastRow="0" w:firstColumn="0" w:lastColumn="0" w:oddVBand="0" w:evenVBand="0" w:oddHBand="1" w:evenHBand="0" w:firstRowFirstColumn="0" w:firstRowLastColumn="0" w:lastRowFirstColumn="0" w:lastRowLastColumn="0"/>
              <w:rPr>
                <w:lang w:val="en-US"/>
              </w:rPr>
            </w:pPr>
            <w:r w:rsidRPr="00916703">
              <w:rPr>
                <w:lang w:val="en-US"/>
              </w:rPr>
              <w:t>7.00%</w:t>
            </w:r>
          </w:p>
        </w:tc>
        <w:tc>
          <w:tcPr>
            <w:tcW w:w="0" w:type="auto"/>
            <w:hideMark/>
          </w:tcPr>
          <w:p w14:paraId="0857F0D3" w14:textId="77777777" w:rsidR="00916703" w:rsidRPr="00916703" w:rsidRDefault="00916703" w:rsidP="00916703">
            <w:pPr>
              <w:cnfStyle w:val="000000100000" w:firstRow="0" w:lastRow="0" w:firstColumn="0" w:lastColumn="0" w:oddVBand="0" w:evenVBand="0" w:oddHBand="1" w:evenHBand="0" w:firstRowFirstColumn="0" w:firstRowLastColumn="0" w:lastRowFirstColumn="0" w:lastRowLastColumn="0"/>
              <w:rPr>
                <w:lang w:val="en-US"/>
              </w:rPr>
            </w:pPr>
            <w:r w:rsidRPr="00916703">
              <w:rPr>
                <w:lang w:val="en-US"/>
              </w:rPr>
              <w:t>35.00%</w:t>
            </w:r>
          </w:p>
        </w:tc>
        <w:tc>
          <w:tcPr>
            <w:tcW w:w="0" w:type="auto"/>
            <w:hideMark/>
          </w:tcPr>
          <w:p w14:paraId="30BE84C0" w14:textId="77777777" w:rsidR="00916703" w:rsidRPr="00916703" w:rsidRDefault="00916703" w:rsidP="00916703">
            <w:pPr>
              <w:cnfStyle w:val="000000100000" w:firstRow="0" w:lastRow="0" w:firstColumn="0" w:lastColumn="0" w:oddVBand="0" w:evenVBand="0" w:oddHBand="1" w:evenHBand="0" w:firstRowFirstColumn="0" w:firstRowLastColumn="0" w:lastRowFirstColumn="0" w:lastRowLastColumn="0"/>
              <w:rPr>
                <w:lang w:val="en-US"/>
              </w:rPr>
            </w:pPr>
            <w:r w:rsidRPr="00916703">
              <w:rPr>
                <w:lang w:val="en-US"/>
              </w:rPr>
              <w:t>11.33%</w:t>
            </w:r>
          </w:p>
        </w:tc>
        <w:tc>
          <w:tcPr>
            <w:tcW w:w="0" w:type="auto"/>
            <w:hideMark/>
          </w:tcPr>
          <w:p w14:paraId="17F79923" w14:textId="77777777" w:rsidR="00916703" w:rsidRPr="00916703" w:rsidRDefault="00916703" w:rsidP="00916703">
            <w:pPr>
              <w:cnfStyle w:val="000000100000" w:firstRow="0" w:lastRow="0" w:firstColumn="0" w:lastColumn="0" w:oddVBand="0" w:evenVBand="0" w:oddHBand="1" w:evenHBand="0" w:firstRowFirstColumn="0" w:firstRowLastColumn="0" w:lastRowFirstColumn="0" w:lastRowLastColumn="0"/>
              <w:rPr>
                <w:lang w:val="en-US"/>
              </w:rPr>
            </w:pPr>
            <w:r w:rsidRPr="00916703">
              <w:rPr>
                <w:lang w:val="en-US"/>
              </w:rPr>
              <w:t>1.324</w:t>
            </w:r>
          </w:p>
        </w:tc>
      </w:tr>
      <w:tr w:rsidR="00916703" w:rsidRPr="00916703" w14:paraId="08A24B4E" w14:textId="77777777" w:rsidTr="00F642BD">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0318557" w14:textId="77777777" w:rsidR="00916703" w:rsidRPr="00916703" w:rsidRDefault="00916703" w:rsidP="00916703">
            <w:pPr>
              <w:rPr>
                <w:lang w:val="en-US"/>
              </w:rPr>
            </w:pPr>
            <w:r w:rsidRPr="00916703">
              <w:rPr>
                <w:lang w:val="en-US"/>
              </w:rPr>
              <w:t>Project B</w:t>
            </w:r>
          </w:p>
        </w:tc>
        <w:tc>
          <w:tcPr>
            <w:tcW w:w="0" w:type="auto"/>
            <w:hideMark/>
          </w:tcPr>
          <w:p w14:paraId="66D5448D" w14:textId="77777777" w:rsidR="00916703" w:rsidRPr="00916703" w:rsidRDefault="00916703" w:rsidP="00916703">
            <w:pPr>
              <w:cnfStyle w:val="000000000000" w:firstRow="0" w:lastRow="0" w:firstColumn="0" w:lastColumn="0" w:oddVBand="0" w:evenVBand="0" w:oddHBand="0" w:evenHBand="0" w:firstRowFirstColumn="0" w:firstRowLastColumn="0" w:lastRowFirstColumn="0" w:lastRowLastColumn="0"/>
              <w:rPr>
                <w:lang w:val="en-US"/>
              </w:rPr>
            </w:pPr>
            <w:r w:rsidRPr="00916703">
              <w:rPr>
                <w:lang w:val="en-US"/>
              </w:rPr>
              <w:t>5 Years</w:t>
            </w:r>
          </w:p>
        </w:tc>
        <w:tc>
          <w:tcPr>
            <w:tcW w:w="0" w:type="auto"/>
            <w:hideMark/>
          </w:tcPr>
          <w:p w14:paraId="1EB3CF48" w14:textId="77777777" w:rsidR="00916703" w:rsidRPr="00916703" w:rsidRDefault="00916703" w:rsidP="00916703">
            <w:pPr>
              <w:cnfStyle w:val="000000000000" w:firstRow="0" w:lastRow="0" w:firstColumn="0" w:lastColumn="0" w:oddVBand="0" w:evenVBand="0" w:oddHBand="0" w:evenHBand="0" w:firstRowFirstColumn="0" w:firstRowLastColumn="0" w:lastRowFirstColumn="0" w:lastRowLastColumn="0"/>
              <w:rPr>
                <w:lang w:val="en-US"/>
              </w:rPr>
            </w:pPr>
            <w:r w:rsidRPr="00916703">
              <w:rPr>
                <w:lang w:val="en-US"/>
              </w:rPr>
              <w:t>0.00%</w:t>
            </w:r>
          </w:p>
        </w:tc>
        <w:tc>
          <w:tcPr>
            <w:tcW w:w="0" w:type="auto"/>
            <w:hideMark/>
          </w:tcPr>
          <w:p w14:paraId="7323D2DF" w14:textId="77777777" w:rsidR="00916703" w:rsidRPr="00916703" w:rsidRDefault="00916703" w:rsidP="00916703">
            <w:pPr>
              <w:cnfStyle w:val="000000000000" w:firstRow="0" w:lastRow="0" w:firstColumn="0" w:lastColumn="0" w:oddVBand="0" w:evenVBand="0" w:oddHBand="0" w:evenHBand="0" w:firstRowFirstColumn="0" w:firstRowLastColumn="0" w:lastRowFirstColumn="0" w:lastRowLastColumn="0"/>
              <w:rPr>
                <w:lang w:val="en-US"/>
              </w:rPr>
            </w:pPr>
            <w:r w:rsidRPr="00916703">
              <w:rPr>
                <w:lang w:val="en-US"/>
              </w:rPr>
              <w:t>0.0%</w:t>
            </w:r>
          </w:p>
        </w:tc>
        <w:tc>
          <w:tcPr>
            <w:tcW w:w="0" w:type="auto"/>
            <w:hideMark/>
          </w:tcPr>
          <w:p w14:paraId="405DAD6C" w14:textId="77777777" w:rsidR="00916703" w:rsidRPr="00916703" w:rsidRDefault="00916703" w:rsidP="00916703">
            <w:pPr>
              <w:cnfStyle w:val="000000000000" w:firstRow="0" w:lastRow="0" w:firstColumn="0" w:lastColumn="0" w:oddVBand="0" w:evenVBand="0" w:oddHBand="0" w:evenHBand="0" w:firstRowFirstColumn="0" w:firstRowLastColumn="0" w:lastRowFirstColumn="0" w:lastRowLastColumn="0"/>
              <w:rPr>
                <w:lang w:val="en-US"/>
              </w:rPr>
            </w:pPr>
            <w:r w:rsidRPr="00916703">
              <w:rPr>
                <w:lang w:val="en-US"/>
              </w:rPr>
              <w:t>0.00%</w:t>
            </w:r>
          </w:p>
        </w:tc>
        <w:tc>
          <w:tcPr>
            <w:tcW w:w="0" w:type="auto"/>
            <w:hideMark/>
          </w:tcPr>
          <w:p w14:paraId="64D2DE2D" w14:textId="77777777" w:rsidR="00916703" w:rsidRPr="00916703" w:rsidRDefault="00916703" w:rsidP="00916703">
            <w:pPr>
              <w:cnfStyle w:val="000000000000" w:firstRow="0" w:lastRow="0" w:firstColumn="0" w:lastColumn="0" w:oddVBand="0" w:evenVBand="0" w:oddHBand="0" w:evenHBand="0" w:firstRowFirstColumn="0" w:firstRowLastColumn="0" w:lastRowFirstColumn="0" w:lastRowLastColumn="0"/>
              <w:rPr>
                <w:lang w:val="en-US"/>
              </w:rPr>
            </w:pPr>
            <w:r w:rsidRPr="00916703">
              <w:rPr>
                <w:lang w:val="en-US"/>
              </w:rPr>
              <w:t>-7.255</w:t>
            </w:r>
          </w:p>
        </w:tc>
      </w:tr>
      <w:tr w:rsidR="00916703" w:rsidRPr="00916703" w14:paraId="38274CE3" w14:textId="77777777" w:rsidTr="00F642B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52F927A" w14:textId="77777777" w:rsidR="00916703" w:rsidRPr="00916703" w:rsidRDefault="00916703" w:rsidP="00916703">
            <w:pPr>
              <w:rPr>
                <w:lang w:val="en-US"/>
              </w:rPr>
            </w:pPr>
            <w:r w:rsidRPr="00916703">
              <w:rPr>
                <w:lang w:val="en-US"/>
              </w:rPr>
              <w:t>Project C</w:t>
            </w:r>
          </w:p>
        </w:tc>
        <w:tc>
          <w:tcPr>
            <w:tcW w:w="0" w:type="auto"/>
            <w:hideMark/>
          </w:tcPr>
          <w:p w14:paraId="1D13336E" w14:textId="77777777" w:rsidR="00916703" w:rsidRPr="00916703" w:rsidRDefault="00916703" w:rsidP="00916703">
            <w:pPr>
              <w:cnfStyle w:val="000000100000" w:firstRow="0" w:lastRow="0" w:firstColumn="0" w:lastColumn="0" w:oddVBand="0" w:evenVBand="0" w:oddHBand="1" w:evenHBand="0" w:firstRowFirstColumn="0" w:firstRowLastColumn="0" w:lastRowFirstColumn="0" w:lastRowLastColumn="0"/>
              <w:rPr>
                <w:lang w:val="en-US"/>
              </w:rPr>
            </w:pPr>
            <w:r w:rsidRPr="00916703">
              <w:rPr>
                <w:lang w:val="en-US"/>
              </w:rPr>
              <w:t>3 Years 7.2 Months</w:t>
            </w:r>
          </w:p>
        </w:tc>
        <w:tc>
          <w:tcPr>
            <w:tcW w:w="0" w:type="auto"/>
            <w:hideMark/>
          </w:tcPr>
          <w:p w14:paraId="04A8C607" w14:textId="77777777" w:rsidR="00916703" w:rsidRPr="00916703" w:rsidRDefault="00916703" w:rsidP="00916703">
            <w:pPr>
              <w:cnfStyle w:val="000000100000" w:firstRow="0" w:lastRow="0" w:firstColumn="0" w:lastColumn="0" w:oddVBand="0" w:evenVBand="0" w:oddHBand="1" w:evenHBand="0" w:firstRowFirstColumn="0" w:firstRowLastColumn="0" w:lastRowFirstColumn="0" w:lastRowLastColumn="0"/>
              <w:rPr>
                <w:lang w:val="en-US"/>
              </w:rPr>
            </w:pPr>
            <w:r w:rsidRPr="00916703">
              <w:rPr>
                <w:lang w:val="en-US"/>
              </w:rPr>
              <w:t>10.00%</w:t>
            </w:r>
          </w:p>
        </w:tc>
        <w:tc>
          <w:tcPr>
            <w:tcW w:w="0" w:type="auto"/>
            <w:hideMark/>
          </w:tcPr>
          <w:p w14:paraId="59C19D75" w14:textId="77777777" w:rsidR="00916703" w:rsidRPr="00916703" w:rsidRDefault="00916703" w:rsidP="00916703">
            <w:pPr>
              <w:cnfStyle w:val="000000100000" w:firstRow="0" w:lastRow="0" w:firstColumn="0" w:lastColumn="0" w:oddVBand="0" w:evenVBand="0" w:oddHBand="1" w:evenHBand="0" w:firstRowFirstColumn="0" w:firstRowLastColumn="0" w:lastRowFirstColumn="0" w:lastRowLastColumn="0"/>
              <w:rPr>
                <w:lang w:val="en-US"/>
              </w:rPr>
            </w:pPr>
            <w:r w:rsidRPr="00916703">
              <w:rPr>
                <w:lang w:val="en-US"/>
              </w:rPr>
              <w:t>50.00%</w:t>
            </w:r>
          </w:p>
        </w:tc>
        <w:tc>
          <w:tcPr>
            <w:tcW w:w="0" w:type="auto"/>
            <w:hideMark/>
          </w:tcPr>
          <w:p w14:paraId="73C28411" w14:textId="77777777" w:rsidR="00916703" w:rsidRPr="00916703" w:rsidRDefault="00916703" w:rsidP="00916703">
            <w:pPr>
              <w:cnfStyle w:val="000000100000" w:firstRow="0" w:lastRow="0" w:firstColumn="0" w:lastColumn="0" w:oddVBand="0" w:evenVBand="0" w:oddHBand="1" w:evenHBand="0" w:firstRowFirstColumn="0" w:firstRowLastColumn="0" w:lastRowFirstColumn="0" w:lastRowLastColumn="0"/>
              <w:rPr>
                <w:lang w:val="en-US"/>
              </w:rPr>
            </w:pPr>
            <w:r w:rsidRPr="00916703">
              <w:rPr>
                <w:lang w:val="en-US"/>
              </w:rPr>
              <w:t>12.72%</w:t>
            </w:r>
          </w:p>
        </w:tc>
        <w:tc>
          <w:tcPr>
            <w:tcW w:w="0" w:type="auto"/>
            <w:hideMark/>
          </w:tcPr>
          <w:p w14:paraId="085175F7" w14:textId="77777777" w:rsidR="00916703" w:rsidRPr="00916703" w:rsidRDefault="00916703" w:rsidP="00916703">
            <w:pPr>
              <w:cnfStyle w:val="000000100000" w:firstRow="0" w:lastRow="0" w:firstColumn="0" w:lastColumn="0" w:oddVBand="0" w:evenVBand="0" w:oddHBand="1" w:evenHBand="0" w:firstRowFirstColumn="0" w:firstRowLastColumn="0" w:lastRowFirstColumn="0" w:lastRowLastColumn="0"/>
              <w:rPr>
                <w:lang w:val="en-US"/>
              </w:rPr>
            </w:pPr>
            <w:r w:rsidRPr="00916703">
              <w:rPr>
                <w:lang w:val="en-US"/>
              </w:rPr>
              <w:t>4.225</w:t>
            </w:r>
          </w:p>
        </w:tc>
      </w:tr>
    </w:tbl>
    <w:p w14:paraId="16DC52C7" w14:textId="77777777" w:rsidR="00916703" w:rsidRPr="00916703" w:rsidRDefault="00916703" w:rsidP="00916703"/>
    <w:p w14:paraId="38164F51" w14:textId="02500D87" w:rsidR="00941E9D" w:rsidRPr="00BA1D53" w:rsidRDefault="00941E9D" w:rsidP="00B93E0B">
      <w:pPr>
        <w:pStyle w:val="Heading2"/>
        <w:rPr>
          <w:rFonts w:cs="Arial"/>
          <w:color w:val="auto"/>
        </w:rPr>
      </w:pPr>
      <w:bookmarkStart w:id="44" w:name="_Toc214414608"/>
      <w:bookmarkStart w:id="45" w:name="_Toc214712763"/>
      <w:r w:rsidRPr="00BA1D53">
        <w:rPr>
          <w:rStyle w:val="Strong"/>
          <w:rFonts w:cs="Arial"/>
          <w:b/>
          <w:bCs w:val="0"/>
          <w:color w:val="auto"/>
        </w:rPr>
        <w:lastRenderedPageBreak/>
        <w:t>Project A</w:t>
      </w:r>
      <w:bookmarkEnd w:id="43"/>
      <w:bookmarkEnd w:id="44"/>
      <w:bookmarkEnd w:id="45"/>
    </w:p>
    <w:p w14:paraId="601C2FA5" w14:textId="77777777" w:rsidR="00245BFC" w:rsidRDefault="00F871F5" w:rsidP="00272F68">
      <w:pPr>
        <w:pStyle w:val="NormalWeb"/>
        <w:spacing w:line="360" w:lineRule="auto"/>
        <w:jc w:val="both"/>
        <w:rPr>
          <w:rFonts w:cs="Arial"/>
        </w:rPr>
      </w:pPr>
      <w:r w:rsidRPr="00BA1D53">
        <w:rPr>
          <w:rFonts w:cs="Arial"/>
        </w:rPr>
        <w:t xml:space="preserve"> The NPV of project A is </w:t>
      </w:r>
      <w:r w:rsidR="00124D0E" w:rsidRPr="00BA1D53">
        <w:rPr>
          <w:rFonts w:cs="Arial"/>
        </w:rPr>
        <w:t>£</w:t>
      </w:r>
      <w:r w:rsidRPr="00BA1D53">
        <w:rPr>
          <w:rFonts w:cs="Arial"/>
        </w:rPr>
        <w:t xml:space="preserve">1.324 million, which implies that the project will be able to produce </w:t>
      </w:r>
      <w:r w:rsidR="002C5DCC" w:rsidRPr="00BA1D53">
        <w:rPr>
          <w:rFonts w:cs="Arial"/>
        </w:rPr>
        <w:t xml:space="preserve">a </w:t>
      </w:r>
      <w:r w:rsidRPr="00BA1D53">
        <w:rPr>
          <w:rFonts w:cs="Arial"/>
        </w:rPr>
        <w:t>positive cash flow beyond the required yield.</w:t>
      </w:r>
    </w:p>
    <w:p w14:paraId="432BAD6B" w14:textId="317D51F7" w:rsidR="00F642BD" w:rsidRDefault="00F642BD" w:rsidP="00D72F0B">
      <w:pPr>
        <w:pStyle w:val="Caption"/>
        <w:keepNext/>
        <w:jc w:val="center"/>
      </w:pPr>
      <w:r>
        <w:t xml:space="preserve">Table </w:t>
      </w:r>
      <w:r>
        <w:fldChar w:fldCharType="begin"/>
      </w:r>
      <w:r>
        <w:instrText xml:space="preserve"> SEQ Table \* ARABIC </w:instrText>
      </w:r>
      <w:r>
        <w:fldChar w:fldCharType="separate"/>
      </w:r>
      <w:r w:rsidR="006716D4">
        <w:rPr>
          <w:noProof/>
        </w:rPr>
        <w:t>6</w:t>
      </w:r>
      <w:r>
        <w:fldChar w:fldCharType="end"/>
      </w:r>
      <w:r>
        <w:t xml:space="preserve"> Project A</w:t>
      </w:r>
    </w:p>
    <w:p w14:paraId="2FBE4F11" w14:textId="64614A74" w:rsidR="005D59DD" w:rsidRDefault="00467BC3" w:rsidP="00D72F0B">
      <w:pPr>
        <w:jc w:val="center"/>
      </w:pPr>
      <w:r w:rsidRPr="00467BC3">
        <w:rPr>
          <w:noProof/>
          <w:lang w:val="en-US"/>
        </w:rPr>
        <w:drawing>
          <wp:inline distT="0" distB="0" distL="0" distR="0" wp14:anchorId="05ABE9A5" wp14:editId="4AC7662E">
            <wp:extent cx="4671060" cy="19507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r="21411" b="15651"/>
                    <a:stretch/>
                  </pic:blipFill>
                  <pic:spPr bwMode="auto">
                    <a:xfrm>
                      <a:off x="0" y="0"/>
                      <a:ext cx="4671060" cy="1950720"/>
                    </a:xfrm>
                    <a:prstGeom prst="rect">
                      <a:avLst/>
                    </a:prstGeom>
                    <a:noFill/>
                    <a:ln>
                      <a:noFill/>
                    </a:ln>
                    <a:extLst>
                      <a:ext uri="{53640926-AAD7-44D8-BBD7-CCE9431645EC}">
                        <a14:shadowObscured xmlns:a14="http://schemas.microsoft.com/office/drawing/2010/main"/>
                      </a:ext>
                    </a:extLst>
                  </pic:spPr>
                </pic:pic>
              </a:graphicData>
            </a:graphic>
          </wp:inline>
        </w:drawing>
      </w:r>
    </w:p>
    <w:p w14:paraId="644E579B" w14:textId="14A9CCB8" w:rsidR="00245BFC" w:rsidRPr="00467BC3" w:rsidRDefault="00467BC3" w:rsidP="00D72F0B">
      <w:pPr>
        <w:jc w:val="center"/>
      </w:pPr>
      <w:r w:rsidRPr="00467BC3">
        <w:rPr>
          <w:noProof/>
          <w:lang w:val="en-US"/>
        </w:rPr>
        <w:drawing>
          <wp:inline distT="0" distB="0" distL="0" distR="0" wp14:anchorId="3B187258" wp14:editId="3CB02EC8">
            <wp:extent cx="3947160" cy="239649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r="46154" b="15306"/>
                    <a:stretch/>
                  </pic:blipFill>
                  <pic:spPr bwMode="auto">
                    <a:xfrm>
                      <a:off x="0" y="0"/>
                      <a:ext cx="3954083" cy="2400693"/>
                    </a:xfrm>
                    <a:prstGeom prst="rect">
                      <a:avLst/>
                    </a:prstGeom>
                    <a:noFill/>
                    <a:ln>
                      <a:noFill/>
                    </a:ln>
                    <a:extLst>
                      <a:ext uri="{53640926-AAD7-44D8-BBD7-CCE9431645EC}">
                        <a14:shadowObscured xmlns:a14="http://schemas.microsoft.com/office/drawing/2010/main"/>
                      </a:ext>
                    </a:extLst>
                  </pic:spPr>
                </pic:pic>
              </a:graphicData>
            </a:graphic>
          </wp:inline>
        </w:drawing>
      </w:r>
    </w:p>
    <w:p w14:paraId="770F9218" w14:textId="345CB9BD" w:rsidR="00941E9D" w:rsidRPr="00BA1D53" w:rsidRDefault="00F871F5" w:rsidP="00272F68">
      <w:pPr>
        <w:pStyle w:val="NormalWeb"/>
        <w:spacing w:line="360" w:lineRule="auto"/>
        <w:jc w:val="both"/>
        <w:rPr>
          <w:rFonts w:cs="Arial"/>
        </w:rPr>
      </w:pPr>
      <w:r w:rsidRPr="00BA1D53">
        <w:rPr>
          <w:rFonts w:cs="Arial"/>
        </w:rPr>
        <w:t xml:space="preserve">The 11.33% IRR is also higher than the normal cost of capital </w:t>
      </w:r>
      <w:r w:rsidR="002C5DCC" w:rsidRPr="00BA1D53">
        <w:rPr>
          <w:rFonts w:cs="Arial"/>
        </w:rPr>
        <w:t xml:space="preserve">for most businesses, making it </w:t>
      </w:r>
      <w:r w:rsidRPr="00BA1D53">
        <w:rPr>
          <w:rFonts w:cs="Arial"/>
        </w:rPr>
        <w:t xml:space="preserve">a good investment. The 3 years 4.8 months PBP implies that the initial investment would be recovered quite fast. Also, the ARR of 7.00% is not extraordinary, but reasonable. The PI of 35% also tests the </w:t>
      </w:r>
      <w:r w:rsidR="002C5DCC" w:rsidRPr="00BA1D53">
        <w:rPr>
          <w:rFonts w:cs="Arial"/>
        </w:rPr>
        <w:t>project's profitability, indicating that the present value of the returns is 35 times greater than the project's original price</w:t>
      </w:r>
      <w:r w:rsidRPr="00BA1D53">
        <w:rPr>
          <w:rFonts w:cs="Arial"/>
        </w:rPr>
        <w:t>.</w:t>
      </w:r>
      <w:r w:rsidR="00B93E0B" w:rsidRPr="00BA1D53">
        <w:rPr>
          <w:rFonts w:cs="Arial"/>
        </w:rPr>
        <w:t xml:space="preserve"> </w:t>
      </w:r>
      <w:r w:rsidRPr="00BA1D53">
        <w:rPr>
          <w:rFonts w:cs="Arial"/>
        </w:rPr>
        <w:t xml:space="preserve">Nevertheless, the PBP and ARR of the project </w:t>
      </w:r>
      <w:r w:rsidR="00536C6D" w:rsidRPr="00BA1D53">
        <w:rPr>
          <w:rFonts w:cs="Arial"/>
        </w:rPr>
        <w:t>are</w:t>
      </w:r>
      <w:r w:rsidRPr="00BA1D53">
        <w:rPr>
          <w:rFonts w:cs="Arial"/>
        </w:rPr>
        <w:t xml:space="preserve"> rather average in that the project itself is profitable, though it is not the </w:t>
      </w:r>
      <w:r w:rsidR="002C5DCC" w:rsidRPr="00BA1D53">
        <w:rPr>
          <w:rFonts w:cs="Arial"/>
        </w:rPr>
        <w:t>best-paying</w:t>
      </w:r>
      <w:r w:rsidRPr="00BA1D53">
        <w:rPr>
          <w:rFonts w:cs="Arial"/>
        </w:rPr>
        <w:t xml:space="preserve"> compared to others. The outflows and inflows </w:t>
      </w:r>
      <w:r w:rsidRPr="00BA1D53">
        <w:rPr>
          <w:rFonts w:cs="Arial"/>
        </w:rPr>
        <w:lastRenderedPageBreak/>
        <w:t>of cash are moderately steady, and the returns differ somewhat between years. This volatility may cause the company to face minor risk, particularly where it relies on short-term revenue cycles (Bag, 2022).</w:t>
      </w:r>
    </w:p>
    <w:p w14:paraId="0DEC9F45" w14:textId="77777777" w:rsidR="00941E9D" w:rsidRPr="00BA1D53" w:rsidRDefault="00941E9D" w:rsidP="00272F68">
      <w:pPr>
        <w:pStyle w:val="Heading2"/>
        <w:jc w:val="both"/>
        <w:rPr>
          <w:rFonts w:cs="Arial"/>
          <w:color w:val="auto"/>
        </w:rPr>
      </w:pPr>
      <w:bookmarkStart w:id="46" w:name="_Toc213267794"/>
      <w:bookmarkStart w:id="47" w:name="_Toc214414609"/>
      <w:bookmarkStart w:id="48" w:name="_Toc214712764"/>
      <w:r w:rsidRPr="00BA1D53">
        <w:rPr>
          <w:rStyle w:val="Strong"/>
          <w:rFonts w:cs="Arial"/>
          <w:b/>
          <w:bCs w:val="0"/>
          <w:color w:val="auto"/>
        </w:rPr>
        <w:t>Project B</w:t>
      </w:r>
      <w:bookmarkEnd w:id="46"/>
      <w:bookmarkEnd w:id="47"/>
      <w:bookmarkEnd w:id="48"/>
    </w:p>
    <w:p w14:paraId="1537CAF1" w14:textId="77777777" w:rsidR="00245BFC" w:rsidRDefault="009E1ED0" w:rsidP="00272F68">
      <w:pPr>
        <w:pStyle w:val="NormalWeb"/>
        <w:spacing w:line="360" w:lineRule="auto"/>
        <w:jc w:val="both"/>
        <w:rPr>
          <w:rFonts w:cs="Arial"/>
        </w:rPr>
      </w:pPr>
      <w:r w:rsidRPr="00BA1D53">
        <w:rPr>
          <w:rFonts w:cs="Arial"/>
        </w:rPr>
        <w:t>Project B presents a clear financial risk for General Electronics. The NPV is negative at -£7.255 million, indicating that the project will destroy value rather than create it.</w:t>
      </w:r>
    </w:p>
    <w:p w14:paraId="27082CBE" w14:textId="653AD62E" w:rsidR="00F642BD" w:rsidRDefault="00F642BD" w:rsidP="00F642BD">
      <w:pPr>
        <w:pStyle w:val="Caption"/>
        <w:keepNext/>
      </w:pPr>
      <w:r>
        <w:t xml:space="preserve">Table </w:t>
      </w:r>
      <w:r>
        <w:fldChar w:fldCharType="begin"/>
      </w:r>
      <w:r>
        <w:instrText xml:space="preserve"> SEQ Table \* ARABIC </w:instrText>
      </w:r>
      <w:r>
        <w:fldChar w:fldCharType="separate"/>
      </w:r>
      <w:r w:rsidR="006716D4">
        <w:rPr>
          <w:noProof/>
        </w:rPr>
        <w:t>7</w:t>
      </w:r>
      <w:r>
        <w:fldChar w:fldCharType="end"/>
      </w:r>
      <w:r>
        <w:t xml:space="preserve"> Project B</w:t>
      </w:r>
    </w:p>
    <w:p w14:paraId="2A4D70CD" w14:textId="0519B6B4" w:rsidR="006716D4" w:rsidRPr="006716D4" w:rsidRDefault="00467BC3" w:rsidP="00D72F0B">
      <w:pPr>
        <w:jc w:val="center"/>
      </w:pPr>
      <w:r w:rsidRPr="00467BC3">
        <w:rPr>
          <w:noProof/>
          <w:lang w:val="en-US"/>
        </w:rPr>
        <w:drawing>
          <wp:inline distT="0" distB="0" distL="0" distR="0" wp14:anchorId="649BC58D" wp14:editId="08765414">
            <wp:extent cx="4244340" cy="1866900"/>
            <wp:effectExtent l="0" t="0" r="381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r="28590" b="15808"/>
                    <a:stretch/>
                  </pic:blipFill>
                  <pic:spPr bwMode="auto">
                    <a:xfrm>
                      <a:off x="0" y="0"/>
                      <a:ext cx="4244340" cy="1866900"/>
                    </a:xfrm>
                    <a:prstGeom prst="rect">
                      <a:avLst/>
                    </a:prstGeom>
                    <a:noFill/>
                    <a:ln>
                      <a:noFill/>
                    </a:ln>
                    <a:extLst>
                      <a:ext uri="{53640926-AAD7-44D8-BBD7-CCE9431645EC}">
                        <a14:shadowObscured xmlns:a14="http://schemas.microsoft.com/office/drawing/2010/main"/>
                      </a:ext>
                    </a:extLst>
                  </pic:spPr>
                </pic:pic>
              </a:graphicData>
            </a:graphic>
          </wp:inline>
        </w:drawing>
      </w:r>
    </w:p>
    <w:p w14:paraId="4C6E664E" w14:textId="3104BF5A" w:rsidR="00245BFC" w:rsidRDefault="00467BC3" w:rsidP="00D72F0B">
      <w:pPr>
        <w:pStyle w:val="NormalWeb"/>
        <w:spacing w:line="360" w:lineRule="auto"/>
        <w:jc w:val="center"/>
        <w:rPr>
          <w:rFonts w:cs="Arial"/>
        </w:rPr>
      </w:pPr>
      <w:r w:rsidRPr="00467BC3">
        <w:rPr>
          <w:noProof/>
        </w:rPr>
        <w:drawing>
          <wp:inline distT="0" distB="0" distL="0" distR="0" wp14:anchorId="22941FA4" wp14:editId="1B1F3790">
            <wp:extent cx="4213860" cy="217932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r="29102" b="13333"/>
                    <a:stretch/>
                  </pic:blipFill>
                  <pic:spPr bwMode="auto">
                    <a:xfrm>
                      <a:off x="0" y="0"/>
                      <a:ext cx="4213860" cy="2179320"/>
                    </a:xfrm>
                    <a:prstGeom prst="rect">
                      <a:avLst/>
                    </a:prstGeom>
                    <a:noFill/>
                    <a:ln>
                      <a:noFill/>
                    </a:ln>
                    <a:extLst>
                      <a:ext uri="{53640926-AAD7-44D8-BBD7-CCE9431645EC}">
                        <a14:shadowObscured xmlns:a14="http://schemas.microsoft.com/office/drawing/2010/main"/>
                      </a:ext>
                    </a:extLst>
                  </pic:spPr>
                </pic:pic>
              </a:graphicData>
            </a:graphic>
          </wp:inline>
        </w:drawing>
      </w:r>
    </w:p>
    <w:p w14:paraId="70C51CA0" w14:textId="77777777" w:rsidR="008A7ED4" w:rsidRDefault="008A7ED4" w:rsidP="00272F68">
      <w:pPr>
        <w:pStyle w:val="NormalWeb"/>
        <w:spacing w:line="360" w:lineRule="auto"/>
        <w:jc w:val="both"/>
        <w:rPr>
          <w:rFonts w:cs="Arial"/>
        </w:rPr>
      </w:pPr>
    </w:p>
    <w:p w14:paraId="2D62AD39" w14:textId="187144F0" w:rsidR="00941E9D" w:rsidRPr="00BA1D53" w:rsidRDefault="009E1ED0" w:rsidP="00272F68">
      <w:pPr>
        <w:pStyle w:val="NormalWeb"/>
        <w:spacing w:line="360" w:lineRule="auto"/>
        <w:jc w:val="both"/>
        <w:rPr>
          <w:rFonts w:cs="Arial"/>
        </w:rPr>
      </w:pPr>
      <w:r w:rsidRPr="00BA1D53">
        <w:rPr>
          <w:rFonts w:cs="Arial"/>
        </w:rPr>
        <w:t xml:space="preserve">The IRR of 0.00% suggests that the project fails to meet the required rate of return, and the ARR </w:t>
      </w:r>
      <w:r w:rsidR="00941E9D" w:rsidRPr="00BA1D53">
        <w:rPr>
          <w:rFonts w:cs="Arial"/>
        </w:rPr>
        <w:t xml:space="preserve">of 0.00% signifies that the project will not generate any return on the investment. </w:t>
      </w:r>
      <w:r w:rsidR="00BC0BC9" w:rsidRPr="00BA1D53">
        <w:rPr>
          <w:rFonts w:cs="Arial"/>
        </w:rPr>
        <w:t xml:space="preserve">The 5-year PBP is also worrying since it shows that the company will require a very long </w:t>
      </w:r>
      <w:r w:rsidR="00BC0BC9" w:rsidRPr="00BA1D53">
        <w:rPr>
          <w:rFonts w:cs="Arial"/>
        </w:rPr>
        <w:lastRenderedPageBreak/>
        <w:t xml:space="preserve">time to repay its initial investment. Further, the negative NPV shows that the project will most likely yield a loss. </w:t>
      </w:r>
      <w:r w:rsidR="00712053" w:rsidRPr="00BA1D53">
        <w:rPr>
          <w:rFonts w:cs="Arial"/>
        </w:rPr>
        <w:t>Since the NPV is negative, the ARR and PI are zero, which are not within the necessary parameters for viability. Additionally, the PBP exceeds a reasonable time period, so Project B cannot be considered viable</w:t>
      </w:r>
      <w:r w:rsidR="00BC0BC9" w:rsidRPr="00BA1D53">
        <w:rPr>
          <w:rFonts w:cs="Arial"/>
        </w:rPr>
        <w:t xml:space="preserve">. It is </w:t>
      </w:r>
      <w:r w:rsidR="00712053" w:rsidRPr="00BA1D53">
        <w:rPr>
          <w:rFonts w:cs="Arial"/>
        </w:rPr>
        <w:t>a hazardous</w:t>
      </w:r>
      <w:r w:rsidR="00BC0BC9" w:rsidRPr="00BA1D53">
        <w:rPr>
          <w:rFonts w:cs="Arial"/>
        </w:rPr>
        <w:t xml:space="preserve"> project and is not expected to bring long-term financial gain to General Electronics.</w:t>
      </w:r>
    </w:p>
    <w:p w14:paraId="172C393B" w14:textId="77777777" w:rsidR="00941E9D" w:rsidRPr="00BA1D53" w:rsidRDefault="00941E9D" w:rsidP="00272F68">
      <w:pPr>
        <w:pStyle w:val="Heading2"/>
        <w:jc w:val="both"/>
        <w:rPr>
          <w:rFonts w:cs="Arial"/>
          <w:color w:val="auto"/>
        </w:rPr>
      </w:pPr>
      <w:bookmarkStart w:id="49" w:name="_Toc213267795"/>
      <w:bookmarkStart w:id="50" w:name="_Toc214414610"/>
      <w:bookmarkStart w:id="51" w:name="_Toc214712765"/>
      <w:r w:rsidRPr="00BA1D53">
        <w:rPr>
          <w:rStyle w:val="Strong"/>
          <w:rFonts w:cs="Arial"/>
          <w:b/>
          <w:bCs w:val="0"/>
          <w:color w:val="auto"/>
        </w:rPr>
        <w:t>Project C</w:t>
      </w:r>
      <w:bookmarkEnd w:id="49"/>
      <w:bookmarkEnd w:id="50"/>
      <w:bookmarkEnd w:id="51"/>
    </w:p>
    <w:p w14:paraId="4FE34AAF" w14:textId="77777777" w:rsidR="00245BFC" w:rsidRDefault="00BC0BC9" w:rsidP="00272F68">
      <w:pPr>
        <w:rPr>
          <w:rStyle w:val="Strong"/>
          <w:rFonts w:cs="Arial"/>
          <w:b w:val="0"/>
          <w:bCs w:val="0"/>
        </w:rPr>
      </w:pPr>
      <w:r w:rsidRPr="00BA1D53">
        <w:rPr>
          <w:rStyle w:val="Strong"/>
          <w:rFonts w:cs="Arial"/>
          <w:b w:val="0"/>
          <w:bCs w:val="0"/>
        </w:rPr>
        <w:t xml:space="preserve">Project C is the most </w:t>
      </w:r>
      <w:r w:rsidR="00712053" w:rsidRPr="00BA1D53">
        <w:rPr>
          <w:rStyle w:val="Strong"/>
          <w:rFonts w:cs="Arial"/>
          <w:b w:val="0"/>
          <w:bCs w:val="0"/>
        </w:rPr>
        <w:t>attractive-looking</w:t>
      </w:r>
      <w:r w:rsidRPr="00BA1D53">
        <w:rPr>
          <w:rStyle w:val="Strong"/>
          <w:rFonts w:cs="Arial"/>
          <w:b w:val="0"/>
          <w:bCs w:val="0"/>
        </w:rPr>
        <w:t xml:space="preserve"> project in terms of its financial performance.</w:t>
      </w:r>
    </w:p>
    <w:p w14:paraId="4AE9721A" w14:textId="74D0195A" w:rsidR="00F642BD" w:rsidRDefault="00F642BD" w:rsidP="00F642BD">
      <w:pPr>
        <w:pStyle w:val="Caption"/>
        <w:keepNext/>
        <w:jc w:val="center"/>
      </w:pPr>
      <w:r>
        <w:t xml:space="preserve">Table </w:t>
      </w:r>
      <w:r>
        <w:fldChar w:fldCharType="begin"/>
      </w:r>
      <w:r>
        <w:instrText xml:space="preserve"> SEQ Table \* ARABIC </w:instrText>
      </w:r>
      <w:r>
        <w:fldChar w:fldCharType="separate"/>
      </w:r>
      <w:r w:rsidR="006716D4">
        <w:rPr>
          <w:noProof/>
        </w:rPr>
        <w:t>9</w:t>
      </w:r>
      <w:r>
        <w:fldChar w:fldCharType="end"/>
      </w:r>
      <w:r>
        <w:t xml:space="preserve"> Project C</w:t>
      </w:r>
    </w:p>
    <w:p w14:paraId="6E69829C" w14:textId="4EA36239" w:rsidR="000C0874" w:rsidRDefault="00467BC3" w:rsidP="00D72F0B">
      <w:pPr>
        <w:jc w:val="center"/>
      </w:pPr>
      <w:r w:rsidRPr="00467BC3">
        <w:rPr>
          <w:noProof/>
          <w:lang w:val="en-US"/>
        </w:rPr>
        <w:drawing>
          <wp:inline distT="0" distB="0" distL="0" distR="0" wp14:anchorId="0B238E04" wp14:editId="44C6532C">
            <wp:extent cx="4549140" cy="1905000"/>
            <wp:effectExtent l="0" t="0" r="381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r="23462" b="15730"/>
                    <a:stretch/>
                  </pic:blipFill>
                  <pic:spPr bwMode="auto">
                    <a:xfrm>
                      <a:off x="0" y="0"/>
                      <a:ext cx="4549140" cy="1905000"/>
                    </a:xfrm>
                    <a:prstGeom prst="rect">
                      <a:avLst/>
                    </a:prstGeom>
                    <a:noFill/>
                    <a:ln>
                      <a:noFill/>
                    </a:ln>
                    <a:extLst>
                      <a:ext uri="{53640926-AAD7-44D8-BBD7-CCE9431645EC}">
                        <a14:shadowObscured xmlns:a14="http://schemas.microsoft.com/office/drawing/2010/main"/>
                      </a:ext>
                    </a:extLst>
                  </pic:spPr>
                </pic:pic>
              </a:graphicData>
            </a:graphic>
          </wp:inline>
        </w:drawing>
      </w:r>
    </w:p>
    <w:p w14:paraId="15DBACF4" w14:textId="364E9F0E" w:rsidR="00467BC3" w:rsidRDefault="00467BC3" w:rsidP="00D72F0B">
      <w:pPr>
        <w:jc w:val="center"/>
      </w:pPr>
      <w:r w:rsidRPr="00467BC3">
        <w:rPr>
          <w:noProof/>
          <w:lang w:val="en-US"/>
        </w:rPr>
        <w:drawing>
          <wp:inline distT="0" distB="0" distL="0" distR="0" wp14:anchorId="7D32A3D5" wp14:editId="71010478">
            <wp:extent cx="4572000" cy="214122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r="23077" b="16700"/>
                    <a:stretch/>
                  </pic:blipFill>
                  <pic:spPr bwMode="auto">
                    <a:xfrm>
                      <a:off x="0" y="0"/>
                      <a:ext cx="4572000" cy="2141220"/>
                    </a:xfrm>
                    <a:prstGeom prst="rect">
                      <a:avLst/>
                    </a:prstGeom>
                    <a:noFill/>
                    <a:ln>
                      <a:noFill/>
                    </a:ln>
                    <a:extLst>
                      <a:ext uri="{53640926-AAD7-44D8-BBD7-CCE9431645EC}">
                        <a14:shadowObscured xmlns:a14="http://schemas.microsoft.com/office/drawing/2010/main"/>
                      </a:ext>
                    </a:extLst>
                  </pic:spPr>
                </pic:pic>
              </a:graphicData>
            </a:graphic>
          </wp:inline>
        </w:drawing>
      </w:r>
    </w:p>
    <w:p w14:paraId="59859FBB" w14:textId="5DB4FF61" w:rsidR="00941E9D" w:rsidRPr="00BA1D53" w:rsidRDefault="00BC0BC9" w:rsidP="00272F68">
      <w:pPr>
        <w:rPr>
          <w:rFonts w:cs="Arial"/>
        </w:rPr>
      </w:pPr>
      <w:r w:rsidRPr="00BA1D53">
        <w:rPr>
          <w:rStyle w:val="Strong"/>
          <w:rFonts w:cs="Arial"/>
          <w:b w:val="0"/>
          <w:bCs w:val="0"/>
        </w:rPr>
        <w:t xml:space="preserve">The project is viable with a positive NPV of £4.225 million, which is guaranteed to generate immense value that exceeds the expense. The IRR is 12.72 </w:t>
      </w:r>
      <w:r w:rsidR="00712053" w:rsidRPr="00BA1D53">
        <w:rPr>
          <w:rStyle w:val="Strong"/>
          <w:rFonts w:cs="Arial"/>
          <w:b w:val="0"/>
          <w:bCs w:val="0"/>
        </w:rPr>
        <w:t>per cent, which is above the necessary rate of return, indicating</w:t>
      </w:r>
      <w:r w:rsidRPr="00BA1D53">
        <w:rPr>
          <w:rStyle w:val="Strong"/>
          <w:rFonts w:cs="Arial"/>
          <w:b w:val="0"/>
          <w:bCs w:val="0"/>
        </w:rPr>
        <w:t xml:space="preserve"> high profitability. The ARR of 10.00 per cent is </w:t>
      </w:r>
      <w:r w:rsidR="00712053" w:rsidRPr="00BA1D53">
        <w:rPr>
          <w:rStyle w:val="Strong"/>
          <w:rFonts w:cs="Arial"/>
          <w:b w:val="0"/>
          <w:bCs w:val="0"/>
        </w:rPr>
        <w:t>among the best, indicating that the project will yield significant returns on</w:t>
      </w:r>
      <w:r w:rsidRPr="00BA1D53">
        <w:rPr>
          <w:rStyle w:val="Strong"/>
          <w:rFonts w:cs="Arial"/>
          <w:b w:val="0"/>
          <w:bCs w:val="0"/>
        </w:rPr>
        <w:t xml:space="preserve"> the invested amount. </w:t>
      </w:r>
      <w:r w:rsidR="00F871F5" w:rsidRPr="00BA1D53">
        <w:rPr>
          <w:rStyle w:val="Strong"/>
          <w:rFonts w:cs="Arial"/>
          <w:b w:val="0"/>
          <w:bCs w:val="0"/>
        </w:rPr>
        <w:t xml:space="preserve">The </w:t>
      </w:r>
      <w:r w:rsidR="002C5DCC" w:rsidRPr="00BA1D53">
        <w:rPr>
          <w:rStyle w:val="Strong"/>
          <w:rFonts w:cs="Arial"/>
          <w:b w:val="0"/>
          <w:bCs w:val="0"/>
        </w:rPr>
        <w:t xml:space="preserve">3-year 7.2-month PBP is competitive and suggests a reasonable time period </w:t>
      </w:r>
      <w:r w:rsidR="002C5DCC" w:rsidRPr="00BA1D53">
        <w:rPr>
          <w:rStyle w:val="Strong"/>
          <w:rFonts w:cs="Arial"/>
          <w:b w:val="0"/>
          <w:bCs w:val="0"/>
        </w:rPr>
        <w:lastRenderedPageBreak/>
        <w:t>for</w:t>
      </w:r>
      <w:r w:rsidR="00F871F5" w:rsidRPr="00BA1D53">
        <w:rPr>
          <w:rStyle w:val="Strong"/>
          <w:rFonts w:cs="Arial"/>
          <w:b w:val="0"/>
          <w:bCs w:val="0"/>
        </w:rPr>
        <w:t xml:space="preserve"> the recovery of the investment. The PI at 50 means that </w:t>
      </w:r>
      <w:r w:rsidR="002C5DCC" w:rsidRPr="00BA1D53">
        <w:rPr>
          <w:rStyle w:val="Strong"/>
          <w:rFonts w:cs="Arial"/>
          <w:b w:val="0"/>
          <w:bCs w:val="0"/>
        </w:rPr>
        <w:t>for every pound injected, the company would receive an additional 50 pence in present value terms,</w:t>
      </w:r>
      <w:r w:rsidR="00F871F5" w:rsidRPr="00BA1D53">
        <w:rPr>
          <w:rStyle w:val="Strong"/>
          <w:rFonts w:cs="Arial"/>
          <w:b w:val="0"/>
          <w:bCs w:val="0"/>
        </w:rPr>
        <w:t xml:space="preserve"> making this a very lucrative project.</w:t>
      </w:r>
      <w:r w:rsidR="00B93E0B" w:rsidRPr="00BA1D53">
        <w:rPr>
          <w:rStyle w:val="Strong"/>
          <w:rFonts w:cs="Arial"/>
          <w:b w:val="0"/>
          <w:bCs w:val="0"/>
        </w:rPr>
        <w:t xml:space="preserve"> </w:t>
      </w:r>
      <w:r w:rsidR="00F871F5" w:rsidRPr="00BA1D53">
        <w:rPr>
          <w:rStyle w:val="Strong"/>
          <w:rFonts w:cs="Arial"/>
          <w:b w:val="0"/>
          <w:bCs w:val="0"/>
        </w:rPr>
        <w:t xml:space="preserve">The annual cash flows indicate </w:t>
      </w:r>
      <w:r w:rsidR="002C5DCC" w:rsidRPr="00BA1D53">
        <w:rPr>
          <w:rStyle w:val="Strong"/>
          <w:rFonts w:cs="Arial"/>
          <w:b w:val="0"/>
          <w:bCs w:val="0"/>
        </w:rPr>
        <w:t>a high recovery, especially in subsequent years, and Project C has the potential to realise</w:t>
      </w:r>
      <w:r w:rsidR="00F871F5" w:rsidRPr="00BA1D53">
        <w:rPr>
          <w:rStyle w:val="Strong"/>
          <w:rFonts w:cs="Arial"/>
          <w:b w:val="0"/>
          <w:bCs w:val="0"/>
        </w:rPr>
        <w:t xml:space="preserve"> high returns in the long term. Project C has more desirable financial values and the best PI, NPV, and IRR despite having a higher </w:t>
      </w:r>
      <w:r w:rsidR="002C5DCC" w:rsidRPr="00BA1D53">
        <w:rPr>
          <w:rStyle w:val="Strong"/>
          <w:rFonts w:cs="Arial"/>
          <w:b w:val="0"/>
          <w:bCs w:val="0"/>
        </w:rPr>
        <w:t>investment amount</w:t>
      </w:r>
      <w:r w:rsidR="00F871F5" w:rsidRPr="00BA1D53">
        <w:rPr>
          <w:rStyle w:val="Strong"/>
          <w:rFonts w:cs="Arial"/>
          <w:b w:val="0"/>
          <w:bCs w:val="0"/>
        </w:rPr>
        <w:t xml:space="preserve">. It is also quite competitive in terms of payback period and is an ideal investment </w:t>
      </w:r>
      <w:r w:rsidR="002C5DCC" w:rsidRPr="00BA1D53">
        <w:rPr>
          <w:rStyle w:val="Strong"/>
          <w:rFonts w:cs="Arial"/>
          <w:b w:val="0"/>
          <w:bCs w:val="0"/>
        </w:rPr>
        <w:t>for</w:t>
      </w:r>
      <w:r w:rsidR="00F871F5" w:rsidRPr="00BA1D53">
        <w:rPr>
          <w:rStyle w:val="Strong"/>
          <w:rFonts w:cs="Arial"/>
          <w:b w:val="0"/>
          <w:bCs w:val="0"/>
        </w:rPr>
        <w:t xml:space="preserve"> General Electronics.</w:t>
      </w:r>
    </w:p>
    <w:p w14:paraId="764DB13B" w14:textId="77777777" w:rsidR="00941E9D" w:rsidRPr="00BA1D53" w:rsidRDefault="00941E9D" w:rsidP="00272F68">
      <w:pPr>
        <w:pStyle w:val="Heading2"/>
        <w:jc w:val="both"/>
        <w:rPr>
          <w:rFonts w:cs="Arial"/>
          <w:color w:val="auto"/>
        </w:rPr>
      </w:pPr>
      <w:bookmarkStart w:id="52" w:name="_Toc214712766"/>
      <w:r w:rsidRPr="00BA1D53">
        <w:rPr>
          <w:rStyle w:val="Strong"/>
          <w:rFonts w:cs="Arial"/>
          <w:b/>
          <w:bCs w:val="0"/>
          <w:color w:val="auto"/>
        </w:rPr>
        <w:t>Capital Rationing and Investment Decision</w:t>
      </w:r>
      <w:bookmarkEnd w:id="52"/>
    </w:p>
    <w:p w14:paraId="1CE33238" w14:textId="66E0D5EC" w:rsidR="00F871F5" w:rsidRDefault="00F871F5" w:rsidP="00272F68">
      <w:pPr>
        <w:rPr>
          <w:rFonts w:cs="Arial"/>
        </w:rPr>
      </w:pPr>
      <w:r w:rsidRPr="00BA1D53">
        <w:rPr>
          <w:rFonts w:cs="Arial"/>
        </w:rPr>
        <w:t>This rationing of investments is the process by which the company can select individual investment projects and prioritise them in a context where it has limited resources</w:t>
      </w:r>
      <w:r w:rsidR="002C5DCC" w:rsidRPr="00BA1D53">
        <w:rPr>
          <w:rFonts w:cs="Arial"/>
        </w:rPr>
        <w:t>, allowing it to</w:t>
      </w:r>
      <w:r w:rsidRPr="00BA1D53">
        <w:rPr>
          <w:rFonts w:cs="Arial"/>
        </w:rPr>
        <w:t xml:space="preserve"> invest the maximum possible capital (Khan, 2024)</w:t>
      </w:r>
      <w:r w:rsidR="002C5DCC" w:rsidRPr="00BA1D53">
        <w:rPr>
          <w:rFonts w:cs="Arial"/>
        </w:rPr>
        <w:t>. And in</w:t>
      </w:r>
      <w:r w:rsidRPr="00BA1D53">
        <w:rPr>
          <w:rFonts w:cs="Arial"/>
        </w:rPr>
        <w:t xml:space="preserve"> this case, </w:t>
      </w:r>
      <w:r w:rsidR="002C5DCC" w:rsidRPr="00BA1D53">
        <w:rPr>
          <w:rFonts w:cs="Arial"/>
        </w:rPr>
        <w:t>with a total of £60 million, there is</w:t>
      </w:r>
      <w:r w:rsidRPr="00BA1D53">
        <w:rPr>
          <w:rFonts w:cs="Arial"/>
        </w:rPr>
        <w:t xml:space="preserve"> a remaining amount of £10 million available. Since the company has limited resources to invest, capital rationing involves </w:t>
      </w:r>
      <w:r w:rsidR="002C5DCC" w:rsidRPr="00BA1D53">
        <w:rPr>
          <w:rFonts w:cs="Arial"/>
        </w:rPr>
        <w:t>selecting and prioritising local investment projects to ensure they choose only the most lucrative ones, given the amount of capital at their disposal.</w:t>
      </w:r>
      <w:r w:rsidRPr="00BA1D53">
        <w:rPr>
          <w:rFonts w:cs="Arial"/>
        </w:rPr>
        <w:t xml:space="preserve"> Other feasible alternatives would include project A, which would incur an investment of £40 million</w:t>
      </w:r>
      <w:r w:rsidR="002C5DCC" w:rsidRPr="00BA1D53">
        <w:rPr>
          <w:rFonts w:cs="Arial"/>
        </w:rPr>
        <w:t>. However,</w:t>
      </w:r>
      <w:r w:rsidRPr="00BA1D53">
        <w:rPr>
          <w:rFonts w:cs="Arial"/>
        </w:rPr>
        <w:t xml:space="preserve"> there would remain a balance of </w:t>
      </w:r>
      <w:r w:rsidR="00124D0E" w:rsidRPr="00BA1D53">
        <w:rPr>
          <w:rFonts w:cs="Arial"/>
        </w:rPr>
        <w:t>£</w:t>
      </w:r>
      <w:r w:rsidRPr="00BA1D53">
        <w:rPr>
          <w:rFonts w:cs="Arial"/>
        </w:rPr>
        <w:t xml:space="preserve">20 million. However, Project B cannot be used because it has </w:t>
      </w:r>
      <w:r w:rsidR="002C5DCC" w:rsidRPr="00BA1D53">
        <w:rPr>
          <w:rFonts w:cs="Arial"/>
        </w:rPr>
        <w:t>unfavourable</w:t>
      </w:r>
      <w:r w:rsidRPr="00BA1D53">
        <w:rPr>
          <w:rFonts w:cs="Arial"/>
        </w:rPr>
        <w:t xml:space="preserve"> financial indicators.</w:t>
      </w:r>
    </w:p>
    <w:p w14:paraId="5A7BBCFD" w14:textId="11D35105" w:rsidR="00C52562" w:rsidRPr="00BA1D53" w:rsidRDefault="00C52562" w:rsidP="00C52562">
      <w:pPr>
        <w:jc w:val="center"/>
        <w:rPr>
          <w:rFonts w:cs="Arial"/>
        </w:rPr>
      </w:pPr>
      <w:r w:rsidRPr="00BA1D53">
        <w:rPr>
          <w:rFonts w:eastAsia="Times New Roman" w:cs="Arial"/>
          <w:noProof/>
          <w:szCs w:val="24"/>
          <w:lang w:val="en-US"/>
        </w:rPr>
        <w:drawing>
          <wp:inline distT="0" distB="0" distL="0" distR="0" wp14:anchorId="72D7E10A" wp14:editId="5EE12DA0">
            <wp:extent cx="4584700" cy="2755900"/>
            <wp:effectExtent l="0" t="0" r="635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2E59DA5" w14:textId="77777777" w:rsidR="00552A83" w:rsidRPr="00BA1D53" w:rsidRDefault="00552A83" w:rsidP="00552A83">
      <w:pPr>
        <w:rPr>
          <w:rFonts w:eastAsia="Times New Roman" w:cs="Arial"/>
          <w:szCs w:val="24"/>
          <w:lang w:val="en-US"/>
        </w:rPr>
      </w:pPr>
      <w:r w:rsidRPr="00942BE8">
        <w:rPr>
          <w:rFonts w:eastAsia="Times New Roman" w:cs="Arial"/>
          <w:szCs w:val="24"/>
          <w:lang w:val="en-US"/>
        </w:rPr>
        <w:lastRenderedPageBreak/>
        <w:t xml:space="preserve">Projects A, B, and </w:t>
      </w:r>
      <w:r>
        <w:rPr>
          <w:rFonts w:eastAsia="Times New Roman" w:cs="Arial"/>
          <w:szCs w:val="24"/>
          <w:lang w:val="en-US"/>
        </w:rPr>
        <w:t>C's chart compares their Internal Rate of Return (IRR), Accounting Rate of Return (ARR), and Profitability</w:t>
      </w:r>
      <w:r w:rsidRPr="00942BE8">
        <w:rPr>
          <w:rFonts w:eastAsia="Times New Roman" w:cs="Arial"/>
          <w:szCs w:val="24"/>
          <w:lang w:val="en-US"/>
        </w:rPr>
        <w:t xml:space="preserve"> Index (PI)</w:t>
      </w:r>
      <w:r>
        <w:rPr>
          <w:rFonts w:eastAsia="Times New Roman" w:cs="Arial"/>
          <w:szCs w:val="24"/>
          <w:lang w:val="en-US"/>
        </w:rPr>
        <w:t>. Project A displays a low IRR and ARR, indicating that it is not highly profitable,</w:t>
      </w:r>
      <w:r w:rsidRPr="00942BE8">
        <w:rPr>
          <w:rFonts w:eastAsia="Times New Roman" w:cs="Arial"/>
          <w:szCs w:val="24"/>
          <w:lang w:val="en-US"/>
        </w:rPr>
        <w:t xml:space="preserve"> and the PI is also comparatively low. The IRR</w:t>
      </w:r>
      <w:r>
        <w:rPr>
          <w:rFonts w:eastAsia="Times New Roman" w:cs="Arial"/>
          <w:szCs w:val="24"/>
          <w:lang w:val="en-US"/>
        </w:rPr>
        <w:t xml:space="preserve">, ARR, and PI </w:t>
      </w:r>
      <w:r w:rsidRPr="00942BE8">
        <w:rPr>
          <w:rFonts w:eastAsia="Times New Roman" w:cs="Arial"/>
          <w:szCs w:val="24"/>
          <w:lang w:val="en-US"/>
        </w:rPr>
        <w:t xml:space="preserve">of Project B are </w:t>
      </w:r>
      <w:r>
        <w:rPr>
          <w:rFonts w:eastAsia="Times New Roman" w:cs="Arial"/>
          <w:szCs w:val="24"/>
          <w:lang w:val="en-US"/>
        </w:rPr>
        <w:t>zero; hence, this is not a profitable project</w:t>
      </w:r>
      <w:r w:rsidRPr="00942BE8">
        <w:rPr>
          <w:rFonts w:eastAsia="Times New Roman" w:cs="Arial"/>
          <w:szCs w:val="24"/>
          <w:lang w:val="en-US"/>
        </w:rPr>
        <w:t xml:space="preserve">. On the contrary, Project C shows </w:t>
      </w:r>
      <w:r>
        <w:rPr>
          <w:rFonts w:eastAsia="Times New Roman" w:cs="Arial"/>
          <w:szCs w:val="24"/>
          <w:lang w:val="en-US"/>
        </w:rPr>
        <w:t xml:space="preserve">a high IRR, ARR, and PI, indicating the highest likelihood of a </w:t>
      </w:r>
      <w:r w:rsidRPr="00942BE8">
        <w:rPr>
          <w:rFonts w:eastAsia="Times New Roman" w:cs="Arial"/>
          <w:szCs w:val="24"/>
          <w:lang w:val="en-US"/>
        </w:rPr>
        <w:t>high return on investment.</w:t>
      </w:r>
    </w:p>
    <w:p w14:paraId="3A997079" w14:textId="7FAA49FE" w:rsidR="00941E9D" w:rsidRPr="00BA1D53" w:rsidRDefault="00F871F5" w:rsidP="00272F68">
      <w:pPr>
        <w:pStyle w:val="NormalWeb"/>
        <w:spacing w:line="360" w:lineRule="auto"/>
        <w:jc w:val="both"/>
        <w:rPr>
          <w:rFonts w:cs="Arial"/>
        </w:rPr>
      </w:pPr>
      <w:r w:rsidRPr="00BA1D53">
        <w:rPr>
          <w:rFonts w:cs="Arial"/>
        </w:rPr>
        <w:t>Project C is the main investment decision</w:t>
      </w:r>
      <w:r w:rsidR="0056720A" w:rsidRPr="00BA1D53">
        <w:rPr>
          <w:rFonts w:cs="Arial"/>
        </w:rPr>
        <w:t xml:space="preserve">, chosen based on </w:t>
      </w:r>
      <w:r w:rsidR="002C5DCC" w:rsidRPr="00BA1D53">
        <w:rPr>
          <w:rFonts w:cs="Arial"/>
        </w:rPr>
        <w:t>capital constraint rationing and</w:t>
      </w:r>
      <w:r w:rsidRPr="00BA1D53">
        <w:rPr>
          <w:rFonts w:cs="Arial"/>
        </w:rPr>
        <w:t xml:space="preserve"> the examination of the financial performance of both projects. Project C is most valuable in terms of NPV, IRR, PI, and ARR, and also offers a competitive payback period of 3 years</w:t>
      </w:r>
      <w:r w:rsidR="002C5DCC" w:rsidRPr="00BA1D53">
        <w:rPr>
          <w:rFonts w:cs="Arial"/>
        </w:rPr>
        <w:t>,</w:t>
      </w:r>
      <w:r w:rsidRPr="00BA1D53">
        <w:rPr>
          <w:rFonts w:cs="Arial"/>
        </w:rPr>
        <w:t xml:space="preserve"> 7.2 months. It is the most lucrative in the long run, although it will require the entire </w:t>
      </w:r>
      <w:r w:rsidR="002C5DCC" w:rsidRPr="00BA1D53">
        <w:rPr>
          <w:rFonts w:cs="Arial"/>
        </w:rPr>
        <w:t>£50 million, aligning with the company's objective of achieving</w:t>
      </w:r>
      <w:r w:rsidRPr="00BA1D53">
        <w:rPr>
          <w:rFonts w:cs="Arial"/>
        </w:rPr>
        <w:t xml:space="preserve"> long-term profitability. Although Project A is profitable with good financial metrics, it is not </w:t>
      </w:r>
      <w:r w:rsidR="002C5DCC" w:rsidRPr="00BA1D53">
        <w:rPr>
          <w:rFonts w:cs="Arial"/>
        </w:rPr>
        <w:t xml:space="preserve">performing as well as Project C in terms of </w:t>
      </w:r>
      <w:r w:rsidRPr="00BA1D53">
        <w:rPr>
          <w:rFonts w:cs="Arial"/>
        </w:rPr>
        <w:t xml:space="preserve">returns. Provided an extra amount of capital, Project A might be viewed as an alternative, as it has a positive NPV, a good IRR, and an average PBP. </w:t>
      </w:r>
      <w:r w:rsidR="002C5DCC" w:rsidRPr="00BA1D53">
        <w:rPr>
          <w:rFonts w:cs="Arial"/>
        </w:rPr>
        <w:t xml:space="preserve">However, given the current capital rationing constraints, the company should focus on Project C </w:t>
      </w:r>
      <w:r w:rsidRPr="00BA1D53">
        <w:rPr>
          <w:rFonts w:cs="Arial"/>
        </w:rPr>
        <w:t>to maximise its financial returns</w:t>
      </w:r>
      <w:r w:rsidR="00941E9D" w:rsidRPr="00BA1D53">
        <w:rPr>
          <w:rFonts w:cs="Arial"/>
        </w:rPr>
        <w:t>.</w:t>
      </w:r>
    </w:p>
    <w:p w14:paraId="2B7CA49B" w14:textId="15ED93AE" w:rsidR="00941E9D" w:rsidRPr="00BA1D53" w:rsidRDefault="00941E9D" w:rsidP="00272F68">
      <w:pPr>
        <w:pStyle w:val="Heading2"/>
        <w:jc w:val="both"/>
        <w:rPr>
          <w:rFonts w:cs="Arial"/>
          <w:color w:val="auto"/>
        </w:rPr>
      </w:pPr>
      <w:bookmarkStart w:id="53" w:name="_Toc214712767"/>
      <w:r w:rsidRPr="00BA1D53">
        <w:rPr>
          <w:rStyle w:val="Strong"/>
          <w:rFonts w:cs="Arial"/>
          <w:b/>
          <w:bCs w:val="0"/>
          <w:color w:val="auto"/>
        </w:rPr>
        <w:t xml:space="preserve">Justification Based on </w:t>
      </w:r>
      <w:r w:rsidR="002C5DCC" w:rsidRPr="00BA1D53">
        <w:rPr>
          <w:rStyle w:val="Strong"/>
          <w:rFonts w:cs="Arial"/>
          <w:b/>
          <w:bCs w:val="0"/>
          <w:color w:val="auto"/>
        </w:rPr>
        <w:t xml:space="preserve">the </w:t>
      </w:r>
      <w:r w:rsidRPr="00BA1D53">
        <w:rPr>
          <w:rStyle w:val="Strong"/>
          <w:rFonts w:cs="Arial"/>
          <w:b/>
          <w:bCs w:val="0"/>
          <w:color w:val="auto"/>
        </w:rPr>
        <w:t>Company’s Financial Performance</w:t>
      </w:r>
      <w:bookmarkEnd w:id="53"/>
    </w:p>
    <w:p w14:paraId="52CDE2AB" w14:textId="67BF97DF" w:rsidR="00125788" w:rsidRPr="00125788" w:rsidRDefault="00125788" w:rsidP="00125788">
      <w:pPr>
        <w:spacing w:before="100" w:beforeAutospacing="1" w:after="100" w:afterAutospacing="1"/>
        <w:rPr>
          <w:rFonts w:eastAsia="Times New Roman" w:cs="Arial"/>
          <w:szCs w:val="24"/>
          <w:lang w:val="en-US"/>
        </w:rPr>
      </w:pPr>
      <w:r w:rsidRPr="00125788">
        <w:rPr>
          <w:rFonts w:eastAsia="Times New Roman" w:cs="Arial"/>
          <w:szCs w:val="24"/>
          <w:lang w:val="en-US"/>
        </w:rPr>
        <w:t xml:space="preserve">Project C is chosen based on the basis of improvement in the financial performance of General Electronics. The company itself is at present struggling with decreased profitability, increased losses, and liquidity problems. Project C is the most feasible to </w:t>
      </w:r>
      <w:r w:rsidR="00646463">
        <w:rPr>
          <w:rFonts w:eastAsia="Times New Roman" w:cs="Arial"/>
          <w:szCs w:val="24"/>
          <w:lang w:val="en-US"/>
        </w:rPr>
        <w:t>address</w:t>
      </w:r>
      <w:r w:rsidRPr="00125788">
        <w:rPr>
          <w:rFonts w:eastAsia="Times New Roman" w:cs="Arial"/>
          <w:szCs w:val="24"/>
          <w:lang w:val="en-US"/>
        </w:rPr>
        <w:t xml:space="preserve"> these problems as it </w:t>
      </w:r>
      <w:r>
        <w:rPr>
          <w:rFonts w:eastAsia="Times New Roman" w:cs="Arial"/>
          <w:szCs w:val="24"/>
          <w:lang w:val="en-US"/>
        </w:rPr>
        <w:t>offers</w:t>
      </w:r>
      <w:r w:rsidRPr="00125788">
        <w:rPr>
          <w:rFonts w:eastAsia="Times New Roman" w:cs="Arial"/>
          <w:szCs w:val="24"/>
          <w:lang w:val="en-US"/>
        </w:rPr>
        <w:t xml:space="preserve"> the best payback. </w:t>
      </w:r>
      <w:r w:rsidR="00B03F1A" w:rsidRPr="00B03F1A">
        <w:rPr>
          <w:rFonts w:eastAsia="Times New Roman" w:cs="Arial"/>
          <w:szCs w:val="24"/>
          <w:lang w:val="en-US"/>
        </w:rPr>
        <w:t xml:space="preserve">The NPV and the IRR are both positive values for financial well and an increase in the value of the shareholders (Ridwan et al., 2025). Besides, the relatively short payback period may ensure the business is in a position to pay back the initial investment and reinvest the profits in other forms of development. Project A is relatively lucrative. </w:t>
      </w:r>
      <w:r w:rsidR="00646463" w:rsidRPr="00646463">
        <w:rPr>
          <w:rFonts w:eastAsia="Times New Roman" w:cs="Arial"/>
          <w:szCs w:val="24"/>
          <w:lang w:val="en-US"/>
        </w:rPr>
        <w:t xml:space="preserve">It is an option and not more beneficial than project C. Project C is the best way of recovering and building the business, as the business has </w:t>
      </w:r>
      <w:r w:rsidR="00646463">
        <w:rPr>
          <w:rFonts w:eastAsia="Times New Roman" w:cs="Arial"/>
          <w:szCs w:val="24"/>
          <w:lang w:val="en-US"/>
        </w:rPr>
        <w:t xml:space="preserve">a </w:t>
      </w:r>
      <w:r w:rsidR="00646463" w:rsidRPr="00646463">
        <w:rPr>
          <w:rFonts w:eastAsia="Times New Roman" w:cs="Arial"/>
          <w:szCs w:val="24"/>
          <w:lang w:val="en-US"/>
        </w:rPr>
        <w:t>poor financial position.</w:t>
      </w:r>
    </w:p>
    <w:p w14:paraId="3F7DA0EC" w14:textId="0DF8C456" w:rsidR="00125788" w:rsidRPr="00125788" w:rsidRDefault="00125788" w:rsidP="00125788">
      <w:pPr>
        <w:pStyle w:val="Heading2"/>
      </w:pPr>
      <w:bookmarkStart w:id="54" w:name="_Toc214712768"/>
      <w:r w:rsidRPr="00125788">
        <w:lastRenderedPageBreak/>
        <w:t>Risk Characteristics &amp; Considerations</w:t>
      </w:r>
      <w:bookmarkEnd w:id="54"/>
    </w:p>
    <w:p w14:paraId="2AA8C388" w14:textId="77777777" w:rsidR="001E0FA0" w:rsidRPr="001E0FA0" w:rsidRDefault="00D40782" w:rsidP="001E0FA0">
      <w:pPr>
        <w:spacing w:before="100" w:beforeAutospacing="1" w:after="100" w:afterAutospacing="1"/>
        <w:rPr>
          <w:rFonts w:eastAsia="Times New Roman" w:cs="Arial"/>
          <w:szCs w:val="24"/>
          <w:lang w:val="en-US"/>
        </w:rPr>
      </w:pPr>
      <w:r w:rsidRPr="00D40782">
        <w:rPr>
          <w:rFonts w:eastAsia="Times New Roman" w:cs="Arial"/>
          <w:szCs w:val="24"/>
          <w:lang w:val="en-US"/>
        </w:rPr>
        <w:t xml:space="preserve">The risks of project C are very low in comparison with other investment opportunities. The worst hopes of its financial feasibility are that it has the greatest IRR and NPV. </w:t>
      </w:r>
      <w:r w:rsidR="001E0FA0" w:rsidRPr="001E0FA0">
        <w:rPr>
          <w:rFonts w:eastAsia="Times New Roman" w:cs="Arial"/>
          <w:szCs w:val="24"/>
          <w:lang w:val="en-US"/>
        </w:rPr>
        <w:t>The break-even period of the project is 7.2 months, and 3 years after which such an investor would find the investment very easy to recoup. The second strength of Project C is that it was constructed in a strategic manner because the initial investment years would attract the company to reinvest the outcome in other viable projects. Their ARR project is also high, with 10.00 per cent being considered as a long-term safe investment.</w:t>
      </w:r>
    </w:p>
    <w:p w14:paraId="2761F6C0" w14:textId="77777777" w:rsidR="001E0FA0" w:rsidRPr="001E0FA0" w:rsidRDefault="001E0FA0" w:rsidP="00895CDC">
      <w:pPr>
        <w:pStyle w:val="Heading2"/>
      </w:pPr>
      <w:bookmarkStart w:id="55" w:name="_Toc214712769"/>
      <w:r w:rsidRPr="001E0FA0">
        <w:t>Recommendations</w:t>
      </w:r>
      <w:bookmarkEnd w:id="55"/>
    </w:p>
    <w:p w14:paraId="7443DC05" w14:textId="77777777" w:rsidR="001E0FA0" w:rsidRPr="001E0FA0" w:rsidRDefault="001E0FA0" w:rsidP="001E0FA0">
      <w:pPr>
        <w:spacing w:before="100" w:beforeAutospacing="1" w:after="100" w:afterAutospacing="1"/>
        <w:rPr>
          <w:rFonts w:eastAsia="Times New Roman" w:cs="Arial"/>
          <w:szCs w:val="24"/>
          <w:lang w:val="en-US"/>
        </w:rPr>
      </w:pPr>
      <w:r w:rsidRPr="001E0FA0">
        <w:rPr>
          <w:rFonts w:eastAsia="Times New Roman" w:cs="Arial"/>
          <w:szCs w:val="24"/>
          <w:lang w:val="en-US"/>
        </w:rPr>
        <w:t>To the study concerning the financial performance and management of General Electronics, it is possible to give recommendations, which would lead the company to a better financial performance and efficiency.</w:t>
      </w:r>
    </w:p>
    <w:p w14:paraId="6A5C9577" w14:textId="77777777" w:rsidR="001E0FA0" w:rsidRPr="001E0FA0" w:rsidRDefault="001E0FA0" w:rsidP="001E0FA0">
      <w:pPr>
        <w:spacing w:before="100" w:beforeAutospacing="1" w:after="100" w:afterAutospacing="1"/>
        <w:rPr>
          <w:rFonts w:eastAsia="Times New Roman" w:cs="Arial"/>
          <w:szCs w:val="24"/>
          <w:lang w:val="en-US"/>
        </w:rPr>
      </w:pPr>
      <w:r w:rsidRPr="00895CDC">
        <w:rPr>
          <w:rFonts w:eastAsia="Times New Roman" w:cs="Arial"/>
          <w:b/>
          <w:bCs/>
          <w:szCs w:val="24"/>
          <w:lang w:val="en-US"/>
        </w:rPr>
        <w:t>Cost Control</w:t>
      </w:r>
      <w:r w:rsidRPr="001E0FA0">
        <w:rPr>
          <w:rFonts w:eastAsia="Times New Roman" w:cs="Arial"/>
          <w:szCs w:val="24"/>
          <w:lang w:val="en-US"/>
        </w:rPr>
        <w:t>: The increased emphasis on managing operating costs and using resources more efficiently will contribute to reducing losses and increasing overall profits.</w:t>
      </w:r>
    </w:p>
    <w:p w14:paraId="7CDED490" w14:textId="77777777" w:rsidR="001E0FA0" w:rsidRPr="001E0FA0" w:rsidRDefault="001E0FA0" w:rsidP="001E0FA0">
      <w:pPr>
        <w:spacing w:before="100" w:beforeAutospacing="1" w:after="100" w:afterAutospacing="1"/>
        <w:rPr>
          <w:rFonts w:eastAsia="Times New Roman" w:cs="Arial"/>
          <w:szCs w:val="24"/>
          <w:lang w:val="en-US"/>
        </w:rPr>
      </w:pPr>
      <w:r w:rsidRPr="00895CDC">
        <w:rPr>
          <w:rFonts w:eastAsia="Times New Roman" w:cs="Arial"/>
          <w:b/>
          <w:bCs/>
          <w:szCs w:val="24"/>
          <w:lang w:val="en-US"/>
        </w:rPr>
        <w:t>Improved Working Capital Management</w:t>
      </w:r>
      <w:r w:rsidRPr="001E0FA0">
        <w:rPr>
          <w:rFonts w:eastAsia="Times New Roman" w:cs="Arial"/>
          <w:szCs w:val="24"/>
          <w:lang w:val="en-US"/>
        </w:rPr>
        <w:t>: The company needs to focus on working capital management by ensuring to minimise the quantity of inventory days and accelerate receivables collection. Implementing a more effective credit policy and just-in-time inventory would improve the cash flow and reduce the Cash Operating Cycle (COC) (Asman Et al., 2022).</w:t>
      </w:r>
    </w:p>
    <w:p w14:paraId="0B8D8C74" w14:textId="77777777" w:rsidR="001E0FA0" w:rsidRPr="001E0FA0" w:rsidRDefault="001E0FA0" w:rsidP="001E0FA0">
      <w:pPr>
        <w:spacing w:before="100" w:beforeAutospacing="1" w:after="100" w:afterAutospacing="1"/>
        <w:rPr>
          <w:rFonts w:eastAsia="Times New Roman" w:cs="Arial"/>
          <w:szCs w:val="24"/>
          <w:lang w:val="en-US"/>
        </w:rPr>
      </w:pPr>
      <w:r w:rsidRPr="00895CDC">
        <w:rPr>
          <w:rFonts w:eastAsia="Times New Roman" w:cs="Arial"/>
          <w:b/>
          <w:bCs/>
          <w:szCs w:val="24"/>
          <w:lang w:val="en-US"/>
        </w:rPr>
        <w:t>Strategic Investments:</w:t>
      </w:r>
      <w:r w:rsidRPr="001E0FA0">
        <w:rPr>
          <w:rFonts w:eastAsia="Times New Roman" w:cs="Arial"/>
          <w:szCs w:val="24"/>
          <w:lang w:val="en-US"/>
        </w:rPr>
        <w:t xml:space="preserve"> It should give priority to investment in high-return projects like Project C. The project has a good Net Present Value (NPV) and Internal Rate of Return (IRR) that would be used as a result of the long-term growth and recuperation.</w:t>
      </w:r>
    </w:p>
    <w:p w14:paraId="1EA3A571" w14:textId="50520698" w:rsidR="00542771" w:rsidRPr="001E0FA0" w:rsidRDefault="001E0FA0" w:rsidP="001E0FA0">
      <w:pPr>
        <w:spacing w:before="100" w:beforeAutospacing="1" w:after="100" w:afterAutospacing="1"/>
        <w:rPr>
          <w:rFonts w:eastAsia="Times New Roman" w:cs="Arial"/>
          <w:szCs w:val="24"/>
          <w:lang w:val="en-US"/>
        </w:rPr>
      </w:pPr>
      <w:r w:rsidRPr="00895CDC">
        <w:rPr>
          <w:rFonts w:eastAsia="Times New Roman" w:cs="Arial"/>
          <w:b/>
          <w:bCs/>
          <w:szCs w:val="24"/>
          <w:lang w:val="en-US"/>
        </w:rPr>
        <w:t>Restructuring Efforts:</w:t>
      </w:r>
      <w:r w:rsidRPr="001E0FA0">
        <w:rPr>
          <w:rFonts w:eastAsia="Times New Roman" w:cs="Arial"/>
          <w:szCs w:val="24"/>
          <w:lang w:val="en-US"/>
        </w:rPr>
        <w:t xml:space="preserve"> General Electronics should consider restructuring its financial operations to enhance profitability and liquidity. To increase short-term cash, the company would consider the disposition of assets related to non-core business (Blessing </w:t>
      </w:r>
      <w:r w:rsidRPr="001E0FA0">
        <w:rPr>
          <w:rFonts w:eastAsia="Times New Roman" w:cs="Arial"/>
          <w:szCs w:val="24"/>
          <w:lang w:val="en-US"/>
        </w:rPr>
        <w:lastRenderedPageBreak/>
        <w:t>and Sakouvogui, 2023). Moreover, it would lower the financial leverage through greater liquidity.</w:t>
      </w:r>
    </w:p>
    <w:p w14:paraId="588EC27E" w14:textId="77777777" w:rsidR="00916703" w:rsidRDefault="00916703" w:rsidP="00916703">
      <w:pPr>
        <w:pStyle w:val="Heading1"/>
      </w:pPr>
      <w:bookmarkStart w:id="56" w:name="_Toc214712770"/>
      <w:r>
        <w:t>Conclusion</w:t>
      </w:r>
      <w:bookmarkEnd w:id="56"/>
    </w:p>
    <w:p w14:paraId="3C19B175" w14:textId="5DB3DF6A" w:rsidR="002C5DCC" w:rsidRPr="00BA1D53" w:rsidRDefault="00FA0F89" w:rsidP="00272F68">
      <w:pPr>
        <w:rPr>
          <w:rFonts w:cs="Arial"/>
        </w:rPr>
      </w:pPr>
      <w:r w:rsidRPr="00BA1D53">
        <w:rPr>
          <w:rFonts w:cs="Arial"/>
        </w:rPr>
        <w:t xml:space="preserve">Electronics General is in serious financial trouble. All its sales, profits and cash flow are on the decline, making this company difficult to remain in business. </w:t>
      </w:r>
      <w:r w:rsidR="00CF5B00" w:rsidRPr="00BA1D53">
        <w:rPr>
          <w:rFonts w:cs="Arial"/>
        </w:rPr>
        <w:t>Critical analysis of financial ratios and the Altman Z-score indicates that the firm is in a financial wobble and needs to restructure. Disposition of non-core business, mergers, or capital injection could be viewed as a remedy to improve the financial status and operational capacity of the enterprise. Among the suggested projects, project C has the most potential, a high ROR, a moderate payback period, and low financial risk. It may be the best project ever to ensure the company is back on its feet in both the short-term and long-term. The company should focus on improved liquidity, profitability and operational efficiency to enhance financial stability and investor confidence.</w:t>
      </w:r>
      <w:r w:rsidR="002C5DCC" w:rsidRPr="00BA1D53">
        <w:rPr>
          <w:rFonts w:cs="Arial"/>
        </w:rPr>
        <w:br w:type="page"/>
      </w:r>
    </w:p>
    <w:p w14:paraId="6F4750AC" w14:textId="77777777" w:rsidR="006077BF" w:rsidRPr="00BA1D53" w:rsidRDefault="002C5DCC" w:rsidP="00272F68">
      <w:pPr>
        <w:pStyle w:val="Heading1"/>
        <w:rPr>
          <w:rFonts w:cs="Arial"/>
          <w:color w:val="auto"/>
        </w:rPr>
      </w:pPr>
      <w:bookmarkStart w:id="57" w:name="_Toc214712771"/>
      <w:r w:rsidRPr="00BA1D53">
        <w:rPr>
          <w:rFonts w:cs="Arial"/>
          <w:color w:val="auto"/>
        </w:rPr>
        <w:lastRenderedPageBreak/>
        <w:t>References</w:t>
      </w:r>
      <w:bookmarkEnd w:id="57"/>
    </w:p>
    <w:p w14:paraId="061C8765" w14:textId="77777777" w:rsidR="00D0315B" w:rsidRPr="00D0315B" w:rsidRDefault="00D0315B" w:rsidP="00D0315B">
      <w:pPr>
        <w:spacing w:after="240"/>
        <w:ind w:left="720" w:hanging="720"/>
        <w:rPr>
          <w:rFonts w:eastAsia="Times New Roman" w:cs="Arial"/>
          <w:szCs w:val="24"/>
          <w:lang w:val="en-US"/>
        </w:rPr>
      </w:pPr>
      <w:r w:rsidRPr="00D0315B">
        <w:rPr>
          <w:rFonts w:eastAsia="Times New Roman" w:cs="Arial"/>
          <w:szCs w:val="24"/>
          <w:lang w:val="en-US"/>
        </w:rPr>
        <w:t xml:space="preserve">Aldo, M. (2022) The Effect of Gearing, Price Earnings Ratio, Interest Rate, and Risk on Abnormal Return. </w:t>
      </w:r>
      <w:r w:rsidRPr="00D0315B">
        <w:rPr>
          <w:rFonts w:eastAsia="Times New Roman" w:cs="Arial"/>
          <w:i/>
          <w:iCs/>
          <w:szCs w:val="24"/>
          <w:lang w:val="en-US"/>
        </w:rPr>
        <w:t>Indonesian Interdisciplinary Journal of Sharia Economics (IIJSE)</w:t>
      </w:r>
      <w:r w:rsidRPr="00D0315B">
        <w:rPr>
          <w:rFonts w:eastAsia="Times New Roman" w:cs="Arial"/>
          <w:szCs w:val="24"/>
          <w:lang w:val="en-US"/>
        </w:rPr>
        <w:t>, 5(2), pp.752–768. doi:https://doi.org/10.31538/iijse.v5i2.2195.</w:t>
      </w:r>
    </w:p>
    <w:p w14:paraId="0F82E4EB" w14:textId="77777777" w:rsidR="00D0315B" w:rsidRPr="00D0315B" w:rsidRDefault="00D0315B" w:rsidP="00D0315B">
      <w:pPr>
        <w:spacing w:after="240"/>
        <w:ind w:left="720" w:hanging="720"/>
        <w:rPr>
          <w:rFonts w:eastAsia="Times New Roman" w:cs="Arial"/>
          <w:szCs w:val="24"/>
          <w:lang w:val="en-US"/>
        </w:rPr>
      </w:pPr>
      <w:r w:rsidRPr="00D0315B">
        <w:rPr>
          <w:rFonts w:eastAsia="Times New Roman" w:cs="Arial"/>
          <w:szCs w:val="24"/>
          <w:lang w:val="en-US"/>
        </w:rPr>
        <w:t xml:space="preserve">Asman, F.N., Fernandez, D., Jamaludin, N.A., Omar Zaki, H. and Ghazali, A.W. (2022) Cash Conversion Cycle and Firm’s Performance. </w:t>
      </w:r>
      <w:r w:rsidRPr="00D0315B">
        <w:rPr>
          <w:rFonts w:eastAsia="Times New Roman" w:cs="Arial"/>
          <w:i/>
          <w:iCs/>
          <w:szCs w:val="24"/>
          <w:lang w:val="en-US"/>
        </w:rPr>
        <w:t>International Journal of Academic Research in Business and Social Sciences</w:t>
      </w:r>
      <w:r w:rsidRPr="00D0315B">
        <w:rPr>
          <w:rFonts w:eastAsia="Times New Roman" w:cs="Arial"/>
          <w:szCs w:val="24"/>
          <w:lang w:val="en-US"/>
        </w:rPr>
        <w:t>, 12(11). doi:https://doi.org/10.6007/ijarbss/v12-i11/15276.</w:t>
      </w:r>
    </w:p>
    <w:p w14:paraId="2B94B9D4" w14:textId="77777777" w:rsidR="00D0315B" w:rsidRPr="00D0315B" w:rsidRDefault="00D0315B" w:rsidP="00D0315B">
      <w:pPr>
        <w:spacing w:after="240"/>
        <w:ind w:left="720" w:hanging="720"/>
        <w:rPr>
          <w:rFonts w:eastAsia="Times New Roman" w:cs="Arial"/>
          <w:szCs w:val="24"/>
          <w:lang w:val="en-US"/>
        </w:rPr>
      </w:pPr>
      <w:r w:rsidRPr="00D0315B">
        <w:rPr>
          <w:rFonts w:eastAsia="Times New Roman" w:cs="Arial"/>
          <w:szCs w:val="24"/>
          <w:lang w:val="en-US"/>
        </w:rPr>
        <w:t xml:space="preserve">Bag, D. (2022) </w:t>
      </w:r>
      <w:r w:rsidRPr="00D0315B">
        <w:rPr>
          <w:rFonts w:eastAsia="Times New Roman" w:cs="Arial"/>
          <w:i/>
          <w:iCs/>
          <w:szCs w:val="24"/>
          <w:lang w:val="en-US"/>
        </w:rPr>
        <w:t>Valuation and Volatility</w:t>
      </w:r>
      <w:r w:rsidRPr="00D0315B">
        <w:rPr>
          <w:rFonts w:eastAsia="Times New Roman" w:cs="Arial"/>
          <w:szCs w:val="24"/>
          <w:lang w:val="en-US"/>
        </w:rPr>
        <w:t>. doi:https://doi.org/10.1007/978-981-16-1135-3.</w:t>
      </w:r>
    </w:p>
    <w:p w14:paraId="03A9C52C" w14:textId="77777777" w:rsidR="00D0315B" w:rsidRPr="00D0315B" w:rsidRDefault="00D0315B" w:rsidP="00D0315B">
      <w:pPr>
        <w:spacing w:after="240"/>
        <w:ind w:left="720" w:hanging="720"/>
        <w:rPr>
          <w:rFonts w:eastAsia="Times New Roman" w:cs="Arial"/>
          <w:szCs w:val="24"/>
          <w:lang w:val="en-US"/>
        </w:rPr>
      </w:pPr>
      <w:r w:rsidRPr="00D0315B">
        <w:rPr>
          <w:rFonts w:eastAsia="Times New Roman" w:cs="Arial"/>
          <w:szCs w:val="24"/>
          <w:lang w:val="en-US"/>
        </w:rPr>
        <w:t xml:space="preserve">Blessing, H. and Sakouvogui, G. (2023) Impact of Liquidity and Solvency Ratios on Financial Performance: a Comprehensive Analysis. </w:t>
      </w:r>
      <w:r w:rsidRPr="00D0315B">
        <w:rPr>
          <w:rFonts w:eastAsia="Times New Roman" w:cs="Arial"/>
          <w:i/>
          <w:iCs/>
          <w:szCs w:val="24"/>
          <w:lang w:val="en-US"/>
        </w:rPr>
        <w:t>Indonesia Auditing Research Journal</w:t>
      </w:r>
      <w:r w:rsidRPr="00D0315B">
        <w:rPr>
          <w:rFonts w:eastAsia="Times New Roman" w:cs="Arial"/>
          <w:szCs w:val="24"/>
          <w:lang w:val="en-US"/>
        </w:rPr>
        <w:t>, 12(3), pp.102–115.</w:t>
      </w:r>
    </w:p>
    <w:p w14:paraId="22FDE395" w14:textId="77777777" w:rsidR="00D0315B" w:rsidRPr="00D0315B" w:rsidRDefault="00D0315B" w:rsidP="00D0315B">
      <w:pPr>
        <w:spacing w:after="240"/>
        <w:ind w:left="720" w:hanging="720"/>
        <w:rPr>
          <w:rFonts w:eastAsia="Times New Roman" w:cs="Arial"/>
          <w:szCs w:val="24"/>
          <w:lang w:val="en-US"/>
        </w:rPr>
      </w:pPr>
      <w:r w:rsidRPr="00D0315B">
        <w:rPr>
          <w:rFonts w:eastAsia="Times New Roman" w:cs="Arial"/>
          <w:szCs w:val="24"/>
          <w:lang w:val="en-US"/>
        </w:rPr>
        <w:t xml:space="preserve">Ha, J., Kose, M.A. and Ohnsorge, F. (2022) </w:t>
      </w:r>
      <w:r w:rsidRPr="00D0315B">
        <w:rPr>
          <w:rFonts w:eastAsia="Times New Roman" w:cs="Arial"/>
          <w:i/>
          <w:iCs/>
          <w:szCs w:val="24"/>
          <w:lang w:val="en-US"/>
        </w:rPr>
        <w:t>From Low to High Inflation: Implications for Emerging Market and Developing Economies</w:t>
      </w:r>
      <w:r w:rsidRPr="00D0315B">
        <w:rPr>
          <w:rFonts w:eastAsia="Times New Roman" w:cs="Arial"/>
          <w:szCs w:val="24"/>
          <w:lang w:val="en-US"/>
        </w:rPr>
        <w:t xml:space="preserve">. [online] papers.ssrn.com. Available at: </w:t>
      </w:r>
      <w:hyperlink r:id="rId25" w:history="1">
        <w:r w:rsidRPr="00D0315B">
          <w:rPr>
            <w:rStyle w:val="Hyperlink"/>
            <w:rFonts w:eastAsia="Times New Roman" w:cs="Arial"/>
            <w:szCs w:val="24"/>
            <w:lang w:val="en-US"/>
          </w:rPr>
          <w:t>https://papers.ssrn.com/sol3/papers.cfm?abstract_id=4074459</w:t>
        </w:r>
      </w:hyperlink>
      <w:r w:rsidRPr="00D0315B">
        <w:rPr>
          <w:rFonts w:eastAsia="Times New Roman" w:cs="Arial"/>
          <w:szCs w:val="24"/>
          <w:lang w:val="en-US"/>
        </w:rPr>
        <w:t>.</w:t>
      </w:r>
    </w:p>
    <w:p w14:paraId="01108042" w14:textId="77777777" w:rsidR="00D0315B" w:rsidRPr="00D0315B" w:rsidRDefault="00D0315B" w:rsidP="00D0315B">
      <w:pPr>
        <w:spacing w:after="240"/>
        <w:ind w:left="720" w:hanging="720"/>
        <w:rPr>
          <w:rFonts w:eastAsia="Times New Roman" w:cs="Arial"/>
          <w:szCs w:val="24"/>
          <w:lang w:val="en-US"/>
        </w:rPr>
      </w:pPr>
      <w:r w:rsidRPr="00D0315B">
        <w:rPr>
          <w:rFonts w:eastAsia="Times New Roman" w:cs="Arial"/>
          <w:szCs w:val="24"/>
          <w:lang w:val="en-US"/>
        </w:rPr>
        <w:t xml:space="preserve">Hertina, D. (2021) Company Value Impact of Liquidity, Solvability and Profitability - ProQuest. [online] Proquest.com. Available at: </w:t>
      </w:r>
      <w:hyperlink r:id="rId26" w:history="1">
        <w:r w:rsidRPr="00D0315B">
          <w:rPr>
            <w:rStyle w:val="Hyperlink"/>
            <w:rFonts w:eastAsia="Times New Roman" w:cs="Arial"/>
            <w:szCs w:val="24"/>
            <w:lang w:val="en-US"/>
          </w:rPr>
          <w:t>https://search.proquest.com/openview/5b6cf410ba2e9e4935af5756329c6e1e/1?pq-origsite=gscholar&amp;cbl=2045096</w:t>
        </w:r>
      </w:hyperlink>
      <w:r w:rsidRPr="00D0315B">
        <w:rPr>
          <w:rFonts w:eastAsia="Times New Roman" w:cs="Arial"/>
          <w:szCs w:val="24"/>
          <w:lang w:val="en-US"/>
        </w:rPr>
        <w:t>.</w:t>
      </w:r>
    </w:p>
    <w:p w14:paraId="71150F22" w14:textId="77777777" w:rsidR="00D0315B" w:rsidRPr="00D0315B" w:rsidRDefault="00D0315B" w:rsidP="00D0315B">
      <w:pPr>
        <w:spacing w:after="240"/>
        <w:ind w:left="720" w:hanging="720"/>
        <w:rPr>
          <w:rFonts w:eastAsia="Times New Roman" w:cs="Arial"/>
          <w:szCs w:val="24"/>
          <w:lang w:val="en-US"/>
        </w:rPr>
      </w:pPr>
      <w:r w:rsidRPr="00D0315B">
        <w:rPr>
          <w:rFonts w:eastAsia="Times New Roman" w:cs="Arial"/>
          <w:szCs w:val="24"/>
          <w:lang w:val="en-US"/>
        </w:rPr>
        <w:t xml:space="preserve">Khan, A. (2024) Capital Rationing and Budget Allocation. </w:t>
      </w:r>
      <w:r w:rsidRPr="00D0315B">
        <w:rPr>
          <w:rFonts w:eastAsia="Times New Roman" w:cs="Arial"/>
          <w:i/>
          <w:iCs/>
          <w:szCs w:val="24"/>
          <w:lang w:val="en-US"/>
        </w:rPr>
        <w:t>Springer eBooks</w:t>
      </w:r>
      <w:r w:rsidRPr="00D0315B">
        <w:rPr>
          <w:rFonts w:eastAsia="Times New Roman" w:cs="Arial"/>
          <w:szCs w:val="24"/>
          <w:lang w:val="en-US"/>
        </w:rPr>
        <w:t>, pp.329–367. doi:https://doi.org/10.1007/978-3-031-53674-8_9.</w:t>
      </w:r>
    </w:p>
    <w:p w14:paraId="4FF27D2B" w14:textId="77777777" w:rsidR="00D0315B" w:rsidRPr="00D0315B" w:rsidRDefault="00D0315B" w:rsidP="00D0315B">
      <w:pPr>
        <w:spacing w:after="240"/>
        <w:ind w:left="720" w:hanging="720"/>
        <w:rPr>
          <w:rFonts w:eastAsia="Times New Roman" w:cs="Arial"/>
          <w:szCs w:val="24"/>
          <w:lang w:val="en-US"/>
        </w:rPr>
      </w:pPr>
      <w:r w:rsidRPr="00D0315B">
        <w:rPr>
          <w:rFonts w:eastAsia="Times New Roman" w:cs="Arial"/>
          <w:szCs w:val="24"/>
          <w:lang w:val="en-US"/>
        </w:rPr>
        <w:t xml:space="preserve">Lee, C.-C. (2023) Analyses of the operating performance of information service companies based on indicators of financial statements. </w:t>
      </w:r>
      <w:r w:rsidRPr="00D0315B">
        <w:rPr>
          <w:rFonts w:eastAsia="Times New Roman" w:cs="Arial"/>
          <w:i/>
          <w:iCs/>
          <w:szCs w:val="24"/>
          <w:lang w:val="en-US"/>
        </w:rPr>
        <w:t>Asia Pacific Management Review</w:t>
      </w:r>
      <w:r w:rsidRPr="00D0315B">
        <w:rPr>
          <w:rFonts w:eastAsia="Times New Roman" w:cs="Arial"/>
          <w:szCs w:val="24"/>
          <w:lang w:val="en-US"/>
        </w:rPr>
        <w:t>, [online] 28(4). doi:https://doi.org/10.1016/j.apmrv.2023.01.002.</w:t>
      </w:r>
    </w:p>
    <w:p w14:paraId="24B8BCB4" w14:textId="77777777" w:rsidR="00D0315B" w:rsidRPr="00D0315B" w:rsidRDefault="00D0315B" w:rsidP="00D0315B">
      <w:pPr>
        <w:spacing w:after="240"/>
        <w:ind w:left="720" w:hanging="720"/>
        <w:rPr>
          <w:rFonts w:eastAsia="Times New Roman" w:cs="Arial"/>
          <w:szCs w:val="24"/>
          <w:lang w:val="en-US"/>
        </w:rPr>
      </w:pPr>
      <w:r w:rsidRPr="00D0315B">
        <w:rPr>
          <w:rFonts w:eastAsia="Times New Roman" w:cs="Arial"/>
          <w:szCs w:val="24"/>
          <w:lang w:val="en-US"/>
        </w:rPr>
        <w:t xml:space="preserve">Mattio, F. (2024) Altman Z-Score Indicators - Webthesis. </w:t>
      </w:r>
      <w:r w:rsidRPr="00D0315B">
        <w:rPr>
          <w:rFonts w:eastAsia="Times New Roman" w:cs="Arial"/>
          <w:i/>
          <w:iCs/>
          <w:szCs w:val="24"/>
          <w:lang w:val="en-US"/>
        </w:rPr>
        <w:t>Polito.it</w:t>
      </w:r>
      <w:r w:rsidRPr="00D0315B">
        <w:rPr>
          <w:rFonts w:eastAsia="Times New Roman" w:cs="Arial"/>
          <w:szCs w:val="24"/>
          <w:lang w:val="en-US"/>
        </w:rPr>
        <w:t>. [online] doi:https://webthesis.biblio.polito.it/secure/31425/1/tesi.pdf.</w:t>
      </w:r>
    </w:p>
    <w:p w14:paraId="5E2C1650" w14:textId="77777777" w:rsidR="00D0315B" w:rsidRPr="00D0315B" w:rsidRDefault="00D0315B" w:rsidP="00D0315B">
      <w:pPr>
        <w:spacing w:after="240"/>
        <w:ind w:left="720" w:hanging="720"/>
        <w:rPr>
          <w:rFonts w:eastAsia="Times New Roman" w:cs="Arial"/>
          <w:szCs w:val="24"/>
          <w:lang w:val="en-US"/>
        </w:rPr>
      </w:pPr>
      <w:r w:rsidRPr="00D0315B">
        <w:rPr>
          <w:rFonts w:eastAsia="Times New Roman" w:cs="Arial"/>
          <w:szCs w:val="24"/>
          <w:lang w:val="en-US"/>
        </w:rPr>
        <w:lastRenderedPageBreak/>
        <w:t xml:space="preserve">Mavlutova, I., Babenko, V., Dykan, V., Prokopenko, N., Kalinichenko, S. and Tokmakova, I. (2021) Business Restructuring as a Method of Strengtening Company’s Financial Position. </w:t>
      </w:r>
      <w:r w:rsidRPr="00D0315B">
        <w:rPr>
          <w:rFonts w:eastAsia="Times New Roman" w:cs="Arial"/>
          <w:i/>
          <w:iCs/>
          <w:szCs w:val="24"/>
          <w:lang w:val="en-US"/>
        </w:rPr>
        <w:t>Journal of Optimization in Industrial Engineering</w:t>
      </w:r>
      <w:r w:rsidRPr="00D0315B">
        <w:rPr>
          <w:rFonts w:eastAsia="Times New Roman" w:cs="Arial"/>
          <w:szCs w:val="24"/>
          <w:lang w:val="en-US"/>
        </w:rPr>
        <w:t>, [online] 14(Special Issue), pp.105–115. doi:https://doi.org/10.22094/joie.2020.677839.</w:t>
      </w:r>
    </w:p>
    <w:p w14:paraId="5C60DB7E" w14:textId="77777777" w:rsidR="00D0315B" w:rsidRPr="00D0315B" w:rsidRDefault="00D0315B" w:rsidP="00D0315B">
      <w:pPr>
        <w:spacing w:after="240"/>
        <w:ind w:left="720" w:hanging="720"/>
        <w:rPr>
          <w:rFonts w:eastAsia="Times New Roman" w:cs="Arial"/>
          <w:szCs w:val="24"/>
          <w:lang w:val="en-US"/>
        </w:rPr>
      </w:pPr>
      <w:r w:rsidRPr="00D0315B">
        <w:rPr>
          <w:rFonts w:eastAsia="Times New Roman" w:cs="Arial"/>
          <w:szCs w:val="24"/>
          <w:lang w:val="en-US"/>
        </w:rPr>
        <w:t xml:space="preserve">Mömmö, M. (2021) </w:t>
      </w:r>
      <w:r w:rsidRPr="00D0315B">
        <w:rPr>
          <w:rFonts w:eastAsia="Times New Roman" w:cs="Arial"/>
          <w:i/>
          <w:iCs/>
          <w:szCs w:val="24"/>
          <w:lang w:val="en-US"/>
        </w:rPr>
        <w:t>Cash collection improvement project : Receivables control</w:t>
      </w:r>
      <w:r w:rsidRPr="00D0315B">
        <w:rPr>
          <w:rFonts w:eastAsia="Times New Roman" w:cs="Arial"/>
          <w:szCs w:val="24"/>
          <w:lang w:val="en-US"/>
        </w:rPr>
        <w:t>. [online] www.theseus.fi. Available at: https://www.theseus.fi/handle/10024/504349.</w:t>
      </w:r>
    </w:p>
    <w:p w14:paraId="0AD16836" w14:textId="77777777" w:rsidR="00D0315B" w:rsidRPr="00D0315B" w:rsidRDefault="00D0315B" w:rsidP="00D0315B">
      <w:pPr>
        <w:spacing w:after="240"/>
        <w:ind w:left="720" w:hanging="720"/>
        <w:rPr>
          <w:rFonts w:eastAsia="Times New Roman" w:cs="Arial"/>
          <w:szCs w:val="24"/>
          <w:lang w:val="en-US"/>
        </w:rPr>
      </w:pPr>
      <w:r w:rsidRPr="00D0315B">
        <w:rPr>
          <w:rFonts w:eastAsia="Times New Roman" w:cs="Arial"/>
          <w:szCs w:val="24"/>
          <w:lang w:val="en-US"/>
        </w:rPr>
        <w:t>Perla, B. (2025) Valuations &amp; Liquidity Strategy Planning Analysis. [online] doi:https://doi.org/10.2139/ssrn.5363681.</w:t>
      </w:r>
    </w:p>
    <w:p w14:paraId="1E97A7A0" w14:textId="77777777" w:rsidR="00D0315B" w:rsidRPr="00D0315B" w:rsidRDefault="00D0315B" w:rsidP="00D0315B">
      <w:pPr>
        <w:spacing w:after="240"/>
        <w:ind w:left="720" w:hanging="720"/>
        <w:rPr>
          <w:rFonts w:eastAsia="Times New Roman" w:cs="Arial"/>
          <w:szCs w:val="24"/>
          <w:lang w:val="en-US"/>
        </w:rPr>
      </w:pPr>
      <w:r w:rsidRPr="00D0315B">
        <w:rPr>
          <w:rFonts w:eastAsia="Times New Roman" w:cs="Arial"/>
          <w:szCs w:val="24"/>
          <w:lang w:val="en-US"/>
        </w:rPr>
        <w:t xml:space="preserve">Ridwan, S., Syah, T.Y.R., Kustiawan, U. and Nofierni, N. (2025) Financial Planning and Investment Feasibility Analysis Based on Five-Year Projections Using ROI, NPV, IRR, and Financial Ratios. </w:t>
      </w:r>
      <w:r w:rsidRPr="00D0315B">
        <w:rPr>
          <w:rFonts w:eastAsia="Times New Roman" w:cs="Arial"/>
          <w:i/>
          <w:iCs/>
          <w:szCs w:val="24"/>
          <w:lang w:val="en-US"/>
        </w:rPr>
        <w:t>Journal La Bisecoman</w:t>
      </w:r>
      <w:r w:rsidRPr="00D0315B">
        <w:rPr>
          <w:rFonts w:eastAsia="Times New Roman" w:cs="Arial"/>
          <w:szCs w:val="24"/>
          <w:lang w:val="en-US"/>
        </w:rPr>
        <w:t>, [online] 6(2), pp.489–506. doi:https://doi.org/10.37899/journallabisecoman.v6i2.1970.</w:t>
      </w:r>
    </w:p>
    <w:p w14:paraId="3B066DF5" w14:textId="77777777" w:rsidR="00D0315B" w:rsidRPr="00D0315B" w:rsidRDefault="00D0315B" w:rsidP="00D0315B">
      <w:pPr>
        <w:spacing w:after="240"/>
        <w:ind w:left="720" w:hanging="720"/>
        <w:rPr>
          <w:rFonts w:eastAsia="Times New Roman" w:cs="Arial"/>
          <w:szCs w:val="24"/>
          <w:lang w:val="en-US"/>
        </w:rPr>
      </w:pPr>
      <w:r w:rsidRPr="00D0315B">
        <w:rPr>
          <w:rFonts w:cs="Arial"/>
          <w:color w:val="222222"/>
          <w:szCs w:val="24"/>
          <w:shd w:val="clear" w:color="auto" w:fill="FFFFFF"/>
        </w:rPr>
        <w:t>Robert, C. H., Jennifer, L. K., and Todd, M. (2023) </w:t>
      </w:r>
      <w:r w:rsidRPr="00D0315B">
        <w:rPr>
          <w:rFonts w:cs="Arial"/>
          <w:i/>
          <w:iCs/>
          <w:color w:val="222222"/>
          <w:szCs w:val="24"/>
          <w:shd w:val="clear" w:color="auto" w:fill="FFFFFF"/>
        </w:rPr>
        <w:t>Analysis for financial management</w:t>
      </w:r>
      <w:r w:rsidRPr="00D0315B">
        <w:rPr>
          <w:rFonts w:cs="Arial"/>
          <w:color w:val="222222"/>
          <w:szCs w:val="24"/>
          <w:shd w:val="clear" w:color="auto" w:fill="FFFFFF"/>
        </w:rPr>
        <w:t>. McGraw-Hill Education.</w:t>
      </w:r>
    </w:p>
    <w:p w14:paraId="00B518C3" w14:textId="77777777" w:rsidR="00D0315B" w:rsidRPr="00D0315B" w:rsidRDefault="00D0315B" w:rsidP="00D0315B">
      <w:pPr>
        <w:spacing w:after="240"/>
        <w:ind w:left="720" w:hanging="720"/>
        <w:rPr>
          <w:rFonts w:eastAsia="Times New Roman" w:cs="Arial"/>
          <w:szCs w:val="24"/>
          <w:lang w:val="en-US"/>
        </w:rPr>
      </w:pPr>
      <w:r w:rsidRPr="00D0315B">
        <w:rPr>
          <w:rFonts w:cs="Arial"/>
          <w:color w:val="222222"/>
          <w:szCs w:val="24"/>
          <w:shd w:val="clear" w:color="auto" w:fill="FFFFFF"/>
        </w:rPr>
        <w:t>Saleem, Q., and Rehman, R. U. (2011) Impacts of liquidity ratios on profitability. </w:t>
      </w:r>
      <w:r w:rsidRPr="00D0315B">
        <w:rPr>
          <w:rFonts w:cs="Arial"/>
          <w:i/>
          <w:iCs/>
          <w:color w:val="222222"/>
          <w:szCs w:val="24"/>
          <w:shd w:val="clear" w:color="auto" w:fill="FFFFFF"/>
        </w:rPr>
        <w:t>Interdisciplinary journal of research in business</w:t>
      </w:r>
      <w:r w:rsidRPr="00D0315B">
        <w:rPr>
          <w:rFonts w:cs="Arial"/>
          <w:color w:val="222222"/>
          <w:szCs w:val="24"/>
          <w:shd w:val="clear" w:color="auto" w:fill="FFFFFF"/>
        </w:rPr>
        <w:t>, </w:t>
      </w:r>
      <w:r w:rsidRPr="00D0315B">
        <w:rPr>
          <w:rFonts w:cs="Arial"/>
          <w:i/>
          <w:iCs/>
          <w:color w:val="222222"/>
          <w:szCs w:val="24"/>
          <w:shd w:val="clear" w:color="auto" w:fill="FFFFFF"/>
        </w:rPr>
        <w:t>1</w:t>
      </w:r>
      <w:r w:rsidRPr="00D0315B">
        <w:rPr>
          <w:rFonts w:cs="Arial"/>
          <w:color w:val="222222"/>
          <w:szCs w:val="24"/>
          <w:shd w:val="clear" w:color="auto" w:fill="FFFFFF"/>
        </w:rPr>
        <w:t>(7), 95-98.</w:t>
      </w:r>
    </w:p>
    <w:p w14:paraId="3E83B2A1" w14:textId="77777777" w:rsidR="00D0315B" w:rsidRPr="00D0315B" w:rsidRDefault="00D0315B" w:rsidP="00D0315B">
      <w:pPr>
        <w:spacing w:after="240"/>
        <w:ind w:left="720" w:hanging="720"/>
        <w:rPr>
          <w:rFonts w:eastAsia="Times New Roman" w:cs="Arial"/>
          <w:szCs w:val="24"/>
          <w:lang w:val="en-US"/>
        </w:rPr>
      </w:pPr>
      <w:r w:rsidRPr="00D0315B">
        <w:rPr>
          <w:rFonts w:eastAsia="Times New Roman" w:cs="Arial"/>
          <w:szCs w:val="24"/>
          <w:lang w:val="en-US"/>
        </w:rPr>
        <w:t xml:space="preserve">Schoenmaker, D. and Schramade, W. (2023) </w:t>
      </w:r>
      <w:r w:rsidRPr="00D0315B">
        <w:rPr>
          <w:rFonts w:eastAsia="Times New Roman" w:cs="Arial"/>
          <w:i/>
          <w:iCs/>
          <w:szCs w:val="24"/>
          <w:lang w:val="en-US"/>
        </w:rPr>
        <w:t>Corporate Finance for Long-Term Value</w:t>
      </w:r>
      <w:r w:rsidRPr="00D0315B">
        <w:rPr>
          <w:rFonts w:eastAsia="Times New Roman" w:cs="Arial"/>
          <w:szCs w:val="24"/>
          <w:lang w:val="en-US"/>
        </w:rPr>
        <w:t xml:space="preserve">. [online] </w:t>
      </w:r>
      <w:r w:rsidRPr="00D0315B">
        <w:rPr>
          <w:rFonts w:eastAsia="Times New Roman" w:cs="Arial"/>
          <w:i/>
          <w:iCs/>
          <w:szCs w:val="24"/>
          <w:lang w:val="en-US"/>
        </w:rPr>
        <w:t>library.oapen.org</w:t>
      </w:r>
      <w:r w:rsidRPr="00D0315B">
        <w:rPr>
          <w:rFonts w:eastAsia="Times New Roman" w:cs="Arial"/>
          <w:szCs w:val="24"/>
          <w:lang w:val="en-US"/>
        </w:rPr>
        <w:t>. Springer Nature. Available at: https://library.oapen.org/handle/20.500.12657/76724.</w:t>
      </w:r>
    </w:p>
    <w:p w14:paraId="5D689065" w14:textId="77777777" w:rsidR="00D0315B" w:rsidRPr="00D0315B" w:rsidRDefault="00D0315B" w:rsidP="00D0315B">
      <w:pPr>
        <w:spacing w:after="240"/>
        <w:ind w:left="720" w:hanging="720"/>
        <w:rPr>
          <w:rFonts w:eastAsia="Times New Roman" w:cs="Arial"/>
          <w:szCs w:val="24"/>
          <w:lang w:val="en-US"/>
        </w:rPr>
      </w:pPr>
      <w:r w:rsidRPr="00D0315B">
        <w:rPr>
          <w:rFonts w:eastAsia="Times New Roman" w:cs="Arial"/>
          <w:szCs w:val="24"/>
          <w:lang w:val="en-US"/>
        </w:rPr>
        <w:t xml:space="preserve">Shekhar, H. (2025) </w:t>
      </w:r>
      <w:r w:rsidRPr="00D0315B">
        <w:rPr>
          <w:rFonts w:eastAsia="Times New Roman" w:cs="Arial"/>
          <w:i/>
          <w:iCs/>
          <w:szCs w:val="24"/>
          <w:lang w:val="en-US"/>
        </w:rPr>
        <w:t>Ashes to Assets : the Art of Liquidation and Business Revival</w:t>
      </w:r>
      <w:r w:rsidRPr="00D0315B">
        <w:rPr>
          <w:rFonts w:eastAsia="Times New Roman" w:cs="Arial"/>
          <w:szCs w:val="24"/>
          <w:lang w:val="en-US"/>
        </w:rPr>
        <w:t>.</w:t>
      </w:r>
    </w:p>
    <w:p w14:paraId="0F786A0E" w14:textId="77777777" w:rsidR="00D0315B" w:rsidRPr="00D0315B" w:rsidRDefault="00D0315B" w:rsidP="00D0315B">
      <w:pPr>
        <w:spacing w:after="240"/>
        <w:ind w:left="720" w:hanging="720"/>
        <w:rPr>
          <w:rFonts w:eastAsia="Times New Roman" w:cs="Arial"/>
          <w:szCs w:val="24"/>
          <w:lang w:val="en-US"/>
        </w:rPr>
      </w:pPr>
      <w:r w:rsidRPr="00D0315B">
        <w:rPr>
          <w:rFonts w:eastAsia="Times New Roman" w:cs="Arial"/>
          <w:szCs w:val="24"/>
          <w:lang w:val="en-US"/>
        </w:rPr>
        <w:t xml:space="preserve">Tracy, A. (2012) </w:t>
      </w:r>
      <w:r w:rsidRPr="00D0315B">
        <w:rPr>
          <w:rFonts w:eastAsia="Times New Roman" w:cs="Arial"/>
          <w:i/>
          <w:iCs/>
          <w:szCs w:val="24"/>
          <w:lang w:val="en-US"/>
        </w:rPr>
        <w:t>Ratio analysis fundamentals : how 17 financial ratios can allow you to analyse any business on the planet</w:t>
      </w:r>
      <w:r w:rsidRPr="00D0315B">
        <w:rPr>
          <w:rFonts w:eastAsia="Times New Roman" w:cs="Arial"/>
          <w:szCs w:val="24"/>
          <w:lang w:val="en-US"/>
        </w:rPr>
        <w:t>. Brookvale, Australia: Accofina.</w:t>
      </w:r>
    </w:p>
    <w:p w14:paraId="19895C20" w14:textId="77777777" w:rsidR="00D0315B" w:rsidRPr="00D0315B" w:rsidRDefault="00D0315B" w:rsidP="00D0315B">
      <w:pPr>
        <w:spacing w:after="240"/>
        <w:ind w:left="720" w:hanging="720"/>
        <w:rPr>
          <w:rFonts w:eastAsia="Times New Roman" w:cs="Arial"/>
          <w:szCs w:val="24"/>
          <w:lang w:val="en-US"/>
        </w:rPr>
      </w:pPr>
      <w:r w:rsidRPr="00D0315B">
        <w:rPr>
          <w:rFonts w:eastAsia="Times New Roman" w:cs="Arial"/>
          <w:szCs w:val="24"/>
          <w:lang w:val="en-US"/>
        </w:rPr>
        <w:t xml:space="preserve">Vashisth, A., Salako, K. and Pinto, P. (2024) Digital assets valuation and financial reporting. </w:t>
      </w:r>
      <w:r w:rsidRPr="00D0315B">
        <w:rPr>
          <w:rFonts w:eastAsia="Times New Roman" w:cs="Arial"/>
          <w:i/>
          <w:iCs/>
          <w:szCs w:val="24"/>
          <w:lang w:val="en-US"/>
        </w:rPr>
        <w:t>CRC Press eBooks</w:t>
      </w:r>
      <w:r w:rsidRPr="00D0315B">
        <w:rPr>
          <w:rFonts w:eastAsia="Times New Roman" w:cs="Arial"/>
          <w:szCs w:val="24"/>
          <w:lang w:val="en-US"/>
        </w:rPr>
        <w:t>, pp.93–114. doi:https://doi.org/10.1201/9781003462033-7.</w:t>
      </w:r>
    </w:p>
    <w:p w14:paraId="45A00494" w14:textId="5A764939" w:rsidR="000E597F" w:rsidRDefault="00D0315B" w:rsidP="00D0315B">
      <w:pPr>
        <w:spacing w:after="240"/>
        <w:ind w:left="720" w:hanging="720"/>
        <w:rPr>
          <w:rFonts w:eastAsia="Times New Roman" w:cs="Arial"/>
          <w:szCs w:val="24"/>
          <w:lang w:val="en-US"/>
        </w:rPr>
      </w:pPr>
      <w:r w:rsidRPr="00D0315B">
        <w:rPr>
          <w:rFonts w:eastAsia="Times New Roman" w:cs="Arial"/>
          <w:szCs w:val="24"/>
          <w:lang w:val="en-US"/>
        </w:rPr>
        <w:lastRenderedPageBreak/>
        <w:t xml:space="preserve">Yan, X., Chen, L. and Ding, X. (2024) Optimal Cash Management with Payables Finance. </w:t>
      </w:r>
      <w:r w:rsidRPr="00D0315B">
        <w:rPr>
          <w:rFonts w:eastAsia="Times New Roman" w:cs="Arial"/>
          <w:i/>
          <w:iCs/>
          <w:szCs w:val="24"/>
          <w:lang w:val="en-US"/>
        </w:rPr>
        <w:t>Operations research</w:t>
      </w:r>
      <w:r w:rsidRPr="00D0315B">
        <w:rPr>
          <w:rFonts w:eastAsia="Times New Roman" w:cs="Arial"/>
          <w:szCs w:val="24"/>
          <w:lang w:val="en-US"/>
        </w:rPr>
        <w:t>. doi:https://doi.org/10.1287/opre.2022.0196.</w:t>
      </w:r>
    </w:p>
    <w:p w14:paraId="06E3E5A7" w14:textId="77777777" w:rsidR="000E597F" w:rsidRDefault="000E597F">
      <w:pPr>
        <w:spacing w:line="259" w:lineRule="auto"/>
        <w:jc w:val="left"/>
        <w:rPr>
          <w:rFonts w:eastAsia="Times New Roman" w:cs="Arial"/>
          <w:szCs w:val="24"/>
          <w:lang w:val="en-US"/>
        </w:rPr>
      </w:pPr>
      <w:r>
        <w:rPr>
          <w:rFonts w:eastAsia="Times New Roman" w:cs="Arial"/>
          <w:szCs w:val="24"/>
          <w:lang w:val="en-US"/>
        </w:rPr>
        <w:br w:type="page"/>
      </w:r>
    </w:p>
    <w:p w14:paraId="0F96128A" w14:textId="77777777" w:rsidR="000E597F" w:rsidRPr="00040651" w:rsidRDefault="000E597F" w:rsidP="000E597F">
      <w:pPr>
        <w:pStyle w:val="Heading1"/>
        <w:rPr>
          <w:rFonts w:cs="Arial"/>
          <w:color w:val="auto"/>
        </w:rPr>
      </w:pPr>
      <w:bookmarkStart w:id="58" w:name="_Toc213523830"/>
      <w:bookmarkStart w:id="59" w:name="_Toc214712772"/>
      <w:r w:rsidRPr="00BA1D53">
        <w:rPr>
          <w:rFonts w:cs="Arial"/>
          <w:color w:val="auto"/>
        </w:rPr>
        <w:lastRenderedPageBreak/>
        <w:t>Appendix</w:t>
      </w:r>
      <w:bookmarkEnd w:id="58"/>
      <w:bookmarkEnd w:id="59"/>
    </w:p>
    <w:tbl>
      <w:tblPr>
        <w:tblStyle w:val="GridTable4-Accent3"/>
        <w:tblW w:w="5000" w:type="pct"/>
        <w:tblLook w:val="04A0" w:firstRow="1" w:lastRow="0" w:firstColumn="1" w:lastColumn="0" w:noHBand="0" w:noVBand="1"/>
      </w:tblPr>
      <w:tblGrid>
        <w:gridCol w:w="3160"/>
        <w:gridCol w:w="1238"/>
        <w:gridCol w:w="1238"/>
        <w:gridCol w:w="1238"/>
        <w:gridCol w:w="1238"/>
        <w:gridCol w:w="1238"/>
      </w:tblGrid>
      <w:tr w:rsidR="000E597F" w:rsidRPr="00884CA1" w14:paraId="62F07883" w14:textId="77777777" w:rsidTr="0055650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000" w:type="pct"/>
            <w:gridSpan w:val="6"/>
            <w:noWrap/>
            <w:hideMark/>
          </w:tcPr>
          <w:p w14:paraId="0B51FA00" w14:textId="77777777" w:rsidR="000E597F" w:rsidRPr="00884CA1" w:rsidRDefault="000E597F" w:rsidP="00556504">
            <w:pPr>
              <w:jc w:val="center"/>
              <w:rPr>
                <w:rFonts w:cs="Arial"/>
                <w:b w:val="0"/>
                <w:bCs w:val="0"/>
                <w:color w:val="000000"/>
                <w:sz w:val="22"/>
                <w:lang w:eastAsia="zh-CN"/>
              </w:rPr>
            </w:pPr>
            <w:r w:rsidRPr="00884CA1">
              <w:rPr>
                <w:rFonts w:cs="Arial"/>
                <w:color w:val="000000"/>
                <w:sz w:val="22"/>
                <w:lang w:eastAsia="zh-CN"/>
              </w:rPr>
              <w:t>Consolidated Income Statement (£m)</w:t>
            </w:r>
          </w:p>
        </w:tc>
      </w:tr>
      <w:tr w:rsidR="000E597F" w:rsidRPr="00884CA1" w14:paraId="3E43EAB8"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90" w:type="pct"/>
            <w:hideMark/>
          </w:tcPr>
          <w:p w14:paraId="3E4C215E" w14:textId="77777777" w:rsidR="000E597F" w:rsidRPr="00884CA1" w:rsidRDefault="000E597F" w:rsidP="00556504">
            <w:pPr>
              <w:jc w:val="center"/>
              <w:rPr>
                <w:rFonts w:cs="Arial"/>
                <w:b w:val="0"/>
                <w:bCs w:val="0"/>
                <w:color w:val="000000"/>
                <w:sz w:val="18"/>
                <w:szCs w:val="18"/>
                <w:lang w:eastAsia="zh-CN"/>
              </w:rPr>
            </w:pPr>
          </w:p>
        </w:tc>
        <w:tc>
          <w:tcPr>
            <w:tcW w:w="662" w:type="pct"/>
            <w:noWrap/>
            <w:hideMark/>
          </w:tcPr>
          <w:p w14:paraId="09A8DC95"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2024</w:t>
            </w:r>
          </w:p>
        </w:tc>
        <w:tc>
          <w:tcPr>
            <w:tcW w:w="662" w:type="pct"/>
            <w:noWrap/>
            <w:hideMark/>
          </w:tcPr>
          <w:p w14:paraId="2E22F3E8"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2023</w:t>
            </w:r>
          </w:p>
        </w:tc>
        <w:tc>
          <w:tcPr>
            <w:tcW w:w="662" w:type="pct"/>
            <w:noWrap/>
            <w:hideMark/>
          </w:tcPr>
          <w:p w14:paraId="0DF3D277"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2022</w:t>
            </w:r>
          </w:p>
        </w:tc>
        <w:tc>
          <w:tcPr>
            <w:tcW w:w="662" w:type="pct"/>
            <w:noWrap/>
            <w:hideMark/>
          </w:tcPr>
          <w:p w14:paraId="5DDDE822"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2021</w:t>
            </w:r>
          </w:p>
        </w:tc>
        <w:tc>
          <w:tcPr>
            <w:tcW w:w="662" w:type="pct"/>
            <w:noWrap/>
            <w:hideMark/>
          </w:tcPr>
          <w:p w14:paraId="251F5671"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2020</w:t>
            </w:r>
          </w:p>
        </w:tc>
      </w:tr>
      <w:tr w:rsidR="000E597F" w:rsidRPr="00884CA1" w14:paraId="2A9F1F06"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1690" w:type="pct"/>
            <w:hideMark/>
          </w:tcPr>
          <w:p w14:paraId="4E905B20"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Net sales</w:t>
            </w:r>
          </w:p>
        </w:tc>
        <w:tc>
          <w:tcPr>
            <w:tcW w:w="662" w:type="pct"/>
            <w:noWrap/>
            <w:hideMark/>
          </w:tcPr>
          <w:p w14:paraId="1304C301"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394,879 </w:t>
            </w:r>
          </w:p>
        </w:tc>
        <w:tc>
          <w:tcPr>
            <w:tcW w:w="662" w:type="pct"/>
            <w:noWrap/>
            <w:hideMark/>
          </w:tcPr>
          <w:p w14:paraId="38B9B1D0"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420,457 </w:t>
            </w:r>
          </w:p>
        </w:tc>
        <w:tc>
          <w:tcPr>
            <w:tcW w:w="662" w:type="pct"/>
            <w:noWrap/>
            <w:hideMark/>
          </w:tcPr>
          <w:p w14:paraId="46E75819"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542,751 </w:t>
            </w:r>
          </w:p>
        </w:tc>
        <w:tc>
          <w:tcPr>
            <w:tcW w:w="662" w:type="pct"/>
            <w:noWrap/>
            <w:hideMark/>
          </w:tcPr>
          <w:p w14:paraId="342B8143"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601,602 </w:t>
            </w:r>
          </w:p>
        </w:tc>
        <w:tc>
          <w:tcPr>
            <w:tcW w:w="662" w:type="pct"/>
            <w:noWrap/>
            <w:hideMark/>
          </w:tcPr>
          <w:p w14:paraId="040ABA70"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614,680 </w:t>
            </w:r>
          </w:p>
        </w:tc>
      </w:tr>
      <w:tr w:rsidR="000E597F" w:rsidRPr="00884CA1" w14:paraId="3622488D"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90" w:type="pct"/>
            <w:hideMark/>
          </w:tcPr>
          <w:p w14:paraId="3575F5D5"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Cost of sales</w:t>
            </w:r>
          </w:p>
        </w:tc>
        <w:tc>
          <w:tcPr>
            <w:tcW w:w="662" w:type="pct"/>
            <w:noWrap/>
            <w:hideMark/>
          </w:tcPr>
          <w:p w14:paraId="0964BF41"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(280,885)</w:t>
            </w:r>
          </w:p>
        </w:tc>
        <w:tc>
          <w:tcPr>
            <w:tcW w:w="662" w:type="pct"/>
            <w:noWrap/>
            <w:hideMark/>
          </w:tcPr>
          <w:p w14:paraId="7909D00A"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(322,897)</w:t>
            </w:r>
          </w:p>
        </w:tc>
        <w:tc>
          <w:tcPr>
            <w:tcW w:w="662" w:type="pct"/>
            <w:noWrap/>
            <w:hideMark/>
          </w:tcPr>
          <w:p w14:paraId="087F0F04"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(390,459)</w:t>
            </w:r>
          </w:p>
        </w:tc>
        <w:tc>
          <w:tcPr>
            <w:tcW w:w="662" w:type="pct"/>
            <w:noWrap/>
            <w:hideMark/>
          </w:tcPr>
          <w:p w14:paraId="0D6FB7D7"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(428,586)</w:t>
            </w:r>
          </w:p>
        </w:tc>
        <w:tc>
          <w:tcPr>
            <w:tcW w:w="662" w:type="pct"/>
            <w:noWrap/>
            <w:hideMark/>
          </w:tcPr>
          <w:p w14:paraId="11EC6D1A"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(438,424)</w:t>
            </w:r>
          </w:p>
        </w:tc>
      </w:tr>
      <w:tr w:rsidR="000E597F" w:rsidRPr="00884CA1" w14:paraId="26A4188B"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1690" w:type="pct"/>
            <w:hideMark/>
          </w:tcPr>
          <w:p w14:paraId="5C461559"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Gross profit</w:t>
            </w:r>
          </w:p>
        </w:tc>
        <w:tc>
          <w:tcPr>
            <w:tcW w:w="662" w:type="pct"/>
            <w:noWrap/>
            <w:hideMark/>
          </w:tcPr>
          <w:p w14:paraId="07ADE628"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113,994 </w:t>
            </w:r>
          </w:p>
        </w:tc>
        <w:tc>
          <w:tcPr>
            <w:tcW w:w="662" w:type="pct"/>
            <w:noWrap/>
            <w:hideMark/>
          </w:tcPr>
          <w:p w14:paraId="35633272"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97,560 </w:t>
            </w:r>
          </w:p>
        </w:tc>
        <w:tc>
          <w:tcPr>
            <w:tcW w:w="662" w:type="pct"/>
            <w:noWrap/>
            <w:hideMark/>
          </w:tcPr>
          <w:p w14:paraId="399315CF"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152,292 </w:t>
            </w:r>
          </w:p>
        </w:tc>
        <w:tc>
          <w:tcPr>
            <w:tcW w:w="662" w:type="pct"/>
            <w:noWrap/>
            <w:hideMark/>
          </w:tcPr>
          <w:p w14:paraId="5AB86A3C"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173,016 </w:t>
            </w:r>
          </w:p>
        </w:tc>
        <w:tc>
          <w:tcPr>
            <w:tcW w:w="662" w:type="pct"/>
            <w:noWrap/>
            <w:hideMark/>
          </w:tcPr>
          <w:p w14:paraId="6FD056F0"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176,256 </w:t>
            </w:r>
          </w:p>
        </w:tc>
      </w:tr>
      <w:tr w:rsidR="000E597F" w:rsidRPr="00884CA1" w14:paraId="74B50274"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90" w:type="pct"/>
            <w:hideMark/>
          </w:tcPr>
          <w:p w14:paraId="004E60F2"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Operating expenses</w:t>
            </w:r>
          </w:p>
        </w:tc>
        <w:tc>
          <w:tcPr>
            <w:tcW w:w="662" w:type="pct"/>
            <w:noWrap/>
            <w:hideMark/>
          </w:tcPr>
          <w:p w14:paraId="59E9CC39"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129,291 </w:t>
            </w:r>
          </w:p>
        </w:tc>
        <w:tc>
          <w:tcPr>
            <w:tcW w:w="662" w:type="pct"/>
            <w:noWrap/>
            <w:hideMark/>
          </w:tcPr>
          <w:p w14:paraId="794C9C45"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182,861 </w:t>
            </w:r>
          </w:p>
        </w:tc>
        <w:tc>
          <w:tcPr>
            <w:tcW w:w="662" w:type="pct"/>
            <w:noWrap/>
            <w:hideMark/>
          </w:tcPr>
          <w:p w14:paraId="0B13EB12"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137,744 </w:t>
            </w:r>
          </w:p>
        </w:tc>
        <w:tc>
          <w:tcPr>
            <w:tcW w:w="662" w:type="pct"/>
            <w:noWrap/>
            <w:hideMark/>
          </w:tcPr>
          <w:p w14:paraId="162DC983"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149,763 </w:t>
            </w:r>
          </w:p>
        </w:tc>
        <w:tc>
          <w:tcPr>
            <w:tcW w:w="662" w:type="pct"/>
            <w:noWrap/>
            <w:hideMark/>
          </w:tcPr>
          <w:p w14:paraId="7598745D"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138,989 </w:t>
            </w:r>
          </w:p>
        </w:tc>
      </w:tr>
      <w:tr w:rsidR="000E597F" w:rsidRPr="00884CA1" w14:paraId="789CD736"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1690" w:type="pct"/>
            <w:hideMark/>
          </w:tcPr>
          <w:p w14:paraId="5F2C00EB"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Operating income (loss)</w:t>
            </w:r>
          </w:p>
        </w:tc>
        <w:tc>
          <w:tcPr>
            <w:tcW w:w="662" w:type="pct"/>
            <w:noWrap/>
            <w:hideMark/>
          </w:tcPr>
          <w:p w14:paraId="362C1D0D"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(15,297)</w:t>
            </w:r>
          </w:p>
        </w:tc>
        <w:tc>
          <w:tcPr>
            <w:tcW w:w="662" w:type="pct"/>
            <w:noWrap/>
            <w:hideMark/>
          </w:tcPr>
          <w:p w14:paraId="556341DB"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(85,301)</w:t>
            </w:r>
          </w:p>
        </w:tc>
        <w:tc>
          <w:tcPr>
            <w:tcW w:w="662" w:type="pct"/>
            <w:noWrap/>
            <w:hideMark/>
          </w:tcPr>
          <w:p w14:paraId="5BE248FF"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14,548 </w:t>
            </w:r>
          </w:p>
        </w:tc>
        <w:tc>
          <w:tcPr>
            <w:tcW w:w="662" w:type="pct"/>
            <w:noWrap/>
            <w:hideMark/>
          </w:tcPr>
          <w:p w14:paraId="131741B2"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23,253 </w:t>
            </w:r>
          </w:p>
        </w:tc>
        <w:tc>
          <w:tcPr>
            <w:tcW w:w="662" w:type="pct"/>
            <w:noWrap/>
            <w:hideMark/>
          </w:tcPr>
          <w:p w14:paraId="7E400215"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37,267 </w:t>
            </w:r>
          </w:p>
        </w:tc>
      </w:tr>
      <w:tr w:rsidR="000E597F" w:rsidRPr="00884CA1" w14:paraId="46557A1C"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90" w:type="pct"/>
            <w:hideMark/>
          </w:tcPr>
          <w:p w14:paraId="33F92EED"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Interest income (expenses)</w:t>
            </w:r>
          </w:p>
        </w:tc>
        <w:tc>
          <w:tcPr>
            <w:tcW w:w="662" w:type="pct"/>
            <w:noWrap/>
            <w:hideMark/>
          </w:tcPr>
          <w:p w14:paraId="7989FAC2"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(3,361)</w:t>
            </w:r>
          </w:p>
        </w:tc>
        <w:tc>
          <w:tcPr>
            <w:tcW w:w="662" w:type="pct"/>
            <w:noWrap/>
            <w:hideMark/>
          </w:tcPr>
          <w:p w14:paraId="3D65DB50"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(4,332)</w:t>
            </w:r>
          </w:p>
        </w:tc>
        <w:tc>
          <w:tcPr>
            <w:tcW w:w="662" w:type="pct"/>
            <w:noWrap/>
            <w:hideMark/>
          </w:tcPr>
          <w:p w14:paraId="079B6934"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(2,200)</w:t>
            </w:r>
          </w:p>
        </w:tc>
        <w:tc>
          <w:tcPr>
            <w:tcW w:w="662" w:type="pct"/>
            <w:noWrap/>
            <w:hideMark/>
          </w:tcPr>
          <w:p w14:paraId="701F9AE6"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(566)</w:t>
            </w:r>
          </w:p>
        </w:tc>
        <w:tc>
          <w:tcPr>
            <w:tcW w:w="662" w:type="pct"/>
            <w:noWrap/>
            <w:hideMark/>
          </w:tcPr>
          <w:p w14:paraId="07864D70"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(1,422)</w:t>
            </w:r>
          </w:p>
        </w:tc>
      </w:tr>
      <w:tr w:rsidR="000E597F" w:rsidRPr="00884CA1" w14:paraId="272554C7"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1690" w:type="pct"/>
            <w:hideMark/>
          </w:tcPr>
          <w:p w14:paraId="583A5565"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Other income (expenses)</w:t>
            </w:r>
          </w:p>
        </w:tc>
        <w:tc>
          <w:tcPr>
            <w:tcW w:w="662" w:type="pct"/>
            <w:noWrap/>
            <w:hideMark/>
          </w:tcPr>
          <w:p w14:paraId="50EAD9A2"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60 </w:t>
            </w:r>
          </w:p>
        </w:tc>
        <w:tc>
          <w:tcPr>
            <w:tcW w:w="662" w:type="pct"/>
            <w:noWrap/>
            <w:hideMark/>
          </w:tcPr>
          <w:p w14:paraId="5CAC02CD"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(2,621)</w:t>
            </w:r>
          </w:p>
        </w:tc>
        <w:tc>
          <w:tcPr>
            <w:tcW w:w="662" w:type="pct"/>
            <w:noWrap/>
            <w:hideMark/>
          </w:tcPr>
          <w:p w14:paraId="4DF46257"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(955)</w:t>
            </w:r>
          </w:p>
        </w:tc>
        <w:tc>
          <w:tcPr>
            <w:tcW w:w="662" w:type="pct"/>
            <w:noWrap/>
            <w:hideMark/>
          </w:tcPr>
          <w:p w14:paraId="336D84B7"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(6,607)</w:t>
            </w:r>
          </w:p>
        </w:tc>
        <w:tc>
          <w:tcPr>
            <w:tcW w:w="662" w:type="pct"/>
            <w:noWrap/>
            <w:hideMark/>
          </w:tcPr>
          <w:p w14:paraId="0B89238B"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8,060 </w:t>
            </w:r>
          </w:p>
        </w:tc>
      </w:tr>
      <w:tr w:rsidR="000E597F" w:rsidRPr="00884CA1" w14:paraId="3EBEBF75" w14:textId="77777777" w:rsidTr="00556504">
        <w:trPr>
          <w:cnfStyle w:val="000000100000" w:firstRow="0" w:lastRow="0" w:firstColumn="0" w:lastColumn="0" w:oddVBand="0" w:evenVBand="0" w:oddHBand="1" w:evenHBand="0" w:firstRowFirstColumn="0" w:firstRowLastColumn="0" w:lastRowFirstColumn="0" w:lastRowLastColumn="0"/>
          <w:trHeight w:val="495"/>
        </w:trPr>
        <w:tc>
          <w:tcPr>
            <w:cnfStyle w:val="001000000000" w:firstRow="0" w:lastRow="0" w:firstColumn="1" w:lastColumn="0" w:oddVBand="0" w:evenVBand="0" w:oddHBand="0" w:evenHBand="0" w:firstRowFirstColumn="0" w:firstRowLastColumn="0" w:lastRowFirstColumn="0" w:lastRowLastColumn="0"/>
            <w:tcW w:w="1690" w:type="pct"/>
            <w:hideMark/>
          </w:tcPr>
          <w:p w14:paraId="5E32227E"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Income (loss) before provision for income taxes</w:t>
            </w:r>
          </w:p>
        </w:tc>
        <w:tc>
          <w:tcPr>
            <w:tcW w:w="662" w:type="pct"/>
            <w:noWrap/>
            <w:hideMark/>
          </w:tcPr>
          <w:p w14:paraId="44623190"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(18,598)</w:t>
            </w:r>
          </w:p>
        </w:tc>
        <w:tc>
          <w:tcPr>
            <w:tcW w:w="662" w:type="pct"/>
            <w:noWrap/>
            <w:hideMark/>
          </w:tcPr>
          <w:p w14:paraId="06142979"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(92,254)</w:t>
            </w:r>
          </w:p>
        </w:tc>
        <w:tc>
          <w:tcPr>
            <w:tcW w:w="662" w:type="pct"/>
            <w:noWrap/>
            <w:hideMark/>
          </w:tcPr>
          <w:p w14:paraId="4E87B75C"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11,393 </w:t>
            </w:r>
          </w:p>
        </w:tc>
        <w:tc>
          <w:tcPr>
            <w:tcW w:w="662" w:type="pct"/>
            <w:noWrap/>
            <w:hideMark/>
          </w:tcPr>
          <w:p w14:paraId="47922B4C"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16,080 </w:t>
            </w:r>
          </w:p>
        </w:tc>
        <w:tc>
          <w:tcPr>
            <w:tcW w:w="662" w:type="pct"/>
            <w:noWrap/>
            <w:hideMark/>
          </w:tcPr>
          <w:p w14:paraId="4D93EB82"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43,905 </w:t>
            </w:r>
          </w:p>
        </w:tc>
      </w:tr>
      <w:tr w:rsidR="000E597F" w:rsidRPr="00884CA1" w14:paraId="2BF4DE1D"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1690" w:type="pct"/>
            <w:hideMark/>
          </w:tcPr>
          <w:p w14:paraId="36C3AE31"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Income taxes</w:t>
            </w:r>
          </w:p>
        </w:tc>
        <w:tc>
          <w:tcPr>
            <w:tcW w:w="662" w:type="pct"/>
            <w:noWrap/>
            <w:hideMark/>
          </w:tcPr>
          <w:p w14:paraId="0BFE5A9B"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(5,431)</w:t>
            </w:r>
          </w:p>
        </w:tc>
        <w:tc>
          <w:tcPr>
            <w:tcW w:w="662" w:type="pct"/>
            <w:noWrap/>
            <w:hideMark/>
          </w:tcPr>
          <w:p w14:paraId="37E6A6C1"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(5,984)</w:t>
            </w:r>
          </w:p>
        </w:tc>
        <w:tc>
          <w:tcPr>
            <w:tcW w:w="662" w:type="pct"/>
            <w:noWrap/>
            <w:hideMark/>
          </w:tcPr>
          <w:p w14:paraId="269807AA"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(10,986)</w:t>
            </w:r>
          </w:p>
        </w:tc>
        <w:tc>
          <w:tcPr>
            <w:tcW w:w="662" w:type="pct"/>
            <w:noWrap/>
            <w:hideMark/>
          </w:tcPr>
          <w:p w14:paraId="316ADE86"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(10,779)</w:t>
            </w:r>
          </w:p>
        </w:tc>
        <w:tc>
          <w:tcPr>
            <w:tcW w:w="662" w:type="pct"/>
            <w:noWrap/>
            <w:hideMark/>
          </w:tcPr>
          <w:p w14:paraId="6BE78561"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(5,333)</w:t>
            </w:r>
          </w:p>
        </w:tc>
      </w:tr>
      <w:tr w:rsidR="000E597F" w:rsidRPr="00884CA1" w14:paraId="1DBD936E"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90" w:type="pct"/>
            <w:hideMark/>
          </w:tcPr>
          <w:p w14:paraId="6BF9CC62"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Net income (loss)</w:t>
            </w:r>
          </w:p>
        </w:tc>
        <w:tc>
          <w:tcPr>
            <w:tcW w:w="662" w:type="pct"/>
            <w:noWrap/>
            <w:hideMark/>
          </w:tcPr>
          <w:p w14:paraId="6922C13D"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(24,029)</w:t>
            </w:r>
          </w:p>
        </w:tc>
        <w:tc>
          <w:tcPr>
            <w:tcW w:w="662" w:type="pct"/>
            <w:noWrap/>
            <w:hideMark/>
          </w:tcPr>
          <w:p w14:paraId="755C21E4"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(98,238)</w:t>
            </w:r>
          </w:p>
        </w:tc>
        <w:tc>
          <w:tcPr>
            <w:tcW w:w="662" w:type="pct"/>
            <w:noWrap/>
            <w:hideMark/>
          </w:tcPr>
          <w:p w14:paraId="6A8D14C6"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407 </w:t>
            </w:r>
          </w:p>
        </w:tc>
        <w:tc>
          <w:tcPr>
            <w:tcW w:w="662" w:type="pct"/>
            <w:noWrap/>
            <w:hideMark/>
          </w:tcPr>
          <w:p w14:paraId="4162CDF7"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5,301 </w:t>
            </w:r>
          </w:p>
        </w:tc>
        <w:tc>
          <w:tcPr>
            <w:tcW w:w="662" w:type="pct"/>
            <w:noWrap/>
            <w:hideMark/>
          </w:tcPr>
          <w:p w14:paraId="06845500"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38,572 </w:t>
            </w:r>
          </w:p>
        </w:tc>
      </w:tr>
      <w:tr w:rsidR="000E597F" w:rsidRPr="00884CA1" w14:paraId="65B9F661"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1690" w:type="pct"/>
            <w:hideMark/>
          </w:tcPr>
          <w:p w14:paraId="0CCD9FCE" w14:textId="77777777" w:rsidR="000E597F" w:rsidRPr="00884CA1" w:rsidRDefault="000E597F" w:rsidP="00556504">
            <w:pPr>
              <w:jc w:val="right"/>
              <w:rPr>
                <w:rFonts w:cs="Arial"/>
                <w:color w:val="000000"/>
                <w:sz w:val="18"/>
                <w:szCs w:val="18"/>
                <w:lang w:eastAsia="zh-CN"/>
              </w:rPr>
            </w:pPr>
          </w:p>
        </w:tc>
        <w:tc>
          <w:tcPr>
            <w:tcW w:w="662" w:type="pct"/>
            <w:noWrap/>
            <w:hideMark/>
          </w:tcPr>
          <w:p w14:paraId="47786832" w14:textId="77777777" w:rsidR="000E597F" w:rsidRPr="00884CA1"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c>
          <w:tcPr>
            <w:tcW w:w="662" w:type="pct"/>
            <w:noWrap/>
            <w:hideMark/>
          </w:tcPr>
          <w:p w14:paraId="71420F24" w14:textId="77777777" w:rsidR="000E597F" w:rsidRPr="00884CA1"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c>
          <w:tcPr>
            <w:tcW w:w="662" w:type="pct"/>
            <w:noWrap/>
            <w:hideMark/>
          </w:tcPr>
          <w:p w14:paraId="0E4BD523" w14:textId="77777777" w:rsidR="000E597F" w:rsidRPr="00884CA1"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c>
          <w:tcPr>
            <w:tcW w:w="662" w:type="pct"/>
            <w:noWrap/>
            <w:hideMark/>
          </w:tcPr>
          <w:p w14:paraId="0E3C5957" w14:textId="77777777" w:rsidR="000E597F" w:rsidRPr="00884CA1"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c>
          <w:tcPr>
            <w:tcW w:w="662" w:type="pct"/>
            <w:noWrap/>
            <w:hideMark/>
          </w:tcPr>
          <w:p w14:paraId="3C3C05DE" w14:textId="77777777" w:rsidR="000E597F" w:rsidRPr="00884CA1"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r>
      <w:tr w:rsidR="000E597F" w:rsidRPr="00884CA1" w14:paraId="3B31ECF6"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000" w:type="pct"/>
            <w:gridSpan w:val="6"/>
            <w:noWrap/>
            <w:hideMark/>
          </w:tcPr>
          <w:p w14:paraId="2A2DD430"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Earnings (loss) per share</w:t>
            </w:r>
          </w:p>
        </w:tc>
      </w:tr>
      <w:tr w:rsidR="000E597F" w:rsidRPr="00884CA1" w14:paraId="6036F872"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1690" w:type="pct"/>
            <w:hideMark/>
          </w:tcPr>
          <w:p w14:paraId="055C63B3"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Basic (£)</w:t>
            </w:r>
          </w:p>
        </w:tc>
        <w:tc>
          <w:tcPr>
            <w:tcW w:w="662" w:type="pct"/>
            <w:noWrap/>
            <w:hideMark/>
          </w:tcPr>
          <w:p w14:paraId="446984B2"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-1.85</w:t>
            </w:r>
          </w:p>
        </w:tc>
        <w:tc>
          <w:tcPr>
            <w:tcW w:w="662" w:type="pct"/>
            <w:noWrap/>
            <w:hideMark/>
          </w:tcPr>
          <w:p w14:paraId="1F14831F"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-7.64</w:t>
            </w:r>
          </w:p>
        </w:tc>
        <w:tc>
          <w:tcPr>
            <w:tcW w:w="662" w:type="pct"/>
            <w:noWrap/>
            <w:hideMark/>
          </w:tcPr>
          <w:p w14:paraId="70F709A9"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0.03</w:t>
            </w:r>
          </w:p>
        </w:tc>
        <w:tc>
          <w:tcPr>
            <w:tcW w:w="662" w:type="pct"/>
            <w:noWrap/>
            <w:hideMark/>
          </w:tcPr>
          <w:p w14:paraId="503A8A96"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0.39</w:t>
            </w:r>
          </w:p>
        </w:tc>
        <w:tc>
          <w:tcPr>
            <w:tcW w:w="662" w:type="pct"/>
            <w:noWrap/>
            <w:hideMark/>
          </w:tcPr>
          <w:p w14:paraId="70E36F6F"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2.78</w:t>
            </w:r>
          </w:p>
        </w:tc>
      </w:tr>
      <w:tr w:rsidR="000E597F" w:rsidRPr="00884CA1" w14:paraId="7C46B2A8"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90" w:type="pct"/>
            <w:hideMark/>
          </w:tcPr>
          <w:p w14:paraId="37E628D2"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Diluted (£)</w:t>
            </w:r>
          </w:p>
        </w:tc>
        <w:tc>
          <w:tcPr>
            <w:tcW w:w="662" w:type="pct"/>
            <w:noWrap/>
            <w:hideMark/>
          </w:tcPr>
          <w:p w14:paraId="13B8E05A"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-1.85</w:t>
            </w:r>
          </w:p>
        </w:tc>
        <w:tc>
          <w:tcPr>
            <w:tcW w:w="662" w:type="pct"/>
            <w:noWrap/>
            <w:hideMark/>
          </w:tcPr>
          <w:p w14:paraId="36838AED"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-7.64</w:t>
            </w:r>
          </w:p>
        </w:tc>
        <w:tc>
          <w:tcPr>
            <w:tcW w:w="662" w:type="pct"/>
            <w:noWrap/>
            <w:hideMark/>
          </w:tcPr>
          <w:p w14:paraId="6F7582B5"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0.03</w:t>
            </w:r>
          </w:p>
        </w:tc>
        <w:tc>
          <w:tcPr>
            <w:tcW w:w="662" w:type="pct"/>
            <w:noWrap/>
            <w:hideMark/>
          </w:tcPr>
          <w:p w14:paraId="0A244714"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0.39</w:t>
            </w:r>
          </w:p>
        </w:tc>
        <w:tc>
          <w:tcPr>
            <w:tcW w:w="662" w:type="pct"/>
            <w:noWrap/>
            <w:hideMark/>
          </w:tcPr>
          <w:p w14:paraId="2CC77E58"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2.72</w:t>
            </w:r>
          </w:p>
        </w:tc>
      </w:tr>
      <w:tr w:rsidR="000E597F" w:rsidRPr="00884CA1" w14:paraId="364BA202"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5000" w:type="pct"/>
            <w:gridSpan w:val="6"/>
            <w:noWrap/>
            <w:hideMark/>
          </w:tcPr>
          <w:p w14:paraId="3F40DC2E"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Shares used in computing earnings (loss) per share</w:t>
            </w:r>
          </w:p>
        </w:tc>
      </w:tr>
      <w:tr w:rsidR="000E597F" w:rsidRPr="00884CA1" w14:paraId="164BACBE"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690" w:type="pct"/>
            <w:hideMark/>
          </w:tcPr>
          <w:p w14:paraId="0E9303A4"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Basic</w:t>
            </w:r>
          </w:p>
        </w:tc>
        <w:tc>
          <w:tcPr>
            <w:tcW w:w="662" w:type="pct"/>
            <w:noWrap/>
            <w:hideMark/>
          </w:tcPr>
          <w:p w14:paraId="38FF670C"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12,959</w:t>
            </w:r>
          </w:p>
        </w:tc>
        <w:tc>
          <w:tcPr>
            <w:tcW w:w="662" w:type="pct"/>
            <w:noWrap/>
            <w:hideMark/>
          </w:tcPr>
          <w:p w14:paraId="3921013D"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12,855</w:t>
            </w:r>
          </w:p>
        </w:tc>
        <w:tc>
          <w:tcPr>
            <w:tcW w:w="662" w:type="pct"/>
            <w:noWrap/>
            <w:hideMark/>
          </w:tcPr>
          <w:p w14:paraId="42395EBF"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12,703</w:t>
            </w:r>
          </w:p>
        </w:tc>
        <w:tc>
          <w:tcPr>
            <w:tcW w:w="662" w:type="pct"/>
            <w:noWrap/>
            <w:hideMark/>
          </w:tcPr>
          <w:p w14:paraId="2DF49A35"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13,465</w:t>
            </w:r>
          </w:p>
        </w:tc>
        <w:tc>
          <w:tcPr>
            <w:tcW w:w="662" w:type="pct"/>
            <w:noWrap/>
            <w:hideMark/>
          </w:tcPr>
          <w:p w14:paraId="1BCCAE69"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13,893</w:t>
            </w:r>
          </w:p>
        </w:tc>
      </w:tr>
      <w:tr w:rsidR="000E597F" w:rsidRPr="00884CA1" w14:paraId="27920025"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1690" w:type="pct"/>
            <w:hideMark/>
          </w:tcPr>
          <w:p w14:paraId="702EAA25"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Diluted</w:t>
            </w:r>
          </w:p>
        </w:tc>
        <w:tc>
          <w:tcPr>
            <w:tcW w:w="662" w:type="pct"/>
            <w:noWrap/>
            <w:hideMark/>
          </w:tcPr>
          <w:p w14:paraId="49424554"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12,959</w:t>
            </w:r>
          </w:p>
        </w:tc>
        <w:tc>
          <w:tcPr>
            <w:tcW w:w="662" w:type="pct"/>
            <w:noWrap/>
            <w:hideMark/>
          </w:tcPr>
          <w:p w14:paraId="0E6A72F9"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12,855</w:t>
            </w:r>
          </w:p>
        </w:tc>
        <w:tc>
          <w:tcPr>
            <w:tcW w:w="662" w:type="pct"/>
            <w:noWrap/>
            <w:hideMark/>
          </w:tcPr>
          <w:p w14:paraId="24C96A90"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12,779</w:t>
            </w:r>
          </w:p>
        </w:tc>
        <w:tc>
          <w:tcPr>
            <w:tcW w:w="662" w:type="pct"/>
            <w:noWrap/>
            <w:hideMark/>
          </w:tcPr>
          <w:p w14:paraId="5E09E150"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13,742</w:t>
            </w:r>
          </w:p>
        </w:tc>
        <w:tc>
          <w:tcPr>
            <w:tcW w:w="662" w:type="pct"/>
            <w:noWrap/>
            <w:hideMark/>
          </w:tcPr>
          <w:p w14:paraId="3C15B372"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14,166</w:t>
            </w:r>
          </w:p>
        </w:tc>
      </w:tr>
    </w:tbl>
    <w:p w14:paraId="271C5C37" w14:textId="77777777" w:rsidR="000E597F" w:rsidRPr="00884CA1" w:rsidRDefault="000E597F" w:rsidP="000E597F">
      <w:pPr>
        <w:rPr>
          <w:b/>
          <w:bCs/>
        </w:rPr>
      </w:pPr>
    </w:p>
    <w:p w14:paraId="060A7C7B" w14:textId="77777777" w:rsidR="000E597F" w:rsidRDefault="000E597F" w:rsidP="000E597F">
      <w:pPr>
        <w:pStyle w:val="Heading2"/>
        <w:rPr>
          <w:rFonts w:cs="Arial"/>
          <w:color w:val="auto"/>
        </w:rPr>
      </w:pPr>
    </w:p>
    <w:tbl>
      <w:tblPr>
        <w:tblStyle w:val="GridTable4-Accent3"/>
        <w:tblW w:w="5000" w:type="pct"/>
        <w:tblLook w:val="04A0" w:firstRow="1" w:lastRow="0" w:firstColumn="1" w:lastColumn="0" w:noHBand="0" w:noVBand="1"/>
      </w:tblPr>
      <w:tblGrid>
        <w:gridCol w:w="4229"/>
        <w:gridCol w:w="1025"/>
        <w:gridCol w:w="1025"/>
        <w:gridCol w:w="1025"/>
        <w:gridCol w:w="1025"/>
        <w:gridCol w:w="1021"/>
      </w:tblGrid>
      <w:tr w:rsidR="000E597F" w:rsidRPr="00884CA1" w14:paraId="14218D7A" w14:textId="77777777" w:rsidTr="0055650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000" w:type="pct"/>
            <w:gridSpan w:val="6"/>
            <w:noWrap/>
            <w:hideMark/>
          </w:tcPr>
          <w:p w14:paraId="5B562DA2" w14:textId="77777777" w:rsidR="000E597F" w:rsidRPr="00884CA1" w:rsidRDefault="000E597F" w:rsidP="00556504">
            <w:pPr>
              <w:jc w:val="center"/>
              <w:rPr>
                <w:rFonts w:cs="Arial"/>
                <w:b w:val="0"/>
                <w:bCs w:val="0"/>
                <w:color w:val="000000"/>
                <w:sz w:val="22"/>
                <w:lang w:eastAsia="zh-CN"/>
              </w:rPr>
            </w:pPr>
            <w:r w:rsidRPr="00884CA1">
              <w:rPr>
                <w:rFonts w:cs="Arial"/>
                <w:color w:val="000000"/>
                <w:sz w:val="22"/>
                <w:lang w:eastAsia="zh-CN"/>
              </w:rPr>
              <w:t>Consolidated Financial Position (£m)</w:t>
            </w:r>
          </w:p>
        </w:tc>
      </w:tr>
      <w:tr w:rsidR="000E597F" w:rsidRPr="00884CA1" w14:paraId="6EE71B9F"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663D2AD4" w14:textId="77777777" w:rsidR="000E597F" w:rsidRPr="00884CA1" w:rsidRDefault="000E597F" w:rsidP="00556504">
            <w:pPr>
              <w:jc w:val="center"/>
              <w:rPr>
                <w:rFonts w:cs="Arial"/>
                <w:b w:val="0"/>
                <w:bCs w:val="0"/>
                <w:color w:val="000000"/>
                <w:sz w:val="18"/>
                <w:szCs w:val="18"/>
                <w:lang w:eastAsia="zh-CN"/>
              </w:rPr>
            </w:pPr>
          </w:p>
        </w:tc>
        <w:tc>
          <w:tcPr>
            <w:tcW w:w="548" w:type="pct"/>
            <w:noWrap/>
            <w:hideMark/>
          </w:tcPr>
          <w:p w14:paraId="53A0F8FB"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2024</w:t>
            </w:r>
          </w:p>
        </w:tc>
        <w:tc>
          <w:tcPr>
            <w:tcW w:w="548" w:type="pct"/>
            <w:noWrap/>
            <w:hideMark/>
          </w:tcPr>
          <w:p w14:paraId="617C9996"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2023</w:t>
            </w:r>
          </w:p>
        </w:tc>
        <w:tc>
          <w:tcPr>
            <w:tcW w:w="548" w:type="pct"/>
            <w:noWrap/>
            <w:hideMark/>
          </w:tcPr>
          <w:p w14:paraId="041CF89F"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2022</w:t>
            </w:r>
          </w:p>
        </w:tc>
        <w:tc>
          <w:tcPr>
            <w:tcW w:w="548" w:type="pct"/>
            <w:noWrap/>
            <w:hideMark/>
          </w:tcPr>
          <w:p w14:paraId="667A992B"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2021</w:t>
            </w:r>
          </w:p>
        </w:tc>
        <w:tc>
          <w:tcPr>
            <w:tcW w:w="548" w:type="pct"/>
            <w:noWrap/>
            <w:hideMark/>
          </w:tcPr>
          <w:p w14:paraId="0852E350"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2020</w:t>
            </w:r>
          </w:p>
        </w:tc>
      </w:tr>
      <w:tr w:rsidR="000E597F" w:rsidRPr="00884CA1" w14:paraId="50C3DDDC"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331B9F5E"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Assets</w:t>
            </w:r>
          </w:p>
        </w:tc>
        <w:tc>
          <w:tcPr>
            <w:tcW w:w="548" w:type="pct"/>
            <w:noWrap/>
            <w:hideMark/>
          </w:tcPr>
          <w:p w14:paraId="45BDB5AF" w14:textId="77777777" w:rsidR="000E597F" w:rsidRPr="00884CA1" w:rsidRDefault="000E597F" w:rsidP="00556504">
            <w:pPr>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c>
          <w:tcPr>
            <w:tcW w:w="548" w:type="pct"/>
            <w:noWrap/>
            <w:hideMark/>
          </w:tcPr>
          <w:p w14:paraId="19EFE0EE" w14:textId="77777777" w:rsidR="000E597F" w:rsidRPr="00884CA1"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c>
          <w:tcPr>
            <w:tcW w:w="548" w:type="pct"/>
            <w:noWrap/>
            <w:hideMark/>
          </w:tcPr>
          <w:p w14:paraId="2294C296" w14:textId="77777777" w:rsidR="000E597F" w:rsidRPr="00884CA1"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c>
          <w:tcPr>
            <w:tcW w:w="548" w:type="pct"/>
            <w:noWrap/>
            <w:hideMark/>
          </w:tcPr>
          <w:p w14:paraId="3FF9A9D7" w14:textId="77777777" w:rsidR="000E597F" w:rsidRPr="00884CA1"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c>
          <w:tcPr>
            <w:tcW w:w="548" w:type="pct"/>
            <w:noWrap/>
            <w:hideMark/>
          </w:tcPr>
          <w:p w14:paraId="67F58388" w14:textId="77777777" w:rsidR="000E597F" w:rsidRPr="00884CA1"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r>
      <w:tr w:rsidR="000E597F" w:rsidRPr="00884CA1" w14:paraId="10DF90A8"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05231884"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Current assets</w:t>
            </w:r>
          </w:p>
        </w:tc>
        <w:tc>
          <w:tcPr>
            <w:tcW w:w="548" w:type="pct"/>
            <w:noWrap/>
            <w:hideMark/>
          </w:tcPr>
          <w:p w14:paraId="2E704065" w14:textId="77777777" w:rsidR="000E597F" w:rsidRPr="00884CA1" w:rsidRDefault="000E597F" w:rsidP="00556504">
            <w:pPr>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p>
        </w:tc>
        <w:tc>
          <w:tcPr>
            <w:tcW w:w="548" w:type="pct"/>
            <w:noWrap/>
            <w:hideMark/>
          </w:tcPr>
          <w:p w14:paraId="23631E43" w14:textId="77777777" w:rsidR="000E597F" w:rsidRPr="00884CA1" w:rsidRDefault="000E597F" w:rsidP="00556504">
            <w:pPr>
              <w:cnfStyle w:val="000000100000" w:firstRow="0" w:lastRow="0" w:firstColumn="0" w:lastColumn="0" w:oddVBand="0" w:evenVBand="0" w:oddHBand="1" w:evenHBand="0" w:firstRowFirstColumn="0" w:firstRowLastColumn="0" w:lastRowFirstColumn="0" w:lastRowLastColumn="0"/>
              <w:rPr>
                <w:rFonts w:cs="Arial"/>
                <w:lang w:eastAsia="zh-CN"/>
              </w:rPr>
            </w:pPr>
          </w:p>
        </w:tc>
        <w:tc>
          <w:tcPr>
            <w:tcW w:w="548" w:type="pct"/>
            <w:noWrap/>
            <w:hideMark/>
          </w:tcPr>
          <w:p w14:paraId="2C8CB354" w14:textId="77777777" w:rsidR="000E597F" w:rsidRPr="00884CA1" w:rsidRDefault="000E597F" w:rsidP="00556504">
            <w:pPr>
              <w:cnfStyle w:val="000000100000" w:firstRow="0" w:lastRow="0" w:firstColumn="0" w:lastColumn="0" w:oddVBand="0" w:evenVBand="0" w:oddHBand="1" w:evenHBand="0" w:firstRowFirstColumn="0" w:firstRowLastColumn="0" w:lastRowFirstColumn="0" w:lastRowLastColumn="0"/>
              <w:rPr>
                <w:rFonts w:cs="Arial"/>
                <w:lang w:eastAsia="zh-CN"/>
              </w:rPr>
            </w:pPr>
          </w:p>
        </w:tc>
        <w:tc>
          <w:tcPr>
            <w:tcW w:w="548" w:type="pct"/>
            <w:noWrap/>
            <w:hideMark/>
          </w:tcPr>
          <w:p w14:paraId="2CC85FD4" w14:textId="77777777" w:rsidR="000E597F" w:rsidRPr="00884CA1" w:rsidRDefault="000E597F" w:rsidP="00556504">
            <w:pPr>
              <w:cnfStyle w:val="000000100000" w:firstRow="0" w:lastRow="0" w:firstColumn="0" w:lastColumn="0" w:oddVBand="0" w:evenVBand="0" w:oddHBand="1" w:evenHBand="0" w:firstRowFirstColumn="0" w:firstRowLastColumn="0" w:lastRowFirstColumn="0" w:lastRowLastColumn="0"/>
              <w:rPr>
                <w:rFonts w:cs="Arial"/>
                <w:lang w:eastAsia="zh-CN"/>
              </w:rPr>
            </w:pPr>
          </w:p>
        </w:tc>
        <w:tc>
          <w:tcPr>
            <w:tcW w:w="548" w:type="pct"/>
            <w:noWrap/>
            <w:hideMark/>
          </w:tcPr>
          <w:p w14:paraId="1E111857" w14:textId="77777777" w:rsidR="000E597F" w:rsidRPr="00884CA1" w:rsidRDefault="000E597F" w:rsidP="00556504">
            <w:pPr>
              <w:cnfStyle w:val="000000100000" w:firstRow="0" w:lastRow="0" w:firstColumn="0" w:lastColumn="0" w:oddVBand="0" w:evenVBand="0" w:oddHBand="1" w:evenHBand="0" w:firstRowFirstColumn="0" w:firstRowLastColumn="0" w:lastRowFirstColumn="0" w:lastRowLastColumn="0"/>
              <w:rPr>
                <w:rFonts w:cs="Arial"/>
                <w:lang w:eastAsia="zh-CN"/>
              </w:rPr>
            </w:pPr>
          </w:p>
        </w:tc>
      </w:tr>
      <w:tr w:rsidR="000E597F" w:rsidRPr="00884CA1" w14:paraId="06128E13"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6BBD48B5"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Cash and cash equivalents</w:t>
            </w:r>
          </w:p>
        </w:tc>
        <w:tc>
          <w:tcPr>
            <w:tcW w:w="548" w:type="pct"/>
            <w:noWrap/>
            <w:hideMark/>
          </w:tcPr>
          <w:p w14:paraId="579B3320"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26,783 </w:t>
            </w:r>
          </w:p>
        </w:tc>
        <w:tc>
          <w:tcPr>
            <w:tcW w:w="548" w:type="pct"/>
            <w:noWrap/>
            <w:hideMark/>
          </w:tcPr>
          <w:p w14:paraId="780537B3"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42,751 </w:t>
            </w:r>
          </w:p>
        </w:tc>
        <w:tc>
          <w:tcPr>
            <w:tcW w:w="548" w:type="pct"/>
            <w:noWrap/>
            <w:hideMark/>
          </w:tcPr>
          <w:p w14:paraId="7B36CF80"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66,740 </w:t>
            </w:r>
          </w:p>
        </w:tc>
        <w:tc>
          <w:tcPr>
            <w:tcW w:w="548" w:type="pct"/>
            <w:noWrap/>
            <w:hideMark/>
          </w:tcPr>
          <w:p w14:paraId="00C35CE9"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60,813 </w:t>
            </w:r>
          </w:p>
        </w:tc>
        <w:tc>
          <w:tcPr>
            <w:tcW w:w="548" w:type="pct"/>
            <w:noWrap/>
            <w:hideMark/>
          </w:tcPr>
          <w:p w14:paraId="61D0106A"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57,153 </w:t>
            </w:r>
          </w:p>
        </w:tc>
      </w:tr>
      <w:tr w:rsidR="000E597F" w:rsidRPr="00884CA1" w14:paraId="3C5AF276"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10E12C7F"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Accounts receivable</w:t>
            </w:r>
          </w:p>
        </w:tc>
        <w:tc>
          <w:tcPr>
            <w:tcW w:w="548" w:type="pct"/>
            <w:noWrap/>
            <w:hideMark/>
          </w:tcPr>
          <w:p w14:paraId="2974C374"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114,182 </w:t>
            </w:r>
          </w:p>
        </w:tc>
        <w:tc>
          <w:tcPr>
            <w:tcW w:w="548" w:type="pct"/>
            <w:noWrap/>
            <w:hideMark/>
          </w:tcPr>
          <w:p w14:paraId="7F7AFF45"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112,596 </w:t>
            </w:r>
          </w:p>
        </w:tc>
        <w:tc>
          <w:tcPr>
            <w:tcW w:w="548" w:type="pct"/>
            <w:noWrap/>
            <w:hideMark/>
          </w:tcPr>
          <w:p w14:paraId="2C9FFADF"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112,346 </w:t>
            </w:r>
          </w:p>
        </w:tc>
        <w:tc>
          <w:tcPr>
            <w:tcW w:w="548" w:type="pct"/>
            <w:noWrap/>
            <w:hideMark/>
          </w:tcPr>
          <w:p w14:paraId="1067F9C8"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129,215 </w:t>
            </w:r>
          </w:p>
        </w:tc>
        <w:tc>
          <w:tcPr>
            <w:tcW w:w="548" w:type="pct"/>
            <w:noWrap/>
            <w:hideMark/>
          </w:tcPr>
          <w:p w14:paraId="7FE62D0B"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129,433 </w:t>
            </w:r>
          </w:p>
        </w:tc>
      </w:tr>
      <w:tr w:rsidR="000E597F" w:rsidRPr="00884CA1" w14:paraId="4953C4D1"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08146F43"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Contract assets</w:t>
            </w:r>
          </w:p>
        </w:tc>
        <w:tc>
          <w:tcPr>
            <w:tcW w:w="548" w:type="pct"/>
            <w:noWrap/>
            <w:hideMark/>
          </w:tcPr>
          <w:p w14:paraId="12FD2161"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10,346 </w:t>
            </w:r>
          </w:p>
        </w:tc>
        <w:tc>
          <w:tcPr>
            <w:tcW w:w="548" w:type="pct"/>
            <w:noWrap/>
            <w:hideMark/>
          </w:tcPr>
          <w:p w14:paraId="13F63705"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4,240 </w:t>
            </w:r>
          </w:p>
        </w:tc>
        <w:tc>
          <w:tcPr>
            <w:tcW w:w="548" w:type="pct"/>
            <w:noWrap/>
            <w:hideMark/>
          </w:tcPr>
          <w:p w14:paraId="67A977CE"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7,996 </w:t>
            </w:r>
          </w:p>
        </w:tc>
        <w:tc>
          <w:tcPr>
            <w:tcW w:w="548" w:type="pct"/>
            <w:noWrap/>
            <w:hideMark/>
          </w:tcPr>
          <w:p w14:paraId="6B66147E"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5,012 </w:t>
            </w:r>
          </w:p>
        </w:tc>
        <w:tc>
          <w:tcPr>
            <w:tcW w:w="548" w:type="pct"/>
            <w:noWrap/>
            <w:hideMark/>
          </w:tcPr>
          <w:p w14:paraId="462D0CE0"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9,685 </w:t>
            </w:r>
          </w:p>
        </w:tc>
      </w:tr>
      <w:tr w:rsidR="000E597F" w:rsidRPr="00884CA1" w14:paraId="40D3E061"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2DB25ECB"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Inventories</w:t>
            </w:r>
          </w:p>
        </w:tc>
        <w:tc>
          <w:tcPr>
            <w:tcW w:w="548" w:type="pct"/>
            <w:noWrap/>
            <w:hideMark/>
          </w:tcPr>
          <w:p w14:paraId="2EEB558F"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79,355 </w:t>
            </w:r>
          </w:p>
        </w:tc>
        <w:tc>
          <w:tcPr>
            <w:tcW w:w="548" w:type="pct"/>
            <w:noWrap/>
            <w:hideMark/>
          </w:tcPr>
          <w:p w14:paraId="153E1130"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88,273 </w:t>
            </w:r>
          </w:p>
        </w:tc>
        <w:tc>
          <w:tcPr>
            <w:tcW w:w="548" w:type="pct"/>
            <w:noWrap/>
            <w:hideMark/>
          </w:tcPr>
          <w:p w14:paraId="092627CC"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140,181 </w:t>
            </w:r>
          </w:p>
        </w:tc>
        <w:tc>
          <w:tcPr>
            <w:tcW w:w="548" w:type="pct"/>
            <w:noWrap/>
            <w:hideMark/>
          </w:tcPr>
          <w:p w14:paraId="17D169EB"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134,469 </w:t>
            </w:r>
          </w:p>
        </w:tc>
        <w:tc>
          <w:tcPr>
            <w:tcW w:w="548" w:type="pct"/>
            <w:noWrap/>
            <w:hideMark/>
          </w:tcPr>
          <w:p w14:paraId="57D927AC"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120,430 </w:t>
            </w:r>
          </w:p>
        </w:tc>
      </w:tr>
      <w:tr w:rsidR="000E597F" w:rsidRPr="00884CA1" w14:paraId="630F97CF"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1B53BC7C"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Other current assets</w:t>
            </w:r>
          </w:p>
        </w:tc>
        <w:tc>
          <w:tcPr>
            <w:tcW w:w="548" w:type="pct"/>
            <w:noWrap/>
            <w:hideMark/>
          </w:tcPr>
          <w:p w14:paraId="7672B351"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9,478 </w:t>
            </w:r>
          </w:p>
        </w:tc>
        <w:tc>
          <w:tcPr>
            <w:tcW w:w="548" w:type="pct"/>
            <w:noWrap/>
            <w:hideMark/>
          </w:tcPr>
          <w:p w14:paraId="29561533"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7,325 </w:t>
            </w:r>
          </w:p>
        </w:tc>
        <w:tc>
          <w:tcPr>
            <w:tcW w:w="548" w:type="pct"/>
            <w:noWrap/>
            <w:hideMark/>
          </w:tcPr>
          <w:p w14:paraId="66781938" w14:textId="77777777" w:rsidR="000E597F" w:rsidRPr="00884CA1" w:rsidRDefault="000E597F" w:rsidP="00556504">
            <w:pPr>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c>
          <w:tcPr>
            <w:tcW w:w="548" w:type="pct"/>
            <w:noWrap/>
            <w:hideMark/>
          </w:tcPr>
          <w:p w14:paraId="286C756D" w14:textId="77777777" w:rsidR="000E597F" w:rsidRPr="00884CA1" w:rsidRDefault="000E597F" w:rsidP="00556504">
            <w:pPr>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c>
          <w:tcPr>
            <w:tcW w:w="548" w:type="pct"/>
            <w:noWrap/>
            <w:hideMark/>
          </w:tcPr>
          <w:p w14:paraId="63E1A8A4" w14:textId="77777777" w:rsidR="000E597F" w:rsidRPr="00884CA1" w:rsidRDefault="000E597F" w:rsidP="00556504">
            <w:pPr>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r>
      <w:tr w:rsidR="000E597F" w:rsidRPr="00884CA1" w14:paraId="30583017"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683FC02E"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Income tax receivable</w:t>
            </w:r>
          </w:p>
        </w:tc>
        <w:tc>
          <w:tcPr>
            <w:tcW w:w="548" w:type="pct"/>
            <w:noWrap/>
            <w:hideMark/>
          </w:tcPr>
          <w:p w14:paraId="70BC98B3"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2,350 </w:t>
            </w:r>
          </w:p>
        </w:tc>
        <w:tc>
          <w:tcPr>
            <w:tcW w:w="548" w:type="pct"/>
            <w:noWrap/>
            <w:hideMark/>
          </w:tcPr>
          <w:p w14:paraId="0E3AEBC3"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3,666 </w:t>
            </w:r>
          </w:p>
        </w:tc>
        <w:tc>
          <w:tcPr>
            <w:tcW w:w="548" w:type="pct"/>
            <w:noWrap/>
            <w:hideMark/>
          </w:tcPr>
          <w:p w14:paraId="05735E80"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4,130 </w:t>
            </w:r>
          </w:p>
        </w:tc>
        <w:tc>
          <w:tcPr>
            <w:tcW w:w="548" w:type="pct"/>
            <w:noWrap/>
            <w:hideMark/>
          </w:tcPr>
          <w:p w14:paraId="35FD12FE"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348 </w:t>
            </w:r>
          </w:p>
        </w:tc>
        <w:tc>
          <w:tcPr>
            <w:tcW w:w="548" w:type="pct"/>
            <w:noWrap/>
            <w:hideMark/>
          </w:tcPr>
          <w:p w14:paraId="48CE607B"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3,314 </w:t>
            </w:r>
          </w:p>
        </w:tc>
      </w:tr>
      <w:tr w:rsidR="000E597F" w:rsidRPr="00884CA1" w14:paraId="5BDC13C8"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4239C14A"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Total current assets</w:t>
            </w:r>
          </w:p>
        </w:tc>
        <w:tc>
          <w:tcPr>
            <w:tcW w:w="548" w:type="pct"/>
            <w:noWrap/>
            <w:hideMark/>
          </w:tcPr>
          <w:p w14:paraId="3CB9130B"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242,494 </w:t>
            </w:r>
          </w:p>
        </w:tc>
        <w:tc>
          <w:tcPr>
            <w:tcW w:w="548" w:type="pct"/>
            <w:noWrap/>
            <w:hideMark/>
          </w:tcPr>
          <w:p w14:paraId="231C5AB3"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258,851 </w:t>
            </w:r>
          </w:p>
        </w:tc>
        <w:tc>
          <w:tcPr>
            <w:tcW w:w="548" w:type="pct"/>
            <w:noWrap/>
            <w:hideMark/>
          </w:tcPr>
          <w:p w14:paraId="11D0465E"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338,040 </w:t>
            </w:r>
          </w:p>
        </w:tc>
        <w:tc>
          <w:tcPr>
            <w:tcW w:w="548" w:type="pct"/>
            <w:noWrap/>
            <w:hideMark/>
          </w:tcPr>
          <w:p w14:paraId="7E28469B"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337,146 </w:t>
            </w:r>
          </w:p>
        </w:tc>
        <w:tc>
          <w:tcPr>
            <w:tcW w:w="548" w:type="pct"/>
            <w:noWrap/>
            <w:hideMark/>
          </w:tcPr>
          <w:p w14:paraId="6A29ACEE"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326,843 </w:t>
            </w:r>
          </w:p>
        </w:tc>
      </w:tr>
      <w:tr w:rsidR="000E597F" w:rsidRPr="00884CA1" w14:paraId="7E7F96BA"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24EFBA06"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Property, plant, and equipment, net</w:t>
            </w:r>
          </w:p>
        </w:tc>
        <w:tc>
          <w:tcPr>
            <w:tcW w:w="548" w:type="pct"/>
            <w:noWrap/>
            <w:hideMark/>
          </w:tcPr>
          <w:p w14:paraId="1BC02DE8"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34,207 </w:t>
            </w:r>
          </w:p>
        </w:tc>
        <w:tc>
          <w:tcPr>
            <w:tcW w:w="548" w:type="pct"/>
            <w:noWrap/>
            <w:hideMark/>
          </w:tcPr>
          <w:p w14:paraId="36ADD9D3"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44,619 </w:t>
            </w:r>
          </w:p>
        </w:tc>
        <w:tc>
          <w:tcPr>
            <w:tcW w:w="548" w:type="pct"/>
            <w:noWrap/>
            <w:hideMark/>
          </w:tcPr>
          <w:p w14:paraId="468A4480"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62,791 </w:t>
            </w:r>
          </w:p>
        </w:tc>
        <w:tc>
          <w:tcPr>
            <w:tcW w:w="548" w:type="pct"/>
            <w:noWrap/>
            <w:hideMark/>
          </w:tcPr>
          <w:p w14:paraId="4172BBF7"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74,647 </w:t>
            </w:r>
          </w:p>
        </w:tc>
        <w:tc>
          <w:tcPr>
            <w:tcW w:w="548" w:type="pct"/>
            <w:noWrap/>
            <w:hideMark/>
          </w:tcPr>
          <w:p w14:paraId="69A1C7EC"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87,285 </w:t>
            </w:r>
          </w:p>
        </w:tc>
      </w:tr>
      <w:tr w:rsidR="000E597F" w:rsidRPr="00884CA1" w14:paraId="1A031F00"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7FC65048"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Intangible assets</w:t>
            </w:r>
          </w:p>
        </w:tc>
        <w:tc>
          <w:tcPr>
            <w:tcW w:w="548" w:type="pct"/>
            <w:noWrap/>
            <w:hideMark/>
          </w:tcPr>
          <w:p w14:paraId="7602DDF4"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24,038 </w:t>
            </w:r>
          </w:p>
        </w:tc>
        <w:tc>
          <w:tcPr>
            <w:tcW w:w="548" w:type="pct"/>
            <w:noWrap/>
            <w:hideMark/>
          </w:tcPr>
          <w:p w14:paraId="6709C6F5"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25,349 </w:t>
            </w:r>
          </w:p>
        </w:tc>
        <w:tc>
          <w:tcPr>
            <w:tcW w:w="548" w:type="pct"/>
            <w:noWrap/>
            <w:hideMark/>
          </w:tcPr>
          <w:p w14:paraId="7D22A5CD"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24,470 </w:t>
            </w:r>
          </w:p>
        </w:tc>
        <w:tc>
          <w:tcPr>
            <w:tcW w:w="548" w:type="pct"/>
            <w:noWrap/>
            <w:hideMark/>
          </w:tcPr>
          <w:p w14:paraId="353FB2E4"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20,169 </w:t>
            </w:r>
          </w:p>
        </w:tc>
        <w:tc>
          <w:tcPr>
            <w:tcW w:w="548" w:type="pct"/>
            <w:noWrap/>
            <w:hideMark/>
          </w:tcPr>
          <w:p w14:paraId="67BEB3C3"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19,710 </w:t>
            </w:r>
          </w:p>
        </w:tc>
      </w:tr>
      <w:tr w:rsidR="000E597F" w:rsidRPr="00884CA1" w14:paraId="792EBC81"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04C910B4"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lastRenderedPageBreak/>
              <w:t>Operating lease right-of-use assets</w:t>
            </w:r>
          </w:p>
        </w:tc>
        <w:tc>
          <w:tcPr>
            <w:tcW w:w="548" w:type="pct"/>
            <w:noWrap/>
            <w:hideMark/>
          </w:tcPr>
          <w:p w14:paraId="30928ABB"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14,322 </w:t>
            </w:r>
          </w:p>
        </w:tc>
        <w:tc>
          <w:tcPr>
            <w:tcW w:w="548" w:type="pct"/>
            <w:noWrap/>
            <w:hideMark/>
          </w:tcPr>
          <w:p w14:paraId="00E0EA66"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18,693 </w:t>
            </w:r>
          </w:p>
        </w:tc>
        <w:tc>
          <w:tcPr>
            <w:tcW w:w="548" w:type="pct"/>
            <w:noWrap/>
            <w:hideMark/>
          </w:tcPr>
          <w:p w14:paraId="4F8D02F3"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21,599 </w:t>
            </w:r>
          </w:p>
        </w:tc>
        <w:tc>
          <w:tcPr>
            <w:tcW w:w="548" w:type="pct"/>
            <w:noWrap/>
            <w:hideMark/>
          </w:tcPr>
          <w:p w14:paraId="6FB71172"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19,847 </w:t>
            </w:r>
          </w:p>
        </w:tc>
        <w:tc>
          <w:tcPr>
            <w:tcW w:w="548" w:type="pct"/>
            <w:noWrap/>
            <w:hideMark/>
          </w:tcPr>
          <w:p w14:paraId="5D2540AB"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19,522 </w:t>
            </w:r>
          </w:p>
        </w:tc>
      </w:tr>
      <w:tr w:rsidR="000E597F" w:rsidRPr="00884CA1" w14:paraId="7D83B9DC"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11029FA5"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Deferred income taxes</w:t>
            </w:r>
          </w:p>
        </w:tc>
        <w:tc>
          <w:tcPr>
            <w:tcW w:w="548" w:type="pct"/>
            <w:noWrap/>
            <w:hideMark/>
          </w:tcPr>
          <w:p w14:paraId="2CB33D4E"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6,425 </w:t>
            </w:r>
          </w:p>
        </w:tc>
        <w:tc>
          <w:tcPr>
            <w:tcW w:w="548" w:type="pct"/>
            <w:noWrap/>
            <w:hideMark/>
          </w:tcPr>
          <w:p w14:paraId="7343B44C"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6,787 </w:t>
            </w:r>
          </w:p>
        </w:tc>
        <w:tc>
          <w:tcPr>
            <w:tcW w:w="548" w:type="pct"/>
            <w:noWrap/>
            <w:hideMark/>
          </w:tcPr>
          <w:p w14:paraId="0768B515"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6,242 </w:t>
            </w:r>
          </w:p>
        </w:tc>
        <w:tc>
          <w:tcPr>
            <w:tcW w:w="548" w:type="pct"/>
            <w:noWrap/>
            <w:hideMark/>
          </w:tcPr>
          <w:p w14:paraId="56F7A8A4"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7,729 </w:t>
            </w:r>
          </w:p>
        </w:tc>
        <w:tc>
          <w:tcPr>
            <w:tcW w:w="548" w:type="pct"/>
            <w:noWrap/>
            <w:hideMark/>
          </w:tcPr>
          <w:p w14:paraId="760D7663"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5,564 </w:t>
            </w:r>
          </w:p>
        </w:tc>
      </w:tr>
      <w:tr w:rsidR="000E597F" w:rsidRPr="00884CA1" w14:paraId="4EF99326"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417E1D8A"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Other assets</w:t>
            </w:r>
          </w:p>
        </w:tc>
        <w:tc>
          <w:tcPr>
            <w:tcW w:w="548" w:type="pct"/>
            <w:noWrap/>
            <w:hideMark/>
          </w:tcPr>
          <w:p w14:paraId="1E401146"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1,868 </w:t>
            </w:r>
          </w:p>
        </w:tc>
        <w:tc>
          <w:tcPr>
            <w:tcW w:w="548" w:type="pct"/>
            <w:noWrap/>
            <w:hideMark/>
          </w:tcPr>
          <w:p w14:paraId="1AE3719D"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1,573 </w:t>
            </w:r>
          </w:p>
        </w:tc>
        <w:tc>
          <w:tcPr>
            <w:tcW w:w="548" w:type="pct"/>
            <w:noWrap/>
            <w:hideMark/>
          </w:tcPr>
          <w:p w14:paraId="228A5CF1"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1,936 </w:t>
            </w:r>
          </w:p>
        </w:tc>
        <w:tc>
          <w:tcPr>
            <w:tcW w:w="548" w:type="pct"/>
            <w:noWrap/>
            <w:hideMark/>
          </w:tcPr>
          <w:p w14:paraId="311C5947"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2,347 </w:t>
            </w:r>
          </w:p>
        </w:tc>
        <w:tc>
          <w:tcPr>
            <w:tcW w:w="548" w:type="pct"/>
            <w:noWrap/>
            <w:hideMark/>
          </w:tcPr>
          <w:p w14:paraId="2799B676"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2,752 </w:t>
            </w:r>
          </w:p>
        </w:tc>
      </w:tr>
      <w:tr w:rsidR="000E597F" w:rsidRPr="00884CA1" w14:paraId="0BF11BFB"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578F012E"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Total assets</w:t>
            </w:r>
          </w:p>
        </w:tc>
        <w:tc>
          <w:tcPr>
            <w:tcW w:w="548" w:type="pct"/>
            <w:noWrap/>
            <w:hideMark/>
          </w:tcPr>
          <w:p w14:paraId="242D1C87"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323,354 </w:t>
            </w:r>
          </w:p>
        </w:tc>
        <w:tc>
          <w:tcPr>
            <w:tcW w:w="548" w:type="pct"/>
            <w:noWrap/>
            <w:hideMark/>
          </w:tcPr>
          <w:p w14:paraId="71AC2036"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355,872 </w:t>
            </w:r>
          </w:p>
        </w:tc>
        <w:tc>
          <w:tcPr>
            <w:tcW w:w="548" w:type="pct"/>
            <w:noWrap/>
            <w:hideMark/>
          </w:tcPr>
          <w:p w14:paraId="735CA828"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504,163 </w:t>
            </w:r>
          </w:p>
        </w:tc>
        <w:tc>
          <w:tcPr>
            <w:tcW w:w="548" w:type="pct"/>
            <w:noWrap/>
            <w:hideMark/>
          </w:tcPr>
          <w:p w14:paraId="44AC0024"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510,348 </w:t>
            </w:r>
          </w:p>
        </w:tc>
        <w:tc>
          <w:tcPr>
            <w:tcW w:w="548" w:type="pct"/>
            <w:noWrap/>
            <w:hideMark/>
          </w:tcPr>
          <w:p w14:paraId="158E376D"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510,290 </w:t>
            </w:r>
          </w:p>
        </w:tc>
      </w:tr>
      <w:tr w:rsidR="000E597F" w:rsidRPr="00884CA1" w14:paraId="5551EA61"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3BCB1552"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Liabilities and Equity</w:t>
            </w:r>
          </w:p>
        </w:tc>
        <w:tc>
          <w:tcPr>
            <w:tcW w:w="548" w:type="pct"/>
            <w:noWrap/>
            <w:hideMark/>
          </w:tcPr>
          <w:p w14:paraId="78FDB9E9" w14:textId="77777777" w:rsidR="000E597F" w:rsidRPr="00884CA1" w:rsidRDefault="000E597F" w:rsidP="00556504">
            <w:pPr>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p>
        </w:tc>
        <w:tc>
          <w:tcPr>
            <w:tcW w:w="548" w:type="pct"/>
            <w:noWrap/>
            <w:hideMark/>
          </w:tcPr>
          <w:p w14:paraId="38D218A8" w14:textId="77777777" w:rsidR="000E597F" w:rsidRPr="00884CA1" w:rsidRDefault="000E597F" w:rsidP="00556504">
            <w:pPr>
              <w:cnfStyle w:val="000000100000" w:firstRow="0" w:lastRow="0" w:firstColumn="0" w:lastColumn="0" w:oddVBand="0" w:evenVBand="0" w:oddHBand="1" w:evenHBand="0" w:firstRowFirstColumn="0" w:firstRowLastColumn="0" w:lastRowFirstColumn="0" w:lastRowLastColumn="0"/>
              <w:rPr>
                <w:rFonts w:cs="Arial"/>
                <w:lang w:eastAsia="zh-CN"/>
              </w:rPr>
            </w:pPr>
          </w:p>
        </w:tc>
        <w:tc>
          <w:tcPr>
            <w:tcW w:w="548" w:type="pct"/>
            <w:noWrap/>
            <w:hideMark/>
          </w:tcPr>
          <w:p w14:paraId="6F08A5FE" w14:textId="77777777" w:rsidR="000E597F" w:rsidRPr="00884CA1" w:rsidRDefault="000E597F" w:rsidP="00556504">
            <w:pPr>
              <w:cnfStyle w:val="000000100000" w:firstRow="0" w:lastRow="0" w:firstColumn="0" w:lastColumn="0" w:oddVBand="0" w:evenVBand="0" w:oddHBand="1" w:evenHBand="0" w:firstRowFirstColumn="0" w:firstRowLastColumn="0" w:lastRowFirstColumn="0" w:lastRowLastColumn="0"/>
              <w:rPr>
                <w:rFonts w:cs="Arial"/>
                <w:lang w:eastAsia="zh-CN"/>
              </w:rPr>
            </w:pPr>
          </w:p>
        </w:tc>
        <w:tc>
          <w:tcPr>
            <w:tcW w:w="548" w:type="pct"/>
            <w:noWrap/>
            <w:hideMark/>
          </w:tcPr>
          <w:p w14:paraId="39D4ED9F" w14:textId="77777777" w:rsidR="000E597F" w:rsidRPr="00884CA1" w:rsidRDefault="000E597F" w:rsidP="00556504">
            <w:pPr>
              <w:cnfStyle w:val="000000100000" w:firstRow="0" w:lastRow="0" w:firstColumn="0" w:lastColumn="0" w:oddVBand="0" w:evenVBand="0" w:oddHBand="1" w:evenHBand="0" w:firstRowFirstColumn="0" w:firstRowLastColumn="0" w:lastRowFirstColumn="0" w:lastRowLastColumn="0"/>
              <w:rPr>
                <w:rFonts w:cs="Arial"/>
                <w:lang w:eastAsia="zh-CN"/>
              </w:rPr>
            </w:pPr>
          </w:p>
        </w:tc>
        <w:tc>
          <w:tcPr>
            <w:tcW w:w="548" w:type="pct"/>
            <w:noWrap/>
            <w:hideMark/>
          </w:tcPr>
          <w:p w14:paraId="38ACB96A" w14:textId="77777777" w:rsidR="000E597F" w:rsidRPr="00884CA1" w:rsidRDefault="000E597F" w:rsidP="00556504">
            <w:pPr>
              <w:cnfStyle w:val="000000100000" w:firstRow="0" w:lastRow="0" w:firstColumn="0" w:lastColumn="0" w:oddVBand="0" w:evenVBand="0" w:oddHBand="1" w:evenHBand="0" w:firstRowFirstColumn="0" w:firstRowLastColumn="0" w:lastRowFirstColumn="0" w:lastRowLastColumn="0"/>
              <w:rPr>
                <w:rFonts w:cs="Arial"/>
                <w:lang w:eastAsia="zh-CN"/>
              </w:rPr>
            </w:pPr>
          </w:p>
        </w:tc>
      </w:tr>
      <w:tr w:rsidR="000E597F" w:rsidRPr="00884CA1" w14:paraId="287E72A4"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42996108"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Current liabilities</w:t>
            </w:r>
          </w:p>
        </w:tc>
        <w:tc>
          <w:tcPr>
            <w:tcW w:w="548" w:type="pct"/>
            <w:noWrap/>
            <w:hideMark/>
          </w:tcPr>
          <w:p w14:paraId="112C48ED" w14:textId="77777777" w:rsidR="000E597F" w:rsidRPr="00884CA1" w:rsidRDefault="000E597F" w:rsidP="00556504">
            <w:pPr>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c>
          <w:tcPr>
            <w:tcW w:w="548" w:type="pct"/>
            <w:noWrap/>
            <w:hideMark/>
          </w:tcPr>
          <w:p w14:paraId="6AF6577B" w14:textId="77777777" w:rsidR="000E597F" w:rsidRPr="00884CA1"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c>
          <w:tcPr>
            <w:tcW w:w="548" w:type="pct"/>
            <w:noWrap/>
            <w:hideMark/>
          </w:tcPr>
          <w:p w14:paraId="0786EA0C" w14:textId="77777777" w:rsidR="000E597F" w:rsidRPr="00884CA1"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c>
          <w:tcPr>
            <w:tcW w:w="548" w:type="pct"/>
            <w:noWrap/>
            <w:hideMark/>
          </w:tcPr>
          <w:p w14:paraId="5DCD7240" w14:textId="77777777" w:rsidR="000E597F" w:rsidRPr="00884CA1"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c>
          <w:tcPr>
            <w:tcW w:w="548" w:type="pct"/>
            <w:noWrap/>
            <w:hideMark/>
          </w:tcPr>
          <w:p w14:paraId="2DA4DB51" w14:textId="77777777" w:rsidR="000E597F" w:rsidRPr="00884CA1"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r>
      <w:tr w:rsidR="000E597F" w:rsidRPr="00884CA1" w14:paraId="78A9A748"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1600CA9B"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Accounts payable</w:t>
            </w:r>
          </w:p>
        </w:tc>
        <w:tc>
          <w:tcPr>
            <w:tcW w:w="548" w:type="pct"/>
            <w:noWrap/>
            <w:hideMark/>
          </w:tcPr>
          <w:p w14:paraId="37696BA9"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72,031 </w:t>
            </w:r>
          </w:p>
        </w:tc>
        <w:tc>
          <w:tcPr>
            <w:tcW w:w="548" w:type="pct"/>
            <w:noWrap/>
            <w:hideMark/>
          </w:tcPr>
          <w:p w14:paraId="6253F395"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57,033 </w:t>
            </w:r>
          </w:p>
        </w:tc>
        <w:tc>
          <w:tcPr>
            <w:tcW w:w="548" w:type="pct"/>
            <w:noWrap/>
            <w:hideMark/>
          </w:tcPr>
          <w:p w14:paraId="49B47604"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71,373 </w:t>
            </w:r>
          </w:p>
        </w:tc>
        <w:tc>
          <w:tcPr>
            <w:tcW w:w="548" w:type="pct"/>
            <w:noWrap/>
            <w:hideMark/>
          </w:tcPr>
          <w:p w14:paraId="2B205DF5"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92,707 </w:t>
            </w:r>
          </w:p>
        </w:tc>
        <w:tc>
          <w:tcPr>
            <w:tcW w:w="548" w:type="pct"/>
            <w:noWrap/>
            <w:hideMark/>
          </w:tcPr>
          <w:p w14:paraId="13C14611"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83,229 </w:t>
            </w:r>
          </w:p>
        </w:tc>
      </w:tr>
      <w:tr w:rsidR="000E597F" w:rsidRPr="00884CA1" w14:paraId="0B23CD8D"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1F835C56"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Lines of credit</w:t>
            </w:r>
          </w:p>
        </w:tc>
        <w:tc>
          <w:tcPr>
            <w:tcW w:w="548" w:type="pct"/>
            <w:noWrap/>
            <w:hideMark/>
          </w:tcPr>
          <w:p w14:paraId="0D7A075E"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36,960 </w:t>
            </w:r>
          </w:p>
        </w:tc>
        <w:tc>
          <w:tcPr>
            <w:tcW w:w="548" w:type="pct"/>
            <w:noWrap/>
            <w:hideMark/>
          </w:tcPr>
          <w:p w14:paraId="1D795680"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55,000 </w:t>
            </w:r>
          </w:p>
        </w:tc>
        <w:tc>
          <w:tcPr>
            <w:tcW w:w="548" w:type="pct"/>
            <w:noWrap/>
            <w:hideMark/>
          </w:tcPr>
          <w:p w14:paraId="52F82C90"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88,000 </w:t>
            </w:r>
          </w:p>
        </w:tc>
        <w:tc>
          <w:tcPr>
            <w:tcW w:w="548" w:type="pct"/>
            <w:noWrap/>
            <w:hideMark/>
          </w:tcPr>
          <w:p w14:paraId="15D275C5"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56,000 </w:t>
            </w:r>
          </w:p>
        </w:tc>
        <w:tc>
          <w:tcPr>
            <w:tcW w:w="548" w:type="pct"/>
            <w:noWrap/>
            <w:hideMark/>
          </w:tcPr>
          <w:p w14:paraId="45FCB7CB"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20,000 </w:t>
            </w:r>
          </w:p>
        </w:tc>
      </w:tr>
      <w:tr w:rsidR="000E597F" w:rsidRPr="00884CA1" w14:paraId="40B3A1ED"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779155CA"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Accrued compensation</w:t>
            </w:r>
          </w:p>
        </w:tc>
        <w:tc>
          <w:tcPr>
            <w:tcW w:w="548" w:type="pct"/>
            <w:noWrap/>
            <w:hideMark/>
          </w:tcPr>
          <w:p w14:paraId="1D950FBC"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20,927 </w:t>
            </w:r>
          </w:p>
        </w:tc>
        <w:tc>
          <w:tcPr>
            <w:tcW w:w="548" w:type="pct"/>
            <w:noWrap/>
            <w:hideMark/>
          </w:tcPr>
          <w:p w14:paraId="7A8961C1"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20,305 </w:t>
            </w:r>
          </w:p>
        </w:tc>
        <w:tc>
          <w:tcPr>
            <w:tcW w:w="548" w:type="pct"/>
            <w:noWrap/>
            <w:hideMark/>
          </w:tcPr>
          <w:p w14:paraId="03782DBE"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20,904 </w:t>
            </w:r>
          </w:p>
        </w:tc>
        <w:tc>
          <w:tcPr>
            <w:tcW w:w="548" w:type="pct"/>
            <w:noWrap/>
            <w:hideMark/>
          </w:tcPr>
          <w:p w14:paraId="347F729E"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24,217 </w:t>
            </w:r>
          </w:p>
        </w:tc>
        <w:tc>
          <w:tcPr>
            <w:tcW w:w="548" w:type="pct"/>
            <w:noWrap/>
            <w:hideMark/>
          </w:tcPr>
          <w:p w14:paraId="185CF1C4"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28,931 </w:t>
            </w:r>
          </w:p>
        </w:tc>
      </w:tr>
      <w:tr w:rsidR="000E597F" w:rsidRPr="00884CA1" w14:paraId="17C93C60" w14:textId="77777777" w:rsidTr="00556504">
        <w:trPr>
          <w:trHeight w:val="495"/>
        </w:trPr>
        <w:tc>
          <w:tcPr>
            <w:cnfStyle w:val="001000000000" w:firstRow="0" w:lastRow="0" w:firstColumn="1" w:lastColumn="0" w:oddVBand="0" w:evenVBand="0" w:oddHBand="0" w:evenHBand="0" w:firstRowFirstColumn="0" w:firstRowLastColumn="0" w:lastRowFirstColumn="0" w:lastRowLastColumn="0"/>
            <w:tcW w:w="2262" w:type="pct"/>
            <w:hideMark/>
          </w:tcPr>
          <w:p w14:paraId="4657E401"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Accrued sales discounts, rebates and royalties</w:t>
            </w:r>
          </w:p>
        </w:tc>
        <w:tc>
          <w:tcPr>
            <w:tcW w:w="548" w:type="pct"/>
            <w:noWrap/>
            <w:hideMark/>
          </w:tcPr>
          <w:p w14:paraId="34D2CB36"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5,204 </w:t>
            </w:r>
          </w:p>
        </w:tc>
        <w:tc>
          <w:tcPr>
            <w:tcW w:w="548" w:type="pct"/>
            <w:noWrap/>
            <w:hideMark/>
          </w:tcPr>
          <w:p w14:paraId="15CAB016"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5,796 </w:t>
            </w:r>
          </w:p>
        </w:tc>
        <w:tc>
          <w:tcPr>
            <w:tcW w:w="548" w:type="pct"/>
            <w:noWrap/>
            <w:hideMark/>
          </w:tcPr>
          <w:p w14:paraId="1BD1EAD3"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6,477 </w:t>
            </w:r>
          </w:p>
        </w:tc>
        <w:tc>
          <w:tcPr>
            <w:tcW w:w="548" w:type="pct"/>
            <w:noWrap/>
            <w:hideMark/>
          </w:tcPr>
          <w:p w14:paraId="5F2A6848"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9,286 </w:t>
            </w:r>
          </w:p>
        </w:tc>
        <w:tc>
          <w:tcPr>
            <w:tcW w:w="548" w:type="pct"/>
            <w:noWrap/>
            <w:hideMark/>
          </w:tcPr>
          <w:p w14:paraId="78EF84DE"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10,758 </w:t>
            </w:r>
          </w:p>
        </w:tc>
      </w:tr>
      <w:tr w:rsidR="000E597F" w:rsidRPr="00884CA1" w14:paraId="7E53AD42"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1E1DEEF1"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Other accrued liabilities</w:t>
            </w:r>
          </w:p>
        </w:tc>
        <w:tc>
          <w:tcPr>
            <w:tcW w:w="548" w:type="pct"/>
            <w:noWrap/>
            <w:hideMark/>
          </w:tcPr>
          <w:p w14:paraId="7D6452A3"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21,008 </w:t>
            </w:r>
          </w:p>
        </w:tc>
        <w:tc>
          <w:tcPr>
            <w:tcW w:w="548" w:type="pct"/>
            <w:noWrap/>
            <w:hideMark/>
          </w:tcPr>
          <w:p w14:paraId="0CC3352C"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21,181 </w:t>
            </w:r>
          </w:p>
        </w:tc>
        <w:tc>
          <w:tcPr>
            <w:tcW w:w="548" w:type="pct"/>
            <w:noWrap/>
            <w:hideMark/>
          </w:tcPr>
          <w:p w14:paraId="37DB9980"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24,134 </w:t>
            </w:r>
          </w:p>
        </w:tc>
        <w:tc>
          <w:tcPr>
            <w:tcW w:w="548" w:type="pct"/>
            <w:noWrap/>
            <w:hideMark/>
          </w:tcPr>
          <w:p w14:paraId="7E9C8608"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30,840 </w:t>
            </w:r>
          </w:p>
        </w:tc>
        <w:tc>
          <w:tcPr>
            <w:tcW w:w="548" w:type="pct"/>
            <w:noWrap/>
            <w:hideMark/>
          </w:tcPr>
          <w:p w14:paraId="55CEEC7F"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33,057 </w:t>
            </w:r>
          </w:p>
        </w:tc>
      </w:tr>
      <w:tr w:rsidR="000E597F" w:rsidRPr="00884CA1" w14:paraId="73777268"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6B2AB71B"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Total current liabilities</w:t>
            </w:r>
          </w:p>
        </w:tc>
        <w:tc>
          <w:tcPr>
            <w:tcW w:w="548" w:type="pct"/>
            <w:noWrap/>
            <w:hideMark/>
          </w:tcPr>
          <w:p w14:paraId="60BF8A02"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158,291 </w:t>
            </w:r>
          </w:p>
        </w:tc>
        <w:tc>
          <w:tcPr>
            <w:tcW w:w="548" w:type="pct"/>
            <w:noWrap/>
            <w:hideMark/>
          </w:tcPr>
          <w:p w14:paraId="2F1E4AAA"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161,148 </w:t>
            </w:r>
          </w:p>
        </w:tc>
        <w:tc>
          <w:tcPr>
            <w:tcW w:w="548" w:type="pct"/>
            <w:noWrap/>
            <w:hideMark/>
          </w:tcPr>
          <w:p w14:paraId="382330BA"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216,473 </w:t>
            </w:r>
          </w:p>
        </w:tc>
        <w:tc>
          <w:tcPr>
            <w:tcW w:w="548" w:type="pct"/>
            <w:noWrap/>
            <w:hideMark/>
          </w:tcPr>
          <w:p w14:paraId="391128A9"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216,787 </w:t>
            </w:r>
          </w:p>
        </w:tc>
        <w:tc>
          <w:tcPr>
            <w:tcW w:w="548" w:type="pct"/>
            <w:noWrap/>
            <w:hideMark/>
          </w:tcPr>
          <w:p w14:paraId="6251B41C"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179,510 </w:t>
            </w:r>
          </w:p>
        </w:tc>
      </w:tr>
      <w:tr w:rsidR="000E597F" w:rsidRPr="00884CA1" w14:paraId="1D8F6E15"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486CF0A0"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Long-term liabilities</w:t>
            </w:r>
          </w:p>
        </w:tc>
        <w:tc>
          <w:tcPr>
            <w:tcW w:w="548" w:type="pct"/>
            <w:noWrap/>
            <w:hideMark/>
          </w:tcPr>
          <w:p w14:paraId="1657F2E2" w14:textId="77777777" w:rsidR="000E597F" w:rsidRPr="00884CA1" w:rsidRDefault="000E597F" w:rsidP="00556504">
            <w:pPr>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p>
        </w:tc>
        <w:tc>
          <w:tcPr>
            <w:tcW w:w="548" w:type="pct"/>
            <w:noWrap/>
            <w:hideMark/>
          </w:tcPr>
          <w:p w14:paraId="470D89E3" w14:textId="77777777" w:rsidR="000E597F" w:rsidRPr="00884CA1" w:rsidRDefault="000E597F" w:rsidP="00556504">
            <w:pPr>
              <w:cnfStyle w:val="000000100000" w:firstRow="0" w:lastRow="0" w:firstColumn="0" w:lastColumn="0" w:oddVBand="0" w:evenVBand="0" w:oddHBand="1" w:evenHBand="0" w:firstRowFirstColumn="0" w:firstRowLastColumn="0" w:lastRowFirstColumn="0" w:lastRowLastColumn="0"/>
              <w:rPr>
                <w:rFonts w:cs="Arial"/>
                <w:lang w:eastAsia="zh-CN"/>
              </w:rPr>
            </w:pPr>
          </w:p>
        </w:tc>
        <w:tc>
          <w:tcPr>
            <w:tcW w:w="548" w:type="pct"/>
            <w:noWrap/>
            <w:hideMark/>
          </w:tcPr>
          <w:p w14:paraId="6D6FB5BC" w14:textId="77777777" w:rsidR="000E597F" w:rsidRPr="00884CA1" w:rsidRDefault="000E597F" w:rsidP="00556504">
            <w:pPr>
              <w:cnfStyle w:val="000000100000" w:firstRow="0" w:lastRow="0" w:firstColumn="0" w:lastColumn="0" w:oddVBand="0" w:evenVBand="0" w:oddHBand="1" w:evenHBand="0" w:firstRowFirstColumn="0" w:firstRowLastColumn="0" w:lastRowFirstColumn="0" w:lastRowLastColumn="0"/>
              <w:rPr>
                <w:rFonts w:cs="Arial"/>
                <w:lang w:eastAsia="zh-CN"/>
              </w:rPr>
            </w:pPr>
          </w:p>
        </w:tc>
        <w:tc>
          <w:tcPr>
            <w:tcW w:w="548" w:type="pct"/>
            <w:noWrap/>
            <w:hideMark/>
          </w:tcPr>
          <w:p w14:paraId="719BD931" w14:textId="77777777" w:rsidR="000E597F" w:rsidRPr="00884CA1" w:rsidRDefault="000E597F" w:rsidP="00556504">
            <w:pPr>
              <w:cnfStyle w:val="000000100000" w:firstRow="0" w:lastRow="0" w:firstColumn="0" w:lastColumn="0" w:oddVBand="0" w:evenVBand="0" w:oddHBand="1" w:evenHBand="0" w:firstRowFirstColumn="0" w:firstRowLastColumn="0" w:lastRowFirstColumn="0" w:lastRowLastColumn="0"/>
              <w:rPr>
                <w:rFonts w:cs="Arial"/>
                <w:lang w:eastAsia="zh-CN"/>
              </w:rPr>
            </w:pPr>
          </w:p>
        </w:tc>
        <w:tc>
          <w:tcPr>
            <w:tcW w:w="548" w:type="pct"/>
            <w:noWrap/>
            <w:hideMark/>
          </w:tcPr>
          <w:p w14:paraId="02E81C39" w14:textId="77777777" w:rsidR="000E597F" w:rsidRPr="00884CA1" w:rsidRDefault="000E597F" w:rsidP="00556504">
            <w:pPr>
              <w:cnfStyle w:val="000000100000" w:firstRow="0" w:lastRow="0" w:firstColumn="0" w:lastColumn="0" w:oddVBand="0" w:evenVBand="0" w:oddHBand="1" w:evenHBand="0" w:firstRowFirstColumn="0" w:firstRowLastColumn="0" w:lastRowFirstColumn="0" w:lastRowLastColumn="0"/>
              <w:rPr>
                <w:rFonts w:cs="Arial"/>
                <w:lang w:eastAsia="zh-CN"/>
              </w:rPr>
            </w:pPr>
          </w:p>
        </w:tc>
      </w:tr>
      <w:tr w:rsidR="000E597F" w:rsidRPr="00884CA1" w14:paraId="3C1610BE"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227ED807"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Operating lease obligations</w:t>
            </w:r>
          </w:p>
        </w:tc>
        <w:tc>
          <w:tcPr>
            <w:tcW w:w="548" w:type="pct"/>
            <w:noWrap/>
            <w:hideMark/>
          </w:tcPr>
          <w:p w14:paraId="77323817"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9,232 </w:t>
            </w:r>
          </w:p>
        </w:tc>
        <w:tc>
          <w:tcPr>
            <w:tcW w:w="548" w:type="pct"/>
            <w:noWrap/>
            <w:hideMark/>
          </w:tcPr>
          <w:p w14:paraId="5C9EC95C"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12,560 </w:t>
            </w:r>
          </w:p>
        </w:tc>
        <w:tc>
          <w:tcPr>
            <w:tcW w:w="548" w:type="pct"/>
            <w:noWrap/>
            <w:hideMark/>
          </w:tcPr>
          <w:p w14:paraId="529FA3C4"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15,027 </w:t>
            </w:r>
          </w:p>
        </w:tc>
        <w:tc>
          <w:tcPr>
            <w:tcW w:w="548" w:type="pct"/>
            <w:noWrap/>
            <w:hideMark/>
          </w:tcPr>
          <w:p w14:paraId="515A6BC5"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14,266 </w:t>
            </w:r>
          </w:p>
        </w:tc>
        <w:tc>
          <w:tcPr>
            <w:tcW w:w="548" w:type="pct"/>
            <w:noWrap/>
            <w:hideMark/>
          </w:tcPr>
          <w:p w14:paraId="14E54F0B"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13,681 </w:t>
            </w:r>
          </w:p>
        </w:tc>
      </w:tr>
      <w:tr w:rsidR="000E597F" w:rsidRPr="00884CA1" w14:paraId="164D7147"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358D2842"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Deferred income taxes</w:t>
            </w:r>
          </w:p>
        </w:tc>
        <w:tc>
          <w:tcPr>
            <w:tcW w:w="548" w:type="pct"/>
            <w:noWrap/>
            <w:hideMark/>
          </w:tcPr>
          <w:p w14:paraId="034E40A6"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1,931 </w:t>
            </w:r>
          </w:p>
        </w:tc>
        <w:tc>
          <w:tcPr>
            <w:tcW w:w="548" w:type="pct"/>
            <w:noWrap/>
            <w:hideMark/>
          </w:tcPr>
          <w:p w14:paraId="6C12DD85"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1,992 </w:t>
            </w:r>
          </w:p>
        </w:tc>
        <w:tc>
          <w:tcPr>
            <w:tcW w:w="548" w:type="pct"/>
            <w:noWrap/>
            <w:hideMark/>
          </w:tcPr>
          <w:p w14:paraId="2AC92085"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2,724 </w:t>
            </w:r>
          </w:p>
        </w:tc>
        <w:tc>
          <w:tcPr>
            <w:tcW w:w="548" w:type="pct"/>
            <w:noWrap/>
            <w:hideMark/>
          </w:tcPr>
          <w:p w14:paraId="00F159C6"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2,394 </w:t>
            </w:r>
          </w:p>
        </w:tc>
        <w:tc>
          <w:tcPr>
            <w:tcW w:w="548" w:type="pct"/>
            <w:noWrap/>
            <w:hideMark/>
          </w:tcPr>
          <w:p w14:paraId="460DB109"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1,913 </w:t>
            </w:r>
          </w:p>
        </w:tc>
      </w:tr>
      <w:tr w:rsidR="000E597F" w:rsidRPr="00884CA1" w14:paraId="241B6C90"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33FF68EA"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Income tax payable</w:t>
            </w:r>
          </w:p>
        </w:tc>
        <w:tc>
          <w:tcPr>
            <w:tcW w:w="548" w:type="pct"/>
            <w:noWrap/>
            <w:hideMark/>
          </w:tcPr>
          <w:p w14:paraId="6868B4B8"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72 </w:t>
            </w:r>
          </w:p>
        </w:tc>
        <w:tc>
          <w:tcPr>
            <w:tcW w:w="548" w:type="pct"/>
            <w:noWrap/>
            <w:hideMark/>
          </w:tcPr>
          <w:p w14:paraId="13E9DD46"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435 </w:t>
            </w:r>
          </w:p>
        </w:tc>
        <w:tc>
          <w:tcPr>
            <w:tcW w:w="548" w:type="pct"/>
            <w:noWrap/>
            <w:hideMark/>
          </w:tcPr>
          <w:p w14:paraId="0DDA8586"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723 </w:t>
            </w:r>
          </w:p>
        </w:tc>
        <w:tc>
          <w:tcPr>
            <w:tcW w:w="548" w:type="pct"/>
            <w:noWrap/>
            <w:hideMark/>
          </w:tcPr>
          <w:p w14:paraId="134116E9"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939 </w:t>
            </w:r>
          </w:p>
        </w:tc>
        <w:tc>
          <w:tcPr>
            <w:tcW w:w="548" w:type="pct"/>
            <w:noWrap/>
            <w:hideMark/>
          </w:tcPr>
          <w:p w14:paraId="4318A915"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1,054 </w:t>
            </w:r>
          </w:p>
        </w:tc>
      </w:tr>
      <w:tr w:rsidR="000E597F" w:rsidRPr="00884CA1" w14:paraId="62D326AF"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4B20934C"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Other long-term liabilities</w:t>
            </w:r>
          </w:p>
        </w:tc>
        <w:tc>
          <w:tcPr>
            <w:tcW w:w="548" w:type="pct"/>
            <w:noWrap/>
            <w:hideMark/>
          </w:tcPr>
          <w:p w14:paraId="3BBFB349"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723 </w:t>
            </w:r>
          </w:p>
        </w:tc>
        <w:tc>
          <w:tcPr>
            <w:tcW w:w="548" w:type="pct"/>
            <w:noWrap/>
            <w:hideMark/>
          </w:tcPr>
          <w:p w14:paraId="444DC7D8"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817 </w:t>
            </w:r>
          </w:p>
        </w:tc>
        <w:tc>
          <w:tcPr>
            <w:tcW w:w="548" w:type="pct"/>
            <w:noWrap/>
            <w:hideMark/>
          </w:tcPr>
          <w:p w14:paraId="76F87884"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810 </w:t>
            </w:r>
          </w:p>
        </w:tc>
        <w:tc>
          <w:tcPr>
            <w:tcW w:w="548" w:type="pct"/>
            <w:noWrap/>
            <w:hideMark/>
          </w:tcPr>
          <w:p w14:paraId="353451FF"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13 </w:t>
            </w:r>
          </w:p>
        </w:tc>
        <w:tc>
          <w:tcPr>
            <w:tcW w:w="548" w:type="pct"/>
            <w:noWrap/>
            <w:hideMark/>
          </w:tcPr>
          <w:p w14:paraId="333A68CC"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539 </w:t>
            </w:r>
          </w:p>
        </w:tc>
      </w:tr>
      <w:tr w:rsidR="000E597F" w:rsidRPr="00884CA1" w14:paraId="20F7BDD3"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597FF9D7"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Total liabilities</w:t>
            </w:r>
          </w:p>
        </w:tc>
        <w:tc>
          <w:tcPr>
            <w:tcW w:w="548" w:type="pct"/>
            <w:noWrap/>
            <w:hideMark/>
          </w:tcPr>
          <w:p w14:paraId="1DA08706"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170,249 </w:t>
            </w:r>
          </w:p>
        </w:tc>
        <w:tc>
          <w:tcPr>
            <w:tcW w:w="548" w:type="pct"/>
            <w:noWrap/>
            <w:hideMark/>
          </w:tcPr>
          <w:p w14:paraId="3268A375"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176,952 </w:t>
            </w:r>
          </w:p>
        </w:tc>
        <w:tc>
          <w:tcPr>
            <w:tcW w:w="548" w:type="pct"/>
            <w:noWrap/>
            <w:hideMark/>
          </w:tcPr>
          <w:p w14:paraId="735394C5"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235,757 </w:t>
            </w:r>
          </w:p>
        </w:tc>
        <w:tc>
          <w:tcPr>
            <w:tcW w:w="548" w:type="pct"/>
            <w:noWrap/>
            <w:hideMark/>
          </w:tcPr>
          <w:p w14:paraId="687F3E87"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234,399 </w:t>
            </w:r>
          </w:p>
        </w:tc>
        <w:tc>
          <w:tcPr>
            <w:tcW w:w="548" w:type="pct"/>
            <w:noWrap/>
            <w:hideMark/>
          </w:tcPr>
          <w:p w14:paraId="748EAFB6"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196,989 </w:t>
            </w:r>
          </w:p>
        </w:tc>
      </w:tr>
      <w:tr w:rsidR="000E597F" w:rsidRPr="00884CA1" w14:paraId="39DC685B"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5B39FFEC"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Shareholders' equity</w:t>
            </w:r>
          </w:p>
        </w:tc>
        <w:tc>
          <w:tcPr>
            <w:tcW w:w="548" w:type="pct"/>
            <w:noWrap/>
            <w:hideMark/>
          </w:tcPr>
          <w:p w14:paraId="5B1BEA62" w14:textId="77777777" w:rsidR="000E597F" w:rsidRPr="00884CA1" w:rsidRDefault="000E597F" w:rsidP="00556504">
            <w:pPr>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p>
        </w:tc>
        <w:tc>
          <w:tcPr>
            <w:tcW w:w="548" w:type="pct"/>
            <w:noWrap/>
            <w:hideMark/>
          </w:tcPr>
          <w:p w14:paraId="58FB8FC9" w14:textId="77777777" w:rsidR="000E597F" w:rsidRPr="00884CA1" w:rsidRDefault="000E597F" w:rsidP="00556504">
            <w:pPr>
              <w:cnfStyle w:val="000000100000" w:firstRow="0" w:lastRow="0" w:firstColumn="0" w:lastColumn="0" w:oddVBand="0" w:evenVBand="0" w:oddHBand="1" w:evenHBand="0" w:firstRowFirstColumn="0" w:firstRowLastColumn="0" w:lastRowFirstColumn="0" w:lastRowLastColumn="0"/>
              <w:rPr>
                <w:rFonts w:cs="Arial"/>
                <w:lang w:eastAsia="zh-CN"/>
              </w:rPr>
            </w:pPr>
          </w:p>
        </w:tc>
        <w:tc>
          <w:tcPr>
            <w:tcW w:w="548" w:type="pct"/>
            <w:noWrap/>
            <w:hideMark/>
          </w:tcPr>
          <w:p w14:paraId="45C7F839" w14:textId="77777777" w:rsidR="000E597F" w:rsidRPr="00884CA1" w:rsidRDefault="000E597F" w:rsidP="00556504">
            <w:pPr>
              <w:cnfStyle w:val="000000100000" w:firstRow="0" w:lastRow="0" w:firstColumn="0" w:lastColumn="0" w:oddVBand="0" w:evenVBand="0" w:oddHBand="1" w:evenHBand="0" w:firstRowFirstColumn="0" w:firstRowLastColumn="0" w:lastRowFirstColumn="0" w:lastRowLastColumn="0"/>
              <w:rPr>
                <w:rFonts w:cs="Arial"/>
                <w:lang w:eastAsia="zh-CN"/>
              </w:rPr>
            </w:pPr>
          </w:p>
        </w:tc>
        <w:tc>
          <w:tcPr>
            <w:tcW w:w="548" w:type="pct"/>
            <w:noWrap/>
            <w:hideMark/>
          </w:tcPr>
          <w:p w14:paraId="238A7342" w14:textId="77777777" w:rsidR="000E597F" w:rsidRPr="00884CA1" w:rsidRDefault="000E597F" w:rsidP="00556504">
            <w:pPr>
              <w:cnfStyle w:val="000000100000" w:firstRow="0" w:lastRow="0" w:firstColumn="0" w:lastColumn="0" w:oddVBand="0" w:evenVBand="0" w:oddHBand="1" w:evenHBand="0" w:firstRowFirstColumn="0" w:firstRowLastColumn="0" w:lastRowFirstColumn="0" w:lastRowLastColumn="0"/>
              <w:rPr>
                <w:rFonts w:cs="Arial"/>
                <w:lang w:eastAsia="zh-CN"/>
              </w:rPr>
            </w:pPr>
          </w:p>
        </w:tc>
        <w:tc>
          <w:tcPr>
            <w:tcW w:w="548" w:type="pct"/>
            <w:noWrap/>
            <w:hideMark/>
          </w:tcPr>
          <w:p w14:paraId="11746892" w14:textId="77777777" w:rsidR="000E597F" w:rsidRPr="00884CA1" w:rsidRDefault="000E597F" w:rsidP="00556504">
            <w:pPr>
              <w:cnfStyle w:val="000000100000" w:firstRow="0" w:lastRow="0" w:firstColumn="0" w:lastColumn="0" w:oddVBand="0" w:evenVBand="0" w:oddHBand="1" w:evenHBand="0" w:firstRowFirstColumn="0" w:firstRowLastColumn="0" w:lastRowFirstColumn="0" w:lastRowLastColumn="0"/>
              <w:rPr>
                <w:rFonts w:cs="Arial"/>
                <w:lang w:eastAsia="zh-CN"/>
              </w:rPr>
            </w:pPr>
          </w:p>
        </w:tc>
      </w:tr>
      <w:tr w:rsidR="000E597F" w:rsidRPr="00884CA1" w14:paraId="533D3A15"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579C3131"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Preferred stock</w:t>
            </w:r>
          </w:p>
        </w:tc>
        <w:tc>
          <w:tcPr>
            <w:tcW w:w="548" w:type="pct"/>
            <w:noWrap/>
            <w:hideMark/>
          </w:tcPr>
          <w:p w14:paraId="1E17FF3E" w14:textId="77777777" w:rsidR="000E597F" w:rsidRPr="00884CA1" w:rsidRDefault="000E597F" w:rsidP="00556504">
            <w:pPr>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c>
          <w:tcPr>
            <w:tcW w:w="548" w:type="pct"/>
            <w:noWrap/>
            <w:hideMark/>
          </w:tcPr>
          <w:p w14:paraId="19A7AA38" w14:textId="77777777" w:rsidR="000E597F" w:rsidRPr="00884CA1" w:rsidRDefault="000E597F" w:rsidP="00556504">
            <w:pPr>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c>
          <w:tcPr>
            <w:tcW w:w="548" w:type="pct"/>
            <w:noWrap/>
            <w:hideMark/>
          </w:tcPr>
          <w:p w14:paraId="5039DEC4" w14:textId="77777777" w:rsidR="000E597F" w:rsidRPr="00884CA1" w:rsidRDefault="000E597F" w:rsidP="00556504">
            <w:pPr>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c>
          <w:tcPr>
            <w:tcW w:w="548" w:type="pct"/>
            <w:noWrap/>
            <w:hideMark/>
          </w:tcPr>
          <w:p w14:paraId="5723D66D" w14:textId="77777777" w:rsidR="000E597F" w:rsidRPr="00884CA1" w:rsidRDefault="000E597F" w:rsidP="00556504">
            <w:pPr>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c>
          <w:tcPr>
            <w:tcW w:w="548" w:type="pct"/>
            <w:noWrap/>
            <w:hideMark/>
          </w:tcPr>
          <w:p w14:paraId="14E5E98B" w14:textId="77777777" w:rsidR="000E597F" w:rsidRPr="00884CA1" w:rsidRDefault="000E597F" w:rsidP="00556504">
            <w:pPr>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r>
      <w:tr w:rsidR="000E597F" w:rsidRPr="00884CA1" w14:paraId="3C0CEA60"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6EEA277F"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Common stock</w:t>
            </w:r>
          </w:p>
        </w:tc>
        <w:tc>
          <w:tcPr>
            <w:tcW w:w="548" w:type="pct"/>
            <w:noWrap/>
            <w:hideMark/>
          </w:tcPr>
          <w:p w14:paraId="27FA143F"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257 </w:t>
            </w:r>
          </w:p>
        </w:tc>
        <w:tc>
          <w:tcPr>
            <w:tcW w:w="548" w:type="pct"/>
            <w:noWrap/>
            <w:hideMark/>
          </w:tcPr>
          <w:p w14:paraId="3FE777F3"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253 </w:t>
            </w:r>
          </w:p>
        </w:tc>
        <w:tc>
          <w:tcPr>
            <w:tcW w:w="548" w:type="pct"/>
            <w:noWrap/>
            <w:hideMark/>
          </w:tcPr>
          <w:p w14:paraId="2DF16E8F"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250 </w:t>
            </w:r>
          </w:p>
        </w:tc>
        <w:tc>
          <w:tcPr>
            <w:tcW w:w="548" w:type="pct"/>
            <w:noWrap/>
            <w:hideMark/>
          </w:tcPr>
          <w:p w14:paraId="222B3027"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247 </w:t>
            </w:r>
          </w:p>
        </w:tc>
        <w:tc>
          <w:tcPr>
            <w:tcW w:w="548" w:type="pct"/>
            <w:noWrap/>
            <w:hideMark/>
          </w:tcPr>
          <w:p w14:paraId="6DE31797"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244 </w:t>
            </w:r>
          </w:p>
        </w:tc>
      </w:tr>
      <w:tr w:rsidR="000E597F" w:rsidRPr="00884CA1" w14:paraId="7FEAD1EF"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56883BB7"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Paid-in capital</w:t>
            </w:r>
          </w:p>
        </w:tc>
        <w:tc>
          <w:tcPr>
            <w:tcW w:w="548" w:type="pct"/>
            <w:noWrap/>
            <w:hideMark/>
          </w:tcPr>
          <w:p w14:paraId="4367C953"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344,697 </w:t>
            </w:r>
          </w:p>
        </w:tc>
        <w:tc>
          <w:tcPr>
            <w:tcW w:w="548" w:type="pct"/>
            <w:noWrap/>
            <w:hideMark/>
          </w:tcPr>
          <w:p w14:paraId="7FA359ED"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336,938 </w:t>
            </w:r>
          </w:p>
        </w:tc>
        <w:tc>
          <w:tcPr>
            <w:tcW w:w="548" w:type="pct"/>
            <w:noWrap/>
            <w:hideMark/>
          </w:tcPr>
          <w:p w14:paraId="38BDE511"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326,839 </w:t>
            </w:r>
          </w:p>
        </w:tc>
        <w:tc>
          <w:tcPr>
            <w:tcW w:w="548" w:type="pct"/>
            <w:noWrap/>
            <w:hideMark/>
          </w:tcPr>
          <w:p w14:paraId="68097C57"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314,094 </w:t>
            </w:r>
          </w:p>
        </w:tc>
        <w:tc>
          <w:tcPr>
            <w:tcW w:w="548" w:type="pct"/>
            <w:noWrap/>
            <w:hideMark/>
          </w:tcPr>
          <w:p w14:paraId="4EF3F42A"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302,084 </w:t>
            </w:r>
          </w:p>
        </w:tc>
      </w:tr>
      <w:tr w:rsidR="000E597F" w:rsidRPr="00884CA1" w14:paraId="7CE83FF4"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6E84C67E"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Treasury stock</w:t>
            </w:r>
          </w:p>
        </w:tc>
        <w:tc>
          <w:tcPr>
            <w:tcW w:w="548" w:type="pct"/>
            <w:noWrap/>
            <w:hideMark/>
          </w:tcPr>
          <w:p w14:paraId="76BFB599"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(371,930)</w:t>
            </w:r>
          </w:p>
        </w:tc>
        <w:tc>
          <w:tcPr>
            <w:tcW w:w="548" w:type="pct"/>
            <w:noWrap/>
            <w:hideMark/>
          </w:tcPr>
          <w:p w14:paraId="33A6A917"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(369,973)</w:t>
            </w:r>
          </w:p>
        </w:tc>
        <w:tc>
          <w:tcPr>
            <w:tcW w:w="548" w:type="pct"/>
            <w:noWrap/>
            <w:hideMark/>
          </w:tcPr>
          <w:p w14:paraId="1BB1B099"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(368,194)</w:t>
            </w:r>
          </w:p>
        </w:tc>
        <w:tc>
          <w:tcPr>
            <w:tcW w:w="548" w:type="pct"/>
            <w:noWrap/>
            <w:hideMark/>
          </w:tcPr>
          <w:p w14:paraId="0AD09DE0"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(355,159)</w:t>
            </w:r>
          </w:p>
        </w:tc>
        <w:tc>
          <w:tcPr>
            <w:tcW w:w="548" w:type="pct"/>
            <w:noWrap/>
            <w:hideMark/>
          </w:tcPr>
          <w:p w14:paraId="00454803"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(295,495)</w:t>
            </w:r>
          </w:p>
        </w:tc>
      </w:tr>
      <w:tr w:rsidR="000E597F" w:rsidRPr="00884CA1" w14:paraId="3985EE9C" w14:textId="77777777" w:rsidTr="00556504">
        <w:trPr>
          <w:trHeight w:val="495"/>
        </w:trPr>
        <w:tc>
          <w:tcPr>
            <w:cnfStyle w:val="001000000000" w:firstRow="0" w:lastRow="0" w:firstColumn="1" w:lastColumn="0" w:oddVBand="0" w:evenVBand="0" w:oddHBand="0" w:evenHBand="0" w:firstRowFirstColumn="0" w:firstRowLastColumn="0" w:lastRowFirstColumn="0" w:lastRowLastColumn="0"/>
            <w:tcW w:w="2262" w:type="pct"/>
            <w:hideMark/>
          </w:tcPr>
          <w:p w14:paraId="74EA5B91"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Accumulated other comprehensive income (loss)</w:t>
            </w:r>
          </w:p>
        </w:tc>
        <w:tc>
          <w:tcPr>
            <w:tcW w:w="548" w:type="pct"/>
            <w:noWrap/>
            <w:hideMark/>
          </w:tcPr>
          <w:p w14:paraId="5DC7AF80"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(28,350)</w:t>
            </w:r>
          </w:p>
        </w:tc>
        <w:tc>
          <w:tcPr>
            <w:tcW w:w="548" w:type="pct"/>
            <w:noWrap/>
            <w:hideMark/>
          </w:tcPr>
          <w:p w14:paraId="50A4BC02"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(20,758)</w:t>
            </w:r>
          </w:p>
        </w:tc>
        <w:tc>
          <w:tcPr>
            <w:tcW w:w="548" w:type="pct"/>
            <w:noWrap/>
            <w:hideMark/>
          </w:tcPr>
          <w:p w14:paraId="5ACD71E4"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(21,187)</w:t>
            </w:r>
          </w:p>
        </w:tc>
        <w:tc>
          <w:tcPr>
            <w:tcW w:w="548" w:type="pct"/>
            <w:noWrap/>
            <w:hideMark/>
          </w:tcPr>
          <w:p w14:paraId="16971784"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(13,524)</w:t>
            </w:r>
          </w:p>
        </w:tc>
        <w:tc>
          <w:tcPr>
            <w:tcW w:w="548" w:type="pct"/>
            <w:noWrap/>
            <w:hideMark/>
          </w:tcPr>
          <w:p w14:paraId="3D6DD4B5"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(18,522)</w:t>
            </w:r>
          </w:p>
        </w:tc>
      </w:tr>
      <w:tr w:rsidR="000E597F" w:rsidRPr="00884CA1" w14:paraId="6AF0CA40"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621F9BC1"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Retained earnings</w:t>
            </w:r>
          </w:p>
        </w:tc>
        <w:tc>
          <w:tcPr>
            <w:tcW w:w="548" w:type="pct"/>
            <w:noWrap/>
            <w:hideMark/>
          </w:tcPr>
          <w:p w14:paraId="71A72715"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208,431 </w:t>
            </w:r>
          </w:p>
        </w:tc>
        <w:tc>
          <w:tcPr>
            <w:tcW w:w="548" w:type="pct"/>
            <w:noWrap/>
            <w:hideMark/>
          </w:tcPr>
          <w:p w14:paraId="34934704"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232,460 </w:t>
            </w:r>
          </w:p>
        </w:tc>
        <w:tc>
          <w:tcPr>
            <w:tcW w:w="548" w:type="pct"/>
            <w:noWrap/>
            <w:hideMark/>
          </w:tcPr>
          <w:p w14:paraId="11183DFF"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330,698 </w:t>
            </w:r>
          </w:p>
        </w:tc>
        <w:tc>
          <w:tcPr>
            <w:tcW w:w="548" w:type="pct"/>
            <w:noWrap/>
            <w:hideMark/>
          </w:tcPr>
          <w:p w14:paraId="6A0F156F"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330,291 </w:t>
            </w:r>
          </w:p>
        </w:tc>
        <w:tc>
          <w:tcPr>
            <w:tcW w:w="548" w:type="pct"/>
            <w:noWrap/>
            <w:hideMark/>
          </w:tcPr>
          <w:p w14:paraId="5FB62D32"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324,990 </w:t>
            </w:r>
          </w:p>
        </w:tc>
      </w:tr>
      <w:tr w:rsidR="000E597F" w:rsidRPr="00884CA1" w14:paraId="27D6E77C"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328BF974"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Total shareholders' equity</w:t>
            </w:r>
          </w:p>
        </w:tc>
        <w:tc>
          <w:tcPr>
            <w:tcW w:w="548" w:type="pct"/>
            <w:noWrap/>
            <w:hideMark/>
          </w:tcPr>
          <w:p w14:paraId="3EEDA8E3"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153,105 </w:t>
            </w:r>
          </w:p>
        </w:tc>
        <w:tc>
          <w:tcPr>
            <w:tcW w:w="548" w:type="pct"/>
            <w:noWrap/>
            <w:hideMark/>
          </w:tcPr>
          <w:p w14:paraId="3E74ECD3"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178,920 </w:t>
            </w:r>
          </w:p>
        </w:tc>
        <w:tc>
          <w:tcPr>
            <w:tcW w:w="548" w:type="pct"/>
            <w:noWrap/>
            <w:hideMark/>
          </w:tcPr>
          <w:p w14:paraId="26AE24C2"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268,406 </w:t>
            </w:r>
          </w:p>
        </w:tc>
        <w:tc>
          <w:tcPr>
            <w:tcW w:w="548" w:type="pct"/>
            <w:noWrap/>
            <w:hideMark/>
          </w:tcPr>
          <w:p w14:paraId="01C4F29C"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275,949 </w:t>
            </w:r>
          </w:p>
        </w:tc>
        <w:tc>
          <w:tcPr>
            <w:tcW w:w="548" w:type="pct"/>
            <w:noWrap/>
            <w:hideMark/>
          </w:tcPr>
          <w:p w14:paraId="7B9BECC3" w14:textId="77777777" w:rsidR="000E597F" w:rsidRPr="00884CA1"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313,301 </w:t>
            </w:r>
          </w:p>
        </w:tc>
      </w:tr>
      <w:tr w:rsidR="000E597F" w:rsidRPr="00884CA1" w14:paraId="3F9298CD"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262" w:type="pct"/>
            <w:hideMark/>
          </w:tcPr>
          <w:p w14:paraId="7A7B4727" w14:textId="77777777" w:rsidR="000E597F" w:rsidRPr="00884CA1" w:rsidRDefault="000E597F" w:rsidP="00556504">
            <w:pPr>
              <w:rPr>
                <w:rFonts w:cs="Arial"/>
                <w:color w:val="000000"/>
                <w:sz w:val="18"/>
                <w:szCs w:val="18"/>
                <w:lang w:eastAsia="zh-CN"/>
              </w:rPr>
            </w:pPr>
            <w:r w:rsidRPr="00884CA1">
              <w:rPr>
                <w:rFonts w:cs="Arial"/>
                <w:color w:val="000000"/>
                <w:sz w:val="18"/>
                <w:szCs w:val="18"/>
                <w:lang w:eastAsia="zh-CN"/>
              </w:rPr>
              <w:t>Total liabilities and equity</w:t>
            </w:r>
          </w:p>
        </w:tc>
        <w:tc>
          <w:tcPr>
            <w:tcW w:w="548" w:type="pct"/>
            <w:noWrap/>
            <w:hideMark/>
          </w:tcPr>
          <w:p w14:paraId="66658B77"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323,354 </w:t>
            </w:r>
          </w:p>
        </w:tc>
        <w:tc>
          <w:tcPr>
            <w:tcW w:w="548" w:type="pct"/>
            <w:noWrap/>
            <w:hideMark/>
          </w:tcPr>
          <w:p w14:paraId="60A44E70"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355,872 </w:t>
            </w:r>
          </w:p>
        </w:tc>
        <w:tc>
          <w:tcPr>
            <w:tcW w:w="548" w:type="pct"/>
            <w:noWrap/>
            <w:hideMark/>
          </w:tcPr>
          <w:p w14:paraId="1A620258"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504,163 </w:t>
            </w:r>
          </w:p>
        </w:tc>
        <w:tc>
          <w:tcPr>
            <w:tcW w:w="548" w:type="pct"/>
            <w:noWrap/>
            <w:hideMark/>
          </w:tcPr>
          <w:p w14:paraId="3D00B3C6"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510,348 </w:t>
            </w:r>
          </w:p>
        </w:tc>
        <w:tc>
          <w:tcPr>
            <w:tcW w:w="548" w:type="pct"/>
            <w:noWrap/>
            <w:hideMark/>
          </w:tcPr>
          <w:p w14:paraId="5EFD898C" w14:textId="77777777" w:rsidR="000E597F" w:rsidRPr="00884CA1"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884CA1">
              <w:rPr>
                <w:rFonts w:cs="Arial"/>
                <w:color w:val="000000"/>
                <w:sz w:val="18"/>
                <w:szCs w:val="18"/>
                <w:lang w:eastAsia="zh-CN"/>
              </w:rPr>
              <w:t xml:space="preserve">510,290 </w:t>
            </w:r>
          </w:p>
        </w:tc>
      </w:tr>
    </w:tbl>
    <w:p w14:paraId="75FCBB40" w14:textId="77777777" w:rsidR="000E597F" w:rsidRDefault="000E597F" w:rsidP="000E597F">
      <w:pPr>
        <w:rPr>
          <w:lang w:val="en-US"/>
        </w:rPr>
      </w:pPr>
    </w:p>
    <w:p w14:paraId="7BA86ABA" w14:textId="77777777" w:rsidR="000E597F" w:rsidRDefault="000E597F" w:rsidP="000E597F">
      <w:pPr>
        <w:spacing w:line="259" w:lineRule="auto"/>
        <w:jc w:val="left"/>
        <w:rPr>
          <w:lang w:val="en-US"/>
        </w:rPr>
      </w:pPr>
    </w:p>
    <w:p w14:paraId="071351BE" w14:textId="77777777" w:rsidR="000E597F" w:rsidRDefault="000E597F" w:rsidP="000E597F">
      <w:pPr>
        <w:rPr>
          <w:lang w:val="en-US"/>
        </w:rPr>
      </w:pPr>
    </w:p>
    <w:tbl>
      <w:tblPr>
        <w:tblStyle w:val="GridTable4-Accent3"/>
        <w:tblW w:w="5000" w:type="pct"/>
        <w:tblLook w:val="04A0" w:firstRow="1" w:lastRow="0" w:firstColumn="1" w:lastColumn="0" w:noHBand="0" w:noVBand="1"/>
      </w:tblPr>
      <w:tblGrid>
        <w:gridCol w:w="4913"/>
        <w:gridCol w:w="887"/>
        <w:gridCol w:w="887"/>
        <w:gridCol w:w="887"/>
        <w:gridCol w:w="887"/>
        <w:gridCol w:w="889"/>
      </w:tblGrid>
      <w:tr w:rsidR="000E597F" w:rsidRPr="00F15C97" w14:paraId="551BDA9A" w14:textId="77777777" w:rsidTr="0055650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000" w:type="pct"/>
            <w:gridSpan w:val="6"/>
            <w:hideMark/>
          </w:tcPr>
          <w:p w14:paraId="0B33965B" w14:textId="77777777" w:rsidR="000E597F" w:rsidRPr="00F15C97" w:rsidRDefault="000E597F" w:rsidP="00556504">
            <w:pPr>
              <w:jc w:val="center"/>
              <w:rPr>
                <w:rFonts w:cs="Arial"/>
                <w:b w:val="0"/>
                <w:bCs w:val="0"/>
                <w:color w:val="000000"/>
                <w:sz w:val="22"/>
                <w:lang w:eastAsia="zh-CN"/>
              </w:rPr>
            </w:pPr>
            <w:r w:rsidRPr="00F15C97">
              <w:rPr>
                <w:rFonts w:cs="Arial"/>
                <w:color w:val="000000"/>
                <w:sz w:val="22"/>
                <w:lang w:eastAsia="zh-CN"/>
              </w:rPr>
              <w:t>Consolidated Cash Flow Statement</w:t>
            </w:r>
            <w:r w:rsidRPr="00F15C97">
              <w:rPr>
                <w:rFonts w:cs="Arial"/>
                <w:color w:val="000000" w:themeColor="text1"/>
                <w:sz w:val="22"/>
                <w:lang w:eastAsia="zh-CN"/>
              </w:rPr>
              <w:t xml:space="preserve"> (£m)</w:t>
            </w:r>
          </w:p>
        </w:tc>
      </w:tr>
      <w:tr w:rsidR="000E597F" w:rsidRPr="00F15C97" w14:paraId="61449A6A"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28" w:type="pct"/>
            <w:hideMark/>
          </w:tcPr>
          <w:p w14:paraId="289E32F8" w14:textId="77777777" w:rsidR="000E597F" w:rsidRPr="00F15C97" w:rsidRDefault="000E597F" w:rsidP="00556504">
            <w:pPr>
              <w:jc w:val="center"/>
              <w:rPr>
                <w:rFonts w:cs="Arial"/>
                <w:b w:val="0"/>
                <w:bCs w:val="0"/>
                <w:color w:val="000000"/>
                <w:sz w:val="18"/>
                <w:szCs w:val="18"/>
                <w:lang w:eastAsia="zh-CN"/>
              </w:rPr>
            </w:pPr>
          </w:p>
        </w:tc>
        <w:tc>
          <w:tcPr>
            <w:tcW w:w="474" w:type="pct"/>
            <w:noWrap/>
            <w:hideMark/>
          </w:tcPr>
          <w:p w14:paraId="58161295"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2024</w:t>
            </w:r>
          </w:p>
        </w:tc>
        <w:tc>
          <w:tcPr>
            <w:tcW w:w="474" w:type="pct"/>
            <w:noWrap/>
            <w:hideMark/>
          </w:tcPr>
          <w:p w14:paraId="61D3CAB3"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2023</w:t>
            </w:r>
          </w:p>
        </w:tc>
        <w:tc>
          <w:tcPr>
            <w:tcW w:w="474" w:type="pct"/>
            <w:noWrap/>
            <w:hideMark/>
          </w:tcPr>
          <w:p w14:paraId="15141670"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2022</w:t>
            </w:r>
          </w:p>
        </w:tc>
        <w:tc>
          <w:tcPr>
            <w:tcW w:w="474" w:type="pct"/>
            <w:noWrap/>
            <w:hideMark/>
          </w:tcPr>
          <w:p w14:paraId="3EAD7F42"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2021</w:t>
            </w:r>
          </w:p>
        </w:tc>
        <w:tc>
          <w:tcPr>
            <w:tcW w:w="474" w:type="pct"/>
            <w:noWrap/>
            <w:hideMark/>
          </w:tcPr>
          <w:p w14:paraId="20F7E623"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2020</w:t>
            </w:r>
          </w:p>
        </w:tc>
      </w:tr>
      <w:tr w:rsidR="000E597F" w:rsidRPr="00F15C97" w14:paraId="090C3B84"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628" w:type="pct"/>
            <w:hideMark/>
          </w:tcPr>
          <w:p w14:paraId="1FE4BC36"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Cash flows from operating activities</w:t>
            </w:r>
          </w:p>
        </w:tc>
        <w:tc>
          <w:tcPr>
            <w:tcW w:w="474" w:type="pct"/>
            <w:noWrap/>
            <w:hideMark/>
          </w:tcPr>
          <w:p w14:paraId="25152615"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c>
          <w:tcPr>
            <w:tcW w:w="474" w:type="pct"/>
            <w:noWrap/>
            <w:hideMark/>
          </w:tcPr>
          <w:p w14:paraId="3762AB87"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c>
          <w:tcPr>
            <w:tcW w:w="474" w:type="pct"/>
            <w:noWrap/>
            <w:hideMark/>
          </w:tcPr>
          <w:p w14:paraId="5F5B20D9"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c>
          <w:tcPr>
            <w:tcW w:w="474" w:type="pct"/>
            <w:noWrap/>
            <w:hideMark/>
          </w:tcPr>
          <w:p w14:paraId="4608179F"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c>
          <w:tcPr>
            <w:tcW w:w="474" w:type="pct"/>
            <w:noWrap/>
            <w:hideMark/>
          </w:tcPr>
          <w:p w14:paraId="3F7F1317"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r>
      <w:tr w:rsidR="000E597F" w:rsidRPr="00F15C97" w14:paraId="05DAD8EB"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28" w:type="pct"/>
            <w:hideMark/>
          </w:tcPr>
          <w:p w14:paraId="3553E87B"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Net income (loss)</w:t>
            </w:r>
          </w:p>
        </w:tc>
        <w:tc>
          <w:tcPr>
            <w:tcW w:w="474" w:type="pct"/>
            <w:noWrap/>
            <w:hideMark/>
          </w:tcPr>
          <w:p w14:paraId="6F0A92FE"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(24,029)</w:t>
            </w:r>
          </w:p>
        </w:tc>
        <w:tc>
          <w:tcPr>
            <w:tcW w:w="474" w:type="pct"/>
            <w:noWrap/>
            <w:hideMark/>
          </w:tcPr>
          <w:p w14:paraId="03B61216"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(98,238)</w:t>
            </w:r>
          </w:p>
        </w:tc>
        <w:tc>
          <w:tcPr>
            <w:tcW w:w="474" w:type="pct"/>
            <w:noWrap/>
            <w:hideMark/>
          </w:tcPr>
          <w:p w14:paraId="7AE09A8C"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407 </w:t>
            </w:r>
          </w:p>
        </w:tc>
        <w:tc>
          <w:tcPr>
            <w:tcW w:w="474" w:type="pct"/>
            <w:noWrap/>
            <w:hideMark/>
          </w:tcPr>
          <w:p w14:paraId="1595F4C8"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5,301 </w:t>
            </w:r>
          </w:p>
        </w:tc>
        <w:tc>
          <w:tcPr>
            <w:tcW w:w="474" w:type="pct"/>
            <w:noWrap/>
            <w:hideMark/>
          </w:tcPr>
          <w:p w14:paraId="34DC6351"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38,572 </w:t>
            </w:r>
          </w:p>
        </w:tc>
      </w:tr>
      <w:tr w:rsidR="000E597F" w:rsidRPr="00F15C97" w14:paraId="6A39F640" w14:textId="77777777" w:rsidTr="00556504">
        <w:trPr>
          <w:trHeight w:val="750"/>
        </w:trPr>
        <w:tc>
          <w:tcPr>
            <w:cnfStyle w:val="001000000000" w:firstRow="0" w:lastRow="0" w:firstColumn="1" w:lastColumn="0" w:oddVBand="0" w:evenVBand="0" w:oddHBand="0" w:evenHBand="0" w:firstRowFirstColumn="0" w:firstRowLastColumn="0" w:lastRowFirstColumn="0" w:lastRowLastColumn="0"/>
            <w:tcW w:w="2628" w:type="pct"/>
            <w:hideMark/>
          </w:tcPr>
          <w:p w14:paraId="37C07594"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lastRenderedPageBreak/>
              <w:t>Adjustments to reconcile net income (loss) to net cash provided by (used for) operating activities</w:t>
            </w:r>
          </w:p>
        </w:tc>
        <w:tc>
          <w:tcPr>
            <w:tcW w:w="474" w:type="pct"/>
            <w:noWrap/>
            <w:hideMark/>
          </w:tcPr>
          <w:p w14:paraId="6D6B902C"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c>
          <w:tcPr>
            <w:tcW w:w="474" w:type="pct"/>
            <w:noWrap/>
            <w:hideMark/>
          </w:tcPr>
          <w:p w14:paraId="5286C6EB"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c>
          <w:tcPr>
            <w:tcW w:w="474" w:type="pct"/>
            <w:noWrap/>
            <w:hideMark/>
          </w:tcPr>
          <w:p w14:paraId="178A049C"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c>
          <w:tcPr>
            <w:tcW w:w="474" w:type="pct"/>
            <w:noWrap/>
            <w:hideMark/>
          </w:tcPr>
          <w:p w14:paraId="24DF82FB"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c>
          <w:tcPr>
            <w:tcW w:w="474" w:type="pct"/>
            <w:noWrap/>
            <w:hideMark/>
          </w:tcPr>
          <w:p w14:paraId="2DB09467"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r>
      <w:tr w:rsidR="000E597F" w:rsidRPr="00F15C97" w14:paraId="29FE426E"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28" w:type="pct"/>
            <w:hideMark/>
          </w:tcPr>
          <w:p w14:paraId="4CA8F65A"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Depreciation and amortization</w:t>
            </w:r>
          </w:p>
        </w:tc>
        <w:tc>
          <w:tcPr>
            <w:tcW w:w="474" w:type="pct"/>
            <w:noWrap/>
            <w:hideMark/>
          </w:tcPr>
          <w:p w14:paraId="08FFB344"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18,058 </w:t>
            </w:r>
          </w:p>
        </w:tc>
        <w:tc>
          <w:tcPr>
            <w:tcW w:w="474" w:type="pct"/>
            <w:noWrap/>
            <w:hideMark/>
          </w:tcPr>
          <w:p w14:paraId="548CDFA4"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22,927 </w:t>
            </w:r>
          </w:p>
        </w:tc>
        <w:tc>
          <w:tcPr>
            <w:tcW w:w="474" w:type="pct"/>
            <w:noWrap/>
            <w:hideMark/>
          </w:tcPr>
          <w:p w14:paraId="3B6C694D"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24,033 </w:t>
            </w:r>
          </w:p>
        </w:tc>
        <w:tc>
          <w:tcPr>
            <w:tcW w:w="474" w:type="pct"/>
            <w:noWrap/>
            <w:hideMark/>
          </w:tcPr>
          <w:p w14:paraId="491076D4"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26,747 </w:t>
            </w:r>
          </w:p>
        </w:tc>
        <w:tc>
          <w:tcPr>
            <w:tcW w:w="474" w:type="pct"/>
            <w:noWrap/>
            <w:hideMark/>
          </w:tcPr>
          <w:p w14:paraId="17AB8446"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29,735 </w:t>
            </w:r>
          </w:p>
        </w:tc>
      </w:tr>
      <w:tr w:rsidR="000E597F" w:rsidRPr="00F15C97" w14:paraId="5B4CF023"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628" w:type="pct"/>
            <w:hideMark/>
          </w:tcPr>
          <w:p w14:paraId="1A473700"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Provision for credit losses</w:t>
            </w:r>
          </w:p>
        </w:tc>
        <w:tc>
          <w:tcPr>
            <w:tcW w:w="474" w:type="pct"/>
            <w:noWrap/>
            <w:hideMark/>
          </w:tcPr>
          <w:p w14:paraId="3915C7F4"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1,081 </w:t>
            </w:r>
          </w:p>
        </w:tc>
        <w:tc>
          <w:tcPr>
            <w:tcW w:w="474" w:type="pct"/>
            <w:noWrap/>
            <w:hideMark/>
          </w:tcPr>
          <w:p w14:paraId="13A4A406"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70 </w:t>
            </w:r>
          </w:p>
        </w:tc>
        <w:tc>
          <w:tcPr>
            <w:tcW w:w="474" w:type="pct"/>
            <w:noWrap/>
            <w:hideMark/>
          </w:tcPr>
          <w:p w14:paraId="2E353F7D"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(182)</w:t>
            </w:r>
          </w:p>
        </w:tc>
        <w:tc>
          <w:tcPr>
            <w:tcW w:w="474" w:type="pct"/>
            <w:noWrap/>
            <w:hideMark/>
          </w:tcPr>
          <w:p w14:paraId="4BD178EC"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c>
          <w:tcPr>
            <w:tcW w:w="474" w:type="pct"/>
            <w:noWrap/>
            <w:hideMark/>
          </w:tcPr>
          <w:p w14:paraId="3E18DFC2"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332 </w:t>
            </w:r>
          </w:p>
        </w:tc>
      </w:tr>
      <w:tr w:rsidR="000E597F" w:rsidRPr="00F15C97" w14:paraId="70463C34"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28" w:type="pct"/>
            <w:hideMark/>
          </w:tcPr>
          <w:p w14:paraId="31A566AD"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Deferred income taxes</w:t>
            </w:r>
          </w:p>
        </w:tc>
        <w:tc>
          <w:tcPr>
            <w:tcW w:w="474" w:type="pct"/>
            <w:noWrap/>
            <w:hideMark/>
          </w:tcPr>
          <w:p w14:paraId="3160CD45"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(256)</w:t>
            </w:r>
          </w:p>
        </w:tc>
        <w:tc>
          <w:tcPr>
            <w:tcW w:w="474" w:type="pct"/>
            <w:noWrap/>
            <w:hideMark/>
          </w:tcPr>
          <w:p w14:paraId="69AFA269"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(1,149)</w:t>
            </w:r>
          </w:p>
        </w:tc>
        <w:tc>
          <w:tcPr>
            <w:tcW w:w="474" w:type="pct"/>
            <w:noWrap/>
            <w:hideMark/>
          </w:tcPr>
          <w:p w14:paraId="11F687E4"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1,377 </w:t>
            </w:r>
          </w:p>
        </w:tc>
        <w:tc>
          <w:tcPr>
            <w:tcW w:w="474" w:type="pct"/>
            <w:noWrap/>
            <w:hideMark/>
          </w:tcPr>
          <w:p w14:paraId="39C7DEF7"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(1,560)</w:t>
            </w:r>
          </w:p>
        </w:tc>
        <w:tc>
          <w:tcPr>
            <w:tcW w:w="474" w:type="pct"/>
            <w:noWrap/>
            <w:hideMark/>
          </w:tcPr>
          <w:p w14:paraId="43C178DB"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(478)</w:t>
            </w:r>
          </w:p>
        </w:tc>
      </w:tr>
      <w:tr w:rsidR="000E597F" w:rsidRPr="00F15C97" w14:paraId="326BDC0B" w14:textId="77777777" w:rsidTr="00556504">
        <w:trPr>
          <w:trHeight w:val="495"/>
        </w:trPr>
        <w:tc>
          <w:tcPr>
            <w:cnfStyle w:val="001000000000" w:firstRow="0" w:lastRow="0" w:firstColumn="1" w:lastColumn="0" w:oddVBand="0" w:evenVBand="0" w:oddHBand="0" w:evenHBand="0" w:firstRowFirstColumn="0" w:firstRowLastColumn="0" w:lastRowFirstColumn="0" w:lastRowLastColumn="0"/>
            <w:tcW w:w="2628" w:type="pct"/>
            <w:hideMark/>
          </w:tcPr>
          <w:p w14:paraId="51807E24"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Shares issued for employee benefit plan</w:t>
            </w:r>
          </w:p>
        </w:tc>
        <w:tc>
          <w:tcPr>
            <w:tcW w:w="474" w:type="pct"/>
            <w:noWrap/>
            <w:hideMark/>
          </w:tcPr>
          <w:p w14:paraId="4974109B"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1,063 </w:t>
            </w:r>
          </w:p>
        </w:tc>
        <w:tc>
          <w:tcPr>
            <w:tcW w:w="474" w:type="pct"/>
            <w:noWrap/>
            <w:hideMark/>
          </w:tcPr>
          <w:p w14:paraId="04ADE8DF"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1,293 </w:t>
            </w:r>
          </w:p>
        </w:tc>
        <w:tc>
          <w:tcPr>
            <w:tcW w:w="474" w:type="pct"/>
            <w:noWrap/>
            <w:hideMark/>
          </w:tcPr>
          <w:p w14:paraId="1ECB6F55"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1,199 </w:t>
            </w:r>
          </w:p>
        </w:tc>
        <w:tc>
          <w:tcPr>
            <w:tcW w:w="474" w:type="pct"/>
            <w:noWrap/>
            <w:hideMark/>
          </w:tcPr>
          <w:p w14:paraId="7D7ACBD1"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1,092 </w:t>
            </w:r>
          </w:p>
        </w:tc>
        <w:tc>
          <w:tcPr>
            <w:tcW w:w="474" w:type="pct"/>
            <w:noWrap/>
            <w:hideMark/>
          </w:tcPr>
          <w:p w14:paraId="6AEA1D1D"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1,136 </w:t>
            </w:r>
          </w:p>
        </w:tc>
      </w:tr>
      <w:tr w:rsidR="000E597F" w:rsidRPr="00F15C97" w14:paraId="1C34D7BE" w14:textId="77777777" w:rsidTr="00556504">
        <w:trPr>
          <w:cnfStyle w:val="000000100000" w:firstRow="0" w:lastRow="0" w:firstColumn="0" w:lastColumn="0" w:oddVBand="0" w:evenVBand="0" w:oddHBand="1" w:evenHBand="0" w:firstRowFirstColumn="0" w:firstRowLastColumn="0" w:lastRowFirstColumn="0" w:lastRowLastColumn="0"/>
          <w:trHeight w:val="495"/>
        </w:trPr>
        <w:tc>
          <w:tcPr>
            <w:cnfStyle w:val="001000000000" w:firstRow="0" w:lastRow="0" w:firstColumn="1" w:lastColumn="0" w:oddVBand="0" w:evenVBand="0" w:oddHBand="0" w:evenHBand="0" w:firstRowFirstColumn="0" w:firstRowLastColumn="0" w:lastRowFirstColumn="0" w:lastRowLastColumn="0"/>
            <w:tcW w:w="2628" w:type="pct"/>
            <w:hideMark/>
          </w:tcPr>
          <w:p w14:paraId="6EE56B3C"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Employee and director stock-based compensation</w:t>
            </w:r>
          </w:p>
        </w:tc>
        <w:tc>
          <w:tcPr>
            <w:tcW w:w="474" w:type="pct"/>
            <w:noWrap/>
            <w:hideMark/>
          </w:tcPr>
          <w:p w14:paraId="724FC372"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6,700 </w:t>
            </w:r>
          </w:p>
        </w:tc>
        <w:tc>
          <w:tcPr>
            <w:tcW w:w="474" w:type="pct"/>
            <w:noWrap/>
            <w:hideMark/>
          </w:tcPr>
          <w:p w14:paraId="7909E6EB"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8,809 </w:t>
            </w:r>
          </w:p>
        </w:tc>
        <w:tc>
          <w:tcPr>
            <w:tcW w:w="474" w:type="pct"/>
            <w:noWrap/>
            <w:hideMark/>
          </w:tcPr>
          <w:p w14:paraId="0BECC4FA"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10,013 </w:t>
            </w:r>
          </w:p>
        </w:tc>
        <w:tc>
          <w:tcPr>
            <w:tcW w:w="474" w:type="pct"/>
            <w:noWrap/>
            <w:hideMark/>
          </w:tcPr>
          <w:p w14:paraId="154D6B30"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9,969 </w:t>
            </w:r>
          </w:p>
        </w:tc>
        <w:tc>
          <w:tcPr>
            <w:tcW w:w="474" w:type="pct"/>
            <w:noWrap/>
            <w:hideMark/>
          </w:tcPr>
          <w:p w14:paraId="5615C509"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9,122 </w:t>
            </w:r>
          </w:p>
        </w:tc>
      </w:tr>
      <w:tr w:rsidR="000E597F" w:rsidRPr="00F15C97" w14:paraId="3D1A4B72"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628" w:type="pct"/>
            <w:hideMark/>
          </w:tcPr>
          <w:p w14:paraId="324555F6"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Impairment of goodwill</w:t>
            </w:r>
          </w:p>
        </w:tc>
        <w:tc>
          <w:tcPr>
            <w:tcW w:w="474" w:type="pct"/>
            <w:noWrap/>
            <w:hideMark/>
          </w:tcPr>
          <w:p w14:paraId="28FF9237"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c>
          <w:tcPr>
            <w:tcW w:w="474" w:type="pct"/>
            <w:noWrap/>
            <w:hideMark/>
          </w:tcPr>
          <w:p w14:paraId="6F990545"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49,075 </w:t>
            </w:r>
          </w:p>
        </w:tc>
        <w:tc>
          <w:tcPr>
            <w:tcW w:w="474" w:type="pct"/>
            <w:noWrap/>
            <w:hideMark/>
          </w:tcPr>
          <w:p w14:paraId="5C6C183C"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c>
          <w:tcPr>
            <w:tcW w:w="474" w:type="pct"/>
            <w:noWrap/>
            <w:hideMark/>
          </w:tcPr>
          <w:p w14:paraId="39EA8C7D"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c>
          <w:tcPr>
            <w:tcW w:w="474" w:type="pct"/>
            <w:noWrap/>
            <w:hideMark/>
          </w:tcPr>
          <w:p w14:paraId="761C7751"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r>
      <w:tr w:rsidR="000E597F" w:rsidRPr="00F15C97" w14:paraId="05357375"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28" w:type="pct"/>
            <w:hideMark/>
          </w:tcPr>
          <w:p w14:paraId="34CD3958"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Impairment of long-lived assets</w:t>
            </w:r>
          </w:p>
        </w:tc>
        <w:tc>
          <w:tcPr>
            <w:tcW w:w="474" w:type="pct"/>
            <w:noWrap/>
            <w:hideMark/>
          </w:tcPr>
          <w:p w14:paraId="401DB225"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333 </w:t>
            </w:r>
          </w:p>
        </w:tc>
        <w:tc>
          <w:tcPr>
            <w:tcW w:w="474" w:type="pct"/>
            <w:noWrap/>
            <w:hideMark/>
          </w:tcPr>
          <w:p w14:paraId="4E4812BA"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7,963 </w:t>
            </w:r>
          </w:p>
        </w:tc>
        <w:tc>
          <w:tcPr>
            <w:tcW w:w="474" w:type="pct"/>
            <w:noWrap/>
            <w:hideMark/>
          </w:tcPr>
          <w:p w14:paraId="3E0348E1"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2,888 </w:t>
            </w:r>
          </w:p>
        </w:tc>
        <w:tc>
          <w:tcPr>
            <w:tcW w:w="474" w:type="pct"/>
            <w:noWrap/>
            <w:hideMark/>
          </w:tcPr>
          <w:p w14:paraId="1F0FBB61"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3,338 </w:t>
            </w:r>
          </w:p>
        </w:tc>
        <w:tc>
          <w:tcPr>
            <w:tcW w:w="474" w:type="pct"/>
            <w:noWrap/>
            <w:hideMark/>
          </w:tcPr>
          <w:p w14:paraId="39943156"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134 </w:t>
            </w:r>
          </w:p>
        </w:tc>
      </w:tr>
      <w:tr w:rsidR="000E597F" w:rsidRPr="00F15C97" w14:paraId="2E93D4B9" w14:textId="77777777" w:rsidTr="00556504">
        <w:trPr>
          <w:trHeight w:val="495"/>
        </w:trPr>
        <w:tc>
          <w:tcPr>
            <w:cnfStyle w:val="001000000000" w:firstRow="0" w:lastRow="0" w:firstColumn="1" w:lastColumn="0" w:oddVBand="0" w:evenVBand="0" w:oddHBand="0" w:evenHBand="0" w:firstRowFirstColumn="0" w:firstRowLastColumn="0" w:lastRowFirstColumn="0" w:lastRowLastColumn="0"/>
            <w:tcW w:w="2628" w:type="pct"/>
            <w:hideMark/>
          </w:tcPr>
          <w:p w14:paraId="6E9B005B"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Changes in operating assets and liabilities</w:t>
            </w:r>
          </w:p>
        </w:tc>
        <w:tc>
          <w:tcPr>
            <w:tcW w:w="474" w:type="pct"/>
            <w:noWrap/>
            <w:hideMark/>
          </w:tcPr>
          <w:p w14:paraId="4B698D62"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c>
          <w:tcPr>
            <w:tcW w:w="474" w:type="pct"/>
            <w:noWrap/>
            <w:hideMark/>
          </w:tcPr>
          <w:p w14:paraId="2B61B8DA"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c>
          <w:tcPr>
            <w:tcW w:w="474" w:type="pct"/>
            <w:noWrap/>
            <w:hideMark/>
          </w:tcPr>
          <w:p w14:paraId="5EFD4B46"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c>
          <w:tcPr>
            <w:tcW w:w="474" w:type="pct"/>
            <w:noWrap/>
            <w:hideMark/>
          </w:tcPr>
          <w:p w14:paraId="363DB298"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c>
          <w:tcPr>
            <w:tcW w:w="474" w:type="pct"/>
            <w:noWrap/>
            <w:hideMark/>
          </w:tcPr>
          <w:p w14:paraId="77F935DA"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r>
      <w:tr w:rsidR="000E597F" w:rsidRPr="00F15C97" w14:paraId="3C0306F7" w14:textId="77777777" w:rsidTr="00556504">
        <w:trPr>
          <w:cnfStyle w:val="000000100000" w:firstRow="0" w:lastRow="0" w:firstColumn="0" w:lastColumn="0" w:oddVBand="0" w:evenVBand="0" w:oddHBand="1" w:evenHBand="0" w:firstRowFirstColumn="0" w:firstRowLastColumn="0" w:lastRowFirstColumn="0" w:lastRowLastColumn="0"/>
          <w:trHeight w:val="329"/>
        </w:trPr>
        <w:tc>
          <w:tcPr>
            <w:cnfStyle w:val="001000000000" w:firstRow="0" w:lastRow="0" w:firstColumn="1" w:lastColumn="0" w:oddVBand="0" w:evenVBand="0" w:oddHBand="0" w:evenHBand="0" w:firstRowFirstColumn="0" w:firstRowLastColumn="0" w:lastRowFirstColumn="0" w:lastRowLastColumn="0"/>
            <w:tcW w:w="2628" w:type="pct"/>
            <w:hideMark/>
          </w:tcPr>
          <w:p w14:paraId="78547FAA"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Accounts receivable and contract assets</w:t>
            </w:r>
          </w:p>
        </w:tc>
        <w:tc>
          <w:tcPr>
            <w:tcW w:w="474" w:type="pct"/>
            <w:noWrap/>
            <w:hideMark/>
          </w:tcPr>
          <w:p w14:paraId="5CB2A161"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(12,174)</w:t>
            </w:r>
          </w:p>
        </w:tc>
        <w:tc>
          <w:tcPr>
            <w:tcW w:w="474" w:type="pct"/>
            <w:noWrap/>
            <w:hideMark/>
          </w:tcPr>
          <w:p w14:paraId="4BE5F38F"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5,040 </w:t>
            </w:r>
          </w:p>
        </w:tc>
        <w:tc>
          <w:tcPr>
            <w:tcW w:w="474" w:type="pct"/>
            <w:noWrap/>
            <w:hideMark/>
          </w:tcPr>
          <w:p w14:paraId="4FBD8F50"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12,765 </w:t>
            </w:r>
          </w:p>
        </w:tc>
        <w:tc>
          <w:tcPr>
            <w:tcW w:w="474" w:type="pct"/>
            <w:noWrap/>
            <w:hideMark/>
          </w:tcPr>
          <w:p w14:paraId="362FCC26"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2,007 </w:t>
            </w:r>
          </w:p>
        </w:tc>
        <w:tc>
          <w:tcPr>
            <w:tcW w:w="474" w:type="pct"/>
            <w:noWrap/>
            <w:hideMark/>
          </w:tcPr>
          <w:p w14:paraId="62B7B0B5"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14,884 </w:t>
            </w:r>
          </w:p>
        </w:tc>
      </w:tr>
      <w:tr w:rsidR="000E597F" w:rsidRPr="00F15C97" w14:paraId="2E8A72A0"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628" w:type="pct"/>
            <w:hideMark/>
          </w:tcPr>
          <w:p w14:paraId="5B2F0B32"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Inventories</w:t>
            </w:r>
          </w:p>
        </w:tc>
        <w:tc>
          <w:tcPr>
            <w:tcW w:w="474" w:type="pct"/>
            <w:noWrap/>
            <w:hideMark/>
          </w:tcPr>
          <w:p w14:paraId="36CD525C"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6,239 </w:t>
            </w:r>
          </w:p>
        </w:tc>
        <w:tc>
          <w:tcPr>
            <w:tcW w:w="474" w:type="pct"/>
            <w:noWrap/>
            <w:hideMark/>
          </w:tcPr>
          <w:p w14:paraId="7DDD5B0D"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51,458 </w:t>
            </w:r>
          </w:p>
        </w:tc>
        <w:tc>
          <w:tcPr>
            <w:tcW w:w="474" w:type="pct"/>
            <w:noWrap/>
            <w:hideMark/>
          </w:tcPr>
          <w:p w14:paraId="2FFAF470"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(9,913)</w:t>
            </w:r>
          </w:p>
        </w:tc>
        <w:tc>
          <w:tcPr>
            <w:tcW w:w="474" w:type="pct"/>
            <w:noWrap/>
            <w:hideMark/>
          </w:tcPr>
          <w:p w14:paraId="49804A1F"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(14,985)</w:t>
            </w:r>
          </w:p>
        </w:tc>
        <w:tc>
          <w:tcPr>
            <w:tcW w:w="474" w:type="pct"/>
            <w:noWrap/>
            <w:hideMark/>
          </w:tcPr>
          <w:p w14:paraId="59A87482"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28,295 </w:t>
            </w:r>
          </w:p>
        </w:tc>
      </w:tr>
      <w:tr w:rsidR="000E597F" w:rsidRPr="00F15C97" w14:paraId="70E4437C"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28" w:type="pct"/>
            <w:hideMark/>
          </w:tcPr>
          <w:p w14:paraId="105C1DF9"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Prepaid expenses and other assets</w:t>
            </w:r>
          </w:p>
        </w:tc>
        <w:tc>
          <w:tcPr>
            <w:tcW w:w="474" w:type="pct"/>
            <w:noWrap/>
            <w:hideMark/>
          </w:tcPr>
          <w:p w14:paraId="38F695A0"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764 </w:t>
            </w:r>
          </w:p>
        </w:tc>
        <w:tc>
          <w:tcPr>
            <w:tcW w:w="474" w:type="pct"/>
            <w:noWrap/>
            <w:hideMark/>
          </w:tcPr>
          <w:p w14:paraId="66D6EF7E"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2,860 </w:t>
            </w:r>
          </w:p>
        </w:tc>
        <w:tc>
          <w:tcPr>
            <w:tcW w:w="474" w:type="pct"/>
            <w:noWrap/>
            <w:hideMark/>
          </w:tcPr>
          <w:p w14:paraId="5EAEA2D7"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(917)</w:t>
            </w:r>
          </w:p>
        </w:tc>
        <w:tc>
          <w:tcPr>
            <w:tcW w:w="474" w:type="pct"/>
            <w:noWrap/>
            <w:hideMark/>
          </w:tcPr>
          <w:p w14:paraId="6CAA0BC9"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(630)</w:t>
            </w:r>
          </w:p>
        </w:tc>
        <w:tc>
          <w:tcPr>
            <w:tcW w:w="474" w:type="pct"/>
            <w:noWrap/>
            <w:hideMark/>
          </w:tcPr>
          <w:p w14:paraId="52931D9F"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(245)</w:t>
            </w:r>
          </w:p>
        </w:tc>
      </w:tr>
      <w:tr w:rsidR="000E597F" w:rsidRPr="00F15C97" w14:paraId="067A99DE" w14:textId="77777777" w:rsidTr="00556504">
        <w:trPr>
          <w:trHeight w:val="495"/>
        </w:trPr>
        <w:tc>
          <w:tcPr>
            <w:cnfStyle w:val="001000000000" w:firstRow="0" w:lastRow="0" w:firstColumn="1" w:lastColumn="0" w:oddVBand="0" w:evenVBand="0" w:oddHBand="0" w:evenHBand="0" w:firstRowFirstColumn="0" w:firstRowLastColumn="0" w:lastRowFirstColumn="0" w:lastRowLastColumn="0"/>
            <w:tcW w:w="2628" w:type="pct"/>
            <w:hideMark/>
          </w:tcPr>
          <w:p w14:paraId="7FFDED5F"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Accounts payable and accrued liabilities</w:t>
            </w:r>
          </w:p>
        </w:tc>
        <w:tc>
          <w:tcPr>
            <w:tcW w:w="474" w:type="pct"/>
            <w:noWrap/>
            <w:hideMark/>
          </w:tcPr>
          <w:p w14:paraId="4B884322"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15,733 </w:t>
            </w:r>
          </w:p>
        </w:tc>
        <w:tc>
          <w:tcPr>
            <w:tcW w:w="474" w:type="pct"/>
            <w:noWrap/>
            <w:hideMark/>
          </w:tcPr>
          <w:p w14:paraId="45843F4D"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(21,379)</w:t>
            </w:r>
          </w:p>
        </w:tc>
        <w:tc>
          <w:tcPr>
            <w:tcW w:w="474" w:type="pct"/>
            <w:noWrap/>
            <w:hideMark/>
          </w:tcPr>
          <w:p w14:paraId="7D7D3F8A"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(28,670)</w:t>
            </w:r>
          </w:p>
        </w:tc>
        <w:tc>
          <w:tcPr>
            <w:tcW w:w="474" w:type="pct"/>
            <w:noWrap/>
            <w:hideMark/>
          </w:tcPr>
          <w:p w14:paraId="48FB97C7"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870 </w:t>
            </w:r>
          </w:p>
        </w:tc>
        <w:tc>
          <w:tcPr>
            <w:tcW w:w="474" w:type="pct"/>
            <w:noWrap/>
            <w:hideMark/>
          </w:tcPr>
          <w:p w14:paraId="76FA96DD"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(33,543)</w:t>
            </w:r>
          </w:p>
        </w:tc>
      </w:tr>
      <w:tr w:rsidR="000E597F" w:rsidRPr="00F15C97" w14:paraId="38A4F25A"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28" w:type="pct"/>
            <w:hideMark/>
          </w:tcPr>
          <w:p w14:paraId="286D9D9C"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Accrued income taxes</w:t>
            </w:r>
          </w:p>
        </w:tc>
        <w:tc>
          <w:tcPr>
            <w:tcW w:w="474" w:type="pct"/>
            <w:noWrap/>
            <w:hideMark/>
          </w:tcPr>
          <w:p w14:paraId="104439D9"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1,310 </w:t>
            </w:r>
          </w:p>
        </w:tc>
        <w:tc>
          <w:tcPr>
            <w:tcW w:w="474" w:type="pct"/>
            <w:noWrap/>
            <w:hideMark/>
          </w:tcPr>
          <w:p w14:paraId="246BFAF2"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(3,539)</w:t>
            </w:r>
          </w:p>
        </w:tc>
        <w:tc>
          <w:tcPr>
            <w:tcW w:w="474" w:type="pct"/>
            <w:noWrap/>
            <w:hideMark/>
          </w:tcPr>
          <w:p w14:paraId="5D86E9D5"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(2,074)</w:t>
            </w:r>
          </w:p>
        </w:tc>
        <w:tc>
          <w:tcPr>
            <w:tcW w:w="474" w:type="pct"/>
            <w:noWrap/>
            <w:hideMark/>
          </w:tcPr>
          <w:p w14:paraId="1BC57B01"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2,860 </w:t>
            </w:r>
          </w:p>
        </w:tc>
        <w:tc>
          <w:tcPr>
            <w:tcW w:w="474" w:type="pct"/>
            <w:noWrap/>
            <w:hideMark/>
          </w:tcPr>
          <w:p w14:paraId="020C9B0D"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(6,486)</w:t>
            </w:r>
          </w:p>
        </w:tc>
      </w:tr>
      <w:tr w:rsidR="000E597F" w:rsidRPr="00F15C97" w14:paraId="59F198CA" w14:textId="77777777" w:rsidTr="00556504">
        <w:trPr>
          <w:trHeight w:val="495"/>
        </w:trPr>
        <w:tc>
          <w:tcPr>
            <w:cnfStyle w:val="001000000000" w:firstRow="0" w:lastRow="0" w:firstColumn="1" w:lastColumn="0" w:oddVBand="0" w:evenVBand="0" w:oddHBand="0" w:evenHBand="0" w:firstRowFirstColumn="0" w:firstRowLastColumn="0" w:lastRowFirstColumn="0" w:lastRowLastColumn="0"/>
            <w:tcW w:w="2628" w:type="pct"/>
            <w:hideMark/>
          </w:tcPr>
          <w:p w14:paraId="2AF23C1E"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Net cash provided by (used for) operating activities</w:t>
            </w:r>
          </w:p>
        </w:tc>
        <w:tc>
          <w:tcPr>
            <w:tcW w:w="474" w:type="pct"/>
            <w:noWrap/>
            <w:hideMark/>
          </w:tcPr>
          <w:p w14:paraId="29F91814"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14,822 </w:t>
            </w:r>
          </w:p>
        </w:tc>
        <w:tc>
          <w:tcPr>
            <w:tcW w:w="474" w:type="pct"/>
            <w:noWrap/>
            <w:hideMark/>
          </w:tcPr>
          <w:p w14:paraId="541D6E30"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25,190 </w:t>
            </w:r>
          </w:p>
        </w:tc>
        <w:tc>
          <w:tcPr>
            <w:tcW w:w="474" w:type="pct"/>
            <w:noWrap/>
            <w:hideMark/>
          </w:tcPr>
          <w:p w14:paraId="081906C0"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10,926 </w:t>
            </w:r>
          </w:p>
        </w:tc>
        <w:tc>
          <w:tcPr>
            <w:tcW w:w="474" w:type="pct"/>
            <w:noWrap/>
            <w:hideMark/>
          </w:tcPr>
          <w:p w14:paraId="4324A906"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40,283 </w:t>
            </w:r>
          </w:p>
        </w:tc>
        <w:tc>
          <w:tcPr>
            <w:tcW w:w="474" w:type="pct"/>
            <w:noWrap/>
            <w:hideMark/>
          </w:tcPr>
          <w:p w14:paraId="70752AA3"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73,392 </w:t>
            </w:r>
          </w:p>
        </w:tc>
      </w:tr>
      <w:tr w:rsidR="000E597F" w:rsidRPr="00F15C97" w14:paraId="16FC5790"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28" w:type="pct"/>
            <w:hideMark/>
          </w:tcPr>
          <w:p w14:paraId="247F54AD"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Cash flows from investing activities</w:t>
            </w:r>
          </w:p>
        </w:tc>
        <w:tc>
          <w:tcPr>
            <w:tcW w:w="474" w:type="pct"/>
            <w:noWrap/>
            <w:hideMark/>
          </w:tcPr>
          <w:p w14:paraId="43E03BC7" w14:textId="77777777" w:rsidR="000E597F" w:rsidRPr="00F15C97" w:rsidRDefault="000E597F" w:rsidP="00556504">
            <w:pPr>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p>
        </w:tc>
        <w:tc>
          <w:tcPr>
            <w:tcW w:w="474" w:type="pct"/>
            <w:noWrap/>
            <w:hideMark/>
          </w:tcPr>
          <w:p w14:paraId="0C620D59" w14:textId="77777777" w:rsidR="000E597F" w:rsidRPr="00F15C97" w:rsidRDefault="000E597F" w:rsidP="00556504">
            <w:pPr>
              <w:cnfStyle w:val="000000100000" w:firstRow="0" w:lastRow="0" w:firstColumn="0" w:lastColumn="0" w:oddVBand="0" w:evenVBand="0" w:oddHBand="1" w:evenHBand="0" w:firstRowFirstColumn="0" w:firstRowLastColumn="0" w:lastRowFirstColumn="0" w:lastRowLastColumn="0"/>
              <w:rPr>
                <w:rFonts w:cs="Arial"/>
                <w:lang w:eastAsia="zh-CN"/>
              </w:rPr>
            </w:pPr>
          </w:p>
        </w:tc>
        <w:tc>
          <w:tcPr>
            <w:tcW w:w="474" w:type="pct"/>
            <w:noWrap/>
            <w:hideMark/>
          </w:tcPr>
          <w:p w14:paraId="28A6D0D2" w14:textId="77777777" w:rsidR="000E597F" w:rsidRPr="00F15C97" w:rsidRDefault="000E597F" w:rsidP="00556504">
            <w:pPr>
              <w:cnfStyle w:val="000000100000" w:firstRow="0" w:lastRow="0" w:firstColumn="0" w:lastColumn="0" w:oddVBand="0" w:evenVBand="0" w:oddHBand="1" w:evenHBand="0" w:firstRowFirstColumn="0" w:firstRowLastColumn="0" w:lastRowFirstColumn="0" w:lastRowLastColumn="0"/>
              <w:rPr>
                <w:rFonts w:cs="Arial"/>
                <w:lang w:eastAsia="zh-CN"/>
              </w:rPr>
            </w:pPr>
          </w:p>
        </w:tc>
        <w:tc>
          <w:tcPr>
            <w:tcW w:w="474" w:type="pct"/>
            <w:noWrap/>
            <w:hideMark/>
          </w:tcPr>
          <w:p w14:paraId="22A5D8B0" w14:textId="77777777" w:rsidR="000E597F" w:rsidRPr="00F15C97" w:rsidRDefault="000E597F" w:rsidP="00556504">
            <w:pPr>
              <w:cnfStyle w:val="000000100000" w:firstRow="0" w:lastRow="0" w:firstColumn="0" w:lastColumn="0" w:oddVBand="0" w:evenVBand="0" w:oddHBand="1" w:evenHBand="0" w:firstRowFirstColumn="0" w:firstRowLastColumn="0" w:lastRowFirstColumn="0" w:lastRowLastColumn="0"/>
              <w:rPr>
                <w:rFonts w:cs="Arial"/>
                <w:lang w:eastAsia="zh-CN"/>
              </w:rPr>
            </w:pPr>
          </w:p>
        </w:tc>
        <w:tc>
          <w:tcPr>
            <w:tcW w:w="474" w:type="pct"/>
            <w:noWrap/>
            <w:hideMark/>
          </w:tcPr>
          <w:p w14:paraId="4F76ADF4" w14:textId="77777777" w:rsidR="000E597F" w:rsidRPr="00F15C97" w:rsidRDefault="000E597F" w:rsidP="00556504">
            <w:pPr>
              <w:cnfStyle w:val="000000100000" w:firstRow="0" w:lastRow="0" w:firstColumn="0" w:lastColumn="0" w:oddVBand="0" w:evenVBand="0" w:oddHBand="1" w:evenHBand="0" w:firstRowFirstColumn="0" w:firstRowLastColumn="0" w:lastRowFirstColumn="0" w:lastRowLastColumn="0"/>
              <w:rPr>
                <w:rFonts w:cs="Arial"/>
                <w:lang w:eastAsia="zh-CN"/>
              </w:rPr>
            </w:pPr>
          </w:p>
        </w:tc>
      </w:tr>
      <w:tr w:rsidR="000E597F" w:rsidRPr="00F15C97" w14:paraId="1A5DB2E4"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628" w:type="pct"/>
            <w:hideMark/>
          </w:tcPr>
          <w:p w14:paraId="69B7F4B2"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Purchase of term deposit</w:t>
            </w:r>
          </w:p>
        </w:tc>
        <w:tc>
          <w:tcPr>
            <w:tcW w:w="474" w:type="pct"/>
            <w:noWrap/>
            <w:hideMark/>
          </w:tcPr>
          <w:p w14:paraId="51333225"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c>
          <w:tcPr>
            <w:tcW w:w="474" w:type="pct"/>
            <w:noWrap/>
            <w:hideMark/>
          </w:tcPr>
          <w:p w14:paraId="34179B58"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c>
          <w:tcPr>
            <w:tcW w:w="474" w:type="pct"/>
            <w:noWrap/>
            <w:hideMark/>
          </w:tcPr>
          <w:p w14:paraId="08AF5A03"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(7,487)</w:t>
            </w:r>
          </w:p>
        </w:tc>
        <w:tc>
          <w:tcPr>
            <w:tcW w:w="474" w:type="pct"/>
            <w:noWrap/>
            <w:hideMark/>
          </w:tcPr>
          <w:p w14:paraId="4A1CCCCD"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c>
          <w:tcPr>
            <w:tcW w:w="474" w:type="pct"/>
            <w:noWrap/>
            <w:hideMark/>
          </w:tcPr>
          <w:p w14:paraId="4DE9B8A7"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r>
      <w:tr w:rsidR="000E597F" w:rsidRPr="00F15C97" w14:paraId="04FBA4B6"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28" w:type="pct"/>
            <w:hideMark/>
          </w:tcPr>
          <w:p w14:paraId="17A48E9A"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Redemption of term deposit</w:t>
            </w:r>
          </w:p>
        </w:tc>
        <w:tc>
          <w:tcPr>
            <w:tcW w:w="474" w:type="pct"/>
            <w:noWrap/>
            <w:hideMark/>
          </w:tcPr>
          <w:p w14:paraId="1EFF5F26" w14:textId="77777777" w:rsidR="000E597F" w:rsidRPr="00F15C97" w:rsidRDefault="000E597F" w:rsidP="00556504">
            <w:pPr>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p>
        </w:tc>
        <w:tc>
          <w:tcPr>
            <w:tcW w:w="474" w:type="pct"/>
            <w:noWrap/>
            <w:hideMark/>
          </w:tcPr>
          <w:p w14:paraId="45F1E6EF" w14:textId="77777777" w:rsidR="000E597F" w:rsidRPr="00F15C97" w:rsidRDefault="000E597F" w:rsidP="00556504">
            <w:pPr>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p>
        </w:tc>
        <w:tc>
          <w:tcPr>
            <w:tcW w:w="474" w:type="pct"/>
            <w:noWrap/>
            <w:hideMark/>
          </w:tcPr>
          <w:p w14:paraId="6C352627"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7,803 </w:t>
            </w:r>
          </w:p>
        </w:tc>
        <w:tc>
          <w:tcPr>
            <w:tcW w:w="474" w:type="pct"/>
            <w:noWrap/>
            <w:hideMark/>
          </w:tcPr>
          <w:p w14:paraId="4E05A35F" w14:textId="77777777" w:rsidR="000E597F" w:rsidRPr="00F15C97" w:rsidRDefault="000E597F" w:rsidP="00556504">
            <w:pPr>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p>
        </w:tc>
        <w:tc>
          <w:tcPr>
            <w:tcW w:w="474" w:type="pct"/>
            <w:noWrap/>
            <w:hideMark/>
          </w:tcPr>
          <w:p w14:paraId="4959616E" w14:textId="77777777" w:rsidR="000E597F" w:rsidRPr="00F15C97" w:rsidRDefault="000E597F" w:rsidP="00556504">
            <w:pPr>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p>
        </w:tc>
      </w:tr>
      <w:tr w:rsidR="000E597F" w:rsidRPr="00F15C97" w14:paraId="374F3C0C"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628" w:type="pct"/>
            <w:hideMark/>
          </w:tcPr>
          <w:p w14:paraId="44EA953C"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Acquisition of the net assets</w:t>
            </w:r>
          </w:p>
        </w:tc>
        <w:tc>
          <w:tcPr>
            <w:tcW w:w="474" w:type="pct"/>
            <w:noWrap/>
            <w:hideMark/>
          </w:tcPr>
          <w:p w14:paraId="766C04B2"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c>
          <w:tcPr>
            <w:tcW w:w="474" w:type="pct"/>
            <w:noWrap/>
            <w:hideMark/>
          </w:tcPr>
          <w:p w14:paraId="28FD2211"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c>
          <w:tcPr>
            <w:tcW w:w="474" w:type="pct"/>
            <w:noWrap/>
            <w:hideMark/>
          </w:tcPr>
          <w:p w14:paraId="1210B454"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(939)</w:t>
            </w:r>
          </w:p>
        </w:tc>
        <w:tc>
          <w:tcPr>
            <w:tcW w:w="474" w:type="pct"/>
            <w:noWrap/>
            <w:hideMark/>
          </w:tcPr>
          <w:p w14:paraId="25E2BF4D"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c>
          <w:tcPr>
            <w:tcW w:w="474" w:type="pct"/>
            <w:noWrap/>
            <w:hideMark/>
          </w:tcPr>
          <w:p w14:paraId="06D1BD13"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r>
      <w:tr w:rsidR="000E597F" w:rsidRPr="00F15C97" w14:paraId="10AA1E0B" w14:textId="77777777" w:rsidTr="00556504">
        <w:trPr>
          <w:cnfStyle w:val="000000100000" w:firstRow="0" w:lastRow="0" w:firstColumn="0" w:lastColumn="0" w:oddVBand="0" w:evenVBand="0" w:oddHBand="1" w:evenHBand="0" w:firstRowFirstColumn="0" w:firstRowLastColumn="0" w:lastRowFirstColumn="0" w:lastRowLastColumn="0"/>
          <w:trHeight w:val="173"/>
        </w:trPr>
        <w:tc>
          <w:tcPr>
            <w:cnfStyle w:val="001000000000" w:firstRow="0" w:lastRow="0" w:firstColumn="1" w:lastColumn="0" w:oddVBand="0" w:evenVBand="0" w:oddHBand="0" w:evenHBand="0" w:firstRowFirstColumn="0" w:firstRowLastColumn="0" w:lastRowFirstColumn="0" w:lastRowLastColumn="0"/>
            <w:tcW w:w="2628" w:type="pct"/>
            <w:hideMark/>
          </w:tcPr>
          <w:p w14:paraId="75BF7066"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Acquisition of property, plant and equipment</w:t>
            </w:r>
          </w:p>
        </w:tc>
        <w:tc>
          <w:tcPr>
            <w:tcW w:w="474" w:type="pct"/>
            <w:noWrap/>
            <w:hideMark/>
          </w:tcPr>
          <w:p w14:paraId="4C47E34D"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(4,572)</w:t>
            </w:r>
          </w:p>
        </w:tc>
        <w:tc>
          <w:tcPr>
            <w:tcW w:w="474" w:type="pct"/>
            <w:noWrap/>
            <w:hideMark/>
          </w:tcPr>
          <w:p w14:paraId="7CE7F0B0"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(8,116)</w:t>
            </w:r>
          </w:p>
        </w:tc>
        <w:tc>
          <w:tcPr>
            <w:tcW w:w="474" w:type="pct"/>
            <w:noWrap/>
            <w:hideMark/>
          </w:tcPr>
          <w:p w14:paraId="69098978"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(14,006)</w:t>
            </w:r>
          </w:p>
        </w:tc>
        <w:tc>
          <w:tcPr>
            <w:tcW w:w="474" w:type="pct"/>
            <w:noWrap/>
            <w:hideMark/>
          </w:tcPr>
          <w:p w14:paraId="2DEBB269"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(12,586)</w:t>
            </w:r>
          </w:p>
        </w:tc>
        <w:tc>
          <w:tcPr>
            <w:tcW w:w="474" w:type="pct"/>
            <w:noWrap/>
            <w:hideMark/>
          </w:tcPr>
          <w:p w14:paraId="46283C9D"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(16,862)</w:t>
            </w:r>
          </w:p>
        </w:tc>
      </w:tr>
      <w:tr w:rsidR="000E597F" w:rsidRPr="00F15C97" w14:paraId="7D9F3D01"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628" w:type="pct"/>
            <w:hideMark/>
          </w:tcPr>
          <w:p w14:paraId="694F38A7"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Acquisition of intangible assets</w:t>
            </w:r>
          </w:p>
        </w:tc>
        <w:tc>
          <w:tcPr>
            <w:tcW w:w="474" w:type="pct"/>
            <w:noWrap/>
            <w:hideMark/>
          </w:tcPr>
          <w:p w14:paraId="1F3D4266"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(3,856)</w:t>
            </w:r>
          </w:p>
        </w:tc>
        <w:tc>
          <w:tcPr>
            <w:tcW w:w="474" w:type="pct"/>
            <w:noWrap/>
            <w:hideMark/>
          </w:tcPr>
          <w:p w14:paraId="0C2913D5"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(5,761)</w:t>
            </w:r>
          </w:p>
        </w:tc>
        <w:tc>
          <w:tcPr>
            <w:tcW w:w="474" w:type="pct"/>
            <w:noWrap/>
            <w:hideMark/>
          </w:tcPr>
          <w:p w14:paraId="1EEA7E84"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(6,579)</w:t>
            </w:r>
          </w:p>
        </w:tc>
        <w:tc>
          <w:tcPr>
            <w:tcW w:w="474" w:type="pct"/>
            <w:noWrap/>
            <w:hideMark/>
          </w:tcPr>
          <w:p w14:paraId="250440E8"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(4,455)</w:t>
            </w:r>
          </w:p>
        </w:tc>
        <w:tc>
          <w:tcPr>
            <w:tcW w:w="474" w:type="pct"/>
            <w:noWrap/>
            <w:hideMark/>
          </w:tcPr>
          <w:p w14:paraId="2F3ACB8A" w14:textId="77777777" w:rsidR="000E597F" w:rsidRPr="00F15C97" w:rsidRDefault="000E597F" w:rsidP="00556504">
            <w:pPr>
              <w:jc w:val="right"/>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(6,372)</w:t>
            </w:r>
          </w:p>
        </w:tc>
      </w:tr>
      <w:tr w:rsidR="000E597F" w:rsidRPr="00F15C97" w14:paraId="75AF02C7" w14:textId="77777777" w:rsidTr="00556504">
        <w:trPr>
          <w:cnfStyle w:val="000000100000" w:firstRow="0" w:lastRow="0" w:firstColumn="0" w:lastColumn="0" w:oddVBand="0" w:evenVBand="0" w:oddHBand="1" w:evenHBand="0" w:firstRowFirstColumn="0" w:firstRowLastColumn="0" w:lastRowFirstColumn="0" w:lastRowLastColumn="0"/>
          <w:trHeight w:val="495"/>
        </w:trPr>
        <w:tc>
          <w:tcPr>
            <w:cnfStyle w:val="001000000000" w:firstRow="0" w:lastRow="0" w:firstColumn="1" w:lastColumn="0" w:oddVBand="0" w:evenVBand="0" w:oddHBand="0" w:evenHBand="0" w:firstRowFirstColumn="0" w:firstRowLastColumn="0" w:lastRowFirstColumn="0" w:lastRowLastColumn="0"/>
            <w:tcW w:w="2628" w:type="pct"/>
            <w:hideMark/>
          </w:tcPr>
          <w:p w14:paraId="60F44154"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Net cash provided by (used for) investing activities</w:t>
            </w:r>
          </w:p>
        </w:tc>
        <w:tc>
          <w:tcPr>
            <w:tcW w:w="474" w:type="pct"/>
            <w:noWrap/>
            <w:hideMark/>
          </w:tcPr>
          <w:p w14:paraId="157B17FF"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(8,428)</w:t>
            </w:r>
          </w:p>
        </w:tc>
        <w:tc>
          <w:tcPr>
            <w:tcW w:w="474" w:type="pct"/>
            <w:noWrap/>
            <w:hideMark/>
          </w:tcPr>
          <w:p w14:paraId="2E545B5E"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(13,877)</w:t>
            </w:r>
          </w:p>
        </w:tc>
        <w:tc>
          <w:tcPr>
            <w:tcW w:w="474" w:type="pct"/>
            <w:noWrap/>
            <w:hideMark/>
          </w:tcPr>
          <w:p w14:paraId="7541F4CB"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(21,208)</w:t>
            </w:r>
          </w:p>
        </w:tc>
        <w:tc>
          <w:tcPr>
            <w:tcW w:w="474" w:type="pct"/>
            <w:noWrap/>
            <w:hideMark/>
          </w:tcPr>
          <w:p w14:paraId="7E59132B"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(17,041)</w:t>
            </w:r>
          </w:p>
        </w:tc>
        <w:tc>
          <w:tcPr>
            <w:tcW w:w="474" w:type="pct"/>
            <w:noWrap/>
            <w:hideMark/>
          </w:tcPr>
          <w:p w14:paraId="3A41498A"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(23,734)</w:t>
            </w:r>
          </w:p>
        </w:tc>
      </w:tr>
      <w:tr w:rsidR="000E597F" w:rsidRPr="00F15C97" w14:paraId="1C9909AB" w14:textId="77777777" w:rsidTr="00556504">
        <w:trPr>
          <w:trHeight w:val="300"/>
        </w:trPr>
        <w:tc>
          <w:tcPr>
            <w:cnfStyle w:val="001000000000" w:firstRow="0" w:lastRow="0" w:firstColumn="1" w:lastColumn="0" w:oddVBand="0" w:evenVBand="0" w:oddHBand="0" w:evenHBand="0" w:firstRowFirstColumn="0" w:firstRowLastColumn="0" w:lastRowFirstColumn="0" w:lastRowLastColumn="0"/>
            <w:tcW w:w="2628" w:type="pct"/>
            <w:hideMark/>
          </w:tcPr>
          <w:p w14:paraId="560A8FB7"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Cash flows from financing activities</w:t>
            </w:r>
          </w:p>
        </w:tc>
        <w:tc>
          <w:tcPr>
            <w:tcW w:w="474" w:type="pct"/>
            <w:noWrap/>
            <w:hideMark/>
          </w:tcPr>
          <w:p w14:paraId="6E385065"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color w:val="000000"/>
                <w:sz w:val="18"/>
                <w:szCs w:val="18"/>
                <w:lang w:eastAsia="zh-CN"/>
              </w:rPr>
            </w:pPr>
          </w:p>
        </w:tc>
        <w:tc>
          <w:tcPr>
            <w:tcW w:w="474" w:type="pct"/>
            <w:noWrap/>
            <w:hideMark/>
          </w:tcPr>
          <w:p w14:paraId="017128A2"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c>
          <w:tcPr>
            <w:tcW w:w="474" w:type="pct"/>
            <w:noWrap/>
            <w:hideMark/>
          </w:tcPr>
          <w:p w14:paraId="6D307EBA"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c>
          <w:tcPr>
            <w:tcW w:w="474" w:type="pct"/>
            <w:noWrap/>
            <w:hideMark/>
          </w:tcPr>
          <w:p w14:paraId="787AA865"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c>
          <w:tcPr>
            <w:tcW w:w="474" w:type="pct"/>
            <w:noWrap/>
            <w:hideMark/>
          </w:tcPr>
          <w:p w14:paraId="149B159E" w14:textId="77777777" w:rsidR="000E597F" w:rsidRPr="00F15C97" w:rsidRDefault="000E597F" w:rsidP="00556504">
            <w:pPr>
              <w:cnfStyle w:val="000000000000" w:firstRow="0" w:lastRow="0" w:firstColumn="0" w:lastColumn="0" w:oddVBand="0" w:evenVBand="0" w:oddHBand="0" w:evenHBand="0" w:firstRowFirstColumn="0" w:firstRowLastColumn="0" w:lastRowFirstColumn="0" w:lastRowLastColumn="0"/>
              <w:rPr>
                <w:rFonts w:cs="Arial"/>
                <w:lang w:eastAsia="zh-CN"/>
              </w:rPr>
            </w:pPr>
          </w:p>
        </w:tc>
      </w:tr>
      <w:tr w:rsidR="000E597F" w:rsidRPr="00F15C97" w14:paraId="386FB4C9" w14:textId="77777777" w:rsidTr="0055650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628" w:type="pct"/>
            <w:hideMark/>
          </w:tcPr>
          <w:p w14:paraId="3614B299" w14:textId="77777777" w:rsidR="000E597F" w:rsidRPr="00F15C97" w:rsidRDefault="000E597F" w:rsidP="00556504">
            <w:pPr>
              <w:rPr>
                <w:rFonts w:cs="Arial"/>
                <w:color w:val="000000"/>
                <w:sz w:val="18"/>
                <w:szCs w:val="18"/>
                <w:lang w:eastAsia="zh-CN"/>
              </w:rPr>
            </w:pPr>
            <w:r w:rsidRPr="00F15C97">
              <w:rPr>
                <w:rFonts w:cs="Arial"/>
                <w:color w:val="000000"/>
                <w:sz w:val="18"/>
                <w:szCs w:val="18"/>
                <w:lang w:eastAsia="zh-CN"/>
              </w:rPr>
              <w:t>Borrowings under lines of credit</w:t>
            </w:r>
          </w:p>
        </w:tc>
        <w:tc>
          <w:tcPr>
            <w:tcW w:w="474" w:type="pct"/>
            <w:noWrap/>
            <w:hideMark/>
          </w:tcPr>
          <w:p w14:paraId="53146A61"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102,193 </w:t>
            </w:r>
          </w:p>
        </w:tc>
        <w:tc>
          <w:tcPr>
            <w:tcW w:w="474" w:type="pct"/>
            <w:noWrap/>
            <w:hideMark/>
          </w:tcPr>
          <w:p w14:paraId="5141DA10"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78,000 </w:t>
            </w:r>
          </w:p>
        </w:tc>
        <w:tc>
          <w:tcPr>
            <w:tcW w:w="474" w:type="pct"/>
            <w:noWrap/>
            <w:hideMark/>
          </w:tcPr>
          <w:p w14:paraId="665774F2"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133,000 </w:t>
            </w:r>
          </w:p>
        </w:tc>
        <w:tc>
          <w:tcPr>
            <w:tcW w:w="474" w:type="pct"/>
            <w:noWrap/>
            <w:hideMark/>
          </w:tcPr>
          <w:p w14:paraId="442E5FA6"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112,000 </w:t>
            </w:r>
          </w:p>
        </w:tc>
        <w:tc>
          <w:tcPr>
            <w:tcW w:w="474" w:type="pct"/>
            <w:noWrap/>
            <w:hideMark/>
          </w:tcPr>
          <w:p w14:paraId="4218472F" w14:textId="77777777" w:rsidR="000E597F" w:rsidRPr="00F15C97" w:rsidRDefault="000E597F" w:rsidP="00556504">
            <w:pPr>
              <w:jc w:val="right"/>
              <w:cnfStyle w:val="000000100000" w:firstRow="0" w:lastRow="0" w:firstColumn="0" w:lastColumn="0" w:oddVBand="0" w:evenVBand="0" w:oddHBand="1" w:evenHBand="0" w:firstRowFirstColumn="0" w:firstRowLastColumn="0" w:lastRowFirstColumn="0" w:lastRowLastColumn="0"/>
              <w:rPr>
                <w:rFonts w:cs="Arial"/>
                <w:color w:val="000000"/>
                <w:sz w:val="18"/>
                <w:szCs w:val="18"/>
                <w:lang w:eastAsia="zh-CN"/>
              </w:rPr>
            </w:pPr>
            <w:r w:rsidRPr="00F15C97">
              <w:rPr>
                <w:rFonts w:cs="Arial"/>
                <w:color w:val="000000"/>
                <w:sz w:val="18"/>
                <w:szCs w:val="18"/>
                <w:lang w:eastAsia="zh-CN"/>
              </w:rPr>
              <w:t xml:space="preserve">75,000 </w:t>
            </w:r>
          </w:p>
        </w:tc>
      </w:tr>
    </w:tbl>
    <w:p w14:paraId="30774D46" w14:textId="77777777" w:rsidR="000E597F" w:rsidRDefault="000E597F" w:rsidP="000E597F">
      <w:pPr>
        <w:spacing w:line="259" w:lineRule="auto"/>
        <w:jc w:val="left"/>
        <w:rPr>
          <w:lang w:val="en-US"/>
        </w:rPr>
      </w:pPr>
    </w:p>
    <w:p w14:paraId="6E33F621" w14:textId="77777777" w:rsidR="00D0315B" w:rsidRPr="00D0315B" w:rsidRDefault="00D0315B" w:rsidP="00D0315B">
      <w:pPr>
        <w:spacing w:after="240"/>
        <w:ind w:left="720" w:hanging="720"/>
        <w:rPr>
          <w:rFonts w:eastAsia="Times New Roman" w:cs="Arial"/>
          <w:szCs w:val="24"/>
          <w:lang w:val="en-US"/>
        </w:rPr>
      </w:pPr>
    </w:p>
    <w:p w14:paraId="78AB8298" w14:textId="1A3EE15E" w:rsidR="00E77D9B" w:rsidRPr="00552A83" w:rsidRDefault="00E77D9B" w:rsidP="00F642BD">
      <w:pPr>
        <w:pStyle w:val="Heading1"/>
        <w:rPr>
          <w:lang w:val="en-US"/>
        </w:rPr>
      </w:pPr>
    </w:p>
    <w:sectPr w:rsidR="00E77D9B" w:rsidRPr="00552A83" w:rsidSect="00603E7D">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9E55502" w14:textId="77777777" w:rsidR="000B3CD1" w:rsidRDefault="000B3CD1" w:rsidP="00603E7D">
      <w:r>
        <w:separator/>
      </w:r>
    </w:p>
    <w:p w14:paraId="2DFB13A1" w14:textId="77777777" w:rsidR="000B3CD1" w:rsidRDefault="000B3CD1" w:rsidP="00603E7D"/>
  </w:endnote>
  <w:endnote w:type="continuationSeparator" w:id="0">
    <w:p w14:paraId="18FB231F" w14:textId="77777777" w:rsidR="000B3CD1" w:rsidRDefault="000B3CD1" w:rsidP="00603E7D">
      <w:r>
        <w:continuationSeparator/>
      </w:r>
    </w:p>
    <w:p w14:paraId="757F1A13" w14:textId="77777777" w:rsidR="000B3CD1" w:rsidRDefault="000B3CD1" w:rsidP="00603E7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1037255"/>
      <w:docPartObj>
        <w:docPartGallery w:val="Page Numbers (Bottom of Page)"/>
        <w:docPartUnique/>
      </w:docPartObj>
    </w:sdtPr>
    <w:sdtEndPr>
      <w:rPr>
        <w:noProof/>
      </w:rPr>
    </w:sdtEndPr>
    <w:sdtContent>
      <w:p w14:paraId="58E84867" w14:textId="73BC1B40" w:rsidR="009521AE" w:rsidRDefault="009521AE">
        <w:pPr>
          <w:pStyle w:val="Footer"/>
          <w:jc w:val="center"/>
        </w:pPr>
        <w:r>
          <w:fldChar w:fldCharType="begin"/>
        </w:r>
        <w:r>
          <w:instrText xml:space="preserve"> PAGE   \* MERGEFORMAT </w:instrText>
        </w:r>
        <w:r>
          <w:fldChar w:fldCharType="separate"/>
        </w:r>
        <w:r w:rsidR="00767A07">
          <w:rPr>
            <w:noProof/>
          </w:rPr>
          <w:t>ii</w:t>
        </w:r>
        <w:r>
          <w:rPr>
            <w:noProof/>
          </w:rPr>
          <w:fldChar w:fldCharType="end"/>
        </w:r>
      </w:p>
    </w:sdtContent>
  </w:sdt>
  <w:p w14:paraId="5AC617CB" w14:textId="77777777" w:rsidR="00603E7D" w:rsidRDefault="00603E7D" w:rsidP="00603E7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4E7EBD" w14:textId="77777777" w:rsidR="000B3CD1" w:rsidRDefault="000B3CD1" w:rsidP="00603E7D">
      <w:r>
        <w:separator/>
      </w:r>
    </w:p>
    <w:p w14:paraId="27610083" w14:textId="77777777" w:rsidR="000B3CD1" w:rsidRDefault="000B3CD1" w:rsidP="00603E7D"/>
  </w:footnote>
  <w:footnote w:type="continuationSeparator" w:id="0">
    <w:p w14:paraId="4EEACCED" w14:textId="77777777" w:rsidR="000B3CD1" w:rsidRDefault="000B3CD1" w:rsidP="00603E7D">
      <w:r>
        <w:continuationSeparator/>
      </w:r>
    </w:p>
    <w:p w14:paraId="20C48E05" w14:textId="77777777" w:rsidR="000B3CD1" w:rsidRDefault="000B3CD1" w:rsidP="00603E7D"/>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866B7"/>
    <w:multiLevelType w:val="multilevel"/>
    <w:tmpl w:val="985A5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3778CF"/>
    <w:multiLevelType w:val="multilevel"/>
    <w:tmpl w:val="E4B0C4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xMDM0NrA0tTSxMDYxMjRT0lEKTi0uzszPAykwrgUAhjm1VywAAAA="/>
  </w:docVars>
  <w:rsids>
    <w:rsidRoot w:val="00603E7D"/>
    <w:rsid w:val="00002D46"/>
    <w:rsid w:val="00005BAB"/>
    <w:rsid w:val="00015C73"/>
    <w:rsid w:val="000174BE"/>
    <w:rsid w:val="00025D58"/>
    <w:rsid w:val="00027C37"/>
    <w:rsid w:val="00040651"/>
    <w:rsid w:val="00041179"/>
    <w:rsid w:val="000507A0"/>
    <w:rsid w:val="00060AB0"/>
    <w:rsid w:val="00075B6D"/>
    <w:rsid w:val="00084440"/>
    <w:rsid w:val="000930AC"/>
    <w:rsid w:val="00095418"/>
    <w:rsid w:val="000A482A"/>
    <w:rsid w:val="000A5081"/>
    <w:rsid w:val="000B3CD1"/>
    <w:rsid w:val="000C0874"/>
    <w:rsid w:val="000C3B07"/>
    <w:rsid w:val="000E597F"/>
    <w:rsid w:val="000F0229"/>
    <w:rsid w:val="000F19BD"/>
    <w:rsid w:val="000F26A0"/>
    <w:rsid w:val="0010122A"/>
    <w:rsid w:val="001036DA"/>
    <w:rsid w:val="00111BB8"/>
    <w:rsid w:val="00112A94"/>
    <w:rsid w:val="0012190A"/>
    <w:rsid w:val="00124D0E"/>
    <w:rsid w:val="00125788"/>
    <w:rsid w:val="00126DE0"/>
    <w:rsid w:val="00127450"/>
    <w:rsid w:val="00130649"/>
    <w:rsid w:val="00147B55"/>
    <w:rsid w:val="001562DE"/>
    <w:rsid w:val="00172E77"/>
    <w:rsid w:val="00175E83"/>
    <w:rsid w:val="00191102"/>
    <w:rsid w:val="001B78A7"/>
    <w:rsid w:val="001C310F"/>
    <w:rsid w:val="001D2AED"/>
    <w:rsid w:val="001E0FA0"/>
    <w:rsid w:val="001E3F97"/>
    <w:rsid w:val="00237F9F"/>
    <w:rsid w:val="00243760"/>
    <w:rsid w:val="00245BFC"/>
    <w:rsid w:val="00250262"/>
    <w:rsid w:val="00256FE4"/>
    <w:rsid w:val="002630FC"/>
    <w:rsid w:val="002661E2"/>
    <w:rsid w:val="00272F68"/>
    <w:rsid w:val="00274A5F"/>
    <w:rsid w:val="00276E2D"/>
    <w:rsid w:val="00281F46"/>
    <w:rsid w:val="00282106"/>
    <w:rsid w:val="00287FA9"/>
    <w:rsid w:val="00296EB2"/>
    <w:rsid w:val="00297068"/>
    <w:rsid w:val="00297B46"/>
    <w:rsid w:val="002A048C"/>
    <w:rsid w:val="002A0EB1"/>
    <w:rsid w:val="002B14C7"/>
    <w:rsid w:val="002B55E6"/>
    <w:rsid w:val="002C5DCC"/>
    <w:rsid w:val="002C60D0"/>
    <w:rsid w:val="002F0C94"/>
    <w:rsid w:val="002F2065"/>
    <w:rsid w:val="00311CBC"/>
    <w:rsid w:val="003300C7"/>
    <w:rsid w:val="00337A1C"/>
    <w:rsid w:val="00340D89"/>
    <w:rsid w:val="00351FDA"/>
    <w:rsid w:val="00355400"/>
    <w:rsid w:val="0037440E"/>
    <w:rsid w:val="00374E2C"/>
    <w:rsid w:val="00375244"/>
    <w:rsid w:val="0038479F"/>
    <w:rsid w:val="00390F15"/>
    <w:rsid w:val="0039196F"/>
    <w:rsid w:val="00393386"/>
    <w:rsid w:val="003A196E"/>
    <w:rsid w:val="003A4EA2"/>
    <w:rsid w:val="003A6456"/>
    <w:rsid w:val="003B7DF0"/>
    <w:rsid w:val="003C02CE"/>
    <w:rsid w:val="003C1123"/>
    <w:rsid w:val="003C1BE3"/>
    <w:rsid w:val="003C1FC4"/>
    <w:rsid w:val="003C3220"/>
    <w:rsid w:val="003C5D93"/>
    <w:rsid w:val="003D1DEC"/>
    <w:rsid w:val="003D2955"/>
    <w:rsid w:val="003D6654"/>
    <w:rsid w:val="004032CF"/>
    <w:rsid w:val="00416F5D"/>
    <w:rsid w:val="0043592D"/>
    <w:rsid w:val="00440485"/>
    <w:rsid w:val="00453488"/>
    <w:rsid w:val="0045515A"/>
    <w:rsid w:val="00455540"/>
    <w:rsid w:val="00467BC3"/>
    <w:rsid w:val="00473493"/>
    <w:rsid w:val="00480397"/>
    <w:rsid w:val="0048174B"/>
    <w:rsid w:val="004849DE"/>
    <w:rsid w:val="00484C8E"/>
    <w:rsid w:val="00494413"/>
    <w:rsid w:val="004A5855"/>
    <w:rsid w:val="004D139E"/>
    <w:rsid w:val="004E11CC"/>
    <w:rsid w:val="004F3291"/>
    <w:rsid w:val="004F6E3A"/>
    <w:rsid w:val="005048EF"/>
    <w:rsid w:val="0050626C"/>
    <w:rsid w:val="005100A1"/>
    <w:rsid w:val="00512367"/>
    <w:rsid w:val="00532D02"/>
    <w:rsid w:val="00536C6D"/>
    <w:rsid w:val="00542771"/>
    <w:rsid w:val="00542B84"/>
    <w:rsid w:val="005436EC"/>
    <w:rsid w:val="005456CC"/>
    <w:rsid w:val="00552A83"/>
    <w:rsid w:val="00553933"/>
    <w:rsid w:val="005552B9"/>
    <w:rsid w:val="00564EDD"/>
    <w:rsid w:val="0056720A"/>
    <w:rsid w:val="00567CB5"/>
    <w:rsid w:val="00572112"/>
    <w:rsid w:val="00574BAF"/>
    <w:rsid w:val="005843A8"/>
    <w:rsid w:val="00586BD3"/>
    <w:rsid w:val="005D2F33"/>
    <w:rsid w:val="005D59DD"/>
    <w:rsid w:val="005D7C0C"/>
    <w:rsid w:val="005E7F27"/>
    <w:rsid w:val="005F2E6B"/>
    <w:rsid w:val="00603E7D"/>
    <w:rsid w:val="006055B3"/>
    <w:rsid w:val="006077BF"/>
    <w:rsid w:val="006114D3"/>
    <w:rsid w:val="00616C22"/>
    <w:rsid w:val="00620168"/>
    <w:rsid w:val="00625262"/>
    <w:rsid w:val="006305D4"/>
    <w:rsid w:val="00637426"/>
    <w:rsid w:val="00637BBD"/>
    <w:rsid w:val="00640003"/>
    <w:rsid w:val="00646463"/>
    <w:rsid w:val="00650258"/>
    <w:rsid w:val="006716D4"/>
    <w:rsid w:val="006A338F"/>
    <w:rsid w:val="006A5DCD"/>
    <w:rsid w:val="006C0366"/>
    <w:rsid w:val="006C3A74"/>
    <w:rsid w:val="006D18D0"/>
    <w:rsid w:val="006D25CE"/>
    <w:rsid w:val="006D6CA0"/>
    <w:rsid w:val="006E74FE"/>
    <w:rsid w:val="006F0AA1"/>
    <w:rsid w:val="006F0D33"/>
    <w:rsid w:val="00701248"/>
    <w:rsid w:val="00712053"/>
    <w:rsid w:val="0071709C"/>
    <w:rsid w:val="00727FA0"/>
    <w:rsid w:val="00731FEB"/>
    <w:rsid w:val="00737061"/>
    <w:rsid w:val="00741BA8"/>
    <w:rsid w:val="00753736"/>
    <w:rsid w:val="00756FDE"/>
    <w:rsid w:val="00760C0B"/>
    <w:rsid w:val="00763F06"/>
    <w:rsid w:val="00764F6B"/>
    <w:rsid w:val="00767A07"/>
    <w:rsid w:val="007710EF"/>
    <w:rsid w:val="0079246A"/>
    <w:rsid w:val="0079337B"/>
    <w:rsid w:val="007A223E"/>
    <w:rsid w:val="007A7F44"/>
    <w:rsid w:val="007C2774"/>
    <w:rsid w:val="007C6CF1"/>
    <w:rsid w:val="007D045C"/>
    <w:rsid w:val="007D0733"/>
    <w:rsid w:val="007D0B4A"/>
    <w:rsid w:val="007D1DB7"/>
    <w:rsid w:val="007D4B80"/>
    <w:rsid w:val="007D6156"/>
    <w:rsid w:val="007E0B3A"/>
    <w:rsid w:val="007E26F2"/>
    <w:rsid w:val="007E3A88"/>
    <w:rsid w:val="007F3905"/>
    <w:rsid w:val="0080514E"/>
    <w:rsid w:val="0080702E"/>
    <w:rsid w:val="00811FF9"/>
    <w:rsid w:val="0082211C"/>
    <w:rsid w:val="00822E19"/>
    <w:rsid w:val="00824E32"/>
    <w:rsid w:val="00827940"/>
    <w:rsid w:val="008379CD"/>
    <w:rsid w:val="0084503E"/>
    <w:rsid w:val="0084697D"/>
    <w:rsid w:val="00851D52"/>
    <w:rsid w:val="00852380"/>
    <w:rsid w:val="00875EAC"/>
    <w:rsid w:val="0088248B"/>
    <w:rsid w:val="00884CA1"/>
    <w:rsid w:val="008900EB"/>
    <w:rsid w:val="00892338"/>
    <w:rsid w:val="0089458C"/>
    <w:rsid w:val="00895CDC"/>
    <w:rsid w:val="00895E8B"/>
    <w:rsid w:val="008A7ED4"/>
    <w:rsid w:val="008B134F"/>
    <w:rsid w:val="008B1CFF"/>
    <w:rsid w:val="008B20FC"/>
    <w:rsid w:val="008B39C0"/>
    <w:rsid w:val="008B488E"/>
    <w:rsid w:val="008C3E25"/>
    <w:rsid w:val="008F3D01"/>
    <w:rsid w:val="0090147D"/>
    <w:rsid w:val="00913F69"/>
    <w:rsid w:val="00916703"/>
    <w:rsid w:val="009169F5"/>
    <w:rsid w:val="009204F4"/>
    <w:rsid w:val="0092105A"/>
    <w:rsid w:val="00930748"/>
    <w:rsid w:val="00941622"/>
    <w:rsid w:val="00941E9D"/>
    <w:rsid w:val="00942BE8"/>
    <w:rsid w:val="009442ED"/>
    <w:rsid w:val="00945055"/>
    <w:rsid w:val="0095130B"/>
    <w:rsid w:val="009521AE"/>
    <w:rsid w:val="00956594"/>
    <w:rsid w:val="00962CF3"/>
    <w:rsid w:val="009651A7"/>
    <w:rsid w:val="009742CF"/>
    <w:rsid w:val="00974D90"/>
    <w:rsid w:val="0098565D"/>
    <w:rsid w:val="009A33ED"/>
    <w:rsid w:val="009A62AB"/>
    <w:rsid w:val="009B2A0D"/>
    <w:rsid w:val="009B33EA"/>
    <w:rsid w:val="009B5FBD"/>
    <w:rsid w:val="009B6DF5"/>
    <w:rsid w:val="009C0E5A"/>
    <w:rsid w:val="009C16B9"/>
    <w:rsid w:val="009C3AFA"/>
    <w:rsid w:val="009D0BA1"/>
    <w:rsid w:val="009D31E8"/>
    <w:rsid w:val="009E1ED0"/>
    <w:rsid w:val="00A07866"/>
    <w:rsid w:val="00A12FB7"/>
    <w:rsid w:val="00A27B1F"/>
    <w:rsid w:val="00A31AD4"/>
    <w:rsid w:val="00A35A72"/>
    <w:rsid w:val="00A46BB6"/>
    <w:rsid w:val="00A678F3"/>
    <w:rsid w:val="00A7092B"/>
    <w:rsid w:val="00A72833"/>
    <w:rsid w:val="00A74E70"/>
    <w:rsid w:val="00A819D1"/>
    <w:rsid w:val="00A8508E"/>
    <w:rsid w:val="00A874D3"/>
    <w:rsid w:val="00AA3EB8"/>
    <w:rsid w:val="00AB5CAB"/>
    <w:rsid w:val="00AC1F37"/>
    <w:rsid w:val="00AC35EB"/>
    <w:rsid w:val="00AC4A5A"/>
    <w:rsid w:val="00AD2C5D"/>
    <w:rsid w:val="00AD30FC"/>
    <w:rsid w:val="00AE760B"/>
    <w:rsid w:val="00AF361A"/>
    <w:rsid w:val="00B00396"/>
    <w:rsid w:val="00B03F1A"/>
    <w:rsid w:val="00B14402"/>
    <w:rsid w:val="00B1484C"/>
    <w:rsid w:val="00B21DC8"/>
    <w:rsid w:val="00B223BB"/>
    <w:rsid w:val="00B333D0"/>
    <w:rsid w:val="00B34DE7"/>
    <w:rsid w:val="00B42170"/>
    <w:rsid w:val="00B5459B"/>
    <w:rsid w:val="00B64D66"/>
    <w:rsid w:val="00B74928"/>
    <w:rsid w:val="00B77B6D"/>
    <w:rsid w:val="00B93E0B"/>
    <w:rsid w:val="00BA1D53"/>
    <w:rsid w:val="00BA5D31"/>
    <w:rsid w:val="00BA69D7"/>
    <w:rsid w:val="00BB7DD5"/>
    <w:rsid w:val="00BC0BC9"/>
    <w:rsid w:val="00BC6BBA"/>
    <w:rsid w:val="00BC6D45"/>
    <w:rsid w:val="00BD35A3"/>
    <w:rsid w:val="00BD4340"/>
    <w:rsid w:val="00BD4799"/>
    <w:rsid w:val="00BD4CD2"/>
    <w:rsid w:val="00BE1564"/>
    <w:rsid w:val="00BE208E"/>
    <w:rsid w:val="00C00212"/>
    <w:rsid w:val="00C3187B"/>
    <w:rsid w:val="00C37450"/>
    <w:rsid w:val="00C41AB3"/>
    <w:rsid w:val="00C508AD"/>
    <w:rsid w:val="00C50C01"/>
    <w:rsid w:val="00C52109"/>
    <w:rsid w:val="00C524C7"/>
    <w:rsid w:val="00C52562"/>
    <w:rsid w:val="00C57AEB"/>
    <w:rsid w:val="00C605EF"/>
    <w:rsid w:val="00C642D1"/>
    <w:rsid w:val="00C9144E"/>
    <w:rsid w:val="00CA687C"/>
    <w:rsid w:val="00CB210B"/>
    <w:rsid w:val="00CB350F"/>
    <w:rsid w:val="00CE193C"/>
    <w:rsid w:val="00CE4214"/>
    <w:rsid w:val="00CE51AB"/>
    <w:rsid w:val="00CF04AD"/>
    <w:rsid w:val="00CF5B00"/>
    <w:rsid w:val="00CF6238"/>
    <w:rsid w:val="00D0315B"/>
    <w:rsid w:val="00D07B84"/>
    <w:rsid w:val="00D1181D"/>
    <w:rsid w:val="00D13257"/>
    <w:rsid w:val="00D155DB"/>
    <w:rsid w:val="00D24929"/>
    <w:rsid w:val="00D24AA4"/>
    <w:rsid w:val="00D31D7C"/>
    <w:rsid w:val="00D40782"/>
    <w:rsid w:val="00D43B6E"/>
    <w:rsid w:val="00D55F80"/>
    <w:rsid w:val="00D56984"/>
    <w:rsid w:val="00D5796E"/>
    <w:rsid w:val="00D64ED0"/>
    <w:rsid w:val="00D6777A"/>
    <w:rsid w:val="00D71DD8"/>
    <w:rsid w:val="00D72A76"/>
    <w:rsid w:val="00D72F0B"/>
    <w:rsid w:val="00D735A7"/>
    <w:rsid w:val="00D73CED"/>
    <w:rsid w:val="00D76923"/>
    <w:rsid w:val="00D82001"/>
    <w:rsid w:val="00D901BB"/>
    <w:rsid w:val="00D90567"/>
    <w:rsid w:val="00DA5FFB"/>
    <w:rsid w:val="00DA6B10"/>
    <w:rsid w:val="00DB1B3C"/>
    <w:rsid w:val="00DB5D68"/>
    <w:rsid w:val="00DD2D23"/>
    <w:rsid w:val="00DD5E1E"/>
    <w:rsid w:val="00DE109A"/>
    <w:rsid w:val="00DF091F"/>
    <w:rsid w:val="00DF2558"/>
    <w:rsid w:val="00DF3E54"/>
    <w:rsid w:val="00E004DB"/>
    <w:rsid w:val="00E03305"/>
    <w:rsid w:val="00E0369D"/>
    <w:rsid w:val="00E0457B"/>
    <w:rsid w:val="00E128A4"/>
    <w:rsid w:val="00E1530D"/>
    <w:rsid w:val="00E15B51"/>
    <w:rsid w:val="00E15DA4"/>
    <w:rsid w:val="00E17460"/>
    <w:rsid w:val="00E30F6E"/>
    <w:rsid w:val="00E3153D"/>
    <w:rsid w:val="00E32C8E"/>
    <w:rsid w:val="00E416B5"/>
    <w:rsid w:val="00E41A5F"/>
    <w:rsid w:val="00E451F2"/>
    <w:rsid w:val="00E6005C"/>
    <w:rsid w:val="00E629CE"/>
    <w:rsid w:val="00E74824"/>
    <w:rsid w:val="00E77D9B"/>
    <w:rsid w:val="00E82456"/>
    <w:rsid w:val="00E834BD"/>
    <w:rsid w:val="00E83D2F"/>
    <w:rsid w:val="00E87136"/>
    <w:rsid w:val="00EA684C"/>
    <w:rsid w:val="00EB12BC"/>
    <w:rsid w:val="00EB2301"/>
    <w:rsid w:val="00EB259F"/>
    <w:rsid w:val="00EB7036"/>
    <w:rsid w:val="00EC3053"/>
    <w:rsid w:val="00EE4C35"/>
    <w:rsid w:val="00EE5F03"/>
    <w:rsid w:val="00EF5BAE"/>
    <w:rsid w:val="00F00FE6"/>
    <w:rsid w:val="00F03552"/>
    <w:rsid w:val="00F03899"/>
    <w:rsid w:val="00F04EA4"/>
    <w:rsid w:val="00F13A56"/>
    <w:rsid w:val="00F15C97"/>
    <w:rsid w:val="00F246E4"/>
    <w:rsid w:val="00F317E1"/>
    <w:rsid w:val="00F40327"/>
    <w:rsid w:val="00F41116"/>
    <w:rsid w:val="00F45C81"/>
    <w:rsid w:val="00F554BA"/>
    <w:rsid w:val="00F642BD"/>
    <w:rsid w:val="00F645F2"/>
    <w:rsid w:val="00F871F5"/>
    <w:rsid w:val="00FA0F89"/>
    <w:rsid w:val="00FB20D0"/>
    <w:rsid w:val="00FB3BCC"/>
    <w:rsid w:val="00FB5FA0"/>
    <w:rsid w:val="00FB6C21"/>
    <w:rsid w:val="00FC4C22"/>
    <w:rsid w:val="00FC51B5"/>
    <w:rsid w:val="00FD41DC"/>
    <w:rsid w:val="00FD6719"/>
    <w:rsid w:val="00FD71FC"/>
    <w:rsid w:val="00FF03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6CC6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74A5F"/>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98565D"/>
    <w:pPr>
      <w:outlineLvl w:val="0"/>
    </w:pPr>
    <w:rPr>
      <w:b/>
      <w:bCs/>
      <w:color w:val="000000" w:themeColor="text1"/>
      <w:sz w:val="32"/>
      <w:szCs w:val="28"/>
    </w:rPr>
  </w:style>
  <w:style w:type="paragraph" w:styleId="Heading2">
    <w:name w:val="heading 2"/>
    <w:basedOn w:val="Normal"/>
    <w:next w:val="Normal"/>
    <w:link w:val="Heading2Char"/>
    <w:uiPriority w:val="9"/>
    <w:unhideWhenUsed/>
    <w:qFormat/>
    <w:rsid w:val="0098565D"/>
    <w:pPr>
      <w:keepNext/>
      <w:keepLines/>
      <w:spacing w:before="40" w:after="0"/>
      <w:jc w:val="left"/>
      <w:outlineLvl w:val="1"/>
    </w:pPr>
    <w:rPr>
      <w:rFonts w:eastAsia="Times New Roman" w:cstheme="majorBidi"/>
      <w:b/>
      <w:color w:val="000000" w:themeColor="text1"/>
      <w:sz w:val="28"/>
      <w:szCs w:val="24"/>
      <w:lang w:val="en-US"/>
    </w:rPr>
  </w:style>
  <w:style w:type="paragraph" w:styleId="Heading3">
    <w:name w:val="heading 3"/>
    <w:basedOn w:val="NormalWeb"/>
    <w:next w:val="Normal"/>
    <w:link w:val="Heading3Char"/>
    <w:uiPriority w:val="9"/>
    <w:unhideWhenUsed/>
    <w:qFormat/>
    <w:rsid w:val="009442ED"/>
    <w:pPr>
      <w:spacing w:line="360" w:lineRule="auto"/>
      <w:jc w:val="both"/>
      <w:outlineLvl w:val="2"/>
    </w:pPr>
    <w:rPr>
      <w:b/>
    </w:rPr>
  </w:style>
  <w:style w:type="paragraph" w:styleId="Heading4">
    <w:name w:val="heading 4"/>
    <w:basedOn w:val="Normal"/>
    <w:next w:val="Normal"/>
    <w:link w:val="Heading4Char"/>
    <w:uiPriority w:val="9"/>
    <w:unhideWhenUsed/>
    <w:qFormat/>
    <w:rsid w:val="00DA5FFB"/>
    <w:pPr>
      <w:keepNext/>
      <w:keepLines/>
      <w:spacing w:before="40" w:after="0" w:line="259" w:lineRule="auto"/>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76923"/>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65D"/>
    <w:rPr>
      <w:rFonts w:ascii="Times New Roman" w:hAnsi="Times New Roman"/>
      <w:b/>
      <w:bCs/>
      <w:color w:val="000000" w:themeColor="text1"/>
      <w:sz w:val="32"/>
      <w:szCs w:val="28"/>
      <w:lang w:val="en-GB"/>
    </w:rPr>
  </w:style>
  <w:style w:type="character" w:customStyle="1" w:styleId="Heading2Char">
    <w:name w:val="Heading 2 Char"/>
    <w:basedOn w:val="DefaultParagraphFont"/>
    <w:link w:val="Heading2"/>
    <w:uiPriority w:val="9"/>
    <w:rsid w:val="0098565D"/>
    <w:rPr>
      <w:rFonts w:ascii="Times New Roman" w:eastAsia="Times New Roman" w:hAnsi="Times New Roman" w:cstheme="majorBidi"/>
      <w:b/>
      <w:color w:val="000000" w:themeColor="text1"/>
      <w:sz w:val="28"/>
      <w:szCs w:val="24"/>
    </w:rPr>
  </w:style>
  <w:style w:type="paragraph" w:styleId="Header">
    <w:name w:val="header"/>
    <w:basedOn w:val="Normal"/>
    <w:link w:val="HeaderChar"/>
    <w:uiPriority w:val="99"/>
    <w:unhideWhenUsed/>
    <w:rsid w:val="00603E7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3E7D"/>
    <w:rPr>
      <w:rFonts w:ascii="Times New Roman" w:hAnsi="Times New Roman"/>
      <w:sz w:val="24"/>
      <w:lang w:val="en-GB"/>
    </w:rPr>
  </w:style>
  <w:style w:type="paragraph" w:styleId="Footer">
    <w:name w:val="footer"/>
    <w:basedOn w:val="Normal"/>
    <w:link w:val="FooterChar"/>
    <w:uiPriority w:val="99"/>
    <w:unhideWhenUsed/>
    <w:rsid w:val="00603E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3E7D"/>
    <w:rPr>
      <w:rFonts w:ascii="Times New Roman" w:hAnsi="Times New Roman"/>
      <w:sz w:val="24"/>
      <w:lang w:val="en-GB"/>
    </w:rPr>
  </w:style>
  <w:style w:type="paragraph" w:styleId="TOCHeading">
    <w:name w:val="TOC Heading"/>
    <w:basedOn w:val="Heading1"/>
    <w:next w:val="Normal"/>
    <w:uiPriority w:val="39"/>
    <w:unhideWhenUsed/>
    <w:qFormat/>
    <w:rsid w:val="001036DA"/>
    <w:pPr>
      <w:keepNext/>
      <w:keepLines/>
      <w:spacing w:before="240" w:after="0" w:line="259" w:lineRule="auto"/>
      <w:outlineLvl w:val="9"/>
    </w:pPr>
    <w:rPr>
      <w:rFonts w:asciiTheme="majorHAnsi" w:eastAsiaTheme="majorEastAsia" w:hAnsiTheme="majorHAnsi" w:cstheme="majorBidi"/>
      <w:b w:val="0"/>
      <w:bCs w:val="0"/>
      <w:color w:val="2F5496" w:themeColor="accent1" w:themeShade="BF"/>
      <w:lang w:val="en-US"/>
    </w:rPr>
  </w:style>
  <w:style w:type="paragraph" w:styleId="TOC1">
    <w:name w:val="toc 1"/>
    <w:basedOn w:val="Normal"/>
    <w:next w:val="Normal"/>
    <w:autoRedefine/>
    <w:uiPriority w:val="39"/>
    <w:unhideWhenUsed/>
    <w:rsid w:val="001036DA"/>
    <w:pPr>
      <w:spacing w:after="100"/>
    </w:pPr>
  </w:style>
  <w:style w:type="character" w:styleId="Hyperlink">
    <w:name w:val="Hyperlink"/>
    <w:basedOn w:val="DefaultParagraphFont"/>
    <w:uiPriority w:val="99"/>
    <w:unhideWhenUsed/>
    <w:rsid w:val="001036DA"/>
    <w:rPr>
      <w:color w:val="0563C1" w:themeColor="hyperlink"/>
      <w:u w:val="single"/>
    </w:rPr>
  </w:style>
  <w:style w:type="table" w:styleId="TableGrid">
    <w:name w:val="Table Grid"/>
    <w:basedOn w:val="TableNormal"/>
    <w:uiPriority w:val="39"/>
    <w:rsid w:val="00B144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B14C7"/>
    <w:pPr>
      <w:spacing w:before="100" w:beforeAutospacing="1" w:after="100" w:afterAutospacing="1" w:line="240" w:lineRule="auto"/>
      <w:jc w:val="left"/>
    </w:pPr>
    <w:rPr>
      <w:rFonts w:eastAsia="Times New Roman" w:cs="Times New Roman"/>
      <w:szCs w:val="24"/>
      <w:lang w:val="en-US"/>
    </w:rPr>
  </w:style>
  <w:style w:type="table" w:styleId="PlainTable4">
    <w:name w:val="Plain Table 4"/>
    <w:basedOn w:val="TableNormal"/>
    <w:uiPriority w:val="44"/>
    <w:rsid w:val="0039196F"/>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3-Accent5">
    <w:name w:val="Grid Table 3 Accent 5"/>
    <w:basedOn w:val="TableNormal"/>
    <w:uiPriority w:val="48"/>
    <w:rsid w:val="006A338F"/>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4-Accent6">
    <w:name w:val="Grid Table 4 Accent 6"/>
    <w:basedOn w:val="TableNormal"/>
    <w:uiPriority w:val="49"/>
    <w:rsid w:val="006A338F"/>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uiPriority w:val="34"/>
    <w:qFormat/>
    <w:rsid w:val="00340D89"/>
    <w:pPr>
      <w:ind w:left="720"/>
      <w:contextualSpacing/>
    </w:pPr>
  </w:style>
  <w:style w:type="paragraph" w:styleId="TOC2">
    <w:name w:val="toc 2"/>
    <w:basedOn w:val="Normal"/>
    <w:next w:val="Normal"/>
    <w:autoRedefine/>
    <w:uiPriority w:val="39"/>
    <w:unhideWhenUsed/>
    <w:rsid w:val="0071709C"/>
    <w:pPr>
      <w:spacing w:after="100"/>
      <w:ind w:left="240"/>
    </w:pPr>
  </w:style>
  <w:style w:type="paragraph" w:styleId="Caption">
    <w:name w:val="caption"/>
    <w:basedOn w:val="Normal"/>
    <w:next w:val="Normal"/>
    <w:uiPriority w:val="35"/>
    <w:unhideWhenUsed/>
    <w:qFormat/>
    <w:rsid w:val="009A33E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D4CD2"/>
    <w:pPr>
      <w:spacing w:after="0"/>
    </w:pPr>
  </w:style>
  <w:style w:type="character" w:styleId="Strong">
    <w:name w:val="Strong"/>
    <w:basedOn w:val="DefaultParagraphFont"/>
    <w:uiPriority w:val="22"/>
    <w:qFormat/>
    <w:rsid w:val="009C3AFA"/>
    <w:rPr>
      <w:b/>
      <w:bCs/>
    </w:rPr>
  </w:style>
  <w:style w:type="character" w:customStyle="1" w:styleId="truncate">
    <w:name w:val="truncate"/>
    <w:basedOn w:val="DefaultParagraphFont"/>
    <w:rsid w:val="009C3AFA"/>
  </w:style>
  <w:style w:type="character" w:styleId="Emphasis">
    <w:name w:val="Emphasis"/>
    <w:basedOn w:val="DefaultParagraphFont"/>
    <w:uiPriority w:val="20"/>
    <w:qFormat/>
    <w:rsid w:val="009D0BA1"/>
    <w:rPr>
      <w:i/>
      <w:iCs/>
    </w:rPr>
  </w:style>
  <w:style w:type="table" w:styleId="PlainTable5">
    <w:name w:val="Plain Table 5"/>
    <w:basedOn w:val="TableNormal"/>
    <w:uiPriority w:val="45"/>
    <w:rsid w:val="00974D9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Heading3Char">
    <w:name w:val="Heading 3 Char"/>
    <w:basedOn w:val="DefaultParagraphFont"/>
    <w:link w:val="Heading3"/>
    <w:uiPriority w:val="9"/>
    <w:rsid w:val="009442ED"/>
    <w:rPr>
      <w:rFonts w:ascii="Times New Roman" w:eastAsia="Times New Roman" w:hAnsi="Times New Roman" w:cs="Times New Roman"/>
      <w:b/>
      <w:sz w:val="24"/>
      <w:szCs w:val="24"/>
    </w:rPr>
  </w:style>
  <w:style w:type="character" w:customStyle="1" w:styleId="relative">
    <w:name w:val="relative"/>
    <w:basedOn w:val="DefaultParagraphFont"/>
    <w:rsid w:val="00E004DB"/>
  </w:style>
  <w:style w:type="character" w:customStyle="1" w:styleId="ml-1">
    <w:name w:val="ml-1"/>
    <w:basedOn w:val="DefaultParagraphFont"/>
    <w:rsid w:val="00E004DB"/>
  </w:style>
  <w:style w:type="character" w:customStyle="1" w:styleId="max-w-full">
    <w:name w:val="max-w-full"/>
    <w:basedOn w:val="DefaultParagraphFont"/>
    <w:rsid w:val="00E004DB"/>
  </w:style>
  <w:style w:type="character" w:customStyle="1" w:styleId="-mr-1">
    <w:name w:val="-mr-1"/>
    <w:basedOn w:val="DefaultParagraphFont"/>
    <w:rsid w:val="00E004DB"/>
  </w:style>
  <w:style w:type="table" w:styleId="PlainTable2">
    <w:name w:val="Plain Table 2"/>
    <w:basedOn w:val="TableNormal"/>
    <w:uiPriority w:val="42"/>
    <w:rsid w:val="00FD71F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Heading4Char">
    <w:name w:val="Heading 4 Char"/>
    <w:basedOn w:val="DefaultParagraphFont"/>
    <w:link w:val="Heading4"/>
    <w:uiPriority w:val="9"/>
    <w:rsid w:val="00DA5FFB"/>
    <w:rPr>
      <w:rFonts w:asciiTheme="majorHAnsi" w:eastAsiaTheme="majorEastAsia" w:hAnsiTheme="majorHAnsi" w:cstheme="majorBidi"/>
      <w:i/>
      <w:iCs/>
      <w:color w:val="2F5496" w:themeColor="accent1" w:themeShade="BF"/>
      <w:sz w:val="24"/>
      <w:lang w:val="en-GB"/>
    </w:rPr>
  </w:style>
  <w:style w:type="table" w:styleId="TableGridLight">
    <w:name w:val="Grid Table Light"/>
    <w:basedOn w:val="TableNormal"/>
    <w:uiPriority w:val="40"/>
    <w:rsid w:val="00D735A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3">
    <w:name w:val="toc 3"/>
    <w:basedOn w:val="Normal"/>
    <w:next w:val="Normal"/>
    <w:autoRedefine/>
    <w:uiPriority w:val="39"/>
    <w:unhideWhenUsed/>
    <w:rsid w:val="000A482A"/>
    <w:pPr>
      <w:spacing w:after="100"/>
      <w:ind w:left="480"/>
    </w:pPr>
  </w:style>
  <w:style w:type="character" w:customStyle="1" w:styleId="overflow-hidden">
    <w:name w:val="overflow-hidden"/>
    <w:basedOn w:val="DefaultParagraphFont"/>
    <w:rsid w:val="00E1530D"/>
  </w:style>
  <w:style w:type="table" w:styleId="PlainTable1">
    <w:name w:val="Plain Table 1"/>
    <w:basedOn w:val="TableNormal"/>
    <w:uiPriority w:val="41"/>
    <w:rsid w:val="00851D52"/>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sr-only">
    <w:name w:val="sr-only"/>
    <w:basedOn w:val="DefaultParagraphFont"/>
    <w:rsid w:val="00564EDD"/>
  </w:style>
  <w:style w:type="character" w:customStyle="1" w:styleId="Heading5Char">
    <w:name w:val="Heading 5 Char"/>
    <w:basedOn w:val="DefaultParagraphFont"/>
    <w:link w:val="Heading5"/>
    <w:uiPriority w:val="9"/>
    <w:semiHidden/>
    <w:rsid w:val="00D76923"/>
    <w:rPr>
      <w:rFonts w:asciiTheme="majorHAnsi" w:eastAsiaTheme="majorEastAsia" w:hAnsiTheme="majorHAnsi" w:cstheme="majorBidi"/>
      <w:color w:val="2F5496" w:themeColor="accent1" w:themeShade="BF"/>
      <w:sz w:val="24"/>
      <w:lang w:val="en-GB"/>
    </w:rPr>
  </w:style>
  <w:style w:type="table" w:styleId="GridTable4-Accent3">
    <w:name w:val="Grid Table 4 Accent 3"/>
    <w:basedOn w:val="TableNormal"/>
    <w:uiPriority w:val="49"/>
    <w:rsid w:val="00040651"/>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CommentReference">
    <w:name w:val="annotation reference"/>
    <w:basedOn w:val="DefaultParagraphFont"/>
    <w:uiPriority w:val="99"/>
    <w:semiHidden/>
    <w:unhideWhenUsed/>
    <w:rsid w:val="00625262"/>
    <w:rPr>
      <w:sz w:val="16"/>
      <w:szCs w:val="16"/>
    </w:rPr>
  </w:style>
  <w:style w:type="paragraph" w:styleId="CommentText">
    <w:name w:val="annotation text"/>
    <w:basedOn w:val="Normal"/>
    <w:link w:val="CommentTextChar"/>
    <w:uiPriority w:val="99"/>
    <w:unhideWhenUsed/>
    <w:rsid w:val="00625262"/>
    <w:pPr>
      <w:spacing w:line="240" w:lineRule="auto"/>
    </w:pPr>
    <w:rPr>
      <w:sz w:val="20"/>
      <w:szCs w:val="20"/>
    </w:rPr>
  </w:style>
  <w:style w:type="character" w:customStyle="1" w:styleId="CommentTextChar">
    <w:name w:val="Comment Text Char"/>
    <w:basedOn w:val="DefaultParagraphFont"/>
    <w:link w:val="CommentText"/>
    <w:uiPriority w:val="99"/>
    <w:rsid w:val="00625262"/>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625262"/>
    <w:rPr>
      <w:b/>
      <w:bCs/>
    </w:rPr>
  </w:style>
  <w:style w:type="character" w:customStyle="1" w:styleId="CommentSubjectChar">
    <w:name w:val="Comment Subject Char"/>
    <w:basedOn w:val="CommentTextChar"/>
    <w:link w:val="CommentSubject"/>
    <w:uiPriority w:val="99"/>
    <w:semiHidden/>
    <w:rsid w:val="00625262"/>
    <w:rPr>
      <w:rFonts w:ascii="Arial" w:hAnsi="Arial"/>
      <w:b/>
      <w:bCs/>
      <w:sz w:val="20"/>
      <w:szCs w:val="20"/>
      <w:lang w:val="en-GB"/>
    </w:rPr>
  </w:style>
  <w:style w:type="character" w:styleId="PlaceholderText">
    <w:name w:val="Placeholder Text"/>
    <w:basedOn w:val="DefaultParagraphFont"/>
    <w:uiPriority w:val="99"/>
    <w:semiHidden/>
    <w:rsid w:val="00A74E70"/>
    <w:rPr>
      <w:color w:val="808080"/>
    </w:rPr>
  </w:style>
  <w:style w:type="character" w:customStyle="1" w:styleId="UnresolvedMention">
    <w:name w:val="Unresolved Mention"/>
    <w:basedOn w:val="DefaultParagraphFont"/>
    <w:uiPriority w:val="99"/>
    <w:semiHidden/>
    <w:unhideWhenUsed/>
    <w:rsid w:val="00F642BD"/>
    <w:rPr>
      <w:color w:val="605E5C"/>
      <w:shd w:val="clear" w:color="auto" w:fill="E1DFDD"/>
    </w:rPr>
  </w:style>
  <w:style w:type="table" w:styleId="GridTable5Dark-Accent6">
    <w:name w:val="Grid Table 5 Dark Accent 6"/>
    <w:basedOn w:val="TableNormal"/>
    <w:uiPriority w:val="50"/>
    <w:rsid w:val="006716D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823558">
      <w:bodyDiv w:val="1"/>
      <w:marLeft w:val="0"/>
      <w:marRight w:val="0"/>
      <w:marTop w:val="0"/>
      <w:marBottom w:val="0"/>
      <w:divBdr>
        <w:top w:val="none" w:sz="0" w:space="0" w:color="auto"/>
        <w:left w:val="none" w:sz="0" w:space="0" w:color="auto"/>
        <w:bottom w:val="none" w:sz="0" w:space="0" w:color="auto"/>
        <w:right w:val="none" w:sz="0" w:space="0" w:color="auto"/>
      </w:divBdr>
    </w:div>
    <w:div w:id="9845189">
      <w:bodyDiv w:val="1"/>
      <w:marLeft w:val="0"/>
      <w:marRight w:val="0"/>
      <w:marTop w:val="0"/>
      <w:marBottom w:val="0"/>
      <w:divBdr>
        <w:top w:val="none" w:sz="0" w:space="0" w:color="auto"/>
        <w:left w:val="none" w:sz="0" w:space="0" w:color="auto"/>
        <w:bottom w:val="none" w:sz="0" w:space="0" w:color="auto"/>
        <w:right w:val="none" w:sz="0" w:space="0" w:color="auto"/>
      </w:divBdr>
    </w:div>
    <w:div w:id="16272247">
      <w:bodyDiv w:val="1"/>
      <w:marLeft w:val="0"/>
      <w:marRight w:val="0"/>
      <w:marTop w:val="0"/>
      <w:marBottom w:val="0"/>
      <w:divBdr>
        <w:top w:val="none" w:sz="0" w:space="0" w:color="auto"/>
        <w:left w:val="none" w:sz="0" w:space="0" w:color="auto"/>
        <w:bottom w:val="none" w:sz="0" w:space="0" w:color="auto"/>
        <w:right w:val="none" w:sz="0" w:space="0" w:color="auto"/>
      </w:divBdr>
    </w:div>
    <w:div w:id="16582172">
      <w:bodyDiv w:val="1"/>
      <w:marLeft w:val="0"/>
      <w:marRight w:val="0"/>
      <w:marTop w:val="0"/>
      <w:marBottom w:val="0"/>
      <w:divBdr>
        <w:top w:val="none" w:sz="0" w:space="0" w:color="auto"/>
        <w:left w:val="none" w:sz="0" w:space="0" w:color="auto"/>
        <w:bottom w:val="none" w:sz="0" w:space="0" w:color="auto"/>
        <w:right w:val="none" w:sz="0" w:space="0" w:color="auto"/>
      </w:divBdr>
    </w:div>
    <w:div w:id="23286207">
      <w:bodyDiv w:val="1"/>
      <w:marLeft w:val="0"/>
      <w:marRight w:val="0"/>
      <w:marTop w:val="0"/>
      <w:marBottom w:val="0"/>
      <w:divBdr>
        <w:top w:val="none" w:sz="0" w:space="0" w:color="auto"/>
        <w:left w:val="none" w:sz="0" w:space="0" w:color="auto"/>
        <w:bottom w:val="none" w:sz="0" w:space="0" w:color="auto"/>
        <w:right w:val="none" w:sz="0" w:space="0" w:color="auto"/>
      </w:divBdr>
    </w:div>
    <w:div w:id="28537066">
      <w:bodyDiv w:val="1"/>
      <w:marLeft w:val="0"/>
      <w:marRight w:val="0"/>
      <w:marTop w:val="0"/>
      <w:marBottom w:val="0"/>
      <w:divBdr>
        <w:top w:val="none" w:sz="0" w:space="0" w:color="auto"/>
        <w:left w:val="none" w:sz="0" w:space="0" w:color="auto"/>
        <w:bottom w:val="none" w:sz="0" w:space="0" w:color="auto"/>
        <w:right w:val="none" w:sz="0" w:space="0" w:color="auto"/>
      </w:divBdr>
    </w:div>
    <w:div w:id="31003033">
      <w:bodyDiv w:val="1"/>
      <w:marLeft w:val="0"/>
      <w:marRight w:val="0"/>
      <w:marTop w:val="0"/>
      <w:marBottom w:val="0"/>
      <w:divBdr>
        <w:top w:val="none" w:sz="0" w:space="0" w:color="auto"/>
        <w:left w:val="none" w:sz="0" w:space="0" w:color="auto"/>
        <w:bottom w:val="none" w:sz="0" w:space="0" w:color="auto"/>
        <w:right w:val="none" w:sz="0" w:space="0" w:color="auto"/>
      </w:divBdr>
      <w:divsChild>
        <w:div w:id="1330258394">
          <w:marLeft w:val="0"/>
          <w:marRight w:val="0"/>
          <w:marTop w:val="0"/>
          <w:marBottom w:val="0"/>
          <w:divBdr>
            <w:top w:val="none" w:sz="0" w:space="0" w:color="auto"/>
            <w:left w:val="none" w:sz="0" w:space="0" w:color="auto"/>
            <w:bottom w:val="none" w:sz="0" w:space="0" w:color="auto"/>
            <w:right w:val="none" w:sz="0" w:space="0" w:color="auto"/>
          </w:divBdr>
          <w:divsChild>
            <w:div w:id="1460537500">
              <w:marLeft w:val="0"/>
              <w:marRight w:val="0"/>
              <w:marTop w:val="0"/>
              <w:marBottom w:val="0"/>
              <w:divBdr>
                <w:top w:val="none" w:sz="0" w:space="0" w:color="auto"/>
                <w:left w:val="none" w:sz="0" w:space="0" w:color="auto"/>
                <w:bottom w:val="none" w:sz="0" w:space="0" w:color="auto"/>
                <w:right w:val="none" w:sz="0" w:space="0" w:color="auto"/>
              </w:divBdr>
              <w:divsChild>
                <w:div w:id="1161891042">
                  <w:marLeft w:val="0"/>
                  <w:marRight w:val="0"/>
                  <w:marTop w:val="0"/>
                  <w:marBottom w:val="0"/>
                  <w:divBdr>
                    <w:top w:val="none" w:sz="0" w:space="0" w:color="auto"/>
                    <w:left w:val="none" w:sz="0" w:space="0" w:color="auto"/>
                    <w:bottom w:val="none" w:sz="0" w:space="0" w:color="auto"/>
                    <w:right w:val="none" w:sz="0" w:space="0" w:color="auto"/>
                  </w:divBdr>
                  <w:divsChild>
                    <w:div w:id="482083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838263">
          <w:marLeft w:val="0"/>
          <w:marRight w:val="0"/>
          <w:marTop w:val="0"/>
          <w:marBottom w:val="0"/>
          <w:divBdr>
            <w:top w:val="none" w:sz="0" w:space="0" w:color="auto"/>
            <w:left w:val="none" w:sz="0" w:space="0" w:color="auto"/>
            <w:bottom w:val="none" w:sz="0" w:space="0" w:color="auto"/>
            <w:right w:val="none" w:sz="0" w:space="0" w:color="auto"/>
          </w:divBdr>
          <w:divsChild>
            <w:div w:id="1391417400">
              <w:marLeft w:val="0"/>
              <w:marRight w:val="0"/>
              <w:marTop w:val="0"/>
              <w:marBottom w:val="0"/>
              <w:divBdr>
                <w:top w:val="none" w:sz="0" w:space="0" w:color="auto"/>
                <w:left w:val="none" w:sz="0" w:space="0" w:color="auto"/>
                <w:bottom w:val="none" w:sz="0" w:space="0" w:color="auto"/>
                <w:right w:val="none" w:sz="0" w:space="0" w:color="auto"/>
              </w:divBdr>
              <w:divsChild>
                <w:div w:id="67459581">
                  <w:marLeft w:val="0"/>
                  <w:marRight w:val="0"/>
                  <w:marTop w:val="0"/>
                  <w:marBottom w:val="0"/>
                  <w:divBdr>
                    <w:top w:val="none" w:sz="0" w:space="0" w:color="auto"/>
                    <w:left w:val="none" w:sz="0" w:space="0" w:color="auto"/>
                    <w:bottom w:val="none" w:sz="0" w:space="0" w:color="auto"/>
                    <w:right w:val="none" w:sz="0" w:space="0" w:color="auto"/>
                  </w:divBdr>
                  <w:divsChild>
                    <w:div w:id="680015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875660">
      <w:bodyDiv w:val="1"/>
      <w:marLeft w:val="0"/>
      <w:marRight w:val="0"/>
      <w:marTop w:val="0"/>
      <w:marBottom w:val="0"/>
      <w:divBdr>
        <w:top w:val="none" w:sz="0" w:space="0" w:color="auto"/>
        <w:left w:val="none" w:sz="0" w:space="0" w:color="auto"/>
        <w:bottom w:val="none" w:sz="0" w:space="0" w:color="auto"/>
        <w:right w:val="none" w:sz="0" w:space="0" w:color="auto"/>
      </w:divBdr>
      <w:divsChild>
        <w:div w:id="876311836">
          <w:marLeft w:val="0"/>
          <w:marRight w:val="0"/>
          <w:marTop w:val="0"/>
          <w:marBottom w:val="0"/>
          <w:divBdr>
            <w:top w:val="none" w:sz="0" w:space="0" w:color="auto"/>
            <w:left w:val="none" w:sz="0" w:space="0" w:color="auto"/>
            <w:bottom w:val="none" w:sz="0" w:space="0" w:color="auto"/>
            <w:right w:val="none" w:sz="0" w:space="0" w:color="auto"/>
          </w:divBdr>
        </w:div>
        <w:div w:id="1018846964">
          <w:marLeft w:val="0"/>
          <w:marRight w:val="0"/>
          <w:marTop w:val="0"/>
          <w:marBottom w:val="0"/>
          <w:divBdr>
            <w:top w:val="none" w:sz="0" w:space="0" w:color="auto"/>
            <w:left w:val="none" w:sz="0" w:space="0" w:color="auto"/>
            <w:bottom w:val="none" w:sz="0" w:space="0" w:color="auto"/>
            <w:right w:val="none" w:sz="0" w:space="0" w:color="auto"/>
          </w:divBdr>
        </w:div>
        <w:div w:id="1283685029">
          <w:marLeft w:val="0"/>
          <w:marRight w:val="0"/>
          <w:marTop w:val="0"/>
          <w:marBottom w:val="0"/>
          <w:divBdr>
            <w:top w:val="none" w:sz="0" w:space="0" w:color="auto"/>
            <w:left w:val="none" w:sz="0" w:space="0" w:color="auto"/>
            <w:bottom w:val="none" w:sz="0" w:space="0" w:color="auto"/>
            <w:right w:val="none" w:sz="0" w:space="0" w:color="auto"/>
          </w:divBdr>
        </w:div>
      </w:divsChild>
    </w:div>
    <w:div w:id="49888202">
      <w:bodyDiv w:val="1"/>
      <w:marLeft w:val="0"/>
      <w:marRight w:val="0"/>
      <w:marTop w:val="0"/>
      <w:marBottom w:val="0"/>
      <w:divBdr>
        <w:top w:val="none" w:sz="0" w:space="0" w:color="auto"/>
        <w:left w:val="none" w:sz="0" w:space="0" w:color="auto"/>
        <w:bottom w:val="none" w:sz="0" w:space="0" w:color="auto"/>
        <w:right w:val="none" w:sz="0" w:space="0" w:color="auto"/>
      </w:divBdr>
    </w:div>
    <w:div w:id="51929534">
      <w:bodyDiv w:val="1"/>
      <w:marLeft w:val="0"/>
      <w:marRight w:val="0"/>
      <w:marTop w:val="0"/>
      <w:marBottom w:val="0"/>
      <w:divBdr>
        <w:top w:val="none" w:sz="0" w:space="0" w:color="auto"/>
        <w:left w:val="none" w:sz="0" w:space="0" w:color="auto"/>
        <w:bottom w:val="none" w:sz="0" w:space="0" w:color="auto"/>
        <w:right w:val="none" w:sz="0" w:space="0" w:color="auto"/>
      </w:divBdr>
    </w:div>
    <w:div w:id="67464548">
      <w:bodyDiv w:val="1"/>
      <w:marLeft w:val="0"/>
      <w:marRight w:val="0"/>
      <w:marTop w:val="0"/>
      <w:marBottom w:val="0"/>
      <w:divBdr>
        <w:top w:val="none" w:sz="0" w:space="0" w:color="auto"/>
        <w:left w:val="none" w:sz="0" w:space="0" w:color="auto"/>
        <w:bottom w:val="none" w:sz="0" w:space="0" w:color="auto"/>
        <w:right w:val="none" w:sz="0" w:space="0" w:color="auto"/>
      </w:divBdr>
    </w:div>
    <w:div w:id="76099433">
      <w:bodyDiv w:val="1"/>
      <w:marLeft w:val="0"/>
      <w:marRight w:val="0"/>
      <w:marTop w:val="0"/>
      <w:marBottom w:val="0"/>
      <w:divBdr>
        <w:top w:val="none" w:sz="0" w:space="0" w:color="auto"/>
        <w:left w:val="none" w:sz="0" w:space="0" w:color="auto"/>
        <w:bottom w:val="none" w:sz="0" w:space="0" w:color="auto"/>
        <w:right w:val="none" w:sz="0" w:space="0" w:color="auto"/>
      </w:divBdr>
      <w:divsChild>
        <w:div w:id="538860434">
          <w:marLeft w:val="0"/>
          <w:marRight w:val="0"/>
          <w:marTop w:val="0"/>
          <w:marBottom w:val="0"/>
          <w:divBdr>
            <w:top w:val="none" w:sz="0" w:space="0" w:color="auto"/>
            <w:left w:val="none" w:sz="0" w:space="0" w:color="auto"/>
            <w:bottom w:val="none" w:sz="0" w:space="0" w:color="auto"/>
            <w:right w:val="none" w:sz="0" w:space="0" w:color="auto"/>
          </w:divBdr>
          <w:divsChild>
            <w:div w:id="153230569">
              <w:marLeft w:val="0"/>
              <w:marRight w:val="0"/>
              <w:marTop w:val="0"/>
              <w:marBottom w:val="0"/>
              <w:divBdr>
                <w:top w:val="none" w:sz="0" w:space="0" w:color="auto"/>
                <w:left w:val="none" w:sz="0" w:space="0" w:color="auto"/>
                <w:bottom w:val="none" w:sz="0" w:space="0" w:color="auto"/>
                <w:right w:val="none" w:sz="0" w:space="0" w:color="auto"/>
              </w:divBdr>
              <w:divsChild>
                <w:div w:id="1925993101">
                  <w:marLeft w:val="0"/>
                  <w:marRight w:val="0"/>
                  <w:marTop w:val="0"/>
                  <w:marBottom w:val="0"/>
                  <w:divBdr>
                    <w:top w:val="none" w:sz="0" w:space="0" w:color="auto"/>
                    <w:left w:val="none" w:sz="0" w:space="0" w:color="auto"/>
                    <w:bottom w:val="none" w:sz="0" w:space="0" w:color="auto"/>
                    <w:right w:val="none" w:sz="0" w:space="0" w:color="auto"/>
                  </w:divBdr>
                  <w:divsChild>
                    <w:div w:id="1445151758">
                      <w:marLeft w:val="0"/>
                      <w:marRight w:val="0"/>
                      <w:marTop w:val="0"/>
                      <w:marBottom w:val="0"/>
                      <w:divBdr>
                        <w:top w:val="none" w:sz="0" w:space="0" w:color="auto"/>
                        <w:left w:val="none" w:sz="0" w:space="0" w:color="auto"/>
                        <w:bottom w:val="none" w:sz="0" w:space="0" w:color="auto"/>
                        <w:right w:val="none" w:sz="0" w:space="0" w:color="auto"/>
                      </w:divBdr>
                      <w:divsChild>
                        <w:div w:id="418523551">
                          <w:marLeft w:val="0"/>
                          <w:marRight w:val="0"/>
                          <w:marTop w:val="0"/>
                          <w:marBottom w:val="0"/>
                          <w:divBdr>
                            <w:top w:val="none" w:sz="0" w:space="0" w:color="auto"/>
                            <w:left w:val="none" w:sz="0" w:space="0" w:color="auto"/>
                            <w:bottom w:val="none" w:sz="0" w:space="0" w:color="auto"/>
                            <w:right w:val="none" w:sz="0" w:space="0" w:color="auto"/>
                          </w:divBdr>
                          <w:divsChild>
                            <w:div w:id="867183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029783">
      <w:bodyDiv w:val="1"/>
      <w:marLeft w:val="0"/>
      <w:marRight w:val="0"/>
      <w:marTop w:val="0"/>
      <w:marBottom w:val="0"/>
      <w:divBdr>
        <w:top w:val="none" w:sz="0" w:space="0" w:color="auto"/>
        <w:left w:val="none" w:sz="0" w:space="0" w:color="auto"/>
        <w:bottom w:val="none" w:sz="0" w:space="0" w:color="auto"/>
        <w:right w:val="none" w:sz="0" w:space="0" w:color="auto"/>
      </w:divBdr>
    </w:div>
    <w:div w:id="84306939">
      <w:bodyDiv w:val="1"/>
      <w:marLeft w:val="0"/>
      <w:marRight w:val="0"/>
      <w:marTop w:val="0"/>
      <w:marBottom w:val="0"/>
      <w:divBdr>
        <w:top w:val="none" w:sz="0" w:space="0" w:color="auto"/>
        <w:left w:val="none" w:sz="0" w:space="0" w:color="auto"/>
        <w:bottom w:val="none" w:sz="0" w:space="0" w:color="auto"/>
        <w:right w:val="none" w:sz="0" w:space="0" w:color="auto"/>
      </w:divBdr>
      <w:divsChild>
        <w:div w:id="440878061">
          <w:marLeft w:val="0"/>
          <w:marRight w:val="0"/>
          <w:marTop w:val="0"/>
          <w:marBottom w:val="0"/>
          <w:divBdr>
            <w:top w:val="none" w:sz="0" w:space="0" w:color="auto"/>
            <w:left w:val="none" w:sz="0" w:space="0" w:color="auto"/>
            <w:bottom w:val="none" w:sz="0" w:space="0" w:color="auto"/>
            <w:right w:val="none" w:sz="0" w:space="0" w:color="auto"/>
          </w:divBdr>
        </w:div>
      </w:divsChild>
    </w:div>
    <w:div w:id="93943922">
      <w:bodyDiv w:val="1"/>
      <w:marLeft w:val="0"/>
      <w:marRight w:val="0"/>
      <w:marTop w:val="0"/>
      <w:marBottom w:val="0"/>
      <w:divBdr>
        <w:top w:val="none" w:sz="0" w:space="0" w:color="auto"/>
        <w:left w:val="none" w:sz="0" w:space="0" w:color="auto"/>
        <w:bottom w:val="none" w:sz="0" w:space="0" w:color="auto"/>
        <w:right w:val="none" w:sz="0" w:space="0" w:color="auto"/>
      </w:divBdr>
    </w:div>
    <w:div w:id="96605627">
      <w:bodyDiv w:val="1"/>
      <w:marLeft w:val="0"/>
      <w:marRight w:val="0"/>
      <w:marTop w:val="0"/>
      <w:marBottom w:val="0"/>
      <w:divBdr>
        <w:top w:val="none" w:sz="0" w:space="0" w:color="auto"/>
        <w:left w:val="none" w:sz="0" w:space="0" w:color="auto"/>
        <w:bottom w:val="none" w:sz="0" w:space="0" w:color="auto"/>
        <w:right w:val="none" w:sz="0" w:space="0" w:color="auto"/>
      </w:divBdr>
    </w:div>
    <w:div w:id="98070246">
      <w:bodyDiv w:val="1"/>
      <w:marLeft w:val="0"/>
      <w:marRight w:val="0"/>
      <w:marTop w:val="0"/>
      <w:marBottom w:val="0"/>
      <w:divBdr>
        <w:top w:val="none" w:sz="0" w:space="0" w:color="auto"/>
        <w:left w:val="none" w:sz="0" w:space="0" w:color="auto"/>
        <w:bottom w:val="none" w:sz="0" w:space="0" w:color="auto"/>
        <w:right w:val="none" w:sz="0" w:space="0" w:color="auto"/>
      </w:divBdr>
    </w:div>
    <w:div w:id="100418878">
      <w:bodyDiv w:val="1"/>
      <w:marLeft w:val="0"/>
      <w:marRight w:val="0"/>
      <w:marTop w:val="0"/>
      <w:marBottom w:val="0"/>
      <w:divBdr>
        <w:top w:val="none" w:sz="0" w:space="0" w:color="auto"/>
        <w:left w:val="none" w:sz="0" w:space="0" w:color="auto"/>
        <w:bottom w:val="none" w:sz="0" w:space="0" w:color="auto"/>
        <w:right w:val="none" w:sz="0" w:space="0" w:color="auto"/>
      </w:divBdr>
    </w:div>
    <w:div w:id="101339310">
      <w:bodyDiv w:val="1"/>
      <w:marLeft w:val="0"/>
      <w:marRight w:val="0"/>
      <w:marTop w:val="0"/>
      <w:marBottom w:val="0"/>
      <w:divBdr>
        <w:top w:val="none" w:sz="0" w:space="0" w:color="auto"/>
        <w:left w:val="none" w:sz="0" w:space="0" w:color="auto"/>
        <w:bottom w:val="none" w:sz="0" w:space="0" w:color="auto"/>
        <w:right w:val="none" w:sz="0" w:space="0" w:color="auto"/>
      </w:divBdr>
    </w:div>
    <w:div w:id="103421906">
      <w:bodyDiv w:val="1"/>
      <w:marLeft w:val="0"/>
      <w:marRight w:val="0"/>
      <w:marTop w:val="0"/>
      <w:marBottom w:val="0"/>
      <w:divBdr>
        <w:top w:val="none" w:sz="0" w:space="0" w:color="auto"/>
        <w:left w:val="none" w:sz="0" w:space="0" w:color="auto"/>
        <w:bottom w:val="none" w:sz="0" w:space="0" w:color="auto"/>
        <w:right w:val="none" w:sz="0" w:space="0" w:color="auto"/>
      </w:divBdr>
    </w:div>
    <w:div w:id="124081537">
      <w:bodyDiv w:val="1"/>
      <w:marLeft w:val="0"/>
      <w:marRight w:val="0"/>
      <w:marTop w:val="0"/>
      <w:marBottom w:val="0"/>
      <w:divBdr>
        <w:top w:val="none" w:sz="0" w:space="0" w:color="auto"/>
        <w:left w:val="none" w:sz="0" w:space="0" w:color="auto"/>
        <w:bottom w:val="none" w:sz="0" w:space="0" w:color="auto"/>
        <w:right w:val="none" w:sz="0" w:space="0" w:color="auto"/>
      </w:divBdr>
    </w:div>
    <w:div w:id="127549164">
      <w:bodyDiv w:val="1"/>
      <w:marLeft w:val="0"/>
      <w:marRight w:val="0"/>
      <w:marTop w:val="0"/>
      <w:marBottom w:val="0"/>
      <w:divBdr>
        <w:top w:val="none" w:sz="0" w:space="0" w:color="auto"/>
        <w:left w:val="none" w:sz="0" w:space="0" w:color="auto"/>
        <w:bottom w:val="none" w:sz="0" w:space="0" w:color="auto"/>
        <w:right w:val="none" w:sz="0" w:space="0" w:color="auto"/>
      </w:divBdr>
    </w:div>
    <w:div w:id="127626144">
      <w:bodyDiv w:val="1"/>
      <w:marLeft w:val="0"/>
      <w:marRight w:val="0"/>
      <w:marTop w:val="0"/>
      <w:marBottom w:val="0"/>
      <w:divBdr>
        <w:top w:val="none" w:sz="0" w:space="0" w:color="auto"/>
        <w:left w:val="none" w:sz="0" w:space="0" w:color="auto"/>
        <w:bottom w:val="none" w:sz="0" w:space="0" w:color="auto"/>
        <w:right w:val="none" w:sz="0" w:space="0" w:color="auto"/>
      </w:divBdr>
    </w:div>
    <w:div w:id="130485560">
      <w:bodyDiv w:val="1"/>
      <w:marLeft w:val="0"/>
      <w:marRight w:val="0"/>
      <w:marTop w:val="0"/>
      <w:marBottom w:val="0"/>
      <w:divBdr>
        <w:top w:val="none" w:sz="0" w:space="0" w:color="auto"/>
        <w:left w:val="none" w:sz="0" w:space="0" w:color="auto"/>
        <w:bottom w:val="none" w:sz="0" w:space="0" w:color="auto"/>
        <w:right w:val="none" w:sz="0" w:space="0" w:color="auto"/>
      </w:divBdr>
    </w:div>
    <w:div w:id="135337274">
      <w:bodyDiv w:val="1"/>
      <w:marLeft w:val="0"/>
      <w:marRight w:val="0"/>
      <w:marTop w:val="0"/>
      <w:marBottom w:val="0"/>
      <w:divBdr>
        <w:top w:val="none" w:sz="0" w:space="0" w:color="auto"/>
        <w:left w:val="none" w:sz="0" w:space="0" w:color="auto"/>
        <w:bottom w:val="none" w:sz="0" w:space="0" w:color="auto"/>
        <w:right w:val="none" w:sz="0" w:space="0" w:color="auto"/>
      </w:divBdr>
    </w:div>
    <w:div w:id="144709320">
      <w:bodyDiv w:val="1"/>
      <w:marLeft w:val="0"/>
      <w:marRight w:val="0"/>
      <w:marTop w:val="0"/>
      <w:marBottom w:val="0"/>
      <w:divBdr>
        <w:top w:val="none" w:sz="0" w:space="0" w:color="auto"/>
        <w:left w:val="none" w:sz="0" w:space="0" w:color="auto"/>
        <w:bottom w:val="none" w:sz="0" w:space="0" w:color="auto"/>
        <w:right w:val="none" w:sz="0" w:space="0" w:color="auto"/>
      </w:divBdr>
    </w:div>
    <w:div w:id="146242384">
      <w:bodyDiv w:val="1"/>
      <w:marLeft w:val="0"/>
      <w:marRight w:val="0"/>
      <w:marTop w:val="0"/>
      <w:marBottom w:val="0"/>
      <w:divBdr>
        <w:top w:val="none" w:sz="0" w:space="0" w:color="auto"/>
        <w:left w:val="none" w:sz="0" w:space="0" w:color="auto"/>
        <w:bottom w:val="none" w:sz="0" w:space="0" w:color="auto"/>
        <w:right w:val="none" w:sz="0" w:space="0" w:color="auto"/>
      </w:divBdr>
    </w:div>
    <w:div w:id="150492437">
      <w:bodyDiv w:val="1"/>
      <w:marLeft w:val="0"/>
      <w:marRight w:val="0"/>
      <w:marTop w:val="0"/>
      <w:marBottom w:val="0"/>
      <w:divBdr>
        <w:top w:val="none" w:sz="0" w:space="0" w:color="auto"/>
        <w:left w:val="none" w:sz="0" w:space="0" w:color="auto"/>
        <w:bottom w:val="none" w:sz="0" w:space="0" w:color="auto"/>
        <w:right w:val="none" w:sz="0" w:space="0" w:color="auto"/>
      </w:divBdr>
    </w:div>
    <w:div w:id="154037471">
      <w:bodyDiv w:val="1"/>
      <w:marLeft w:val="0"/>
      <w:marRight w:val="0"/>
      <w:marTop w:val="0"/>
      <w:marBottom w:val="0"/>
      <w:divBdr>
        <w:top w:val="none" w:sz="0" w:space="0" w:color="auto"/>
        <w:left w:val="none" w:sz="0" w:space="0" w:color="auto"/>
        <w:bottom w:val="none" w:sz="0" w:space="0" w:color="auto"/>
        <w:right w:val="none" w:sz="0" w:space="0" w:color="auto"/>
      </w:divBdr>
    </w:div>
    <w:div w:id="154304097">
      <w:bodyDiv w:val="1"/>
      <w:marLeft w:val="0"/>
      <w:marRight w:val="0"/>
      <w:marTop w:val="0"/>
      <w:marBottom w:val="0"/>
      <w:divBdr>
        <w:top w:val="none" w:sz="0" w:space="0" w:color="auto"/>
        <w:left w:val="none" w:sz="0" w:space="0" w:color="auto"/>
        <w:bottom w:val="none" w:sz="0" w:space="0" w:color="auto"/>
        <w:right w:val="none" w:sz="0" w:space="0" w:color="auto"/>
      </w:divBdr>
    </w:div>
    <w:div w:id="157815381">
      <w:bodyDiv w:val="1"/>
      <w:marLeft w:val="0"/>
      <w:marRight w:val="0"/>
      <w:marTop w:val="0"/>
      <w:marBottom w:val="0"/>
      <w:divBdr>
        <w:top w:val="none" w:sz="0" w:space="0" w:color="auto"/>
        <w:left w:val="none" w:sz="0" w:space="0" w:color="auto"/>
        <w:bottom w:val="none" w:sz="0" w:space="0" w:color="auto"/>
        <w:right w:val="none" w:sz="0" w:space="0" w:color="auto"/>
      </w:divBdr>
    </w:div>
    <w:div w:id="165632239">
      <w:bodyDiv w:val="1"/>
      <w:marLeft w:val="0"/>
      <w:marRight w:val="0"/>
      <w:marTop w:val="0"/>
      <w:marBottom w:val="0"/>
      <w:divBdr>
        <w:top w:val="none" w:sz="0" w:space="0" w:color="auto"/>
        <w:left w:val="none" w:sz="0" w:space="0" w:color="auto"/>
        <w:bottom w:val="none" w:sz="0" w:space="0" w:color="auto"/>
        <w:right w:val="none" w:sz="0" w:space="0" w:color="auto"/>
      </w:divBdr>
    </w:div>
    <w:div w:id="168369543">
      <w:bodyDiv w:val="1"/>
      <w:marLeft w:val="0"/>
      <w:marRight w:val="0"/>
      <w:marTop w:val="0"/>
      <w:marBottom w:val="0"/>
      <w:divBdr>
        <w:top w:val="none" w:sz="0" w:space="0" w:color="auto"/>
        <w:left w:val="none" w:sz="0" w:space="0" w:color="auto"/>
        <w:bottom w:val="none" w:sz="0" w:space="0" w:color="auto"/>
        <w:right w:val="none" w:sz="0" w:space="0" w:color="auto"/>
      </w:divBdr>
    </w:div>
    <w:div w:id="171799836">
      <w:bodyDiv w:val="1"/>
      <w:marLeft w:val="0"/>
      <w:marRight w:val="0"/>
      <w:marTop w:val="0"/>
      <w:marBottom w:val="0"/>
      <w:divBdr>
        <w:top w:val="none" w:sz="0" w:space="0" w:color="auto"/>
        <w:left w:val="none" w:sz="0" w:space="0" w:color="auto"/>
        <w:bottom w:val="none" w:sz="0" w:space="0" w:color="auto"/>
        <w:right w:val="none" w:sz="0" w:space="0" w:color="auto"/>
      </w:divBdr>
    </w:div>
    <w:div w:id="171996062">
      <w:bodyDiv w:val="1"/>
      <w:marLeft w:val="0"/>
      <w:marRight w:val="0"/>
      <w:marTop w:val="0"/>
      <w:marBottom w:val="0"/>
      <w:divBdr>
        <w:top w:val="none" w:sz="0" w:space="0" w:color="auto"/>
        <w:left w:val="none" w:sz="0" w:space="0" w:color="auto"/>
        <w:bottom w:val="none" w:sz="0" w:space="0" w:color="auto"/>
        <w:right w:val="none" w:sz="0" w:space="0" w:color="auto"/>
      </w:divBdr>
      <w:divsChild>
        <w:div w:id="143477405">
          <w:marLeft w:val="0"/>
          <w:marRight w:val="0"/>
          <w:marTop w:val="0"/>
          <w:marBottom w:val="0"/>
          <w:divBdr>
            <w:top w:val="none" w:sz="0" w:space="0" w:color="auto"/>
            <w:left w:val="none" w:sz="0" w:space="0" w:color="auto"/>
            <w:bottom w:val="none" w:sz="0" w:space="0" w:color="auto"/>
            <w:right w:val="none" w:sz="0" w:space="0" w:color="auto"/>
          </w:divBdr>
        </w:div>
      </w:divsChild>
    </w:div>
    <w:div w:id="190924664">
      <w:bodyDiv w:val="1"/>
      <w:marLeft w:val="0"/>
      <w:marRight w:val="0"/>
      <w:marTop w:val="0"/>
      <w:marBottom w:val="0"/>
      <w:divBdr>
        <w:top w:val="none" w:sz="0" w:space="0" w:color="auto"/>
        <w:left w:val="none" w:sz="0" w:space="0" w:color="auto"/>
        <w:bottom w:val="none" w:sz="0" w:space="0" w:color="auto"/>
        <w:right w:val="none" w:sz="0" w:space="0" w:color="auto"/>
      </w:divBdr>
    </w:div>
    <w:div w:id="206994260">
      <w:bodyDiv w:val="1"/>
      <w:marLeft w:val="0"/>
      <w:marRight w:val="0"/>
      <w:marTop w:val="0"/>
      <w:marBottom w:val="0"/>
      <w:divBdr>
        <w:top w:val="none" w:sz="0" w:space="0" w:color="auto"/>
        <w:left w:val="none" w:sz="0" w:space="0" w:color="auto"/>
        <w:bottom w:val="none" w:sz="0" w:space="0" w:color="auto"/>
        <w:right w:val="none" w:sz="0" w:space="0" w:color="auto"/>
      </w:divBdr>
    </w:div>
    <w:div w:id="212037625">
      <w:bodyDiv w:val="1"/>
      <w:marLeft w:val="0"/>
      <w:marRight w:val="0"/>
      <w:marTop w:val="0"/>
      <w:marBottom w:val="0"/>
      <w:divBdr>
        <w:top w:val="none" w:sz="0" w:space="0" w:color="auto"/>
        <w:left w:val="none" w:sz="0" w:space="0" w:color="auto"/>
        <w:bottom w:val="none" w:sz="0" w:space="0" w:color="auto"/>
        <w:right w:val="none" w:sz="0" w:space="0" w:color="auto"/>
      </w:divBdr>
    </w:div>
    <w:div w:id="214975682">
      <w:bodyDiv w:val="1"/>
      <w:marLeft w:val="0"/>
      <w:marRight w:val="0"/>
      <w:marTop w:val="0"/>
      <w:marBottom w:val="0"/>
      <w:divBdr>
        <w:top w:val="none" w:sz="0" w:space="0" w:color="auto"/>
        <w:left w:val="none" w:sz="0" w:space="0" w:color="auto"/>
        <w:bottom w:val="none" w:sz="0" w:space="0" w:color="auto"/>
        <w:right w:val="none" w:sz="0" w:space="0" w:color="auto"/>
      </w:divBdr>
    </w:div>
    <w:div w:id="217594557">
      <w:bodyDiv w:val="1"/>
      <w:marLeft w:val="0"/>
      <w:marRight w:val="0"/>
      <w:marTop w:val="0"/>
      <w:marBottom w:val="0"/>
      <w:divBdr>
        <w:top w:val="none" w:sz="0" w:space="0" w:color="auto"/>
        <w:left w:val="none" w:sz="0" w:space="0" w:color="auto"/>
        <w:bottom w:val="none" w:sz="0" w:space="0" w:color="auto"/>
        <w:right w:val="none" w:sz="0" w:space="0" w:color="auto"/>
      </w:divBdr>
      <w:divsChild>
        <w:div w:id="1376852153">
          <w:marLeft w:val="0"/>
          <w:marRight w:val="0"/>
          <w:marTop w:val="0"/>
          <w:marBottom w:val="0"/>
          <w:divBdr>
            <w:top w:val="none" w:sz="0" w:space="0" w:color="auto"/>
            <w:left w:val="none" w:sz="0" w:space="0" w:color="auto"/>
            <w:bottom w:val="none" w:sz="0" w:space="0" w:color="auto"/>
            <w:right w:val="none" w:sz="0" w:space="0" w:color="auto"/>
          </w:divBdr>
          <w:divsChild>
            <w:div w:id="1849757255">
              <w:marLeft w:val="0"/>
              <w:marRight w:val="0"/>
              <w:marTop w:val="0"/>
              <w:marBottom w:val="0"/>
              <w:divBdr>
                <w:top w:val="none" w:sz="0" w:space="0" w:color="auto"/>
                <w:left w:val="none" w:sz="0" w:space="0" w:color="auto"/>
                <w:bottom w:val="none" w:sz="0" w:space="0" w:color="auto"/>
                <w:right w:val="none" w:sz="0" w:space="0" w:color="auto"/>
              </w:divBdr>
              <w:divsChild>
                <w:div w:id="468399318">
                  <w:marLeft w:val="0"/>
                  <w:marRight w:val="0"/>
                  <w:marTop w:val="0"/>
                  <w:marBottom w:val="0"/>
                  <w:divBdr>
                    <w:top w:val="none" w:sz="0" w:space="0" w:color="auto"/>
                    <w:left w:val="none" w:sz="0" w:space="0" w:color="auto"/>
                    <w:bottom w:val="none" w:sz="0" w:space="0" w:color="auto"/>
                    <w:right w:val="none" w:sz="0" w:space="0" w:color="auto"/>
                  </w:divBdr>
                  <w:divsChild>
                    <w:div w:id="1211310970">
                      <w:marLeft w:val="0"/>
                      <w:marRight w:val="0"/>
                      <w:marTop w:val="0"/>
                      <w:marBottom w:val="0"/>
                      <w:divBdr>
                        <w:top w:val="none" w:sz="0" w:space="0" w:color="auto"/>
                        <w:left w:val="none" w:sz="0" w:space="0" w:color="auto"/>
                        <w:bottom w:val="none" w:sz="0" w:space="0" w:color="auto"/>
                        <w:right w:val="none" w:sz="0" w:space="0" w:color="auto"/>
                      </w:divBdr>
                      <w:divsChild>
                        <w:div w:id="88625670">
                          <w:marLeft w:val="0"/>
                          <w:marRight w:val="0"/>
                          <w:marTop w:val="0"/>
                          <w:marBottom w:val="0"/>
                          <w:divBdr>
                            <w:top w:val="none" w:sz="0" w:space="0" w:color="auto"/>
                            <w:left w:val="none" w:sz="0" w:space="0" w:color="auto"/>
                            <w:bottom w:val="none" w:sz="0" w:space="0" w:color="auto"/>
                            <w:right w:val="none" w:sz="0" w:space="0" w:color="auto"/>
                          </w:divBdr>
                          <w:divsChild>
                            <w:div w:id="128598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6626845">
                  <w:marLeft w:val="0"/>
                  <w:marRight w:val="0"/>
                  <w:marTop w:val="0"/>
                  <w:marBottom w:val="0"/>
                  <w:divBdr>
                    <w:top w:val="none" w:sz="0" w:space="0" w:color="auto"/>
                    <w:left w:val="none" w:sz="0" w:space="0" w:color="auto"/>
                    <w:bottom w:val="none" w:sz="0" w:space="0" w:color="auto"/>
                    <w:right w:val="none" w:sz="0" w:space="0" w:color="auto"/>
                  </w:divBdr>
                  <w:divsChild>
                    <w:div w:id="117771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327297">
      <w:bodyDiv w:val="1"/>
      <w:marLeft w:val="0"/>
      <w:marRight w:val="0"/>
      <w:marTop w:val="0"/>
      <w:marBottom w:val="0"/>
      <w:divBdr>
        <w:top w:val="none" w:sz="0" w:space="0" w:color="auto"/>
        <w:left w:val="none" w:sz="0" w:space="0" w:color="auto"/>
        <w:bottom w:val="none" w:sz="0" w:space="0" w:color="auto"/>
        <w:right w:val="none" w:sz="0" w:space="0" w:color="auto"/>
      </w:divBdr>
    </w:div>
    <w:div w:id="224805114">
      <w:bodyDiv w:val="1"/>
      <w:marLeft w:val="0"/>
      <w:marRight w:val="0"/>
      <w:marTop w:val="0"/>
      <w:marBottom w:val="0"/>
      <w:divBdr>
        <w:top w:val="none" w:sz="0" w:space="0" w:color="auto"/>
        <w:left w:val="none" w:sz="0" w:space="0" w:color="auto"/>
        <w:bottom w:val="none" w:sz="0" w:space="0" w:color="auto"/>
        <w:right w:val="none" w:sz="0" w:space="0" w:color="auto"/>
      </w:divBdr>
    </w:div>
    <w:div w:id="240529963">
      <w:bodyDiv w:val="1"/>
      <w:marLeft w:val="0"/>
      <w:marRight w:val="0"/>
      <w:marTop w:val="0"/>
      <w:marBottom w:val="0"/>
      <w:divBdr>
        <w:top w:val="none" w:sz="0" w:space="0" w:color="auto"/>
        <w:left w:val="none" w:sz="0" w:space="0" w:color="auto"/>
        <w:bottom w:val="none" w:sz="0" w:space="0" w:color="auto"/>
        <w:right w:val="none" w:sz="0" w:space="0" w:color="auto"/>
      </w:divBdr>
    </w:div>
    <w:div w:id="249508553">
      <w:bodyDiv w:val="1"/>
      <w:marLeft w:val="0"/>
      <w:marRight w:val="0"/>
      <w:marTop w:val="0"/>
      <w:marBottom w:val="0"/>
      <w:divBdr>
        <w:top w:val="none" w:sz="0" w:space="0" w:color="auto"/>
        <w:left w:val="none" w:sz="0" w:space="0" w:color="auto"/>
        <w:bottom w:val="none" w:sz="0" w:space="0" w:color="auto"/>
        <w:right w:val="none" w:sz="0" w:space="0" w:color="auto"/>
      </w:divBdr>
    </w:div>
    <w:div w:id="253128892">
      <w:bodyDiv w:val="1"/>
      <w:marLeft w:val="0"/>
      <w:marRight w:val="0"/>
      <w:marTop w:val="0"/>
      <w:marBottom w:val="0"/>
      <w:divBdr>
        <w:top w:val="none" w:sz="0" w:space="0" w:color="auto"/>
        <w:left w:val="none" w:sz="0" w:space="0" w:color="auto"/>
        <w:bottom w:val="none" w:sz="0" w:space="0" w:color="auto"/>
        <w:right w:val="none" w:sz="0" w:space="0" w:color="auto"/>
      </w:divBdr>
    </w:div>
    <w:div w:id="261961758">
      <w:bodyDiv w:val="1"/>
      <w:marLeft w:val="0"/>
      <w:marRight w:val="0"/>
      <w:marTop w:val="0"/>
      <w:marBottom w:val="0"/>
      <w:divBdr>
        <w:top w:val="none" w:sz="0" w:space="0" w:color="auto"/>
        <w:left w:val="none" w:sz="0" w:space="0" w:color="auto"/>
        <w:bottom w:val="none" w:sz="0" w:space="0" w:color="auto"/>
        <w:right w:val="none" w:sz="0" w:space="0" w:color="auto"/>
      </w:divBdr>
    </w:div>
    <w:div w:id="281615503">
      <w:bodyDiv w:val="1"/>
      <w:marLeft w:val="0"/>
      <w:marRight w:val="0"/>
      <w:marTop w:val="0"/>
      <w:marBottom w:val="0"/>
      <w:divBdr>
        <w:top w:val="none" w:sz="0" w:space="0" w:color="auto"/>
        <w:left w:val="none" w:sz="0" w:space="0" w:color="auto"/>
        <w:bottom w:val="none" w:sz="0" w:space="0" w:color="auto"/>
        <w:right w:val="none" w:sz="0" w:space="0" w:color="auto"/>
      </w:divBdr>
    </w:div>
    <w:div w:id="283779073">
      <w:bodyDiv w:val="1"/>
      <w:marLeft w:val="0"/>
      <w:marRight w:val="0"/>
      <w:marTop w:val="0"/>
      <w:marBottom w:val="0"/>
      <w:divBdr>
        <w:top w:val="none" w:sz="0" w:space="0" w:color="auto"/>
        <w:left w:val="none" w:sz="0" w:space="0" w:color="auto"/>
        <w:bottom w:val="none" w:sz="0" w:space="0" w:color="auto"/>
        <w:right w:val="none" w:sz="0" w:space="0" w:color="auto"/>
      </w:divBdr>
    </w:div>
    <w:div w:id="289242818">
      <w:bodyDiv w:val="1"/>
      <w:marLeft w:val="0"/>
      <w:marRight w:val="0"/>
      <w:marTop w:val="0"/>
      <w:marBottom w:val="0"/>
      <w:divBdr>
        <w:top w:val="none" w:sz="0" w:space="0" w:color="auto"/>
        <w:left w:val="none" w:sz="0" w:space="0" w:color="auto"/>
        <w:bottom w:val="none" w:sz="0" w:space="0" w:color="auto"/>
        <w:right w:val="none" w:sz="0" w:space="0" w:color="auto"/>
      </w:divBdr>
    </w:div>
    <w:div w:id="297030986">
      <w:bodyDiv w:val="1"/>
      <w:marLeft w:val="0"/>
      <w:marRight w:val="0"/>
      <w:marTop w:val="0"/>
      <w:marBottom w:val="0"/>
      <w:divBdr>
        <w:top w:val="none" w:sz="0" w:space="0" w:color="auto"/>
        <w:left w:val="none" w:sz="0" w:space="0" w:color="auto"/>
        <w:bottom w:val="none" w:sz="0" w:space="0" w:color="auto"/>
        <w:right w:val="none" w:sz="0" w:space="0" w:color="auto"/>
      </w:divBdr>
    </w:div>
    <w:div w:id="299383612">
      <w:bodyDiv w:val="1"/>
      <w:marLeft w:val="0"/>
      <w:marRight w:val="0"/>
      <w:marTop w:val="0"/>
      <w:marBottom w:val="0"/>
      <w:divBdr>
        <w:top w:val="none" w:sz="0" w:space="0" w:color="auto"/>
        <w:left w:val="none" w:sz="0" w:space="0" w:color="auto"/>
        <w:bottom w:val="none" w:sz="0" w:space="0" w:color="auto"/>
        <w:right w:val="none" w:sz="0" w:space="0" w:color="auto"/>
      </w:divBdr>
    </w:div>
    <w:div w:id="308100693">
      <w:bodyDiv w:val="1"/>
      <w:marLeft w:val="0"/>
      <w:marRight w:val="0"/>
      <w:marTop w:val="0"/>
      <w:marBottom w:val="0"/>
      <w:divBdr>
        <w:top w:val="none" w:sz="0" w:space="0" w:color="auto"/>
        <w:left w:val="none" w:sz="0" w:space="0" w:color="auto"/>
        <w:bottom w:val="none" w:sz="0" w:space="0" w:color="auto"/>
        <w:right w:val="none" w:sz="0" w:space="0" w:color="auto"/>
      </w:divBdr>
      <w:divsChild>
        <w:div w:id="400250985">
          <w:marLeft w:val="0"/>
          <w:marRight w:val="0"/>
          <w:marTop w:val="0"/>
          <w:marBottom w:val="0"/>
          <w:divBdr>
            <w:top w:val="none" w:sz="0" w:space="0" w:color="auto"/>
            <w:left w:val="none" w:sz="0" w:space="0" w:color="auto"/>
            <w:bottom w:val="none" w:sz="0" w:space="0" w:color="auto"/>
            <w:right w:val="none" w:sz="0" w:space="0" w:color="auto"/>
          </w:divBdr>
          <w:divsChild>
            <w:div w:id="157963521">
              <w:marLeft w:val="0"/>
              <w:marRight w:val="0"/>
              <w:marTop w:val="0"/>
              <w:marBottom w:val="0"/>
              <w:divBdr>
                <w:top w:val="none" w:sz="0" w:space="0" w:color="auto"/>
                <w:left w:val="none" w:sz="0" w:space="0" w:color="auto"/>
                <w:bottom w:val="none" w:sz="0" w:space="0" w:color="auto"/>
                <w:right w:val="none" w:sz="0" w:space="0" w:color="auto"/>
              </w:divBdr>
              <w:divsChild>
                <w:div w:id="2096394044">
                  <w:marLeft w:val="0"/>
                  <w:marRight w:val="0"/>
                  <w:marTop w:val="0"/>
                  <w:marBottom w:val="0"/>
                  <w:divBdr>
                    <w:top w:val="none" w:sz="0" w:space="0" w:color="auto"/>
                    <w:left w:val="none" w:sz="0" w:space="0" w:color="auto"/>
                    <w:bottom w:val="none" w:sz="0" w:space="0" w:color="auto"/>
                    <w:right w:val="none" w:sz="0" w:space="0" w:color="auto"/>
                  </w:divBdr>
                  <w:divsChild>
                    <w:div w:id="2095470775">
                      <w:marLeft w:val="0"/>
                      <w:marRight w:val="0"/>
                      <w:marTop w:val="0"/>
                      <w:marBottom w:val="0"/>
                      <w:divBdr>
                        <w:top w:val="none" w:sz="0" w:space="0" w:color="auto"/>
                        <w:left w:val="none" w:sz="0" w:space="0" w:color="auto"/>
                        <w:bottom w:val="none" w:sz="0" w:space="0" w:color="auto"/>
                        <w:right w:val="none" w:sz="0" w:space="0" w:color="auto"/>
                      </w:divBdr>
                      <w:divsChild>
                        <w:div w:id="785582197">
                          <w:marLeft w:val="0"/>
                          <w:marRight w:val="0"/>
                          <w:marTop w:val="0"/>
                          <w:marBottom w:val="0"/>
                          <w:divBdr>
                            <w:top w:val="none" w:sz="0" w:space="0" w:color="auto"/>
                            <w:left w:val="none" w:sz="0" w:space="0" w:color="auto"/>
                            <w:bottom w:val="none" w:sz="0" w:space="0" w:color="auto"/>
                            <w:right w:val="none" w:sz="0" w:space="0" w:color="auto"/>
                          </w:divBdr>
                          <w:divsChild>
                            <w:div w:id="391656773">
                              <w:marLeft w:val="0"/>
                              <w:marRight w:val="0"/>
                              <w:marTop w:val="0"/>
                              <w:marBottom w:val="0"/>
                              <w:divBdr>
                                <w:top w:val="none" w:sz="0" w:space="0" w:color="auto"/>
                                <w:left w:val="none" w:sz="0" w:space="0" w:color="auto"/>
                                <w:bottom w:val="none" w:sz="0" w:space="0" w:color="auto"/>
                                <w:right w:val="none" w:sz="0" w:space="0" w:color="auto"/>
                              </w:divBdr>
                              <w:divsChild>
                                <w:div w:id="1827356076">
                                  <w:marLeft w:val="0"/>
                                  <w:marRight w:val="0"/>
                                  <w:marTop w:val="0"/>
                                  <w:marBottom w:val="0"/>
                                  <w:divBdr>
                                    <w:top w:val="none" w:sz="0" w:space="0" w:color="auto"/>
                                    <w:left w:val="none" w:sz="0" w:space="0" w:color="auto"/>
                                    <w:bottom w:val="none" w:sz="0" w:space="0" w:color="auto"/>
                                    <w:right w:val="none" w:sz="0" w:space="0" w:color="auto"/>
                                  </w:divBdr>
                                  <w:divsChild>
                                    <w:div w:id="462037814">
                                      <w:marLeft w:val="0"/>
                                      <w:marRight w:val="0"/>
                                      <w:marTop w:val="0"/>
                                      <w:marBottom w:val="0"/>
                                      <w:divBdr>
                                        <w:top w:val="none" w:sz="0" w:space="0" w:color="auto"/>
                                        <w:left w:val="none" w:sz="0" w:space="0" w:color="auto"/>
                                        <w:bottom w:val="none" w:sz="0" w:space="0" w:color="auto"/>
                                        <w:right w:val="none" w:sz="0" w:space="0" w:color="auto"/>
                                      </w:divBdr>
                                      <w:divsChild>
                                        <w:div w:id="343099183">
                                          <w:marLeft w:val="0"/>
                                          <w:marRight w:val="0"/>
                                          <w:marTop w:val="0"/>
                                          <w:marBottom w:val="0"/>
                                          <w:divBdr>
                                            <w:top w:val="none" w:sz="0" w:space="0" w:color="auto"/>
                                            <w:left w:val="none" w:sz="0" w:space="0" w:color="auto"/>
                                            <w:bottom w:val="none" w:sz="0" w:space="0" w:color="auto"/>
                                            <w:right w:val="none" w:sz="0" w:space="0" w:color="auto"/>
                                          </w:divBdr>
                                          <w:divsChild>
                                            <w:div w:id="263420306">
                                              <w:marLeft w:val="0"/>
                                              <w:marRight w:val="0"/>
                                              <w:marTop w:val="0"/>
                                              <w:marBottom w:val="0"/>
                                              <w:divBdr>
                                                <w:top w:val="none" w:sz="0" w:space="0" w:color="auto"/>
                                                <w:left w:val="none" w:sz="0" w:space="0" w:color="auto"/>
                                                <w:bottom w:val="none" w:sz="0" w:space="0" w:color="auto"/>
                                                <w:right w:val="none" w:sz="0" w:space="0" w:color="auto"/>
                                              </w:divBdr>
                                              <w:divsChild>
                                                <w:div w:id="2056849435">
                                                  <w:marLeft w:val="0"/>
                                                  <w:marRight w:val="0"/>
                                                  <w:marTop w:val="0"/>
                                                  <w:marBottom w:val="0"/>
                                                  <w:divBdr>
                                                    <w:top w:val="none" w:sz="0" w:space="0" w:color="auto"/>
                                                    <w:left w:val="none" w:sz="0" w:space="0" w:color="auto"/>
                                                    <w:bottom w:val="none" w:sz="0" w:space="0" w:color="auto"/>
                                                    <w:right w:val="none" w:sz="0" w:space="0" w:color="auto"/>
                                                  </w:divBdr>
                                                  <w:divsChild>
                                                    <w:div w:id="2125994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862945">
                                          <w:marLeft w:val="0"/>
                                          <w:marRight w:val="0"/>
                                          <w:marTop w:val="0"/>
                                          <w:marBottom w:val="0"/>
                                          <w:divBdr>
                                            <w:top w:val="none" w:sz="0" w:space="0" w:color="auto"/>
                                            <w:left w:val="none" w:sz="0" w:space="0" w:color="auto"/>
                                            <w:bottom w:val="none" w:sz="0" w:space="0" w:color="auto"/>
                                            <w:right w:val="none" w:sz="0" w:space="0" w:color="auto"/>
                                          </w:divBdr>
                                          <w:divsChild>
                                            <w:div w:id="409356159">
                                              <w:marLeft w:val="0"/>
                                              <w:marRight w:val="0"/>
                                              <w:marTop w:val="0"/>
                                              <w:marBottom w:val="0"/>
                                              <w:divBdr>
                                                <w:top w:val="none" w:sz="0" w:space="0" w:color="auto"/>
                                                <w:left w:val="none" w:sz="0" w:space="0" w:color="auto"/>
                                                <w:bottom w:val="none" w:sz="0" w:space="0" w:color="auto"/>
                                                <w:right w:val="none" w:sz="0" w:space="0" w:color="auto"/>
                                              </w:divBdr>
                                              <w:divsChild>
                                                <w:div w:id="1999532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50203501">
          <w:marLeft w:val="0"/>
          <w:marRight w:val="0"/>
          <w:marTop w:val="0"/>
          <w:marBottom w:val="0"/>
          <w:divBdr>
            <w:top w:val="none" w:sz="0" w:space="0" w:color="auto"/>
            <w:left w:val="none" w:sz="0" w:space="0" w:color="auto"/>
            <w:bottom w:val="none" w:sz="0" w:space="0" w:color="auto"/>
            <w:right w:val="none" w:sz="0" w:space="0" w:color="auto"/>
          </w:divBdr>
          <w:divsChild>
            <w:div w:id="913047913">
              <w:marLeft w:val="0"/>
              <w:marRight w:val="0"/>
              <w:marTop w:val="0"/>
              <w:marBottom w:val="0"/>
              <w:divBdr>
                <w:top w:val="none" w:sz="0" w:space="0" w:color="auto"/>
                <w:left w:val="none" w:sz="0" w:space="0" w:color="auto"/>
                <w:bottom w:val="none" w:sz="0" w:space="0" w:color="auto"/>
                <w:right w:val="none" w:sz="0" w:space="0" w:color="auto"/>
              </w:divBdr>
              <w:divsChild>
                <w:div w:id="1069961390">
                  <w:marLeft w:val="0"/>
                  <w:marRight w:val="0"/>
                  <w:marTop w:val="0"/>
                  <w:marBottom w:val="0"/>
                  <w:divBdr>
                    <w:top w:val="none" w:sz="0" w:space="0" w:color="auto"/>
                    <w:left w:val="none" w:sz="0" w:space="0" w:color="auto"/>
                    <w:bottom w:val="none" w:sz="0" w:space="0" w:color="auto"/>
                    <w:right w:val="none" w:sz="0" w:space="0" w:color="auto"/>
                  </w:divBdr>
                </w:div>
              </w:divsChild>
            </w:div>
            <w:div w:id="2107574177">
              <w:marLeft w:val="0"/>
              <w:marRight w:val="0"/>
              <w:marTop w:val="0"/>
              <w:marBottom w:val="0"/>
              <w:divBdr>
                <w:top w:val="none" w:sz="0" w:space="0" w:color="auto"/>
                <w:left w:val="none" w:sz="0" w:space="0" w:color="auto"/>
                <w:bottom w:val="none" w:sz="0" w:space="0" w:color="auto"/>
                <w:right w:val="none" w:sz="0" w:space="0" w:color="auto"/>
              </w:divBdr>
              <w:divsChild>
                <w:div w:id="1465192893">
                  <w:marLeft w:val="0"/>
                  <w:marRight w:val="0"/>
                  <w:marTop w:val="0"/>
                  <w:marBottom w:val="0"/>
                  <w:divBdr>
                    <w:top w:val="none" w:sz="0" w:space="0" w:color="auto"/>
                    <w:left w:val="none" w:sz="0" w:space="0" w:color="auto"/>
                    <w:bottom w:val="none" w:sz="0" w:space="0" w:color="auto"/>
                    <w:right w:val="none" w:sz="0" w:space="0" w:color="auto"/>
                  </w:divBdr>
                  <w:divsChild>
                    <w:div w:id="1446077796">
                      <w:marLeft w:val="0"/>
                      <w:marRight w:val="0"/>
                      <w:marTop w:val="0"/>
                      <w:marBottom w:val="0"/>
                      <w:divBdr>
                        <w:top w:val="none" w:sz="0" w:space="0" w:color="auto"/>
                        <w:left w:val="none" w:sz="0" w:space="0" w:color="auto"/>
                        <w:bottom w:val="none" w:sz="0" w:space="0" w:color="auto"/>
                        <w:right w:val="none" w:sz="0" w:space="0" w:color="auto"/>
                      </w:divBdr>
                      <w:divsChild>
                        <w:div w:id="271323836">
                          <w:marLeft w:val="0"/>
                          <w:marRight w:val="0"/>
                          <w:marTop w:val="0"/>
                          <w:marBottom w:val="0"/>
                          <w:divBdr>
                            <w:top w:val="none" w:sz="0" w:space="0" w:color="auto"/>
                            <w:left w:val="none" w:sz="0" w:space="0" w:color="auto"/>
                            <w:bottom w:val="none" w:sz="0" w:space="0" w:color="auto"/>
                            <w:right w:val="none" w:sz="0" w:space="0" w:color="auto"/>
                          </w:divBdr>
                          <w:divsChild>
                            <w:div w:id="976760379">
                              <w:marLeft w:val="0"/>
                              <w:marRight w:val="0"/>
                              <w:marTop w:val="0"/>
                              <w:marBottom w:val="0"/>
                              <w:divBdr>
                                <w:top w:val="none" w:sz="0" w:space="0" w:color="auto"/>
                                <w:left w:val="none" w:sz="0" w:space="0" w:color="auto"/>
                                <w:bottom w:val="none" w:sz="0" w:space="0" w:color="auto"/>
                                <w:right w:val="none" w:sz="0" w:space="0" w:color="auto"/>
                              </w:divBdr>
                              <w:divsChild>
                                <w:div w:id="981498183">
                                  <w:marLeft w:val="0"/>
                                  <w:marRight w:val="0"/>
                                  <w:marTop w:val="0"/>
                                  <w:marBottom w:val="0"/>
                                  <w:divBdr>
                                    <w:top w:val="none" w:sz="0" w:space="0" w:color="auto"/>
                                    <w:left w:val="none" w:sz="0" w:space="0" w:color="auto"/>
                                    <w:bottom w:val="none" w:sz="0" w:space="0" w:color="auto"/>
                                    <w:right w:val="none" w:sz="0" w:space="0" w:color="auto"/>
                                  </w:divBdr>
                                  <w:divsChild>
                                    <w:div w:id="1156067092">
                                      <w:marLeft w:val="0"/>
                                      <w:marRight w:val="0"/>
                                      <w:marTop w:val="0"/>
                                      <w:marBottom w:val="0"/>
                                      <w:divBdr>
                                        <w:top w:val="none" w:sz="0" w:space="0" w:color="auto"/>
                                        <w:left w:val="none" w:sz="0" w:space="0" w:color="auto"/>
                                        <w:bottom w:val="none" w:sz="0" w:space="0" w:color="auto"/>
                                        <w:right w:val="none" w:sz="0" w:space="0" w:color="auto"/>
                                      </w:divBdr>
                                      <w:divsChild>
                                        <w:div w:id="943927408">
                                          <w:marLeft w:val="0"/>
                                          <w:marRight w:val="0"/>
                                          <w:marTop w:val="0"/>
                                          <w:marBottom w:val="0"/>
                                          <w:divBdr>
                                            <w:top w:val="none" w:sz="0" w:space="0" w:color="auto"/>
                                            <w:left w:val="none" w:sz="0" w:space="0" w:color="auto"/>
                                            <w:bottom w:val="none" w:sz="0" w:space="0" w:color="auto"/>
                                            <w:right w:val="none" w:sz="0" w:space="0" w:color="auto"/>
                                          </w:divBdr>
                                          <w:divsChild>
                                            <w:div w:id="518548352">
                                              <w:marLeft w:val="0"/>
                                              <w:marRight w:val="0"/>
                                              <w:marTop w:val="0"/>
                                              <w:marBottom w:val="0"/>
                                              <w:divBdr>
                                                <w:top w:val="none" w:sz="0" w:space="0" w:color="auto"/>
                                                <w:left w:val="none" w:sz="0" w:space="0" w:color="auto"/>
                                                <w:bottom w:val="none" w:sz="0" w:space="0" w:color="auto"/>
                                                <w:right w:val="none" w:sz="0" w:space="0" w:color="auto"/>
                                              </w:divBdr>
                                              <w:divsChild>
                                                <w:div w:id="643462240">
                                                  <w:marLeft w:val="0"/>
                                                  <w:marRight w:val="0"/>
                                                  <w:marTop w:val="0"/>
                                                  <w:marBottom w:val="0"/>
                                                  <w:divBdr>
                                                    <w:top w:val="none" w:sz="0" w:space="0" w:color="auto"/>
                                                    <w:left w:val="none" w:sz="0" w:space="0" w:color="auto"/>
                                                    <w:bottom w:val="none" w:sz="0" w:space="0" w:color="auto"/>
                                                    <w:right w:val="none" w:sz="0" w:space="0" w:color="auto"/>
                                                  </w:divBdr>
                                                  <w:divsChild>
                                                    <w:div w:id="1351906640">
                                                      <w:marLeft w:val="0"/>
                                                      <w:marRight w:val="0"/>
                                                      <w:marTop w:val="0"/>
                                                      <w:marBottom w:val="0"/>
                                                      <w:divBdr>
                                                        <w:top w:val="none" w:sz="0" w:space="0" w:color="auto"/>
                                                        <w:left w:val="none" w:sz="0" w:space="0" w:color="auto"/>
                                                        <w:bottom w:val="none" w:sz="0" w:space="0" w:color="auto"/>
                                                        <w:right w:val="none" w:sz="0" w:space="0" w:color="auto"/>
                                                      </w:divBdr>
                                                      <w:divsChild>
                                                        <w:div w:id="150147309">
                                                          <w:marLeft w:val="0"/>
                                                          <w:marRight w:val="0"/>
                                                          <w:marTop w:val="0"/>
                                                          <w:marBottom w:val="0"/>
                                                          <w:divBdr>
                                                            <w:top w:val="none" w:sz="0" w:space="0" w:color="auto"/>
                                                            <w:left w:val="none" w:sz="0" w:space="0" w:color="auto"/>
                                                            <w:bottom w:val="none" w:sz="0" w:space="0" w:color="auto"/>
                                                            <w:right w:val="none" w:sz="0" w:space="0" w:color="auto"/>
                                                          </w:divBdr>
                                                          <w:divsChild>
                                                            <w:div w:id="1292715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019330">
                                                  <w:marLeft w:val="0"/>
                                                  <w:marRight w:val="0"/>
                                                  <w:marTop w:val="0"/>
                                                  <w:marBottom w:val="0"/>
                                                  <w:divBdr>
                                                    <w:top w:val="none" w:sz="0" w:space="0" w:color="auto"/>
                                                    <w:left w:val="none" w:sz="0" w:space="0" w:color="auto"/>
                                                    <w:bottom w:val="none" w:sz="0" w:space="0" w:color="auto"/>
                                                    <w:right w:val="none" w:sz="0" w:space="0" w:color="auto"/>
                                                  </w:divBdr>
                                                  <w:divsChild>
                                                    <w:div w:id="1235239936">
                                                      <w:marLeft w:val="0"/>
                                                      <w:marRight w:val="0"/>
                                                      <w:marTop w:val="0"/>
                                                      <w:marBottom w:val="0"/>
                                                      <w:divBdr>
                                                        <w:top w:val="none" w:sz="0" w:space="0" w:color="auto"/>
                                                        <w:left w:val="none" w:sz="0" w:space="0" w:color="auto"/>
                                                        <w:bottom w:val="none" w:sz="0" w:space="0" w:color="auto"/>
                                                        <w:right w:val="none" w:sz="0" w:space="0" w:color="auto"/>
                                                      </w:divBdr>
                                                      <w:divsChild>
                                                        <w:div w:id="365378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098858">
                                                  <w:marLeft w:val="0"/>
                                                  <w:marRight w:val="0"/>
                                                  <w:marTop w:val="0"/>
                                                  <w:marBottom w:val="0"/>
                                                  <w:divBdr>
                                                    <w:top w:val="none" w:sz="0" w:space="0" w:color="auto"/>
                                                    <w:left w:val="none" w:sz="0" w:space="0" w:color="auto"/>
                                                    <w:bottom w:val="none" w:sz="0" w:space="0" w:color="auto"/>
                                                    <w:right w:val="none" w:sz="0" w:space="0" w:color="auto"/>
                                                  </w:divBdr>
                                                  <w:divsChild>
                                                    <w:div w:id="1411080812">
                                                      <w:marLeft w:val="0"/>
                                                      <w:marRight w:val="0"/>
                                                      <w:marTop w:val="0"/>
                                                      <w:marBottom w:val="0"/>
                                                      <w:divBdr>
                                                        <w:top w:val="none" w:sz="0" w:space="0" w:color="auto"/>
                                                        <w:left w:val="none" w:sz="0" w:space="0" w:color="auto"/>
                                                        <w:bottom w:val="none" w:sz="0" w:space="0" w:color="auto"/>
                                                        <w:right w:val="none" w:sz="0" w:space="0" w:color="auto"/>
                                                      </w:divBdr>
                                                      <w:divsChild>
                                                        <w:div w:id="1008168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9439657">
                                      <w:marLeft w:val="0"/>
                                      <w:marRight w:val="0"/>
                                      <w:marTop w:val="0"/>
                                      <w:marBottom w:val="0"/>
                                      <w:divBdr>
                                        <w:top w:val="none" w:sz="0" w:space="0" w:color="auto"/>
                                        <w:left w:val="none" w:sz="0" w:space="0" w:color="auto"/>
                                        <w:bottom w:val="none" w:sz="0" w:space="0" w:color="auto"/>
                                        <w:right w:val="none" w:sz="0" w:space="0" w:color="auto"/>
                                      </w:divBdr>
                                      <w:divsChild>
                                        <w:div w:id="1745376501">
                                          <w:marLeft w:val="0"/>
                                          <w:marRight w:val="0"/>
                                          <w:marTop w:val="0"/>
                                          <w:marBottom w:val="0"/>
                                          <w:divBdr>
                                            <w:top w:val="none" w:sz="0" w:space="0" w:color="auto"/>
                                            <w:left w:val="none" w:sz="0" w:space="0" w:color="auto"/>
                                            <w:bottom w:val="none" w:sz="0" w:space="0" w:color="auto"/>
                                            <w:right w:val="none" w:sz="0" w:space="0" w:color="auto"/>
                                          </w:divBdr>
                                          <w:divsChild>
                                            <w:div w:id="1658606884">
                                              <w:marLeft w:val="0"/>
                                              <w:marRight w:val="0"/>
                                              <w:marTop w:val="0"/>
                                              <w:marBottom w:val="0"/>
                                              <w:divBdr>
                                                <w:top w:val="none" w:sz="0" w:space="0" w:color="auto"/>
                                                <w:left w:val="none" w:sz="0" w:space="0" w:color="auto"/>
                                                <w:bottom w:val="none" w:sz="0" w:space="0" w:color="auto"/>
                                                <w:right w:val="none" w:sz="0" w:space="0" w:color="auto"/>
                                              </w:divBdr>
                                              <w:divsChild>
                                                <w:div w:id="887110666">
                                                  <w:marLeft w:val="0"/>
                                                  <w:marRight w:val="0"/>
                                                  <w:marTop w:val="0"/>
                                                  <w:marBottom w:val="0"/>
                                                  <w:divBdr>
                                                    <w:top w:val="none" w:sz="0" w:space="0" w:color="auto"/>
                                                    <w:left w:val="none" w:sz="0" w:space="0" w:color="auto"/>
                                                    <w:bottom w:val="none" w:sz="0" w:space="0" w:color="auto"/>
                                                    <w:right w:val="none" w:sz="0" w:space="0" w:color="auto"/>
                                                  </w:divBdr>
                                                  <w:divsChild>
                                                    <w:div w:id="1478911818">
                                                      <w:marLeft w:val="0"/>
                                                      <w:marRight w:val="0"/>
                                                      <w:marTop w:val="0"/>
                                                      <w:marBottom w:val="0"/>
                                                      <w:divBdr>
                                                        <w:top w:val="none" w:sz="0" w:space="0" w:color="auto"/>
                                                        <w:left w:val="none" w:sz="0" w:space="0" w:color="auto"/>
                                                        <w:bottom w:val="none" w:sz="0" w:space="0" w:color="auto"/>
                                                        <w:right w:val="none" w:sz="0" w:space="0" w:color="auto"/>
                                                      </w:divBdr>
                                                      <w:divsChild>
                                                        <w:div w:id="1642731691">
                                                          <w:marLeft w:val="0"/>
                                                          <w:marRight w:val="0"/>
                                                          <w:marTop w:val="0"/>
                                                          <w:marBottom w:val="0"/>
                                                          <w:divBdr>
                                                            <w:top w:val="none" w:sz="0" w:space="0" w:color="auto"/>
                                                            <w:left w:val="none" w:sz="0" w:space="0" w:color="auto"/>
                                                            <w:bottom w:val="none" w:sz="0" w:space="0" w:color="auto"/>
                                                            <w:right w:val="none" w:sz="0" w:space="0" w:color="auto"/>
                                                          </w:divBdr>
                                                          <w:divsChild>
                                                            <w:div w:id="2009821948">
                                                              <w:marLeft w:val="0"/>
                                                              <w:marRight w:val="0"/>
                                                              <w:marTop w:val="0"/>
                                                              <w:marBottom w:val="0"/>
                                                              <w:divBdr>
                                                                <w:top w:val="none" w:sz="0" w:space="0" w:color="auto"/>
                                                                <w:left w:val="none" w:sz="0" w:space="0" w:color="auto"/>
                                                                <w:bottom w:val="none" w:sz="0" w:space="0" w:color="auto"/>
                                                                <w:right w:val="none" w:sz="0" w:space="0" w:color="auto"/>
                                                              </w:divBdr>
                                                              <w:divsChild>
                                                                <w:div w:id="1552182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312492701">
      <w:bodyDiv w:val="1"/>
      <w:marLeft w:val="0"/>
      <w:marRight w:val="0"/>
      <w:marTop w:val="0"/>
      <w:marBottom w:val="0"/>
      <w:divBdr>
        <w:top w:val="none" w:sz="0" w:space="0" w:color="auto"/>
        <w:left w:val="none" w:sz="0" w:space="0" w:color="auto"/>
        <w:bottom w:val="none" w:sz="0" w:space="0" w:color="auto"/>
        <w:right w:val="none" w:sz="0" w:space="0" w:color="auto"/>
      </w:divBdr>
      <w:divsChild>
        <w:div w:id="1993093824">
          <w:marLeft w:val="0"/>
          <w:marRight w:val="0"/>
          <w:marTop w:val="0"/>
          <w:marBottom w:val="0"/>
          <w:divBdr>
            <w:top w:val="none" w:sz="0" w:space="0" w:color="auto"/>
            <w:left w:val="none" w:sz="0" w:space="0" w:color="auto"/>
            <w:bottom w:val="none" w:sz="0" w:space="0" w:color="auto"/>
            <w:right w:val="none" w:sz="0" w:space="0" w:color="auto"/>
          </w:divBdr>
          <w:divsChild>
            <w:div w:id="1530486287">
              <w:marLeft w:val="0"/>
              <w:marRight w:val="0"/>
              <w:marTop w:val="0"/>
              <w:marBottom w:val="0"/>
              <w:divBdr>
                <w:top w:val="none" w:sz="0" w:space="0" w:color="auto"/>
                <w:left w:val="none" w:sz="0" w:space="0" w:color="auto"/>
                <w:bottom w:val="none" w:sz="0" w:space="0" w:color="auto"/>
                <w:right w:val="none" w:sz="0" w:space="0" w:color="auto"/>
              </w:divBdr>
              <w:divsChild>
                <w:div w:id="1455292512">
                  <w:marLeft w:val="0"/>
                  <w:marRight w:val="0"/>
                  <w:marTop w:val="0"/>
                  <w:marBottom w:val="0"/>
                  <w:divBdr>
                    <w:top w:val="none" w:sz="0" w:space="0" w:color="auto"/>
                    <w:left w:val="none" w:sz="0" w:space="0" w:color="auto"/>
                    <w:bottom w:val="none" w:sz="0" w:space="0" w:color="auto"/>
                    <w:right w:val="none" w:sz="0" w:space="0" w:color="auto"/>
                  </w:divBdr>
                  <w:divsChild>
                    <w:div w:id="1942488467">
                      <w:marLeft w:val="0"/>
                      <w:marRight w:val="0"/>
                      <w:marTop w:val="0"/>
                      <w:marBottom w:val="0"/>
                      <w:divBdr>
                        <w:top w:val="none" w:sz="0" w:space="0" w:color="auto"/>
                        <w:left w:val="none" w:sz="0" w:space="0" w:color="auto"/>
                        <w:bottom w:val="none" w:sz="0" w:space="0" w:color="auto"/>
                        <w:right w:val="none" w:sz="0" w:space="0" w:color="auto"/>
                      </w:divBdr>
                      <w:divsChild>
                        <w:div w:id="67383005">
                          <w:marLeft w:val="0"/>
                          <w:marRight w:val="0"/>
                          <w:marTop w:val="0"/>
                          <w:marBottom w:val="0"/>
                          <w:divBdr>
                            <w:top w:val="none" w:sz="0" w:space="0" w:color="auto"/>
                            <w:left w:val="none" w:sz="0" w:space="0" w:color="auto"/>
                            <w:bottom w:val="none" w:sz="0" w:space="0" w:color="auto"/>
                            <w:right w:val="none" w:sz="0" w:space="0" w:color="auto"/>
                          </w:divBdr>
                          <w:divsChild>
                            <w:div w:id="526331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5322206">
      <w:bodyDiv w:val="1"/>
      <w:marLeft w:val="0"/>
      <w:marRight w:val="0"/>
      <w:marTop w:val="0"/>
      <w:marBottom w:val="0"/>
      <w:divBdr>
        <w:top w:val="none" w:sz="0" w:space="0" w:color="auto"/>
        <w:left w:val="none" w:sz="0" w:space="0" w:color="auto"/>
        <w:bottom w:val="none" w:sz="0" w:space="0" w:color="auto"/>
        <w:right w:val="none" w:sz="0" w:space="0" w:color="auto"/>
      </w:divBdr>
    </w:div>
    <w:div w:id="325979163">
      <w:bodyDiv w:val="1"/>
      <w:marLeft w:val="0"/>
      <w:marRight w:val="0"/>
      <w:marTop w:val="0"/>
      <w:marBottom w:val="0"/>
      <w:divBdr>
        <w:top w:val="none" w:sz="0" w:space="0" w:color="auto"/>
        <w:left w:val="none" w:sz="0" w:space="0" w:color="auto"/>
        <w:bottom w:val="none" w:sz="0" w:space="0" w:color="auto"/>
        <w:right w:val="none" w:sz="0" w:space="0" w:color="auto"/>
      </w:divBdr>
    </w:div>
    <w:div w:id="336538336">
      <w:bodyDiv w:val="1"/>
      <w:marLeft w:val="0"/>
      <w:marRight w:val="0"/>
      <w:marTop w:val="0"/>
      <w:marBottom w:val="0"/>
      <w:divBdr>
        <w:top w:val="none" w:sz="0" w:space="0" w:color="auto"/>
        <w:left w:val="none" w:sz="0" w:space="0" w:color="auto"/>
        <w:bottom w:val="none" w:sz="0" w:space="0" w:color="auto"/>
        <w:right w:val="none" w:sz="0" w:space="0" w:color="auto"/>
      </w:divBdr>
    </w:div>
    <w:div w:id="348412144">
      <w:bodyDiv w:val="1"/>
      <w:marLeft w:val="0"/>
      <w:marRight w:val="0"/>
      <w:marTop w:val="0"/>
      <w:marBottom w:val="0"/>
      <w:divBdr>
        <w:top w:val="none" w:sz="0" w:space="0" w:color="auto"/>
        <w:left w:val="none" w:sz="0" w:space="0" w:color="auto"/>
        <w:bottom w:val="none" w:sz="0" w:space="0" w:color="auto"/>
        <w:right w:val="none" w:sz="0" w:space="0" w:color="auto"/>
      </w:divBdr>
    </w:div>
    <w:div w:id="349527286">
      <w:bodyDiv w:val="1"/>
      <w:marLeft w:val="0"/>
      <w:marRight w:val="0"/>
      <w:marTop w:val="0"/>
      <w:marBottom w:val="0"/>
      <w:divBdr>
        <w:top w:val="none" w:sz="0" w:space="0" w:color="auto"/>
        <w:left w:val="none" w:sz="0" w:space="0" w:color="auto"/>
        <w:bottom w:val="none" w:sz="0" w:space="0" w:color="auto"/>
        <w:right w:val="none" w:sz="0" w:space="0" w:color="auto"/>
      </w:divBdr>
    </w:div>
    <w:div w:id="356588497">
      <w:bodyDiv w:val="1"/>
      <w:marLeft w:val="0"/>
      <w:marRight w:val="0"/>
      <w:marTop w:val="0"/>
      <w:marBottom w:val="0"/>
      <w:divBdr>
        <w:top w:val="none" w:sz="0" w:space="0" w:color="auto"/>
        <w:left w:val="none" w:sz="0" w:space="0" w:color="auto"/>
        <w:bottom w:val="none" w:sz="0" w:space="0" w:color="auto"/>
        <w:right w:val="none" w:sz="0" w:space="0" w:color="auto"/>
      </w:divBdr>
    </w:div>
    <w:div w:id="363093764">
      <w:bodyDiv w:val="1"/>
      <w:marLeft w:val="0"/>
      <w:marRight w:val="0"/>
      <w:marTop w:val="0"/>
      <w:marBottom w:val="0"/>
      <w:divBdr>
        <w:top w:val="none" w:sz="0" w:space="0" w:color="auto"/>
        <w:left w:val="none" w:sz="0" w:space="0" w:color="auto"/>
        <w:bottom w:val="none" w:sz="0" w:space="0" w:color="auto"/>
        <w:right w:val="none" w:sz="0" w:space="0" w:color="auto"/>
      </w:divBdr>
    </w:div>
    <w:div w:id="366368068">
      <w:bodyDiv w:val="1"/>
      <w:marLeft w:val="0"/>
      <w:marRight w:val="0"/>
      <w:marTop w:val="0"/>
      <w:marBottom w:val="0"/>
      <w:divBdr>
        <w:top w:val="none" w:sz="0" w:space="0" w:color="auto"/>
        <w:left w:val="none" w:sz="0" w:space="0" w:color="auto"/>
        <w:bottom w:val="none" w:sz="0" w:space="0" w:color="auto"/>
        <w:right w:val="none" w:sz="0" w:space="0" w:color="auto"/>
      </w:divBdr>
    </w:div>
    <w:div w:id="369040995">
      <w:bodyDiv w:val="1"/>
      <w:marLeft w:val="0"/>
      <w:marRight w:val="0"/>
      <w:marTop w:val="0"/>
      <w:marBottom w:val="0"/>
      <w:divBdr>
        <w:top w:val="none" w:sz="0" w:space="0" w:color="auto"/>
        <w:left w:val="none" w:sz="0" w:space="0" w:color="auto"/>
        <w:bottom w:val="none" w:sz="0" w:space="0" w:color="auto"/>
        <w:right w:val="none" w:sz="0" w:space="0" w:color="auto"/>
      </w:divBdr>
    </w:div>
    <w:div w:id="371735574">
      <w:bodyDiv w:val="1"/>
      <w:marLeft w:val="0"/>
      <w:marRight w:val="0"/>
      <w:marTop w:val="0"/>
      <w:marBottom w:val="0"/>
      <w:divBdr>
        <w:top w:val="none" w:sz="0" w:space="0" w:color="auto"/>
        <w:left w:val="none" w:sz="0" w:space="0" w:color="auto"/>
        <w:bottom w:val="none" w:sz="0" w:space="0" w:color="auto"/>
        <w:right w:val="none" w:sz="0" w:space="0" w:color="auto"/>
      </w:divBdr>
    </w:div>
    <w:div w:id="377633701">
      <w:bodyDiv w:val="1"/>
      <w:marLeft w:val="0"/>
      <w:marRight w:val="0"/>
      <w:marTop w:val="0"/>
      <w:marBottom w:val="0"/>
      <w:divBdr>
        <w:top w:val="none" w:sz="0" w:space="0" w:color="auto"/>
        <w:left w:val="none" w:sz="0" w:space="0" w:color="auto"/>
        <w:bottom w:val="none" w:sz="0" w:space="0" w:color="auto"/>
        <w:right w:val="none" w:sz="0" w:space="0" w:color="auto"/>
      </w:divBdr>
    </w:div>
    <w:div w:id="379061191">
      <w:bodyDiv w:val="1"/>
      <w:marLeft w:val="0"/>
      <w:marRight w:val="0"/>
      <w:marTop w:val="0"/>
      <w:marBottom w:val="0"/>
      <w:divBdr>
        <w:top w:val="none" w:sz="0" w:space="0" w:color="auto"/>
        <w:left w:val="none" w:sz="0" w:space="0" w:color="auto"/>
        <w:bottom w:val="none" w:sz="0" w:space="0" w:color="auto"/>
        <w:right w:val="none" w:sz="0" w:space="0" w:color="auto"/>
      </w:divBdr>
    </w:div>
    <w:div w:id="380786547">
      <w:bodyDiv w:val="1"/>
      <w:marLeft w:val="0"/>
      <w:marRight w:val="0"/>
      <w:marTop w:val="0"/>
      <w:marBottom w:val="0"/>
      <w:divBdr>
        <w:top w:val="none" w:sz="0" w:space="0" w:color="auto"/>
        <w:left w:val="none" w:sz="0" w:space="0" w:color="auto"/>
        <w:bottom w:val="none" w:sz="0" w:space="0" w:color="auto"/>
        <w:right w:val="none" w:sz="0" w:space="0" w:color="auto"/>
      </w:divBdr>
    </w:div>
    <w:div w:id="381947814">
      <w:bodyDiv w:val="1"/>
      <w:marLeft w:val="0"/>
      <w:marRight w:val="0"/>
      <w:marTop w:val="0"/>
      <w:marBottom w:val="0"/>
      <w:divBdr>
        <w:top w:val="none" w:sz="0" w:space="0" w:color="auto"/>
        <w:left w:val="none" w:sz="0" w:space="0" w:color="auto"/>
        <w:bottom w:val="none" w:sz="0" w:space="0" w:color="auto"/>
        <w:right w:val="none" w:sz="0" w:space="0" w:color="auto"/>
      </w:divBdr>
    </w:div>
    <w:div w:id="383724984">
      <w:bodyDiv w:val="1"/>
      <w:marLeft w:val="0"/>
      <w:marRight w:val="0"/>
      <w:marTop w:val="0"/>
      <w:marBottom w:val="0"/>
      <w:divBdr>
        <w:top w:val="none" w:sz="0" w:space="0" w:color="auto"/>
        <w:left w:val="none" w:sz="0" w:space="0" w:color="auto"/>
        <w:bottom w:val="none" w:sz="0" w:space="0" w:color="auto"/>
        <w:right w:val="none" w:sz="0" w:space="0" w:color="auto"/>
      </w:divBdr>
    </w:div>
    <w:div w:id="394478383">
      <w:bodyDiv w:val="1"/>
      <w:marLeft w:val="0"/>
      <w:marRight w:val="0"/>
      <w:marTop w:val="0"/>
      <w:marBottom w:val="0"/>
      <w:divBdr>
        <w:top w:val="none" w:sz="0" w:space="0" w:color="auto"/>
        <w:left w:val="none" w:sz="0" w:space="0" w:color="auto"/>
        <w:bottom w:val="none" w:sz="0" w:space="0" w:color="auto"/>
        <w:right w:val="none" w:sz="0" w:space="0" w:color="auto"/>
      </w:divBdr>
    </w:div>
    <w:div w:id="408117361">
      <w:bodyDiv w:val="1"/>
      <w:marLeft w:val="0"/>
      <w:marRight w:val="0"/>
      <w:marTop w:val="0"/>
      <w:marBottom w:val="0"/>
      <w:divBdr>
        <w:top w:val="none" w:sz="0" w:space="0" w:color="auto"/>
        <w:left w:val="none" w:sz="0" w:space="0" w:color="auto"/>
        <w:bottom w:val="none" w:sz="0" w:space="0" w:color="auto"/>
        <w:right w:val="none" w:sz="0" w:space="0" w:color="auto"/>
      </w:divBdr>
    </w:div>
    <w:div w:id="414328301">
      <w:bodyDiv w:val="1"/>
      <w:marLeft w:val="0"/>
      <w:marRight w:val="0"/>
      <w:marTop w:val="0"/>
      <w:marBottom w:val="0"/>
      <w:divBdr>
        <w:top w:val="none" w:sz="0" w:space="0" w:color="auto"/>
        <w:left w:val="none" w:sz="0" w:space="0" w:color="auto"/>
        <w:bottom w:val="none" w:sz="0" w:space="0" w:color="auto"/>
        <w:right w:val="none" w:sz="0" w:space="0" w:color="auto"/>
      </w:divBdr>
      <w:divsChild>
        <w:div w:id="1041436644">
          <w:marLeft w:val="0"/>
          <w:marRight w:val="0"/>
          <w:marTop w:val="0"/>
          <w:marBottom w:val="0"/>
          <w:divBdr>
            <w:top w:val="none" w:sz="0" w:space="0" w:color="auto"/>
            <w:left w:val="none" w:sz="0" w:space="0" w:color="auto"/>
            <w:bottom w:val="none" w:sz="0" w:space="0" w:color="auto"/>
            <w:right w:val="none" w:sz="0" w:space="0" w:color="auto"/>
          </w:divBdr>
          <w:divsChild>
            <w:div w:id="32194643">
              <w:marLeft w:val="0"/>
              <w:marRight w:val="0"/>
              <w:marTop w:val="0"/>
              <w:marBottom w:val="0"/>
              <w:divBdr>
                <w:top w:val="none" w:sz="0" w:space="0" w:color="auto"/>
                <w:left w:val="none" w:sz="0" w:space="0" w:color="auto"/>
                <w:bottom w:val="none" w:sz="0" w:space="0" w:color="auto"/>
                <w:right w:val="none" w:sz="0" w:space="0" w:color="auto"/>
              </w:divBdr>
              <w:divsChild>
                <w:div w:id="341206680">
                  <w:marLeft w:val="0"/>
                  <w:marRight w:val="0"/>
                  <w:marTop w:val="0"/>
                  <w:marBottom w:val="0"/>
                  <w:divBdr>
                    <w:top w:val="none" w:sz="0" w:space="0" w:color="auto"/>
                    <w:left w:val="none" w:sz="0" w:space="0" w:color="auto"/>
                    <w:bottom w:val="none" w:sz="0" w:space="0" w:color="auto"/>
                    <w:right w:val="none" w:sz="0" w:space="0" w:color="auto"/>
                  </w:divBdr>
                  <w:divsChild>
                    <w:div w:id="442923938">
                      <w:marLeft w:val="0"/>
                      <w:marRight w:val="0"/>
                      <w:marTop w:val="0"/>
                      <w:marBottom w:val="0"/>
                      <w:divBdr>
                        <w:top w:val="none" w:sz="0" w:space="0" w:color="auto"/>
                        <w:left w:val="none" w:sz="0" w:space="0" w:color="auto"/>
                        <w:bottom w:val="none" w:sz="0" w:space="0" w:color="auto"/>
                        <w:right w:val="none" w:sz="0" w:space="0" w:color="auto"/>
                      </w:divBdr>
                      <w:divsChild>
                        <w:div w:id="1997756953">
                          <w:marLeft w:val="0"/>
                          <w:marRight w:val="0"/>
                          <w:marTop w:val="0"/>
                          <w:marBottom w:val="0"/>
                          <w:divBdr>
                            <w:top w:val="none" w:sz="0" w:space="0" w:color="auto"/>
                            <w:left w:val="none" w:sz="0" w:space="0" w:color="auto"/>
                            <w:bottom w:val="none" w:sz="0" w:space="0" w:color="auto"/>
                            <w:right w:val="none" w:sz="0" w:space="0" w:color="auto"/>
                          </w:divBdr>
                          <w:divsChild>
                            <w:div w:id="1895700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8702695">
                  <w:marLeft w:val="0"/>
                  <w:marRight w:val="0"/>
                  <w:marTop w:val="0"/>
                  <w:marBottom w:val="0"/>
                  <w:divBdr>
                    <w:top w:val="none" w:sz="0" w:space="0" w:color="auto"/>
                    <w:left w:val="none" w:sz="0" w:space="0" w:color="auto"/>
                    <w:bottom w:val="none" w:sz="0" w:space="0" w:color="auto"/>
                    <w:right w:val="none" w:sz="0" w:space="0" w:color="auto"/>
                  </w:divBdr>
                  <w:divsChild>
                    <w:div w:id="193501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5975649">
      <w:bodyDiv w:val="1"/>
      <w:marLeft w:val="0"/>
      <w:marRight w:val="0"/>
      <w:marTop w:val="0"/>
      <w:marBottom w:val="0"/>
      <w:divBdr>
        <w:top w:val="none" w:sz="0" w:space="0" w:color="auto"/>
        <w:left w:val="none" w:sz="0" w:space="0" w:color="auto"/>
        <w:bottom w:val="none" w:sz="0" w:space="0" w:color="auto"/>
        <w:right w:val="none" w:sz="0" w:space="0" w:color="auto"/>
      </w:divBdr>
      <w:divsChild>
        <w:div w:id="1830635042">
          <w:marLeft w:val="0"/>
          <w:marRight w:val="0"/>
          <w:marTop w:val="0"/>
          <w:marBottom w:val="0"/>
          <w:divBdr>
            <w:top w:val="none" w:sz="0" w:space="0" w:color="auto"/>
            <w:left w:val="none" w:sz="0" w:space="0" w:color="auto"/>
            <w:bottom w:val="none" w:sz="0" w:space="0" w:color="auto"/>
            <w:right w:val="none" w:sz="0" w:space="0" w:color="auto"/>
          </w:divBdr>
          <w:divsChild>
            <w:div w:id="2039112690">
              <w:marLeft w:val="0"/>
              <w:marRight w:val="0"/>
              <w:marTop w:val="0"/>
              <w:marBottom w:val="0"/>
              <w:divBdr>
                <w:top w:val="none" w:sz="0" w:space="0" w:color="auto"/>
                <w:left w:val="none" w:sz="0" w:space="0" w:color="auto"/>
                <w:bottom w:val="none" w:sz="0" w:space="0" w:color="auto"/>
                <w:right w:val="none" w:sz="0" w:space="0" w:color="auto"/>
              </w:divBdr>
              <w:divsChild>
                <w:div w:id="1989356613">
                  <w:marLeft w:val="0"/>
                  <w:marRight w:val="0"/>
                  <w:marTop w:val="0"/>
                  <w:marBottom w:val="0"/>
                  <w:divBdr>
                    <w:top w:val="none" w:sz="0" w:space="0" w:color="auto"/>
                    <w:left w:val="none" w:sz="0" w:space="0" w:color="auto"/>
                    <w:bottom w:val="none" w:sz="0" w:space="0" w:color="auto"/>
                    <w:right w:val="none" w:sz="0" w:space="0" w:color="auto"/>
                  </w:divBdr>
                  <w:divsChild>
                    <w:div w:id="1875535635">
                      <w:marLeft w:val="0"/>
                      <w:marRight w:val="0"/>
                      <w:marTop w:val="0"/>
                      <w:marBottom w:val="0"/>
                      <w:divBdr>
                        <w:top w:val="none" w:sz="0" w:space="0" w:color="auto"/>
                        <w:left w:val="none" w:sz="0" w:space="0" w:color="auto"/>
                        <w:bottom w:val="none" w:sz="0" w:space="0" w:color="auto"/>
                        <w:right w:val="none" w:sz="0" w:space="0" w:color="auto"/>
                      </w:divBdr>
                      <w:divsChild>
                        <w:div w:id="518929672">
                          <w:marLeft w:val="0"/>
                          <w:marRight w:val="0"/>
                          <w:marTop w:val="0"/>
                          <w:marBottom w:val="0"/>
                          <w:divBdr>
                            <w:top w:val="none" w:sz="0" w:space="0" w:color="auto"/>
                            <w:left w:val="none" w:sz="0" w:space="0" w:color="auto"/>
                            <w:bottom w:val="none" w:sz="0" w:space="0" w:color="auto"/>
                            <w:right w:val="none" w:sz="0" w:space="0" w:color="auto"/>
                          </w:divBdr>
                          <w:divsChild>
                            <w:div w:id="1291087670">
                              <w:marLeft w:val="0"/>
                              <w:marRight w:val="0"/>
                              <w:marTop w:val="0"/>
                              <w:marBottom w:val="0"/>
                              <w:divBdr>
                                <w:top w:val="none" w:sz="0" w:space="0" w:color="auto"/>
                                <w:left w:val="none" w:sz="0" w:space="0" w:color="auto"/>
                                <w:bottom w:val="none" w:sz="0" w:space="0" w:color="auto"/>
                                <w:right w:val="none" w:sz="0" w:space="0" w:color="auto"/>
                              </w:divBdr>
                              <w:divsChild>
                                <w:div w:id="1408384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8110577">
                          <w:marLeft w:val="0"/>
                          <w:marRight w:val="0"/>
                          <w:marTop w:val="0"/>
                          <w:marBottom w:val="0"/>
                          <w:divBdr>
                            <w:top w:val="none" w:sz="0" w:space="0" w:color="auto"/>
                            <w:left w:val="none" w:sz="0" w:space="0" w:color="auto"/>
                            <w:bottom w:val="none" w:sz="0" w:space="0" w:color="auto"/>
                            <w:right w:val="none" w:sz="0" w:space="0" w:color="auto"/>
                          </w:divBdr>
                          <w:divsChild>
                            <w:div w:id="1379739191">
                              <w:marLeft w:val="0"/>
                              <w:marRight w:val="0"/>
                              <w:marTop w:val="0"/>
                              <w:marBottom w:val="0"/>
                              <w:divBdr>
                                <w:top w:val="none" w:sz="0" w:space="0" w:color="auto"/>
                                <w:left w:val="none" w:sz="0" w:space="0" w:color="auto"/>
                                <w:bottom w:val="none" w:sz="0" w:space="0" w:color="auto"/>
                                <w:right w:val="none" w:sz="0" w:space="0" w:color="auto"/>
                              </w:divBdr>
                              <w:divsChild>
                                <w:div w:id="1569850060">
                                  <w:marLeft w:val="0"/>
                                  <w:marRight w:val="0"/>
                                  <w:marTop w:val="0"/>
                                  <w:marBottom w:val="0"/>
                                  <w:divBdr>
                                    <w:top w:val="none" w:sz="0" w:space="0" w:color="auto"/>
                                    <w:left w:val="none" w:sz="0" w:space="0" w:color="auto"/>
                                    <w:bottom w:val="none" w:sz="0" w:space="0" w:color="auto"/>
                                    <w:right w:val="none" w:sz="0" w:space="0" w:color="auto"/>
                                  </w:divBdr>
                                  <w:divsChild>
                                    <w:div w:id="1486046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16442474">
      <w:bodyDiv w:val="1"/>
      <w:marLeft w:val="0"/>
      <w:marRight w:val="0"/>
      <w:marTop w:val="0"/>
      <w:marBottom w:val="0"/>
      <w:divBdr>
        <w:top w:val="none" w:sz="0" w:space="0" w:color="auto"/>
        <w:left w:val="none" w:sz="0" w:space="0" w:color="auto"/>
        <w:bottom w:val="none" w:sz="0" w:space="0" w:color="auto"/>
        <w:right w:val="none" w:sz="0" w:space="0" w:color="auto"/>
      </w:divBdr>
    </w:div>
    <w:div w:id="426971811">
      <w:bodyDiv w:val="1"/>
      <w:marLeft w:val="0"/>
      <w:marRight w:val="0"/>
      <w:marTop w:val="0"/>
      <w:marBottom w:val="0"/>
      <w:divBdr>
        <w:top w:val="none" w:sz="0" w:space="0" w:color="auto"/>
        <w:left w:val="none" w:sz="0" w:space="0" w:color="auto"/>
        <w:bottom w:val="none" w:sz="0" w:space="0" w:color="auto"/>
        <w:right w:val="none" w:sz="0" w:space="0" w:color="auto"/>
      </w:divBdr>
    </w:div>
    <w:div w:id="432164474">
      <w:bodyDiv w:val="1"/>
      <w:marLeft w:val="0"/>
      <w:marRight w:val="0"/>
      <w:marTop w:val="0"/>
      <w:marBottom w:val="0"/>
      <w:divBdr>
        <w:top w:val="none" w:sz="0" w:space="0" w:color="auto"/>
        <w:left w:val="none" w:sz="0" w:space="0" w:color="auto"/>
        <w:bottom w:val="none" w:sz="0" w:space="0" w:color="auto"/>
        <w:right w:val="none" w:sz="0" w:space="0" w:color="auto"/>
      </w:divBdr>
    </w:div>
    <w:div w:id="438768102">
      <w:bodyDiv w:val="1"/>
      <w:marLeft w:val="0"/>
      <w:marRight w:val="0"/>
      <w:marTop w:val="0"/>
      <w:marBottom w:val="0"/>
      <w:divBdr>
        <w:top w:val="none" w:sz="0" w:space="0" w:color="auto"/>
        <w:left w:val="none" w:sz="0" w:space="0" w:color="auto"/>
        <w:bottom w:val="none" w:sz="0" w:space="0" w:color="auto"/>
        <w:right w:val="none" w:sz="0" w:space="0" w:color="auto"/>
      </w:divBdr>
    </w:div>
    <w:div w:id="441531460">
      <w:bodyDiv w:val="1"/>
      <w:marLeft w:val="0"/>
      <w:marRight w:val="0"/>
      <w:marTop w:val="0"/>
      <w:marBottom w:val="0"/>
      <w:divBdr>
        <w:top w:val="none" w:sz="0" w:space="0" w:color="auto"/>
        <w:left w:val="none" w:sz="0" w:space="0" w:color="auto"/>
        <w:bottom w:val="none" w:sz="0" w:space="0" w:color="auto"/>
        <w:right w:val="none" w:sz="0" w:space="0" w:color="auto"/>
      </w:divBdr>
    </w:div>
    <w:div w:id="461382375">
      <w:bodyDiv w:val="1"/>
      <w:marLeft w:val="0"/>
      <w:marRight w:val="0"/>
      <w:marTop w:val="0"/>
      <w:marBottom w:val="0"/>
      <w:divBdr>
        <w:top w:val="none" w:sz="0" w:space="0" w:color="auto"/>
        <w:left w:val="none" w:sz="0" w:space="0" w:color="auto"/>
        <w:bottom w:val="none" w:sz="0" w:space="0" w:color="auto"/>
        <w:right w:val="none" w:sz="0" w:space="0" w:color="auto"/>
      </w:divBdr>
    </w:div>
    <w:div w:id="463431791">
      <w:bodyDiv w:val="1"/>
      <w:marLeft w:val="0"/>
      <w:marRight w:val="0"/>
      <w:marTop w:val="0"/>
      <w:marBottom w:val="0"/>
      <w:divBdr>
        <w:top w:val="none" w:sz="0" w:space="0" w:color="auto"/>
        <w:left w:val="none" w:sz="0" w:space="0" w:color="auto"/>
        <w:bottom w:val="none" w:sz="0" w:space="0" w:color="auto"/>
        <w:right w:val="none" w:sz="0" w:space="0" w:color="auto"/>
      </w:divBdr>
    </w:div>
    <w:div w:id="468209146">
      <w:bodyDiv w:val="1"/>
      <w:marLeft w:val="0"/>
      <w:marRight w:val="0"/>
      <w:marTop w:val="0"/>
      <w:marBottom w:val="0"/>
      <w:divBdr>
        <w:top w:val="none" w:sz="0" w:space="0" w:color="auto"/>
        <w:left w:val="none" w:sz="0" w:space="0" w:color="auto"/>
        <w:bottom w:val="none" w:sz="0" w:space="0" w:color="auto"/>
        <w:right w:val="none" w:sz="0" w:space="0" w:color="auto"/>
      </w:divBdr>
      <w:divsChild>
        <w:div w:id="1164783520">
          <w:marLeft w:val="0"/>
          <w:marRight w:val="0"/>
          <w:marTop w:val="0"/>
          <w:marBottom w:val="0"/>
          <w:divBdr>
            <w:top w:val="none" w:sz="0" w:space="0" w:color="auto"/>
            <w:left w:val="none" w:sz="0" w:space="0" w:color="auto"/>
            <w:bottom w:val="none" w:sz="0" w:space="0" w:color="auto"/>
            <w:right w:val="none" w:sz="0" w:space="0" w:color="auto"/>
          </w:divBdr>
          <w:divsChild>
            <w:div w:id="1981419026">
              <w:marLeft w:val="0"/>
              <w:marRight w:val="0"/>
              <w:marTop w:val="0"/>
              <w:marBottom w:val="0"/>
              <w:divBdr>
                <w:top w:val="none" w:sz="0" w:space="0" w:color="auto"/>
                <w:left w:val="none" w:sz="0" w:space="0" w:color="auto"/>
                <w:bottom w:val="none" w:sz="0" w:space="0" w:color="auto"/>
                <w:right w:val="none" w:sz="0" w:space="0" w:color="auto"/>
              </w:divBdr>
              <w:divsChild>
                <w:div w:id="1670331783">
                  <w:marLeft w:val="0"/>
                  <w:marRight w:val="0"/>
                  <w:marTop w:val="0"/>
                  <w:marBottom w:val="0"/>
                  <w:divBdr>
                    <w:top w:val="none" w:sz="0" w:space="0" w:color="auto"/>
                    <w:left w:val="none" w:sz="0" w:space="0" w:color="auto"/>
                    <w:bottom w:val="none" w:sz="0" w:space="0" w:color="auto"/>
                    <w:right w:val="none" w:sz="0" w:space="0" w:color="auto"/>
                  </w:divBdr>
                  <w:divsChild>
                    <w:div w:id="1359352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2079759">
          <w:marLeft w:val="0"/>
          <w:marRight w:val="0"/>
          <w:marTop w:val="0"/>
          <w:marBottom w:val="0"/>
          <w:divBdr>
            <w:top w:val="none" w:sz="0" w:space="0" w:color="auto"/>
            <w:left w:val="none" w:sz="0" w:space="0" w:color="auto"/>
            <w:bottom w:val="none" w:sz="0" w:space="0" w:color="auto"/>
            <w:right w:val="none" w:sz="0" w:space="0" w:color="auto"/>
          </w:divBdr>
          <w:divsChild>
            <w:div w:id="816537059">
              <w:marLeft w:val="0"/>
              <w:marRight w:val="0"/>
              <w:marTop w:val="0"/>
              <w:marBottom w:val="0"/>
              <w:divBdr>
                <w:top w:val="none" w:sz="0" w:space="0" w:color="auto"/>
                <w:left w:val="none" w:sz="0" w:space="0" w:color="auto"/>
                <w:bottom w:val="none" w:sz="0" w:space="0" w:color="auto"/>
                <w:right w:val="none" w:sz="0" w:space="0" w:color="auto"/>
              </w:divBdr>
              <w:divsChild>
                <w:div w:id="1666855367">
                  <w:marLeft w:val="0"/>
                  <w:marRight w:val="0"/>
                  <w:marTop w:val="0"/>
                  <w:marBottom w:val="0"/>
                  <w:divBdr>
                    <w:top w:val="none" w:sz="0" w:space="0" w:color="auto"/>
                    <w:left w:val="none" w:sz="0" w:space="0" w:color="auto"/>
                    <w:bottom w:val="none" w:sz="0" w:space="0" w:color="auto"/>
                    <w:right w:val="none" w:sz="0" w:space="0" w:color="auto"/>
                  </w:divBdr>
                  <w:divsChild>
                    <w:div w:id="1390959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564594">
      <w:bodyDiv w:val="1"/>
      <w:marLeft w:val="0"/>
      <w:marRight w:val="0"/>
      <w:marTop w:val="0"/>
      <w:marBottom w:val="0"/>
      <w:divBdr>
        <w:top w:val="none" w:sz="0" w:space="0" w:color="auto"/>
        <w:left w:val="none" w:sz="0" w:space="0" w:color="auto"/>
        <w:bottom w:val="none" w:sz="0" w:space="0" w:color="auto"/>
        <w:right w:val="none" w:sz="0" w:space="0" w:color="auto"/>
      </w:divBdr>
    </w:div>
    <w:div w:id="470824274">
      <w:bodyDiv w:val="1"/>
      <w:marLeft w:val="0"/>
      <w:marRight w:val="0"/>
      <w:marTop w:val="0"/>
      <w:marBottom w:val="0"/>
      <w:divBdr>
        <w:top w:val="none" w:sz="0" w:space="0" w:color="auto"/>
        <w:left w:val="none" w:sz="0" w:space="0" w:color="auto"/>
        <w:bottom w:val="none" w:sz="0" w:space="0" w:color="auto"/>
        <w:right w:val="none" w:sz="0" w:space="0" w:color="auto"/>
      </w:divBdr>
    </w:div>
    <w:div w:id="471408896">
      <w:bodyDiv w:val="1"/>
      <w:marLeft w:val="0"/>
      <w:marRight w:val="0"/>
      <w:marTop w:val="0"/>
      <w:marBottom w:val="0"/>
      <w:divBdr>
        <w:top w:val="none" w:sz="0" w:space="0" w:color="auto"/>
        <w:left w:val="none" w:sz="0" w:space="0" w:color="auto"/>
        <w:bottom w:val="none" w:sz="0" w:space="0" w:color="auto"/>
        <w:right w:val="none" w:sz="0" w:space="0" w:color="auto"/>
      </w:divBdr>
    </w:div>
    <w:div w:id="476801434">
      <w:bodyDiv w:val="1"/>
      <w:marLeft w:val="0"/>
      <w:marRight w:val="0"/>
      <w:marTop w:val="0"/>
      <w:marBottom w:val="0"/>
      <w:divBdr>
        <w:top w:val="none" w:sz="0" w:space="0" w:color="auto"/>
        <w:left w:val="none" w:sz="0" w:space="0" w:color="auto"/>
        <w:bottom w:val="none" w:sz="0" w:space="0" w:color="auto"/>
        <w:right w:val="none" w:sz="0" w:space="0" w:color="auto"/>
      </w:divBdr>
    </w:div>
    <w:div w:id="477455168">
      <w:bodyDiv w:val="1"/>
      <w:marLeft w:val="0"/>
      <w:marRight w:val="0"/>
      <w:marTop w:val="0"/>
      <w:marBottom w:val="0"/>
      <w:divBdr>
        <w:top w:val="none" w:sz="0" w:space="0" w:color="auto"/>
        <w:left w:val="none" w:sz="0" w:space="0" w:color="auto"/>
        <w:bottom w:val="none" w:sz="0" w:space="0" w:color="auto"/>
        <w:right w:val="none" w:sz="0" w:space="0" w:color="auto"/>
      </w:divBdr>
    </w:div>
    <w:div w:id="485630949">
      <w:bodyDiv w:val="1"/>
      <w:marLeft w:val="0"/>
      <w:marRight w:val="0"/>
      <w:marTop w:val="0"/>
      <w:marBottom w:val="0"/>
      <w:divBdr>
        <w:top w:val="none" w:sz="0" w:space="0" w:color="auto"/>
        <w:left w:val="none" w:sz="0" w:space="0" w:color="auto"/>
        <w:bottom w:val="none" w:sz="0" w:space="0" w:color="auto"/>
        <w:right w:val="none" w:sz="0" w:space="0" w:color="auto"/>
      </w:divBdr>
    </w:div>
    <w:div w:id="491678706">
      <w:bodyDiv w:val="1"/>
      <w:marLeft w:val="0"/>
      <w:marRight w:val="0"/>
      <w:marTop w:val="0"/>
      <w:marBottom w:val="0"/>
      <w:divBdr>
        <w:top w:val="none" w:sz="0" w:space="0" w:color="auto"/>
        <w:left w:val="none" w:sz="0" w:space="0" w:color="auto"/>
        <w:bottom w:val="none" w:sz="0" w:space="0" w:color="auto"/>
        <w:right w:val="none" w:sz="0" w:space="0" w:color="auto"/>
      </w:divBdr>
    </w:div>
    <w:div w:id="502360743">
      <w:bodyDiv w:val="1"/>
      <w:marLeft w:val="0"/>
      <w:marRight w:val="0"/>
      <w:marTop w:val="0"/>
      <w:marBottom w:val="0"/>
      <w:divBdr>
        <w:top w:val="none" w:sz="0" w:space="0" w:color="auto"/>
        <w:left w:val="none" w:sz="0" w:space="0" w:color="auto"/>
        <w:bottom w:val="none" w:sz="0" w:space="0" w:color="auto"/>
        <w:right w:val="none" w:sz="0" w:space="0" w:color="auto"/>
      </w:divBdr>
    </w:div>
    <w:div w:id="502473472">
      <w:bodyDiv w:val="1"/>
      <w:marLeft w:val="0"/>
      <w:marRight w:val="0"/>
      <w:marTop w:val="0"/>
      <w:marBottom w:val="0"/>
      <w:divBdr>
        <w:top w:val="none" w:sz="0" w:space="0" w:color="auto"/>
        <w:left w:val="none" w:sz="0" w:space="0" w:color="auto"/>
        <w:bottom w:val="none" w:sz="0" w:space="0" w:color="auto"/>
        <w:right w:val="none" w:sz="0" w:space="0" w:color="auto"/>
      </w:divBdr>
    </w:div>
    <w:div w:id="506020948">
      <w:bodyDiv w:val="1"/>
      <w:marLeft w:val="0"/>
      <w:marRight w:val="0"/>
      <w:marTop w:val="0"/>
      <w:marBottom w:val="0"/>
      <w:divBdr>
        <w:top w:val="none" w:sz="0" w:space="0" w:color="auto"/>
        <w:left w:val="none" w:sz="0" w:space="0" w:color="auto"/>
        <w:bottom w:val="none" w:sz="0" w:space="0" w:color="auto"/>
        <w:right w:val="none" w:sz="0" w:space="0" w:color="auto"/>
      </w:divBdr>
    </w:div>
    <w:div w:id="510486041">
      <w:bodyDiv w:val="1"/>
      <w:marLeft w:val="0"/>
      <w:marRight w:val="0"/>
      <w:marTop w:val="0"/>
      <w:marBottom w:val="0"/>
      <w:divBdr>
        <w:top w:val="none" w:sz="0" w:space="0" w:color="auto"/>
        <w:left w:val="none" w:sz="0" w:space="0" w:color="auto"/>
        <w:bottom w:val="none" w:sz="0" w:space="0" w:color="auto"/>
        <w:right w:val="none" w:sz="0" w:space="0" w:color="auto"/>
      </w:divBdr>
    </w:div>
    <w:div w:id="515192358">
      <w:bodyDiv w:val="1"/>
      <w:marLeft w:val="0"/>
      <w:marRight w:val="0"/>
      <w:marTop w:val="0"/>
      <w:marBottom w:val="0"/>
      <w:divBdr>
        <w:top w:val="none" w:sz="0" w:space="0" w:color="auto"/>
        <w:left w:val="none" w:sz="0" w:space="0" w:color="auto"/>
        <w:bottom w:val="none" w:sz="0" w:space="0" w:color="auto"/>
        <w:right w:val="none" w:sz="0" w:space="0" w:color="auto"/>
      </w:divBdr>
    </w:div>
    <w:div w:id="516579696">
      <w:bodyDiv w:val="1"/>
      <w:marLeft w:val="0"/>
      <w:marRight w:val="0"/>
      <w:marTop w:val="0"/>
      <w:marBottom w:val="0"/>
      <w:divBdr>
        <w:top w:val="none" w:sz="0" w:space="0" w:color="auto"/>
        <w:left w:val="none" w:sz="0" w:space="0" w:color="auto"/>
        <w:bottom w:val="none" w:sz="0" w:space="0" w:color="auto"/>
        <w:right w:val="none" w:sz="0" w:space="0" w:color="auto"/>
      </w:divBdr>
    </w:div>
    <w:div w:id="521668692">
      <w:bodyDiv w:val="1"/>
      <w:marLeft w:val="0"/>
      <w:marRight w:val="0"/>
      <w:marTop w:val="0"/>
      <w:marBottom w:val="0"/>
      <w:divBdr>
        <w:top w:val="none" w:sz="0" w:space="0" w:color="auto"/>
        <w:left w:val="none" w:sz="0" w:space="0" w:color="auto"/>
        <w:bottom w:val="none" w:sz="0" w:space="0" w:color="auto"/>
        <w:right w:val="none" w:sz="0" w:space="0" w:color="auto"/>
      </w:divBdr>
      <w:divsChild>
        <w:div w:id="581331759">
          <w:marLeft w:val="0"/>
          <w:marRight w:val="0"/>
          <w:marTop w:val="0"/>
          <w:marBottom w:val="0"/>
          <w:divBdr>
            <w:top w:val="none" w:sz="0" w:space="0" w:color="auto"/>
            <w:left w:val="none" w:sz="0" w:space="0" w:color="auto"/>
            <w:bottom w:val="none" w:sz="0" w:space="0" w:color="auto"/>
            <w:right w:val="none" w:sz="0" w:space="0" w:color="auto"/>
          </w:divBdr>
        </w:div>
      </w:divsChild>
    </w:div>
    <w:div w:id="522017631">
      <w:bodyDiv w:val="1"/>
      <w:marLeft w:val="0"/>
      <w:marRight w:val="0"/>
      <w:marTop w:val="0"/>
      <w:marBottom w:val="0"/>
      <w:divBdr>
        <w:top w:val="none" w:sz="0" w:space="0" w:color="auto"/>
        <w:left w:val="none" w:sz="0" w:space="0" w:color="auto"/>
        <w:bottom w:val="none" w:sz="0" w:space="0" w:color="auto"/>
        <w:right w:val="none" w:sz="0" w:space="0" w:color="auto"/>
      </w:divBdr>
    </w:div>
    <w:div w:id="526984380">
      <w:bodyDiv w:val="1"/>
      <w:marLeft w:val="0"/>
      <w:marRight w:val="0"/>
      <w:marTop w:val="0"/>
      <w:marBottom w:val="0"/>
      <w:divBdr>
        <w:top w:val="none" w:sz="0" w:space="0" w:color="auto"/>
        <w:left w:val="none" w:sz="0" w:space="0" w:color="auto"/>
        <w:bottom w:val="none" w:sz="0" w:space="0" w:color="auto"/>
        <w:right w:val="none" w:sz="0" w:space="0" w:color="auto"/>
      </w:divBdr>
    </w:div>
    <w:div w:id="538978548">
      <w:bodyDiv w:val="1"/>
      <w:marLeft w:val="0"/>
      <w:marRight w:val="0"/>
      <w:marTop w:val="0"/>
      <w:marBottom w:val="0"/>
      <w:divBdr>
        <w:top w:val="none" w:sz="0" w:space="0" w:color="auto"/>
        <w:left w:val="none" w:sz="0" w:space="0" w:color="auto"/>
        <w:bottom w:val="none" w:sz="0" w:space="0" w:color="auto"/>
        <w:right w:val="none" w:sz="0" w:space="0" w:color="auto"/>
      </w:divBdr>
    </w:div>
    <w:div w:id="547884078">
      <w:bodyDiv w:val="1"/>
      <w:marLeft w:val="0"/>
      <w:marRight w:val="0"/>
      <w:marTop w:val="0"/>
      <w:marBottom w:val="0"/>
      <w:divBdr>
        <w:top w:val="none" w:sz="0" w:space="0" w:color="auto"/>
        <w:left w:val="none" w:sz="0" w:space="0" w:color="auto"/>
        <w:bottom w:val="none" w:sz="0" w:space="0" w:color="auto"/>
        <w:right w:val="none" w:sz="0" w:space="0" w:color="auto"/>
      </w:divBdr>
    </w:div>
    <w:div w:id="554242092">
      <w:bodyDiv w:val="1"/>
      <w:marLeft w:val="0"/>
      <w:marRight w:val="0"/>
      <w:marTop w:val="0"/>
      <w:marBottom w:val="0"/>
      <w:divBdr>
        <w:top w:val="none" w:sz="0" w:space="0" w:color="auto"/>
        <w:left w:val="none" w:sz="0" w:space="0" w:color="auto"/>
        <w:bottom w:val="none" w:sz="0" w:space="0" w:color="auto"/>
        <w:right w:val="none" w:sz="0" w:space="0" w:color="auto"/>
      </w:divBdr>
    </w:div>
    <w:div w:id="556741678">
      <w:bodyDiv w:val="1"/>
      <w:marLeft w:val="0"/>
      <w:marRight w:val="0"/>
      <w:marTop w:val="0"/>
      <w:marBottom w:val="0"/>
      <w:divBdr>
        <w:top w:val="none" w:sz="0" w:space="0" w:color="auto"/>
        <w:left w:val="none" w:sz="0" w:space="0" w:color="auto"/>
        <w:bottom w:val="none" w:sz="0" w:space="0" w:color="auto"/>
        <w:right w:val="none" w:sz="0" w:space="0" w:color="auto"/>
      </w:divBdr>
    </w:div>
    <w:div w:id="557937625">
      <w:bodyDiv w:val="1"/>
      <w:marLeft w:val="0"/>
      <w:marRight w:val="0"/>
      <w:marTop w:val="0"/>
      <w:marBottom w:val="0"/>
      <w:divBdr>
        <w:top w:val="none" w:sz="0" w:space="0" w:color="auto"/>
        <w:left w:val="none" w:sz="0" w:space="0" w:color="auto"/>
        <w:bottom w:val="none" w:sz="0" w:space="0" w:color="auto"/>
        <w:right w:val="none" w:sz="0" w:space="0" w:color="auto"/>
      </w:divBdr>
    </w:div>
    <w:div w:id="564335129">
      <w:bodyDiv w:val="1"/>
      <w:marLeft w:val="0"/>
      <w:marRight w:val="0"/>
      <w:marTop w:val="0"/>
      <w:marBottom w:val="0"/>
      <w:divBdr>
        <w:top w:val="none" w:sz="0" w:space="0" w:color="auto"/>
        <w:left w:val="none" w:sz="0" w:space="0" w:color="auto"/>
        <w:bottom w:val="none" w:sz="0" w:space="0" w:color="auto"/>
        <w:right w:val="none" w:sz="0" w:space="0" w:color="auto"/>
      </w:divBdr>
    </w:div>
    <w:div w:id="571426498">
      <w:bodyDiv w:val="1"/>
      <w:marLeft w:val="0"/>
      <w:marRight w:val="0"/>
      <w:marTop w:val="0"/>
      <w:marBottom w:val="0"/>
      <w:divBdr>
        <w:top w:val="none" w:sz="0" w:space="0" w:color="auto"/>
        <w:left w:val="none" w:sz="0" w:space="0" w:color="auto"/>
        <w:bottom w:val="none" w:sz="0" w:space="0" w:color="auto"/>
        <w:right w:val="none" w:sz="0" w:space="0" w:color="auto"/>
      </w:divBdr>
    </w:div>
    <w:div w:id="572157558">
      <w:bodyDiv w:val="1"/>
      <w:marLeft w:val="0"/>
      <w:marRight w:val="0"/>
      <w:marTop w:val="0"/>
      <w:marBottom w:val="0"/>
      <w:divBdr>
        <w:top w:val="none" w:sz="0" w:space="0" w:color="auto"/>
        <w:left w:val="none" w:sz="0" w:space="0" w:color="auto"/>
        <w:bottom w:val="none" w:sz="0" w:space="0" w:color="auto"/>
        <w:right w:val="none" w:sz="0" w:space="0" w:color="auto"/>
      </w:divBdr>
    </w:div>
    <w:div w:id="575021082">
      <w:bodyDiv w:val="1"/>
      <w:marLeft w:val="0"/>
      <w:marRight w:val="0"/>
      <w:marTop w:val="0"/>
      <w:marBottom w:val="0"/>
      <w:divBdr>
        <w:top w:val="none" w:sz="0" w:space="0" w:color="auto"/>
        <w:left w:val="none" w:sz="0" w:space="0" w:color="auto"/>
        <w:bottom w:val="none" w:sz="0" w:space="0" w:color="auto"/>
        <w:right w:val="none" w:sz="0" w:space="0" w:color="auto"/>
      </w:divBdr>
    </w:div>
    <w:div w:id="586840125">
      <w:bodyDiv w:val="1"/>
      <w:marLeft w:val="0"/>
      <w:marRight w:val="0"/>
      <w:marTop w:val="0"/>
      <w:marBottom w:val="0"/>
      <w:divBdr>
        <w:top w:val="none" w:sz="0" w:space="0" w:color="auto"/>
        <w:left w:val="none" w:sz="0" w:space="0" w:color="auto"/>
        <w:bottom w:val="none" w:sz="0" w:space="0" w:color="auto"/>
        <w:right w:val="none" w:sz="0" w:space="0" w:color="auto"/>
      </w:divBdr>
    </w:div>
    <w:div w:id="594438818">
      <w:bodyDiv w:val="1"/>
      <w:marLeft w:val="0"/>
      <w:marRight w:val="0"/>
      <w:marTop w:val="0"/>
      <w:marBottom w:val="0"/>
      <w:divBdr>
        <w:top w:val="none" w:sz="0" w:space="0" w:color="auto"/>
        <w:left w:val="none" w:sz="0" w:space="0" w:color="auto"/>
        <w:bottom w:val="none" w:sz="0" w:space="0" w:color="auto"/>
        <w:right w:val="none" w:sz="0" w:space="0" w:color="auto"/>
      </w:divBdr>
    </w:div>
    <w:div w:id="598410998">
      <w:bodyDiv w:val="1"/>
      <w:marLeft w:val="0"/>
      <w:marRight w:val="0"/>
      <w:marTop w:val="0"/>
      <w:marBottom w:val="0"/>
      <w:divBdr>
        <w:top w:val="none" w:sz="0" w:space="0" w:color="auto"/>
        <w:left w:val="none" w:sz="0" w:space="0" w:color="auto"/>
        <w:bottom w:val="none" w:sz="0" w:space="0" w:color="auto"/>
        <w:right w:val="none" w:sz="0" w:space="0" w:color="auto"/>
      </w:divBdr>
    </w:div>
    <w:div w:id="602080587">
      <w:bodyDiv w:val="1"/>
      <w:marLeft w:val="0"/>
      <w:marRight w:val="0"/>
      <w:marTop w:val="0"/>
      <w:marBottom w:val="0"/>
      <w:divBdr>
        <w:top w:val="none" w:sz="0" w:space="0" w:color="auto"/>
        <w:left w:val="none" w:sz="0" w:space="0" w:color="auto"/>
        <w:bottom w:val="none" w:sz="0" w:space="0" w:color="auto"/>
        <w:right w:val="none" w:sz="0" w:space="0" w:color="auto"/>
      </w:divBdr>
    </w:div>
    <w:div w:id="603806176">
      <w:bodyDiv w:val="1"/>
      <w:marLeft w:val="0"/>
      <w:marRight w:val="0"/>
      <w:marTop w:val="0"/>
      <w:marBottom w:val="0"/>
      <w:divBdr>
        <w:top w:val="none" w:sz="0" w:space="0" w:color="auto"/>
        <w:left w:val="none" w:sz="0" w:space="0" w:color="auto"/>
        <w:bottom w:val="none" w:sz="0" w:space="0" w:color="auto"/>
        <w:right w:val="none" w:sz="0" w:space="0" w:color="auto"/>
      </w:divBdr>
    </w:div>
    <w:div w:id="604072419">
      <w:bodyDiv w:val="1"/>
      <w:marLeft w:val="0"/>
      <w:marRight w:val="0"/>
      <w:marTop w:val="0"/>
      <w:marBottom w:val="0"/>
      <w:divBdr>
        <w:top w:val="none" w:sz="0" w:space="0" w:color="auto"/>
        <w:left w:val="none" w:sz="0" w:space="0" w:color="auto"/>
        <w:bottom w:val="none" w:sz="0" w:space="0" w:color="auto"/>
        <w:right w:val="none" w:sz="0" w:space="0" w:color="auto"/>
      </w:divBdr>
      <w:divsChild>
        <w:div w:id="1877157211">
          <w:marLeft w:val="0"/>
          <w:marRight w:val="0"/>
          <w:marTop w:val="0"/>
          <w:marBottom w:val="0"/>
          <w:divBdr>
            <w:top w:val="none" w:sz="0" w:space="0" w:color="auto"/>
            <w:left w:val="none" w:sz="0" w:space="0" w:color="auto"/>
            <w:bottom w:val="none" w:sz="0" w:space="0" w:color="auto"/>
            <w:right w:val="none" w:sz="0" w:space="0" w:color="auto"/>
          </w:divBdr>
          <w:divsChild>
            <w:div w:id="951940918">
              <w:marLeft w:val="0"/>
              <w:marRight w:val="0"/>
              <w:marTop w:val="0"/>
              <w:marBottom w:val="0"/>
              <w:divBdr>
                <w:top w:val="none" w:sz="0" w:space="0" w:color="auto"/>
                <w:left w:val="none" w:sz="0" w:space="0" w:color="auto"/>
                <w:bottom w:val="none" w:sz="0" w:space="0" w:color="auto"/>
                <w:right w:val="none" w:sz="0" w:space="0" w:color="auto"/>
              </w:divBdr>
              <w:divsChild>
                <w:div w:id="1873032200">
                  <w:marLeft w:val="0"/>
                  <w:marRight w:val="0"/>
                  <w:marTop w:val="0"/>
                  <w:marBottom w:val="0"/>
                  <w:divBdr>
                    <w:top w:val="none" w:sz="0" w:space="0" w:color="auto"/>
                    <w:left w:val="none" w:sz="0" w:space="0" w:color="auto"/>
                    <w:bottom w:val="none" w:sz="0" w:space="0" w:color="auto"/>
                    <w:right w:val="none" w:sz="0" w:space="0" w:color="auto"/>
                  </w:divBdr>
                  <w:divsChild>
                    <w:div w:id="673529356">
                      <w:marLeft w:val="0"/>
                      <w:marRight w:val="0"/>
                      <w:marTop w:val="0"/>
                      <w:marBottom w:val="0"/>
                      <w:divBdr>
                        <w:top w:val="none" w:sz="0" w:space="0" w:color="auto"/>
                        <w:left w:val="none" w:sz="0" w:space="0" w:color="auto"/>
                        <w:bottom w:val="none" w:sz="0" w:space="0" w:color="auto"/>
                        <w:right w:val="none" w:sz="0" w:space="0" w:color="auto"/>
                      </w:divBdr>
                      <w:divsChild>
                        <w:div w:id="1838809759">
                          <w:marLeft w:val="0"/>
                          <w:marRight w:val="0"/>
                          <w:marTop w:val="0"/>
                          <w:marBottom w:val="0"/>
                          <w:divBdr>
                            <w:top w:val="none" w:sz="0" w:space="0" w:color="auto"/>
                            <w:left w:val="none" w:sz="0" w:space="0" w:color="auto"/>
                            <w:bottom w:val="none" w:sz="0" w:space="0" w:color="auto"/>
                            <w:right w:val="none" w:sz="0" w:space="0" w:color="auto"/>
                          </w:divBdr>
                          <w:divsChild>
                            <w:div w:id="304819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1832880">
      <w:bodyDiv w:val="1"/>
      <w:marLeft w:val="0"/>
      <w:marRight w:val="0"/>
      <w:marTop w:val="0"/>
      <w:marBottom w:val="0"/>
      <w:divBdr>
        <w:top w:val="none" w:sz="0" w:space="0" w:color="auto"/>
        <w:left w:val="none" w:sz="0" w:space="0" w:color="auto"/>
        <w:bottom w:val="none" w:sz="0" w:space="0" w:color="auto"/>
        <w:right w:val="none" w:sz="0" w:space="0" w:color="auto"/>
      </w:divBdr>
    </w:div>
    <w:div w:id="632832028">
      <w:bodyDiv w:val="1"/>
      <w:marLeft w:val="0"/>
      <w:marRight w:val="0"/>
      <w:marTop w:val="0"/>
      <w:marBottom w:val="0"/>
      <w:divBdr>
        <w:top w:val="none" w:sz="0" w:space="0" w:color="auto"/>
        <w:left w:val="none" w:sz="0" w:space="0" w:color="auto"/>
        <w:bottom w:val="none" w:sz="0" w:space="0" w:color="auto"/>
        <w:right w:val="none" w:sz="0" w:space="0" w:color="auto"/>
      </w:divBdr>
    </w:div>
    <w:div w:id="639460989">
      <w:bodyDiv w:val="1"/>
      <w:marLeft w:val="0"/>
      <w:marRight w:val="0"/>
      <w:marTop w:val="0"/>
      <w:marBottom w:val="0"/>
      <w:divBdr>
        <w:top w:val="none" w:sz="0" w:space="0" w:color="auto"/>
        <w:left w:val="none" w:sz="0" w:space="0" w:color="auto"/>
        <w:bottom w:val="none" w:sz="0" w:space="0" w:color="auto"/>
        <w:right w:val="none" w:sz="0" w:space="0" w:color="auto"/>
      </w:divBdr>
    </w:div>
    <w:div w:id="642542018">
      <w:bodyDiv w:val="1"/>
      <w:marLeft w:val="0"/>
      <w:marRight w:val="0"/>
      <w:marTop w:val="0"/>
      <w:marBottom w:val="0"/>
      <w:divBdr>
        <w:top w:val="none" w:sz="0" w:space="0" w:color="auto"/>
        <w:left w:val="none" w:sz="0" w:space="0" w:color="auto"/>
        <w:bottom w:val="none" w:sz="0" w:space="0" w:color="auto"/>
        <w:right w:val="none" w:sz="0" w:space="0" w:color="auto"/>
      </w:divBdr>
    </w:div>
    <w:div w:id="649797188">
      <w:bodyDiv w:val="1"/>
      <w:marLeft w:val="0"/>
      <w:marRight w:val="0"/>
      <w:marTop w:val="0"/>
      <w:marBottom w:val="0"/>
      <w:divBdr>
        <w:top w:val="none" w:sz="0" w:space="0" w:color="auto"/>
        <w:left w:val="none" w:sz="0" w:space="0" w:color="auto"/>
        <w:bottom w:val="none" w:sz="0" w:space="0" w:color="auto"/>
        <w:right w:val="none" w:sz="0" w:space="0" w:color="auto"/>
      </w:divBdr>
    </w:div>
    <w:div w:id="651715163">
      <w:bodyDiv w:val="1"/>
      <w:marLeft w:val="0"/>
      <w:marRight w:val="0"/>
      <w:marTop w:val="0"/>
      <w:marBottom w:val="0"/>
      <w:divBdr>
        <w:top w:val="none" w:sz="0" w:space="0" w:color="auto"/>
        <w:left w:val="none" w:sz="0" w:space="0" w:color="auto"/>
        <w:bottom w:val="none" w:sz="0" w:space="0" w:color="auto"/>
        <w:right w:val="none" w:sz="0" w:space="0" w:color="auto"/>
      </w:divBdr>
    </w:div>
    <w:div w:id="655114789">
      <w:bodyDiv w:val="1"/>
      <w:marLeft w:val="0"/>
      <w:marRight w:val="0"/>
      <w:marTop w:val="0"/>
      <w:marBottom w:val="0"/>
      <w:divBdr>
        <w:top w:val="none" w:sz="0" w:space="0" w:color="auto"/>
        <w:left w:val="none" w:sz="0" w:space="0" w:color="auto"/>
        <w:bottom w:val="none" w:sz="0" w:space="0" w:color="auto"/>
        <w:right w:val="none" w:sz="0" w:space="0" w:color="auto"/>
      </w:divBdr>
    </w:div>
    <w:div w:id="656887458">
      <w:bodyDiv w:val="1"/>
      <w:marLeft w:val="0"/>
      <w:marRight w:val="0"/>
      <w:marTop w:val="0"/>
      <w:marBottom w:val="0"/>
      <w:divBdr>
        <w:top w:val="none" w:sz="0" w:space="0" w:color="auto"/>
        <w:left w:val="none" w:sz="0" w:space="0" w:color="auto"/>
        <w:bottom w:val="none" w:sz="0" w:space="0" w:color="auto"/>
        <w:right w:val="none" w:sz="0" w:space="0" w:color="auto"/>
      </w:divBdr>
    </w:div>
    <w:div w:id="670839757">
      <w:bodyDiv w:val="1"/>
      <w:marLeft w:val="0"/>
      <w:marRight w:val="0"/>
      <w:marTop w:val="0"/>
      <w:marBottom w:val="0"/>
      <w:divBdr>
        <w:top w:val="none" w:sz="0" w:space="0" w:color="auto"/>
        <w:left w:val="none" w:sz="0" w:space="0" w:color="auto"/>
        <w:bottom w:val="none" w:sz="0" w:space="0" w:color="auto"/>
        <w:right w:val="none" w:sz="0" w:space="0" w:color="auto"/>
      </w:divBdr>
    </w:div>
    <w:div w:id="671105069">
      <w:bodyDiv w:val="1"/>
      <w:marLeft w:val="0"/>
      <w:marRight w:val="0"/>
      <w:marTop w:val="0"/>
      <w:marBottom w:val="0"/>
      <w:divBdr>
        <w:top w:val="none" w:sz="0" w:space="0" w:color="auto"/>
        <w:left w:val="none" w:sz="0" w:space="0" w:color="auto"/>
        <w:bottom w:val="none" w:sz="0" w:space="0" w:color="auto"/>
        <w:right w:val="none" w:sz="0" w:space="0" w:color="auto"/>
      </w:divBdr>
    </w:div>
    <w:div w:id="686715780">
      <w:bodyDiv w:val="1"/>
      <w:marLeft w:val="0"/>
      <w:marRight w:val="0"/>
      <w:marTop w:val="0"/>
      <w:marBottom w:val="0"/>
      <w:divBdr>
        <w:top w:val="none" w:sz="0" w:space="0" w:color="auto"/>
        <w:left w:val="none" w:sz="0" w:space="0" w:color="auto"/>
        <w:bottom w:val="none" w:sz="0" w:space="0" w:color="auto"/>
        <w:right w:val="none" w:sz="0" w:space="0" w:color="auto"/>
      </w:divBdr>
    </w:div>
    <w:div w:id="688528213">
      <w:bodyDiv w:val="1"/>
      <w:marLeft w:val="0"/>
      <w:marRight w:val="0"/>
      <w:marTop w:val="0"/>
      <w:marBottom w:val="0"/>
      <w:divBdr>
        <w:top w:val="none" w:sz="0" w:space="0" w:color="auto"/>
        <w:left w:val="none" w:sz="0" w:space="0" w:color="auto"/>
        <w:bottom w:val="none" w:sz="0" w:space="0" w:color="auto"/>
        <w:right w:val="none" w:sz="0" w:space="0" w:color="auto"/>
      </w:divBdr>
    </w:div>
    <w:div w:id="689455460">
      <w:bodyDiv w:val="1"/>
      <w:marLeft w:val="0"/>
      <w:marRight w:val="0"/>
      <w:marTop w:val="0"/>
      <w:marBottom w:val="0"/>
      <w:divBdr>
        <w:top w:val="none" w:sz="0" w:space="0" w:color="auto"/>
        <w:left w:val="none" w:sz="0" w:space="0" w:color="auto"/>
        <w:bottom w:val="none" w:sz="0" w:space="0" w:color="auto"/>
        <w:right w:val="none" w:sz="0" w:space="0" w:color="auto"/>
      </w:divBdr>
    </w:div>
    <w:div w:id="695498527">
      <w:bodyDiv w:val="1"/>
      <w:marLeft w:val="0"/>
      <w:marRight w:val="0"/>
      <w:marTop w:val="0"/>
      <w:marBottom w:val="0"/>
      <w:divBdr>
        <w:top w:val="none" w:sz="0" w:space="0" w:color="auto"/>
        <w:left w:val="none" w:sz="0" w:space="0" w:color="auto"/>
        <w:bottom w:val="none" w:sz="0" w:space="0" w:color="auto"/>
        <w:right w:val="none" w:sz="0" w:space="0" w:color="auto"/>
      </w:divBdr>
    </w:div>
    <w:div w:id="697656446">
      <w:bodyDiv w:val="1"/>
      <w:marLeft w:val="0"/>
      <w:marRight w:val="0"/>
      <w:marTop w:val="0"/>
      <w:marBottom w:val="0"/>
      <w:divBdr>
        <w:top w:val="none" w:sz="0" w:space="0" w:color="auto"/>
        <w:left w:val="none" w:sz="0" w:space="0" w:color="auto"/>
        <w:bottom w:val="none" w:sz="0" w:space="0" w:color="auto"/>
        <w:right w:val="none" w:sz="0" w:space="0" w:color="auto"/>
      </w:divBdr>
    </w:div>
    <w:div w:id="702754610">
      <w:bodyDiv w:val="1"/>
      <w:marLeft w:val="0"/>
      <w:marRight w:val="0"/>
      <w:marTop w:val="0"/>
      <w:marBottom w:val="0"/>
      <w:divBdr>
        <w:top w:val="none" w:sz="0" w:space="0" w:color="auto"/>
        <w:left w:val="none" w:sz="0" w:space="0" w:color="auto"/>
        <w:bottom w:val="none" w:sz="0" w:space="0" w:color="auto"/>
        <w:right w:val="none" w:sz="0" w:space="0" w:color="auto"/>
      </w:divBdr>
    </w:div>
    <w:div w:id="703216788">
      <w:bodyDiv w:val="1"/>
      <w:marLeft w:val="0"/>
      <w:marRight w:val="0"/>
      <w:marTop w:val="0"/>
      <w:marBottom w:val="0"/>
      <w:divBdr>
        <w:top w:val="none" w:sz="0" w:space="0" w:color="auto"/>
        <w:left w:val="none" w:sz="0" w:space="0" w:color="auto"/>
        <w:bottom w:val="none" w:sz="0" w:space="0" w:color="auto"/>
        <w:right w:val="none" w:sz="0" w:space="0" w:color="auto"/>
      </w:divBdr>
    </w:div>
    <w:div w:id="703945863">
      <w:bodyDiv w:val="1"/>
      <w:marLeft w:val="0"/>
      <w:marRight w:val="0"/>
      <w:marTop w:val="0"/>
      <w:marBottom w:val="0"/>
      <w:divBdr>
        <w:top w:val="none" w:sz="0" w:space="0" w:color="auto"/>
        <w:left w:val="none" w:sz="0" w:space="0" w:color="auto"/>
        <w:bottom w:val="none" w:sz="0" w:space="0" w:color="auto"/>
        <w:right w:val="none" w:sz="0" w:space="0" w:color="auto"/>
      </w:divBdr>
    </w:div>
    <w:div w:id="710611736">
      <w:bodyDiv w:val="1"/>
      <w:marLeft w:val="0"/>
      <w:marRight w:val="0"/>
      <w:marTop w:val="0"/>
      <w:marBottom w:val="0"/>
      <w:divBdr>
        <w:top w:val="none" w:sz="0" w:space="0" w:color="auto"/>
        <w:left w:val="none" w:sz="0" w:space="0" w:color="auto"/>
        <w:bottom w:val="none" w:sz="0" w:space="0" w:color="auto"/>
        <w:right w:val="none" w:sz="0" w:space="0" w:color="auto"/>
      </w:divBdr>
    </w:div>
    <w:div w:id="738402649">
      <w:bodyDiv w:val="1"/>
      <w:marLeft w:val="0"/>
      <w:marRight w:val="0"/>
      <w:marTop w:val="0"/>
      <w:marBottom w:val="0"/>
      <w:divBdr>
        <w:top w:val="none" w:sz="0" w:space="0" w:color="auto"/>
        <w:left w:val="none" w:sz="0" w:space="0" w:color="auto"/>
        <w:bottom w:val="none" w:sz="0" w:space="0" w:color="auto"/>
        <w:right w:val="none" w:sz="0" w:space="0" w:color="auto"/>
      </w:divBdr>
    </w:div>
    <w:div w:id="744956200">
      <w:bodyDiv w:val="1"/>
      <w:marLeft w:val="0"/>
      <w:marRight w:val="0"/>
      <w:marTop w:val="0"/>
      <w:marBottom w:val="0"/>
      <w:divBdr>
        <w:top w:val="none" w:sz="0" w:space="0" w:color="auto"/>
        <w:left w:val="none" w:sz="0" w:space="0" w:color="auto"/>
        <w:bottom w:val="none" w:sz="0" w:space="0" w:color="auto"/>
        <w:right w:val="none" w:sz="0" w:space="0" w:color="auto"/>
      </w:divBdr>
    </w:div>
    <w:div w:id="745569443">
      <w:bodyDiv w:val="1"/>
      <w:marLeft w:val="0"/>
      <w:marRight w:val="0"/>
      <w:marTop w:val="0"/>
      <w:marBottom w:val="0"/>
      <w:divBdr>
        <w:top w:val="none" w:sz="0" w:space="0" w:color="auto"/>
        <w:left w:val="none" w:sz="0" w:space="0" w:color="auto"/>
        <w:bottom w:val="none" w:sz="0" w:space="0" w:color="auto"/>
        <w:right w:val="none" w:sz="0" w:space="0" w:color="auto"/>
      </w:divBdr>
    </w:div>
    <w:div w:id="761533375">
      <w:bodyDiv w:val="1"/>
      <w:marLeft w:val="0"/>
      <w:marRight w:val="0"/>
      <w:marTop w:val="0"/>
      <w:marBottom w:val="0"/>
      <w:divBdr>
        <w:top w:val="none" w:sz="0" w:space="0" w:color="auto"/>
        <w:left w:val="none" w:sz="0" w:space="0" w:color="auto"/>
        <w:bottom w:val="none" w:sz="0" w:space="0" w:color="auto"/>
        <w:right w:val="none" w:sz="0" w:space="0" w:color="auto"/>
      </w:divBdr>
    </w:div>
    <w:div w:id="783112597">
      <w:bodyDiv w:val="1"/>
      <w:marLeft w:val="0"/>
      <w:marRight w:val="0"/>
      <w:marTop w:val="0"/>
      <w:marBottom w:val="0"/>
      <w:divBdr>
        <w:top w:val="none" w:sz="0" w:space="0" w:color="auto"/>
        <w:left w:val="none" w:sz="0" w:space="0" w:color="auto"/>
        <w:bottom w:val="none" w:sz="0" w:space="0" w:color="auto"/>
        <w:right w:val="none" w:sz="0" w:space="0" w:color="auto"/>
      </w:divBdr>
    </w:div>
    <w:div w:id="784731494">
      <w:bodyDiv w:val="1"/>
      <w:marLeft w:val="0"/>
      <w:marRight w:val="0"/>
      <w:marTop w:val="0"/>
      <w:marBottom w:val="0"/>
      <w:divBdr>
        <w:top w:val="none" w:sz="0" w:space="0" w:color="auto"/>
        <w:left w:val="none" w:sz="0" w:space="0" w:color="auto"/>
        <w:bottom w:val="none" w:sz="0" w:space="0" w:color="auto"/>
        <w:right w:val="none" w:sz="0" w:space="0" w:color="auto"/>
      </w:divBdr>
    </w:div>
    <w:div w:id="786967293">
      <w:bodyDiv w:val="1"/>
      <w:marLeft w:val="0"/>
      <w:marRight w:val="0"/>
      <w:marTop w:val="0"/>
      <w:marBottom w:val="0"/>
      <w:divBdr>
        <w:top w:val="none" w:sz="0" w:space="0" w:color="auto"/>
        <w:left w:val="none" w:sz="0" w:space="0" w:color="auto"/>
        <w:bottom w:val="none" w:sz="0" w:space="0" w:color="auto"/>
        <w:right w:val="none" w:sz="0" w:space="0" w:color="auto"/>
      </w:divBdr>
    </w:div>
    <w:div w:id="803694652">
      <w:bodyDiv w:val="1"/>
      <w:marLeft w:val="0"/>
      <w:marRight w:val="0"/>
      <w:marTop w:val="0"/>
      <w:marBottom w:val="0"/>
      <w:divBdr>
        <w:top w:val="none" w:sz="0" w:space="0" w:color="auto"/>
        <w:left w:val="none" w:sz="0" w:space="0" w:color="auto"/>
        <w:bottom w:val="none" w:sz="0" w:space="0" w:color="auto"/>
        <w:right w:val="none" w:sz="0" w:space="0" w:color="auto"/>
      </w:divBdr>
    </w:div>
    <w:div w:id="812795881">
      <w:bodyDiv w:val="1"/>
      <w:marLeft w:val="0"/>
      <w:marRight w:val="0"/>
      <w:marTop w:val="0"/>
      <w:marBottom w:val="0"/>
      <w:divBdr>
        <w:top w:val="none" w:sz="0" w:space="0" w:color="auto"/>
        <w:left w:val="none" w:sz="0" w:space="0" w:color="auto"/>
        <w:bottom w:val="none" w:sz="0" w:space="0" w:color="auto"/>
        <w:right w:val="none" w:sz="0" w:space="0" w:color="auto"/>
      </w:divBdr>
    </w:div>
    <w:div w:id="819924384">
      <w:bodyDiv w:val="1"/>
      <w:marLeft w:val="0"/>
      <w:marRight w:val="0"/>
      <w:marTop w:val="0"/>
      <w:marBottom w:val="0"/>
      <w:divBdr>
        <w:top w:val="none" w:sz="0" w:space="0" w:color="auto"/>
        <w:left w:val="none" w:sz="0" w:space="0" w:color="auto"/>
        <w:bottom w:val="none" w:sz="0" w:space="0" w:color="auto"/>
        <w:right w:val="none" w:sz="0" w:space="0" w:color="auto"/>
      </w:divBdr>
    </w:div>
    <w:div w:id="825629885">
      <w:bodyDiv w:val="1"/>
      <w:marLeft w:val="0"/>
      <w:marRight w:val="0"/>
      <w:marTop w:val="0"/>
      <w:marBottom w:val="0"/>
      <w:divBdr>
        <w:top w:val="none" w:sz="0" w:space="0" w:color="auto"/>
        <w:left w:val="none" w:sz="0" w:space="0" w:color="auto"/>
        <w:bottom w:val="none" w:sz="0" w:space="0" w:color="auto"/>
        <w:right w:val="none" w:sz="0" w:space="0" w:color="auto"/>
      </w:divBdr>
    </w:div>
    <w:div w:id="845366340">
      <w:bodyDiv w:val="1"/>
      <w:marLeft w:val="0"/>
      <w:marRight w:val="0"/>
      <w:marTop w:val="0"/>
      <w:marBottom w:val="0"/>
      <w:divBdr>
        <w:top w:val="none" w:sz="0" w:space="0" w:color="auto"/>
        <w:left w:val="none" w:sz="0" w:space="0" w:color="auto"/>
        <w:bottom w:val="none" w:sz="0" w:space="0" w:color="auto"/>
        <w:right w:val="none" w:sz="0" w:space="0" w:color="auto"/>
      </w:divBdr>
      <w:divsChild>
        <w:div w:id="461463220">
          <w:marLeft w:val="0"/>
          <w:marRight w:val="0"/>
          <w:marTop w:val="0"/>
          <w:marBottom w:val="0"/>
          <w:divBdr>
            <w:top w:val="none" w:sz="0" w:space="0" w:color="auto"/>
            <w:left w:val="none" w:sz="0" w:space="0" w:color="auto"/>
            <w:bottom w:val="none" w:sz="0" w:space="0" w:color="auto"/>
            <w:right w:val="none" w:sz="0" w:space="0" w:color="auto"/>
          </w:divBdr>
        </w:div>
        <w:div w:id="665859019">
          <w:marLeft w:val="0"/>
          <w:marRight w:val="0"/>
          <w:marTop w:val="0"/>
          <w:marBottom w:val="0"/>
          <w:divBdr>
            <w:top w:val="none" w:sz="0" w:space="0" w:color="auto"/>
            <w:left w:val="none" w:sz="0" w:space="0" w:color="auto"/>
            <w:bottom w:val="none" w:sz="0" w:space="0" w:color="auto"/>
            <w:right w:val="none" w:sz="0" w:space="0" w:color="auto"/>
          </w:divBdr>
        </w:div>
      </w:divsChild>
    </w:div>
    <w:div w:id="845830758">
      <w:bodyDiv w:val="1"/>
      <w:marLeft w:val="0"/>
      <w:marRight w:val="0"/>
      <w:marTop w:val="0"/>
      <w:marBottom w:val="0"/>
      <w:divBdr>
        <w:top w:val="none" w:sz="0" w:space="0" w:color="auto"/>
        <w:left w:val="none" w:sz="0" w:space="0" w:color="auto"/>
        <w:bottom w:val="none" w:sz="0" w:space="0" w:color="auto"/>
        <w:right w:val="none" w:sz="0" w:space="0" w:color="auto"/>
      </w:divBdr>
    </w:div>
    <w:div w:id="848056683">
      <w:bodyDiv w:val="1"/>
      <w:marLeft w:val="0"/>
      <w:marRight w:val="0"/>
      <w:marTop w:val="0"/>
      <w:marBottom w:val="0"/>
      <w:divBdr>
        <w:top w:val="none" w:sz="0" w:space="0" w:color="auto"/>
        <w:left w:val="none" w:sz="0" w:space="0" w:color="auto"/>
        <w:bottom w:val="none" w:sz="0" w:space="0" w:color="auto"/>
        <w:right w:val="none" w:sz="0" w:space="0" w:color="auto"/>
      </w:divBdr>
      <w:divsChild>
        <w:div w:id="2115980138">
          <w:marLeft w:val="0"/>
          <w:marRight w:val="0"/>
          <w:marTop w:val="0"/>
          <w:marBottom w:val="0"/>
          <w:divBdr>
            <w:top w:val="none" w:sz="0" w:space="0" w:color="auto"/>
            <w:left w:val="none" w:sz="0" w:space="0" w:color="auto"/>
            <w:bottom w:val="none" w:sz="0" w:space="0" w:color="auto"/>
            <w:right w:val="none" w:sz="0" w:space="0" w:color="auto"/>
          </w:divBdr>
          <w:divsChild>
            <w:div w:id="961034107">
              <w:marLeft w:val="0"/>
              <w:marRight w:val="0"/>
              <w:marTop w:val="0"/>
              <w:marBottom w:val="0"/>
              <w:divBdr>
                <w:top w:val="none" w:sz="0" w:space="0" w:color="auto"/>
                <w:left w:val="none" w:sz="0" w:space="0" w:color="auto"/>
                <w:bottom w:val="none" w:sz="0" w:space="0" w:color="auto"/>
                <w:right w:val="none" w:sz="0" w:space="0" w:color="auto"/>
              </w:divBdr>
              <w:divsChild>
                <w:div w:id="16737220">
                  <w:marLeft w:val="0"/>
                  <w:marRight w:val="0"/>
                  <w:marTop w:val="0"/>
                  <w:marBottom w:val="0"/>
                  <w:divBdr>
                    <w:top w:val="none" w:sz="0" w:space="0" w:color="auto"/>
                    <w:left w:val="none" w:sz="0" w:space="0" w:color="auto"/>
                    <w:bottom w:val="none" w:sz="0" w:space="0" w:color="auto"/>
                    <w:right w:val="none" w:sz="0" w:space="0" w:color="auto"/>
                  </w:divBdr>
                  <w:divsChild>
                    <w:div w:id="1665162890">
                      <w:marLeft w:val="0"/>
                      <w:marRight w:val="0"/>
                      <w:marTop w:val="0"/>
                      <w:marBottom w:val="0"/>
                      <w:divBdr>
                        <w:top w:val="none" w:sz="0" w:space="0" w:color="auto"/>
                        <w:left w:val="none" w:sz="0" w:space="0" w:color="auto"/>
                        <w:bottom w:val="none" w:sz="0" w:space="0" w:color="auto"/>
                        <w:right w:val="none" w:sz="0" w:space="0" w:color="auto"/>
                      </w:divBdr>
                      <w:divsChild>
                        <w:div w:id="629090339">
                          <w:marLeft w:val="0"/>
                          <w:marRight w:val="0"/>
                          <w:marTop w:val="0"/>
                          <w:marBottom w:val="0"/>
                          <w:divBdr>
                            <w:top w:val="none" w:sz="0" w:space="0" w:color="auto"/>
                            <w:left w:val="none" w:sz="0" w:space="0" w:color="auto"/>
                            <w:bottom w:val="none" w:sz="0" w:space="0" w:color="auto"/>
                            <w:right w:val="none" w:sz="0" w:space="0" w:color="auto"/>
                          </w:divBdr>
                          <w:divsChild>
                            <w:div w:id="1150051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450511">
                  <w:marLeft w:val="0"/>
                  <w:marRight w:val="0"/>
                  <w:marTop w:val="0"/>
                  <w:marBottom w:val="0"/>
                  <w:divBdr>
                    <w:top w:val="none" w:sz="0" w:space="0" w:color="auto"/>
                    <w:left w:val="none" w:sz="0" w:space="0" w:color="auto"/>
                    <w:bottom w:val="none" w:sz="0" w:space="0" w:color="auto"/>
                    <w:right w:val="none" w:sz="0" w:space="0" w:color="auto"/>
                  </w:divBdr>
                  <w:divsChild>
                    <w:div w:id="198746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2061542">
      <w:bodyDiv w:val="1"/>
      <w:marLeft w:val="0"/>
      <w:marRight w:val="0"/>
      <w:marTop w:val="0"/>
      <w:marBottom w:val="0"/>
      <w:divBdr>
        <w:top w:val="none" w:sz="0" w:space="0" w:color="auto"/>
        <w:left w:val="none" w:sz="0" w:space="0" w:color="auto"/>
        <w:bottom w:val="none" w:sz="0" w:space="0" w:color="auto"/>
        <w:right w:val="none" w:sz="0" w:space="0" w:color="auto"/>
      </w:divBdr>
    </w:div>
    <w:div w:id="871763871">
      <w:bodyDiv w:val="1"/>
      <w:marLeft w:val="0"/>
      <w:marRight w:val="0"/>
      <w:marTop w:val="0"/>
      <w:marBottom w:val="0"/>
      <w:divBdr>
        <w:top w:val="none" w:sz="0" w:space="0" w:color="auto"/>
        <w:left w:val="none" w:sz="0" w:space="0" w:color="auto"/>
        <w:bottom w:val="none" w:sz="0" w:space="0" w:color="auto"/>
        <w:right w:val="none" w:sz="0" w:space="0" w:color="auto"/>
      </w:divBdr>
    </w:div>
    <w:div w:id="890651601">
      <w:bodyDiv w:val="1"/>
      <w:marLeft w:val="0"/>
      <w:marRight w:val="0"/>
      <w:marTop w:val="0"/>
      <w:marBottom w:val="0"/>
      <w:divBdr>
        <w:top w:val="none" w:sz="0" w:space="0" w:color="auto"/>
        <w:left w:val="none" w:sz="0" w:space="0" w:color="auto"/>
        <w:bottom w:val="none" w:sz="0" w:space="0" w:color="auto"/>
        <w:right w:val="none" w:sz="0" w:space="0" w:color="auto"/>
      </w:divBdr>
    </w:div>
    <w:div w:id="905066365">
      <w:bodyDiv w:val="1"/>
      <w:marLeft w:val="0"/>
      <w:marRight w:val="0"/>
      <w:marTop w:val="0"/>
      <w:marBottom w:val="0"/>
      <w:divBdr>
        <w:top w:val="none" w:sz="0" w:space="0" w:color="auto"/>
        <w:left w:val="none" w:sz="0" w:space="0" w:color="auto"/>
        <w:bottom w:val="none" w:sz="0" w:space="0" w:color="auto"/>
        <w:right w:val="none" w:sz="0" w:space="0" w:color="auto"/>
      </w:divBdr>
    </w:div>
    <w:div w:id="905990719">
      <w:bodyDiv w:val="1"/>
      <w:marLeft w:val="0"/>
      <w:marRight w:val="0"/>
      <w:marTop w:val="0"/>
      <w:marBottom w:val="0"/>
      <w:divBdr>
        <w:top w:val="none" w:sz="0" w:space="0" w:color="auto"/>
        <w:left w:val="none" w:sz="0" w:space="0" w:color="auto"/>
        <w:bottom w:val="none" w:sz="0" w:space="0" w:color="auto"/>
        <w:right w:val="none" w:sz="0" w:space="0" w:color="auto"/>
      </w:divBdr>
    </w:div>
    <w:div w:id="908275036">
      <w:bodyDiv w:val="1"/>
      <w:marLeft w:val="0"/>
      <w:marRight w:val="0"/>
      <w:marTop w:val="0"/>
      <w:marBottom w:val="0"/>
      <w:divBdr>
        <w:top w:val="none" w:sz="0" w:space="0" w:color="auto"/>
        <w:left w:val="none" w:sz="0" w:space="0" w:color="auto"/>
        <w:bottom w:val="none" w:sz="0" w:space="0" w:color="auto"/>
        <w:right w:val="none" w:sz="0" w:space="0" w:color="auto"/>
      </w:divBdr>
    </w:div>
    <w:div w:id="913047792">
      <w:bodyDiv w:val="1"/>
      <w:marLeft w:val="0"/>
      <w:marRight w:val="0"/>
      <w:marTop w:val="0"/>
      <w:marBottom w:val="0"/>
      <w:divBdr>
        <w:top w:val="none" w:sz="0" w:space="0" w:color="auto"/>
        <w:left w:val="none" w:sz="0" w:space="0" w:color="auto"/>
        <w:bottom w:val="none" w:sz="0" w:space="0" w:color="auto"/>
        <w:right w:val="none" w:sz="0" w:space="0" w:color="auto"/>
      </w:divBdr>
    </w:div>
    <w:div w:id="914559300">
      <w:bodyDiv w:val="1"/>
      <w:marLeft w:val="0"/>
      <w:marRight w:val="0"/>
      <w:marTop w:val="0"/>
      <w:marBottom w:val="0"/>
      <w:divBdr>
        <w:top w:val="none" w:sz="0" w:space="0" w:color="auto"/>
        <w:left w:val="none" w:sz="0" w:space="0" w:color="auto"/>
        <w:bottom w:val="none" w:sz="0" w:space="0" w:color="auto"/>
        <w:right w:val="none" w:sz="0" w:space="0" w:color="auto"/>
      </w:divBdr>
    </w:div>
    <w:div w:id="920338298">
      <w:bodyDiv w:val="1"/>
      <w:marLeft w:val="0"/>
      <w:marRight w:val="0"/>
      <w:marTop w:val="0"/>
      <w:marBottom w:val="0"/>
      <w:divBdr>
        <w:top w:val="none" w:sz="0" w:space="0" w:color="auto"/>
        <w:left w:val="none" w:sz="0" w:space="0" w:color="auto"/>
        <w:bottom w:val="none" w:sz="0" w:space="0" w:color="auto"/>
        <w:right w:val="none" w:sz="0" w:space="0" w:color="auto"/>
      </w:divBdr>
    </w:div>
    <w:div w:id="922033075">
      <w:bodyDiv w:val="1"/>
      <w:marLeft w:val="0"/>
      <w:marRight w:val="0"/>
      <w:marTop w:val="0"/>
      <w:marBottom w:val="0"/>
      <w:divBdr>
        <w:top w:val="none" w:sz="0" w:space="0" w:color="auto"/>
        <w:left w:val="none" w:sz="0" w:space="0" w:color="auto"/>
        <w:bottom w:val="none" w:sz="0" w:space="0" w:color="auto"/>
        <w:right w:val="none" w:sz="0" w:space="0" w:color="auto"/>
      </w:divBdr>
    </w:div>
    <w:div w:id="923683707">
      <w:bodyDiv w:val="1"/>
      <w:marLeft w:val="0"/>
      <w:marRight w:val="0"/>
      <w:marTop w:val="0"/>
      <w:marBottom w:val="0"/>
      <w:divBdr>
        <w:top w:val="none" w:sz="0" w:space="0" w:color="auto"/>
        <w:left w:val="none" w:sz="0" w:space="0" w:color="auto"/>
        <w:bottom w:val="none" w:sz="0" w:space="0" w:color="auto"/>
        <w:right w:val="none" w:sz="0" w:space="0" w:color="auto"/>
      </w:divBdr>
    </w:div>
    <w:div w:id="930940907">
      <w:bodyDiv w:val="1"/>
      <w:marLeft w:val="0"/>
      <w:marRight w:val="0"/>
      <w:marTop w:val="0"/>
      <w:marBottom w:val="0"/>
      <w:divBdr>
        <w:top w:val="none" w:sz="0" w:space="0" w:color="auto"/>
        <w:left w:val="none" w:sz="0" w:space="0" w:color="auto"/>
        <w:bottom w:val="none" w:sz="0" w:space="0" w:color="auto"/>
        <w:right w:val="none" w:sz="0" w:space="0" w:color="auto"/>
      </w:divBdr>
    </w:div>
    <w:div w:id="934091695">
      <w:bodyDiv w:val="1"/>
      <w:marLeft w:val="0"/>
      <w:marRight w:val="0"/>
      <w:marTop w:val="0"/>
      <w:marBottom w:val="0"/>
      <w:divBdr>
        <w:top w:val="none" w:sz="0" w:space="0" w:color="auto"/>
        <w:left w:val="none" w:sz="0" w:space="0" w:color="auto"/>
        <w:bottom w:val="none" w:sz="0" w:space="0" w:color="auto"/>
        <w:right w:val="none" w:sz="0" w:space="0" w:color="auto"/>
      </w:divBdr>
    </w:div>
    <w:div w:id="943154929">
      <w:bodyDiv w:val="1"/>
      <w:marLeft w:val="0"/>
      <w:marRight w:val="0"/>
      <w:marTop w:val="0"/>
      <w:marBottom w:val="0"/>
      <w:divBdr>
        <w:top w:val="none" w:sz="0" w:space="0" w:color="auto"/>
        <w:left w:val="none" w:sz="0" w:space="0" w:color="auto"/>
        <w:bottom w:val="none" w:sz="0" w:space="0" w:color="auto"/>
        <w:right w:val="none" w:sz="0" w:space="0" w:color="auto"/>
      </w:divBdr>
    </w:div>
    <w:div w:id="950665671">
      <w:bodyDiv w:val="1"/>
      <w:marLeft w:val="0"/>
      <w:marRight w:val="0"/>
      <w:marTop w:val="0"/>
      <w:marBottom w:val="0"/>
      <w:divBdr>
        <w:top w:val="none" w:sz="0" w:space="0" w:color="auto"/>
        <w:left w:val="none" w:sz="0" w:space="0" w:color="auto"/>
        <w:bottom w:val="none" w:sz="0" w:space="0" w:color="auto"/>
        <w:right w:val="none" w:sz="0" w:space="0" w:color="auto"/>
      </w:divBdr>
    </w:div>
    <w:div w:id="952438470">
      <w:bodyDiv w:val="1"/>
      <w:marLeft w:val="0"/>
      <w:marRight w:val="0"/>
      <w:marTop w:val="0"/>
      <w:marBottom w:val="0"/>
      <w:divBdr>
        <w:top w:val="none" w:sz="0" w:space="0" w:color="auto"/>
        <w:left w:val="none" w:sz="0" w:space="0" w:color="auto"/>
        <w:bottom w:val="none" w:sz="0" w:space="0" w:color="auto"/>
        <w:right w:val="none" w:sz="0" w:space="0" w:color="auto"/>
      </w:divBdr>
    </w:div>
    <w:div w:id="964894185">
      <w:bodyDiv w:val="1"/>
      <w:marLeft w:val="0"/>
      <w:marRight w:val="0"/>
      <w:marTop w:val="0"/>
      <w:marBottom w:val="0"/>
      <w:divBdr>
        <w:top w:val="none" w:sz="0" w:space="0" w:color="auto"/>
        <w:left w:val="none" w:sz="0" w:space="0" w:color="auto"/>
        <w:bottom w:val="none" w:sz="0" w:space="0" w:color="auto"/>
        <w:right w:val="none" w:sz="0" w:space="0" w:color="auto"/>
      </w:divBdr>
      <w:divsChild>
        <w:div w:id="217058490">
          <w:marLeft w:val="0"/>
          <w:marRight w:val="0"/>
          <w:marTop w:val="0"/>
          <w:marBottom w:val="0"/>
          <w:divBdr>
            <w:top w:val="none" w:sz="0" w:space="0" w:color="auto"/>
            <w:left w:val="none" w:sz="0" w:space="0" w:color="auto"/>
            <w:bottom w:val="none" w:sz="0" w:space="0" w:color="auto"/>
            <w:right w:val="none" w:sz="0" w:space="0" w:color="auto"/>
          </w:divBdr>
          <w:divsChild>
            <w:div w:id="1830366438">
              <w:marLeft w:val="0"/>
              <w:marRight w:val="0"/>
              <w:marTop w:val="0"/>
              <w:marBottom w:val="0"/>
              <w:divBdr>
                <w:top w:val="none" w:sz="0" w:space="0" w:color="auto"/>
                <w:left w:val="none" w:sz="0" w:space="0" w:color="auto"/>
                <w:bottom w:val="none" w:sz="0" w:space="0" w:color="auto"/>
                <w:right w:val="none" w:sz="0" w:space="0" w:color="auto"/>
              </w:divBdr>
              <w:divsChild>
                <w:div w:id="1110583158">
                  <w:marLeft w:val="0"/>
                  <w:marRight w:val="0"/>
                  <w:marTop w:val="0"/>
                  <w:marBottom w:val="0"/>
                  <w:divBdr>
                    <w:top w:val="none" w:sz="0" w:space="0" w:color="auto"/>
                    <w:left w:val="none" w:sz="0" w:space="0" w:color="auto"/>
                    <w:bottom w:val="none" w:sz="0" w:space="0" w:color="auto"/>
                    <w:right w:val="none" w:sz="0" w:space="0" w:color="auto"/>
                  </w:divBdr>
                  <w:divsChild>
                    <w:div w:id="527260113">
                      <w:marLeft w:val="0"/>
                      <w:marRight w:val="0"/>
                      <w:marTop w:val="0"/>
                      <w:marBottom w:val="0"/>
                      <w:divBdr>
                        <w:top w:val="none" w:sz="0" w:space="0" w:color="auto"/>
                        <w:left w:val="none" w:sz="0" w:space="0" w:color="auto"/>
                        <w:bottom w:val="none" w:sz="0" w:space="0" w:color="auto"/>
                        <w:right w:val="none" w:sz="0" w:space="0" w:color="auto"/>
                      </w:divBdr>
                      <w:divsChild>
                        <w:div w:id="271254770">
                          <w:marLeft w:val="0"/>
                          <w:marRight w:val="0"/>
                          <w:marTop w:val="0"/>
                          <w:marBottom w:val="0"/>
                          <w:divBdr>
                            <w:top w:val="none" w:sz="0" w:space="0" w:color="auto"/>
                            <w:left w:val="none" w:sz="0" w:space="0" w:color="auto"/>
                            <w:bottom w:val="none" w:sz="0" w:space="0" w:color="auto"/>
                            <w:right w:val="none" w:sz="0" w:space="0" w:color="auto"/>
                          </w:divBdr>
                          <w:divsChild>
                            <w:div w:id="1128937940">
                              <w:marLeft w:val="0"/>
                              <w:marRight w:val="0"/>
                              <w:marTop w:val="0"/>
                              <w:marBottom w:val="0"/>
                              <w:divBdr>
                                <w:top w:val="none" w:sz="0" w:space="0" w:color="auto"/>
                                <w:left w:val="none" w:sz="0" w:space="0" w:color="auto"/>
                                <w:bottom w:val="none" w:sz="0" w:space="0" w:color="auto"/>
                                <w:right w:val="none" w:sz="0" w:space="0" w:color="auto"/>
                              </w:divBdr>
                              <w:divsChild>
                                <w:div w:id="972978119">
                                  <w:marLeft w:val="0"/>
                                  <w:marRight w:val="0"/>
                                  <w:marTop w:val="0"/>
                                  <w:marBottom w:val="0"/>
                                  <w:divBdr>
                                    <w:top w:val="none" w:sz="0" w:space="0" w:color="auto"/>
                                    <w:left w:val="none" w:sz="0" w:space="0" w:color="auto"/>
                                    <w:bottom w:val="none" w:sz="0" w:space="0" w:color="auto"/>
                                    <w:right w:val="none" w:sz="0" w:space="0" w:color="auto"/>
                                  </w:divBdr>
                                  <w:divsChild>
                                    <w:div w:id="206906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291509">
                          <w:marLeft w:val="0"/>
                          <w:marRight w:val="0"/>
                          <w:marTop w:val="0"/>
                          <w:marBottom w:val="0"/>
                          <w:divBdr>
                            <w:top w:val="none" w:sz="0" w:space="0" w:color="auto"/>
                            <w:left w:val="none" w:sz="0" w:space="0" w:color="auto"/>
                            <w:bottom w:val="none" w:sz="0" w:space="0" w:color="auto"/>
                            <w:right w:val="none" w:sz="0" w:space="0" w:color="auto"/>
                          </w:divBdr>
                          <w:divsChild>
                            <w:div w:id="1882204888">
                              <w:marLeft w:val="0"/>
                              <w:marRight w:val="0"/>
                              <w:marTop w:val="0"/>
                              <w:marBottom w:val="0"/>
                              <w:divBdr>
                                <w:top w:val="none" w:sz="0" w:space="0" w:color="auto"/>
                                <w:left w:val="none" w:sz="0" w:space="0" w:color="auto"/>
                                <w:bottom w:val="none" w:sz="0" w:space="0" w:color="auto"/>
                                <w:right w:val="none" w:sz="0" w:space="0" w:color="auto"/>
                              </w:divBdr>
                              <w:divsChild>
                                <w:div w:id="956911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2953430">
      <w:bodyDiv w:val="1"/>
      <w:marLeft w:val="0"/>
      <w:marRight w:val="0"/>
      <w:marTop w:val="0"/>
      <w:marBottom w:val="0"/>
      <w:divBdr>
        <w:top w:val="none" w:sz="0" w:space="0" w:color="auto"/>
        <w:left w:val="none" w:sz="0" w:space="0" w:color="auto"/>
        <w:bottom w:val="none" w:sz="0" w:space="0" w:color="auto"/>
        <w:right w:val="none" w:sz="0" w:space="0" w:color="auto"/>
      </w:divBdr>
    </w:div>
    <w:div w:id="978925369">
      <w:bodyDiv w:val="1"/>
      <w:marLeft w:val="0"/>
      <w:marRight w:val="0"/>
      <w:marTop w:val="0"/>
      <w:marBottom w:val="0"/>
      <w:divBdr>
        <w:top w:val="none" w:sz="0" w:space="0" w:color="auto"/>
        <w:left w:val="none" w:sz="0" w:space="0" w:color="auto"/>
        <w:bottom w:val="none" w:sz="0" w:space="0" w:color="auto"/>
        <w:right w:val="none" w:sz="0" w:space="0" w:color="auto"/>
      </w:divBdr>
      <w:divsChild>
        <w:div w:id="742992156">
          <w:marLeft w:val="0"/>
          <w:marRight w:val="0"/>
          <w:marTop w:val="0"/>
          <w:marBottom w:val="0"/>
          <w:divBdr>
            <w:top w:val="none" w:sz="0" w:space="0" w:color="auto"/>
            <w:left w:val="none" w:sz="0" w:space="0" w:color="auto"/>
            <w:bottom w:val="none" w:sz="0" w:space="0" w:color="auto"/>
            <w:right w:val="none" w:sz="0" w:space="0" w:color="auto"/>
          </w:divBdr>
          <w:divsChild>
            <w:div w:id="1378970419">
              <w:marLeft w:val="0"/>
              <w:marRight w:val="0"/>
              <w:marTop w:val="0"/>
              <w:marBottom w:val="0"/>
              <w:divBdr>
                <w:top w:val="none" w:sz="0" w:space="0" w:color="auto"/>
                <w:left w:val="none" w:sz="0" w:space="0" w:color="auto"/>
                <w:bottom w:val="none" w:sz="0" w:space="0" w:color="auto"/>
                <w:right w:val="none" w:sz="0" w:space="0" w:color="auto"/>
              </w:divBdr>
              <w:divsChild>
                <w:div w:id="33165612">
                  <w:marLeft w:val="0"/>
                  <w:marRight w:val="0"/>
                  <w:marTop w:val="0"/>
                  <w:marBottom w:val="0"/>
                  <w:divBdr>
                    <w:top w:val="none" w:sz="0" w:space="0" w:color="auto"/>
                    <w:left w:val="none" w:sz="0" w:space="0" w:color="auto"/>
                    <w:bottom w:val="none" w:sz="0" w:space="0" w:color="auto"/>
                    <w:right w:val="none" w:sz="0" w:space="0" w:color="auto"/>
                  </w:divBdr>
                  <w:divsChild>
                    <w:div w:id="18817940">
                      <w:marLeft w:val="0"/>
                      <w:marRight w:val="0"/>
                      <w:marTop w:val="0"/>
                      <w:marBottom w:val="0"/>
                      <w:divBdr>
                        <w:top w:val="none" w:sz="0" w:space="0" w:color="auto"/>
                        <w:left w:val="none" w:sz="0" w:space="0" w:color="auto"/>
                        <w:bottom w:val="none" w:sz="0" w:space="0" w:color="auto"/>
                        <w:right w:val="none" w:sz="0" w:space="0" w:color="auto"/>
                      </w:divBdr>
                      <w:divsChild>
                        <w:div w:id="1453592083">
                          <w:marLeft w:val="0"/>
                          <w:marRight w:val="0"/>
                          <w:marTop w:val="0"/>
                          <w:marBottom w:val="0"/>
                          <w:divBdr>
                            <w:top w:val="none" w:sz="0" w:space="0" w:color="auto"/>
                            <w:left w:val="none" w:sz="0" w:space="0" w:color="auto"/>
                            <w:bottom w:val="none" w:sz="0" w:space="0" w:color="auto"/>
                            <w:right w:val="none" w:sz="0" w:space="0" w:color="auto"/>
                          </w:divBdr>
                          <w:divsChild>
                            <w:div w:id="718280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9947557">
      <w:bodyDiv w:val="1"/>
      <w:marLeft w:val="0"/>
      <w:marRight w:val="0"/>
      <w:marTop w:val="0"/>
      <w:marBottom w:val="0"/>
      <w:divBdr>
        <w:top w:val="none" w:sz="0" w:space="0" w:color="auto"/>
        <w:left w:val="none" w:sz="0" w:space="0" w:color="auto"/>
        <w:bottom w:val="none" w:sz="0" w:space="0" w:color="auto"/>
        <w:right w:val="none" w:sz="0" w:space="0" w:color="auto"/>
      </w:divBdr>
    </w:div>
    <w:div w:id="991376444">
      <w:bodyDiv w:val="1"/>
      <w:marLeft w:val="0"/>
      <w:marRight w:val="0"/>
      <w:marTop w:val="0"/>
      <w:marBottom w:val="0"/>
      <w:divBdr>
        <w:top w:val="none" w:sz="0" w:space="0" w:color="auto"/>
        <w:left w:val="none" w:sz="0" w:space="0" w:color="auto"/>
        <w:bottom w:val="none" w:sz="0" w:space="0" w:color="auto"/>
        <w:right w:val="none" w:sz="0" w:space="0" w:color="auto"/>
      </w:divBdr>
    </w:div>
    <w:div w:id="993802016">
      <w:bodyDiv w:val="1"/>
      <w:marLeft w:val="0"/>
      <w:marRight w:val="0"/>
      <w:marTop w:val="0"/>
      <w:marBottom w:val="0"/>
      <w:divBdr>
        <w:top w:val="none" w:sz="0" w:space="0" w:color="auto"/>
        <w:left w:val="none" w:sz="0" w:space="0" w:color="auto"/>
        <w:bottom w:val="none" w:sz="0" w:space="0" w:color="auto"/>
        <w:right w:val="none" w:sz="0" w:space="0" w:color="auto"/>
      </w:divBdr>
    </w:div>
    <w:div w:id="1001935874">
      <w:bodyDiv w:val="1"/>
      <w:marLeft w:val="0"/>
      <w:marRight w:val="0"/>
      <w:marTop w:val="0"/>
      <w:marBottom w:val="0"/>
      <w:divBdr>
        <w:top w:val="none" w:sz="0" w:space="0" w:color="auto"/>
        <w:left w:val="none" w:sz="0" w:space="0" w:color="auto"/>
        <w:bottom w:val="none" w:sz="0" w:space="0" w:color="auto"/>
        <w:right w:val="none" w:sz="0" w:space="0" w:color="auto"/>
      </w:divBdr>
    </w:div>
    <w:div w:id="1013797352">
      <w:bodyDiv w:val="1"/>
      <w:marLeft w:val="0"/>
      <w:marRight w:val="0"/>
      <w:marTop w:val="0"/>
      <w:marBottom w:val="0"/>
      <w:divBdr>
        <w:top w:val="none" w:sz="0" w:space="0" w:color="auto"/>
        <w:left w:val="none" w:sz="0" w:space="0" w:color="auto"/>
        <w:bottom w:val="none" w:sz="0" w:space="0" w:color="auto"/>
        <w:right w:val="none" w:sz="0" w:space="0" w:color="auto"/>
      </w:divBdr>
    </w:div>
    <w:div w:id="1016421675">
      <w:bodyDiv w:val="1"/>
      <w:marLeft w:val="0"/>
      <w:marRight w:val="0"/>
      <w:marTop w:val="0"/>
      <w:marBottom w:val="0"/>
      <w:divBdr>
        <w:top w:val="none" w:sz="0" w:space="0" w:color="auto"/>
        <w:left w:val="none" w:sz="0" w:space="0" w:color="auto"/>
        <w:bottom w:val="none" w:sz="0" w:space="0" w:color="auto"/>
        <w:right w:val="none" w:sz="0" w:space="0" w:color="auto"/>
      </w:divBdr>
    </w:div>
    <w:div w:id="1023750218">
      <w:bodyDiv w:val="1"/>
      <w:marLeft w:val="0"/>
      <w:marRight w:val="0"/>
      <w:marTop w:val="0"/>
      <w:marBottom w:val="0"/>
      <w:divBdr>
        <w:top w:val="none" w:sz="0" w:space="0" w:color="auto"/>
        <w:left w:val="none" w:sz="0" w:space="0" w:color="auto"/>
        <w:bottom w:val="none" w:sz="0" w:space="0" w:color="auto"/>
        <w:right w:val="none" w:sz="0" w:space="0" w:color="auto"/>
      </w:divBdr>
    </w:div>
    <w:div w:id="1043865504">
      <w:bodyDiv w:val="1"/>
      <w:marLeft w:val="0"/>
      <w:marRight w:val="0"/>
      <w:marTop w:val="0"/>
      <w:marBottom w:val="0"/>
      <w:divBdr>
        <w:top w:val="none" w:sz="0" w:space="0" w:color="auto"/>
        <w:left w:val="none" w:sz="0" w:space="0" w:color="auto"/>
        <w:bottom w:val="none" w:sz="0" w:space="0" w:color="auto"/>
        <w:right w:val="none" w:sz="0" w:space="0" w:color="auto"/>
      </w:divBdr>
    </w:div>
    <w:div w:id="1048921433">
      <w:bodyDiv w:val="1"/>
      <w:marLeft w:val="0"/>
      <w:marRight w:val="0"/>
      <w:marTop w:val="0"/>
      <w:marBottom w:val="0"/>
      <w:divBdr>
        <w:top w:val="none" w:sz="0" w:space="0" w:color="auto"/>
        <w:left w:val="none" w:sz="0" w:space="0" w:color="auto"/>
        <w:bottom w:val="none" w:sz="0" w:space="0" w:color="auto"/>
        <w:right w:val="none" w:sz="0" w:space="0" w:color="auto"/>
      </w:divBdr>
    </w:div>
    <w:div w:id="1058281695">
      <w:bodyDiv w:val="1"/>
      <w:marLeft w:val="0"/>
      <w:marRight w:val="0"/>
      <w:marTop w:val="0"/>
      <w:marBottom w:val="0"/>
      <w:divBdr>
        <w:top w:val="none" w:sz="0" w:space="0" w:color="auto"/>
        <w:left w:val="none" w:sz="0" w:space="0" w:color="auto"/>
        <w:bottom w:val="none" w:sz="0" w:space="0" w:color="auto"/>
        <w:right w:val="none" w:sz="0" w:space="0" w:color="auto"/>
      </w:divBdr>
    </w:div>
    <w:div w:id="1059549231">
      <w:bodyDiv w:val="1"/>
      <w:marLeft w:val="0"/>
      <w:marRight w:val="0"/>
      <w:marTop w:val="0"/>
      <w:marBottom w:val="0"/>
      <w:divBdr>
        <w:top w:val="none" w:sz="0" w:space="0" w:color="auto"/>
        <w:left w:val="none" w:sz="0" w:space="0" w:color="auto"/>
        <w:bottom w:val="none" w:sz="0" w:space="0" w:color="auto"/>
        <w:right w:val="none" w:sz="0" w:space="0" w:color="auto"/>
      </w:divBdr>
    </w:div>
    <w:div w:id="1065176400">
      <w:bodyDiv w:val="1"/>
      <w:marLeft w:val="0"/>
      <w:marRight w:val="0"/>
      <w:marTop w:val="0"/>
      <w:marBottom w:val="0"/>
      <w:divBdr>
        <w:top w:val="none" w:sz="0" w:space="0" w:color="auto"/>
        <w:left w:val="none" w:sz="0" w:space="0" w:color="auto"/>
        <w:bottom w:val="none" w:sz="0" w:space="0" w:color="auto"/>
        <w:right w:val="none" w:sz="0" w:space="0" w:color="auto"/>
      </w:divBdr>
    </w:div>
    <w:div w:id="1073350758">
      <w:bodyDiv w:val="1"/>
      <w:marLeft w:val="0"/>
      <w:marRight w:val="0"/>
      <w:marTop w:val="0"/>
      <w:marBottom w:val="0"/>
      <w:divBdr>
        <w:top w:val="none" w:sz="0" w:space="0" w:color="auto"/>
        <w:left w:val="none" w:sz="0" w:space="0" w:color="auto"/>
        <w:bottom w:val="none" w:sz="0" w:space="0" w:color="auto"/>
        <w:right w:val="none" w:sz="0" w:space="0" w:color="auto"/>
      </w:divBdr>
    </w:div>
    <w:div w:id="1080643551">
      <w:bodyDiv w:val="1"/>
      <w:marLeft w:val="0"/>
      <w:marRight w:val="0"/>
      <w:marTop w:val="0"/>
      <w:marBottom w:val="0"/>
      <w:divBdr>
        <w:top w:val="none" w:sz="0" w:space="0" w:color="auto"/>
        <w:left w:val="none" w:sz="0" w:space="0" w:color="auto"/>
        <w:bottom w:val="none" w:sz="0" w:space="0" w:color="auto"/>
        <w:right w:val="none" w:sz="0" w:space="0" w:color="auto"/>
      </w:divBdr>
    </w:div>
    <w:div w:id="1080713903">
      <w:bodyDiv w:val="1"/>
      <w:marLeft w:val="0"/>
      <w:marRight w:val="0"/>
      <w:marTop w:val="0"/>
      <w:marBottom w:val="0"/>
      <w:divBdr>
        <w:top w:val="none" w:sz="0" w:space="0" w:color="auto"/>
        <w:left w:val="none" w:sz="0" w:space="0" w:color="auto"/>
        <w:bottom w:val="none" w:sz="0" w:space="0" w:color="auto"/>
        <w:right w:val="none" w:sz="0" w:space="0" w:color="auto"/>
      </w:divBdr>
    </w:div>
    <w:div w:id="1087842649">
      <w:bodyDiv w:val="1"/>
      <w:marLeft w:val="0"/>
      <w:marRight w:val="0"/>
      <w:marTop w:val="0"/>
      <w:marBottom w:val="0"/>
      <w:divBdr>
        <w:top w:val="none" w:sz="0" w:space="0" w:color="auto"/>
        <w:left w:val="none" w:sz="0" w:space="0" w:color="auto"/>
        <w:bottom w:val="none" w:sz="0" w:space="0" w:color="auto"/>
        <w:right w:val="none" w:sz="0" w:space="0" w:color="auto"/>
      </w:divBdr>
    </w:div>
    <w:div w:id="1088384979">
      <w:bodyDiv w:val="1"/>
      <w:marLeft w:val="0"/>
      <w:marRight w:val="0"/>
      <w:marTop w:val="0"/>
      <w:marBottom w:val="0"/>
      <w:divBdr>
        <w:top w:val="none" w:sz="0" w:space="0" w:color="auto"/>
        <w:left w:val="none" w:sz="0" w:space="0" w:color="auto"/>
        <w:bottom w:val="none" w:sz="0" w:space="0" w:color="auto"/>
        <w:right w:val="none" w:sz="0" w:space="0" w:color="auto"/>
      </w:divBdr>
    </w:div>
    <w:div w:id="1096169920">
      <w:bodyDiv w:val="1"/>
      <w:marLeft w:val="0"/>
      <w:marRight w:val="0"/>
      <w:marTop w:val="0"/>
      <w:marBottom w:val="0"/>
      <w:divBdr>
        <w:top w:val="none" w:sz="0" w:space="0" w:color="auto"/>
        <w:left w:val="none" w:sz="0" w:space="0" w:color="auto"/>
        <w:bottom w:val="none" w:sz="0" w:space="0" w:color="auto"/>
        <w:right w:val="none" w:sz="0" w:space="0" w:color="auto"/>
      </w:divBdr>
    </w:div>
    <w:div w:id="1108161331">
      <w:bodyDiv w:val="1"/>
      <w:marLeft w:val="0"/>
      <w:marRight w:val="0"/>
      <w:marTop w:val="0"/>
      <w:marBottom w:val="0"/>
      <w:divBdr>
        <w:top w:val="none" w:sz="0" w:space="0" w:color="auto"/>
        <w:left w:val="none" w:sz="0" w:space="0" w:color="auto"/>
        <w:bottom w:val="none" w:sz="0" w:space="0" w:color="auto"/>
        <w:right w:val="none" w:sz="0" w:space="0" w:color="auto"/>
      </w:divBdr>
    </w:div>
    <w:div w:id="1109548613">
      <w:bodyDiv w:val="1"/>
      <w:marLeft w:val="0"/>
      <w:marRight w:val="0"/>
      <w:marTop w:val="0"/>
      <w:marBottom w:val="0"/>
      <w:divBdr>
        <w:top w:val="none" w:sz="0" w:space="0" w:color="auto"/>
        <w:left w:val="none" w:sz="0" w:space="0" w:color="auto"/>
        <w:bottom w:val="none" w:sz="0" w:space="0" w:color="auto"/>
        <w:right w:val="none" w:sz="0" w:space="0" w:color="auto"/>
      </w:divBdr>
      <w:divsChild>
        <w:div w:id="1835563669">
          <w:marLeft w:val="0"/>
          <w:marRight w:val="0"/>
          <w:marTop w:val="0"/>
          <w:marBottom w:val="0"/>
          <w:divBdr>
            <w:top w:val="none" w:sz="0" w:space="0" w:color="auto"/>
            <w:left w:val="none" w:sz="0" w:space="0" w:color="auto"/>
            <w:bottom w:val="none" w:sz="0" w:space="0" w:color="auto"/>
            <w:right w:val="none" w:sz="0" w:space="0" w:color="auto"/>
          </w:divBdr>
          <w:divsChild>
            <w:div w:id="1913924637">
              <w:marLeft w:val="0"/>
              <w:marRight w:val="0"/>
              <w:marTop w:val="0"/>
              <w:marBottom w:val="0"/>
              <w:divBdr>
                <w:top w:val="none" w:sz="0" w:space="0" w:color="auto"/>
                <w:left w:val="none" w:sz="0" w:space="0" w:color="auto"/>
                <w:bottom w:val="none" w:sz="0" w:space="0" w:color="auto"/>
                <w:right w:val="none" w:sz="0" w:space="0" w:color="auto"/>
              </w:divBdr>
              <w:divsChild>
                <w:div w:id="1327368652">
                  <w:marLeft w:val="0"/>
                  <w:marRight w:val="0"/>
                  <w:marTop w:val="0"/>
                  <w:marBottom w:val="0"/>
                  <w:divBdr>
                    <w:top w:val="none" w:sz="0" w:space="0" w:color="auto"/>
                    <w:left w:val="none" w:sz="0" w:space="0" w:color="auto"/>
                    <w:bottom w:val="none" w:sz="0" w:space="0" w:color="auto"/>
                    <w:right w:val="none" w:sz="0" w:space="0" w:color="auto"/>
                  </w:divBdr>
                  <w:divsChild>
                    <w:div w:id="958219921">
                      <w:marLeft w:val="0"/>
                      <w:marRight w:val="0"/>
                      <w:marTop w:val="0"/>
                      <w:marBottom w:val="0"/>
                      <w:divBdr>
                        <w:top w:val="none" w:sz="0" w:space="0" w:color="auto"/>
                        <w:left w:val="none" w:sz="0" w:space="0" w:color="auto"/>
                        <w:bottom w:val="none" w:sz="0" w:space="0" w:color="auto"/>
                        <w:right w:val="none" w:sz="0" w:space="0" w:color="auto"/>
                      </w:divBdr>
                      <w:divsChild>
                        <w:div w:id="812336985">
                          <w:marLeft w:val="0"/>
                          <w:marRight w:val="0"/>
                          <w:marTop w:val="0"/>
                          <w:marBottom w:val="0"/>
                          <w:divBdr>
                            <w:top w:val="none" w:sz="0" w:space="0" w:color="auto"/>
                            <w:left w:val="none" w:sz="0" w:space="0" w:color="auto"/>
                            <w:bottom w:val="none" w:sz="0" w:space="0" w:color="auto"/>
                            <w:right w:val="none" w:sz="0" w:space="0" w:color="auto"/>
                          </w:divBdr>
                          <w:divsChild>
                            <w:div w:id="546381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5931712">
      <w:bodyDiv w:val="1"/>
      <w:marLeft w:val="0"/>
      <w:marRight w:val="0"/>
      <w:marTop w:val="0"/>
      <w:marBottom w:val="0"/>
      <w:divBdr>
        <w:top w:val="none" w:sz="0" w:space="0" w:color="auto"/>
        <w:left w:val="none" w:sz="0" w:space="0" w:color="auto"/>
        <w:bottom w:val="none" w:sz="0" w:space="0" w:color="auto"/>
        <w:right w:val="none" w:sz="0" w:space="0" w:color="auto"/>
      </w:divBdr>
    </w:div>
    <w:div w:id="1130971987">
      <w:bodyDiv w:val="1"/>
      <w:marLeft w:val="0"/>
      <w:marRight w:val="0"/>
      <w:marTop w:val="0"/>
      <w:marBottom w:val="0"/>
      <w:divBdr>
        <w:top w:val="none" w:sz="0" w:space="0" w:color="auto"/>
        <w:left w:val="none" w:sz="0" w:space="0" w:color="auto"/>
        <w:bottom w:val="none" w:sz="0" w:space="0" w:color="auto"/>
        <w:right w:val="none" w:sz="0" w:space="0" w:color="auto"/>
      </w:divBdr>
    </w:div>
    <w:div w:id="1139374468">
      <w:bodyDiv w:val="1"/>
      <w:marLeft w:val="0"/>
      <w:marRight w:val="0"/>
      <w:marTop w:val="0"/>
      <w:marBottom w:val="0"/>
      <w:divBdr>
        <w:top w:val="none" w:sz="0" w:space="0" w:color="auto"/>
        <w:left w:val="none" w:sz="0" w:space="0" w:color="auto"/>
        <w:bottom w:val="none" w:sz="0" w:space="0" w:color="auto"/>
        <w:right w:val="none" w:sz="0" w:space="0" w:color="auto"/>
      </w:divBdr>
    </w:div>
    <w:div w:id="1139885630">
      <w:bodyDiv w:val="1"/>
      <w:marLeft w:val="0"/>
      <w:marRight w:val="0"/>
      <w:marTop w:val="0"/>
      <w:marBottom w:val="0"/>
      <w:divBdr>
        <w:top w:val="none" w:sz="0" w:space="0" w:color="auto"/>
        <w:left w:val="none" w:sz="0" w:space="0" w:color="auto"/>
        <w:bottom w:val="none" w:sz="0" w:space="0" w:color="auto"/>
        <w:right w:val="none" w:sz="0" w:space="0" w:color="auto"/>
      </w:divBdr>
    </w:div>
    <w:div w:id="1143809357">
      <w:bodyDiv w:val="1"/>
      <w:marLeft w:val="0"/>
      <w:marRight w:val="0"/>
      <w:marTop w:val="0"/>
      <w:marBottom w:val="0"/>
      <w:divBdr>
        <w:top w:val="none" w:sz="0" w:space="0" w:color="auto"/>
        <w:left w:val="none" w:sz="0" w:space="0" w:color="auto"/>
        <w:bottom w:val="none" w:sz="0" w:space="0" w:color="auto"/>
        <w:right w:val="none" w:sz="0" w:space="0" w:color="auto"/>
      </w:divBdr>
    </w:div>
    <w:div w:id="1150486286">
      <w:bodyDiv w:val="1"/>
      <w:marLeft w:val="0"/>
      <w:marRight w:val="0"/>
      <w:marTop w:val="0"/>
      <w:marBottom w:val="0"/>
      <w:divBdr>
        <w:top w:val="none" w:sz="0" w:space="0" w:color="auto"/>
        <w:left w:val="none" w:sz="0" w:space="0" w:color="auto"/>
        <w:bottom w:val="none" w:sz="0" w:space="0" w:color="auto"/>
        <w:right w:val="none" w:sz="0" w:space="0" w:color="auto"/>
      </w:divBdr>
    </w:div>
    <w:div w:id="1170827968">
      <w:bodyDiv w:val="1"/>
      <w:marLeft w:val="0"/>
      <w:marRight w:val="0"/>
      <w:marTop w:val="0"/>
      <w:marBottom w:val="0"/>
      <w:divBdr>
        <w:top w:val="none" w:sz="0" w:space="0" w:color="auto"/>
        <w:left w:val="none" w:sz="0" w:space="0" w:color="auto"/>
        <w:bottom w:val="none" w:sz="0" w:space="0" w:color="auto"/>
        <w:right w:val="none" w:sz="0" w:space="0" w:color="auto"/>
      </w:divBdr>
    </w:div>
    <w:div w:id="1177039034">
      <w:bodyDiv w:val="1"/>
      <w:marLeft w:val="0"/>
      <w:marRight w:val="0"/>
      <w:marTop w:val="0"/>
      <w:marBottom w:val="0"/>
      <w:divBdr>
        <w:top w:val="none" w:sz="0" w:space="0" w:color="auto"/>
        <w:left w:val="none" w:sz="0" w:space="0" w:color="auto"/>
        <w:bottom w:val="none" w:sz="0" w:space="0" w:color="auto"/>
        <w:right w:val="none" w:sz="0" w:space="0" w:color="auto"/>
      </w:divBdr>
    </w:div>
    <w:div w:id="1177888245">
      <w:bodyDiv w:val="1"/>
      <w:marLeft w:val="0"/>
      <w:marRight w:val="0"/>
      <w:marTop w:val="0"/>
      <w:marBottom w:val="0"/>
      <w:divBdr>
        <w:top w:val="none" w:sz="0" w:space="0" w:color="auto"/>
        <w:left w:val="none" w:sz="0" w:space="0" w:color="auto"/>
        <w:bottom w:val="none" w:sz="0" w:space="0" w:color="auto"/>
        <w:right w:val="none" w:sz="0" w:space="0" w:color="auto"/>
      </w:divBdr>
    </w:div>
    <w:div w:id="1180385721">
      <w:bodyDiv w:val="1"/>
      <w:marLeft w:val="0"/>
      <w:marRight w:val="0"/>
      <w:marTop w:val="0"/>
      <w:marBottom w:val="0"/>
      <w:divBdr>
        <w:top w:val="none" w:sz="0" w:space="0" w:color="auto"/>
        <w:left w:val="none" w:sz="0" w:space="0" w:color="auto"/>
        <w:bottom w:val="none" w:sz="0" w:space="0" w:color="auto"/>
        <w:right w:val="none" w:sz="0" w:space="0" w:color="auto"/>
      </w:divBdr>
    </w:div>
    <w:div w:id="1181237453">
      <w:bodyDiv w:val="1"/>
      <w:marLeft w:val="0"/>
      <w:marRight w:val="0"/>
      <w:marTop w:val="0"/>
      <w:marBottom w:val="0"/>
      <w:divBdr>
        <w:top w:val="none" w:sz="0" w:space="0" w:color="auto"/>
        <w:left w:val="none" w:sz="0" w:space="0" w:color="auto"/>
        <w:bottom w:val="none" w:sz="0" w:space="0" w:color="auto"/>
        <w:right w:val="none" w:sz="0" w:space="0" w:color="auto"/>
      </w:divBdr>
    </w:div>
    <w:div w:id="1183743764">
      <w:bodyDiv w:val="1"/>
      <w:marLeft w:val="0"/>
      <w:marRight w:val="0"/>
      <w:marTop w:val="0"/>
      <w:marBottom w:val="0"/>
      <w:divBdr>
        <w:top w:val="none" w:sz="0" w:space="0" w:color="auto"/>
        <w:left w:val="none" w:sz="0" w:space="0" w:color="auto"/>
        <w:bottom w:val="none" w:sz="0" w:space="0" w:color="auto"/>
        <w:right w:val="none" w:sz="0" w:space="0" w:color="auto"/>
      </w:divBdr>
    </w:div>
    <w:div w:id="1191721783">
      <w:bodyDiv w:val="1"/>
      <w:marLeft w:val="0"/>
      <w:marRight w:val="0"/>
      <w:marTop w:val="0"/>
      <w:marBottom w:val="0"/>
      <w:divBdr>
        <w:top w:val="none" w:sz="0" w:space="0" w:color="auto"/>
        <w:left w:val="none" w:sz="0" w:space="0" w:color="auto"/>
        <w:bottom w:val="none" w:sz="0" w:space="0" w:color="auto"/>
        <w:right w:val="none" w:sz="0" w:space="0" w:color="auto"/>
      </w:divBdr>
    </w:div>
    <w:div w:id="1200050457">
      <w:bodyDiv w:val="1"/>
      <w:marLeft w:val="0"/>
      <w:marRight w:val="0"/>
      <w:marTop w:val="0"/>
      <w:marBottom w:val="0"/>
      <w:divBdr>
        <w:top w:val="none" w:sz="0" w:space="0" w:color="auto"/>
        <w:left w:val="none" w:sz="0" w:space="0" w:color="auto"/>
        <w:bottom w:val="none" w:sz="0" w:space="0" w:color="auto"/>
        <w:right w:val="none" w:sz="0" w:space="0" w:color="auto"/>
      </w:divBdr>
    </w:div>
    <w:div w:id="1203058125">
      <w:bodyDiv w:val="1"/>
      <w:marLeft w:val="0"/>
      <w:marRight w:val="0"/>
      <w:marTop w:val="0"/>
      <w:marBottom w:val="0"/>
      <w:divBdr>
        <w:top w:val="none" w:sz="0" w:space="0" w:color="auto"/>
        <w:left w:val="none" w:sz="0" w:space="0" w:color="auto"/>
        <w:bottom w:val="none" w:sz="0" w:space="0" w:color="auto"/>
        <w:right w:val="none" w:sz="0" w:space="0" w:color="auto"/>
      </w:divBdr>
    </w:div>
    <w:div w:id="1212304703">
      <w:bodyDiv w:val="1"/>
      <w:marLeft w:val="0"/>
      <w:marRight w:val="0"/>
      <w:marTop w:val="0"/>
      <w:marBottom w:val="0"/>
      <w:divBdr>
        <w:top w:val="none" w:sz="0" w:space="0" w:color="auto"/>
        <w:left w:val="none" w:sz="0" w:space="0" w:color="auto"/>
        <w:bottom w:val="none" w:sz="0" w:space="0" w:color="auto"/>
        <w:right w:val="none" w:sz="0" w:space="0" w:color="auto"/>
      </w:divBdr>
    </w:div>
    <w:div w:id="1214393980">
      <w:bodyDiv w:val="1"/>
      <w:marLeft w:val="0"/>
      <w:marRight w:val="0"/>
      <w:marTop w:val="0"/>
      <w:marBottom w:val="0"/>
      <w:divBdr>
        <w:top w:val="none" w:sz="0" w:space="0" w:color="auto"/>
        <w:left w:val="none" w:sz="0" w:space="0" w:color="auto"/>
        <w:bottom w:val="none" w:sz="0" w:space="0" w:color="auto"/>
        <w:right w:val="none" w:sz="0" w:space="0" w:color="auto"/>
      </w:divBdr>
    </w:div>
    <w:div w:id="1230384971">
      <w:bodyDiv w:val="1"/>
      <w:marLeft w:val="0"/>
      <w:marRight w:val="0"/>
      <w:marTop w:val="0"/>
      <w:marBottom w:val="0"/>
      <w:divBdr>
        <w:top w:val="none" w:sz="0" w:space="0" w:color="auto"/>
        <w:left w:val="none" w:sz="0" w:space="0" w:color="auto"/>
        <w:bottom w:val="none" w:sz="0" w:space="0" w:color="auto"/>
        <w:right w:val="none" w:sz="0" w:space="0" w:color="auto"/>
      </w:divBdr>
    </w:div>
    <w:div w:id="1234436612">
      <w:bodyDiv w:val="1"/>
      <w:marLeft w:val="0"/>
      <w:marRight w:val="0"/>
      <w:marTop w:val="0"/>
      <w:marBottom w:val="0"/>
      <w:divBdr>
        <w:top w:val="none" w:sz="0" w:space="0" w:color="auto"/>
        <w:left w:val="none" w:sz="0" w:space="0" w:color="auto"/>
        <w:bottom w:val="none" w:sz="0" w:space="0" w:color="auto"/>
        <w:right w:val="none" w:sz="0" w:space="0" w:color="auto"/>
      </w:divBdr>
    </w:div>
    <w:div w:id="1270696073">
      <w:bodyDiv w:val="1"/>
      <w:marLeft w:val="0"/>
      <w:marRight w:val="0"/>
      <w:marTop w:val="0"/>
      <w:marBottom w:val="0"/>
      <w:divBdr>
        <w:top w:val="none" w:sz="0" w:space="0" w:color="auto"/>
        <w:left w:val="none" w:sz="0" w:space="0" w:color="auto"/>
        <w:bottom w:val="none" w:sz="0" w:space="0" w:color="auto"/>
        <w:right w:val="none" w:sz="0" w:space="0" w:color="auto"/>
      </w:divBdr>
      <w:divsChild>
        <w:div w:id="623465974">
          <w:marLeft w:val="0"/>
          <w:marRight w:val="0"/>
          <w:marTop w:val="0"/>
          <w:marBottom w:val="0"/>
          <w:divBdr>
            <w:top w:val="none" w:sz="0" w:space="0" w:color="auto"/>
            <w:left w:val="none" w:sz="0" w:space="0" w:color="auto"/>
            <w:bottom w:val="none" w:sz="0" w:space="0" w:color="auto"/>
            <w:right w:val="none" w:sz="0" w:space="0" w:color="auto"/>
          </w:divBdr>
        </w:div>
        <w:div w:id="766922296">
          <w:marLeft w:val="0"/>
          <w:marRight w:val="0"/>
          <w:marTop w:val="0"/>
          <w:marBottom w:val="0"/>
          <w:divBdr>
            <w:top w:val="none" w:sz="0" w:space="0" w:color="auto"/>
            <w:left w:val="none" w:sz="0" w:space="0" w:color="auto"/>
            <w:bottom w:val="none" w:sz="0" w:space="0" w:color="auto"/>
            <w:right w:val="none" w:sz="0" w:space="0" w:color="auto"/>
          </w:divBdr>
        </w:div>
        <w:div w:id="914781483">
          <w:marLeft w:val="0"/>
          <w:marRight w:val="0"/>
          <w:marTop w:val="0"/>
          <w:marBottom w:val="0"/>
          <w:divBdr>
            <w:top w:val="none" w:sz="0" w:space="0" w:color="auto"/>
            <w:left w:val="none" w:sz="0" w:space="0" w:color="auto"/>
            <w:bottom w:val="none" w:sz="0" w:space="0" w:color="auto"/>
            <w:right w:val="none" w:sz="0" w:space="0" w:color="auto"/>
          </w:divBdr>
        </w:div>
        <w:div w:id="1254242327">
          <w:marLeft w:val="0"/>
          <w:marRight w:val="0"/>
          <w:marTop w:val="0"/>
          <w:marBottom w:val="0"/>
          <w:divBdr>
            <w:top w:val="none" w:sz="0" w:space="0" w:color="auto"/>
            <w:left w:val="none" w:sz="0" w:space="0" w:color="auto"/>
            <w:bottom w:val="none" w:sz="0" w:space="0" w:color="auto"/>
            <w:right w:val="none" w:sz="0" w:space="0" w:color="auto"/>
          </w:divBdr>
        </w:div>
        <w:div w:id="1535147630">
          <w:marLeft w:val="0"/>
          <w:marRight w:val="0"/>
          <w:marTop w:val="0"/>
          <w:marBottom w:val="0"/>
          <w:divBdr>
            <w:top w:val="none" w:sz="0" w:space="0" w:color="auto"/>
            <w:left w:val="none" w:sz="0" w:space="0" w:color="auto"/>
            <w:bottom w:val="none" w:sz="0" w:space="0" w:color="auto"/>
            <w:right w:val="none" w:sz="0" w:space="0" w:color="auto"/>
          </w:divBdr>
        </w:div>
        <w:div w:id="1571385359">
          <w:marLeft w:val="0"/>
          <w:marRight w:val="0"/>
          <w:marTop w:val="0"/>
          <w:marBottom w:val="0"/>
          <w:divBdr>
            <w:top w:val="none" w:sz="0" w:space="0" w:color="auto"/>
            <w:left w:val="none" w:sz="0" w:space="0" w:color="auto"/>
            <w:bottom w:val="none" w:sz="0" w:space="0" w:color="auto"/>
            <w:right w:val="none" w:sz="0" w:space="0" w:color="auto"/>
          </w:divBdr>
        </w:div>
        <w:div w:id="1732734742">
          <w:marLeft w:val="0"/>
          <w:marRight w:val="0"/>
          <w:marTop w:val="0"/>
          <w:marBottom w:val="0"/>
          <w:divBdr>
            <w:top w:val="none" w:sz="0" w:space="0" w:color="auto"/>
            <w:left w:val="none" w:sz="0" w:space="0" w:color="auto"/>
            <w:bottom w:val="none" w:sz="0" w:space="0" w:color="auto"/>
            <w:right w:val="none" w:sz="0" w:space="0" w:color="auto"/>
          </w:divBdr>
        </w:div>
      </w:divsChild>
    </w:div>
    <w:div w:id="1282375600">
      <w:bodyDiv w:val="1"/>
      <w:marLeft w:val="0"/>
      <w:marRight w:val="0"/>
      <w:marTop w:val="0"/>
      <w:marBottom w:val="0"/>
      <w:divBdr>
        <w:top w:val="none" w:sz="0" w:space="0" w:color="auto"/>
        <w:left w:val="none" w:sz="0" w:space="0" w:color="auto"/>
        <w:bottom w:val="none" w:sz="0" w:space="0" w:color="auto"/>
        <w:right w:val="none" w:sz="0" w:space="0" w:color="auto"/>
      </w:divBdr>
    </w:div>
    <w:div w:id="1283027502">
      <w:bodyDiv w:val="1"/>
      <w:marLeft w:val="0"/>
      <w:marRight w:val="0"/>
      <w:marTop w:val="0"/>
      <w:marBottom w:val="0"/>
      <w:divBdr>
        <w:top w:val="none" w:sz="0" w:space="0" w:color="auto"/>
        <w:left w:val="none" w:sz="0" w:space="0" w:color="auto"/>
        <w:bottom w:val="none" w:sz="0" w:space="0" w:color="auto"/>
        <w:right w:val="none" w:sz="0" w:space="0" w:color="auto"/>
      </w:divBdr>
    </w:div>
    <w:div w:id="1288319590">
      <w:bodyDiv w:val="1"/>
      <w:marLeft w:val="0"/>
      <w:marRight w:val="0"/>
      <w:marTop w:val="0"/>
      <w:marBottom w:val="0"/>
      <w:divBdr>
        <w:top w:val="none" w:sz="0" w:space="0" w:color="auto"/>
        <w:left w:val="none" w:sz="0" w:space="0" w:color="auto"/>
        <w:bottom w:val="none" w:sz="0" w:space="0" w:color="auto"/>
        <w:right w:val="none" w:sz="0" w:space="0" w:color="auto"/>
      </w:divBdr>
    </w:div>
    <w:div w:id="1291399075">
      <w:bodyDiv w:val="1"/>
      <w:marLeft w:val="0"/>
      <w:marRight w:val="0"/>
      <w:marTop w:val="0"/>
      <w:marBottom w:val="0"/>
      <w:divBdr>
        <w:top w:val="none" w:sz="0" w:space="0" w:color="auto"/>
        <w:left w:val="none" w:sz="0" w:space="0" w:color="auto"/>
        <w:bottom w:val="none" w:sz="0" w:space="0" w:color="auto"/>
        <w:right w:val="none" w:sz="0" w:space="0" w:color="auto"/>
      </w:divBdr>
    </w:div>
    <w:div w:id="1298337305">
      <w:bodyDiv w:val="1"/>
      <w:marLeft w:val="0"/>
      <w:marRight w:val="0"/>
      <w:marTop w:val="0"/>
      <w:marBottom w:val="0"/>
      <w:divBdr>
        <w:top w:val="none" w:sz="0" w:space="0" w:color="auto"/>
        <w:left w:val="none" w:sz="0" w:space="0" w:color="auto"/>
        <w:bottom w:val="none" w:sz="0" w:space="0" w:color="auto"/>
        <w:right w:val="none" w:sz="0" w:space="0" w:color="auto"/>
      </w:divBdr>
    </w:div>
    <w:div w:id="1307012105">
      <w:bodyDiv w:val="1"/>
      <w:marLeft w:val="0"/>
      <w:marRight w:val="0"/>
      <w:marTop w:val="0"/>
      <w:marBottom w:val="0"/>
      <w:divBdr>
        <w:top w:val="none" w:sz="0" w:space="0" w:color="auto"/>
        <w:left w:val="none" w:sz="0" w:space="0" w:color="auto"/>
        <w:bottom w:val="none" w:sz="0" w:space="0" w:color="auto"/>
        <w:right w:val="none" w:sz="0" w:space="0" w:color="auto"/>
      </w:divBdr>
    </w:div>
    <w:div w:id="1315836779">
      <w:bodyDiv w:val="1"/>
      <w:marLeft w:val="0"/>
      <w:marRight w:val="0"/>
      <w:marTop w:val="0"/>
      <w:marBottom w:val="0"/>
      <w:divBdr>
        <w:top w:val="none" w:sz="0" w:space="0" w:color="auto"/>
        <w:left w:val="none" w:sz="0" w:space="0" w:color="auto"/>
        <w:bottom w:val="none" w:sz="0" w:space="0" w:color="auto"/>
        <w:right w:val="none" w:sz="0" w:space="0" w:color="auto"/>
      </w:divBdr>
      <w:divsChild>
        <w:div w:id="1755010666">
          <w:marLeft w:val="0"/>
          <w:marRight w:val="0"/>
          <w:marTop w:val="0"/>
          <w:marBottom w:val="0"/>
          <w:divBdr>
            <w:top w:val="none" w:sz="0" w:space="0" w:color="auto"/>
            <w:left w:val="none" w:sz="0" w:space="0" w:color="auto"/>
            <w:bottom w:val="none" w:sz="0" w:space="0" w:color="auto"/>
            <w:right w:val="none" w:sz="0" w:space="0" w:color="auto"/>
          </w:divBdr>
          <w:divsChild>
            <w:div w:id="413552700">
              <w:marLeft w:val="0"/>
              <w:marRight w:val="0"/>
              <w:marTop w:val="0"/>
              <w:marBottom w:val="0"/>
              <w:divBdr>
                <w:top w:val="none" w:sz="0" w:space="0" w:color="auto"/>
                <w:left w:val="none" w:sz="0" w:space="0" w:color="auto"/>
                <w:bottom w:val="none" w:sz="0" w:space="0" w:color="auto"/>
                <w:right w:val="none" w:sz="0" w:space="0" w:color="auto"/>
              </w:divBdr>
            </w:div>
            <w:div w:id="1842693624">
              <w:marLeft w:val="0"/>
              <w:marRight w:val="0"/>
              <w:marTop w:val="0"/>
              <w:marBottom w:val="0"/>
              <w:divBdr>
                <w:top w:val="none" w:sz="0" w:space="0" w:color="auto"/>
                <w:left w:val="none" w:sz="0" w:space="0" w:color="auto"/>
                <w:bottom w:val="none" w:sz="0" w:space="0" w:color="auto"/>
                <w:right w:val="none" w:sz="0" w:space="0" w:color="auto"/>
              </w:divBdr>
              <w:divsChild>
                <w:div w:id="246614787">
                  <w:marLeft w:val="0"/>
                  <w:marRight w:val="0"/>
                  <w:marTop w:val="0"/>
                  <w:marBottom w:val="0"/>
                  <w:divBdr>
                    <w:top w:val="none" w:sz="0" w:space="0" w:color="auto"/>
                    <w:left w:val="none" w:sz="0" w:space="0" w:color="auto"/>
                    <w:bottom w:val="none" w:sz="0" w:space="0" w:color="auto"/>
                    <w:right w:val="none" w:sz="0" w:space="0" w:color="auto"/>
                  </w:divBdr>
                </w:div>
                <w:div w:id="320811672">
                  <w:marLeft w:val="0"/>
                  <w:marRight w:val="0"/>
                  <w:marTop w:val="0"/>
                  <w:marBottom w:val="0"/>
                  <w:divBdr>
                    <w:top w:val="none" w:sz="0" w:space="0" w:color="auto"/>
                    <w:left w:val="none" w:sz="0" w:space="0" w:color="auto"/>
                    <w:bottom w:val="none" w:sz="0" w:space="0" w:color="auto"/>
                    <w:right w:val="none" w:sz="0" w:space="0" w:color="auto"/>
                  </w:divBdr>
                </w:div>
                <w:div w:id="396438458">
                  <w:marLeft w:val="0"/>
                  <w:marRight w:val="0"/>
                  <w:marTop w:val="0"/>
                  <w:marBottom w:val="0"/>
                  <w:divBdr>
                    <w:top w:val="none" w:sz="0" w:space="0" w:color="auto"/>
                    <w:left w:val="none" w:sz="0" w:space="0" w:color="auto"/>
                    <w:bottom w:val="none" w:sz="0" w:space="0" w:color="auto"/>
                    <w:right w:val="none" w:sz="0" w:space="0" w:color="auto"/>
                  </w:divBdr>
                </w:div>
                <w:div w:id="448548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1346187">
      <w:bodyDiv w:val="1"/>
      <w:marLeft w:val="0"/>
      <w:marRight w:val="0"/>
      <w:marTop w:val="0"/>
      <w:marBottom w:val="0"/>
      <w:divBdr>
        <w:top w:val="none" w:sz="0" w:space="0" w:color="auto"/>
        <w:left w:val="none" w:sz="0" w:space="0" w:color="auto"/>
        <w:bottom w:val="none" w:sz="0" w:space="0" w:color="auto"/>
        <w:right w:val="none" w:sz="0" w:space="0" w:color="auto"/>
      </w:divBdr>
    </w:div>
    <w:div w:id="1322739210">
      <w:bodyDiv w:val="1"/>
      <w:marLeft w:val="0"/>
      <w:marRight w:val="0"/>
      <w:marTop w:val="0"/>
      <w:marBottom w:val="0"/>
      <w:divBdr>
        <w:top w:val="none" w:sz="0" w:space="0" w:color="auto"/>
        <w:left w:val="none" w:sz="0" w:space="0" w:color="auto"/>
        <w:bottom w:val="none" w:sz="0" w:space="0" w:color="auto"/>
        <w:right w:val="none" w:sz="0" w:space="0" w:color="auto"/>
      </w:divBdr>
    </w:div>
    <w:div w:id="1324092262">
      <w:bodyDiv w:val="1"/>
      <w:marLeft w:val="0"/>
      <w:marRight w:val="0"/>
      <w:marTop w:val="0"/>
      <w:marBottom w:val="0"/>
      <w:divBdr>
        <w:top w:val="none" w:sz="0" w:space="0" w:color="auto"/>
        <w:left w:val="none" w:sz="0" w:space="0" w:color="auto"/>
        <w:bottom w:val="none" w:sz="0" w:space="0" w:color="auto"/>
        <w:right w:val="none" w:sz="0" w:space="0" w:color="auto"/>
      </w:divBdr>
    </w:div>
    <w:div w:id="1329408089">
      <w:bodyDiv w:val="1"/>
      <w:marLeft w:val="0"/>
      <w:marRight w:val="0"/>
      <w:marTop w:val="0"/>
      <w:marBottom w:val="0"/>
      <w:divBdr>
        <w:top w:val="none" w:sz="0" w:space="0" w:color="auto"/>
        <w:left w:val="none" w:sz="0" w:space="0" w:color="auto"/>
        <w:bottom w:val="none" w:sz="0" w:space="0" w:color="auto"/>
        <w:right w:val="none" w:sz="0" w:space="0" w:color="auto"/>
      </w:divBdr>
    </w:div>
    <w:div w:id="1335304451">
      <w:bodyDiv w:val="1"/>
      <w:marLeft w:val="0"/>
      <w:marRight w:val="0"/>
      <w:marTop w:val="0"/>
      <w:marBottom w:val="0"/>
      <w:divBdr>
        <w:top w:val="none" w:sz="0" w:space="0" w:color="auto"/>
        <w:left w:val="none" w:sz="0" w:space="0" w:color="auto"/>
        <w:bottom w:val="none" w:sz="0" w:space="0" w:color="auto"/>
        <w:right w:val="none" w:sz="0" w:space="0" w:color="auto"/>
      </w:divBdr>
    </w:div>
    <w:div w:id="1342589755">
      <w:bodyDiv w:val="1"/>
      <w:marLeft w:val="0"/>
      <w:marRight w:val="0"/>
      <w:marTop w:val="0"/>
      <w:marBottom w:val="0"/>
      <w:divBdr>
        <w:top w:val="none" w:sz="0" w:space="0" w:color="auto"/>
        <w:left w:val="none" w:sz="0" w:space="0" w:color="auto"/>
        <w:bottom w:val="none" w:sz="0" w:space="0" w:color="auto"/>
        <w:right w:val="none" w:sz="0" w:space="0" w:color="auto"/>
      </w:divBdr>
    </w:div>
    <w:div w:id="1363289829">
      <w:bodyDiv w:val="1"/>
      <w:marLeft w:val="0"/>
      <w:marRight w:val="0"/>
      <w:marTop w:val="0"/>
      <w:marBottom w:val="0"/>
      <w:divBdr>
        <w:top w:val="none" w:sz="0" w:space="0" w:color="auto"/>
        <w:left w:val="none" w:sz="0" w:space="0" w:color="auto"/>
        <w:bottom w:val="none" w:sz="0" w:space="0" w:color="auto"/>
        <w:right w:val="none" w:sz="0" w:space="0" w:color="auto"/>
      </w:divBdr>
    </w:div>
    <w:div w:id="1364479281">
      <w:bodyDiv w:val="1"/>
      <w:marLeft w:val="0"/>
      <w:marRight w:val="0"/>
      <w:marTop w:val="0"/>
      <w:marBottom w:val="0"/>
      <w:divBdr>
        <w:top w:val="none" w:sz="0" w:space="0" w:color="auto"/>
        <w:left w:val="none" w:sz="0" w:space="0" w:color="auto"/>
        <w:bottom w:val="none" w:sz="0" w:space="0" w:color="auto"/>
        <w:right w:val="none" w:sz="0" w:space="0" w:color="auto"/>
      </w:divBdr>
    </w:div>
    <w:div w:id="1372343002">
      <w:bodyDiv w:val="1"/>
      <w:marLeft w:val="0"/>
      <w:marRight w:val="0"/>
      <w:marTop w:val="0"/>
      <w:marBottom w:val="0"/>
      <w:divBdr>
        <w:top w:val="none" w:sz="0" w:space="0" w:color="auto"/>
        <w:left w:val="none" w:sz="0" w:space="0" w:color="auto"/>
        <w:bottom w:val="none" w:sz="0" w:space="0" w:color="auto"/>
        <w:right w:val="none" w:sz="0" w:space="0" w:color="auto"/>
      </w:divBdr>
    </w:div>
    <w:div w:id="1377729845">
      <w:bodyDiv w:val="1"/>
      <w:marLeft w:val="0"/>
      <w:marRight w:val="0"/>
      <w:marTop w:val="0"/>
      <w:marBottom w:val="0"/>
      <w:divBdr>
        <w:top w:val="none" w:sz="0" w:space="0" w:color="auto"/>
        <w:left w:val="none" w:sz="0" w:space="0" w:color="auto"/>
        <w:bottom w:val="none" w:sz="0" w:space="0" w:color="auto"/>
        <w:right w:val="none" w:sz="0" w:space="0" w:color="auto"/>
      </w:divBdr>
    </w:div>
    <w:div w:id="1383603917">
      <w:bodyDiv w:val="1"/>
      <w:marLeft w:val="0"/>
      <w:marRight w:val="0"/>
      <w:marTop w:val="0"/>
      <w:marBottom w:val="0"/>
      <w:divBdr>
        <w:top w:val="none" w:sz="0" w:space="0" w:color="auto"/>
        <w:left w:val="none" w:sz="0" w:space="0" w:color="auto"/>
        <w:bottom w:val="none" w:sz="0" w:space="0" w:color="auto"/>
        <w:right w:val="none" w:sz="0" w:space="0" w:color="auto"/>
      </w:divBdr>
    </w:div>
    <w:div w:id="1395469084">
      <w:bodyDiv w:val="1"/>
      <w:marLeft w:val="0"/>
      <w:marRight w:val="0"/>
      <w:marTop w:val="0"/>
      <w:marBottom w:val="0"/>
      <w:divBdr>
        <w:top w:val="none" w:sz="0" w:space="0" w:color="auto"/>
        <w:left w:val="none" w:sz="0" w:space="0" w:color="auto"/>
        <w:bottom w:val="none" w:sz="0" w:space="0" w:color="auto"/>
        <w:right w:val="none" w:sz="0" w:space="0" w:color="auto"/>
      </w:divBdr>
    </w:div>
    <w:div w:id="1395933950">
      <w:bodyDiv w:val="1"/>
      <w:marLeft w:val="0"/>
      <w:marRight w:val="0"/>
      <w:marTop w:val="0"/>
      <w:marBottom w:val="0"/>
      <w:divBdr>
        <w:top w:val="none" w:sz="0" w:space="0" w:color="auto"/>
        <w:left w:val="none" w:sz="0" w:space="0" w:color="auto"/>
        <w:bottom w:val="none" w:sz="0" w:space="0" w:color="auto"/>
        <w:right w:val="none" w:sz="0" w:space="0" w:color="auto"/>
      </w:divBdr>
    </w:div>
    <w:div w:id="1417944703">
      <w:bodyDiv w:val="1"/>
      <w:marLeft w:val="0"/>
      <w:marRight w:val="0"/>
      <w:marTop w:val="0"/>
      <w:marBottom w:val="0"/>
      <w:divBdr>
        <w:top w:val="none" w:sz="0" w:space="0" w:color="auto"/>
        <w:left w:val="none" w:sz="0" w:space="0" w:color="auto"/>
        <w:bottom w:val="none" w:sz="0" w:space="0" w:color="auto"/>
        <w:right w:val="none" w:sz="0" w:space="0" w:color="auto"/>
      </w:divBdr>
    </w:div>
    <w:div w:id="1446196516">
      <w:bodyDiv w:val="1"/>
      <w:marLeft w:val="0"/>
      <w:marRight w:val="0"/>
      <w:marTop w:val="0"/>
      <w:marBottom w:val="0"/>
      <w:divBdr>
        <w:top w:val="none" w:sz="0" w:space="0" w:color="auto"/>
        <w:left w:val="none" w:sz="0" w:space="0" w:color="auto"/>
        <w:bottom w:val="none" w:sz="0" w:space="0" w:color="auto"/>
        <w:right w:val="none" w:sz="0" w:space="0" w:color="auto"/>
      </w:divBdr>
    </w:div>
    <w:div w:id="1448544474">
      <w:bodyDiv w:val="1"/>
      <w:marLeft w:val="0"/>
      <w:marRight w:val="0"/>
      <w:marTop w:val="0"/>
      <w:marBottom w:val="0"/>
      <w:divBdr>
        <w:top w:val="none" w:sz="0" w:space="0" w:color="auto"/>
        <w:left w:val="none" w:sz="0" w:space="0" w:color="auto"/>
        <w:bottom w:val="none" w:sz="0" w:space="0" w:color="auto"/>
        <w:right w:val="none" w:sz="0" w:space="0" w:color="auto"/>
      </w:divBdr>
    </w:div>
    <w:div w:id="1460297764">
      <w:bodyDiv w:val="1"/>
      <w:marLeft w:val="0"/>
      <w:marRight w:val="0"/>
      <w:marTop w:val="0"/>
      <w:marBottom w:val="0"/>
      <w:divBdr>
        <w:top w:val="none" w:sz="0" w:space="0" w:color="auto"/>
        <w:left w:val="none" w:sz="0" w:space="0" w:color="auto"/>
        <w:bottom w:val="none" w:sz="0" w:space="0" w:color="auto"/>
        <w:right w:val="none" w:sz="0" w:space="0" w:color="auto"/>
      </w:divBdr>
    </w:div>
    <w:div w:id="1461342154">
      <w:bodyDiv w:val="1"/>
      <w:marLeft w:val="0"/>
      <w:marRight w:val="0"/>
      <w:marTop w:val="0"/>
      <w:marBottom w:val="0"/>
      <w:divBdr>
        <w:top w:val="none" w:sz="0" w:space="0" w:color="auto"/>
        <w:left w:val="none" w:sz="0" w:space="0" w:color="auto"/>
        <w:bottom w:val="none" w:sz="0" w:space="0" w:color="auto"/>
        <w:right w:val="none" w:sz="0" w:space="0" w:color="auto"/>
      </w:divBdr>
    </w:div>
    <w:div w:id="1462725565">
      <w:bodyDiv w:val="1"/>
      <w:marLeft w:val="0"/>
      <w:marRight w:val="0"/>
      <w:marTop w:val="0"/>
      <w:marBottom w:val="0"/>
      <w:divBdr>
        <w:top w:val="none" w:sz="0" w:space="0" w:color="auto"/>
        <w:left w:val="none" w:sz="0" w:space="0" w:color="auto"/>
        <w:bottom w:val="none" w:sz="0" w:space="0" w:color="auto"/>
        <w:right w:val="none" w:sz="0" w:space="0" w:color="auto"/>
      </w:divBdr>
    </w:div>
    <w:div w:id="1463841539">
      <w:bodyDiv w:val="1"/>
      <w:marLeft w:val="0"/>
      <w:marRight w:val="0"/>
      <w:marTop w:val="0"/>
      <w:marBottom w:val="0"/>
      <w:divBdr>
        <w:top w:val="none" w:sz="0" w:space="0" w:color="auto"/>
        <w:left w:val="none" w:sz="0" w:space="0" w:color="auto"/>
        <w:bottom w:val="none" w:sz="0" w:space="0" w:color="auto"/>
        <w:right w:val="none" w:sz="0" w:space="0" w:color="auto"/>
      </w:divBdr>
    </w:div>
    <w:div w:id="1468668771">
      <w:bodyDiv w:val="1"/>
      <w:marLeft w:val="0"/>
      <w:marRight w:val="0"/>
      <w:marTop w:val="0"/>
      <w:marBottom w:val="0"/>
      <w:divBdr>
        <w:top w:val="none" w:sz="0" w:space="0" w:color="auto"/>
        <w:left w:val="none" w:sz="0" w:space="0" w:color="auto"/>
        <w:bottom w:val="none" w:sz="0" w:space="0" w:color="auto"/>
        <w:right w:val="none" w:sz="0" w:space="0" w:color="auto"/>
      </w:divBdr>
    </w:div>
    <w:div w:id="1477718917">
      <w:bodyDiv w:val="1"/>
      <w:marLeft w:val="0"/>
      <w:marRight w:val="0"/>
      <w:marTop w:val="0"/>
      <w:marBottom w:val="0"/>
      <w:divBdr>
        <w:top w:val="none" w:sz="0" w:space="0" w:color="auto"/>
        <w:left w:val="none" w:sz="0" w:space="0" w:color="auto"/>
        <w:bottom w:val="none" w:sz="0" w:space="0" w:color="auto"/>
        <w:right w:val="none" w:sz="0" w:space="0" w:color="auto"/>
      </w:divBdr>
      <w:divsChild>
        <w:div w:id="1770542895">
          <w:marLeft w:val="0"/>
          <w:marRight w:val="0"/>
          <w:marTop w:val="0"/>
          <w:marBottom w:val="0"/>
          <w:divBdr>
            <w:top w:val="none" w:sz="0" w:space="0" w:color="auto"/>
            <w:left w:val="none" w:sz="0" w:space="0" w:color="auto"/>
            <w:bottom w:val="none" w:sz="0" w:space="0" w:color="auto"/>
            <w:right w:val="none" w:sz="0" w:space="0" w:color="auto"/>
          </w:divBdr>
        </w:div>
      </w:divsChild>
    </w:div>
    <w:div w:id="1491754399">
      <w:bodyDiv w:val="1"/>
      <w:marLeft w:val="0"/>
      <w:marRight w:val="0"/>
      <w:marTop w:val="0"/>
      <w:marBottom w:val="0"/>
      <w:divBdr>
        <w:top w:val="none" w:sz="0" w:space="0" w:color="auto"/>
        <w:left w:val="none" w:sz="0" w:space="0" w:color="auto"/>
        <w:bottom w:val="none" w:sz="0" w:space="0" w:color="auto"/>
        <w:right w:val="none" w:sz="0" w:space="0" w:color="auto"/>
      </w:divBdr>
    </w:div>
    <w:div w:id="1502429716">
      <w:bodyDiv w:val="1"/>
      <w:marLeft w:val="0"/>
      <w:marRight w:val="0"/>
      <w:marTop w:val="0"/>
      <w:marBottom w:val="0"/>
      <w:divBdr>
        <w:top w:val="none" w:sz="0" w:space="0" w:color="auto"/>
        <w:left w:val="none" w:sz="0" w:space="0" w:color="auto"/>
        <w:bottom w:val="none" w:sz="0" w:space="0" w:color="auto"/>
        <w:right w:val="none" w:sz="0" w:space="0" w:color="auto"/>
      </w:divBdr>
    </w:div>
    <w:div w:id="1512985796">
      <w:bodyDiv w:val="1"/>
      <w:marLeft w:val="0"/>
      <w:marRight w:val="0"/>
      <w:marTop w:val="0"/>
      <w:marBottom w:val="0"/>
      <w:divBdr>
        <w:top w:val="none" w:sz="0" w:space="0" w:color="auto"/>
        <w:left w:val="none" w:sz="0" w:space="0" w:color="auto"/>
        <w:bottom w:val="none" w:sz="0" w:space="0" w:color="auto"/>
        <w:right w:val="none" w:sz="0" w:space="0" w:color="auto"/>
      </w:divBdr>
    </w:div>
    <w:div w:id="1531987763">
      <w:bodyDiv w:val="1"/>
      <w:marLeft w:val="0"/>
      <w:marRight w:val="0"/>
      <w:marTop w:val="0"/>
      <w:marBottom w:val="0"/>
      <w:divBdr>
        <w:top w:val="none" w:sz="0" w:space="0" w:color="auto"/>
        <w:left w:val="none" w:sz="0" w:space="0" w:color="auto"/>
        <w:bottom w:val="none" w:sz="0" w:space="0" w:color="auto"/>
        <w:right w:val="none" w:sz="0" w:space="0" w:color="auto"/>
      </w:divBdr>
    </w:div>
    <w:div w:id="1534339075">
      <w:bodyDiv w:val="1"/>
      <w:marLeft w:val="0"/>
      <w:marRight w:val="0"/>
      <w:marTop w:val="0"/>
      <w:marBottom w:val="0"/>
      <w:divBdr>
        <w:top w:val="none" w:sz="0" w:space="0" w:color="auto"/>
        <w:left w:val="none" w:sz="0" w:space="0" w:color="auto"/>
        <w:bottom w:val="none" w:sz="0" w:space="0" w:color="auto"/>
        <w:right w:val="none" w:sz="0" w:space="0" w:color="auto"/>
      </w:divBdr>
    </w:div>
    <w:div w:id="1538154046">
      <w:bodyDiv w:val="1"/>
      <w:marLeft w:val="0"/>
      <w:marRight w:val="0"/>
      <w:marTop w:val="0"/>
      <w:marBottom w:val="0"/>
      <w:divBdr>
        <w:top w:val="none" w:sz="0" w:space="0" w:color="auto"/>
        <w:left w:val="none" w:sz="0" w:space="0" w:color="auto"/>
        <w:bottom w:val="none" w:sz="0" w:space="0" w:color="auto"/>
        <w:right w:val="none" w:sz="0" w:space="0" w:color="auto"/>
      </w:divBdr>
    </w:div>
    <w:div w:id="1556357491">
      <w:bodyDiv w:val="1"/>
      <w:marLeft w:val="0"/>
      <w:marRight w:val="0"/>
      <w:marTop w:val="0"/>
      <w:marBottom w:val="0"/>
      <w:divBdr>
        <w:top w:val="none" w:sz="0" w:space="0" w:color="auto"/>
        <w:left w:val="none" w:sz="0" w:space="0" w:color="auto"/>
        <w:bottom w:val="none" w:sz="0" w:space="0" w:color="auto"/>
        <w:right w:val="none" w:sz="0" w:space="0" w:color="auto"/>
      </w:divBdr>
    </w:div>
    <w:div w:id="1566337489">
      <w:bodyDiv w:val="1"/>
      <w:marLeft w:val="0"/>
      <w:marRight w:val="0"/>
      <w:marTop w:val="0"/>
      <w:marBottom w:val="0"/>
      <w:divBdr>
        <w:top w:val="none" w:sz="0" w:space="0" w:color="auto"/>
        <w:left w:val="none" w:sz="0" w:space="0" w:color="auto"/>
        <w:bottom w:val="none" w:sz="0" w:space="0" w:color="auto"/>
        <w:right w:val="none" w:sz="0" w:space="0" w:color="auto"/>
      </w:divBdr>
    </w:div>
    <w:div w:id="1566641855">
      <w:bodyDiv w:val="1"/>
      <w:marLeft w:val="0"/>
      <w:marRight w:val="0"/>
      <w:marTop w:val="0"/>
      <w:marBottom w:val="0"/>
      <w:divBdr>
        <w:top w:val="none" w:sz="0" w:space="0" w:color="auto"/>
        <w:left w:val="none" w:sz="0" w:space="0" w:color="auto"/>
        <w:bottom w:val="none" w:sz="0" w:space="0" w:color="auto"/>
        <w:right w:val="none" w:sz="0" w:space="0" w:color="auto"/>
      </w:divBdr>
    </w:div>
    <w:div w:id="1573544804">
      <w:bodyDiv w:val="1"/>
      <w:marLeft w:val="0"/>
      <w:marRight w:val="0"/>
      <w:marTop w:val="0"/>
      <w:marBottom w:val="0"/>
      <w:divBdr>
        <w:top w:val="none" w:sz="0" w:space="0" w:color="auto"/>
        <w:left w:val="none" w:sz="0" w:space="0" w:color="auto"/>
        <w:bottom w:val="none" w:sz="0" w:space="0" w:color="auto"/>
        <w:right w:val="none" w:sz="0" w:space="0" w:color="auto"/>
      </w:divBdr>
    </w:div>
    <w:div w:id="1583224152">
      <w:bodyDiv w:val="1"/>
      <w:marLeft w:val="0"/>
      <w:marRight w:val="0"/>
      <w:marTop w:val="0"/>
      <w:marBottom w:val="0"/>
      <w:divBdr>
        <w:top w:val="none" w:sz="0" w:space="0" w:color="auto"/>
        <w:left w:val="none" w:sz="0" w:space="0" w:color="auto"/>
        <w:bottom w:val="none" w:sz="0" w:space="0" w:color="auto"/>
        <w:right w:val="none" w:sz="0" w:space="0" w:color="auto"/>
      </w:divBdr>
    </w:div>
    <w:div w:id="1585257385">
      <w:bodyDiv w:val="1"/>
      <w:marLeft w:val="0"/>
      <w:marRight w:val="0"/>
      <w:marTop w:val="0"/>
      <w:marBottom w:val="0"/>
      <w:divBdr>
        <w:top w:val="none" w:sz="0" w:space="0" w:color="auto"/>
        <w:left w:val="none" w:sz="0" w:space="0" w:color="auto"/>
        <w:bottom w:val="none" w:sz="0" w:space="0" w:color="auto"/>
        <w:right w:val="none" w:sz="0" w:space="0" w:color="auto"/>
      </w:divBdr>
      <w:divsChild>
        <w:div w:id="1894926784">
          <w:marLeft w:val="0"/>
          <w:marRight w:val="0"/>
          <w:marTop w:val="0"/>
          <w:marBottom w:val="0"/>
          <w:divBdr>
            <w:top w:val="none" w:sz="0" w:space="0" w:color="auto"/>
            <w:left w:val="none" w:sz="0" w:space="0" w:color="auto"/>
            <w:bottom w:val="none" w:sz="0" w:space="0" w:color="auto"/>
            <w:right w:val="none" w:sz="0" w:space="0" w:color="auto"/>
          </w:divBdr>
        </w:div>
      </w:divsChild>
    </w:div>
    <w:div w:id="1586694590">
      <w:bodyDiv w:val="1"/>
      <w:marLeft w:val="0"/>
      <w:marRight w:val="0"/>
      <w:marTop w:val="0"/>
      <w:marBottom w:val="0"/>
      <w:divBdr>
        <w:top w:val="none" w:sz="0" w:space="0" w:color="auto"/>
        <w:left w:val="none" w:sz="0" w:space="0" w:color="auto"/>
        <w:bottom w:val="none" w:sz="0" w:space="0" w:color="auto"/>
        <w:right w:val="none" w:sz="0" w:space="0" w:color="auto"/>
      </w:divBdr>
      <w:divsChild>
        <w:div w:id="225839484">
          <w:marLeft w:val="0"/>
          <w:marRight w:val="0"/>
          <w:marTop w:val="0"/>
          <w:marBottom w:val="0"/>
          <w:divBdr>
            <w:top w:val="none" w:sz="0" w:space="0" w:color="auto"/>
            <w:left w:val="none" w:sz="0" w:space="0" w:color="auto"/>
            <w:bottom w:val="none" w:sz="0" w:space="0" w:color="auto"/>
            <w:right w:val="none" w:sz="0" w:space="0" w:color="auto"/>
          </w:divBdr>
        </w:div>
        <w:div w:id="1172717261">
          <w:marLeft w:val="0"/>
          <w:marRight w:val="0"/>
          <w:marTop w:val="0"/>
          <w:marBottom w:val="0"/>
          <w:divBdr>
            <w:top w:val="none" w:sz="0" w:space="0" w:color="auto"/>
            <w:left w:val="none" w:sz="0" w:space="0" w:color="auto"/>
            <w:bottom w:val="none" w:sz="0" w:space="0" w:color="auto"/>
            <w:right w:val="none" w:sz="0" w:space="0" w:color="auto"/>
          </w:divBdr>
        </w:div>
        <w:div w:id="1199389480">
          <w:marLeft w:val="0"/>
          <w:marRight w:val="0"/>
          <w:marTop w:val="0"/>
          <w:marBottom w:val="0"/>
          <w:divBdr>
            <w:top w:val="none" w:sz="0" w:space="0" w:color="auto"/>
            <w:left w:val="none" w:sz="0" w:space="0" w:color="auto"/>
            <w:bottom w:val="none" w:sz="0" w:space="0" w:color="auto"/>
            <w:right w:val="none" w:sz="0" w:space="0" w:color="auto"/>
          </w:divBdr>
        </w:div>
        <w:div w:id="1996254395">
          <w:marLeft w:val="0"/>
          <w:marRight w:val="0"/>
          <w:marTop w:val="0"/>
          <w:marBottom w:val="0"/>
          <w:divBdr>
            <w:top w:val="none" w:sz="0" w:space="0" w:color="auto"/>
            <w:left w:val="none" w:sz="0" w:space="0" w:color="auto"/>
            <w:bottom w:val="none" w:sz="0" w:space="0" w:color="auto"/>
            <w:right w:val="none" w:sz="0" w:space="0" w:color="auto"/>
          </w:divBdr>
        </w:div>
      </w:divsChild>
    </w:div>
    <w:div w:id="1590234444">
      <w:bodyDiv w:val="1"/>
      <w:marLeft w:val="0"/>
      <w:marRight w:val="0"/>
      <w:marTop w:val="0"/>
      <w:marBottom w:val="0"/>
      <w:divBdr>
        <w:top w:val="none" w:sz="0" w:space="0" w:color="auto"/>
        <w:left w:val="none" w:sz="0" w:space="0" w:color="auto"/>
        <w:bottom w:val="none" w:sz="0" w:space="0" w:color="auto"/>
        <w:right w:val="none" w:sz="0" w:space="0" w:color="auto"/>
      </w:divBdr>
    </w:div>
    <w:div w:id="1590388916">
      <w:bodyDiv w:val="1"/>
      <w:marLeft w:val="0"/>
      <w:marRight w:val="0"/>
      <w:marTop w:val="0"/>
      <w:marBottom w:val="0"/>
      <w:divBdr>
        <w:top w:val="none" w:sz="0" w:space="0" w:color="auto"/>
        <w:left w:val="none" w:sz="0" w:space="0" w:color="auto"/>
        <w:bottom w:val="none" w:sz="0" w:space="0" w:color="auto"/>
        <w:right w:val="none" w:sz="0" w:space="0" w:color="auto"/>
      </w:divBdr>
    </w:div>
    <w:div w:id="1604268996">
      <w:bodyDiv w:val="1"/>
      <w:marLeft w:val="0"/>
      <w:marRight w:val="0"/>
      <w:marTop w:val="0"/>
      <w:marBottom w:val="0"/>
      <w:divBdr>
        <w:top w:val="none" w:sz="0" w:space="0" w:color="auto"/>
        <w:left w:val="none" w:sz="0" w:space="0" w:color="auto"/>
        <w:bottom w:val="none" w:sz="0" w:space="0" w:color="auto"/>
        <w:right w:val="none" w:sz="0" w:space="0" w:color="auto"/>
      </w:divBdr>
    </w:div>
    <w:div w:id="1605116482">
      <w:bodyDiv w:val="1"/>
      <w:marLeft w:val="0"/>
      <w:marRight w:val="0"/>
      <w:marTop w:val="0"/>
      <w:marBottom w:val="0"/>
      <w:divBdr>
        <w:top w:val="none" w:sz="0" w:space="0" w:color="auto"/>
        <w:left w:val="none" w:sz="0" w:space="0" w:color="auto"/>
        <w:bottom w:val="none" w:sz="0" w:space="0" w:color="auto"/>
        <w:right w:val="none" w:sz="0" w:space="0" w:color="auto"/>
      </w:divBdr>
    </w:div>
    <w:div w:id="1609041083">
      <w:bodyDiv w:val="1"/>
      <w:marLeft w:val="0"/>
      <w:marRight w:val="0"/>
      <w:marTop w:val="0"/>
      <w:marBottom w:val="0"/>
      <w:divBdr>
        <w:top w:val="none" w:sz="0" w:space="0" w:color="auto"/>
        <w:left w:val="none" w:sz="0" w:space="0" w:color="auto"/>
        <w:bottom w:val="none" w:sz="0" w:space="0" w:color="auto"/>
        <w:right w:val="none" w:sz="0" w:space="0" w:color="auto"/>
      </w:divBdr>
    </w:div>
    <w:div w:id="1635327433">
      <w:bodyDiv w:val="1"/>
      <w:marLeft w:val="0"/>
      <w:marRight w:val="0"/>
      <w:marTop w:val="0"/>
      <w:marBottom w:val="0"/>
      <w:divBdr>
        <w:top w:val="none" w:sz="0" w:space="0" w:color="auto"/>
        <w:left w:val="none" w:sz="0" w:space="0" w:color="auto"/>
        <w:bottom w:val="none" w:sz="0" w:space="0" w:color="auto"/>
        <w:right w:val="none" w:sz="0" w:space="0" w:color="auto"/>
      </w:divBdr>
    </w:div>
    <w:div w:id="1637491383">
      <w:bodyDiv w:val="1"/>
      <w:marLeft w:val="0"/>
      <w:marRight w:val="0"/>
      <w:marTop w:val="0"/>
      <w:marBottom w:val="0"/>
      <w:divBdr>
        <w:top w:val="none" w:sz="0" w:space="0" w:color="auto"/>
        <w:left w:val="none" w:sz="0" w:space="0" w:color="auto"/>
        <w:bottom w:val="none" w:sz="0" w:space="0" w:color="auto"/>
        <w:right w:val="none" w:sz="0" w:space="0" w:color="auto"/>
      </w:divBdr>
    </w:div>
    <w:div w:id="1647317301">
      <w:bodyDiv w:val="1"/>
      <w:marLeft w:val="0"/>
      <w:marRight w:val="0"/>
      <w:marTop w:val="0"/>
      <w:marBottom w:val="0"/>
      <w:divBdr>
        <w:top w:val="none" w:sz="0" w:space="0" w:color="auto"/>
        <w:left w:val="none" w:sz="0" w:space="0" w:color="auto"/>
        <w:bottom w:val="none" w:sz="0" w:space="0" w:color="auto"/>
        <w:right w:val="none" w:sz="0" w:space="0" w:color="auto"/>
      </w:divBdr>
      <w:divsChild>
        <w:div w:id="458452909">
          <w:marLeft w:val="0"/>
          <w:marRight w:val="0"/>
          <w:marTop w:val="0"/>
          <w:marBottom w:val="0"/>
          <w:divBdr>
            <w:top w:val="none" w:sz="0" w:space="0" w:color="auto"/>
            <w:left w:val="none" w:sz="0" w:space="0" w:color="auto"/>
            <w:bottom w:val="none" w:sz="0" w:space="0" w:color="auto"/>
            <w:right w:val="none" w:sz="0" w:space="0" w:color="auto"/>
          </w:divBdr>
        </w:div>
        <w:div w:id="776415024">
          <w:marLeft w:val="0"/>
          <w:marRight w:val="0"/>
          <w:marTop w:val="0"/>
          <w:marBottom w:val="0"/>
          <w:divBdr>
            <w:top w:val="none" w:sz="0" w:space="0" w:color="auto"/>
            <w:left w:val="none" w:sz="0" w:space="0" w:color="auto"/>
            <w:bottom w:val="none" w:sz="0" w:space="0" w:color="auto"/>
            <w:right w:val="none" w:sz="0" w:space="0" w:color="auto"/>
          </w:divBdr>
        </w:div>
        <w:div w:id="799808384">
          <w:marLeft w:val="0"/>
          <w:marRight w:val="0"/>
          <w:marTop w:val="0"/>
          <w:marBottom w:val="0"/>
          <w:divBdr>
            <w:top w:val="none" w:sz="0" w:space="0" w:color="auto"/>
            <w:left w:val="none" w:sz="0" w:space="0" w:color="auto"/>
            <w:bottom w:val="none" w:sz="0" w:space="0" w:color="auto"/>
            <w:right w:val="none" w:sz="0" w:space="0" w:color="auto"/>
          </w:divBdr>
        </w:div>
      </w:divsChild>
    </w:div>
    <w:div w:id="1652320556">
      <w:bodyDiv w:val="1"/>
      <w:marLeft w:val="0"/>
      <w:marRight w:val="0"/>
      <w:marTop w:val="0"/>
      <w:marBottom w:val="0"/>
      <w:divBdr>
        <w:top w:val="none" w:sz="0" w:space="0" w:color="auto"/>
        <w:left w:val="none" w:sz="0" w:space="0" w:color="auto"/>
        <w:bottom w:val="none" w:sz="0" w:space="0" w:color="auto"/>
        <w:right w:val="none" w:sz="0" w:space="0" w:color="auto"/>
      </w:divBdr>
    </w:div>
    <w:div w:id="1653828297">
      <w:bodyDiv w:val="1"/>
      <w:marLeft w:val="0"/>
      <w:marRight w:val="0"/>
      <w:marTop w:val="0"/>
      <w:marBottom w:val="0"/>
      <w:divBdr>
        <w:top w:val="none" w:sz="0" w:space="0" w:color="auto"/>
        <w:left w:val="none" w:sz="0" w:space="0" w:color="auto"/>
        <w:bottom w:val="none" w:sz="0" w:space="0" w:color="auto"/>
        <w:right w:val="none" w:sz="0" w:space="0" w:color="auto"/>
      </w:divBdr>
    </w:div>
    <w:div w:id="1661929493">
      <w:bodyDiv w:val="1"/>
      <w:marLeft w:val="0"/>
      <w:marRight w:val="0"/>
      <w:marTop w:val="0"/>
      <w:marBottom w:val="0"/>
      <w:divBdr>
        <w:top w:val="none" w:sz="0" w:space="0" w:color="auto"/>
        <w:left w:val="none" w:sz="0" w:space="0" w:color="auto"/>
        <w:bottom w:val="none" w:sz="0" w:space="0" w:color="auto"/>
        <w:right w:val="none" w:sz="0" w:space="0" w:color="auto"/>
      </w:divBdr>
    </w:div>
    <w:div w:id="1669400194">
      <w:bodyDiv w:val="1"/>
      <w:marLeft w:val="0"/>
      <w:marRight w:val="0"/>
      <w:marTop w:val="0"/>
      <w:marBottom w:val="0"/>
      <w:divBdr>
        <w:top w:val="none" w:sz="0" w:space="0" w:color="auto"/>
        <w:left w:val="none" w:sz="0" w:space="0" w:color="auto"/>
        <w:bottom w:val="none" w:sz="0" w:space="0" w:color="auto"/>
        <w:right w:val="none" w:sz="0" w:space="0" w:color="auto"/>
      </w:divBdr>
    </w:div>
    <w:div w:id="1676036760">
      <w:bodyDiv w:val="1"/>
      <w:marLeft w:val="0"/>
      <w:marRight w:val="0"/>
      <w:marTop w:val="0"/>
      <w:marBottom w:val="0"/>
      <w:divBdr>
        <w:top w:val="none" w:sz="0" w:space="0" w:color="auto"/>
        <w:left w:val="none" w:sz="0" w:space="0" w:color="auto"/>
        <w:bottom w:val="none" w:sz="0" w:space="0" w:color="auto"/>
        <w:right w:val="none" w:sz="0" w:space="0" w:color="auto"/>
      </w:divBdr>
    </w:div>
    <w:div w:id="1689985108">
      <w:bodyDiv w:val="1"/>
      <w:marLeft w:val="0"/>
      <w:marRight w:val="0"/>
      <w:marTop w:val="0"/>
      <w:marBottom w:val="0"/>
      <w:divBdr>
        <w:top w:val="none" w:sz="0" w:space="0" w:color="auto"/>
        <w:left w:val="none" w:sz="0" w:space="0" w:color="auto"/>
        <w:bottom w:val="none" w:sz="0" w:space="0" w:color="auto"/>
        <w:right w:val="none" w:sz="0" w:space="0" w:color="auto"/>
      </w:divBdr>
    </w:div>
    <w:div w:id="1693023950">
      <w:bodyDiv w:val="1"/>
      <w:marLeft w:val="0"/>
      <w:marRight w:val="0"/>
      <w:marTop w:val="0"/>
      <w:marBottom w:val="0"/>
      <w:divBdr>
        <w:top w:val="none" w:sz="0" w:space="0" w:color="auto"/>
        <w:left w:val="none" w:sz="0" w:space="0" w:color="auto"/>
        <w:bottom w:val="none" w:sz="0" w:space="0" w:color="auto"/>
        <w:right w:val="none" w:sz="0" w:space="0" w:color="auto"/>
      </w:divBdr>
    </w:div>
    <w:div w:id="1697076709">
      <w:bodyDiv w:val="1"/>
      <w:marLeft w:val="0"/>
      <w:marRight w:val="0"/>
      <w:marTop w:val="0"/>
      <w:marBottom w:val="0"/>
      <w:divBdr>
        <w:top w:val="none" w:sz="0" w:space="0" w:color="auto"/>
        <w:left w:val="none" w:sz="0" w:space="0" w:color="auto"/>
        <w:bottom w:val="none" w:sz="0" w:space="0" w:color="auto"/>
        <w:right w:val="none" w:sz="0" w:space="0" w:color="auto"/>
      </w:divBdr>
      <w:divsChild>
        <w:div w:id="341124087">
          <w:marLeft w:val="0"/>
          <w:marRight w:val="0"/>
          <w:marTop w:val="0"/>
          <w:marBottom w:val="0"/>
          <w:divBdr>
            <w:top w:val="none" w:sz="0" w:space="0" w:color="auto"/>
            <w:left w:val="none" w:sz="0" w:space="0" w:color="auto"/>
            <w:bottom w:val="none" w:sz="0" w:space="0" w:color="auto"/>
            <w:right w:val="none" w:sz="0" w:space="0" w:color="auto"/>
          </w:divBdr>
        </w:div>
        <w:div w:id="585765261">
          <w:marLeft w:val="0"/>
          <w:marRight w:val="0"/>
          <w:marTop w:val="0"/>
          <w:marBottom w:val="0"/>
          <w:divBdr>
            <w:top w:val="none" w:sz="0" w:space="0" w:color="auto"/>
            <w:left w:val="none" w:sz="0" w:space="0" w:color="auto"/>
            <w:bottom w:val="none" w:sz="0" w:space="0" w:color="auto"/>
            <w:right w:val="none" w:sz="0" w:space="0" w:color="auto"/>
          </w:divBdr>
        </w:div>
        <w:div w:id="807208688">
          <w:marLeft w:val="0"/>
          <w:marRight w:val="0"/>
          <w:marTop w:val="0"/>
          <w:marBottom w:val="0"/>
          <w:divBdr>
            <w:top w:val="none" w:sz="0" w:space="0" w:color="auto"/>
            <w:left w:val="none" w:sz="0" w:space="0" w:color="auto"/>
            <w:bottom w:val="none" w:sz="0" w:space="0" w:color="auto"/>
            <w:right w:val="none" w:sz="0" w:space="0" w:color="auto"/>
          </w:divBdr>
        </w:div>
        <w:div w:id="1043947782">
          <w:marLeft w:val="0"/>
          <w:marRight w:val="0"/>
          <w:marTop w:val="0"/>
          <w:marBottom w:val="0"/>
          <w:divBdr>
            <w:top w:val="none" w:sz="0" w:space="0" w:color="auto"/>
            <w:left w:val="none" w:sz="0" w:space="0" w:color="auto"/>
            <w:bottom w:val="none" w:sz="0" w:space="0" w:color="auto"/>
            <w:right w:val="none" w:sz="0" w:space="0" w:color="auto"/>
          </w:divBdr>
        </w:div>
        <w:div w:id="1132595180">
          <w:marLeft w:val="0"/>
          <w:marRight w:val="0"/>
          <w:marTop w:val="0"/>
          <w:marBottom w:val="0"/>
          <w:divBdr>
            <w:top w:val="none" w:sz="0" w:space="0" w:color="auto"/>
            <w:left w:val="none" w:sz="0" w:space="0" w:color="auto"/>
            <w:bottom w:val="none" w:sz="0" w:space="0" w:color="auto"/>
            <w:right w:val="none" w:sz="0" w:space="0" w:color="auto"/>
          </w:divBdr>
        </w:div>
        <w:div w:id="1388992049">
          <w:marLeft w:val="0"/>
          <w:marRight w:val="0"/>
          <w:marTop w:val="0"/>
          <w:marBottom w:val="0"/>
          <w:divBdr>
            <w:top w:val="none" w:sz="0" w:space="0" w:color="auto"/>
            <w:left w:val="none" w:sz="0" w:space="0" w:color="auto"/>
            <w:bottom w:val="none" w:sz="0" w:space="0" w:color="auto"/>
            <w:right w:val="none" w:sz="0" w:space="0" w:color="auto"/>
          </w:divBdr>
        </w:div>
        <w:div w:id="1586185317">
          <w:marLeft w:val="0"/>
          <w:marRight w:val="0"/>
          <w:marTop w:val="0"/>
          <w:marBottom w:val="0"/>
          <w:divBdr>
            <w:top w:val="none" w:sz="0" w:space="0" w:color="auto"/>
            <w:left w:val="none" w:sz="0" w:space="0" w:color="auto"/>
            <w:bottom w:val="none" w:sz="0" w:space="0" w:color="auto"/>
            <w:right w:val="none" w:sz="0" w:space="0" w:color="auto"/>
          </w:divBdr>
        </w:div>
        <w:div w:id="1649287586">
          <w:marLeft w:val="0"/>
          <w:marRight w:val="0"/>
          <w:marTop w:val="0"/>
          <w:marBottom w:val="0"/>
          <w:divBdr>
            <w:top w:val="none" w:sz="0" w:space="0" w:color="auto"/>
            <w:left w:val="none" w:sz="0" w:space="0" w:color="auto"/>
            <w:bottom w:val="none" w:sz="0" w:space="0" w:color="auto"/>
            <w:right w:val="none" w:sz="0" w:space="0" w:color="auto"/>
          </w:divBdr>
        </w:div>
        <w:div w:id="2003118614">
          <w:marLeft w:val="0"/>
          <w:marRight w:val="0"/>
          <w:marTop w:val="0"/>
          <w:marBottom w:val="0"/>
          <w:divBdr>
            <w:top w:val="none" w:sz="0" w:space="0" w:color="auto"/>
            <w:left w:val="none" w:sz="0" w:space="0" w:color="auto"/>
            <w:bottom w:val="none" w:sz="0" w:space="0" w:color="auto"/>
            <w:right w:val="none" w:sz="0" w:space="0" w:color="auto"/>
          </w:divBdr>
        </w:div>
        <w:div w:id="2094622412">
          <w:marLeft w:val="0"/>
          <w:marRight w:val="0"/>
          <w:marTop w:val="0"/>
          <w:marBottom w:val="0"/>
          <w:divBdr>
            <w:top w:val="none" w:sz="0" w:space="0" w:color="auto"/>
            <w:left w:val="none" w:sz="0" w:space="0" w:color="auto"/>
            <w:bottom w:val="none" w:sz="0" w:space="0" w:color="auto"/>
            <w:right w:val="none" w:sz="0" w:space="0" w:color="auto"/>
          </w:divBdr>
        </w:div>
      </w:divsChild>
    </w:div>
    <w:div w:id="1703479213">
      <w:bodyDiv w:val="1"/>
      <w:marLeft w:val="0"/>
      <w:marRight w:val="0"/>
      <w:marTop w:val="0"/>
      <w:marBottom w:val="0"/>
      <w:divBdr>
        <w:top w:val="none" w:sz="0" w:space="0" w:color="auto"/>
        <w:left w:val="none" w:sz="0" w:space="0" w:color="auto"/>
        <w:bottom w:val="none" w:sz="0" w:space="0" w:color="auto"/>
        <w:right w:val="none" w:sz="0" w:space="0" w:color="auto"/>
      </w:divBdr>
    </w:div>
    <w:div w:id="1705595370">
      <w:bodyDiv w:val="1"/>
      <w:marLeft w:val="0"/>
      <w:marRight w:val="0"/>
      <w:marTop w:val="0"/>
      <w:marBottom w:val="0"/>
      <w:divBdr>
        <w:top w:val="none" w:sz="0" w:space="0" w:color="auto"/>
        <w:left w:val="none" w:sz="0" w:space="0" w:color="auto"/>
        <w:bottom w:val="none" w:sz="0" w:space="0" w:color="auto"/>
        <w:right w:val="none" w:sz="0" w:space="0" w:color="auto"/>
      </w:divBdr>
    </w:div>
    <w:div w:id="1707409436">
      <w:bodyDiv w:val="1"/>
      <w:marLeft w:val="0"/>
      <w:marRight w:val="0"/>
      <w:marTop w:val="0"/>
      <w:marBottom w:val="0"/>
      <w:divBdr>
        <w:top w:val="none" w:sz="0" w:space="0" w:color="auto"/>
        <w:left w:val="none" w:sz="0" w:space="0" w:color="auto"/>
        <w:bottom w:val="none" w:sz="0" w:space="0" w:color="auto"/>
        <w:right w:val="none" w:sz="0" w:space="0" w:color="auto"/>
      </w:divBdr>
    </w:div>
    <w:div w:id="1717973473">
      <w:bodyDiv w:val="1"/>
      <w:marLeft w:val="0"/>
      <w:marRight w:val="0"/>
      <w:marTop w:val="0"/>
      <w:marBottom w:val="0"/>
      <w:divBdr>
        <w:top w:val="none" w:sz="0" w:space="0" w:color="auto"/>
        <w:left w:val="none" w:sz="0" w:space="0" w:color="auto"/>
        <w:bottom w:val="none" w:sz="0" w:space="0" w:color="auto"/>
        <w:right w:val="none" w:sz="0" w:space="0" w:color="auto"/>
      </w:divBdr>
    </w:div>
    <w:div w:id="1718579087">
      <w:bodyDiv w:val="1"/>
      <w:marLeft w:val="0"/>
      <w:marRight w:val="0"/>
      <w:marTop w:val="0"/>
      <w:marBottom w:val="0"/>
      <w:divBdr>
        <w:top w:val="none" w:sz="0" w:space="0" w:color="auto"/>
        <w:left w:val="none" w:sz="0" w:space="0" w:color="auto"/>
        <w:bottom w:val="none" w:sz="0" w:space="0" w:color="auto"/>
        <w:right w:val="none" w:sz="0" w:space="0" w:color="auto"/>
      </w:divBdr>
    </w:div>
    <w:div w:id="1720546580">
      <w:bodyDiv w:val="1"/>
      <w:marLeft w:val="0"/>
      <w:marRight w:val="0"/>
      <w:marTop w:val="0"/>
      <w:marBottom w:val="0"/>
      <w:divBdr>
        <w:top w:val="none" w:sz="0" w:space="0" w:color="auto"/>
        <w:left w:val="none" w:sz="0" w:space="0" w:color="auto"/>
        <w:bottom w:val="none" w:sz="0" w:space="0" w:color="auto"/>
        <w:right w:val="none" w:sz="0" w:space="0" w:color="auto"/>
      </w:divBdr>
    </w:div>
    <w:div w:id="1722366050">
      <w:bodyDiv w:val="1"/>
      <w:marLeft w:val="0"/>
      <w:marRight w:val="0"/>
      <w:marTop w:val="0"/>
      <w:marBottom w:val="0"/>
      <w:divBdr>
        <w:top w:val="none" w:sz="0" w:space="0" w:color="auto"/>
        <w:left w:val="none" w:sz="0" w:space="0" w:color="auto"/>
        <w:bottom w:val="none" w:sz="0" w:space="0" w:color="auto"/>
        <w:right w:val="none" w:sz="0" w:space="0" w:color="auto"/>
      </w:divBdr>
    </w:div>
    <w:div w:id="1731226189">
      <w:bodyDiv w:val="1"/>
      <w:marLeft w:val="0"/>
      <w:marRight w:val="0"/>
      <w:marTop w:val="0"/>
      <w:marBottom w:val="0"/>
      <w:divBdr>
        <w:top w:val="none" w:sz="0" w:space="0" w:color="auto"/>
        <w:left w:val="none" w:sz="0" w:space="0" w:color="auto"/>
        <w:bottom w:val="none" w:sz="0" w:space="0" w:color="auto"/>
        <w:right w:val="none" w:sz="0" w:space="0" w:color="auto"/>
      </w:divBdr>
    </w:div>
    <w:div w:id="1732919818">
      <w:bodyDiv w:val="1"/>
      <w:marLeft w:val="0"/>
      <w:marRight w:val="0"/>
      <w:marTop w:val="0"/>
      <w:marBottom w:val="0"/>
      <w:divBdr>
        <w:top w:val="none" w:sz="0" w:space="0" w:color="auto"/>
        <w:left w:val="none" w:sz="0" w:space="0" w:color="auto"/>
        <w:bottom w:val="none" w:sz="0" w:space="0" w:color="auto"/>
        <w:right w:val="none" w:sz="0" w:space="0" w:color="auto"/>
      </w:divBdr>
    </w:div>
    <w:div w:id="1732999267">
      <w:bodyDiv w:val="1"/>
      <w:marLeft w:val="0"/>
      <w:marRight w:val="0"/>
      <w:marTop w:val="0"/>
      <w:marBottom w:val="0"/>
      <w:divBdr>
        <w:top w:val="none" w:sz="0" w:space="0" w:color="auto"/>
        <w:left w:val="none" w:sz="0" w:space="0" w:color="auto"/>
        <w:bottom w:val="none" w:sz="0" w:space="0" w:color="auto"/>
        <w:right w:val="none" w:sz="0" w:space="0" w:color="auto"/>
      </w:divBdr>
    </w:div>
    <w:div w:id="1744179199">
      <w:bodyDiv w:val="1"/>
      <w:marLeft w:val="0"/>
      <w:marRight w:val="0"/>
      <w:marTop w:val="0"/>
      <w:marBottom w:val="0"/>
      <w:divBdr>
        <w:top w:val="none" w:sz="0" w:space="0" w:color="auto"/>
        <w:left w:val="none" w:sz="0" w:space="0" w:color="auto"/>
        <w:bottom w:val="none" w:sz="0" w:space="0" w:color="auto"/>
        <w:right w:val="none" w:sz="0" w:space="0" w:color="auto"/>
      </w:divBdr>
    </w:div>
    <w:div w:id="1753888269">
      <w:bodyDiv w:val="1"/>
      <w:marLeft w:val="0"/>
      <w:marRight w:val="0"/>
      <w:marTop w:val="0"/>
      <w:marBottom w:val="0"/>
      <w:divBdr>
        <w:top w:val="none" w:sz="0" w:space="0" w:color="auto"/>
        <w:left w:val="none" w:sz="0" w:space="0" w:color="auto"/>
        <w:bottom w:val="none" w:sz="0" w:space="0" w:color="auto"/>
        <w:right w:val="none" w:sz="0" w:space="0" w:color="auto"/>
      </w:divBdr>
    </w:div>
    <w:div w:id="1758331988">
      <w:bodyDiv w:val="1"/>
      <w:marLeft w:val="0"/>
      <w:marRight w:val="0"/>
      <w:marTop w:val="0"/>
      <w:marBottom w:val="0"/>
      <w:divBdr>
        <w:top w:val="none" w:sz="0" w:space="0" w:color="auto"/>
        <w:left w:val="none" w:sz="0" w:space="0" w:color="auto"/>
        <w:bottom w:val="none" w:sz="0" w:space="0" w:color="auto"/>
        <w:right w:val="none" w:sz="0" w:space="0" w:color="auto"/>
      </w:divBdr>
    </w:div>
    <w:div w:id="1762070684">
      <w:bodyDiv w:val="1"/>
      <w:marLeft w:val="0"/>
      <w:marRight w:val="0"/>
      <w:marTop w:val="0"/>
      <w:marBottom w:val="0"/>
      <w:divBdr>
        <w:top w:val="none" w:sz="0" w:space="0" w:color="auto"/>
        <w:left w:val="none" w:sz="0" w:space="0" w:color="auto"/>
        <w:bottom w:val="none" w:sz="0" w:space="0" w:color="auto"/>
        <w:right w:val="none" w:sz="0" w:space="0" w:color="auto"/>
      </w:divBdr>
    </w:div>
    <w:div w:id="1797289744">
      <w:bodyDiv w:val="1"/>
      <w:marLeft w:val="0"/>
      <w:marRight w:val="0"/>
      <w:marTop w:val="0"/>
      <w:marBottom w:val="0"/>
      <w:divBdr>
        <w:top w:val="none" w:sz="0" w:space="0" w:color="auto"/>
        <w:left w:val="none" w:sz="0" w:space="0" w:color="auto"/>
        <w:bottom w:val="none" w:sz="0" w:space="0" w:color="auto"/>
        <w:right w:val="none" w:sz="0" w:space="0" w:color="auto"/>
      </w:divBdr>
    </w:div>
    <w:div w:id="1802528096">
      <w:bodyDiv w:val="1"/>
      <w:marLeft w:val="0"/>
      <w:marRight w:val="0"/>
      <w:marTop w:val="0"/>
      <w:marBottom w:val="0"/>
      <w:divBdr>
        <w:top w:val="none" w:sz="0" w:space="0" w:color="auto"/>
        <w:left w:val="none" w:sz="0" w:space="0" w:color="auto"/>
        <w:bottom w:val="none" w:sz="0" w:space="0" w:color="auto"/>
        <w:right w:val="none" w:sz="0" w:space="0" w:color="auto"/>
      </w:divBdr>
    </w:div>
    <w:div w:id="1802796703">
      <w:bodyDiv w:val="1"/>
      <w:marLeft w:val="0"/>
      <w:marRight w:val="0"/>
      <w:marTop w:val="0"/>
      <w:marBottom w:val="0"/>
      <w:divBdr>
        <w:top w:val="none" w:sz="0" w:space="0" w:color="auto"/>
        <w:left w:val="none" w:sz="0" w:space="0" w:color="auto"/>
        <w:bottom w:val="none" w:sz="0" w:space="0" w:color="auto"/>
        <w:right w:val="none" w:sz="0" w:space="0" w:color="auto"/>
      </w:divBdr>
    </w:div>
    <w:div w:id="1806460635">
      <w:bodyDiv w:val="1"/>
      <w:marLeft w:val="0"/>
      <w:marRight w:val="0"/>
      <w:marTop w:val="0"/>
      <w:marBottom w:val="0"/>
      <w:divBdr>
        <w:top w:val="none" w:sz="0" w:space="0" w:color="auto"/>
        <w:left w:val="none" w:sz="0" w:space="0" w:color="auto"/>
        <w:bottom w:val="none" w:sz="0" w:space="0" w:color="auto"/>
        <w:right w:val="none" w:sz="0" w:space="0" w:color="auto"/>
      </w:divBdr>
    </w:div>
    <w:div w:id="1829709392">
      <w:bodyDiv w:val="1"/>
      <w:marLeft w:val="0"/>
      <w:marRight w:val="0"/>
      <w:marTop w:val="0"/>
      <w:marBottom w:val="0"/>
      <w:divBdr>
        <w:top w:val="none" w:sz="0" w:space="0" w:color="auto"/>
        <w:left w:val="none" w:sz="0" w:space="0" w:color="auto"/>
        <w:bottom w:val="none" w:sz="0" w:space="0" w:color="auto"/>
        <w:right w:val="none" w:sz="0" w:space="0" w:color="auto"/>
      </w:divBdr>
    </w:div>
    <w:div w:id="1830903536">
      <w:bodyDiv w:val="1"/>
      <w:marLeft w:val="0"/>
      <w:marRight w:val="0"/>
      <w:marTop w:val="0"/>
      <w:marBottom w:val="0"/>
      <w:divBdr>
        <w:top w:val="none" w:sz="0" w:space="0" w:color="auto"/>
        <w:left w:val="none" w:sz="0" w:space="0" w:color="auto"/>
        <w:bottom w:val="none" w:sz="0" w:space="0" w:color="auto"/>
        <w:right w:val="none" w:sz="0" w:space="0" w:color="auto"/>
      </w:divBdr>
    </w:div>
    <w:div w:id="1832520123">
      <w:bodyDiv w:val="1"/>
      <w:marLeft w:val="0"/>
      <w:marRight w:val="0"/>
      <w:marTop w:val="0"/>
      <w:marBottom w:val="0"/>
      <w:divBdr>
        <w:top w:val="none" w:sz="0" w:space="0" w:color="auto"/>
        <w:left w:val="none" w:sz="0" w:space="0" w:color="auto"/>
        <w:bottom w:val="none" w:sz="0" w:space="0" w:color="auto"/>
        <w:right w:val="none" w:sz="0" w:space="0" w:color="auto"/>
      </w:divBdr>
    </w:div>
    <w:div w:id="1845171800">
      <w:bodyDiv w:val="1"/>
      <w:marLeft w:val="0"/>
      <w:marRight w:val="0"/>
      <w:marTop w:val="0"/>
      <w:marBottom w:val="0"/>
      <w:divBdr>
        <w:top w:val="none" w:sz="0" w:space="0" w:color="auto"/>
        <w:left w:val="none" w:sz="0" w:space="0" w:color="auto"/>
        <w:bottom w:val="none" w:sz="0" w:space="0" w:color="auto"/>
        <w:right w:val="none" w:sz="0" w:space="0" w:color="auto"/>
      </w:divBdr>
    </w:div>
    <w:div w:id="1852064209">
      <w:bodyDiv w:val="1"/>
      <w:marLeft w:val="0"/>
      <w:marRight w:val="0"/>
      <w:marTop w:val="0"/>
      <w:marBottom w:val="0"/>
      <w:divBdr>
        <w:top w:val="none" w:sz="0" w:space="0" w:color="auto"/>
        <w:left w:val="none" w:sz="0" w:space="0" w:color="auto"/>
        <w:bottom w:val="none" w:sz="0" w:space="0" w:color="auto"/>
        <w:right w:val="none" w:sz="0" w:space="0" w:color="auto"/>
      </w:divBdr>
    </w:div>
    <w:div w:id="1863277864">
      <w:bodyDiv w:val="1"/>
      <w:marLeft w:val="0"/>
      <w:marRight w:val="0"/>
      <w:marTop w:val="0"/>
      <w:marBottom w:val="0"/>
      <w:divBdr>
        <w:top w:val="none" w:sz="0" w:space="0" w:color="auto"/>
        <w:left w:val="none" w:sz="0" w:space="0" w:color="auto"/>
        <w:bottom w:val="none" w:sz="0" w:space="0" w:color="auto"/>
        <w:right w:val="none" w:sz="0" w:space="0" w:color="auto"/>
      </w:divBdr>
    </w:div>
    <w:div w:id="1864316744">
      <w:bodyDiv w:val="1"/>
      <w:marLeft w:val="0"/>
      <w:marRight w:val="0"/>
      <w:marTop w:val="0"/>
      <w:marBottom w:val="0"/>
      <w:divBdr>
        <w:top w:val="none" w:sz="0" w:space="0" w:color="auto"/>
        <w:left w:val="none" w:sz="0" w:space="0" w:color="auto"/>
        <w:bottom w:val="none" w:sz="0" w:space="0" w:color="auto"/>
        <w:right w:val="none" w:sz="0" w:space="0" w:color="auto"/>
      </w:divBdr>
    </w:div>
    <w:div w:id="1864318490">
      <w:bodyDiv w:val="1"/>
      <w:marLeft w:val="0"/>
      <w:marRight w:val="0"/>
      <w:marTop w:val="0"/>
      <w:marBottom w:val="0"/>
      <w:divBdr>
        <w:top w:val="none" w:sz="0" w:space="0" w:color="auto"/>
        <w:left w:val="none" w:sz="0" w:space="0" w:color="auto"/>
        <w:bottom w:val="none" w:sz="0" w:space="0" w:color="auto"/>
        <w:right w:val="none" w:sz="0" w:space="0" w:color="auto"/>
      </w:divBdr>
    </w:div>
    <w:div w:id="1867210510">
      <w:bodyDiv w:val="1"/>
      <w:marLeft w:val="0"/>
      <w:marRight w:val="0"/>
      <w:marTop w:val="0"/>
      <w:marBottom w:val="0"/>
      <w:divBdr>
        <w:top w:val="none" w:sz="0" w:space="0" w:color="auto"/>
        <w:left w:val="none" w:sz="0" w:space="0" w:color="auto"/>
        <w:bottom w:val="none" w:sz="0" w:space="0" w:color="auto"/>
        <w:right w:val="none" w:sz="0" w:space="0" w:color="auto"/>
      </w:divBdr>
    </w:div>
    <w:div w:id="1867400147">
      <w:bodyDiv w:val="1"/>
      <w:marLeft w:val="0"/>
      <w:marRight w:val="0"/>
      <w:marTop w:val="0"/>
      <w:marBottom w:val="0"/>
      <w:divBdr>
        <w:top w:val="none" w:sz="0" w:space="0" w:color="auto"/>
        <w:left w:val="none" w:sz="0" w:space="0" w:color="auto"/>
        <w:bottom w:val="none" w:sz="0" w:space="0" w:color="auto"/>
        <w:right w:val="none" w:sz="0" w:space="0" w:color="auto"/>
      </w:divBdr>
    </w:div>
    <w:div w:id="1872567236">
      <w:bodyDiv w:val="1"/>
      <w:marLeft w:val="0"/>
      <w:marRight w:val="0"/>
      <w:marTop w:val="0"/>
      <w:marBottom w:val="0"/>
      <w:divBdr>
        <w:top w:val="none" w:sz="0" w:space="0" w:color="auto"/>
        <w:left w:val="none" w:sz="0" w:space="0" w:color="auto"/>
        <w:bottom w:val="none" w:sz="0" w:space="0" w:color="auto"/>
        <w:right w:val="none" w:sz="0" w:space="0" w:color="auto"/>
      </w:divBdr>
      <w:divsChild>
        <w:div w:id="1346906745">
          <w:marLeft w:val="0"/>
          <w:marRight w:val="0"/>
          <w:marTop w:val="0"/>
          <w:marBottom w:val="0"/>
          <w:divBdr>
            <w:top w:val="none" w:sz="0" w:space="0" w:color="auto"/>
            <w:left w:val="none" w:sz="0" w:space="0" w:color="auto"/>
            <w:bottom w:val="none" w:sz="0" w:space="0" w:color="auto"/>
            <w:right w:val="none" w:sz="0" w:space="0" w:color="auto"/>
          </w:divBdr>
          <w:divsChild>
            <w:div w:id="1287737231">
              <w:marLeft w:val="0"/>
              <w:marRight w:val="0"/>
              <w:marTop w:val="0"/>
              <w:marBottom w:val="0"/>
              <w:divBdr>
                <w:top w:val="none" w:sz="0" w:space="0" w:color="auto"/>
                <w:left w:val="none" w:sz="0" w:space="0" w:color="auto"/>
                <w:bottom w:val="none" w:sz="0" w:space="0" w:color="auto"/>
                <w:right w:val="none" w:sz="0" w:space="0" w:color="auto"/>
              </w:divBdr>
              <w:divsChild>
                <w:div w:id="1477139831">
                  <w:marLeft w:val="0"/>
                  <w:marRight w:val="0"/>
                  <w:marTop w:val="0"/>
                  <w:marBottom w:val="0"/>
                  <w:divBdr>
                    <w:top w:val="none" w:sz="0" w:space="0" w:color="auto"/>
                    <w:left w:val="none" w:sz="0" w:space="0" w:color="auto"/>
                    <w:bottom w:val="none" w:sz="0" w:space="0" w:color="auto"/>
                    <w:right w:val="none" w:sz="0" w:space="0" w:color="auto"/>
                  </w:divBdr>
                  <w:divsChild>
                    <w:div w:id="581064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0505655">
      <w:bodyDiv w:val="1"/>
      <w:marLeft w:val="0"/>
      <w:marRight w:val="0"/>
      <w:marTop w:val="0"/>
      <w:marBottom w:val="0"/>
      <w:divBdr>
        <w:top w:val="none" w:sz="0" w:space="0" w:color="auto"/>
        <w:left w:val="none" w:sz="0" w:space="0" w:color="auto"/>
        <w:bottom w:val="none" w:sz="0" w:space="0" w:color="auto"/>
        <w:right w:val="none" w:sz="0" w:space="0" w:color="auto"/>
      </w:divBdr>
    </w:div>
    <w:div w:id="1888300037">
      <w:bodyDiv w:val="1"/>
      <w:marLeft w:val="0"/>
      <w:marRight w:val="0"/>
      <w:marTop w:val="0"/>
      <w:marBottom w:val="0"/>
      <w:divBdr>
        <w:top w:val="none" w:sz="0" w:space="0" w:color="auto"/>
        <w:left w:val="none" w:sz="0" w:space="0" w:color="auto"/>
        <w:bottom w:val="none" w:sz="0" w:space="0" w:color="auto"/>
        <w:right w:val="none" w:sz="0" w:space="0" w:color="auto"/>
      </w:divBdr>
    </w:div>
    <w:div w:id="1893344745">
      <w:bodyDiv w:val="1"/>
      <w:marLeft w:val="0"/>
      <w:marRight w:val="0"/>
      <w:marTop w:val="0"/>
      <w:marBottom w:val="0"/>
      <w:divBdr>
        <w:top w:val="none" w:sz="0" w:space="0" w:color="auto"/>
        <w:left w:val="none" w:sz="0" w:space="0" w:color="auto"/>
        <w:bottom w:val="none" w:sz="0" w:space="0" w:color="auto"/>
        <w:right w:val="none" w:sz="0" w:space="0" w:color="auto"/>
      </w:divBdr>
    </w:div>
    <w:div w:id="1907448947">
      <w:bodyDiv w:val="1"/>
      <w:marLeft w:val="0"/>
      <w:marRight w:val="0"/>
      <w:marTop w:val="0"/>
      <w:marBottom w:val="0"/>
      <w:divBdr>
        <w:top w:val="none" w:sz="0" w:space="0" w:color="auto"/>
        <w:left w:val="none" w:sz="0" w:space="0" w:color="auto"/>
        <w:bottom w:val="none" w:sz="0" w:space="0" w:color="auto"/>
        <w:right w:val="none" w:sz="0" w:space="0" w:color="auto"/>
      </w:divBdr>
    </w:div>
    <w:div w:id="1910846769">
      <w:bodyDiv w:val="1"/>
      <w:marLeft w:val="0"/>
      <w:marRight w:val="0"/>
      <w:marTop w:val="0"/>
      <w:marBottom w:val="0"/>
      <w:divBdr>
        <w:top w:val="none" w:sz="0" w:space="0" w:color="auto"/>
        <w:left w:val="none" w:sz="0" w:space="0" w:color="auto"/>
        <w:bottom w:val="none" w:sz="0" w:space="0" w:color="auto"/>
        <w:right w:val="none" w:sz="0" w:space="0" w:color="auto"/>
      </w:divBdr>
    </w:div>
    <w:div w:id="1921253843">
      <w:bodyDiv w:val="1"/>
      <w:marLeft w:val="0"/>
      <w:marRight w:val="0"/>
      <w:marTop w:val="0"/>
      <w:marBottom w:val="0"/>
      <w:divBdr>
        <w:top w:val="none" w:sz="0" w:space="0" w:color="auto"/>
        <w:left w:val="none" w:sz="0" w:space="0" w:color="auto"/>
        <w:bottom w:val="none" w:sz="0" w:space="0" w:color="auto"/>
        <w:right w:val="none" w:sz="0" w:space="0" w:color="auto"/>
      </w:divBdr>
    </w:div>
    <w:div w:id="1921862582">
      <w:bodyDiv w:val="1"/>
      <w:marLeft w:val="0"/>
      <w:marRight w:val="0"/>
      <w:marTop w:val="0"/>
      <w:marBottom w:val="0"/>
      <w:divBdr>
        <w:top w:val="none" w:sz="0" w:space="0" w:color="auto"/>
        <w:left w:val="none" w:sz="0" w:space="0" w:color="auto"/>
        <w:bottom w:val="none" w:sz="0" w:space="0" w:color="auto"/>
        <w:right w:val="none" w:sz="0" w:space="0" w:color="auto"/>
      </w:divBdr>
    </w:div>
    <w:div w:id="1935894737">
      <w:bodyDiv w:val="1"/>
      <w:marLeft w:val="0"/>
      <w:marRight w:val="0"/>
      <w:marTop w:val="0"/>
      <w:marBottom w:val="0"/>
      <w:divBdr>
        <w:top w:val="none" w:sz="0" w:space="0" w:color="auto"/>
        <w:left w:val="none" w:sz="0" w:space="0" w:color="auto"/>
        <w:bottom w:val="none" w:sz="0" w:space="0" w:color="auto"/>
        <w:right w:val="none" w:sz="0" w:space="0" w:color="auto"/>
      </w:divBdr>
    </w:div>
    <w:div w:id="1941839709">
      <w:bodyDiv w:val="1"/>
      <w:marLeft w:val="0"/>
      <w:marRight w:val="0"/>
      <w:marTop w:val="0"/>
      <w:marBottom w:val="0"/>
      <w:divBdr>
        <w:top w:val="none" w:sz="0" w:space="0" w:color="auto"/>
        <w:left w:val="none" w:sz="0" w:space="0" w:color="auto"/>
        <w:bottom w:val="none" w:sz="0" w:space="0" w:color="auto"/>
        <w:right w:val="none" w:sz="0" w:space="0" w:color="auto"/>
      </w:divBdr>
    </w:div>
    <w:div w:id="1942712510">
      <w:bodyDiv w:val="1"/>
      <w:marLeft w:val="0"/>
      <w:marRight w:val="0"/>
      <w:marTop w:val="0"/>
      <w:marBottom w:val="0"/>
      <w:divBdr>
        <w:top w:val="none" w:sz="0" w:space="0" w:color="auto"/>
        <w:left w:val="none" w:sz="0" w:space="0" w:color="auto"/>
        <w:bottom w:val="none" w:sz="0" w:space="0" w:color="auto"/>
        <w:right w:val="none" w:sz="0" w:space="0" w:color="auto"/>
      </w:divBdr>
    </w:div>
    <w:div w:id="1945918844">
      <w:bodyDiv w:val="1"/>
      <w:marLeft w:val="0"/>
      <w:marRight w:val="0"/>
      <w:marTop w:val="0"/>
      <w:marBottom w:val="0"/>
      <w:divBdr>
        <w:top w:val="none" w:sz="0" w:space="0" w:color="auto"/>
        <w:left w:val="none" w:sz="0" w:space="0" w:color="auto"/>
        <w:bottom w:val="none" w:sz="0" w:space="0" w:color="auto"/>
        <w:right w:val="none" w:sz="0" w:space="0" w:color="auto"/>
      </w:divBdr>
    </w:div>
    <w:div w:id="1962571060">
      <w:bodyDiv w:val="1"/>
      <w:marLeft w:val="0"/>
      <w:marRight w:val="0"/>
      <w:marTop w:val="0"/>
      <w:marBottom w:val="0"/>
      <w:divBdr>
        <w:top w:val="none" w:sz="0" w:space="0" w:color="auto"/>
        <w:left w:val="none" w:sz="0" w:space="0" w:color="auto"/>
        <w:bottom w:val="none" w:sz="0" w:space="0" w:color="auto"/>
        <w:right w:val="none" w:sz="0" w:space="0" w:color="auto"/>
      </w:divBdr>
    </w:div>
    <w:div w:id="1968857218">
      <w:bodyDiv w:val="1"/>
      <w:marLeft w:val="0"/>
      <w:marRight w:val="0"/>
      <w:marTop w:val="0"/>
      <w:marBottom w:val="0"/>
      <w:divBdr>
        <w:top w:val="none" w:sz="0" w:space="0" w:color="auto"/>
        <w:left w:val="none" w:sz="0" w:space="0" w:color="auto"/>
        <w:bottom w:val="none" w:sz="0" w:space="0" w:color="auto"/>
        <w:right w:val="none" w:sz="0" w:space="0" w:color="auto"/>
      </w:divBdr>
    </w:div>
    <w:div w:id="1971090320">
      <w:bodyDiv w:val="1"/>
      <w:marLeft w:val="0"/>
      <w:marRight w:val="0"/>
      <w:marTop w:val="0"/>
      <w:marBottom w:val="0"/>
      <w:divBdr>
        <w:top w:val="none" w:sz="0" w:space="0" w:color="auto"/>
        <w:left w:val="none" w:sz="0" w:space="0" w:color="auto"/>
        <w:bottom w:val="none" w:sz="0" w:space="0" w:color="auto"/>
        <w:right w:val="none" w:sz="0" w:space="0" w:color="auto"/>
      </w:divBdr>
    </w:div>
    <w:div w:id="1984695687">
      <w:bodyDiv w:val="1"/>
      <w:marLeft w:val="0"/>
      <w:marRight w:val="0"/>
      <w:marTop w:val="0"/>
      <w:marBottom w:val="0"/>
      <w:divBdr>
        <w:top w:val="none" w:sz="0" w:space="0" w:color="auto"/>
        <w:left w:val="none" w:sz="0" w:space="0" w:color="auto"/>
        <w:bottom w:val="none" w:sz="0" w:space="0" w:color="auto"/>
        <w:right w:val="none" w:sz="0" w:space="0" w:color="auto"/>
      </w:divBdr>
    </w:div>
    <w:div w:id="1992520686">
      <w:bodyDiv w:val="1"/>
      <w:marLeft w:val="0"/>
      <w:marRight w:val="0"/>
      <w:marTop w:val="0"/>
      <w:marBottom w:val="0"/>
      <w:divBdr>
        <w:top w:val="none" w:sz="0" w:space="0" w:color="auto"/>
        <w:left w:val="none" w:sz="0" w:space="0" w:color="auto"/>
        <w:bottom w:val="none" w:sz="0" w:space="0" w:color="auto"/>
        <w:right w:val="none" w:sz="0" w:space="0" w:color="auto"/>
      </w:divBdr>
    </w:div>
    <w:div w:id="1997370563">
      <w:bodyDiv w:val="1"/>
      <w:marLeft w:val="0"/>
      <w:marRight w:val="0"/>
      <w:marTop w:val="0"/>
      <w:marBottom w:val="0"/>
      <w:divBdr>
        <w:top w:val="none" w:sz="0" w:space="0" w:color="auto"/>
        <w:left w:val="none" w:sz="0" w:space="0" w:color="auto"/>
        <w:bottom w:val="none" w:sz="0" w:space="0" w:color="auto"/>
        <w:right w:val="none" w:sz="0" w:space="0" w:color="auto"/>
      </w:divBdr>
    </w:div>
    <w:div w:id="2009668411">
      <w:bodyDiv w:val="1"/>
      <w:marLeft w:val="0"/>
      <w:marRight w:val="0"/>
      <w:marTop w:val="0"/>
      <w:marBottom w:val="0"/>
      <w:divBdr>
        <w:top w:val="none" w:sz="0" w:space="0" w:color="auto"/>
        <w:left w:val="none" w:sz="0" w:space="0" w:color="auto"/>
        <w:bottom w:val="none" w:sz="0" w:space="0" w:color="auto"/>
        <w:right w:val="none" w:sz="0" w:space="0" w:color="auto"/>
      </w:divBdr>
    </w:div>
    <w:div w:id="2011177393">
      <w:bodyDiv w:val="1"/>
      <w:marLeft w:val="0"/>
      <w:marRight w:val="0"/>
      <w:marTop w:val="0"/>
      <w:marBottom w:val="0"/>
      <w:divBdr>
        <w:top w:val="none" w:sz="0" w:space="0" w:color="auto"/>
        <w:left w:val="none" w:sz="0" w:space="0" w:color="auto"/>
        <w:bottom w:val="none" w:sz="0" w:space="0" w:color="auto"/>
        <w:right w:val="none" w:sz="0" w:space="0" w:color="auto"/>
      </w:divBdr>
      <w:divsChild>
        <w:div w:id="389153041">
          <w:marLeft w:val="0"/>
          <w:marRight w:val="0"/>
          <w:marTop w:val="0"/>
          <w:marBottom w:val="0"/>
          <w:divBdr>
            <w:top w:val="none" w:sz="0" w:space="0" w:color="auto"/>
            <w:left w:val="none" w:sz="0" w:space="0" w:color="auto"/>
            <w:bottom w:val="none" w:sz="0" w:space="0" w:color="auto"/>
            <w:right w:val="none" w:sz="0" w:space="0" w:color="auto"/>
          </w:divBdr>
          <w:divsChild>
            <w:div w:id="1732191475">
              <w:marLeft w:val="0"/>
              <w:marRight w:val="0"/>
              <w:marTop w:val="0"/>
              <w:marBottom w:val="0"/>
              <w:divBdr>
                <w:top w:val="none" w:sz="0" w:space="0" w:color="auto"/>
                <w:left w:val="none" w:sz="0" w:space="0" w:color="auto"/>
                <w:bottom w:val="none" w:sz="0" w:space="0" w:color="auto"/>
                <w:right w:val="none" w:sz="0" w:space="0" w:color="auto"/>
              </w:divBdr>
              <w:divsChild>
                <w:div w:id="2132435884">
                  <w:marLeft w:val="0"/>
                  <w:marRight w:val="0"/>
                  <w:marTop w:val="0"/>
                  <w:marBottom w:val="0"/>
                  <w:divBdr>
                    <w:top w:val="none" w:sz="0" w:space="0" w:color="auto"/>
                    <w:left w:val="none" w:sz="0" w:space="0" w:color="auto"/>
                    <w:bottom w:val="none" w:sz="0" w:space="0" w:color="auto"/>
                    <w:right w:val="none" w:sz="0" w:space="0" w:color="auto"/>
                  </w:divBdr>
                  <w:divsChild>
                    <w:div w:id="1662736575">
                      <w:marLeft w:val="0"/>
                      <w:marRight w:val="0"/>
                      <w:marTop w:val="0"/>
                      <w:marBottom w:val="0"/>
                      <w:divBdr>
                        <w:top w:val="none" w:sz="0" w:space="0" w:color="auto"/>
                        <w:left w:val="none" w:sz="0" w:space="0" w:color="auto"/>
                        <w:bottom w:val="none" w:sz="0" w:space="0" w:color="auto"/>
                        <w:right w:val="none" w:sz="0" w:space="0" w:color="auto"/>
                      </w:divBdr>
                      <w:divsChild>
                        <w:div w:id="140276967">
                          <w:marLeft w:val="0"/>
                          <w:marRight w:val="0"/>
                          <w:marTop w:val="0"/>
                          <w:marBottom w:val="0"/>
                          <w:divBdr>
                            <w:top w:val="none" w:sz="0" w:space="0" w:color="auto"/>
                            <w:left w:val="none" w:sz="0" w:space="0" w:color="auto"/>
                            <w:bottom w:val="none" w:sz="0" w:space="0" w:color="auto"/>
                            <w:right w:val="none" w:sz="0" w:space="0" w:color="auto"/>
                          </w:divBdr>
                          <w:divsChild>
                            <w:div w:id="781997989">
                              <w:marLeft w:val="0"/>
                              <w:marRight w:val="0"/>
                              <w:marTop w:val="0"/>
                              <w:marBottom w:val="0"/>
                              <w:divBdr>
                                <w:top w:val="none" w:sz="0" w:space="0" w:color="auto"/>
                                <w:left w:val="none" w:sz="0" w:space="0" w:color="auto"/>
                                <w:bottom w:val="none" w:sz="0" w:space="0" w:color="auto"/>
                                <w:right w:val="none" w:sz="0" w:space="0" w:color="auto"/>
                              </w:divBdr>
                              <w:divsChild>
                                <w:div w:id="1348873991">
                                  <w:marLeft w:val="0"/>
                                  <w:marRight w:val="0"/>
                                  <w:marTop w:val="0"/>
                                  <w:marBottom w:val="0"/>
                                  <w:divBdr>
                                    <w:top w:val="none" w:sz="0" w:space="0" w:color="auto"/>
                                    <w:left w:val="none" w:sz="0" w:space="0" w:color="auto"/>
                                    <w:bottom w:val="none" w:sz="0" w:space="0" w:color="auto"/>
                                    <w:right w:val="none" w:sz="0" w:space="0" w:color="auto"/>
                                  </w:divBdr>
                                  <w:divsChild>
                                    <w:div w:id="222378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5490827">
                      <w:marLeft w:val="0"/>
                      <w:marRight w:val="0"/>
                      <w:marTop w:val="0"/>
                      <w:marBottom w:val="0"/>
                      <w:divBdr>
                        <w:top w:val="none" w:sz="0" w:space="0" w:color="auto"/>
                        <w:left w:val="none" w:sz="0" w:space="0" w:color="auto"/>
                        <w:bottom w:val="none" w:sz="0" w:space="0" w:color="auto"/>
                        <w:right w:val="none" w:sz="0" w:space="0" w:color="auto"/>
                      </w:divBdr>
                      <w:divsChild>
                        <w:div w:id="1039161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1447226">
      <w:bodyDiv w:val="1"/>
      <w:marLeft w:val="0"/>
      <w:marRight w:val="0"/>
      <w:marTop w:val="0"/>
      <w:marBottom w:val="0"/>
      <w:divBdr>
        <w:top w:val="none" w:sz="0" w:space="0" w:color="auto"/>
        <w:left w:val="none" w:sz="0" w:space="0" w:color="auto"/>
        <w:bottom w:val="none" w:sz="0" w:space="0" w:color="auto"/>
        <w:right w:val="none" w:sz="0" w:space="0" w:color="auto"/>
      </w:divBdr>
    </w:div>
    <w:div w:id="2021155170">
      <w:bodyDiv w:val="1"/>
      <w:marLeft w:val="0"/>
      <w:marRight w:val="0"/>
      <w:marTop w:val="0"/>
      <w:marBottom w:val="0"/>
      <w:divBdr>
        <w:top w:val="none" w:sz="0" w:space="0" w:color="auto"/>
        <w:left w:val="none" w:sz="0" w:space="0" w:color="auto"/>
        <w:bottom w:val="none" w:sz="0" w:space="0" w:color="auto"/>
        <w:right w:val="none" w:sz="0" w:space="0" w:color="auto"/>
      </w:divBdr>
    </w:div>
    <w:div w:id="2025475560">
      <w:bodyDiv w:val="1"/>
      <w:marLeft w:val="0"/>
      <w:marRight w:val="0"/>
      <w:marTop w:val="0"/>
      <w:marBottom w:val="0"/>
      <w:divBdr>
        <w:top w:val="none" w:sz="0" w:space="0" w:color="auto"/>
        <w:left w:val="none" w:sz="0" w:space="0" w:color="auto"/>
        <w:bottom w:val="none" w:sz="0" w:space="0" w:color="auto"/>
        <w:right w:val="none" w:sz="0" w:space="0" w:color="auto"/>
      </w:divBdr>
    </w:div>
    <w:div w:id="2029283784">
      <w:bodyDiv w:val="1"/>
      <w:marLeft w:val="0"/>
      <w:marRight w:val="0"/>
      <w:marTop w:val="0"/>
      <w:marBottom w:val="0"/>
      <w:divBdr>
        <w:top w:val="none" w:sz="0" w:space="0" w:color="auto"/>
        <w:left w:val="none" w:sz="0" w:space="0" w:color="auto"/>
        <w:bottom w:val="none" w:sz="0" w:space="0" w:color="auto"/>
        <w:right w:val="none" w:sz="0" w:space="0" w:color="auto"/>
      </w:divBdr>
    </w:div>
    <w:div w:id="2053992398">
      <w:bodyDiv w:val="1"/>
      <w:marLeft w:val="0"/>
      <w:marRight w:val="0"/>
      <w:marTop w:val="0"/>
      <w:marBottom w:val="0"/>
      <w:divBdr>
        <w:top w:val="none" w:sz="0" w:space="0" w:color="auto"/>
        <w:left w:val="none" w:sz="0" w:space="0" w:color="auto"/>
        <w:bottom w:val="none" w:sz="0" w:space="0" w:color="auto"/>
        <w:right w:val="none" w:sz="0" w:space="0" w:color="auto"/>
      </w:divBdr>
    </w:div>
    <w:div w:id="2059621879">
      <w:bodyDiv w:val="1"/>
      <w:marLeft w:val="0"/>
      <w:marRight w:val="0"/>
      <w:marTop w:val="0"/>
      <w:marBottom w:val="0"/>
      <w:divBdr>
        <w:top w:val="none" w:sz="0" w:space="0" w:color="auto"/>
        <w:left w:val="none" w:sz="0" w:space="0" w:color="auto"/>
        <w:bottom w:val="none" w:sz="0" w:space="0" w:color="auto"/>
        <w:right w:val="none" w:sz="0" w:space="0" w:color="auto"/>
      </w:divBdr>
    </w:div>
    <w:div w:id="2071535277">
      <w:bodyDiv w:val="1"/>
      <w:marLeft w:val="0"/>
      <w:marRight w:val="0"/>
      <w:marTop w:val="0"/>
      <w:marBottom w:val="0"/>
      <w:divBdr>
        <w:top w:val="none" w:sz="0" w:space="0" w:color="auto"/>
        <w:left w:val="none" w:sz="0" w:space="0" w:color="auto"/>
        <w:bottom w:val="none" w:sz="0" w:space="0" w:color="auto"/>
        <w:right w:val="none" w:sz="0" w:space="0" w:color="auto"/>
      </w:divBdr>
      <w:divsChild>
        <w:div w:id="739718031">
          <w:marLeft w:val="0"/>
          <w:marRight w:val="0"/>
          <w:marTop w:val="0"/>
          <w:marBottom w:val="0"/>
          <w:divBdr>
            <w:top w:val="none" w:sz="0" w:space="0" w:color="auto"/>
            <w:left w:val="none" w:sz="0" w:space="0" w:color="auto"/>
            <w:bottom w:val="none" w:sz="0" w:space="0" w:color="auto"/>
            <w:right w:val="none" w:sz="0" w:space="0" w:color="auto"/>
          </w:divBdr>
          <w:divsChild>
            <w:div w:id="335348617">
              <w:marLeft w:val="0"/>
              <w:marRight w:val="0"/>
              <w:marTop w:val="0"/>
              <w:marBottom w:val="0"/>
              <w:divBdr>
                <w:top w:val="none" w:sz="0" w:space="0" w:color="auto"/>
                <w:left w:val="none" w:sz="0" w:space="0" w:color="auto"/>
                <w:bottom w:val="none" w:sz="0" w:space="0" w:color="auto"/>
                <w:right w:val="none" w:sz="0" w:space="0" w:color="auto"/>
              </w:divBdr>
              <w:divsChild>
                <w:div w:id="393283658">
                  <w:marLeft w:val="0"/>
                  <w:marRight w:val="0"/>
                  <w:marTop w:val="0"/>
                  <w:marBottom w:val="0"/>
                  <w:divBdr>
                    <w:top w:val="none" w:sz="0" w:space="0" w:color="auto"/>
                    <w:left w:val="none" w:sz="0" w:space="0" w:color="auto"/>
                    <w:bottom w:val="none" w:sz="0" w:space="0" w:color="auto"/>
                    <w:right w:val="none" w:sz="0" w:space="0" w:color="auto"/>
                  </w:divBdr>
                  <w:divsChild>
                    <w:div w:id="543828018">
                      <w:marLeft w:val="0"/>
                      <w:marRight w:val="0"/>
                      <w:marTop w:val="0"/>
                      <w:marBottom w:val="0"/>
                      <w:divBdr>
                        <w:top w:val="none" w:sz="0" w:space="0" w:color="auto"/>
                        <w:left w:val="none" w:sz="0" w:space="0" w:color="auto"/>
                        <w:bottom w:val="none" w:sz="0" w:space="0" w:color="auto"/>
                        <w:right w:val="none" w:sz="0" w:space="0" w:color="auto"/>
                      </w:divBdr>
                      <w:divsChild>
                        <w:div w:id="1510296979">
                          <w:marLeft w:val="0"/>
                          <w:marRight w:val="0"/>
                          <w:marTop w:val="0"/>
                          <w:marBottom w:val="0"/>
                          <w:divBdr>
                            <w:top w:val="none" w:sz="0" w:space="0" w:color="auto"/>
                            <w:left w:val="none" w:sz="0" w:space="0" w:color="auto"/>
                            <w:bottom w:val="none" w:sz="0" w:space="0" w:color="auto"/>
                            <w:right w:val="none" w:sz="0" w:space="0" w:color="auto"/>
                          </w:divBdr>
                          <w:divsChild>
                            <w:div w:id="1769277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2190547">
      <w:bodyDiv w:val="1"/>
      <w:marLeft w:val="0"/>
      <w:marRight w:val="0"/>
      <w:marTop w:val="0"/>
      <w:marBottom w:val="0"/>
      <w:divBdr>
        <w:top w:val="none" w:sz="0" w:space="0" w:color="auto"/>
        <w:left w:val="none" w:sz="0" w:space="0" w:color="auto"/>
        <w:bottom w:val="none" w:sz="0" w:space="0" w:color="auto"/>
        <w:right w:val="none" w:sz="0" w:space="0" w:color="auto"/>
      </w:divBdr>
    </w:div>
    <w:div w:id="2072725175">
      <w:bodyDiv w:val="1"/>
      <w:marLeft w:val="0"/>
      <w:marRight w:val="0"/>
      <w:marTop w:val="0"/>
      <w:marBottom w:val="0"/>
      <w:divBdr>
        <w:top w:val="none" w:sz="0" w:space="0" w:color="auto"/>
        <w:left w:val="none" w:sz="0" w:space="0" w:color="auto"/>
        <w:bottom w:val="none" w:sz="0" w:space="0" w:color="auto"/>
        <w:right w:val="none" w:sz="0" w:space="0" w:color="auto"/>
      </w:divBdr>
    </w:div>
    <w:div w:id="2084450951">
      <w:bodyDiv w:val="1"/>
      <w:marLeft w:val="0"/>
      <w:marRight w:val="0"/>
      <w:marTop w:val="0"/>
      <w:marBottom w:val="0"/>
      <w:divBdr>
        <w:top w:val="none" w:sz="0" w:space="0" w:color="auto"/>
        <w:left w:val="none" w:sz="0" w:space="0" w:color="auto"/>
        <w:bottom w:val="none" w:sz="0" w:space="0" w:color="auto"/>
        <w:right w:val="none" w:sz="0" w:space="0" w:color="auto"/>
      </w:divBdr>
    </w:div>
    <w:div w:id="2093231952">
      <w:bodyDiv w:val="1"/>
      <w:marLeft w:val="0"/>
      <w:marRight w:val="0"/>
      <w:marTop w:val="0"/>
      <w:marBottom w:val="0"/>
      <w:divBdr>
        <w:top w:val="none" w:sz="0" w:space="0" w:color="auto"/>
        <w:left w:val="none" w:sz="0" w:space="0" w:color="auto"/>
        <w:bottom w:val="none" w:sz="0" w:space="0" w:color="auto"/>
        <w:right w:val="none" w:sz="0" w:space="0" w:color="auto"/>
      </w:divBdr>
    </w:div>
    <w:div w:id="2095475146">
      <w:bodyDiv w:val="1"/>
      <w:marLeft w:val="0"/>
      <w:marRight w:val="0"/>
      <w:marTop w:val="0"/>
      <w:marBottom w:val="0"/>
      <w:divBdr>
        <w:top w:val="none" w:sz="0" w:space="0" w:color="auto"/>
        <w:left w:val="none" w:sz="0" w:space="0" w:color="auto"/>
        <w:bottom w:val="none" w:sz="0" w:space="0" w:color="auto"/>
        <w:right w:val="none" w:sz="0" w:space="0" w:color="auto"/>
      </w:divBdr>
    </w:div>
    <w:div w:id="2101755553">
      <w:bodyDiv w:val="1"/>
      <w:marLeft w:val="0"/>
      <w:marRight w:val="0"/>
      <w:marTop w:val="0"/>
      <w:marBottom w:val="0"/>
      <w:divBdr>
        <w:top w:val="none" w:sz="0" w:space="0" w:color="auto"/>
        <w:left w:val="none" w:sz="0" w:space="0" w:color="auto"/>
        <w:bottom w:val="none" w:sz="0" w:space="0" w:color="auto"/>
        <w:right w:val="none" w:sz="0" w:space="0" w:color="auto"/>
      </w:divBdr>
    </w:div>
    <w:div w:id="2107189872">
      <w:bodyDiv w:val="1"/>
      <w:marLeft w:val="0"/>
      <w:marRight w:val="0"/>
      <w:marTop w:val="0"/>
      <w:marBottom w:val="0"/>
      <w:divBdr>
        <w:top w:val="none" w:sz="0" w:space="0" w:color="auto"/>
        <w:left w:val="none" w:sz="0" w:space="0" w:color="auto"/>
        <w:bottom w:val="none" w:sz="0" w:space="0" w:color="auto"/>
        <w:right w:val="none" w:sz="0" w:space="0" w:color="auto"/>
      </w:divBdr>
    </w:div>
    <w:div w:id="2123187894">
      <w:bodyDiv w:val="1"/>
      <w:marLeft w:val="0"/>
      <w:marRight w:val="0"/>
      <w:marTop w:val="0"/>
      <w:marBottom w:val="0"/>
      <w:divBdr>
        <w:top w:val="none" w:sz="0" w:space="0" w:color="auto"/>
        <w:left w:val="none" w:sz="0" w:space="0" w:color="auto"/>
        <w:bottom w:val="none" w:sz="0" w:space="0" w:color="auto"/>
        <w:right w:val="none" w:sz="0" w:space="0" w:color="auto"/>
      </w:divBdr>
    </w:div>
    <w:div w:id="2125880460">
      <w:bodyDiv w:val="1"/>
      <w:marLeft w:val="0"/>
      <w:marRight w:val="0"/>
      <w:marTop w:val="0"/>
      <w:marBottom w:val="0"/>
      <w:divBdr>
        <w:top w:val="none" w:sz="0" w:space="0" w:color="auto"/>
        <w:left w:val="none" w:sz="0" w:space="0" w:color="auto"/>
        <w:bottom w:val="none" w:sz="0" w:space="0" w:color="auto"/>
        <w:right w:val="none" w:sz="0" w:space="0" w:color="auto"/>
      </w:divBdr>
    </w:div>
    <w:div w:id="2140149216">
      <w:bodyDiv w:val="1"/>
      <w:marLeft w:val="0"/>
      <w:marRight w:val="0"/>
      <w:marTop w:val="0"/>
      <w:marBottom w:val="0"/>
      <w:divBdr>
        <w:top w:val="none" w:sz="0" w:space="0" w:color="auto"/>
        <w:left w:val="none" w:sz="0" w:space="0" w:color="auto"/>
        <w:bottom w:val="none" w:sz="0" w:space="0" w:color="auto"/>
        <w:right w:val="none" w:sz="0" w:space="0" w:color="auto"/>
      </w:divBdr>
    </w:div>
    <w:div w:id="2140151032">
      <w:bodyDiv w:val="1"/>
      <w:marLeft w:val="0"/>
      <w:marRight w:val="0"/>
      <w:marTop w:val="0"/>
      <w:marBottom w:val="0"/>
      <w:divBdr>
        <w:top w:val="none" w:sz="0" w:space="0" w:color="auto"/>
        <w:left w:val="none" w:sz="0" w:space="0" w:color="auto"/>
        <w:bottom w:val="none" w:sz="0" w:space="0" w:color="auto"/>
        <w:right w:val="none" w:sz="0" w:space="0" w:color="auto"/>
      </w:divBdr>
    </w:div>
    <w:div w:id="21473544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emf"/><Relationship Id="rId26" Type="http://schemas.openxmlformats.org/officeDocument/2006/relationships/hyperlink" Target="https://search.proquest.com/openview/5b6cf410ba2e9e4935af5756329c6e1e/1?pq-origsite=gscholar&amp;cbl=2045096" TargetMode="External"/><Relationship Id="rId3" Type="http://schemas.openxmlformats.org/officeDocument/2006/relationships/styles" Target="styles.xml"/><Relationship Id="rId21" Type="http://schemas.openxmlformats.org/officeDocument/2006/relationships/image" Target="media/image13.emf"/><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papers.ssrn.com/sol3/papers.cfm?abstract_id=4074459"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emf"/><Relationship Id="rId28" Type="http://schemas.openxmlformats.org/officeDocument/2006/relationships/theme" Target="theme/theme1.xml"/><Relationship Id="rId10" Type="http://schemas.openxmlformats.org/officeDocument/2006/relationships/image" Target="media/image2.emf"/><Relationship Id="rId19" Type="http://schemas.openxmlformats.org/officeDocument/2006/relationships/image" Target="media/image11.emf"/><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emf"/><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F3DFD-A762-4EB4-AC9F-757D4F7CE0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7249</Words>
  <Characters>41320</Characters>
  <Application>Microsoft Office Word</Application>
  <DocSecurity>0</DocSecurity>
  <Lines>344</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2025-11-19T04:14:00Z</dcterms:created>
  <dcterms:modified xsi:type="dcterms:W3CDTF">2025-11-22T08:05:00Z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5147f59f-39a5-4e66-bc65-323c0f99ad6c</vt:lpwstr>
  </property>
</Properties>
</file>