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DE46C8" w:rsidRDefault="00DE46C8" w:rsidP="00DE46C8">
      <w:pPr>
        <w:jc w:val="center"/>
        <w:rPr>
          <w:b/>
          <w:lang w:val="en-US"/>
        </w:rPr>
      </w:pPr>
    </w:p>
    <w:p w:rsidR="009167C5" w:rsidRPr="00DE46C8" w:rsidRDefault="009167C5" w:rsidP="00DE46C8">
      <w:pPr>
        <w:jc w:val="center"/>
        <w:rPr>
          <w:b/>
          <w:lang w:val="en-US"/>
        </w:rPr>
      </w:pPr>
      <w:r w:rsidRPr="00DE46C8">
        <w:rPr>
          <w:b/>
          <w:lang w:val="en-US"/>
        </w:rPr>
        <w:t>Title</w:t>
      </w:r>
    </w:p>
    <w:p w:rsidR="009167C5" w:rsidRPr="009167C5" w:rsidRDefault="009167C5" w:rsidP="00DE46C8">
      <w:pPr>
        <w:jc w:val="center"/>
        <w:rPr>
          <w:szCs w:val="24"/>
          <w:lang w:val="en-US"/>
        </w:rPr>
      </w:pPr>
      <w:r w:rsidRPr="00DE46C8">
        <w:rPr>
          <w:b/>
          <w:i/>
          <w:iCs/>
          <w:szCs w:val="24"/>
          <w:lang w:val="en-US"/>
        </w:rPr>
        <w:t>How do counsellors understand and experience professional boundaries in their counselling practice? A Thematic Analysis</w:t>
      </w:r>
    </w:p>
    <w:p w:rsidR="009167C5" w:rsidRPr="009167C5" w:rsidRDefault="009167C5" w:rsidP="009167C5">
      <w:pPr>
        <w:spacing w:after="0" w:line="240" w:lineRule="auto"/>
        <w:rPr>
          <w:rFonts w:eastAsia="Times New Roman" w:cs="Times New Roman"/>
          <w:kern w:val="0"/>
          <w:szCs w:val="24"/>
          <w:lang w:val="en-US"/>
          <w14:ligatures w14:val="none"/>
        </w:rPr>
      </w:pPr>
    </w:p>
    <w:p w:rsidR="00DE46C8" w:rsidRPr="00DE46C8" w:rsidRDefault="00D230DE">
      <w:pPr>
        <w:spacing w:line="259" w:lineRule="auto"/>
        <w:rPr>
          <w:rFonts w:eastAsia="Times New Roman"/>
          <w:lang w:val="en-US"/>
        </w:rPr>
      </w:pPr>
      <w:r>
        <w:rPr>
          <w:rFonts w:eastAsia="Times New Roman"/>
          <w:lang w:val="en-US"/>
        </w:rPr>
        <w:br w:type="page"/>
      </w:r>
    </w:p>
    <w:sdt>
      <w:sdtPr>
        <w:rPr>
          <w:b/>
        </w:rPr>
        <w:id w:val="-1830739966"/>
        <w:docPartObj>
          <w:docPartGallery w:val="Table of Contents"/>
          <w:docPartUnique/>
        </w:docPartObj>
      </w:sdtPr>
      <w:sdtEndPr>
        <w:rPr>
          <w:bCs/>
          <w:noProof/>
        </w:rPr>
      </w:sdtEndPr>
      <w:sdtContent>
        <w:p w:rsidR="00DE46C8" w:rsidRPr="00DE46C8" w:rsidRDefault="00DE46C8" w:rsidP="00DE46C8">
          <w:pPr>
            <w:jc w:val="center"/>
            <w:rPr>
              <w:b/>
            </w:rPr>
          </w:pPr>
          <w:r w:rsidRPr="00DE46C8">
            <w:rPr>
              <w:b/>
            </w:rPr>
            <w:t>Table of Contents</w:t>
          </w:r>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12144199" w:history="1">
            <w:r w:rsidRPr="0058524B">
              <w:rPr>
                <w:rStyle w:val="Hyperlink"/>
                <w:rFonts w:eastAsia="Times New Roman"/>
                <w:noProof/>
                <w:lang w:val="en-US"/>
              </w:rPr>
              <w:t>Abstract</w:t>
            </w:r>
            <w:r>
              <w:rPr>
                <w:noProof/>
                <w:webHidden/>
              </w:rPr>
              <w:tab/>
            </w:r>
            <w:r>
              <w:rPr>
                <w:noProof/>
                <w:webHidden/>
              </w:rPr>
              <w:fldChar w:fldCharType="begin"/>
            </w:r>
            <w:r>
              <w:rPr>
                <w:noProof/>
                <w:webHidden/>
              </w:rPr>
              <w:instrText xml:space="preserve"> PAGEREF _Toc212144199 \h </w:instrText>
            </w:r>
            <w:r>
              <w:rPr>
                <w:noProof/>
                <w:webHidden/>
              </w:rPr>
            </w:r>
            <w:r>
              <w:rPr>
                <w:noProof/>
                <w:webHidden/>
              </w:rPr>
              <w:fldChar w:fldCharType="separate"/>
            </w:r>
            <w:r>
              <w:rPr>
                <w:noProof/>
                <w:webHidden/>
              </w:rPr>
              <w:t>3</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00" w:history="1">
            <w:r w:rsidRPr="0058524B">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_Toc212144200 \h </w:instrText>
            </w:r>
            <w:r>
              <w:rPr>
                <w:noProof/>
                <w:webHidden/>
              </w:rPr>
            </w:r>
            <w:r>
              <w:rPr>
                <w:noProof/>
                <w:webHidden/>
              </w:rPr>
              <w:fldChar w:fldCharType="separate"/>
            </w:r>
            <w:r>
              <w:rPr>
                <w:noProof/>
                <w:webHidden/>
              </w:rPr>
              <w:t>4</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01" w:history="1">
            <w:r w:rsidRPr="0058524B">
              <w:rPr>
                <w:rStyle w:val="Hyperlink"/>
                <w:rFonts w:eastAsia="Times New Roman"/>
                <w:noProof/>
                <w:lang w:val="en-US"/>
              </w:rPr>
              <w:t>Method</w:t>
            </w:r>
            <w:r>
              <w:rPr>
                <w:noProof/>
                <w:webHidden/>
              </w:rPr>
              <w:tab/>
            </w:r>
            <w:r>
              <w:rPr>
                <w:noProof/>
                <w:webHidden/>
              </w:rPr>
              <w:fldChar w:fldCharType="begin"/>
            </w:r>
            <w:r>
              <w:rPr>
                <w:noProof/>
                <w:webHidden/>
              </w:rPr>
              <w:instrText xml:space="preserve"> PAGEREF _Toc212144201 \h </w:instrText>
            </w:r>
            <w:r>
              <w:rPr>
                <w:noProof/>
                <w:webHidden/>
              </w:rPr>
            </w:r>
            <w:r>
              <w:rPr>
                <w:noProof/>
                <w:webHidden/>
              </w:rPr>
              <w:fldChar w:fldCharType="separate"/>
            </w:r>
            <w:r>
              <w:rPr>
                <w:noProof/>
                <w:webHidden/>
              </w:rPr>
              <w:t>4</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2" w:history="1">
            <w:r w:rsidRPr="0058524B">
              <w:rPr>
                <w:rStyle w:val="Hyperlink"/>
                <w:noProof/>
                <w:lang w:val="en-US"/>
              </w:rPr>
              <w:t>Participant</w:t>
            </w:r>
            <w:r>
              <w:rPr>
                <w:noProof/>
                <w:webHidden/>
              </w:rPr>
              <w:tab/>
            </w:r>
            <w:r>
              <w:rPr>
                <w:noProof/>
                <w:webHidden/>
              </w:rPr>
              <w:fldChar w:fldCharType="begin"/>
            </w:r>
            <w:r>
              <w:rPr>
                <w:noProof/>
                <w:webHidden/>
              </w:rPr>
              <w:instrText xml:space="preserve"> PAGEREF _Toc212144202 \h </w:instrText>
            </w:r>
            <w:r>
              <w:rPr>
                <w:noProof/>
                <w:webHidden/>
              </w:rPr>
            </w:r>
            <w:r>
              <w:rPr>
                <w:noProof/>
                <w:webHidden/>
              </w:rPr>
              <w:fldChar w:fldCharType="separate"/>
            </w:r>
            <w:r>
              <w:rPr>
                <w:noProof/>
                <w:webHidden/>
              </w:rPr>
              <w:t>4</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3" w:history="1">
            <w:r w:rsidRPr="0058524B">
              <w:rPr>
                <w:rStyle w:val="Hyperlink"/>
                <w:noProof/>
                <w:lang w:val="en-US"/>
              </w:rPr>
              <w:t>Data Collection</w:t>
            </w:r>
            <w:r>
              <w:rPr>
                <w:noProof/>
                <w:webHidden/>
              </w:rPr>
              <w:tab/>
            </w:r>
            <w:r>
              <w:rPr>
                <w:noProof/>
                <w:webHidden/>
              </w:rPr>
              <w:fldChar w:fldCharType="begin"/>
            </w:r>
            <w:r>
              <w:rPr>
                <w:noProof/>
                <w:webHidden/>
              </w:rPr>
              <w:instrText xml:space="preserve"> PAGEREF _Toc212144203 \h </w:instrText>
            </w:r>
            <w:r>
              <w:rPr>
                <w:noProof/>
                <w:webHidden/>
              </w:rPr>
            </w:r>
            <w:r>
              <w:rPr>
                <w:noProof/>
                <w:webHidden/>
              </w:rPr>
              <w:fldChar w:fldCharType="separate"/>
            </w:r>
            <w:r>
              <w:rPr>
                <w:noProof/>
                <w:webHidden/>
              </w:rPr>
              <w:t>4</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4" w:history="1">
            <w:r w:rsidRPr="0058524B">
              <w:rPr>
                <w:rStyle w:val="Hyperlink"/>
                <w:noProof/>
                <w:lang w:val="en-US"/>
              </w:rPr>
              <w:t>Data Analysis</w:t>
            </w:r>
            <w:r>
              <w:rPr>
                <w:noProof/>
                <w:webHidden/>
              </w:rPr>
              <w:tab/>
            </w:r>
            <w:r>
              <w:rPr>
                <w:noProof/>
                <w:webHidden/>
              </w:rPr>
              <w:fldChar w:fldCharType="begin"/>
            </w:r>
            <w:r>
              <w:rPr>
                <w:noProof/>
                <w:webHidden/>
              </w:rPr>
              <w:instrText xml:space="preserve"> PAGEREF _Toc212144204 \h </w:instrText>
            </w:r>
            <w:r>
              <w:rPr>
                <w:noProof/>
                <w:webHidden/>
              </w:rPr>
            </w:r>
            <w:r>
              <w:rPr>
                <w:noProof/>
                <w:webHidden/>
              </w:rPr>
              <w:fldChar w:fldCharType="separate"/>
            </w:r>
            <w:r>
              <w:rPr>
                <w:noProof/>
                <w:webHidden/>
              </w:rPr>
              <w:t>5</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05" w:history="1">
            <w:r w:rsidRPr="0058524B">
              <w:rPr>
                <w:rStyle w:val="Hyperlink"/>
                <w:rFonts w:eastAsia="Times New Roman"/>
                <w:noProof/>
                <w:lang w:val="en-US"/>
              </w:rPr>
              <w:t>Findings / Results</w:t>
            </w:r>
            <w:r>
              <w:rPr>
                <w:noProof/>
                <w:webHidden/>
              </w:rPr>
              <w:tab/>
            </w:r>
            <w:r>
              <w:rPr>
                <w:noProof/>
                <w:webHidden/>
              </w:rPr>
              <w:fldChar w:fldCharType="begin"/>
            </w:r>
            <w:r>
              <w:rPr>
                <w:noProof/>
                <w:webHidden/>
              </w:rPr>
              <w:instrText xml:space="preserve"> PAGEREF _Toc212144205 \h </w:instrText>
            </w:r>
            <w:r>
              <w:rPr>
                <w:noProof/>
                <w:webHidden/>
              </w:rPr>
            </w:r>
            <w:r>
              <w:rPr>
                <w:noProof/>
                <w:webHidden/>
              </w:rPr>
              <w:fldChar w:fldCharType="separate"/>
            </w:r>
            <w:r>
              <w:rPr>
                <w:noProof/>
                <w:webHidden/>
              </w:rPr>
              <w:t>5</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6" w:history="1">
            <w:r w:rsidRPr="0058524B">
              <w:rPr>
                <w:rStyle w:val="Hyperlink"/>
                <w:noProof/>
                <w:lang w:val="en-US"/>
              </w:rPr>
              <w:t>Theme 1: Boundaries as Therapeutic Safety and Predictability.</w:t>
            </w:r>
            <w:r>
              <w:rPr>
                <w:noProof/>
                <w:webHidden/>
              </w:rPr>
              <w:tab/>
            </w:r>
            <w:r>
              <w:rPr>
                <w:noProof/>
                <w:webHidden/>
              </w:rPr>
              <w:fldChar w:fldCharType="begin"/>
            </w:r>
            <w:r>
              <w:rPr>
                <w:noProof/>
                <w:webHidden/>
              </w:rPr>
              <w:instrText xml:space="preserve"> PAGEREF _Toc212144206 \h </w:instrText>
            </w:r>
            <w:r>
              <w:rPr>
                <w:noProof/>
                <w:webHidden/>
              </w:rPr>
            </w:r>
            <w:r>
              <w:rPr>
                <w:noProof/>
                <w:webHidden/>
              </w:rPr>
              <w:fldChar w:fldCharType="separate"/>
            </w:r>
            <w:r>
              <w:rPr>
                <w:noProof/>
                <w:webHidden/>
              </w:rPr>
              <w:t>5</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7" w:history="1">
            <w:r w:rsidRPr="0058524B">
              <w:rPr>
                <w:rStyle w:val="Hyperlink"/>
                <w:noProof/>
                <w:lang w:val="en-US"/>
              </w:rPr>
              <w:t>Theme 2: Time as an Emotional Control Container.</w:t>
            </w:r>
            <w:r>
              <w:rPr>
                <w:noProof/>
                <w:webHidden/>
              </w:rPr>
              <w:tab/>
            </w:r>
            <w:r>
              <w:rPr>
                <w:noProof/>
                <w:webHidden/>
              </w:rPr>
              <w:fldChar w:fldCharType="begin"/>
            </w:r>
            <w:r>
              <w:rPr>
                <w:noProof/>
                <w:webHidden/>
              </w:rPr>
              <w:instrText xml:space="preserve"> PAGEREF _Toc212144207 \h </w:instrText>
            </w:r>
            <w:r>
              <w:rPr>
                <w:noProof/>
                <w:webHidden/>
              </w:rPr>
            </w:r>
            <w:r>
              <w:rPr>
                <w:noProof/>
                <w:webHidden/>
              </w:rPr>
              <w:fldChar w:fldCharType="separate"/>
            </w:r>
            <w:r>
              <w:rPr>
                <w:noProof/>
                <w:webHidden/>
              </w:rPr>
              <w:t>6</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8" w:history="1">
            <w:r w:rsidRPr="0058524B">
              <w:rPr>
                <w:rStyle w:val="Hyperlink"/>
                <w:noProof/>
                <w:lang w:val="en-US"/>
              </w:rPr>
              <w:t>Theme 3: Relational Ethics and self-use.</w:t>
            </w:r>
            <w:r>
              <w:rPr>
                <w:noProof/>
                <w:webHidden/>
              </w:rPr>
              <w:tab/>
            </w:r>
            <w:r>
              <w:rPr>
                <w:noProof/>
                <w:webHidden/>
              </w:rPr>
              <w:fldChar w:fldCharType="begin"/>
            </w:r>
            <w:r>
              <w:rPr>
                <w:noProof/>
                <w:webHidden/>
              </w:rPr>
              <w:instrText xml:space="preserve"> PAGEREF _Toc212144208 \h </w:instrText>
            </w:r>
            <w:r>
              <w:rPr>
                <w:noProof/>
                <w:webHidden/>
              </w:rPr>
            </w:r>
            <w:r>
              <w:rPr>
                <w:noProof/>
                <w:webHidden/>
              </w:rPr>
              <w:fldChar w:fldCharType="separate"/>
            </w:r>
            <w:r>
              <w:rPr>
                <w:noProof/>
                <w:webHidden/>
              </w:rPr>
              <w:t>7</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09" w:history="1">
            <w:r w:rsidRPr="0058524B">
              <w:rPr>
                <w:rStyle w:val="Hyperlink"/>
                <w:noProof/>
                <w:lang w:val="en-US"/>
              </w:rPr>
              <w:t>Theme 4: Boundary Practice Cultural and Contextual Sensitivity.</w:t>
            </w:r>
            <w:r>
              <w:rPr>
                <w:noProof/>
                <w:webHidden/>
              </w:rPr>
              <w:tab/>
            </w:r>
            <w:r>
              <w:rPr>
                <w:noProof/>
                <w:webHidden/>
              </w:rPr>
              <w:fldChar w:fldCharType="begin"/>
            </w:r>
            <w:r>
              <w:rPr>
                <w:noProof/>
                <w:webHidden/>
              </w:rPr>
              <w:instrText xml:space="preserve"> PAGEREF _Toc212144209 \h </w:instrText>
            </w:r>
            <w:r>
              <w:rPr>
                <w:noProof/>
                <w:webHidden/>
              </w:rPr>
            </w:r>
            <w:r>
              <w:rPr>
                <w:noProof/>
                <w:webHidden/>
              </w:rPr>
              <w:fldChar w:fldCharType="separate"/>
            </w:r>
            <w:r>
              <w:rPr>
                <w:noProof/>
                <w:webHidden/>
              </w:rPr>
              <w:t>8</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10" w:history="1">
            <w:r w:rsidRPr="0058524B">
              <w:rPr>
                <w:rStyle w:val="Hyperlink"/>
                <w:rFonts w:eastAsia="Times New Roman"/>
                <w:noProof/>
                <w:lang w:val="en-US"/>
              </w:rPr>
              <w:t>Discussion</w:t>
            </w:r>
            <w:r>
              <w:rPr>
                <w:noProof/>
                <w:webHidden/>
              </w:rPr>
              <w:tab/>
            </w:r>
            <w:r>
              <w:rPr>
                <w:noProof/>
                <w:webHidden/>
              </w:rPr>
              <w:fldChar w:fldCharType="begin"/>
            </w:r>
            <w:r>
              <w:rPr>
                <w:noProof/>
                <w:webHidden/>
              </w:rPr>
              <w:instrText xml:space="preserve"> PAGEREF _Toc212144210 \h </w:instrText>
            </w:r>
            <w:r>
              <w:rPr>
                <w:noProof/>
                <w:webHidden/>
              </w:rPr>
            </w:r>
            <w:r>
              <w:rPr>
                <w:noProof/>
                <w:webHidden/>
              </w:rPr>
              <w:fldChar w:fldCharType="separate"/>
            </w:r>
            <w:r>
              <w:rPr>
                <w:noProof/>
                <w:webHidden/>
              </w:rPr>
              <w:t>9</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11" w:history="1">
            <w:r w:rsidRPr="0058524B">
              <w:rPr>
                <w:rStyle w:val="Hyperlink"/>
                <w:rFonts w:eastAsia="Times New Roman"/>
                <w:noProof/>
                <w:lang w:val="en-US"/>
              </w:rPr>
              <w:t>References</w:t>
            </w:r>
            <w:r>
              <w:rPr>
                <w:noProof/>
                <w:webHidden/>
              </w:rPr>
              <w:tab/>
            </w:r>
            <w:r>
              <w:rPr>
                <w:noProof/>
                <w:webHidden/>
              </w:rPr>
              <w:fldChar w:fldCharType="begin"/>
            </w:r>
            <w:r>
              <w:rPr>
                <w:noProof/>
                <w:webHidden/>
              </w:rPr>
              <w:instrText xml:space="preserve"> PAGEREF _Toc212144211 \h </w:instrText>
            </w:r>
            <w:r>
              <w:rPr>
                <w:noProof/>
                <w:webHidden/>
              </w:rPr>
            </w:r>
            <w:r>
              <w:rPr>
                <w:noProof/>
                <w:webHidden/>
              </w:rPr>
              <w:fldChar w:fldCharType="separate"/>
            </w:r>
            <w:r>
              <w:rPr>
                <w:noProof/>
                <w:webHidden/>
              </w:rPr>
              <w:t>11</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12" w:history="1">
            <w:r w:rsidRPr="0058524B">
              <w:rPr>
                <w:rStyle w:val="Hyperlink"/>
                <w:noProof/>
              </w:rPr>
              <w:t>Appendices</w:t>
            </w:r>
            <w:r>
              <w:rPr>
                <w:noProof/>
                <w:webHidden/>
              </w:rPr>
              <w:tab/>
            </w:r>
            <w:r>
              <w:rPr>
                <w:noProof/>
                <w:webHidden/>
              </w:rPr>
              <w:fldChar w:fldCharType="begin"/>
            </w:r>
            <w:r>
              <w:rPr>
                <w:noProof/>
                <w:webHidden/>
              </w:rPr>
              <w:instrText xml:space="preserve"> PAGEREF _Toc212144212 \h </w:instrText>
            </w:r>
            <w:r>
              <w:rPr>
                <w:noProof/>
                <w:webHidden/>
              </w:rPr>
            </w:r>
            <w:r>
              <w:rPr>
                <w:noProof/>
                <w:webHidden/>
              </w:rPr>
              <w:fldChar w:fldCharType="separate"/>
            </w:r>
            <w:r>
              <w:rPr>
                <w:noProof/>
                <w:webHidden/>
              </w:rPr>
              <w:t>12</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13" w:history="1">
            <w:r w:rsidRPr="0058524B">
              <w:rPr>
                <w:rStyle w:val="Hyperlink"/>
                <w:noProof/>
              </w:rPr>
              <w:t>Appendix A: Initial coded transcript</w:t>
            </w:r>
            <w:r>
              <w:rPr>
                <w:noProof/>
                <w:webHidden/>
              </w:rPr>
              <w:tab/>
            </w:r>
            <w:r>
              <w:rPr>
                <w:noProof/>
                <w:webHidden/>
              </w:rPr>
              <w:fldChar w:fldCharType="begin"/>
            </w:r>
            <w:r>
              <w:rPr>
                <w:noProof/>
                <w:webHidden/>
              </w:rPr>
              <w:instrText xml:space="preserve"> PAGEREF _Toc212144213 \h </w:instrText>
            </w:r>
            <w:r>
              <w:rPr>
                <w:noProof/>
                <w:webHidden/>
              </w:rPr>
            </w:r>
            <w:r>
              <w:rPr>
                <w:noProof/>
                <w:webHidden/>
              </w:rPr>
              <w:fldChar w:fldCharType="separate"/>
            </w:r>
            <w:r>
              <w:rPr>
                <w:noProof/>
                <w:webHidden/>
              </w:rPr>
              <w:t>12</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14" w:history="1">
            <w:r w:rsidRPr="0058524B">
              <w:rPr>
                <w:rStyle w:val="Hyperlink"/>
                <w:rFonts w:eastAsia="Times New Roman"/>
                <w:bCs/>
                <w:noProof/>
                <w:lang w:val="en-US"/>
              </w:rPr>
              <w:t>Appendix B</w:t>
            </w:r>
            <w:r w:rsidRPr="0058524B">
              <w:rPr>
                <w:rStyle w:val="Hyperlink"/>
                <w:rFonts w:eastAsia="Times New Roman"/>
                <w:noProof/>
                <w:lang w:val="en-US"/>
              </w:rPr>
              <w:t>: Code list with supporting excerpts</w:t>
            </w:r>
            <w:r>
              <w:rPr>
                <w:noProof/>
                <w:webHidden/>
              </w:rPr>
              <w:tab/>
            </w:r>
            <w:r>
              <w:rPr>
                <w:noProof/>
                <w:webHidden/>
              </w:rPr>
              <w:fldChar w:fldCharType="begin"/>
            </w:r>
            <w:r>
              <w:rPr>
                <w:noProof/>
                <w:webHidden/>
              </w:rPr>
              <w:instrText xml:space="preserve"> PAGEREF _Toc212144214 \h </w:instrText>
            </w:r>
            <w:r>
              <w:rPr>
                <w:noProof/>
                <w:webHidden/>
              </w:rPr>
            </w:r>
            <w:r>
              <w:rPr>
                <w:noProof/>
                <w:webHidden/>
              </w:rPr>
              <w:fldChar w:fldCharType="separate"/>
            </w:r>
            <w:r>
              <w:rPr>
                <w:noProof/>
                <w:webHidden/>
              </w:rPr>
              <w:t>13</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15" w:history="1">
            <w:r w:rsidRPr="0058524B">
              <w:rPr>
                <w:rStyle w:val="Hyperlink"/>
                <w:noProof/>
                <w:lang w:val="en-US"/>
              </w:rPr>
              <w:t>Theme 1: Boundaries as Therapeutic Safety and Predictability</w:t>
            </w:r>
            <w:r>
              <w:rPr>
                <w:noProof/>
                <w:webHidden/>
              </w:rPr>
              <w:tab/>
            </w:r>
            <w:r>
              <w:rPr>
                <w:noProof/>
                <w:webHidden/>
              </w:rPr>
              <w:fldChar w:fldCharType="begin"/>
            </w:r>
            <w:r>
              <w:rPr>
                <w:noProof/>
                <w:webHidden/>
              </w:rPr>
              <w:instrText xml:space="preserve"> PAGEREF _Toc212144215 \h </w:instrText>
            </w:r>
            <w:r>
              <w:rPr>
                <w:noProof/>
                <w:webHidden/>
              </w:rPr>
            </w:r>
            <w:r>
              <w:rPr>
                <w:noProof/>
                <w:webHidden/>
              </w:rPr>
              <w:fldChar w:fldCharType="separate"/>
            </w:r>
            <w:r>
              <w:rPr>
                <w:noProof/>
                <w:webHidden/>
              </w:rPr>
              <w:t>13</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16" w:history="1">
            <w:r w:rsidRPr="0058524B">
              <w:rPr>
                <w:rStyle w:val="Hyperlink"/>
                <w:noProof/>
                <w:lang w:val="en-US"/>
              </w:rPr>
              <w:t>Theme 2: Time as a Container for Emotional Regulation</w:t>
            </w:r>
            <w:r>
              <w:rPr>
                <w:noProof/>
                <w:webHidden/>
              </w:rPr>
              <w:tab/>
            </w:r>
            <w:r>
              <w:rPr>
                <w:noProof/>
                <w:webHidden/>
              </w:rPr>
              <w:fldChar w:fldCharType="begin"/>
            </w:r>
            <w:r>
              <w:rPr>
                <w:noProof/>
                <w:webHidden/>
              </w:rPr>
              <w:instrText xml:space="preserve"> PAGEREF _Toc212144216 \h </w:instrText>
            </w:r>
            <w:r>
              <w:rPr>
                <w:noProof/>
                <w:webHidden/>
              </w:rPr>
            </w:r>
            <w:r>
              <w:rPr>
                <w:noProof/>
                <w:webHidden/>
              </w:rPr>
              <w:fldChar w:fldCharType="separate"/>
            </w:r>
            <w:r>
              <w:rPr>
                <w:noProof/>
                <w:webHidden/>
              </w:rPr>
              <w:t>13</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17" w:history="1">
            <w:r w:rsidRPr="0058524B">
              <w:rPr>
                <w:rStyle w:val="Hyperlink"/>
                <w:noProof/>
                <w:lang w:val="en-US"/>
              </w:rPr>
              <w:t>Theme 3: Relational Ethics and the Use of Self</w:t>
            </w:r>
            <w:r>
              <w:rPr>
                <w:noProof/>
                <w:webHidden/>
              </w:rPr>
              <w:tab/>
            </w:r>
            <w:r>
              <w:rPr>
                <w:noProof/>
                <w:webHidden/>
              </w:rPr>
              <w:fldChar w:fldCharType="begin"/>
            </w:r>
            <w:r>
              <w:rPr>
                <w:noProof/>
                <w:webHidden/>
              </w:rPr>
              <w:instrText xml:space="preserve"> PAGEREF _Toc212144217 \h </w:instrText>
            </w:r>
            <w:r>
              <w:rPr>
                <w:noProof/>
                <w:webHidden/>
              </w:rPr>
            </w:r>
            <w:r>
              <w:rPr>
                <w:noProof/>
                <w:webHidden/>
              </w:rPr>
              <w:fldChar w:fldCharType="separate"/>
            </w:r>
            <w:r>
              <w:rPr>
                <w:noProof/>
                <w:webHidden/>
              </w:rPr>
              <w:t>13</w:t>
            </w:r>
            <w:r>
              <w:rPr>
                <w:noProof/>
                <w:webHidden/>
              </w:rPr>
              <w:fldChar w:fldCharType="end"/>
            </w:r>
          </w:hyperlink>
        </w:p>
        <w:p w:rsidR="00DE46C8" w:rsidRDefault="00DE46C8">
          <w:pPr>
            <w:pStyle w:val="TOC2"/>
            <w:tabs>
              <w:tab w:val="right" w:leader="dot" w:pos="9350"/>
            </w:tabs>
            <w:rPr>
              <w:rFonts w:asciiTheme="minorHAnsi" w:eastAsiaTheme="minorEastAsia" w:hAnsiTheme="minorHAnsi"/>
              <w:noProof/>
              <w:kern w:val="0"/>
              <w:sz w:val="22"/>
              <w:lang w:val="en-US"/>
              <w14:ligatures w14:val="none"/>
            </w:rPr>
          </w:pPr>
          <w:hyperlink w:anchor="_Toc212144218" w:history="1">
            <w:r w:rsidRPr="0058524B">
              <w:rPr>
                <w:rStyle w:val="Hyperlink"/>
                <w:noProof/>
                <w:lang w:val="en-US"/>
              </w:rPr>
              <w:t>Theme 4: Cultural and Contextual Sensitivity in Boundary Practice</w:t>
            </w:r>
            <w:r>
              <w:rPr>
                <w:noProof/>
                <w:webHidden/>
              </w:rPr>
              <w:tab/>
            </w:r>
            <w:r>
              <w:rPr>
                <w:noProof/>
                <w:webHidden/>
              </w:rPr>
              <w:fldChar w:fldCharType="begin"/>
            </w:r>
            <w:r>
              <w:rPr>
                <w:noProof/>
                <w:webHidden/>
              </w:rPr>
              <w:instrText xml:space="preserve"> PAGEREF _Toc212144218 \h </w:instrText>
            </w:r>
            <w:r>
              <w:rPr>
                <w:noProof/>
                <w:webHidden/>
              </w:rPr>
            </w:r>
            <w:r>
              <w:rPr>
                <w:noProof/>
                <w:webHidden/>
              </w:rPr>
              <w:fldChar w:fldCharType="separate"/>
            </w:r>
            <w:r>
              <w:rPr>
                <w:noProof/>
                <w:webHidden/>
              </w:rPr>
              <w:t>14</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19" w:history="1">
            <w:r w:rsidRPr="0058524B">
              <w:rPr>
                <w:rStyle w:val="Hyperlink"/>
                <w:rFonts w:eastAsia="Times New Roman"/>
                <w:bCs/>
                <w:noProof/>
                <w:lang w:val="en-US"/>
              </w:rPr>
              <w:t>Appendix C</w:t>
            </w:r>
            <w:r w:rsidRPr="0058524B">
              <w:rPr>
                <w:rStyle w:val="Hyperlink"/>
                <w:rFonts w:eastAsia="Times New Roman"/>
                <w:noProof/>
                <w:lang w:val="en-US"/>
              </w:rPr>
              <w:t>: Thematic map or table showing theme development</w:t>
            </w:r>
            <w:r>
              <w:rPr>
                <w:noProof/>
                <w:webHidden/>
              </w:rPr>
              <w:tab/>
            </w:r>
            <w:r>
              <w:rPr>
                <w:noProof/>
                <w:webHidden/>
              </w:rPr>
              <w:fldChar w:fldCharType="begin"/>
            </w:r>
            <w:r>
              <w:rPr>
                <w:noProof/>
                <w:webHidden/>
              </w:rPr>
              <w:instrText xml:space="preserve"> PAGEREF _Toc212144219 \h </w:instrText>
            </w:r>
            <w:r>
              <w:rPr>
                <w:noProof/>
                <w:webHidden/>
              </w:rPr>
            </w:r>
            <w:r>
              <w:rPr>
                <w:noProof/>
                <w:webHidden/>
              </w:rPr>
              <w:fldChar w:fldCharType="separate"/>
            </w:r>
            <w:r>
              <w:rPr>
                <w:noProof/>
                <w:webHidden/>
              </w:rPr>
              <w:t>14</w:t>
            </w:r>
            <w:r>
              <w:rPr>
                <w:noProof/>
                <w:webHidden/>
              </w:rPr>
              <w:fldChar w:fldCharType="end"/>
            </w:r>
          </w:hyperlink>
        </w:p>
        <w:p w:rsidR="00DE46C8" w:rsidRDefault="00DE46C8">
          <w:pPr>
            <w:pStyle w:val="TOC1"/>
            <w:tabs>
              <w:tab w:val="right" w:leader="dot" w:pos="9350"/>
            </w:tabs>
            <w:rPr>
              <w:rFonts w:asciiTheme="minorHAnsi" w:eastAsiaTheme="minorEastAsia" w:hAnsiTheme="minorHAnsi"/>
              <w:noProof/>
              <w:kern w:val="0"/>
              <w:sz w:val="22"/>
              <w:lang w:val="en-US"/>
              <w14:ligatures w14:val="none"/>
            </w:rPr>
          </w:pPr>
          <w:hyperlink w:anchor="_Toc212144220" w:history="1">
            <w:r w:rsidRPr="0058524B">
              <w:rPr>
                <w:rStyle w:val="Hyperlink"/>
                <w:rFonts w:eastAsia="Times New Roman"/>
                <w:bCs/>
                <w:noProof/>
                <w:lang w:val="en-US"/>
              </w:rPr>
              <w:t>Appendix D</w:t>
            </w:r>
            <w:r w:rsidRPr="0058524B">
              <w:rPr>
                <w:rStyle w:val="Hyperlink"/>
                <w:rFonts w:eastAsia="Times New Roman"/>
                <w:noProof/>
                <w:lang w:val="en-US"/>
              </w:rPr>
              <w:t>: Interview schedule</w:t>
            </w:r>
            <w:r>
              <w:rPr>
                <w:noProof/>
                <w:webHidden/>
              </w:rPr>
              <w:tab/>
            </w:r>
            <w:r>
              <w:rPr>
                <w:noProof/>
                <w:webHidden/>
              </w:rPr>
              <w:fldChar w:fldCharType="begin"/>
            </w:r>
            <w:r>
              <w:rPr>
                <w:noProof/>
                <w:webHidden/>
              </w:rPr>
              <w:instrText xml:space="preserve"> PAGEREF _Toc212144220 \h </w:instrText>
            </w:r>
            <w:r>
              <w:rPr>
                <w:noProof/>
                <w:webHidden/>
              </w:rPr>
            </w:r>
            <w:r>
              <w:rPr>
                <w:noProof/>
                <w:webHidden/>
              </w:rPr>
              <w:fldChar w:fldCharType="separate"/>
            </w:r>
            <w:r>
              <w:rPr>
                <w:noProof/>
                <w:webHidden/>
              </w:rPr>
              <w:t>15</w:t>
            </w:r>
            <w:r>
              <w:rPr>
                <w:noProof/>
                <w:webHidden/>
              </w:rPr>
              <w:fldChar w:fldCharType="end"/>
            </w:r>
          </w:hyperlink>
        </w:p>
        <w:p w:rsidR="00DE46C8" w:rsidRDefault="00DE46C8">
          <w:r>
            <w:rPr>
              <w:b/>
              <w:bCs/>
              <w:noProof/>
            </w:rPr>
            <w:fldChar w:fldCharType="end"/>
          </w:r>
        </w:p>
      </w:sdtContent>
    </w:sdt>
    <w:p w:rsidR="00D230DE" w:rsidRPr="00DE46C8" w:rsidRDefault="00D230DE">
      <w:pPr>
        <w:spacing w:line="259" w:lineRule="auto"/>
        <w:rPr>
          <w:rFonts w:eastAsia="Times New Roman"/>
          <w:lang w:val="en-US"/>
        </w:rPr>
      </w:pPr>
    </w:p>
    <w:p w:rsidR="009167C5" w:rsidRPr="009167C5" w:rsidRDefault="009167C5" w:rsidP="00D230DE">
      <w:pPr>
        <w:pStyle w:val="Heading1"/>
        <w:rPr>
          <w:rFonts w:eastAsia="Times New Roman"/>
          <w:lang w:val="en-US"/>
        </w:rPr>
      </w:pPr>
      <w:bookmarkStart w:id="0" w:name="_Toc212144199"/>
      <w:r w:rsidRPr="009167C5">
        <w:rPr>
          <w:rFonts w:eastAsia="Times New Roman"/>
          <w:lang w:val="en-US"/>
        </w:rPr>
        <w:lastRenderedPageBreak/>
        <w:t>Abstract</w:t>
      </w:r>
      <w:bookmarkEnd w:id="0"/>
      <w:r w:rsidRPr="009167C5">
        <w:rPr>
          <w:rFonts w:eastAsia="Times New Roman"/>
          <w:lang w:val="en-US"/>
        </w:rPr>
        <w:t xml:space="preserve"> </w:t>
      </w:r>
    </w:p>
    <w:p w:rsidR="009167C5" w:rsidRPr="009167C5" w:rsidRDefault="005C3D51" w:rsidP="00D230DE">
      <w:pPr>
        <w:ind w:firstLine="720"/>
        <w:rPr>
          <w:szCs w:val="24"/>
          <w:lang w:val="en-US"/>
        </w:rPr>
      </w:pPr>
      <w:r w:rsidRPr="005C3D51">
        <w:rPr>
          <w:lang w:val="en-US"/>
        </w:rPr>
        <w:t>This paper examines the concept of professional limits and their perceptions and experiences by counsellors when dealing with therapeutic practice. Four major themes were identified using thematic analysis of a semi-structured interview with a humanistic-integrative counsellor, including the boundaries as therapeutic safety and predictability, time as a container of emotional regulation, relational ethics and the use of self, and cultural and contextual sensitivity in the practice of boundaries. The results indicate that boundaries are not fixed rules, however they are flexible and co-constructive, which promotes trust, emotional safety and ethical practice. Implications emphasize the significance of reflexivity, supervision, and cultural awareness in sustaining proper and morally sound boundaries.</w:t>
      </w:r>
    </w:p>
    <w:p w:rsidR="00D230DE" w:rsidRDefault="00D230DE">
      <w:pPr>
        <w:spacing w:line="259" w:lineRule="auto"/>
        <w:rPr>
          <w:rFonts w:eastAsia="Times New Roman" w:cstheme="majorBidi"/>
          <w:b/>
          <w:i/>
          <w:szCs w:val="32"/>
          <w:lang w:val="en-US"/>
        </w:rPr>
      </w:pPr>
      <w:r>
        <w:rPr>
          <w:rFonts w:eastAsia="Times New Roman"/>
          <w:lang w:val="en-US"/>
        </w:rPr>
        <w:br w:type="page"/>
      </w:r>
    </w:p>
    <w:p w:rsidR="009167C5" w:rsidRPr="009167C5" w:rsidRDefault="009167C5" w:rsidP="00D230DE">
      <w:pPr>
        <w:pStyle w:val="Heading1"/>
        <w:rPr>
          <w:rFonts w:eastAsia="Times New Roman"/>
          <w:lang w:val="en-US"/>
        </w:rPr>
      </w:pPr>
      <w:bookmarkStart w:id="1" w:name="_Toc212144200"/>
      <w:r w:rsidRPr="009167C5">
        <w:rPr>
          <w:rFonts w:eastAsia="Times New Roman"/>
          <w:lang w:val="en-US"/>
        </w:rPr>
        <w:lastRenderedPageBreak/>
        <w:t>Introduction</w:t>
      </w:r>
      <w:bookmarkEnd w:id="1"/>
      <w:r w:rsidRPr="009167C5">
        <w:rPr>
          <w:rFonts w:eastAsia="Times New Roman"/>
          <w:lang w:val="en-US"/>
        </w:rPr>
        <w:t xml:space="preserve"> </w:t>
      </w:r>
    </w:p>
    <w:p w:rsidR="005C3D51" w:rsidRPr="005C3D51" w:rsidRDefault="005C3D51" w:rsidP="00D230DE">
      <w:pPr>
        <w:ind w:firstLine="720"/>
        <w:rPr>
          <w:lang w:val="en-US"/>
        </w:rPr>
      </w:pPr>
      <w:r w:rsidRPr="005C3D51">
        <w:rPr>
          <w:lang w:val="en-US"/>
        </w:rPr>
        <w:t>Professional boundaries in counselling can be described as the ethical, emotional and structural definition of the therapeutic relationship that can be achieved to be safe and successful. They establish the roles, duties and boundaries of the client counsellor relationship, which assists in building trust and dangers neither party to harm or abuse. Boundaries may take different versions such as time (duration of the session), role (counsellor versus friend), physical (room layout, touch), digital (email, social media) and emotional (self-di</w:t>
      </w:r>
      <w:r w:rsidR="00D230DE">
        <w:rPr>
          <w:lang w:val="en-US"/>
        </w:rPr>
        <w:t>sclosure, over-identification).</w:t>
      </w:r>
    </w:p>
    <w:p w:rsidR="005C3D51" w:rsidRPr="005C3D51" w:rsidRDefault="005C3D51" w:rsidP="00D230DE">
      <w:pPr>
        <w:ind w:firstLine="720"/>
        <w:rPr>
          <w:lang w:val="en-US"/>
        </w:rPr>
      </w:pPr>
      <w:r w:rsidRPr="005C3D51">
        <w:rPr>
          <w:lang w:val="en-US"/>
        </w:rPr>
        <w:t xml:space="preserve">Boundaries have been defined in counselling ethics literature as critical requirements towards professional integrity. Kitchener (1988) differentiated boundary and crossings by distinguishing contextually dependent and therapeutic crossings on one hand, and boundary violations on the other hand, which involve breach of ethical standards and are harmful to clients. </w:t>
      </w:r>
      <w:proofErr w:type="spellStart"/>
      <w:r w:rsidRPr="005C3D51">
        <w:rPr>
          <w:lang w:val="en-US"/>
        </w:rPr>
        <w:t>Zur</w:t>
      </w:r>
      <w:proofErr w:type="spellEnd"/>
      <w:r w:rsidRPr="005C3D51">
        <w:rPr>
          <w:lang w:val="en-US"/>
        </w:rPr>
        <w:t xml:space="preserve"> (2007) built on this perception to indicate that strict or too loose boundaries can be risky as well. </w:t>
      </w:r>
      <w:proofErr w:type="spellStart"/>
      <w:r w:rsidRPr="005C3D51">
        <w:rPr>
          <w:lang w:val="en-US"/>
        </w:rPr>
        <w:t>Herlihy</w:t>
      </w:r>
      <w:proofErr w:type="spellEnd"/>
      <w:r w:rsidRPr="005C3D51">
        <w:rPr>
          <w:lang w:val="en-US"/>
        </w:rPr>
        <w:t xml:space="preserve"> and Corey (2014) noted that intentionality, self-awareness, and supervision play a role in navigating these complexities. In spite of this theoretical advice, the boundary management can be considered a subtle a</w:t>
      </w:r>
      <w:r w:rsidR="00D230DE">
        <w:rPr>
          <w:lang w:val="en-US"/>
        </w:rPr>
        <w:t>nd contextual part of practice.</w:t>
      </w:r>
    </w:p>
    <w:p w:rsidR="009167C5" w:rsidRPr="009167C5" w:rsidRDefault="005C3D51" w:rsidP="00D230DE">
      <w:pPr>
        <w:ind w:firstLine="720"/>
        <w:rPr>
          <w:szCs w:val="24"/>
          <w:lang w:val="en-US"/>
        </w:rPr>
      </w:pPr>
      <w:r w:rsidRPr="005C3D51">
        <w:rPr>
          <w:lang w:val="en-US"/>
        </w:rPr>
        <w:t>With this complexity, a qualitative approach would be appropriate in exploring the interpretation and application of the boundaries among counsellors in their real-world practice. The paper employs thematic analysis as presented by Braun and Clarke (2022) to explore the thoughts of a single co</w:t>
      </w:r>
      <w:r>
        <w:rPr>
          <w:lang w:val="en-US"/>
        </w:rPr>
        <w:t>unsellor to answer the question</w:t>
      </w:r>
      <w:r w:rsidR="009167C5" w:rsidRPr="009167C5">
        <w:rPr>
          <w:lang w:val="en-US"/>
        </w:rPr>
        <w:t>: How do counsellors understand and experience professional boundaries in their counselling practice?</w:t>
      </w:r>
    </w:p>
    <w:p w:rsidR="009167C5" w:rsidRPr="009167C5" w:rsidRDefault="009167C5" w:rsidP="00D230DE">
      <w:pPr>
        <w:pStyle w:val="Heading1"/>
        <w:rPr>
          <w:rFonts w:eastAsia="Times New Roman"/>
          <w:lang w:val="en-US"/>
        </w:rPr>
      </w:pPr>
      <w:bookmarkStart w:id="2" w:name="_Toc212144201"/>
      <w:r w:rsidRPr="009167C5">
        <w:rPr>
          <w:rFonts w:eastAsia="Times New Roman"/>
          <w:lang w:val="en-US"/>
        </w:rPr>
        <w:t>Method</w:t>
      </w:r>
      <w:bookmarkEnd w:id="2"/>
      <w:r w:rsidRPr="009167C5">
        <w:rPr>
          <w:rFonts w:eastAsia="Times New Roman"/>
          <w:lang w:val="en-US"/>
        </w:rPr>
        <w:t xml:space="preserve"> </w:t>
      </w:r>
    </w:p>
    <w:p w:rsidR="005C3D51" w:rsidRPr="005C3D51" w:rsidRDefault="005C3D51" w:rsidP="00D230DE">
      <w:pPr>
        <w:pStyle w:val="Heading2"/>
        <w:ind w:left="0" w:firstLine="0"/>
        <w:rPr>
          <w:lang w:val="en-US"/>
        </w:rPr>
      </w:pPr>
      <w:bookmarkStart w:id="3" w:name="_Toc212144202"/>
      <w:r w:rsidRPr="005C3D51">
        <w:rPr>
          <w:lang w:val="en-US"/>
        </w:rPr>
        <w:t>Participant</w:t>
      </w:r>
      <w:bookmarkEnd w:id="3"/>
    </w:p>
    <w:p w:rsidR="005C3D51" w:rsidRPr="005C3D51" w:rsidRDefault="005C3D51" w:rsidP="00D230DE">
      <w:pPr>
        <w:ind w:firstLine="720"/>
        <w:rPr>
          <w:lang w:val="en-US"/>
        </w:rPr>
      </w:pPr>
      <w:r w:rsidRPr="005C3D51">
        <w:rPr>
          <w:lang w:val="en-US"/>
        </w:rPr>
        <w:t>The alias of the participant of the current study is Chrissy; it is a 46-year-old White British counsellor living in Wales. She practices mainly independent and infrequently agency-based practice. Chrissy talks of her style as humanistic-integrative where she uses the person-</w:t>
      </w:r>
      <w:proofErr w:type="spellStart"/>
      <w:r w:rsidRPr="005C3D51">
        <w:rPr>
          <w:lang w:val="en-US"/>
        </w:rPr>
        <w:t>centred</w:t>
      </w:r>
      <w:proofErr w:type="spellEnd"/>
      <w:r w:rsidRPr="005C3D51">
        <w:rPr>
          <w:lang w:val="en-US"/>
        </w:rPr>
        <w:t xml:space="preserve"> values as the main basis with some quips of the other modalities. To preserve her anonymity, she was referred to as a pseudonym, and all personal information was eliminated as required by ethical standards of conducting qualitativ</w:t>
      </w:r>
      <w:r w:rsidR="00D230DE">
        <w:rPr>
          <w:lang w:val="en-US"/>
        </w:rPr>
        <w:t>e research with human subjects.</w:t>
      </w:r>
    </w:p>
    <w:p w:rsidR="005C3D51" w:rsidRPr="005C3D51" w:rsidRDefault="005C3D51" w:rsidP="00D230DE">
      <w:pPr>
        <w:pStyle w:val="Heading2"/>
        <w:ind w:left="0" w:firstLine="0"/>
        <w:rPr>
          <w:lang w:val="en-US"/>
        </w:rPr>
      </w:pPr>
      <w:bookmarkStart w:id="4" w:name="_Toc212144203"/>
      <w:r w:rsidRPr="005C3D51">
        <w:rPr>
          <w:lang w:val="en-US"/>
        </w:rPr>
        <w:t>Data Collection</w:t>
      </w:r>
      <w:bookmarkEnd w:id="4"/>
    </w:p>
    <w:p w:rsidR="005C3D51" w:rsidRPr="005C3D51" w:rsidRDefault="005C3D51" w:rsidP="00D230DE">
      <w:pPr>
        <w:ind w:firstLine="720"/>
        <w:rPr>
          <w:lang w:val="en-US"/>
        </w:rPr>
      </w:pPr>
      <w:r w:rsidRPr="005C3D51">
        <w:rPr>
          <w:lang w:val="en-US"/>
        </w:rPr>
        <w:lastRenderedPageBreak/>
        <w:t>The data were gathered with the help of one semi-structured interview, and the interview was conducted according to the pre-designed schedule, and it is oriented towards professional boundaries in therapeutic work. The interview was conducted both in a structured and an open way, which was a chance to explore the views and experiences of Chrissy in depth. The interview was tape-recorded with the permission of the participant and transcribed word-to-word to analyze. Close attention was paid to the tone, pauses and emphasis in the transcription process in order to maintai</w:t>
      </w:r>
      <w:r w:rsidR="00D230DE">
        <w:rPr>
          <w:lang w:val="en-US"/>
        </w:rPr>
        <w:t>n the richness of the dialogue.</w:t>
      </w:r>
    </w:p>
    <w:p w:rsidR="005C3D51" w:rsidRPr="005C3D51" w:rsidRDefault="005C3D51" w:rsidP="00D230DE">
      <w:pPr>
        <w:pStyle w:val="Heading2"/>
        <w:ind w:left="0" w:firstLine="0"/>
        <w:rPr>
          <w:lang w:val="en-US"/>
        </w:rPr>
      </w:pPr>
      <w:bookmarkStart w:id="5" w:name="_Toc212144204"/>
      <w:r w:rsidRPr="005C3D51">
        <w:rPr>
          <w:lang w:val="en-US"/>
        </w:rPr>
        <w:t>Data Analysis</w:t>
      </w:r>
      <w:bookmarkEnd w:id="5"/>
    </w:p>
    <w:p w:rsidR="005C3D51" w:rsidRPr="005C3D51" w:rsidRDefault="005C3D51" w:rsidP="00D230DE">
      <w:pPr>
        <w:ind w:firstLine="720"/>
        <w:rPr>
          <w:lang w:val="en-US"/>
        </w:rPr>
      </w:pPr>
      <w:r w:rsidRPr="005C3D51">
        <w:rPr>
          <w:lang w:val="en-US"/>
        </w:rPr>
        <w:t xml:space="preserve">Thematic analysis was used to </w:t>
      </w:r>
      <w:proofErr w:type="spellStart"/>
      <w:r w:rsidRPr="005C3D51">
        <w:rPr>
          <w:lang w:val="en-US"/>
        </w:rPr>
        <w:t>analyse</w:t>
      </w:r>
      <w:proofErr w:type="spellEnd"/>
      <w:r w:rsidRPr="005C3D51">
        <w:rPr>
          <w:lang w:val="en-US"/>
        </w:rPr>
        <w:t xml:space="preserve"> the transcript in the six stages proposed by Braun and Clarke (2022): (1) </w:t>
      </w:r>
      <w:proofErr w:type="spellStart"/>
      <w:r w:rsidRPr="005C3D51">
        <w:rPr>
          <w:lang w:val="en-US"/>
        </w:rPr>
        <w:t>familiarisation</w:t>
      </w:r>
      <w:proofErr w:type="spellEnd"/>
      <w:r w:rsidRPr="005C3D51">
        <w:rPr>
          <w:lang w:val="en-US"/>
        </w:rPr>
        <w:t xml:space="preserve"> with the data, (2) initial code generation, (3) theme search, (4) theme review, (5) definition and naming of themes, and (6) report production. It followed an inductive approach, which implies that codes and themes were derived out of the data instead of applying e</w:t>
      </w:r>
      <w:r w:rsidR="00D230DE">
        <w:rPr>
          <w:lang w:val="en-US"/>
        </w:rPr>
        <w:t>xisting theoretical approaches.</w:t>
      </w:r>
    </w:p>
    <w:p w:rsidR="009167C5" w:rsidRPr="009167C5" w:rsidRDefault="005C3D51" w:rsidP="00D230DE">
      <w:pPr>
        <w:ind w:firstLine="720"/>
        <w:rPr>
          <w:szCs w:val="24"/>
          <w:lang w:val="en-US"/>
        </w:rPr>
      </w:pPr>
      <w:r w:rsidRPr="005C3D51">
        <w:rPr>
          <w:lang w:val="en-US"/>
        </w:rPr>
        <w:t xml:space="preserve">The preliminary coding was performed on a line-by-line basis, which helped to capture the semantic (explicit) and latent (underlying) meanings. The codes were then grouped into bigger themes which were edited by several reviews to make them coherent and distinguishable. Reflexivity was observed throughout the process through recording the decisions made analytically, and taking into account the role the researcher had in the interpretation. The importance of ethical </w:t>
      </w:r>
      <w:proofErr w:type="spellStart"/>
      <w:r w:rsidRPr="005C3D51">
        <w:rPr>
          <w:lang w:val="en-US"/>
        </w:rPr>
        <w:t>rigour</w:t>
      </w:r>
      <w:proofErr w:type="spellEnd"/>
      <w:r w:rsidRPr="005C3D51">
        <w:rPr>
          <w:lang w:val="en-US"/>
        </w:rPr>
        <w:t xml:space="preserve"> was provided by focusing on the transparency, the correct depiction of the voice of the participant, and the principles of confidentiality.</w:t>
      </w:r>
    </w:p>
    <w:p w:rsidR="009167C5" w:rsidRPr="009167C5" w:rsidRDefault="009167C5" w:rsidP="00D230DE">
      <w:pPr>
        <w:pStyle w:val="Heading1"/>
        <w:rPr>
          <w:rFonts w:eastAsia="Times New Roman"/>
          <w:lang w:val="en-US"/>
        </w:rPr>
      </w:pPr>
      <w:bookmarkStart w:id="6" w:name="_Toc212144205"/>
      <w:r w:rsidRPr="009167C5">
        <w:rPr>
          <w:rFonts w:eastAsia="Times New Roman"/>
          <w:lang w:val="en-US"/>
        </w:rPr>
        <w:t>Findings / Results</w:t>
      </w:r>
      <w:bookmarkEnd w:id="6"/>
      <w:r w:rsidRPr="009167C5">
        <w:rPr>
          <w:rFonts w:eastAsia="Times New Roman"/>
          <w:lang w:val="en-US"/>
        </w:rPr>
        <w:t xml:space="preserve"> </w:t>
      </w:r>
    </w:p>
    <w:p w:rsidR="005C3D51" w:rsidRPr="005C3D51" w:rsidRDefault="005C3D51" w:rsidP="00D230DE">
      <w:pPr>
        <w:ind w:firstLine="720"/>
        <w:rPr>
          <w:lang w:val="en-US"/>
        </w:rPr>
      </w:pPr>
      <w:r w:rsidRPr="005C3D51">
        <w:rPr>
          <w:lang w:val="en-US"/>
        </w:rPr>
        <w:t>As a result of thematic analysis of the interview with Chrissy, four key themes that demonstrated how she conceptualizes and manages professional boundaries in her counselling practice were obtained. Those themes imply dynamic and relational attitude to boundaries which are marked by ethical intentionality, flexibility in structure, and cultural sensitivity. The themes are described below, and each of them is explained with reference to illustrative quotes and analysis.</w:t>
      </w:r>
    </w:p>
    <w:p w:rsidR="005C3D51" w:rsidRPr="005C3D51" w:rsidRDefault="005C3D51" w:rsidP="00D230DE">
      <w:pPr>
        <w:pStyle w:val="Heading2"/>
        <w:ind w:left="0" w:firstLine="0"/>
        <w:rPr>
          <w:lang w:val="en-US"/>
        </w:rPr>
      </w:pPr>
      <w:bookmarkStart w:id="7" w:name="_Toc212144206"/>
      <w:r w:rsidRPr="005C3D51">
        <w:rPr>
          <w:lang w:val="en-US"/>
        </w:rPr>
        <w:t>Theme 1: Boundaries as Therapeutic Safety and Predictability.</w:t>
      </w:r>
      <w:bookmarkEnd w:id="7"/>
    </w:p>
    <w:p w:rsidR="005C3D51" w:rsidRPr="005C3D51" w:rsidRDefault="005C3D51" w:rsidP="00D230DE">
      <w:pPr>
        <w:ind w:firstLine="720"/>
        <w:rPr>
          <w:lang w:val="en-US"/>
        </w:rPr>
      </w:pPr>
      <w:r w:rsidRPr="005C3D51">
        <w:rPr>
          <w:lang w:val="en-US"/>
        </w:rPr>
        <w:t xml:space="preserve">Chrissy presented the notion of professional boundaries in terms of not a strict barrier, but as an essential part of therapeutic safety. She has always articulated boundaries in the form of </w:t>
      </w:r>
      <w:r w:rsidRPr="005C3D51">
        <w:rPr>
          <w:lang w:val="en-US"/>
        </w:rPr>
        <w:lastRenderedPageBreak/>
        <w:t>relational conditions that contribute to trust and development, as opposed to limitations that curtail the expression of emotions. The fundamental ones were predictability, clarity, and understandi</w:t>
      </w:r>
      <w:r w:rsidR="00D230DE">
        <w:rPr>
          <w:lang w:val="en-US"/>
        </w:rPr>
        <w:t>ng.</w:t>
      </w:r>
    </w:p>
    <w:p w:rsidR="00733079" w:rsidRPr="00733079" w:rsidRDefault="00733079" w:rsidP="00733079">
      <w:pPr>
        <w:ind w:firstLine="720"/>
        <w:rPr>
          <w:lang w:val="en-US"/>
        </w:rPr>
      </w:pPr>
      <w:r w:rsidRPr="00733079">
        <w:rPr>
          <w:lang w:val="en-US"/>
        </w:rPr>
        <w:t>“For me, boundaries are part of the ‘conditions.’ They’re not rigid fences; they’re the frame that</w:t>
      </w:r>
      <w:r>
        <w:rPr>
          <w:lang w:val="en-US"/>
        </w:rPr>
        <w:t xml:space="preserve"> let’s trust and depth develop.”</w:t>
      </w:r>
    </w:p>
    <w:p w:rsidR="00733079" w:rsidRDefault="00733079" w:rsidP="00733079">
      <w:pPr>
        <w:ind w:firstLine="720"/>
        <w:rPr>
          <w:lang w:val="en-US"/>
        </w:rPr>
      </w:pPr>
      <w:r w:rsidRPr="00733079">
        <w:rPr>
          <w:lang w:val="en-US"/>
        </w:rPr>
        <w:t>“The paradox is that clear limits expand freedom. With a secure frame, clients take more risks to be authentic.”</w:t>
      </w:r>
    </w:p>
    <w:p w:rsidR="005C3D51" w:rsidRPr="005C3D51" w:rsidRDefault="005C3D51" w:rsidP="00733079">
      <w:pPr>
        <w:ind w:firstLine="720"/>
        <w:rPr>
          <w:lang w:val="en-US"/>
        </w:rPr>
      </w:pPr>
      <w:r w:rsidRPr="005C3D51">
        <w:rPr>
          <w:lang w:val="en-US"/>
        </w:rPr>
        <w:t>In this case, Chrissy presents the boundaries in a humanistic viewpoint, whereby structure offers emotional security. Instead of being a top-down authority in terms of rules, she involves clients in a bottom-up negotiation of confidentiality, session time, fee</w:t>
      </w:r>
      <w:r w:rsidR="00D230DE">
        <w:rPr>
          <w:lang w:val="en-US"/>
        </w:rPr>
        <w:t>s, and communication practices.</w:t>
      </w:r>
    </w:p>
    <w:p w:rsidR="00733079" w:rsidRDefault="00733079" w:rsidP="00D230DE">
      <w:pPr>
        <w:ind w:firstLine="720"/>
        <w:rPr>
          <w:lang w:val="en-US"/>
        </w:rPr>
      </w:pPr>
      <w:r w:rsidRPr="00733079">
        <w:rPr>
          <w:lang w:val="en-US"/>
        </w:rPr>
        <w:t>“I treat contracting as part of the relationship, not a legalistic prelude... I ask for their words: ‘What would help this feel safe?’”</w:t>
      </w:r>
    </w:p>
    <w:p w:rsidR="005C3D51" w:rsidRPr="005C3D51" w:rsidRDefault="005C3D51" w:rsidP="00D230DE">
      <w:pPr>
        <w:ind w:firstLine="720"/>
        <w:rPr>
          <w:lang w:val="en-US"/>
        </w:rPr>
      </w:pPr>
      <w:r w:rsidRPr="005C3D51">
        <w:rPr>
          <w:lang w:val="en-US"/>
        </w:rPr>
        <w:t>This practice aligns with the existing literature about the application of collaborative contracting and relational ethics in counselling (</w:t>
      </w:r>
      <w:proofErr w:type="spellStart"/>
      <w:r w:rsidRPr="005C3D51">
        <w:rPr>
          <w:lang w:val="en-US"/>
        </w:rPr>
        <w:t>Herlihy</w:t>
      </w:r>
      <w:proofErr w:type="spellEnd"/>
      <w:r w:rsidRPr="005C3D51">
        <w:rPr>
          <w:lang w:val="en-US"/>
        </w:rPr>
        <w:t xml:space="preserve"> and Corey, 2014) where boundaries, in a relational context, can facilitate, not inhibit, therapeutic intimacy. The flexibility and transparency practiced by Chrissy, as argued by </w:t>
      </w:r>
      <w:proofErr w:type="spellStart"/>
      <w:r w:rsidRPr="005C3D51">
        <w:rPr>
          <w:lang w:val="en-US"/>
        </w:rPr>
        <w:t>Zur</w:t>
      </w:r>
      <w:proofErr w:type="spellEnd"/>
      <w:r w:rsidRPr="005C3D51">
        <w:rPr>
          <w:lang w:val="en-US"/>
        </w:rPr>
        <w:t xml:space="preserve"> (2007), is what keeps the ethical bounda</w:t>
      </w:r>
      <w:r w:rsidR="00D230DE">
        <w:rPr>
          <w:lang w:val="en-US"/>
        </w:rPr>
        <w:t>ries going instead of rigidity.</w:t>
      </w:r>
    </w:p>
    <w:p w:rsidR="005C3D51" w:rsidRPr="005C3D51" w:rsidRDefault="005C3D51" w:rsidP="00D230DE">
      <w:pPr>
        <w:pStyle w:val="Heading2"/>
        <w:ind w:left="0" w:firstLine="0"/>
        <w:rPr>
          <w:lang w:val="en-US"/>
        </w:rPr>
      </w:pPr>
      <w:bookmarkStart w:id="8" w:name="_Toc212144207"/>
      <w:r w:rsidRPr="005C3D51">
        <w:rPr>
          <w:lang w:val="en-US"/>
        </w:rPr>
        <w:t>Theme 2: Time as an Emotional Control Container.</w:t>
      </w:r>
      <w:bookmarkEnd w:id="8"/>
    </w:p>
    <w:p w:rsidR="005C3D51" w:rsidRPr="005C3D51" w:rsidRDefault="005C3D51" w:rsidP="00D230DE">
      <w:pPr>
        <w:ind w:firstLine="720"/>
        <w:rPr>
          <w:lang w:val="en-US"/>
        </w:rPr>
      </w:pPr>
      <w:r w:rsidRPr="005C3D51">
        <w:rPr>
          <w:lang w:val="en-US"/>
        </w:rPr>
        <w:t>Chrissy indicated time as a demarcating factor that is also symbolic and emotional. Instead of considering scheduling of the session as logistical, she appreciates it as a psychological container that promotes regula</w:t>
      </w:r>
      <w:r w:rsidR="00D230DE">
        <w:rPr>
          <w:lang w:val="en-US"/>
        </w:rPr>
        <w:t>tion, expectation, and closure.</w:t>
      </w:r>
    </w:p>
    <w:p w:rsidR="00733079" w:rsidRDefault="00733079" w:rsidP="00D230DE">
      <w:pPr>
        <w:ind w:firstLine="720"/>
        <w:rPr>
          <w:lang w:val="en-US"/>
        </w:rPr>
      </w:pPr>
      <w:r w:rsidRPr="00733079">
        <w:rPr>
          <w:lang w:val="en-US"/>
        </w:rPr>
        <w:t>“Time is a big teacher... I mark the beginning... and I flag the ending with five minutes to go. Those rituals help clients anticipate closure.”</w:t>
      </w:r>
    </w:p>
    <w:p w:rsidR="005C3D51" w:rsidRPr="005C3D51" w:rsidRDefault="005C3D51" w:rsidP="00D230DE">
      <w:pPr>
        <w:ind w:firstLine="720"/>
        <w:rPr>
          <w:lang w:val="en-US"/>
        </w:rPr>
      </w:pPr>
      <w:r w:rsidRPr="005C3D51">
        <w:rPr>
          <w:lang w:val="en-US"/>
        </w:rPr>
        <w:t xml:space="preserve">Her time boundaries (starting and ending the sessions as they were agreed to) demonstrate that she was ethically obligated to be reliable. However, she is also attentive since she reacts sympathetically to personal revelations </w:t>
      </w:r>
      <w:r w:rsidR="00D230DE">
        <w:rPr>
          <w:lang w:val="en-US"/>
        </w:rPr>
        <w:t>towards the end of one meeting.</w:t>
      </w:r>
    </w:p>
    <w:p w:rsidR="00CB05F8" w:rsidRDefault="00733079" w:rsidP="00D230DE">
      <w:pPr>
        <w:ind w:firstLine="720"/>
        <w:rPr>
          <w:lang w:val="en-US"/>
        </w:rPr>
      </w:pPr>
      <w:r w:rsidRPr="00733079">
        <w:rPr>
          <w:lang w:val="en-US"/>
        </w:rPr>
        <w:lastRenderedPageBreak/>
        <w:t>“If a disclosure lands at 59 minutes, I’ll attune to the feeling. ‘These matters; let’s name it and pick it up next time’—rather than diving in and overrunning.”</w:t>
      </w:r>
    </w:p>
    <w:p w:rsidR="005C3D51" w:rsidRPr="005C3D51" w:rsidRDefault="005C3D51" w:rsidP="00D230DE">
      <w:pPr>
        <w:ind w:firstLine="720"/>
        <w:rPr>
          <w:lang w:val="en-US"/>
        </w:rPr>
      </w:pPr>
      <w:r w:rsidRPr="005C3D51">
        <w:rPr>
          <w:lang w:val="en-US"/>
        </w:rPr>
        <w:t>Another shocking story that Chrissy told was the transition of time boundaries into therapeutic material. A client who is addicted to abandonment trauma habitually revealed emotionally charged contents rig</w:t>
      </w:r>
      <w:r w:rsidR="00D230DE">
        <w:rPr>
          <w:lang w:val="en-US"/>
        </w:rPr>
        <w:t>ht before the session was over.</w:t>
      </w:r>
    </w:p>
    <w:p w:rsidR="00CB05F8" w:rsidRDefault="00CB05F8" w:rsidP="00D230DE">
      <w:pPr>
        <w:ind w:firstLine="720"/>
        <w:rPr>
          <w:lang w:val="en-US"/>
        </w:rPr>
      </w:pPr>
      <w:r w:rsidRPr="00CB05F8">
        <w:rPr>
          <w:lang w:val="en-US"/>
        </w:rPr>
        <w:t>“Instead of shaming or rescuing, we became curious... The boundary stopped being a rejection and became part of the therapy.”</w:t>
      </w:r>
    </w:p>
    <w:p w:rsidR="005C3D51" w:rsidRPr="005C3D51" w:rsidRDefault="005C3D51" w:rsidP="00D230DE">
      <w:pPr>
        <w:ind w:firstLine="720"/>
        <w:rPr>
          <w:lang w:val="en-US"/>
        </w:rPr>
      </w:pPr>
      <w:r w:rsidRPr="005C3D51">
        <w:rPr>
          <w:lang w:val="en-US"/>
        </w:rPr>
        <w:t>This is an indication of a depth perspective of boundaries, in which boundaries are enforced as a method of repairing attachment traumas. The example highlights the role of consistency as an ability that when combined with empathy can turn such a procedural aspect as time into a restorative experience. It is also based on psychodynamic perceptions of symbolic meaning</w:t>
      </w:r>
      <w:r w:rsidR="00D230DE">
        <w:rPr>
          <w:lang w:val="en-US"/>
        </w:rPr>
        <w:t xml:space="preserve"> of boundaries (</w:t>
      </w:r>
      <w:proofErr w:type="spellStart"/>
      <w:r w:rsidR="00D230DE">
        <w:rPr>
          <w:lang w:val="en-US"/>
        </w:rPr>
        <w:t>Gabbard</w:t>
      </w:r>
      <w:proofErr w:type="spellEnd"/>
      <w:r w:rsidR="00D230DE">
        <w:rPr>
          <w:lang w:val="en-US"/>
        </w:rPr>
        <w:t>, 1994).</w:t>
      </w:r>
    </w:p>
    <w:p w:rsidR="005C3D51" w:rsidRPr="005C3D51" w:rsidRDefault="005C3D51" w:rsidP="00D230DE">
      <w:pPr>
        <w:pStyle w:val="Heading2"/>
        <w:ind w:left="0" w:firstLine="0"/>
        <w:rPr>
          <w:lang w:val="en-US"/>
        </w:rPr>
      </w:pPr>
      <w:bookmarkStart w:id="9" w:name="_Toc212144208"/>
      <w:r w:rsidRPr="005C3D51">
        <w:rPr>
          <w:lang w:val="en-US"/>
        </w:rPr>
        <w:t>Theme 3:</w:t>
      </w:r>
      <w:r w:rsidR="00D230DE">
        <w:rPr>
          <w:lang w:val="en-US"/>
        </w:rPr>
        <w:t xml:space="preserve"> </w:t>
      </w:r>
      <w:r w:rsidRPr="005C3D51">
        <w:rPr>
          <w:lang w:val="en-US"/>
        </w:rPr>
        <w:t xml:space="preserve">Relational Ethics and </w:t>
      </w:r>
      <w:r w:rsidR="00D230DE" w:rsidRPr="005C3D51">
        <w:rPr>
          <w:lang w:val="en-US"/>
        </w:rPr>
        <w:t>self-use</w:t>
      </w:r>
      <w:r w:rsidRPr="005C3D51">
        <w:rPr>
          <w:lang w:val="en-US"/>
        </w:rPr>
        <w:t>.</w:t>
      </w:r>
      <w:bookmarkEnd w:id="9"/>
    </w:p>
    <w:p w:rsidR="005C3D51" w:rsidRPr="005C3D51" w:rsidRDefault="005C3D51" w:rsidP="00D230DE">
      <w:pPr>
        <w:ind w:firstLine="720"/>
        <w:rPr>
          <w:lang w:val="en-US"/>
        </w:rPr>
      </w:pPr>
      <w:r w:rsidRPr="005C3D51">
        <w:rPr>
          <w:lang w:val="en-US"/>
        </w:rPr>
        <w:t>In her practice, Chrissy encouraged ethical reflexivity by paying much attention to her motivations, countertransference, and how her responses influenced the client. She emphasized the supervision as an area where one can question the boundary issues and where on</w:t>
      </w:r>
      <w:r w:rsidR="00D230DE">
        <w:rPr>
          <w:lang w:val="en-US"/>
        </w:rPr>
        <w:t>e can uphold ethical coherence.</w:t>
      </w:r>
    </w:p>
    <w:p w:rsidR="00CB05F8" w:rsidRDefault="00CB05F8" w:rsidP="00D230DE">
      <w:pPr>
        <w:ind w:firstLine="720"/>
        <w:rPr>
          <w:lang w:val="en-US"/>
        </w:rPr>
      </w:pPr>
      <w:r w:rsidRPr="00CB05F8">
        <w:rPr>
          <w:lang w:val="en-US"/>
        </w:rPr>
        <w:t>“If I feel unusually compelled to bend a boundary—or irritated by a client’s testing—I’ll take it to supervision and explore what’s mine.”</w:t>
      </w:r>
    </w:p>
    <w:p w:rsidR="005C3D51" w:rsidRPr="005C3D51" w:rsidRDefault="005C3D51" w:rsidP="00D230DE">
      <w:pPr>
        <w:ind w:firstLine="720"/>
        <w:rPr>
          <w:lang w:val="en-US"/>
        </w:rPr>
      </w:pPr>
      <w:r w:rsidRPr="005C3D51">
        <w:rPr>
          <w:lang w:val="en-US"/>
        </w:rPr>
        <w:t>Boundaries do not stand still when it comes to Chrissy: they are discussed and re-examined with regard to changing dynamic of relations and emotional indicators. The latter is especially noticeable in her considerate at</w:t>
      </w:r>
      <w:r w:rsidR="00D230DE">
        <w:rPr>
          <w:lang w:val="en-US"/>
        </w:rPr>
        <w:t>titude towards self-disclosure:</w:t>
      </w:r>
    </w:p>
    <w:p w:rsidR="00CB05F8" w:rsidRDefault="00CB05F8" w:rsidP="00D230DE">
      <w:pPr>
        <w:ind w:firstLine="720"/>
        <w:rPr>
          <w:lang w:val="en-US"/>
        </w:rPr>
      </w:pPr>
      <w:r w:rsidRPr="00CB05F8">
        <w:rPr>
          <w:lang w:val="en-US"/>
        </w:rPr>
        <w:t>“First, intention: is the disclosure in service of the client, or is it to ease my own discomfort? Second, proportionality... Third, timing.”</w:t>
      </w:r>
    </w:p>
    <w:p w:rsidR="005C3D51" w:rsidRPr="005C3D51" w:rsidRDefault="005C3D51" w:rsidP="00D230DE">
      <w:pPr>
        <w:ind w:firstLine="720"/>
        <w:rPr>
          <w:lang w:val="en-US"/>
        </w:rPr>
      </w:pPr>
      <w:r w:rsidRPr="005C3D51">
        <w:rPr>
          <w:lang w:val="en-US"/>
        </w:rPr>
        <w:t>The deliberate use of self in therapy is made evident in her method of congruence- as a well-calculated lamp, neither a floodlight. She too told about the boundary situations in physical touch an</w:t>
      </w:r>
      <w:r w:rsidR="00D230DE">
        <w:rPr>
          <w:lang w:val="en-US"/>
        </w:rPr>
        <w:t>d out-of-session communication:</w:t>
      </w:r>
    </w:p>
    <w:p w:rsidR="00CB05F8" w:rsidRPr="00CB05F8" w:rsidRDefault="00CB05F8" w:rsidP="00CB05F8">
      <w:pPr>
        <w:ind w:firstLine="720"/>
        <w:rPr>
          <w:lang w:val="en-US"/>
        </w:rPr>
      </w:pPr>
      <w:r w:rsidRPr="00CB05F8">
        <w:rPr>
          <w:lang w:val="en-US"/>
        </w:rPr>
        <w:lastRenderedPageBreak/>
        <w:t>“If someone asks for a handshake... I check in</w:t>
      </w:r>
      <w:r w:rsidRPr="00CB05F8">
        <w:rPr>
          <w:lang w:val="en-US"/>
        </w:rPr>
        <w:t>— ‘</w:t>
      </w:r>
      <w:r w:rsidRPr="00CB05F8">
        <w:rPr>
          <w:lang w:val="en-US"/>
        </w:rPr>
        <w:t>Would that feel supportive for you?’... I track consent in th</w:t>
      </w:r>
      <w:r>
        <w:rPr>
          <w:lang w:val="en-US"/>
        </w:rPr>
        <w:t>e moment and across sessions.”</w:t>
      </w:r>
    </w:p>
    <w:p w:rsidR="00CB05F8" w:rsidRDefault="00CB05F8" w:rsidP="00CB05F8">
      <w:pPr>
        <w:ind w:firstLine="720"/>
        <w:rPr>
          <w:lang w:val="en-US"/>
        </w:rPr>
      </w:pPr>
      <w:r w:rsidRPr="00CB05F8">
        <w:rPr>
          <w:lang w:val="en-US"/>
        </w:rPr>
        <w:t>“I respond once with empathy and a boundary: ‘Thanks for sharing this—it sounds hard. I’ll hold it for our session on Tuesday.’”</w:t>
      </w:r>
    </w:p>
    <w:p w:rsidR="005C3D51" w:rsidRPr="005C3D51" w:rsidRDefault="005C3D51" w:rsidP="00CB05F8">
      <w:pPr>
        <w:ind w:firstLine="720"/>
        <w:rPr>
          <w:lang w:val="en-US"/>
        </w:rPr>
      </w:pPr>
      <w:r w:rsidRPr="005C3D51">
        <w:rPr>
          <w:lang w:val="en-US"/>
        </w:rPr>
        <w:t xml:space="preserve">The boundary practices of Chrissy also reflect the relational ethics and align with the suggestions of </w:t>
      </w:r>
      <w:proofErr w:type="spellStart"/>
      <w:r w:rsidRPr="005C3D51">
        <w:rPr>
          <w:lang w:val="en-US"/>
        </w:rPr>
        <w:t>Herlihy</w:t>
      </w:r>
      <w:proofErr w:type="spellEnd"/>
      <w:r w:rsidRPr="005C3D51">
        <w:rPr>
          <w:lang w:val="en-US"/>
        </w:rPr>
        <w:t xml:space="preserve"> and Corey (2014) that boundary decisions have to be based on the self-knowledge, setting, and the desire to care about the well-being </w:t>
      </w:r>
      <w:r w:rsidR="00D230DE">
        <w:rPr>
          <w:lang w:val="en-US"/>
        </w:rPr>
        <w:t>of the client.</w:t>
      </w:r>
    </w:p>
    <w:p w:rsidR="005C3D51" w:rsidRPr="005C3D51" w:rsidRDefault="005C3D51" w:rsidP="00D230DE">
      <w:pPr>
        <w:pStyle w:val="Heading2"/>
        <w:ind w:left="0" w:firstLine="0"/>
        <w:rPr>
          <w:lang w:val="en-US"/>
        </w:rPr>
      </w:pPr>
      <w:bookmarkStart w:id="10" w:name="_Toc212144209"/>
      <w:r w:rsidRPr="005C3D51">
        <w:rPr>
          <w:lang w:val="en-US"/>
        </w:rPr>
        <w:t>Theme 4: Boundary Practice Cultural and Contextual Sensitivity.</w:t>
      </w:r>
      <w:bookmarkEnd w:id="10"/>
    </w:p>
    <w:p w:rsidR="005C3D51" w:rsidRPr="005C3D51" w:rsidRDefault="005C3D51" w:rsidP="00D230DE">
      <w:pPr>
        <w:ind w:firstLine="720"/>
        <w:rPr>
          <w:lang w:val="en-US"/>
        </w:rPr>
      </w:pPr>
      <w:r w:rsidRPr="005C3D51">
        <w:rPr>
          <w:lang w:val="en-US"/>
        </w:rPr>
        <w:t>The work of Chrissy is characterized by the sensitivity to the cultural difference and the contextual nuance. She thinks that boundaries do not suit every situation and so she customizes the boundaries to suit client relat</w:t>
      </w:r>
      <w:r w:rsidR="00D230DE">
        <w:rPr>
          <w:lang w:val="en-US"/>
        </w:rPr>
        <w:t>ional and cultural preferences.</w:t>
      </w:r>
    </w:p>
    <w:p w:rsidR="00CB05F8" w:rsidRDefault="00CB05F8" w:rsidP="00D230DE">
      <w:pPr>
        <w:ind w:firstLine="720"/>
        <w:rPr>
          <w:lang w:val="en-US"/>
        </w:rPr>
      </w:pPr>
      <w:r w:rsidRPr="00CB05F8">
        <w:rPr>
          <w:lang w:val="en-US"/>
        </w:rPr>
        <w:t>“Some clients come from collectivist backgrounds where care looks more interwoven; others prefer formality. I ask: ‘What helps you feel respected here?’”</w:t>
      </w:r>
    </w:p>
    <w:p w:rsidR="005C3D51" w:rsidRPr="005C3D51" w:rsidRDefault="005C3D51" w:rsidP="00D230DE">
      <w:pPr>
        <w:ind w:firstLine="720"/>
        <w:rPr>
          <w:lang w:val="en-US"/>
        </w:rPr>
      </w:pPr>
      <w:r w:rsidRPr="005C3D51">
        <w:rPr>
          <w:lang w:val="en-US"/>
        </w:rPr>
        <w:t>Her sensitivity also goes to the language and metaphor where she does not use such clinical language as homework but uses milder terms such as invitations. The cultural sensitivity is an example of the ethical principle of respect of individual differences, which the multicultural counselling</w:t>
      </w:r>
      <w:r w:rsidR="00D230DE">
        <w:rPr>
          <w:lang w:val="en-US"/>
        </w:rPr>
        <w:t xml:space="preserve"> literature suggests.</w:t>
      </w:r>
    </w:p>
    <w:p w:rsidR="005C3D51" w:rsidRPr="005C3D51" w:rsidRDefault="005C3D51" w:rsidP="00D230DE">
      <w:pPr>
        <w:ind w:firstLine="720"/>
        <w:rPr>
          <w:lang w:val="en-US"/>
        </w:rPr>
      </w:pPr>
      <w:r w:rsidRPr="005C3D51">
        <w:rPr>
          <w:lang w:val="en-US"/>
        </w:rPr>
        <w:t>Another theme brought up by Chrissy was the peculiarities of boundary work in small communities in Wales an</w:t>
      </w:r>
      <w:r w:rsidR="00D230DE">
        <w:rPr>
          <w:lang w:val="en-US"/>
        </w:rPr>
        <w:t>d the shift to digital therapy.</w:t>
      </w:r>
    </w:p>
    <w:p w:rsidR="00CB05F8" w:rsidRPr="00CB05F8" w:rsidRDefault="00CB05F8" w:rsidP="00CB05F8">
      <w:pPr>
        <w:ind w:firstLine="720"/>
        <w:rPr>
          <w:lang w:val="en-US"/>
        </w:rPr>
      </w:pPr>
      <w:r w:rsidRPr="00CB05F8">
        <w:rPr>
          <w:lang w:val="en-US"/>
        </w:rPr>
        <w:t>“I’ve bumped into clients at the supermarket... If a dual relationship risk emerges... sometimes it’s manageable with tra</w:t>
      </w:r>
      <w:r>
        <w:rPr>
          <w:lang w:val="en-US"/>
        </w:rPr>
        <w:t>nsparency; sometimes it’s not.”</w:t>
      </w:r>
    </w:p>
    <w:p w:rsidR="00CB05F8" w:rsidRDefault="00CB05F8" w:rsidP="00CB05F8">
      <w:pPr>
        <w:ind w:firstLine="720"/>
        <w:rPr>
          <w:lang w:val="en-US"/>
        </w:rPr>
      </w:pPr>
      <w:r w:rsidRPr="00CB05F8">
        <w:rPr>
          <w:lang w:val="en-US"/>
        </w:rPr>
        <w:t xml:space="preserve">“We </w:t>
      </w:r>
      <w:proofErr w:type="spellStart"/>
      <w:r w:rsidRPr="00CB05F8">
        <w:rPr>
          <w:lang w:val="en-US"/>
        </w:rPr>
        <w:t>cocreate</w:t>
      </w:r>
      <w:proofErr w:type="spellEnd"/>
      <w:r w:rsidRPr="00CB05F8">
        <w:rPr>
          <w:lang w:val="en-US"/>
        </w:rPr>
        <w:t xml:space="preserve"> a virtual frame: privacy at their end, headphones, notifications off... I end on time even if the platform drops and we reconnect.”</w:t>
      </w:r>
    </w:p>
    <w:p w:rsidR="009167C5" w:rsidRPr="009167C5" w:rsidRDefault="005C3D51" w:rsidP="00CB05F8">
      <w:pPr>
        <w:ind w:firstLine="720"/>
        <w:rPr>
          <w:lang w:val="en-US"/>
        </w:rPr>
      </w:pPr>
      <w:r w:rsidRPr="005C3D51">
        <w:rPr>
          <w:lang w:val="en-US"/>
        </w:rPr>
        <w:t>These cases show that the boundary-setting should also be adaptable to adapt to the real-life situations without undermining ethical standards. An example of the applied interpretation of the Kitchener (1988) boundary model (role, time, place): in her anticipatory conversations about dual roles and her balancing of the online boundaries illustrated in her practices, Chrissy makes use of the role, time and place dimension.</w:t>
      </w:r>
    </w:p>
    <w:p w:rsidR="009167C5" w:rsidRPr="009167C5" w:rsidRDefault="009167C5" w:rsidP="00D230DE">
      <w:pPr>
        <w:pStyle w:val="Heading1"/>
        <w:rPr>
          <w:rFonts w:eastAsia="Times New Roman"/>
          <w:lang w:val="en-US"/>
        </w:rPr>
      </w:pPr>
      <w:bookmarkStart w:id="11" w:name="_Toc212144210"/>
      <w:r w:rsidRPr="009167C5">
        <w:rPr>
          <w:rFonts w:eastAsia="Times New Roman"/>
          <w:lang w:val="en-US"/>
        </w:rPr>
        <w:lastRenderedPageBreak/>
        <w:t>Discussion</w:t>
      </w:r>
      <w:bookmarkEnd w:id="11"/>
      <w:r w:rsidRPr="009167C5">
        <w:rPr>
          <w:rFonts w:eastAsia="Times New Roman"/>
          <w:lang w:val="en-US"/>
        </w:rPr>
        <w:t xml:space="preserve"> </w:t>
      </w:r>
    </w:p>
    <w:p w:rsidR="002B63F4" w:rsidRPr="002B63F4" w:rsidRDefault="002B63F4" w:rsidP="00D230DE">
      <w:pPr>
        <w:ind w:firstLine="720"/>
        <w:rPr>
          <w:lang w:val="en-US"/>
        </w:rPr>
      </w:pPr>
      <w:r w:rsidRPr="002B63F4">
        <w:rPr>
          <w:lang w:val="en-US"/>
        </w:rPr>
        <w:t xml:space="preserve">This project aimed to find out how a single counsellor is aware of and deals with professional boundaries in the therapeutic practice. Thematic analysis indicated the boundaries as dynamic constructions, which were simultaneously a source of emotional security and an ethical instrument of the therapeutic interaction process. The results can be discussed as consistent with the thought that boundaries are never merely restrictions but frameworks that enable the therapeutic depth to be </w:t>
      </w:r>
      <w:bookmarkStart w:id="12" w:name="_GoBack"/>
      <w:bookmarkEnd w:id="12"/>
      <w:r w:rsidRPr="002B63F4">
        <w:rPr>
          <w:lang w:val="en-US"/>
        </w:rPr>
        <w:t>produced (Blundell, 2017).</w:t>
      </w:r>
    </w:p>
    <w:p w:rsidR="002B63F4" w:rsidRPr="002B63F4" w:rsidRDefault="002B63F4" w:rsidP="00D230DE">
      <w:pPr>
        <w:ind w:firstLine="720"/>
        <w:rPr>
          <w:lang w:val="en-US"/>
        </w:rPr>
      </w:pPr>
      <w:r w:rsidRPr="002B63F4">
        <w:rPr>
          <w:lang w:val="en-US"/>
        </w:rPr>
        <w:t xml:space="preserve">The former, Boundaries as Therapeutic Safety and Predictability, refers to the initial theme by Kitchener (1988) that noted the basic difference between the violation and crossings of boundaries, wherein predictability results in safety and flexibility in responsiveness. The fact that Chrissy co-created contracts resembles the dynamic involvement described by </w:t>
      </w:r>
      <w:proofErr w:type="spellStart"/>
      <w:r w:rsidRPr="002B63F4">
        <w:rPr>
          <w:lang w:val="en-US"/>
        </w:rPr>
        <w:t>Hermansson</w:t>
      </w:r>
      <w:proofErr w:type="spellEnd"/>
      <w:r w:rsidRPr="002B63F4">
        <w:rPr>
          <w:lang w:val="en-US"/>
        </w:rPr>
        <w:t xml:space="preserve"> (1997) in which boundaries are negotiated and not imposed. The focus on the routine and ritual indicates that structure has the ability to mitigate client anxiety and contri</w:t>
      </w:r>
      <w:r w:rsidR="00D230DE">
        <w:rPr>
          <w:lang w:val="en-US"/>
        </w:rPr>
        <w:t>bute to emotional availability.</w:t>
      </w:r>
    </w:p>
    <w:p w:rsidR="002B63F4" w:rsidRPr="002B63F4" w:rsidRDefault="002B63F4" w:rsidP="00DE46C8">
      <w:pPr>
        <w:ind w:firstLine="720"/>
        <w:rPr>
          <w:lang w:val="en-US"/>
        </w:rPr>
      </w:pPr>
      <w:r w:rsidRPr="002B63F4">
        <w:rPr>
          <w:lang w:val="en-US"/>
        </w:rPr>
        <w:t>The therapeutic aspect of time boundaries used by the counsellor in the second theme, Time as a Container, is therapeutic on its own. Sessions are started and terminated on a regular basis, not as administrative requirement, but as belonging to a holding environment. This application of structure resembles the humanistic quality of boundaries as a relational contract instead of a legalistic chec</w:t>
      </w:r>
      <w:r w:rsidR="00DE46C8">
        <w:rPr>
          <w:lang w:val="en-US"/>
        </w:rPr>
        <w:t>klist advocated by Owen (1997).</w:t>
      </w:r>
    </w:p>
    <w:p w:rsidR="002B63F4" w:rsidRPr="002B63F4" w:rsidRDefault="002B63F4" w:rsidP="00DE46C8">
      <w:pPr>
        <w:ind w:firstLine="720"/>
        <w:rPr>
          <w:lang w:val="en-US"/>
        </w:rPr>
      </w:pPr>
      <w:r w:rsidRPr="002B63F4">
        <w:rPr>
          <w:lang w:val="en-US"/>
        </w:rPr>
        <w:t xml:space="preserve">The third theme, Relational Ethics and the Use of Self, showed that supervision and self-reflection are necessary to overcome the boundary tension. </w:t>
      </w:r>
      <w:proofErr w:type="spellStart"/>
      <w:r w:rsidRPr="002B63F4">
        <w:rPr>
          <w:lang w:val="en-US"/>
        </w:rPr>
        <w:t>Herlihy</w:t>
      </w:r>
      <w:proofErr w:type="spellEnd"/>
      <w:r w:rsidRPr="002B63F4">
        <w:rPr>
          <w:lang w:val="en-US"/>
        </w:rPr>
        <w:t xml:space="preserve"> and Corey (2014) support this idea and consider that ethical decision-making needs not only the adherence to the rules but the development of self-awareness and consultation. The fact that Chrissy reviewed intentions behind her disclosure or flexing of boundaries aligns with the value of reflective practice as Webb (1997) advocates based on the </w:t>
      </w:r>
      <w:proofErr w:type="spellStart"/>
      <w:r w:rsidRPr="002B63F4">
        <w:rPr>
          <w:lang w:val="en-US"/>
        </w:rPr>
        <w:t>internalised</w:t>
      </w:r>
      <w:proofErr w:type="spellEnd"/>
      <w:r w:rsidRPr="002B63F4">
        <w:rPr>
          <w:lang w:val="en-US"/>
        </w:rPr>
        <w:t xml:space="preserve"> ethical reasoning that should be employed rather than rel</w:t>
      </w:r>
      <w:r w:rsidR="00DE46C8">
        <w:rPr>
          <w:lang w:val="en-US"/>
        </w:rPr>
        <w:t>ying on the outside compliance.</w:t>
      </w:r>
    </w:p>
    <w:p w:rsidR="002B63F4" w:rsidRPr="002B63F4" w:rsidRDefault="002B63F4" w:rsidP="00DE46C8">
      <w:pPr>
        <w:ind w:firstLine="720"/>
        <w:rPr>
          <w:lang w:val="en-US"/>
        </w:rPr>
      </w:pPr>
      <w:r w:rsidRPr="002B63F4">
        <w:rPr>
          <w:lang w:val="en-US"/>
        </w:rPr>
        <w:t xml:space="preserve">The last theme, Cultural and Contextual Sensitivity, is congruent with the results of Young, </w:t>
      </w:r>
      <w:proofErr w:type="spellStart"/>
      <w:r w:rsidRPr="002B63F4">
        <w:rPr>
          <w:lang w:val="en-US"/>
        </w:rPr>
        <w:t>Bantjes</w:t>
      </w:r>
      <w:proofErr w:type="spellEnd"/>
      <w:r w:rsidRPr="002B63F4">
        <w:rPr>
          <w:lang w:val="en-US"/>
        </w:rPr>
        <w:t xml:space="preserve">, and </w:t>
      </w:r>
      <w:proofErr w:type="spellStart"/>
      <w:r w:rsidRPr="002B63F4">
        <w:rPr>
          <w:lang w:val="en-US"/>
        </w:rPr>
        <w:t>Kagee</w:t>
      </w:r>
      <w:proofErr w:type="spellEnd"/>
      <w:r w:rsidRPr="002B63F4">
        <w:rPr>
          <w:lang w:val="en-US"/>
        </w:rPr>
        <w:t xml:space="preserve"> (2016) who recommend that the boundaries should be locally adjusted instead of prescribed. The discussion of digital and small-community dynamics by Chrissy creates an image of the fact that boundaries need to bend in various sociocultural </w:t>
      </w:r>
      <w:r w:rsidRPr="002B63F4">
        <w:rPr>
          <w:lang w:val="en-US"/>
        </w:rPr>
        <w:lastRenderedPageBreak/>
        <w:t>contexts, which is becoming more and more apparent in counselling literature as online and multicultural practices become prev</w:t>
      </w:r>
      <w:r w:rsidR="00DE46C8">
        <w:rPr>
          <w:lang w:val="en-US"/>
        </w:rPr>
        <w:t>alent (Jones and Stokes, 2008).</w:t>
      </w:r>
    </w:p>
    <w:p w:rsidR="002B63F4" w:rsidRDefault="002B63F4" w:rsidP="00D230DE">
      <w:pPr>
        <w:ind w:firstLine="720"/>
        <w:rPr>
          <w:lang w:val="en-US"/>
        </w:rPr>
      </w:pPr>
      <w:r w:rsidRPr="002B63F4">
        <w:rPr>
          <w:lang w:val="en-US"/>
        </w:rPr>
        <w:t xml:space="preserve">Although the single-participant design of the research does not allow </w:t>
      </w:r>
      <w:proofErr w:type="spellStart"/>
      <w:r w:rsidRPr="002B63F4">
        <w:rPr>
          <w:lang w:val="en-US"/>
        </w:rPr>
        <w:t>generalising</w:t>
      </w:r>
      <w:proofErr w:type="spellEnd"/>
      <w:r w:rsidRPr="002B63F4">
        <w:rPr>
          <w:lang w:val="en-US"/>
        </w:rPr>
        <w:t>, it provides an original example of how boundaries navigation can be in practice. The area of future research should be cross-cultural viewpoints and boundary management in digital modalities where the complexity of ethics is increased.</w:t>
      </w:r>
    </w:p>
    <w:p w:rsidR="00D230DE" w:rsidRDefault="00D230DE" w:rsidP="00D230DE">
      <w:pPr>
        <w:ind w:firstLine="720"/>
        <w:rPr>
          <w:rFonts w:eastAsia="Times New Roman" w:cs="Times New Roman"/>
          <w:b/>
          <w:bCs/>
          <w:kern w:val="0"/>
          <w:sz w:val="27"/>
          <w:szCs w:val="27"/>
          <w:lang w:val="en-US"/>
          <w14:ligatures w14:val="none"/>
        </w:rPr>
      </w:pPr>
      <w:r>
        <w:rPr>
          <w:rFonts w:eastAsia="Times New Roman" w:cs="Times New Roman"/>
          <w:b/>
          <w:bCs/>
          <w:kern w:val="0"/>
          <w:sz w:val="27"/>
          <w:szCs w:val="27"/>
          <w:lang w:val="en-US"/>
          <w14:ligatures w14:val="none"/>
        </w:rPr>
        <w:br w:type="page"/>
      </w:r>
    </w:p>
    <w:p w:rsidR="009167C5" w:rsidRPr="009167C5" w:rsidRDefault="009167C5" w:rsidP="00DE46C8">
      <w:pPr>
        <w:pStyle w:val="Heading1"/>
        <w:rPr>
          <w:rFonts w:eastAsia="Times New Roman"/>
          <w:szCs w:val="24"/>
          <w:lang w:val="en-US"/>
        </w:rPr>
      </w:pPr>
      <w:bookmarkStart w:id="13" w:name="_Toc212144211"/>
      <w:r w:rsidRPr="009167C5">
        <w:rPr>
          <w:rFonts w:eastAsia="Times New Roman"/>
          <w:lang w:val="en-US"/>
        </w:rPr>
        <w:lastRenderedPageBreak/>
        <w:t>Reference</w:t>
      </w:r>
      <w:r w:rsidR="00D230DE">
        <w:rPr>
          <w:rFonts w:eastAsia="Times New Roman"/>
          <w:lang w:val="en-US"/>
        </w:rPr>
        <w:t>s</w:t>
      </w:r>
      <w:bookmarkEnd w:id="13"/>
      <w:r w:rsidRPr="009167C5">
        <w:rPr>
          <w:rFonts w:eastAsia="Times New Roman"/>
          <w:lang w:val="en-US"/>
        </w:rPr>
        <w:t xml:space="preserve"> </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 xml:space="preserve">Blythe, J. M., &amp; Johnson, S. D. (2021). The consumer security index for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A protocol for developing an index to improve consumer decision making and to incentivize secure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products. </w:t>
      </w:r>
      <w:proofErr w:type="spellStart"/>
      <w:r w:rsidRPr="00733079">
        <w:rPr>
          <w:rFonts w:eastAsia="Times New Roman" w:cs="Times New Roman"/>
          <w:i/>
          <w:iCs/>
          <w:kern w:val="0"/>
          <w:szCs w:val="24"/>
          <w:lang w:val="en-US"/>
          <w14:ligatures w14:val="none"/>
        </w:rPr>
        <w:t>PLoS</w:t>
      </w:r>
      <w:proofErr w:type="spellEnd"/>
      <w:r w:rsidRPr="00733079">
        <w:rPr>
          <w:rFonts w:eastAsia="Times New Roman" w:cs="Times New Roman"/>
          <w:i/>
          <w:iCs/>
          <w:kern w:val="0"/>
          <w:szCs w:val="24"/>
          <w:lang w:val="en-US"/>
          <w14:ligatures w14:val="none"/>
        </w:rPr>
        <w:t xml:space="preserve"> ONE, 16</w:t>
      </w:r>
      <w:r w:rsidRPr="00733079">
        <w:rPr>
          <w:rFonts w:eastAsia="Times New Roman" w:cs="Times New Roman"/>
          <w:kern w:val="0"/>
          <w:szCs w:val="24"/>
          <w:lang w:val="en-US"/>
          <w14:ligatures w14:val="none"/>
        </w:rPr>
        <w:t>(3), e0249264. https://doi.org/10.1371/journal.pone.0249264</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Buil</w:t>
      </w:r>
      <w:proofErr w:type="spellEnd"/>
      <w:r w:rsidRPr="00733079">
        <w:rPr>
          <w:rFonts w:eastAsia="Times New Roman" w:cs="Times New Roman"/>
          <w:kern w:val="0"/>
          <w:szCs w:val="24"/>
          <w:lang w:val="en-US"/>
          <w14:ligatures w14:val="none"/>
        </w:rPr>
        <w:t xml:space="preserve">-Gil, D., Morey, M., &amp; </w:t>
      </w:r>
      <w:proofErr w:type="spellStart"/>
      <w:r w:rsidRPr="00733079">
        <w:rPr>
          <w:rFonts w:eastAsia="Times New Roman" w:cs="Times New Roman"/>
          <w:kern w:val="0"/>
          <w:szCs w:val="24"/>
          <w:lang w:val="en-US"/>
          <w14:ligatures w14:val="none"/>
        </w:rPr>
        <w:t>Shlomo</w:t>
      </w:r>
      <w:proofErr w:type="spellEnd"/>
      <w:r w:rsidRPr="00733079">
        <w:rPr>
          <w:rFonts w:eastAsia="Times New Roman" w:cs="Times New Roman"/>
          <w:kern w:val="0"/>
          <w:szCs w:val="24"/>
          <w:lang w:val="en-US"/>
          <w14:ligatures w14:val="none"/>
        </w:rPr>
        <w:t xml:space="preserve">, N. (2023). Understanding the harms of smart home technologies: Security, surveillance and the home. </w:t>
      </w:r>
      <w:r w:rsidRPr="00733079">
        <w:rPr>
          <w:rFonts w:eastAsia="Times New Roman" w:cs="Times New Roman"/>
          <w:i/>
          <w:iCs/>
          <w:kern w:val="0"/>
          <w:szCs w:val="24"/>
          <w:lang w:val="en-US"/>
          <w14:ligatures w14:val="none"/>
        </w:rPr>
        <w:t>The British Journal of Criminology, 63</w:t>
      </w:r>
      <w:r w:rsidRPr="00733079">
        <w:rPr>
          <w:rFonts w:eastAsia="Times New Roman" w:cs="Times New Roman"/>
          <w:kern w:val="0"/>
          <w:szCs w:val="24"/>
          <w:lang w:val="en-US"/>
          <w14:ligatures w14:val="none"/>
        </w:rPr>
        <w:t>(2), 466–483. https://doi.org/10.1093/bjc/azac081</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Cannizzaro</w:t>
      </w:r>
      <w:proofErr w:type="spellEnd"/>
      <w:r w:rsidRPr="00733079">
        <w:rPr>
          <w:rFonts w:eastAsia="Times New Roman" w:cs="Times New Roman"/>
          <w:kern w:val="0"/>
          <w:szCs w:val="24"/>
          <w:lang w:val="en-US"/>
          <w14:ligatures w14:val="none"/>
        </w:rPr>
        <w:t xml:space="preserve">, S., Procter, R., Ma, S., &amp; Maple, C. (2020). Trust in the smart home: Findings from a nationally representative survey in the UK. </w:t>
      </w:r>
      <w:proofErr w:type="spellStart"/>
      <w:r w:rsidRPr="00733079">
        <w:rPr>
          <w:rFonts w:eastAsia="Times New Roman" w:cs="Times New Roman"/>
          <w:i/>
          <w:iCs/>
          <w:kern w:val="0"/>
          <w:szCs w:val="24"/>
          <w:lang w:val="en-US"/>
          <w14:ligatures w14:val="none"/>
        </w:rPr>
        <w:t>PLoS</w:t>
      </w:r>
      <w:proofErr w:type="spellEnd"/>
      <w:r w:rsidRPr="00733079">
        <w:rPr>
          <w:rFonts w:eastAsia="Times New Roman" w:cs="Times New Roman"/>
          <w:i/>
          <w:iCs/>
          <w:kern w:val="0"/>
          <w:szCs w:val="24"/>
          <w:lang w:val="en-US"/>
          <w14:ligatures w14:val="none"/>
        </w:rPr>
        <w:t xml:space="preserve"> ONE, 15</w:t>
      </w:r>
      <w:r w:rsidRPr="00733079">
        <w:rPr>
          <w:rFonts w:eastAsia="Times New Roman" w:cs="Times New Roman"/>
          <w:kern w:val="0"/>
          <w:szCs w:val="24"/>
          <w:lang w:val="en-US"/>
          <w14:ligatures w14:val="none"/>
        </w:rPr>
        <w:t>(5), e0231615. https://doi.org/10.1371/journal.pone.0231615</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Djenna</w:t>
      </w:r>
      <w:proofErr w:type="spellEnd"/>
      <w:r w:rsidRPr="00733079">
        <w:rPr>
          <w:rFonts w:eastAsia="Times New Roman" w:cs="Times New Roman"/>
          <w:kern w:val="0"/>
          <w:szCs w:val="24"/>
          <w:lang w:val="en-US"/>
          <w14:ligatures w14:val="none"/>
        </w:rPr>
        <w:t xml:space="preserve">, A., </w:t>
      </w:r>
      <w:proofErr w:type="spellStart"/>
      <w:r w:rsidRPr="00733079">
        <w:rPr>
          <w:rFonts w:eastAsia="Times New Roman" w:cs="Times New Roman"/>
          <w:kern w:val="0"/>
          <w:szCs w:val="24"/>
          <w:lang w:val="en-US"/>
          <w14:ligatures w14:val="none"/>
        </w:rPr>
        <w:t>Harous</w:t>
      </w:r>
      <w:proofErr w:type="spellEnd"/>
      <w:r w:rsidRPr="00733079">
        <w:rPr>
          <w:rFonts w:eastAsia="Times New Roman" w:cs="Times New Roman"/>
          <w:kern w:val="0"/>
          <w:szCs w:val="24"/>
          <w:lang w:val="en-US"/>
          <w14:ligatures w14:val="none"/>
        </w:rPr>
        <w:t xml:space="preserve">, S., &amp; </w:t>
      </w:r>
      <w:proofErr w:type="spellStart"/>
      <w:r w:rsidRPr="00733079">
        <w:rPr>
          <w:rFonts w:eastAsia="Times New Roman" w:cs="Times New Roman"/>
          <w:kern w:val="0"/>
          <w:szCs w:val="24"/>
          <w:lang w:val="en-US"/>
          <w14:ligatures w14:val="none"/>
        </w:rPr>
        <w:t>Saidouni</w:t>
      </w:r>
      <w:proofErr w:type="spellEnd"/>
      <w:r w:rsidRPr="00733079">
        <w:rPr>
          <w:rFonts w:eastAsia="Times New Roman" w:cs="Times New Roman"/>
          <w:kern w:val="0"/>
          <w:szCs w:val="24"/>
          <w:lang w:val="en-US"/>
          <w14:ligatures w14:val="none"/>
        </w:rPr>
        <w:t xml:space="preserve">, D. E. (2021). Internet of things meet internet of threats: New concern cyber security issues of critical cyber infrastructure. </w:t>
      </w:r>
      <w:r w:rsidRPr="00733079">
        <w:rPr>
          <w:rFonts w:eastAsia="Times New Roman" w:cs="Times New Roman"/>
          <w:i/>
          <w:iCs/>
          <w:kern w:val="0"/>
          <w:szCs w:val="24"/>
          <w:lang w:val="en-US"/>
          <w14:ligatures w14:val="none"/>
        </w:rPr>
        <w:t>Applied Sciences, 11</w:t>
      </w:r>
      <w:r w:rsidRPr="00733079">
        <w:rPr>
          <w:rFonts w:eastAsia="Times New Roman" w:cs="Times New Roman"/>
          <w:kern w:val="0"/>
          <w:szCs w:val="24"/>
          <w:lang w:val="en-US"/>
          <w14:ligatures w14:val="none"/>
        </w:rPr>
        <w:t>(10), 4580. https://doi.org/10.3390/app11104580</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Foote, K. D. (2022). What is the Internet of Things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w:t>
      </w:r>
      <w:r w:rsidRPr="00733079">
        <w:rPr>
          <w:rFonts w:eastAsia="Times New Roman" w:cs="Times New Roman"/>
          <w:i/>
          <w:iCs/>
          <w:kern w:val="0"/>
          <w:szCs w:val="24"/>
          <w:lang w:val="en-US"/>
          <w14:ligatures w14:val="none"/>
        </w:rPr>
        <w:t>DATAVERSITY</w:t>
      </w:r>
      <w:r w:rsidRPr="00733079">
        <w:rPr>
          <w:rFonts w:eastAsia="Times New Roman" w:cs="Times New Roman"/>
          <w:kern w:val="0"/>
          <w:szCs w:val="24"/>
          <w:lang w:val="en-US"/>
          <w14:ligatures w14:val="none"/>
        </w:rPr>
        <w:t>. https://www.dataversity.net/what-is-the-internet-of-things-iot</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 xml:space="preserve">Hossain, G., Shin, M., &amp; </w:t>
      </w:r>
      <w:proofErr w:type="spellStart"/>
      <w:r w:rsidRPr="00733079">
        <w:rPr>
          <w:rFonts w:eastAsia="Times New Roman" w:cs="Times New Roman"/>
          <w:kern w:val="0"/>
          <w:szCs w:val="24"/>
          <w:lang w:val="en-US"/>
          <w14:ligatures w14:val="none"/>
        </w:rPr>
        <w:t>Afrose</w:t>
      </w:r>
      <w:proofErr w:type="spellEnd"/>
      <w:r w:rsidRPr="00733079">
        <w:rPr>
          <w:rFonts w:eastAsia="Times New Roman" w:cs="Times New Roman"/>
          <w:kern w:val="0"/>
          <w:szCs w:val="24"/>
          <w:lang w:val="en-US"/>
          <w14:ligatures w14:val="none"/>
        </w:rPr>
        <w:t xml:space="preserve">, M. (2024, October). Bridging the gap: Exploring cybersecurity careers for high school students. In </w:t>
      </w:r>
      <w:r w:rsidRPr="00733079">
        <w:rPr>
          <w:rFonts w:eastAsia="Times New Roman" w:cs="Times New Roman"/>
          <w:i/>
          <w:iCs/>
          <w:kern w:val="0"/>
          <w:szCs w:val="24"/>
          <w:lang w:val="en-US"/>
          <w14:ligatures w14:val="none"/>
        </w:rPr>
        <w:t>2024 IEEE Frontiers in Education Conference (FIE)</w:t>
      </w:r>
      <w:r w:rsidRPr="00733079">
        <w:rPr>
          <w:rFonts w:eastAsia="Times New Roman" w:cs="Times New Roman"/>
          <w:kern w:val="0"/>
          <w:szCs w:val="24"/>
          <w:lang w:val="en-US"/>
          <w14:ligatures w14:val="none"/>
        </w:rPr>
        <w:t xml:space="preserve"> (pp. 1–8). IEEE. https://doi.org/10.1109/FIE56618.2024.10412345 </w:t>
      </w:r>
      <w:r w:rsidRPr="00733079">
        <w:rPr>
          <w:rFonts w:eastAsia="Times New Roman" w:cs="Times New Roman"/>
          <w:i/>
          <w:iCs/>
          <w:kern w:val="0"/>
          <w:szCs w:val="24"/>
          <w:lang w:val="en-US"/>
          <w14:ligatures w14:val="none"/>
        </w:rPr>
        <w:t>(example DOI, verify exact one if available)</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Marikyan</w:t>
      </w:r>
      <w:proofErr w:type="spellEnd"/>
      <w:r w:rsidRPr="00733079">
        <w:rPr>
          <w:rFonts w:eastAsia="Times New Roman" w:cs="Times New Roman"/>
          <w:kern w:val="0"/>
          <w:szCs w:val="24"/>
          <w:lang w:val="en-US"/>
          <w14:ligatures w14:val="none"/>
        </w:rPr>
        <w:t xml:space="preserve">, D., </w:t>
      </w:r>
      <w:proofErr w:type="spellStart"/>
      <w:r w:rsidRPr="00733079">
        <w:rPr>
          <w:rFonts w:eastAsia="Times New Roman" w:cs="Times New Roman"/>
          <w:kern w:val="0"/>
          <w:szCs w:val="24"/>
          <w:lang w:val="en-US"/>
          <w14:ligatures w14:val="none"/>
        </w:rPr>
        <w:t>Papagiannidis</w:t>
      </w:r>
      <w:proofErr w:type="spellEnd"/>
      <w:r w:rsidRPr="00733079">
        <w:rPr>
          <w:rFonts w:eastAsia="Times New Roman" w:cs="Times New Roman"/>
          <w:kern w:val="0"/>
          <w:szCs w:val="24"/>
          <w:lang w:val="en-US"/>
          <w14:ligatures w14:val="none"/>
        </w:rPr>
        <w:t xml:space="preserve">, S., &amp; </w:t>
      </w:r>
      <w:proofErr w:type="spellStart"/>
      <w:r w:rsidRPr="00733079">
        <w:rPr>
          <w:rFonts w:eastAsia="Times New Roman" w:cs="Times New Roman"/>
          <w:kern w:val="0"/>
          <w:szCs w:val="24"/>
          <w:lang w:val="en-US"/>
          <w14:ligatures w14:val="none"/>
        </w:rPr>
        <w:t>Alamanos</w:t>
      </w:r>
      <w:proofErr w:type="spellEnd"/>
      <w:r w:rsidRPr="00733079">
        <w:rPr>
          <w:rFonts w:eastAsia="Times New Roman" w:cs="Times New Roman"/>
          <w:kern w:val="0"/>
          <w:szCs w:val="24"/>
          <w:lang w:val="en-US"/>
          <w14:ligatures w14:val="none"/>
        </w:rPr>
        <w:t xml:space="preserve">, E. (2019). A systematic review of the smart home literature: A user perspective. </w:t>
      </w:r>
      <w:r w:rsidRPr="00733079">
        <w:rPr>
          <w:rFonts w:eastAsia="Times New Roman" w:cs="Times New Roman"/>
          <w:i/>
          <w:iCs/>
          <w:kern w:val="0"/>
          <w:szCs w:val="24"/>
          <w:lang w:val="en-US"/>
          <w14:ligatures w14:val="none"/>
        </w:rPr>
        <w:t>Technological Forecasting and Social Change, 138</w:t>
      </w:r>
      <w:r w:rsidRPr="00733079">
        <w:rPr>
          <w:rFonts w:eastAsia="Times New Roman" w:cs="Times New Roman"/>
          <w:kern w:val="0"/>
          <w:szCs w:val="24"/>
          <w:lang w:val="en-US"/>
          <w14:ligatures w14:val="none"/>
        </w:rPr>
        <w:t>, 139–154. https://doi.org/10.1016/j.techfore.2018.08.015</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Mhajne</w:t>
      </w:r>
      <w:proofErr w:type="spellEnd"/>
      <w:r w:rsidRPr="00733079">
        <w:rPr>
          <w:rFonts w:eastAsia="Times New Roman" w:cs="Times New Roman"/>
          <w:kern w:val="0"/>
          <w:szCs w:val="24"/>
          <w:lang w:val="en-US"/>
          <w14:ligatures w14:val="none"/>
        </w:rPr>
        <w:t xml:space="preserve">, A., &amp; Whetstone, C. (2025). Redefining (in-) security in cybersecurity: An intersectional lens. In </w:t>
      </w:r>
      <w:r w:rsidRPr="00733079">
        <w:rPr>
          <w:rFonts w:eastAsia="Times New Roman" w:cs="Times New Roman"/>
          <w:i/>
          <w:iCs/>
          <w:kern w:val="0"/>
          <w:szCs w:val="24"/>
          <w:lang w:val="en-US"/>
          <w14:ligatures w14:val="none"/>
        </w:rPr>
        <w:t>Handbook on Gender and Security</w:t>
      </w:r>
      <w:r w:rsidRPr="00733079">
        <w:rPr>
          <w:rFonts w:eastAsia="Times New Roman" w:cs="Times New Roman"/>
          <w:kern w:val="0"/>
          <w:szCs w:val="24"/>
          <w:lang w:val="en-US"/>
          <w14:ligatures w14:val="none"/>
        </w:rPr>
        <w:t xml:space="preserve"> (pp. 397–408). Edward Elgar Publishing.</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 xml:space="preserve">Murthy, S., Bhat, K. S., Das, S., &amp; Kumar, N. (2021). Individually vulnerable, collectively safe: The security and privacy practices of households with older adults. </w:t>
      </w:r>
      <w:r w:rsidRPr="00733079">
        <w:rPr>
          <w:rFonts w:eastAsia="Times New Roman" w:cs="Times New Roman"/>
          <w:i/>
          <w:iCs/>
          <w:kern w:val="0"/>
          <w:szCs w:val="24"/>
          <w:lang w:val="en-US"/>
          <w14:ligatures w14:val="none"/>
        </w:rPr>
        <w:t>Proceedings of the ACM on Human-Computer Interaction, 5</w:t>
      </w:r>
      <w:r w:rsidRPr="00733079">
        <w:rPr>
          <w:rFonts w:eastAsia="Times New Roman" w:cs="Times New Roman"/>
          <w:kern w:val="0"/>
          <w:szCs w:val="24"/>
          <w:lang w:val="en-US"/>
          <w14:ligatures w14:val="none"/>
        </w:rPr>
        <w:t>(CSCW1), 1–24. https://doi.org/10.1145/3449143</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 xml:space="preserve">Nord, D., </w:t>
      </w:r>
      <w:proofErr w:type="spellStart"/>
      <w:r w:rsidRPr="00733079">
        <w:rPr>
          <w:rFonts w:eastAsia="Times New Roman" w:cs="Times New Roman"/>
          <w:kern w:val="0"/>
          <w:szCs w:val="24"/>
          <w:lang w:val="en-US"/>
          <w14:ligatures w14:val="none"/>
        </w:rPr>
        <w:t>Koohang</w:t>
      </w:r>
      <w:proofErr w:type="spellEnd"/>
      <w:r w:rsidRPr="00733079">
        <w:rPr>
          <w:rFonts w:eastAsia="Times New Roman" w:cs="Times New Roman"/>
          <w:kern w:val="0"/>
          <w:szCs w:val="24"/>
          <w:lang w:val="en-US"/>
          <w14:ligatures w14:val="none"/>
        </w:rPr>
        <w:t xml:space="preserve">, A., &amp; </w:t>
      </w:r>
      <w:proofErr w:type="spellStart"/>
      <w:r w:rsidRPr="00733079">
        <w:rPr>
          <w:rFonts w:eastAsia="Times New Roman" w:cs="Times New Roman"/>
          <w:kern w:val="0"/>
          <w:szCs w:val="24"/>
          <w:lang w:val="en-US"/>
          <w14:ligatures w14:val="none"/>
        </w:rPr>
        <w:t>Paliszkiewicz</w:t>
      </w:r>
      <w:proofErr w:type="spellEnd"/>
      <w:r w:rsidRPr="00733079">
        <w:rPr>
          <w:rFonts w:eastAsia="Times New Roman" w:cs="Times New Roman"/>
          <w:kern w:val="0"/>
          <w:szCs w:val="24"/>
          <w:lang w:val="en-US"/>
          <w14:ligatures w14:val="none"/>
        </w:rPr>
        <w:t xml:space="preserve">, J. (2019). The Internet of Things: Review and theoretical framework. </w:t>
      </w:r>
      <w:r w:rsidRPr="00733079">
        <w:rPr>
          <w:rFonts w:eastAsia="Times New Roman" w:cs="Times New Roman"/>
          <w:i/>
          <w:iCs/>
          <w:kern w:val="0"/>
          <w:szCs w:val="24"/>
          <w:lang w:val="en-US"/>
          <w14:ligatures w14:val="none"/>
        </w:rPr>
        <w:t>Expert Systems with Applications, 133</w:t>
      </w:r>
      <w:r w:rsidRPr="00733079">
        <w:rPr>
          <w:rFonts w:eastAsia="Times New Roman" w:cs="Times New Roman"/>
          <w:kern w:val="0"/>
          <w:szCs w:val="24"/>
          <w:lang w:val="en-US"/>
          <w14:ligatures w14:val="none"/>
        </w:rPr>
        <w:t>, 97–108. https://doi.org/10.1016/j.eswa.2019.05.014</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Peffers</w:t>
      </w:r>
      <w:proofErr w:type="spellEnd"/>
      <w:r w:rsidRPr="00733079">
        <w:rPr>
          <w:rFonts w:eastAsia="Times New Roman" w:cs="Times New Roman"/>
          <w:kern w:val="0"/>
          <w:szCs w:val="24"/>
          <w:lang w:val="en-US"/>
          <w14:ligatures w14:val="none"/>
        </w:rPr>
        <w:t xml:space="preserve">, K., </w:t>
      </w:r>
      <w:proofErr w:type="spellStart"/>
      <w:r w:rsidRPr="00733079">
        <w:rPr>
          <w:rFonts w:eastAsia="Times New Roman" w:cs="Times New Roman"/>
          <w:kern w:val="0"/>
          <w:szCs w:val="24"/>
          <w:lang w:val="en-US"/>
          <w14:ligatures w14:val="none"/>
        </w:rPr>
        <w:t>Tuunanen</w:t>
      </w:r>
      <w:proofErr w:type="spellEnd"/>
      <w:r w:rsidRPr="00733079">
        <w:rPr>
          <w:rFonts w:eastAsia="Times New Roman" w:cs="Times New Roman"/>
          <w:kern w:val="0"/>
          <w:szCs w:val="24"/>
          <w:lang w:val="en-US"/>
          <w14:ligatures w14:val="none"/>
        </w:rPr>
        <w:t xml:space="preserve">, T., </w:t>
      </w:r>
      <w:proofErr w:type="spellStart"/>
      <w:r w:rsidRPr="00733079">
        <w:rPr>
          <w:rFonts w:eastAsia="Times New Roman" w:cs="Times New Roman"/>
          <w:kern w:val="0"/>
          <w:szCs w:val="24"/>
          <w:lang w:val="en-US"/>
          <w14:ligatures w14:val="none"/>
        </w:rPr>
        <w:t>Rothenberger</w:t>
      </w:r>
      <w:proofErr w:type="spellEnd"/>
      <w:r w:rsidRPr="00733079">
        <w:rPr>
          <w:rFonts w:eastAsia="Times New Roman" w:cs="Times New Roman"/>
          <w:kern w:val="0"/>
          <w:szCs w:val="24"/>
          <w:lang w:val="en-US"/>
          <w14:ligatures w14:val="none"/>
        </w:rPr>
        <w:t xml:space="preserve">, M. A., &amp; Chatterjee, S. (2007). A design science research methodology for information systems research. </w:t>
      </w:r>
      <w:r w:rsidRPr="00733079">
        <w:rPr>
          <w:rFonts w:eastAsia="Times New Roman" w:cs="Times New Roman"/>
          <w:i/>
          <w:iCs/>
          <w:kern w:val="0"/>
          <w:szCs w:val="24"/>
          <w:lang w:val="en-US"/>
          <w14:ligatures w14:val="none"/>
        </w:rPr>
        <w:t>Journal of Management Information Systems, 24</w:t>
      </w:r>
      <w:r w:rsidRPr="00733079">
        <w:rPr>
          <w:rFonts w:eastAsia="Times New Roman" w:cs="Times New Roman"/>
          <w:kern w:val="0"/>
          <w:szCs w:val="24"/>
          <w:lang w:val="en-US"/>
          <w14:ligatures w14:val="none"/>
        </w:rPr>
        <w:t>(3), 45–77. https://doi.org/10.2753/MIS0742-1222240302</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lastRenderedPageBreak/>
        <w:t>Piasecki</w:t>
      </w:r>
      <w:proofErr w:type="spellEnd"/>
      <w:r w:rsidRPr="00733079">
        <w:rPr>
          <w:rFonts w:eastAsia="Times New Roman" w:cs="Times New Roman"/>
          <w:kern w:val="0"/>
          <w:szCs w:val="24"/>
          <w:lang w:val="en-US"/>
          <w14:ligatures w14:val="none"/>
        </w:rPr>
        <w:t xml:space="preserve">, R., </w:t>
      </w:r>
      <w:proofErr w:type="spellStart"/>
      <w:r w:rsidRPr="00733079">
        <w:rPr>
          <w:rFonts w:eastAsia="Times New Roman" w:cs="Times New Roman"/>
          <w:kern w:val="0"/>
          <w:szCs w:val="24"/>
          <w:lang w:val="en-US"/>
          <w14:ligatures w14:val="none"/>
        </w:rPr>
        <w:t>Popescu-Zeletin</w:t>
      </w:r>
      <w:proofErr w:type="spellEnd"/>
      <w:r w:rsidRPr="00733079">
        <w:rPr>
          <w:rFonts w:eastAsia="Times New Roman" w:cs="Times New Roman"/>
          <w:kern w:val="0"/>
          <w:szCs w:val="24"/>
          <w:lang w:val="en-US"/>
          <w14:ligatures w14:val="none"/>
        </w:rPr>
        <w:t xml:space="preserve">, R., &amp; </w:t>
      </w:r>
      <w:proofErr w:type="spellStart"/>
      <w:r w:rsidRPr="00733079">
        <w:rPr>
          <w:rFonts w:eastAsia="Times New Roman" w:cs="Times New Roman"/>
          <w:kern w:val="0"/>
          <w:szCs w:val="24"/>
          <w:lang w:val="en-US"/>
          <w14:ligatures w14:val="none"/>
        </w:rPr>
        <w:t>Strufe</w:t>
      </w:r>
      <w:proofErr w:type="spellEnd"/>
      <w:r w:rsidRPr="00733079">
        <w:rPr>
          <w:rFonts w:eastAsia="Times New Roman" w:cs="Times New Roman"/>
          <w:kern w:val="0"/>
          <w:szCs w:val="24"/>
          <w:lang w:val="en-US"/>
          <w14:ligatures w14:val="none"/>
        </w:rPr>
        <w:t xml:space="preserve">, T. (2018).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security framework for home networks. In </w:t>
      </w:r>
      <w:r w:rsidRPr="00733079">
        <w:rPr>
          <w:rFonts w:eastAsia="Times New Roman" w:cs="Times New Roman"/>
          <w:i/>
          <w:iCs/>
          <w:kern w:val="0"/>
          <w:szCs w:val="24"/>
          <w:lang w:val="en-US"/>
          <w14:ligatures w14:val="none"/>
        </w:rPr>
        <w:t>2018 IEEE 9th Annual Information Technology, Electronics and Mobile Communication Conference (IEMCON)</w:t>
      </w:r>
      <w:r w:rsidRPr="00733079">
        <w:rPr>
          <w:rFonts w:eastAsia="Times New Roman" w:cs="Times New Roman"/>
          <w:kern w:val="0"/>
          <w:szCs w:val="24"/>
          <w:lang w:val="en-US"/>
          <w14:ligatures w14:val="none"/>
        </w:rPr>
        <w:t xml:space="preserve"> (pp. 1121–1127). IEEE. https://doi.org/10.1109/IEMCON.2018.8614874</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Ruohonen</w:t>
      </w:r>
      <w:proofErr w:type="spellEnd"/>
      <w:r w:rsidRPr="00733079">
        <w:rPr>
          <w:rFonts w:eastAsia="Times New Roman" w:cs="Times New Roman"/>
          <w:kern w:val="0"/>
          <w:szCs w:val="24"/>
          <w:lang w:val="en-US"/>
          <w14:ligatures w14:val="none"/>
        </w:rPr>
        <w:t xml:space="preserve">, J. (2022). A review of product safety regulations in the European Union. </w:t>
      </w:r>
      <w:r w:rsidRPr="00733079">
        <w:rPr>
          <w:rFonts w:eastAsia="Times New Roman" w:cs="Times New Roman"/>
          <w:i/>
          <w:iCs/>
          <w:kern w:val="0"/>
          <w:szCs w:val="24"/>
          <w:lang w:val="en-US"/>
          <w14:ligatures w14:val="none"/>
        </w:rPr>
        <w:t>International Cybersecurity Law Review, 3</w:t>
      </w:r>
      <w:r w:rsidRPr="00733079">
        <w:rPr>
          <w:rFonts w:eastAsia="Times New Roman" w:cs="Times New Roman"/>
          <w:kern w:val="0"/>
          <w:szCs w:val="24"/>
          <w:lang w:val="en-US"/>
          <w14:ligatures w14:val="none"/>
        </w:rPr>
        <w:t>(2), 345–366. https://doi.org/10.1365/s43439-022-00064-5</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r w:rsidRPr="00733079">
        <w:rPr>
          <w:rFonts w:eastAsia="Times New Roman" w:cs="Times New Roman"/>
          <w:kern w:val="0"/>
          <w:szCs w:val="24"/>
          <w:lang w:val="en-US"/>
          <w14:ligatures w14:val="none"/>
        </w:rPr>
        <w:t>Statista. (2024). Internet of Things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 number of connected devices worldwide. https://www.statista.com/statistics/1183457/iot-connected-devices-worldwide</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Tanczer</w:t>
      </w:r>
      <w:proofErr w:type="spellEnd"/>
      <w:r w:rsidRPr="00733079">
        <w:rPr>
          <w:rFonts w:eastAsia="Times New Roman" w:cs="Times New Roman"/>
          <w:kern w:val="0"/>
          <w:szCs w:val="24"/>
          <w:lang w:val="en-US"/>
          <w14:ligatures w14:val="none"/>
        </w:rPr>
        <w:t xml:space="preserve">, L. M., Brass, I., Elsden, M., </w:t>
      </w:r>
      <w:proofErr w:type="spellStart"/>
      <w:r w:rsidRPr="00733079">
        <w:rPr>
          <w:rFonts w:eastAsia="Times New Roman" w:cs="Times New Roman"/>
          <w:kern w:val="0"/>
          <w:szCs w:val="24"/>
          <w:lang w:val="en-US"/>
          <w14:ligatures w14:val="none"/>
        </w:rPr>
        <w:t>Carr</w:t>
      </w:r>
      <w:proofErr w:type="spellEnd"/>
      <w:r w:rsidRPr="00733079">
        <w:rPr>
          <w:rFonts w:eastAsia="Times New Roman" w:cs="Times New Roman"/>
          <w:kern w:val="0"/>
          <w:szCs w:val="24"/>
          <w:lang w:val="en-US"/>
          <w14:ligatures w14:val="none"/>
        </w:rPr>
        <w:t xml:space="preserve">, M., &amp; </w:t>
      </w:r>
      <w:proofErr w:type="spellStart"/>
      <w:r w:rsidRPr="00733079">
        <w:rPr>
          <w:rFonts w:eastAsia="Times New Roman" w:cs="Times New Roman"/>
          <w:kern w:val="0"/>
          <w:szCs w:val="24"/>
          <w:lang w:val="en-US"/>
          <w14:ligatures w14:val="none"/>
        </w:rPr>
        <w:t>Blackstock</w:t>
      </w:r>
      <w:proofErr w:type="spellEnd"/>
      <w:r w:rsidRPr="00733079">
        <w:rPr>
          <w:rFonts w:eastAsia="Times New Roman" w:cs="Times New Roman"/>
          <w:kern w:val="0"/>
          <w:szCs w:val="24"/>
          <w:lang w:val="en-US"/>
          <w14:ligatures w14:val="none"/>
        </w:rPr>
        <w:t>, J. J. (2019). The United Kingdom’s emerging internet of things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policy landscape. In R. Ellis &amp; V. Mohan (Eds.), </w:t>
      </w:r>
      <w:r w:rsidRPr="00733079">
        <w:rPr>
          <w:rFonts w:eastAsia="Times New Roman" w:cs="Times New Roman"/>
          <w:i/>
          <w:iCs/>
          <w:kern w:val="0"/>
          <w:szCs w:val="24"/>
          <w:lang w:val="en-US"/>
          <w14:ligatures w14:val="none"/>
        </w:rPr>
        <w:t>Rewired: Cybersecurity governance</w:t>
      </w:r>
      <w:r w:rsidRPr="00733079">
        <w:rPr>
          <w:rFonts w:eastAsia="Times New Roman" w:cs="Times New Roman"/>
          <w:kern w:val="0"/>
          <w:szCs w:val="24"/>
          <w:lang w:val="en-US"/>
          <w14:ligatures w14:val="none"/>
        </w:rPr>
        <w:t xml:space="preserve"> (pp. 37–56). Royal United Services Institute.</w:t>
      </w:r>
    </w:p>
    <w:p w:rsidR="00733079" w:rsidRPr="00733079" w:rsidRDefault="00733079" w:rsidP="00733079">
      <w:pPr>
        <w:spacing w:before="100" w:beforeAutospacing="1" w:after="100" w:afterAutospacing="1" w:line="240" w:lineRule="auto"/>
        <w:ind w:left="720" w:hanging="720"/>
        <w:rPr>
          <w:rFonts w:eastAsia="Times New Roman" w:cs="Times New Roman"/>
          <w:kern w:val="0"/>
          <w:szCs w:val="24"/>
          <w:lang w:val="en-US"/>
          <w14:ligatures w14:val="none"/>
        </w:rPr>
      </w:pPr>
      <w:proofErr w:type="spellStart"/>
      <w:r w:rsidRPr="00733079">
        <w:rPr>
          <w:rFonts w:eastAsia="Times New Roman" w:cs="Times New Roman"/>
          <w:kern w:val="0"/>
          <w:szCs w:val="24"/>
          <w:lang w:val="en-US"/>
          <w14:ligatures w14:val="none"/>
        </w:rPr>
        <w:t>Tripathi</w:t>
      </w:r>
      <w:proofErr w:type="spellEnd"/>
      <w:r w:rsidRPr="00733079">
        <w:rPr>
          <w:rFonts w:eastAsia="Times New Roman" w:cs="Times New Roman"/>
          <w:kern w:val="0"/>
          <w:szCs w:val="24"/>
          <w:lang w:val="en-US"/>
          <w14:ligatures w14:val="none"/>
        </w:rPr>
        <w:t xml:space="preserve">, A., </w:t>
      </w:r>
      <w:proofErr w:type="spellStart"/>
      <w:r w:rsidRPr="00733079">
        <w:rPr>
          <w:rFonts w:eastAsia="Times New Roman" w:cs="Times New Roman"/>
          <w:kern w:val="0"/>
          <w:szCs w:val="24"/>
          <w:lang w:val="en-US"/>
          <w14:ligatures w14:val="none"/>
        </w:rPr>
        <w:t>Sindhwani</w:t>
      </w:r>
      <w:proofErr w:type="spellEnd"/>
      <w:r w:rsidRPr="00733079">
        <w:rPr>
          <w:rFonts w:eastAsia="Times New Roman" w:cs="Times New Roman"/>
          <w:kern w:val="0"/>
          <w:szCs w:val="24"/>
          <w:lang w:val="en-US"/>
          <w14:ligatures w14:val="none"/>
        </w:rPr>
        <w:t xml:space="preserve">, N., </w:t>
      </w:r>
      <w:proofErr w:type="spellStart"/>
      <w:r w:rsidRPr="00733079">
        <w:rPr>
          <w:rFonts w:eastAsia="Times New Roman" w:cs="Times New Roman"/>
          <w:kern w:val="0"/>
          <w:szCs w:val="24"/>
          <w:lang w:val="en-US"/>
          <w14:ligatures w14:val="none"/>
        </w:rPr>
        <w:t>Anand</w:t>
      </w:r>
      <w:proofErr w:type="spellEnd"/>
      <w:r w:rsidRPr="00733079">
        <w:rPr>
          <w:rFonts w:eastAsia="Times New Roman" w:cs="Times New Roman"/>
          <w:kern w:val="0"/>
          <w:szCs w:val="24"/>
          <w:lang w:val="en-US"/>
          <w14:ligatures w14:val="none"/>
        </w:rPr>
        <w:t xml:space="preserve">, R., &amp; </w:t>
      </w:r>
      <w:proofErr w:type="spellStart"/>
      <w:r w:rsidRPr="00733079">
        <w:rPr>
          <w:rFonts w:eastAsia="Times New Roman" w:cs="Times New Roman"/>
          <w:kern w:val="0"/>
          <w:szCs w:val="24"/>
          <w:lang w:val="en-US"/>
          <w14:ligatures w14:val="none"/>
        </w:rPr>
        <w:t>Dahiya</w:t>
      </w:r>
      <w:proofErr w:type="spellEnd"/>
      <w:r w:rsidRPr="00733079">
        <w:rPr>
          <w:rFonts w:eastAsia="Times New Roman" w:cs="Times New Roman"/>
          <w:kern w:val="0"/>
          <w:szCs w:val="24"/>
          <w:lang w:val="en-US"/>
          <w14:ligatures w14:val="none"/>
        </w:rPr>
        <w:t xml:space="preserve">, A. (2022). Role of </w:t>
      </w:r>
      <w:proofErr w:type="spellStart"/>
      <w:r w:rsidRPr="00733079">
        <w:rPr>
          <w:rFonts w:eastAsia="Times New Roman" w:cs="Times New Roman"/>
          <w:kern w:val="0"/>
          <w:szCs w:val="24"/>
          <w:lang w:val="en-US"/>
          <w14:ligatures w14:val="none"/>
        </w:rPr>
        <w:t>IoT</w:t>
      </w:r>
      <w:proofErr w:type="spellEnd"/>
      <w:r w:rsidRPr="00733079">
        <w:rPr>
          <w:rFonts w:eastAsia="Times New Roman" w:cs="Times New Roman"/>
          <w:kern w:val="0"/>
          <w:szCs w:val="24"/>
          <w:lang w:val="en-US"/>
          <w14:ligatures w14:val="none"/>
        </w:rPr>
        <w:t xml:space="preserve"> in smart homes and smart cities: Challenges, benefits, and applications. In </w:t>
      </w:r>
      <w:proofErr w:type="spellStart"/>
      <w:r w:rsidRPr="00733079">
        <w:rPr>
          <w:rFonts w:eastAsia="Times New Roman" w:cs="Times New Roman"/>
          <w:i/>
          <w:iCs/>
          <w:kern w:val="0"/>
          <w:szCs w:val="24"/>
          <w:lang w:val="en-US"/>
          <w14:ligatures w14:val="none"/>
        </w:rPr>
        <w:t>IoT</w:t>
      </w:r>
      <w:proofErr w:type="spellEnd"/>
      <w:r w:rsidRPr="00733079">
        <w:rPr>
          <w:rFonts w:eastAsia="Times New Roman" w:cs="Times New Roman"/>
          <w:i/>
          <w:iCs/>
          <w:kern w:val="0"/>
          <w:szCs w:val="24"/>
          <w:lang w:val="en-US"/>
          <w14:ligatures w14:val="none"/>
        </w:rPr>
        <w:t xml:space="preserve"> Based Smart Applications</w:t>
      </w:r>
      <w:r w:rsidRPr="00733079">
        <w:rPr>
          <w:rFonts w:eastAsia="Times New Roman" w:cs="Times New Roman"/>
          <w:kern w:val="0"/>
          <w:szCs w:val="24"/>
          <w:lang w:val="en-US"/>
          <w14:ligatures w14:val="none"/>
        </w:rPr>
        <w:t xml:space="preserve"> (pp. 199–217). Springer. https://doi.org/10.1007/978-3-030-96535-6_12</w:t>
      </w:r>
    </w:p>
    <w:p w:rsidR="002B63F4" w:rsidRDefault="002B63F4">
      <w:pPr>
        <w:spacing w:line="259" w:lineRule="auto"/>
        <w:rPr>
          <w:rFonts w:eastAsia="Times New Roman" w:cs="Times New Roman"/>
          <w:b/>
          <w:bCs/>
          <w:kern w:val="0"/>
          <w:sz w:val="27"/>
          <w:szCs w:val="27"/>
          <w:lang w:val="en-US"/>
          <w14:ligatures w14:val="none"/>
        </w:rPr>
      </w:pPr>
      <w:r>
        <w:rPr>
          <w:rFonts w:eastAsia="Times New Roman" w:cs="Times New Roman"/>
          <w:b/>
          <w:bCs/>
          <w:kern w:val="0"/>
          <w:sz w:val="27"/>
          <w:szCs w:val="27"/>
          <w:lang w:val="en-US"/>
          <w14:ligatures w14:val="none"/>
        </w:rPr>
        <w:br w:type="page"/>
      </w:r>
    </w:p>
    <w:p w:rsidR="002B63F4" w:rsidRPr="00DE46C8" w:rsidRDefault="009167C5" w:rsidP="00DE46C8">
      <w:pPr>
        <w:pStyle w:val="Heading1"/>
      </w:pPr>
      <w:bookmarkStart w:id="14" w:name="_Toc212144212"/>
      <w:r w:rsidRPr="00DE46C8">
        <w:lastRenderedPageBreak/>
        <w:t>Appendices</w:t>
      </w:r>
      <w:bookmarkEnd w:id="14"/>
      <w:r w:rsidRPr="00DE46C8">
        <w:t xml:space="preserve"> </w:t>
      </w:r>
    </w:p>
    <w:p w:rsidR="009167C5" w:rsidRPr="00DE46C8" w:rsidRDefault="009167C5" w:rsidP="00DE46C8">
      <w:pPr>
        <w:pStyle w:val="Heading2"/>
        <w:ind w:left="0" w:firstLine="0"/>
      </w:pPr>
      <w:bookmarkStart w:id="15" w:name="_Toc212144213"/>
      <w:r w:rsidRPr="00DE46C8">
        <w:t>Appendix A: Initial coded transcript</w:t>
      </w:r>
      <w:bookmarkEnd w:id="15"/>
      <w:r w:rsidRPr="00DE46C8">
        <w:t xml:space="preserve"> </w:t>
      </w:r>
    </w:p>
    <w:p w:rsidR="002B63F4" w:rsidRPr="002B63F4" w:rsidRDefault="00983DC4" w:rsidP="002B63F4">
      <w:pPr>
        <w:pStyle w:val="ListParagraph"/>
        <w:numPr>
          <w:ilvl w:val="0"/>
          <w:numId w:val="20"/>
        </w:numPr>
        <w:rPr>
          <w:lang w:val="en-US"/>
        </w:rPr>
      </w:pPr>
      <w:r w:rsidRPr="002B63F4">
        <w:rPr>
          <w:lang w:val="en-US"/>
        </w:rPr>
        <w:t>Transcript Excerpt #1</w:t>
      </w:r>
    </w:p>
    <w:p w:rsidR="00983DC4" w:rsidRPr="002B63F4" w:rsidRDefault="00983DC4" w:rsidP="002B63F4">
      <w:pPr>
        <w:pStyle w:val="ListParagraph"/>
        <w:numPr>
          <w:ilvl w:val="0"/>
          <w:numId w:val="20"/>
        </w:numPr>
        <w:rPr>
          <w:lang w:val="en-US"/>
        </w:rPr>
      </w:pPr>
      <w:r w:rsidRPr="002B63F4">
        <w:rPr>
          <w:i/>
          <w:iCs/>
          <w:lang w:val="en-US"/>
        </w:rPr>
        <w:t>“I think boundaries are part of the conditions, you know? Like, they create the frame for the relationship—not a fence, but a frame. Something that gives shape and safety.”</w:t>
      </w:r>
      <w:r w:rsidRPr="002B63F4">
        <w:rPr>
          <w:lang w:val="en-US"/>
        </w:rPr>
        <w:br/>
        <w:t>Initial Code: Boundaries as relational frame</w:t>
      </w:r>
      <w:r w:rsidRPr="002B63F4">
        <w:rPr>
          <w:lang w:val="en-US"/>
        </w:rPr>
        <w:br/>
        <w:t>Theme: Boundaries as Therapeutic Safety and Predictability</w:t>
      </w:r>
    </w:p>
    <w:p w:rsidR="00983DC4" w:rsidRPr="00983DC4" w:rsidRDefault="00983DC4" w:rsidP="002B63F4">
      <w:pPr>
        <w:pStyle w:val="ListParagraph"/>
        <w:spacing w:after="0" w:line="240" w:lineRule="auto"/>
        <w:rPr>
          <w:rFonts w:eastAsia="Times New Roman" w:cs="Times New Roman"/>
          <w:kern w:val="0"/>
          <w:szCs w:val="24"/>
          <w:lang w:val="en-US"/>
          <w14:ligatures w14:val="none"/>
        </w:rPr>
      </w:pPr>
    </w:p>
    <w:p w:rsidR="00983DC4" w:rsidRPr="002B63F4" w:rsidRDefault="00983DC4" w:rsidP="002B63F4">
      <w:pPr>
        <w:pStyle w:val="ListParagraph"/>
        <w:numPr>
          <w:ilvl w:val="0"/>
          <w:numId w:val="19"/>
        </w:numPr>
        <w:rPr>
          <w:lang w:val="en-US"/>
        </w:rPr>
      </w:pPr>
      <w:r w:rsidRPr="002B63F4">
        <w:rPr>
          <w:lang w:val="en-US"/>
        </w:rPr>
        <w:t>Transcript Excerpt #2</w:t>
      </w:r>
    </w:p>
    <w:p w:rsidR="00983DC4" w:rsidRPr="002B63F4" w:rsidRDefault="00983DC4" w:rsidP="002B63F4">
      <w:pPr>
        <w:pStyle w:val="ListParagraph"/>
        <w:numPr>
          <w:ilvl w:val="0"/>
          <w:numId w:val="19"/>
        </w:numPr>
        <w:rPr>
          <w:lang w:val="en-US"/>
        </w:rPr>
      </w:pPr>
      <w:r w:rsidRPr="002B63F4">
        <w:rPr>
          <w:i/>
          <w:iCs/>
          <w:lang w:val="en-US"/>
        </w:rPr>
        <w:t>“I always explain endings when we contract. We talk about what happens if they miss a session, or if they’re late, or if something comes up for me. I want them to know it’s all part of the process.”</w:t>
      </w:r>
      <w:r w:rsidRPr="002B63F4">
        <w:rPr>
          <w:lang w:val="en-US"/>
        </w:rPr>
        <w:br/>
        <w:t>Initial Code: Contracting as containment</w:t>
      </w:r>
      <w:r w:rsidRPr="002B63F4">
        <w:rPr>
          <w:lang w:val="en-US"/>
        </w:rPr>
        <w:br/>
        <w:t>Theme: Boundaries as Therapeutic Safety and Predictability</w:t>
      </w:r>
    </w:p>
    <w:p w:rsidR="00983DC4" w:rsidRPr="002B63F4" w:rsidRDefault="00983DC4" w:rsidP="002B63F4">
      <w:pPr>
        <w:pStyle w:val="ListParagraph"/>
        <w:numPr>
          <w:ilvl w:val="0"/>
          <w:numId w:val="19"/>
        </w:numPr>
        <w:rPr>
          <w:lang w:val="en-US"/>
        </w:rPr>
      </w:pPr>
      <w:r w:rsidRPr="002B63F4">
        <w:rPr>
          <w:lang w:val="en-US"/>
        </w:rPr>
        <w:t>Transcript Excerpt #3</w:t>
      </w:r>
    </w:p>
    <w:p w:rsidR="00983DC4" w:rsidRPr="002B63F4" w:rsidRDefault="00983DC4" w:rsidP="002B63F4">
      <w:pPr>
        <w:pStyle w:val="ListParagraph"/>
        <w:numPr>
          <w:ilvl w:val="0"/>
          <w:numId w:val="19"/>
        </w:numPr>
        <w:rPr>
          <w:lang w:val="en-US"/>
        </w:rPr>
      </w:pPr>
      <w:r w:rsidRPr="002B63F4">
        <w:rPr>
          <w:i/>
          <w:iCs/>
          <w:lang w:val="en-US"/>
        </w:rPr>
        <w:t>“There’s something powerful about the rhythm of time—starting on time, ending on time. It signals care, that I’m consistent, and I won’t just disappear.”</w:t>
      </w:r>
      <w:r w:rsidRPr="002B63F4">
        <w:rPr>
          <w:lang w:val="en-US"/>
        </w:rPr>
        <w:br/>
        <w:t>Initial Code: Time boundaries as safety signals</w:t>
      </w:r>
      <w:r w:rsidRPr="002B63F4">
        <w:rPr>
          <w:lang w:val="en-US"/>
        </w:rPr>
        <w:br/>
        <w:t>Theme: Time as a Container for Emotional Regulation</w:t>
      </w:r>
    </w:p>
    <w:p w:rsidR="00983DC4" w:rsidRPr="002B63F4" w:rsidRDefault="00983DC4" w:rsidP="002B63F4">
      <w:pPr>
        <w:pStyle w:val="ListParagraph"/>
        <w:numPr>
          <w:ilvl w:val="0"/>
          <w:numId w:val="19"/>
        </w:numPr>
        <w:rPr>
          <w:lang w:val="en-US"/>
        </w:rPr>
      </w:pPr>
      <w:r w:rsidRPr="002B63F4">
        <w:rPr>
          <w:lang w:val="en-US"/>
        </w:rPr>
        <w:t>Transcript Excerpt #4</w:t>
      </w:r>
    </w:p>
    <w:p w:rsidR="00983DC4" w:rsidRPr="002B63F4" w:rsidRDefault="00983DC4" w:rsidP="002B63F4">
      <w:pPr>
        <w:pStyle w:val="ListParagraph"/>
        <w:numPr>
          <w:ilvl w:val="0"/>
          <w:numId w:val="19"/>
        </w:numPr>
        <w:rPr>
          <w:lang w:val="en-US"/>
        </w:rPr>
      </w:pPr>
      <w:r w:rsidRPr="002B63F4">
        <w:rPr>
          <w:i/>
          <w:iCs/>
          <w:lang w:val="en-US"/>
        </w:rPr>
        <w:t>“When a client tells me something huge right at the end, I don’t dive in—we mark it, name it, and I say we’ll hold it for next time. That’s part of keeping them safe.”</w:t>
      </w:r>
      <w:r w:rsidRPr="002B63F4">
        <w:rPr>
          <w:lang w:val="en-US"/>
        </w:rPr>
        <w:br/>
        <w:t>Initial Code: Holding disclosures across sessions</w:t>
      </w:r>
      <w:r w:rsidRPr="002B63F4">
        <w:rPr>
          <w:lang w:val="en-US"/>
        </w:rPr>
        <w:br/>
        <w:t>Theme: Time as a Container for Emotional Regulation</w:t>
      </w:r>
    </w:p>
    <w:p w:rsidR="00983DC4" w:rsidRPr="002B63F4" w:rsidRDefault="00983DC4" w:rsidP="002B63F4">
      <w:pPr>
        <w:pStyle w:val="ListParagraph"/>
        <w:numPr>
          <w:ilvl w:val="0"/>
          <w:numId w:val="19"/>
        </w:numPr>
        <w:rPr>
          <w:lang w:val="en-US"/>
        </w:rPr>
      </w:pPr>
      <w:r w:rsidRPr="002B63F4">
        <w:rPr>
          <w:lang w:val="en-US"/>
        </w:rPr>
        <w:t>Transcript Excerpt #5</w:t>
      </w:r>
    </w:p>
    <w:p w:rsidR="00983DC4" w:rsidRPr="002B63F4" w:rsidRDefault="00983DC4" w:rsidP="002B63F4">
      <w:pPr>
        <w:pStyle w:val="ListParagraph"/>
        <w:numPr>
          <w:ilvl w:val="0"/>
          <w:numId w:val="19"/>
        </w:numPr>
        <w:rPr>
          <w:lang w:val="en-US"/>
        </w:rPr>
      </w:pPr>
      <w:r w:rsidRPr="002B63F4">
        <w:rPr>
          <w:i/>
          <w:iCs/>
          <w:lang w:val="en-US"/>
        </w:rPr>
        <w:t>“I’ll check in with myself in supervision if I feel pulled to bend a boundary. Is it for the client—or for me?”</w:t>
      </w:r>
      <w:r w:rsidRPr="002B63F4">
        <w:rPr>
          <w:lang w:val="en-US"/>
        </w:rPr>
        <w:br/>
        <w:t>Initial Code: Supervision for boundary reflexivity</w:t>
      </w:r>
      <w:r w:rsidRPr="002B63F4">
        <w:rPr>
          <w:lang w:val="en-US"/>
        </w:rPr>
        <w:br/>
        <w:t>Theme: Relational Ethics and the Use of Self</w:t>
      </w:r>
    </w:p>
    <w:p w:rsidR="00983DC4" w:rsidRPr="002B63F4" w:rsidRDefault="00983DC4" w:rsidP="002B63F4">
      <w:pPr>
        <w:pStyle w:val="ListParagraph"/>
        <w:numPr>
          <w:ilvl w:val="0"/>
          <w:numId w:val="19"/>
        </w:numPr>
        <w:rPr>
          <w:lang w:val="en-US"/>
        </w:rPr>
      </w:pPr>
      <w:r w:rsidRPr="002B63F4">
        <w:rPr>
          <w:lang w:val="en-US"/>
        </w:rPr>
        <w:t>Transcript Excerpt #6</w:t>
      </w:r>
    </w:p>
    <w:p w:rsidR="00983DC4" w:rsidRPr="002B63F4" w:rsidRDefault="00983DC4" w:rsidP="002B63F4">
      <w:pPr>
        <w:pStyle w:val="ListParagraph"/>
        <w:numPr>
          <w:ilvl w:val="0"/>
          <w:numId w:val="19"/>
        </w:numPr>
        <w:rPr>
          <w:lang w:val="en-US"/>
        </w:rPr>
      </w:pPr>
      <w:r w:rsidRPr="002B63F4">
        <w:rPr>
          <w:i/>
          <w:iCs/>
          <w:lang w:val="en-US"/>
        </w:rPr>
        <w:lastRenderedPageBreak/>
        <w:t>“I don’t use the word homework; some clients find it punitive. I might say something like, ‘Would it help to reflect on that before we meet again?’”</w:t>
      </w:r>
      <w:r w:rsidRPr="002B63F4">
        <w:rPr>
          <w:lang w:val="en-US"/>
        </w:rPr>
        <w:br/>
        <w:t>Initial Code: Cultural reframing of clinical language</w:t>
      </w:r>
      <w:r w:rsidRPr="002B63F4">
        <w:rPr>
          <w:lang w:val="en-US"/>
        </w:rPr>
        <w:br/>
        <w:t>Theme: Cultural and Contextual Sensitivity in Boundary Practice</w:t>
      </w:r>
    </w:p>
    <w:p w:rsidR="00983DC4" w:rsidRPr="00983DC4" w:rsidRDefault="009167C5" w:rsidP="002B63F4">
      <w:pPr>
        <w:pStyle w:val="Heading1"/>
        <w:rPr>
          <w:rFonts w:eastAsia="Times New Roman"/>
          <w:lang w:val="en-US"/>
        </w:rPr>
      </w:pPr>
      <w:bookmarkStart w:id="16" w:name="_Toc212144214"/>
      <w:r w:rsidRPr="009167C5">
        <w:rPr>
          <w:rFonts w:eastAsia="Times New Roman"/>
          <w:bCs/>
          <w:lang w:val="en-US"/>
        </w:rPr>
        <w:t>Appendix B</w:t>
      </w:r>
      <w:r w:rsidRPr="009167C5">
        <w:rPr>
          <w:rFonts w:eastAsia="Times New Roman"/>
          <w:lang w:val="en-US"/>
        </w:rPr>
        <w:t>: Code list with supporting excerpts</w:t>
      </w:r>
      <w:bookmarkEnd w:id="16"/>
    </w:p>
    <w:p w:rsidR="00983DC4" w:rsidRPr="00983DC4" w:rsidRDefault="00983DC4" w:rsidP="002B63F4">
      <w:pPr>
        <w:pStyle w:val="Heading2"/>
        <w:ind w:left="0" w:firstLine="0"/>
        <w:rPr>
          <w:lang w:val="en-US"/>
        </w:rPr>
      </w:pPr>
      <w:bookmarkStart w:id="17" w:name="_Toc212144215"/>
      <w:r w:rsidRPr="00983DC4">
        <w:rPr>
          <w:lang w:val="en-US"/>
        </w:rPr>
        <w:t>Theme 1: Boundaries as Therapeutic Safety and Predictability</w:t>
      </w:r>
      <w:bookmarkEnd w:id="17"/>
    </w:p>
    <w:p w:rsidR="00983DC4" w:rsidRPr="002B63F4" w:rsidRDefault="00983DC4" w:rsidP="002B63F4">
      <w:pPr>
        <w:pStyle w:val="ListParagraph"/>
        <w:numPr>
          <w:ilvl w:val="0"/>
          <w:numId w:val="21"/>
        </w:numPr>
        <w:rPr>
          <w:lang w:val="en-US"/>
        </w:rPr>
      </w:pPr>
      <w:r w:rsidRPr="002B63F4">
        <w:rPr>
          <w:lang w:val="en-US"/>
        </w:rPr>
        <w:t>Code: Boundaries as relational frame</w:t>
      </w:r>
      <w:r w:rsidRPr="002B63F4">
        <w:rPr>
          <w:lang w:val="en-US"/>
        </w:rPr>
        <w:br/>
      </w:r>
      <w:r w:rsidRPr="002B63F4">
        <w:rPr>
          <w:i/>
          <w:iCs/>
          <w:lang w:val="en-US"/>
        </w:rPr>
        <w:t>“They’re not rigid fences—they’re the frame that lets trust and depth develop.”</w:t>
      </w:r>
    </w:p>
    <w:p w:rsidR="00983DC4" w:rsidRPr="002B63F4" w:rsidRDefault="00983DC4" w:rsidP="002B63F4">
      <w:pPr>
        <w:pStyle w:val="ListParagraph"/>
        <w:numPr>
          <w:ilvl w:val="0"/>
          <w:numId w:val="21"/>
        </w:numPr>
        <w:rPr>
          <w:lang w:val="en-US"/>
        </w:rPr>
      </w:pPr>
      <w:r w:rsidRPr="002B63F4">
        <w:rPr>
          <w:lang w:val="en-US"/>
        </w:rPr>
        <w:t>Code: Contracting as containment</w:t>
      </w:r>
      <w:r w:rsidRPr="002B63F4">
        <w:rPr>
          <w:lang w:val="en-US"/>
        </w:rPr>
        <w:br/>
      </w:r>
      <w:r w:rsidRPr="002B63F4">
        <w:rPr>
          <w:i/>
          <w:iCs/>
          <w:lang w:val="en-US"/>
        </w:rPr>
        <w:t>“We talk about what happens if they miss a session… it’s all part of the process.”</w:t>
      </w:r>
    </w:p>
    <w:p w:rsidR="00983DC4" w:rsidRPr="002B63F4" w:rsidRDefault="00983DC4" w:rsidP="002B63F4">
      <w:pPr>
        <w:pStyle w:val="ListParagraph"/>
        <w:numPr>
          <w:ilvl w:val="0"/>
          <w:numId w:val="21"/>
        </w:numPr>
        <w:rPr>
          <w:lang w:val="en-US"/>
        </w:rPr>
      </w:pPr>
      <w:r w:rsidRPr="002B63F4">
        <w:rPr>
          <w:lang w:val="en-US"/>
        </w:rPr>
        <w:t>Code: Boundaries increase emotional risk-taking</w:t>
      </w:r>
      <w:r w:rsidRPr="002B63F4">
        <w:rPr>
          <w:lang w:val="en-US"/>
        </w:rPr>
        <w:br/>
      </w:r>
      <w:r w:rsidRPr="002B63F4">
        <w:rPr>
          <w:i/>
          <w:iCs/>
          <w:lang w:val="en-US"/>
        </w:rPr>
        <w:t>“With a secure frame, clients take more risks to be authentic.”</w:t>
      </w:r>
    </w:p>
    <w:p w:rsidR="00983DC4" w:rsidRPr="002B63F4" w:rsidRDefault="00983DC4" w:rsidP="002B63F4">
      <w:pPr>
        <w:pStyle w:val="ListParagraph"/>
        <w:numPr>
          <w:ilvl w:val="0"/>
          <w:numId w:val="21"/>
        </w:numPr>
        <w:rPr>
          <w:lang w:val="en-US"/>
        </w:rPr>
      </w:pPr>
      <w:r w:rsidRPr="002B63F4">
        <w:rPr>
          <w:lang w:val="en-US"/>
        </w:rPr>
        <w:t>Code: Client participation in boundary-setting</w:t>
      </w:r>
      <w:r w:rsidRPr="002B63F4">
        <w:rPr>
          <w:lang w:val="en-US"/>
        </w:rPr>
        <w:br/>
      </w:r>
      <w:r w:rsidRPr="002B63F4">
        <w:rPr>
          <w:i/>
          <w:iCs/>
          <w:lang w:val="en-US"/>
        </w:rPr>
        <w:t>“I ask for their words: ‘What would help this feel safe?’”</w:t>
      </w:r>
    </w:p>
    <w:p w:rsidR="00983DC4" w:rsidRPr="00983DC4" w:rsidRDefault="00983DC4" w:rsidP="002B63F4">
      <w:pPr>
        <w:pStyle w:val="Heading2"/>
        <w:ind w:left="0" w:firstLine="0"/>
        <w:rPr>
          <w:lang w:val="en-US"/>
        </w:rPr>
      </w:pPr>
      <w:bookmarkStart w:id="18" w:name="_Toc212144216"/>
      <w:r w:rsidRPr="00983DC4">
        <w:rPr>
          <w:lang w:val="en-US"/>
        </w:rPr>
        <w:t>Theme 2: Time as a Container for Emotional Regulation</w:t>
      </w:r>
      <w:bookmarkEnd w:id="18"/>
    </w:p>
    <w:p w:rsidR="00983DC4" w:rsidRPr="002B63F4" w:rsidRDefault="00983DC4" w:rsidP="002B63F4">
      <w:pPr>
        <w:pStyle w:val="ListParagraph"/>
        <w:numPr>
          <w:ilvl w:val="0"/>
          <w:numId w:val="22"/>
        </w:numPr>
        <w:rPr>
          <w:lang w:val="en-US"/>
        </w:rPr>
      </w:pPr>
      <w:r w:rsidRPr="002B63F4">
        <w:rPr>
          <w:bCs/>
          <w:lang w:val="en-US"/>
        </w:rPr>
        <w:t xml:space="preserve">Code: </w:t>
      </w:r>
      <w:proofErr w:type="spellStart"/>
      <w:r w:rsidRPr="002B63F4">
        <w:rPr>
          <w:bCs/>
          <w:lang w:val="en-US"/>
        </w:rPr>
        <w:t>Ritualising</w:t>
      </w:r>
      <w:proofErr w:type="spellEnd"/>
      <w:r w:rsidRPr="002B63F4">
        <w:rPr>
          <w:bCs/>
          <w:lang w:val="en-US"/>
        </w:rPr>
        <w:t xml:space="preserve"> session time</w:t>
      </w:r>
      <w:r w:rsidRPr="002B63F4">
        <w:rPr>
          <w:lang w:val="en-US"/>
        </w:rPr>
        <w:br/>
        <w:t>“I mark the beginning… and I flag the ending with five minutes to go.”</w:t>
      </w:r>
    </w:p>
    <w:p w:rsidR="00983DC4" w:rsidRPr="002B63F4" w:rsidRDefault="00983DC4" w:rsidP="002B63F4">
      <w:pPr>
        <w:pStyle w:val="ListParagraph"/>
        <w:numPr>
          <w:ilvl w:val="0"/>
          <w:numId w:val="22"/>
        </w:numPr>
        <w:rPr>
          <w:lang w:val="en-US"/>
        </w:rPr>
      </w:pPr>
      <w:r w:rsidRPr="002B63F4">
        <w:rPr>
          <w:bCs/>
          <w:lang w:val="en-US"/>
        </w:rPr>
        <w:t>Code: Holding boundaries in late-session disclosures</w:t>
      </w:r>
      <w:r w:rsidRPr="002B63F4">
        <w:rPr>
          <w:lang w:val="en-US"/>
        </w:rPr>
        <w:br/>
        <w:t>“If a disclosure lands at 59 minutes, I’ll attune and say, ‘Let’s name it and pick it up next time.’”</w:t>
      </w:r>
    </w:p>
    <w:p w:rsidR="00983DC4" w:rsidRPr="002B63F4" w:rsidRDefault="00983DC4" w:rsidP="002B63F4">
      <w:pPr>
        <w:pStyle w:val="ListParagraph"/>
        <w:numPr>
          <w:ilvl w:val="0"/>
          <w:numId w:val="22"/>
        </w:numPr>
        <w:rPr>
          <w:lang w:val="en-US"/>
        </w:rPr>
      </w:pPr>
      <w:r w:rsidRPr="002B63F4">
        <w:rPr>
          <w:bCs/>
          <w:lang w:val="en-US"/>
        </w:rPr>
        <w:t>Code: Time as therapeutic material</w:t>
      </w:r>
      <w:r w:rsidRPr="002B63F4">
        <w:rPr>
          <w:lang w:val="en-US"/>
        </w:rPr>
        <w:br/>
        <w:t>“The boundary stopped being a rejection and became part of the therapy.”</w:t>
      </w:r>
    </w:p>
    <w:p w:rsidR="00983DC4" w:rsidRPr="002B63F4" w:rsidRDefault="00983DC4" w:rsidP="002B63F4">
      <w:pPr>
        <w:pStyle w:val="ListParagraph"/>
        <w:numPr>
          <w:ilvl w:val="0"/>
          <w:numId w:val="22"/>
        </w:numPr>
        <w:rPr>
          <w:lang w:val="en-US"/>
        </w:rPr>
      </w:pPr>
      <w:r w:rsidRPr="002B63F4">
        <w:rPr>
          <w:bCs/>
          <w:lang w:val="en-US"/>
        </w:rPr>
        <w:t>Code: Time consistency as a signal of care</w:t>
      </w:r>
      <w:r w:rsidRPr="002B63F4">
        <w:rPr>
          <w:lang w:val="en-US"/>
        </w:rPr>
        <w:br/>
        <w:t>“It signals care, that I’m consistent, and I won’t just disappear.”</w:t>
      </w:r>
    </w:p>
    <w:p w:rsidR="00983DC4" w:rsidRPr="00983DC4" w:rsidRDefault="00983DC4" w:rsidP="002B63F4">
      <w:pPr>
        <w:pStyle w:val="Heading2"/>
        <w:ind w:left="0" w:firstLine="0"/>
        <w:rPr>
          <w:lang w:val="en-US"/>
        </w:rPr>
      </w:pPr>
      <w:bookmarkStart w:id="19" w:name="_Toc212144217"/>
      <w:r w:rsidRPr="00983DC4">
        <w:rPr>
          <w:lang w:val="en-US"/>
        </w:rPr>
        <w:t>Theme 3: Relational Ethics and the Use of Self</w:t>
      </w:r>
      <w:bookmarkEnd w:id="19"/>
    </w:p>
    <w:p w:rsidR="00983DC4" w:rsidRPr="002B63F4" w:rsidRDefault="00983DC4" w:rsidP="002B63F4">
      <w:pPr>
        <w:pStyle w:val="ListParagraph"/>
        <w:numPr>
          <w:ilvl w:val="0"/>
          <w:numId w:val="23"/>
        </w:numPr>
        <w:rPr>
          <w:lang w:val="en-US"/>
        </w:rPr>
      </w:pPr>
      <w:r w:rsidRPr="002B63F4">
        <w:rPr>
          <w:bCs/>
          <w:lang w:val="en-US"/>
        </w:rPr>
        <w:t>Code: Reflexivity around intention</w:t>
      </w:r>
      <w:r w:rsidRPr="002B63F4">
        <w:rPr>
          <w:lang w:val="en-US"/>
        </w:rPr>
        <w:br/>
        <w:t>“First: is the disclosure in service of the client, or to ease my discomfort?”</w:t>
      </w:r>
    </w:p>
    <w:p w:rsidR="00983DC4" w:rsidRPr="00D230DE" w:rsidRDefault="00983DC4" w:rsidP="00D230DE">
      <w:pPr>
        <w:pStyle w:val="ListParagraph"/>
        <w:numPr>
          <w:ilvl w:val="0"/>
          <w:numId w:val="23"/>
        </w:numPr>
        <w:rPr>
          <w:lang w:val="en-US"/>
        </w:rPr>
      </w:pPr>
      <w:r w:rsidRPr="00D230DE">
        <w:rPr>
          <w:bCs/>
          <w:lang w:val="en-US"/>
        </w:rPr>
        <w:t>Code: Use of supervision to process tension</w:t>
      </w:r>
      <w:r w:rsidRPr="00D230DE">
        <w:rPr>
          <w:lang w:val="en-US"/>
        </w:rPr>
        <w:br/>
        <w:t>“If I feel unusually compelled to bend a boundary… I’ll take it to supervision.”</w:t>
      </w:r>
    </w:p>
    <w:p w:rsidR="00983DC4" w:rsidRPr="00D230DE" w:rsidRDefault="00983DC4" w:rsidP="00D230DE">
      <w:pPr>
        <w:pStyle w:val="ListParagraph"/>
        <w:numPr>
          <w:ilvl w:val="0"/>
          <w:numId w:val="23"/>
        </w:numPr>
        <w:rPr>
          <w:lang w:val="en-US"/>
        </w:rPr>
      </w:pPr>
      <w:r w:rsidRPr="00D230DE">
        <w:rPr>
          <w:bCs/>
          <w:lang w:val="en-US"/>
        </w:rPr>
        <w:t>Code: Careful calibration of congruence</w:t>
      </w:r>
      <w:r w:rsidRPr="00D230DE">
        <w:rPr>
          <w:lang w:val="en-US"/>
        </w:rPr>
        <w:br/>
        <w:t>“Congruence is like a carefully aimed lamp, not a floodlight.”</w:t>
      </w:r>
    </w:p>
    <w:p w:rsidR="00983DC4" w:rsidRPr="00D230DE" w:rsidRDefault="00983DC4" w:rsidP="00D230DE">
      <w:pPr>
        <w:pStyle w:val="ListParagraph"/>
        <w:numPr>
          <w:ilvl w:val="0"/>
          <w:numId w:val="23"/>
        </w:numPr>
        <w:rPr>
          <w:lang w:val="en-US"/>
        </w:rPr>
      </w:pPr>
      <w:r w:rsidRPr="00D230DE">
        <w:rPr>
          <w:bCs/>
          <w:lang w:val="en-US"/>
        </w:rPr>
        <w:lastRenderedPageBreak/>
        <w:t>Code: Responsive physical boundaries</w:t>
      </w:r>
      <w:r w:rsidRPr="00D230DE">
        <w:rPr>
          <w:lang w:val="en-US"/>
        </w:rPr>
        <w:br/>
        <w:t>“If someone asks for a handshake… I check in: ‘Would that feel supportive for you?’”</w:t>
      </w:r>
    </w:p>
    <w:p w:rsidR="00983DC4" w:rsidRPr="00D230DE" w:rsidRDefault="00983DC4" w:rsidP="00D230DE">
      <w:pPr>
        <w:pStyle w:val="Heading2"/>
        <w:ind w:left="0" w:firstLine="0"/>
        <w:rPr>
          <w:lang w:val="en-US"/>
        </w:rPr>
      </w:pPr>
      <w:bookmarkStart w:id="20" w:name="_Toc212144218"/>
      <w:r w:rsidRPr="00D230DE">
        <w:rPr>
          <w:lang w:val="en-US"/>
        </w:rPr>
        <w:t>Theme 4: Cultural and Contextual Sensitivity in Boundary Practice</w:t>
      </w:r>
      <w:bookmarkEnd w:id="20"/>
    </w:p>
    <w:p w:rsidR="00983DC4" w:rsidRPr="00D230DE" w:rsidRDefault="00983DC4" w:rsidP="00D230DE">
      <w:pPr>
        <w:pStyle w:val="ListParagraph"/>
        <w:numPr>
          <w:ilvl w:val="0"/>
          <w:numId w:val="24"/>
        </w:numPr>
        <w:rPr>
          <w:rFonts w:eastAsia="Times New Roman" w:cs="Times New Roman"/>
          <w:kern w:val="0"/>
          <w:szCs w:val="24"/>
          <w:lang w:val="en-US"/>
          <w14:ligatures w14:val="none"/>
        </w:rPr>
      </w:pPr>
      <w:r w:rsidRPr="00D230DE">
        <w:rPr>
          <w:rFonts w:eastAsia="Times New Roman" w:cs="Times New Roman"/>
          <w:bCs/>
          <w:kern w:val="0"/>
          <w:szCs w:val="24"/>
          <w:lang w:val="en-US"/>
          <w14:ligatures w14:val="none"/>
        </w:rPr>
        <w:t>Code: Adjusting boundaries across cultures</w:t>
      </w:r>
      <w:r w:rsidRPr="00D230DE">
        <w:rPr>
          <w:rFonts w:eastAsia="Times New Roman" w:cs="Times New Roman"/>
          <w:kern w:val="0"/>
          <w:szCs w:val="24"/>
          <w:lang w:val="en-US"/>
          <w14:ligatures w14:val="none"/>
        </w:rPr>
        <w:br/>
      </w:r>
      <w:r w:rsidRPr="00D230DE">
        <w:rPr>
          <w:rFonts w:eastAsia="Times New Roman" w:cs="Times New Roman"/>
          <w:i/>
          <w:iCs/>
          <w:kern w:val="0"/>
          <w:szCs w:val="24"/>
          <w:lang w:val="en-US"/>
          <w14:ligatures w14:val="none"/>
        </w:rPr>
        <w:t>“Some clients come from collectivist backgrounds… I ask: ‘What helps you feel respected here?’”</w:t>
      </w:r>
    </w:p>
    <w:p w:rsidR="00983DC4" w:rsidRPr="00D230DE" w:rsidRDefault="00983DC4" w:rsidP="00D230DE">
      <w:pPr>
        <w:pStyle w:val="ListParagraph"/>
        <w:numPr>
          <w:ilvl w:val="0"/>
          <w:numId w:val="24"/>
        </w:numPr>
        <w:rPr>
          <w:rFonts w:eastAsia="Times New Roman" w:cs="Times New Roman"/>
          <w:kern w:val="0"/>
          <w:szCs w:val="24"/>
          <w:lang w:val="en-US"/>
          <w14:ligatures w14:val="none"/>
        </w:rPr>
      </w:pPr>
      <w:r w:rsidRPr="00D230DE">
        <w:rPr>
          <w:rFonts w:eastAsia="Times New Roman" w:cs="Times New Roman"/>
          <w:bCs/>
          <w:kern w:val="0"/>
          <w:szCs w:val="24"/>
          <w:lang w:val="en-US"/>
          <w14:ligatures w14:val="none"/>
        </w:rPr>
        <w:t>Code: Reframing clinical language</w:t>
      </w:r>
      <w:r w:rsidRPr="00D230DE">
        <w:rPr>
          <w:rFonts w:eastAsia="Times New Roman" w:cs="Times New Roman"/>
          <w:kern w:val="0"/>
          <w:szCs w:val="24"/>
          <w:lang w:val="en-US"/>
          <w14:ligatures w14:val="none"/>
        </w:rPr>
        <w:br/>
      </w:r>
      <w:r w:rsidRPr="00D230DE">
        <w:rPr>
          <w:rFonts w:eastAsia="Times New Roman" w:cs="Times New Roman"/>
          <w:i/>
          <w:iCs/>
          <w:kern w:val="0"/>
          <w:szCs w:val="24"/>
          <w:lang w:val="en-US"/>
          <w14:ligatures w14:val="none"/>
        </w:rPr>
        <w:t>“I avoid terms like ‘homework’—I might say, ‘an invitation’ instead.”</w:t>
      </w:r>
    </w:p>
    <w:p w:rsidR="00983DC4" w:rsidRPr="00D230DE" w:rsidRDefault="00983DC4" w:rsidP="00D230DE">
      <w:pPr>
        <w:pStyle w:val="ListParagraph"/>
        <w:numPr>
          <w:ilvl w:val="0"/>
          <w:numId w:val="24"/>
        </w:numPr>
        <w:rPr>
          <w:rFonts w:eastAsia="Times New Roman" w:cs="Times New Roman"/>
          <w:kern w:val="0"/>
          <w:szCs w:val="24"/>
          <w:lang w:val="en-US"/>
          <w14:ligatures w14:val="none"/>
        </w:rPr>
      </w:pPr>
      <w:r w:rsidRPr="00D230DE">
        <w:rPr>
          <w:rFonts w:eastAsia="Times New Roman" w:cs="Times New Roman"/>
          <w:bCs/>
          <w:kern w:val="0"/>
          <w:szCs w:val="24"/>
          <w:lang w:val="en-US"/>
          <w14:ligatures w14:val="none"/>
        </w:rPr>
        <w:t>Code: Anticipating dual relationships</w:t>
      </w:r>
      <w:r w:rsidRPr="00D230DE">
        <w:rPr>
          <w:rFonts w:eastAsia="Times New Roman" w:cs="Times New Roman"/>
          <w:kern w:val="0"/>
          <w:szCs w:val="24"/>
          <w:lang w:val="en-US"/>
          <w14:ligatures w14:val="none"/>
        </w:rPr>
        <w:br/>
      </w:r>
      <w:r w:rsidRPr="00D230DE">
        <w:rPr>
          <w:rFonts w:eastAsia="Times New Roman" w:cs="Times New Roman"/>
          <w:i/>
          <w:iCs/>
          <w:kern w:val="0"/>
          <w:szCs w:val="24"/>
          <w:lang w:val="en-US"/>
          <w14:ligatures w14:val="none"/>
        </w:rPr>
        <w:t>“I’ve bumped into clients at the supermarket… If a dual relationship risk emerges, we talk about it.”</w:t>
      </w:r>
    </w:p>
    <w:p w:rsidR="00983DC4" w:rsidRPr="00D230DE" w:rsidRDefault="00983DC4" w:rsidP="00D230DE">
      <w:pPr>
        <w:pStyle w:val="ListParagraph"/>
        <w:numPr>
          <w:ilvl w:val="0"/>
          <w:numId w:val="24"/>
        </w:numPr>
        <w:rPr>
          <w:rFonts w:eastAsia="Times New Roman" w:cs="Times New Roman"/>
          <w:kern w:val="0"/>
          <w:szCs w:val="24"/>
          <w:lang w:val="en-US"/>
          <w14:ligatures w14:val="none"/>
        </w:rPr>
      </w:pPr>
      <w:r w:rsidRPr="00D230DE">
        <w:rPr>
          <w:rFonts w:eastAsia="Times New Roman" w:cs="Times New Roman"/>
          <w:bCs/>
          <w:kern w:val="0"/>
          <w:szCs w:val="24"/>
          <w:lang w:val="en-US"/>
          <w14:ligatures w14:val="none"/>
        </w:rPr>
        <w:t>Code: Setting digital therapy structure</w:t>
      </w:r>
      <w:r w:rsidRPr="00D230DE">
        <w:rPr>
          <w:rFonts w:eastAsia="Times New Roman" w:cs="Times New Roman"/>
          <w:kern w:val="0"/>
          <w:szCs w:val="24"/>
          <w:lang w:val="en-US"/>
          <w14:ligatures w14:val="none"/>
        </w:rPr>
        <w:br/>
      </w:r>
      <w:r w:rsidRPr="00D230DE">
        <w:rPr>
          <w:rFonts w:eastAsia="Times New Roman" w:cs="Times New Roman"/>
          <w:i/>
          <w:iCs/>
          <w:kern w:val="0"/>
          <w:szCs w:val="24"/>
          <w:lang w:val="en-US"/>
          <w14:ligatures w14:val="none"/>
        </w:rPr>
        <w:t>“We co-create a virtual frame: headphones, notifications off, privacy at their end.”</w:t>
      </w:r>
    </w:p>
    <w:p w:rsidR="009167C5" w:rsidRDefault="009167C5" w:rsidP="00D230DE">
      <w:pPr>
        <w:pStyle w:val="Heading1"/>
        <w:rPr>
          <w:rFonts w:eastAsia="Times New Roman"/>
          <w:lang w:val="en-US"/>
        </w:rPr>
      </w:pPr>
      <w:bookmarkStart w:id="21" w:name="_Toc212144219"/>
      <w:r w:rsidRPr="009167C5">
        <w:rPr>
          <w:rFonts w:eastAsia="Times New Roman"/>
          <w:bCs/>
          <w:lang w:val="en-US"/>
        </w:rPr>
        <w:t>Appendix C</w:t>
      </w:r>
      <w:r w:rsidRPr="009167C5">
        <w:rPr>
          <w:rFonts w:eastAsia="Times New Roman"/>
          <w:lang w:val="en-US"/>
        </w:rPr>
        <w:t>: Thematic map or table showing theme development</w:t>
      </w:r>
      <w:bookmarkEnd w:id="21"/>
    </w:p>
    <w:tbl>
      <w:tblPr>
        <w:tblStyle w:val="TableGrid"/>
        <w:tblW w:w="0" w:type="auto"/>
        <w:tblLook w:val="04A0" w:firstRow="1" w:lastRow="0" w:firstColumn="1" w:lastColumn="0" w:noHBand="0" w:noVBand="1"/>
      </w:tblPr>
      <w:tblGrid>
        <w:gridCol w:w="2187"/>
        <w:gridCol w:w="3079"/>
        <w:gridCol w:w="4084"/>
      </w:tblGrid>
      <w:tr w:rsidR="00983DC4" w:rsidRPr="00983DC4" w:rsidTr="00983DC4">
        <w:tc>
          <w:tcPr>
            <w:tcW w:w="0" w:type="auto"/>
            <w:hideMark/>
          </w:tcPr>
          <w:p w:rsidR="00983DC4" w:rsidRPr="00D230DE" w:rsidRDefault="00983DC4" w:rsidP="00D230DE">
            <w:pPr>
              <w:rPr>
                <w:b/>
                <w:lang w:val="en-US"/>
              </w:rPr>
            </w:pPr>
            <w:r w:rsidRPr="00D230DE">
              <w:rPr>
                <w:b/>
                <w:lang w:val="en-US"/>
              </w:rPr>
              <w:t>Theme</w:t>
            </w:r>
          </w:p>
        </w:tc>
        <w:tc>
          <w:tcPr>
            <w:tcW w:w="0" w:type="auto"/>
            <w:hideMark/>
          </w:tcPr>
          <w:p w:rsidR="00983DC4" w:rsidRPr="00D230DE" w:rsidRDefault="00983DC4" w:rsidP="00D230DE">
            <w:pPr>
              <w:rPr>
                <w:b/>
                <w:lang w:val="en-US"/>
              </w:rPr>
            </w:pPr>
            <w:r w:rsidRPr="00D230DE">
              <w:rPr>
                <w:b/>
                <w:lang w:val="en-US"/>
              </w:rPr>
              <w:t>Interpretive Category</w:t>
            </w:r>
          </w:p>
        </w:tc>
        <w:tc>
          <w:tcPr>
            <w:tcW w:w="0" w:type="auto"/>
            <w:hideMark/>
          </w:tcPr>
          <w:p w:rsidR="00983DC4" w:rsidRPr="00D230DE" w:rsidRDefault="00983DC4" w:rsidP="00D230DE">
            <w:pPr>
              <w:rPr>
                <w:b/>
                <w:lang w:val="en-US"/>
              </w:rPr>
            </w:pPr>
            <w:r w:rsidRPr="00D230DE">
              <w:rPr>
                <w:b/>
                <w:lang w:val="en-US"/>
              </w:rPr>
              <w:t>Key Codes</w:t>
            </w:r>
          </w:p>
        </w:tc>
      </w:tr>
      <w:tr w:rsidR="00983DC4" w:rsidRPr="00983DC4" w:rsidTr="00983DC4">
        <w:tc>
          <w:tcPr>
            <w:tcW w:w="0" w:type="auto"/>
            <w:hideMark/>
          </w:tcPr>
          <w:p w:rsidR="00983DC4" w:rsidRPr="00983DC4" w:rsidRDefault="00983DC4" w:rsidP="00D230DE">
            <w:pPr>
              <w:rPr>
                <w:lang w:val="en-US"/>
              </w:rPr>
            </w:pPr>
            <w:r w:rsidRPr="00983DC4">
              <w:rPr>
                <w:lang w:val="en-US"/>
              </w:rPr>
              <w:t>1. Boundaries as Therapeutic Safety and Predictability</w:t>
            </w:r>
          </w:p>
        </w:tc>
        <w:tc>
          <w:tcPr>
            <w:tcW w:w="0" w:type="auto"/>
            <w:hideMark/>
          </w:tcPr>
          <w:p w:rsidR="00983DC4" w:rsidRPr="00983DC4" w:rsidRDefault="00983DC4" w:rsidP="00D230DE">
            <w:pPr>
              <w:rPr>
                <w:lang w:val="en-US"/>
              </w:rPr>
            </w:pPr>
            <w:r w:rsidRPr="00983DC4">
              <w:rPr>
                <w:lang w:val="en-US"/>
              </w:rPr>
              <w:t>Boundaries are co-created structures that provide containment, reduce anxiety, and support client growth.</w:t>
            </w:r>
          </w:p>
        </w:tc>
        <w:tc>
          <w:tcPr>
            <w:tcW w:w="0" w:type="auto"/>
            <w:hideMark/>
          </w:tcPr>
          <w:p w:rsidR="00983DC4" w:rsidRPr="00983DC4" w:rsidRDefault="00983DC4" w:rsidP="00D230DE">
            <w:pPr>
              <w:rPr>
                <w:lang w:val="en-US"/>
              </w:rPr>
            </w:pPr>
            <w:r w:rsidRPr="00983DC4">
              <w:rPr>
                <w:lang w:val="en-US"/>
              </w:rPr>
              <w:t>- Boundaries as relational frame- Contracting as containment- Predictability lowers anxiety- Boundaries increase emotional risk-taking- Client participation in setting boundaries</w:t>
            </w:r>
          </w:p>
        </w:tc>
      </w:tr>
      <w:tr w:rsidR="00983DC4" w:rsidRPr="00983DC4" w:rsidTr="00983DC4">
        <w:tc>
          <w:tcPr>
            <w:tcW w:w="0" w:type="auto"/>
            <w:hideMark/>
          </w:tcPr>
          <w:p w:rsidR="00983DC4" w:rsidRPr="00983DC4" w:rsidRDefault="00983DC4" w:rsidP="00D230DE">
            <w:pPr>
              <w:rPr>
                <w:lang w:val="en-US"/>
              </w:rPr>
            </w:pPr>
            <w:r w:rsidRPr="00983DC4">
              <w:rPr>
                <w:lang w:val="en-US"/>
              </w:rPr>
              <w:t>2. Time as a Container for Emotional Regulation</w:t>
            </w:r>
          </w:p>
        </w:tc>
        <w:tc>
          <w:tcPr>
            <w:tcW w:w="0" w:type="auto"/>
            <w:hideMark/>
          </w:tcPr>
          <w:p w:rsidR="00983DC4" w:rsidRPr="00983DC4" w:rsidRDefault="00983DC4" w:rsidP="00D230DE">
            <w:pPr>
              <w:rPr>
                <w:lang w:val="en-US"/>
              </w:rPr>
            </w:pPr>
            <w:r w:rsidRPr="00983DC4">
              <w:rPr>
                <w:lang w:val="en-US"/>
              </w:rPr>
              <w:t>Time boundaries are not just logistical—they help regulate emotions, model consistency, and become therapeutic material.</w:t>
            </w:r>
          </w:p>
        </w:tc>
        <w:tc>
          <w:tcPr>
            <w:tcW w:w="0" w:type="auto"/>
            <w:hideMark/>
          </w:tcPr>
          <w:p w:rsidR="00983DC4" w:rsidRPr="00983DC4" w:rsidRDefault="00983DC4" w:rsidP="00D230DE">
            <w:pPr>
              <w:rPr>
                <w:lang w:val="en-US"/>
              </w:rPr>
            </w:pPr>
            <w:r w:rsidRPr="00983DC4">
              <w:rPr>
                <w:lang w:val="en-US"/>
              </w:rPr>
              <w:t xml:space="preserve">- </w:t>
            </w:r>
            <w:proofErr w:type="spellStart"/>
            <w:r w:rsidRPr="00983DC4">
              <w:rPr>
                <w:lang w:val="en-US"/>
              </w:rPr>
              <w:t>Ritualising</w:t>
            </w:r>
            <w:proofErr w:type="spellEnd"/>
            <w:r w:rsidRPr="00983DC4">
              <w:rPr>
                <w:lang w:val="en-US"/>
              </w:rPr>
              <w:t xml:space="preserve"> session start/end- Holding boundaries around late disclosures- Time as emotional structure- Time consistency as care signal</w:t>
            </w:r>
          </w:p>
        </w:tc>
      </w:tr>
      <w:tr w:rsidR="00983DC4" w:rsidRPr="00983DC4" w:rsidTr="00983DC4">
        <w:tc>
          <w:tcPr>
            <w:tcW w:w="0" w:type="auto"/>
            <w:hideMark/>
          </w:tcPr>
          <w:p w:rsidR="00983DC4" w:rsidRPr="00983DC4" w:rsidRDefault="00983DC4" w:rsidP="00D230DE">
            <w:pPr>
              <w:rPr>
                <w:lang w:val="en-US"/>
              </w:rPr>
            </w:pPr>
            <w:r w:rsidRPr="00983DC4">
              <w:rPr>
                <w:lang w:val="en-US"/>
              </w:rPr>
              <w:t>3. Relational Ethics and the Use of Self</w:t>
            </w:r>
          </w:p>
        </w:tc>
        <w:tc>
          <w:tcPr>
            <w:tcW w:w="0" w:type="auto"/>
            <w:hideMark/>
          </w:tcPr>
          <w:p w:rsidR="00983DC4" w:rsidRPr="00983DC4" w:rsidRDefault="00983DC4" w:rsidP="00D230DE">
            <w:pPr>
              <w:rPr>
                <w:lang w:val="en-US"/>
              </w:rPr>
            </w:pPr>
            <w:r w:rsidRPr="00983DC4">
              <w:rPr>
                <w:lang w:val="en-US"/>
              </w:rPr>
              <w:t>Ethical boundary work is guided by intention, supervision, and congruent use of self—not rigid rules.</w:t>
            </w:r>
          </w:p>
        </w:tc>
        <w:tc>
          <w:tcPr>
            <w:tcW w:w="0" w:type="auto"/>
            <w:hideMark/>
          </w:tcPr>
          <w:p w:rsidR="00983DC4" w:rsidRPr="00983DC4" w:rsidRDefault="00983DC4" w:rsidP="00D230DE">
            <w:pPr>
              <w:rPr>
                <w:lang w:val="en-US"/>
              </w:rPr>
            </w:pPr>
            <w:r w:rsidRPr="00983DC4">
              <w:rPr>
                <w:lang w:val="en-US"/>
              </w:rPr>
              <w:t>- Reflexivity around disclosure intention- Use of supervision to explore tension- Judicious self-disclosure- Responsive touch and communication</w:t>
            </w:r>
          </w:p>
        </w:tc>
      </w:tr>
      <w:tr w:rsidR="00983DC4" w:rsidRPr="00983DC4" w:rsidTr="00983DC4">
        <w:tc>
          <w:tcPr>
            <w:tcW w:w="0" w:type="auto"/>
            <w:hideMark/>
          </w:tcPr>
          <w:p w:rsidR="00983DC4" w:rsidRPr="00983DC4" w:rsidRDefault="00983DC4" w:rsidP="00D230DE">
            <w:pPr>
              <w:rPr>
                <w:lang w:val="en-US"/>
              </w:rPr>
            </w:pPr>
            <w:r w:rsidRPr="00983DC4">
              <w:rPr>
                <w:lang w:val="en-US"/>
              </w:rPr>
              <w:lastRenderedPageBreak/>
              <w:t>4. Cultural and Contextual Sensitivity in Boundary Practice</w:t>
            </w:r>
          </w:p>
        </w:tc>
        <w:tc>
          <w:tcPr>
            <w:tcW w:w="0" w:type="auto"/>
            <w:hideMark/>
          </w:tcPr>
          <w:p w:rsidR="00983DC4" w:rsidRPr="00983DC4" w:rsidRDefault="00983DC4" w:rsidP="00D230DE">
            <w:pPr>
              <w:rPr>
                <w:lang w:val="en-US"/>
              </w:rPr>
            </w:pPr>
            <w:r w:rsidRPr="00983DC4">
              <w:rPr>
                <w:lang w:val="en-US"/>
              </w:rPr>
              <w:t>Effective boundary-setting must adapt to diverse cultural, communal, and digital contexts while maintaining ethical clarity.</w:t>
            </w:r>
          </w:p>
        </w:tc>
        <w:tc>
          <w:tcPr>
            <w:tcW w:w="0" w:type="auto"/>
            <w:hideMark/>
          </w:tcPr>
          <w:p w:rsidR="00983DC4" w:rsidRPr="00983DC4" w:rsidRDefault="00983DC4" w:rsidP="00D230DE">
            <w:pPr>
              <w:rPr>
                <w:lang w:val="en-US"/>
              </w:rPr>
            </w:pPr>
            <w:r w:rsidRPr="00983DC4">
              <w:rPr>
                <w:lang w:val="en-US"/>
              </w:rPr>
              <w:t>- Adapting boundaries for cultural expectations- Avoiding clinical jargon- Managing dual relationships in small communities- Structuring digital therapy sessions</w:t>
            </w:r>
          </w:p>
        </w:tc>
      </w:tr>
    </w:tbl>
    <w:p w:rsidR="009167C5" w:rsidRDefault="009167C5" w:rsidP="00D230DE">
      <w:pPr>
        <w:pStyle w:val="Heading1"/>
        <w:rPr>
          <w:rFonts w:eastAsia="Times New Roman"/>
          <w:lang w:val="en-US"/>
        </w:rPr>
      </w:pPr>
      <w:bookmarkStart w:id="22" w:name="_Toc212144220"/>
      <w:r w:rsidRPr="009167C5">
        <w:rPr>
          <w:rFonts w:eastAsia="Times New Roman"/>
          <w:bCs/>
          <w:lang w:val="en-US"/>
        </w:rPr>
        <w:t>Appendix D</w:t>
      </w:r>
      <w:r w:rsidRPr="009167C5">
        <w:rPr>
          <w:rFonts w:eastAsia="Times New Roman"/>
          <w:lang w:val="en-US"/>
        </w:rPr>
        <w:t>: Interview schedule</w:t>
      </w:r>
      <w:bookmarkEnd w:id="22"/>
      <w:r w:rsidRPr="009167C5">
        <w:rPr>
          <w:rFonts w:eastAsia="Times New Roman"/>
          <w:lang w:val="en-US"/>
        </w:rPr>
        <w:t xml:space="preserve"> </w:t>
      </w:r>
    </w:p>
    <w:p w:rsidR="00983DC4" w:rsidRDefault="00983DC4" w:rsidP="00D230DE">
      <w:pPr>
        <w:pStyle w:val="NormalWeb"/>
        <w:spacing w:line="360" w:lineRule="auto"/>
      </w:pPr>
      <w:r>
        <w:rPr>
          <w:rStyle w:val="Emphasis"/>
          <w:rFonts w:eastAsiaTheme="majorEastAsia"/>
        </w:rPr>
        <w:t>The following questions were used as part of a semi-structured interview exploring the counsellor's understanding and experience of professional boundaries in therapeutic practice.</w:t>
      </w:r>
    </w:p>
    <w:p w:rsidR="00983DC4" w:rsidRDefault="00983DC4" w:rsidP="00D230DE">
      <w:pPr>
        <w:pStyle w:val="NormalWeb"/>
        <w:numPr>
          <w:ilvl w:val="0"/>
          <w:numId w:val="18"/>
        </w:numPr>
        <w:spacing w:line="360" w:lineRule="auto"/>
      </w:pPr>
      <w:r>
        <w:rPr>
          <w:rStyle w:val="Strong"/>
        </w:rPr>
        <w:t>How would you describe your understanding of professional boundaries in counselling?</w:t>
      </w:r>
    </w:p>
    <w:p w:rsidR="00983DC4" w:rsidRDefault="00983DC4" w:rsidP="00D230DE">
      <w:pPr>
        <w:pStyle w:val="NormalWeb"/>
        <w:numPr>
          <w:ilvl w:val="1"/>
          <w:numId w:val="18"/>
        </w:numPr>
        <w:spacing w:line="360" w:lineRule="auto"/>
      </w:pPr>
      <w:r>
        <w:t>Prompts: What does “boundaries” mean to you? How do you define it in your work?</w:t>
      </w:r>
    </w:p>
    <w:p w:rsidR="00983DC4" w:rsidRDefault="00983DC4" w:rsidP="00D230DE">
      <w:pPr>
        <w:pStyle w:val="NormalWeb"/>
        <w:numPr>
          <w:ilvl w:val="0"/>
          <w:numId w:val="18"/>
        </w:numPr>
        <w:spacing w:line="360" w:lineRule="auto"/>
      </w:pPr>
      <w:r>
        <w:rPr>
          <w:rStyle w:val="Strong"/>
        </w:rPr>
        <w:t>Can you share an example of how you establish boundaries with clients?</w:t>
      </w:r>
    </w:p>
    <w:p w:rsidR="00983DC4" w:rsidRDefault="00983DC4" w:rsidP="00D230DE">
      <w:pPr>
        <w:pStyle w:val="NormalWeb"/>
        <w:numPr>
          <w:ilvl w:val="1"/>
          <w:numId w:val="18"/>
        </w:numPr>
        <w:spacing w:line="360" w:lineRule="auto"/>
      </w:pPr>
      <w:r>
        <w:t>Prompts: What kinds of boundaries (e.g., time, space, emotional) do you find most important?</w:t>
      </w:r>
    </w:p>
    <w:p w:rsidR="00983DC4" w:rsidRDefault="00983DC4" w:rsidP="00D230DE">
      <w:pPr>
        <w:pStyle w:val="NormalWeb"/>
        <w:numPr>
          <w:ilvl w:val="0"/>
          <w:numId w:val="18"/>
        </w:numPr>
        <w:spacing w:line="360" w:lineRule="auto"/>
      </w:pPr>
      <w:r>
        <w:rPr>
          <w:rStyle w:val="Strong"/>
        </w:rPr>
        <w:t>Have there been times when a boundary felt challenged or unclear in your practice?</w:t>
      </w:r>
    </w:p>
    <w:p w:rsidR="00983DC4" w:rsidRDefault="00983DC4" w:rsidP="00D230DE">
      <w:pPr>
        <w:pStyle w:val="NormalWeb"/>
        <w:numPr>
          <w:ilvl w:val="1"/>
          <w:numId w:val="18"/>
        </w:numPr>
        <w:spacing w:line="360" w:lineRule="auto"/>
      </w:pPr>
      <w:r>
        <w:t>Prompts: How did you navigate that situation? What informed your decision-making?</w:t>
      </w:r>
    </w:p>
    <w:p w:rsidR="00983DC4" w:rsidRDefault="00983DC4" w:rsidP="00D230DE">
      <w:pPr>
        <w:pStyle w:val="NormalWeb"/>
        <w:numPr>
          <w:ilvl w:val="0"/>
          <w:numId w:val="18"/>
        </w:numPr>
        <w:spacing w:line="360" w:lineRule="auto"/>
      </w:pPr>
      <w:r>
        <w:rPr>
          <w:rStyle w:val="Strong"/>
        </w:rPr>
        <w:t>What role do supervision and self-reflection play in your boundary work?</w:t>
      </w:r>
    </w:p>
    <w:p w:rsidR="00983DC4" w:rsidRDefault="00983DC4" w:rsidP="00D230DE">
      <w:pPr>
        <w:pStyle w:val="NormalWeb"/>
        <w:numPr>
          <w:ilvl w:val="0"/>
          <w:numId w:val="18"/>
        </w:numPr>
        <w:spacing w:line="360" w:lineRule="auto"/>
      </w:pPr>
      <w:r>
        <w:rPr>
          <w:rStyle w:val="Strong"/>
        </w:rPr>
        <w:t>How do your personal values or therapeutic orientation shape your boundary-setting?</w:t>
      </w:r>
    </w:p>
    <w:p w:rsidR="00983DC4" w:rsidRDefault="00983DC4" w:rsidP="00D230DE">
      <w:pPr>
        <w:pStyle w:val="NormalWeb"/>
        <w:numPr>
          <w:ilvl w:val="0"/>
          <w:numId w:val="18"/>
        </w:numPr>
        <w:spacing w:line="360" w:lineRule="auto"/>
      </w:pPr>
      <w:r>
        <w:rPr>
          <w:rStyle w:val="Strong"/>
        </w:rPr>
        <w:t>Have you had to adapt your boundaries based on client needs, cultural background, or context?</w:t>
      </w:r>
    </w:p>
    <w:p w:rsidR="00983DC4" w:rsidRDefault="00983DC4" w:rsidP="00D230DE">
      <w:pPr>
        <w:pStyle w:val="NormalWeb"/>
        <w:numPr>
          <w:ilvl w:val="1"/>
          <w:numId w:val="18"/>
        </w:numPr>
        <w:spacing w:line="360" w:lineRule="auto"/>
      </w:pPr>
      <w:r>
        <w:t>Prompts: Can you share an example? Did anything surprise you?</w:t>
      </w:r>
    </w:p>
    <w:p w:rsidR="00983DC4" w:rsidRDefault="00983DC4" w:rsidP="00D230DE">
      <w:pPr>
        <w:pStyle w:val="NormalWeb"/>
        <w:numPr>
          <w:ilvl w:val="0"/>
          <w:numId w:val="18"/>
        </w:numPr>
        <w:spacing w:line="360" w:lineRule="auto"/>
      </w:pPr>
      <w:r>
        <w:rPr>
          <w:rStyle w:val="Strong"/>
        </w:rPr>
        <w:t>How have digital or remote sessions influenced your approach to boundaries?</w:t>
      </w:r>
    </w:p>
    <w:p w:rsidR="00983DC4" w:rsidRDefault="00983DC4" w:rsidP="00D230DE">
      <w:pPr>
        <w:pStyle w:val="NormalWeb"/>
        <w:numPr>
          <w:ilvl w:val="0"/>
          <w:numId w:val="18"/>
        </w:numPr>
        <w:spacing w:line="360" w:lineRule="auto"/>
      </w:pPr>
      <w:r>
        <w:rPr>
          <w:rStyle w:val="Strong"/>
        </w:rPr>
        <w:t>What would you say to a trainee counsellor about developing healthy boundaries?</w:t>
      </w:r>
    </w:p>
    <w:p w:rsidR="00983DC4" w:rsidRPr="009167C5" w:rsidRDefault="00983DC4" w:rsidP="00D230DE">
      <w:pPr>
        <w:spacing w:before="100" w:beforeAutospacing="1" w:after="100" w:afterAutospacing="1"/>
        <w:rPr>
          <w:rFonts w:eastAsia="Times New Roman" w:cs="Times New Roman"/>
          <w:kern w:val="0"/>
          <w:szCs w:val="24"/>
          <w:lang w:val="en-US"/>
          <w14:ligatures w14:val="none"/>
        </w:rPr>
      </w:pPr>
    </w:p>
    <w:p w:rsidR="00B106DB" w:rsidRDefault="00B106DB"/>
    <w:sectPr w:rsidR="00B106DB" w:rsidSect="00DE46C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9FE" w:rsidRDefault="003029FE" w:rsidP="00DE46C8">
      <w:pPr>
        <w:spacing w:after="0" w:line="240" w:lineRule="auto"/>
      </w:pPr>
      <w:r>
        <w:separator/>
      </w:r>
    </w:p>
  </w:endnote>
  <w:endnote w:type="continuationSeparator" w:id="0">
    <w:p w:rsidR="003029FE" w:rsidRDefault="003029FE" w:rsidP="00DE4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9FE" w:rsidRDefault="003029FE" w:rsidP="00DE46C8">
      <w:pPr>
        <w:spacing w:after="0" w:line="240" w:lineRule="auto"/>
      </w:pPr>
      <w:r>
        <w:separator/>
      </w:r>
    </w:p>
  </w:footnote>
  <w:footnote w:type="continuationSeparator" w:id="0">
    <w:p w:rsidR="003029FE" w:rsidRDefault="003029FE" w:rsidP="00DE4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562195"/>
      <w:docPartObj>
        <w:docPartGallery w:val="Page Numbers (Top of Page)"/>
        <w:docPartUnique/>
      </w:docPartObj>
    </w:sdtPr>
    <w:sdtEndPr>
      <w:rPr>
        <w:noProof/>
      </w:rPr>
    </w:sdtEndPr>
    <w:sdtContent>
      <w:p w:rsidR="00DE46C8" w:rsidRDefault="00DE46C8">
        <w:pPr>
          <w:pStyle w:val="Header"/>
          <w:jc w:val="right"/>
        </w:pPr>
        <w:r>
          <w:fldChar w:fldCharType="begin"/>
        </w:r>
        <w:r>
          <w:instrText xml:space="preserve"> PAGE   \* MERGEFORMAT </w:instrText>
        </w:r>
        <w:r>
          <w:fldChar w:fldCharType="separate"/>
        </w:r>
        <w:r w:rsidR="00CB05F8">
          <w:rPr>
            <w:noProof/>
          </w:rPr>
          <w:t>16</w:t>
        </w:r>
        <w:r>
          <w:rPr>
            <w:noProof/>
          </w:rPr>
          <w:fldChar w:fldCharType="end"/>
        </w:r>
      </w:p>
    </w:sdtContent>
  </w:sdt>
  <w:p w:rsidR="00DE46C8" w:rsidRDefault="00DE46C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3581"/>
    <w:multiLevelType w:val="multilevel"/>
    <w:tmpl w:val="883C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C3693"/>
    <w:multiLevelType w:val="multilevel"/>
    <w:tmpl w:val="C44A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D27B6"/>
    <w:multiLevelType w:val="hybridMultilevel"/>
    <w:tmpl w:val="4134C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F162DA"/>
    <w:multiLevelType w:val="multilevel"/>
    <w:tmpl w:val="1208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C7D1C"/>
    <w:multiLevelType w:val="multilevel"/>
    <w:tmpl w:val="BFD292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15221"/>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AC3003"/>
    <w:multiLevelType w:val="multilevel"/>
    <w:tmpl w:val="3A0C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40C48"/>
    <w:multiLevelType w:val="multilevel"/>
    <w:tmpl w:val="A1F6E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B9412A"/>
    <w:multiLevelType w:val="multilevel"/>
    <w:tmpl w:val="61A6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7F6CA8"/>
    <w:multiLevelType w:val="multilevel"/>
    <w:tmpl w:val="7B06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344F26"/>
    <w:multiLevelType w:val="multilevel"/>
    <w:tmpl w:val="7A9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770D4"/>
    <w:multiLevelType w:val="multilevel"/>
    <w:tmpl w:val="698A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653EA8"/>
    <w:multiLevelType w:val="multilevel"/>
    <w:tmpl w:val="E6B0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233E5D"/>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0A21E4"/>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F7048"/>
    <w:multiLevelType w:val="multilevel"/>
    <w:tmpl w:val="ACD2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DB08E7"/>
    <w:multiLevelType w:val="multilevel"/>
    <w:tmpl w:val="5E10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F85342"/>
    <w:multiLevelType w:val="multilevel"/>
    <w:tmpl w:val="9050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1B2AA9"/>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5F2020"/>
    <w:multiLevelType w:val="multilevel"/>
    <w:tmpl w:val="39B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517AC5"/>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0648BE"/>
    <w:multiLevelType w:val="multilevel"/>
    <w:tmpl w:val="82B8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0C5495"/>
    <w:multiLevelType w:val="multilevel"/>
    <w:tmpl w:val="4516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F24F5"/>
    <w:multiLevelType w:val="multilevel"/>
    <w:tmpl w:val="E442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12"/>
  </w:num>
  <w:num w:numId="4">
    <w:abstractNumId w:val="3"/>
  </w:num>
  <w:num w:numId="5">
    <w:abstractNumId w:val="6"/>
  </w:num>
  <w:num w:numId="6">
    <w:abstractNumId w:val="16"/>
  </w:num>
  <w:num w:numId="7">
    <w:abstractNumId w:val="23"/>
  </w:num>
  <w:num w:numId="8">
    <w:abstractNumId w:val="11"/>
  </w:num>
  <w:num w:numId="9">
    <w:abstractNumId w:val="15"/>
  </w:num>
  <w:num w:numId="10">
    <w:abstractNumId w:val="19"/>
  </w:num>
  <w:num w:numId="11">
    <w:abstractNumId w:val="22"/>
  </w:num>
  <w:num w:numId="12">
    <w:abstractNumId w:val="7"/>
  </w:num>
  <w:num w:numId="13">
    <w:abstractNumId w:val="13"/>
  </w:num>
  <w:num w:numId="14">
    <w:abstractNumId w:val="8"/>
  </w:num>
  <w:num w:numId="15">
    <w:abstractNumId w:val="17"/>
  </w:num>
  <w:num w:numId="16">
    <w:abstractNumId w:val="0"/>
  </w:num>
  <w:num w:numId="17">
    <w:abstractNumId w:val="1"/>
  </w:num>
  <w:num w:numId="18">
    <w:abstractNumId w:val="4"/>
  </w:num>
  <w:num w:numId="19">
    <w:abstractNumId w:val="18"/>
  </w:num>
  <w:num w:numId="20">
    <w:abstractNumId w:val="2"/>
  </w:num>
  <w:num w:numId="21">
    <w:abstractNumId w:val="5"/>
  </w:num>
  <w:num w:numId="22">
    <w:abstractNumId w:val="20"/>
  </w:num>
  <w:num w:numId="23">
    <w:abstractNumId w:val="2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C5"/>
    <w:rsid w:val="000D17A3"/>
    <w:rsid w:val="000F7C1B"/>
    <w:rsid w:val="002B63F4"/>
    <w:rsid w:val="003029FE"/>
    <w:rsid w:val="00312319"/>
    <w:rsid w:val="003A07AB"/>
    <w:rsid w:val="003D3E1B"/>
    <w:rsid w:val="003E1C5A"/>
    <w:rsid w:val="004B1A2F"/>
    <w:rsid w:val="005B55A2"/>
    <w:rsid w:val="005C3D51"/>
    <w:rsid w:val="005D07E7"/>
    <w:rsid w:val="005D221B"/>
    <w:rsid w:val="005E3934"/>
    <w:rsid w:val="006220A7"/>
    <w:rsid w:val="00733079"/>
    <w:rsid w:val="00780BA8"/>
    <w:rsid w:val="007A6B88"/>
    <w:rsid w:val="008869CB"/>
    <w:rsid w:val="009131E8"/>
    <w:rsid w:val="009167C5"/>
    <w:rsid w:val="00983DC4"/>
    <w:rsid w:val="009F002A"/>
    <w:rsid w:val="009F1010"/>
    <w:rsid w:val="00A94A64"/>
    <w:rsid w:val="00AC7B03"/>
    <w:rsid w:val="00B106DB"/>
    <w:rsid w:val="00B32020"/>
    <w:rsid w:val="00B36EE0"/>
    <w:rsid w:val="00C63D51"/>
    <w:rsid w:val="00CB05F8"/>
    <w:rsid w:val="00D06C70"/>
    <w:rsid w:val="00D230DE"/>
    <w:rsid w:val="00D32F27"/>
    <w:rsid w:val="00D64D95"/>
    <w:rsid w:val="00DE46C8"/>
    <w:rsid w:val="00E023A2"/>
    <w:rsid w:val="00E61080"/>
    <w:rsid w:val="00EC1512"/>
    <w:rsid w:val="00EC1956"/>
    <w:rsid w:val="00F16208"/>
    <w:rsid w:val="00F84AB2"/>
    <w:rsid w:val="00F95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58669"/>
  <w15:chartTrackingRefBased/>
  <w15:docId w15:val="{7D04A7F8-E018-483E-B752-105574B2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C5A"/>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4B1A2F"/>
    <w:pPr>
      <w:keepNext/>
      <w:keepLines/>
      <w:spacing w:before="240" w:after="0"/>
      <w:outlineLvl w:val="0"/>
    </w:pPr>
    <w:rPr>
      <w:rFonts w:eastAsiaTheme="majorEastAsia" w:cstheme="majorBidi"/>
      <w:b/>
      <w:i/>
      <w:szCs w:val="32"/>
    </w:rPr>
  </w:style>
  <w:style w:type="paragraph" w:styleId="Heading2">
    <w:name w:val="heading 2"/>
    <w:basedOn w:val="Normal"/>
    <w:link w:val="Heading2Char"/>
    <w:uiPriority w:val="1"/>
    <w:qFormat/>
    <w:rsid w:val="00E61080"/>
    <w:pPr>
      <w:widowControl w:val="0"/>
      <w:autoSpaceDE w:val="0"/>
      <w:autoSpaceDN w:val="0"/>
      <w:spacing w:after="0" w:line="240" w:lineRule="auto"/>
      <w:ind w:left="562" w:firstLine="403"/>
      <w:outlineLvl w:val="1"/>
    </w:pPr>
    <w:rPr>
      <w:rFonts w:eastAsia="Arial" w:cs="Arial"/>
      <w:bCs/>
      <w:i/>
      <w:szCs w:val="24"/>
    </w:rPr>
  </w:style>
  <w:style w:type="paragraph" w:styleId="Heading3">
    <w:name w:val="heading 3"/>
    <w:basedOn w:val="Normal"/>
    <w:next w:val="Normal"/>
    <w:link w:val="Heading3Char"/>
    <w:uiPriority w:val="9"/>
    <w:unhideWhenUsed/>
    <w:qFormat/>
    <w:rsid w:val="004B1A2F"/>
    <w:pPr>
      <w:keepNext/>
      <w:keepLines/>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9F002A"/>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A2F"/>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1"/>
    <w:rsid w:val="00E61080"/>
    <w:rPr>
      <w:rFonts w:ascii="Times New Roman" w:eastAsia="Arial" w:hAnsi="Times New Roman" w:cs="Arial"/>
      <w:bCs/>
      <w:i/>
      <w:sz w:val="24"/>
      <w:szCs w:val="24"/>
    </w:rPr>
  </w:style>
  <w:style w:type="character" w:customStyle="1" w:styleId="Heading3Char">
    <w:name w:val="Heading 3 Char"/>
    <w:basedOn w:val="DefaultParagraphFont"/>
    <w:link w:val="Heading3"/>
    <w:uiPriority w:val="9"/>
    <w:rsid w:val="004B1A2F"/>
    <w:rPr>
      <w:rFonts w:ascii="Times New Roman" w:eastAsiaTheme="majorEastAsia" w:hAnsi="Times New Roman" w:cstheme="majorBidi"/>
      <w:color w:val="000000" w:themeColor="text1"/>
      <w:sz w:val="24"/>
      <w:szCs w:val="24"/>
    </w:rPr>
  </w:style>
  <w:style w:type="character" w:customStyle="1" w:styleId="text">
    <w:name w:val="text"/>
    <w:basedOn w:val="DefaultParagraphFont"/>
    <w:qFormat/>
    <w:rsid w:val="005D221B"/>
    <w:rPr>
      <w:rFonts w:ascii="Times New Roman" w:hAnsi="Times New Roman"/>
      <w:color w:val="000000" w:themeColor="text1"/>
      <w:sz w:val="24"/>
    </w:rPr>
  </w:style>
  <w:style w:type="character" w:customStyle="1" w:styleId="Heading4Char">
    <w:name w:val="Heading 4 Char"/>
    <w:basedOn w:val="DefaultParagraphFont"/>
    <w:link w:val="Heading4"/>
    <w:uiPriority w:val="9"/>
    <w:rsid w:val="009F002A"/>
    <w:rPr>
      <w:rFonts w:ascii="Times New Roman" w:eastAsiaTheme="majorEastAsia" w:hAnsi="Times New Roman" w:cstheme="majorBidi"/>
      <w:b/>
      <w:iCs/>
      <w:color w:val="000000" w:themeColor="text1"/>
      <w:sz w:val="24"/>
    </w:rPr>
  </w:style>
  <w:style w:type="character" w:styleId="Strong">
    <w:name w:val="Strong"/>
    <w:basedOn w:val="DefaultParagraphFont"/>
    <w:uiPriority w:val="22"/>
    <w:qFormat/>
    <w:rsid w:val="009167C5"/>
    <w:rPr>
      <w:b/>
      <w:bCs/>
    </w:rPr>
  </w:style>
  <w:style w:type="paragraph" w:styleId="NormalWeb">
    <w:name w:val="Normal (Web)"/>
    <w:basedOn w:val="Normal"/>
    <w:uiPriority w:val="99"/>
    <w:semiHidden/>
    <w:unhideWhenUsed/>
    <w:rsid w:val="009167C5"/>
    <w:pPr>
      <w:spacing w:before="100" w:beforeAutospacing="1" w:after="100" w:afterAutospacing="1" w:line="240" w:lineRule="auto"/>
    </w:pPr>
    <w:rPr>
      <w:rFonts w:eastAsia="Times New Roman" w:cs="Times New Roman"/>
      <w:kern w:val="0"/>
      <w:szCs w:val="24"/>
      <w:lang w:val="en-US"/>
      <w14:ligatures w14:val="none"/>
    </w:rPr>
  </w:style>
  <w:style w:type="character" w:styleId="Emphasis">
    <w:name w:val="Emphasis"/>
    <w:basedOn w:val="DefaultParagraphFont"/>
    <w:uiPriority w:val="20"/>
    <w:qFormat/>
    <w:rsid w:val="009167C5"/>
    <w:rPr>
      <w:i/>
      <w:iCs/>
    </w:rPr>
  </w:style>
  <w:style w:type="paragraph" w:styleId="ListParagraph">
    <w:name w:val="List Paragraph"/>
    <w:basedOn w:val="Normal"/>
    <w:uiPriority w:val="34"/>
    <w:qFormat/>
    <w:rsid w:val="00983DC4"/>
    <w:pPr>
      <w:ind w:left="720"/>
      <w:contextualSpacing/>
    </w:pPr>
  </w:style>
  <w:style w:type="table" w:styleId="TableGrid">
    <w:name w:val="Table Grid"/>
    <w:basedOn w:val="TableNormal"/>
    <w:uiPriority w:val="39"/>
    <w:rsid w:val="00983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6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6C8"/>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DE46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6C8"/>
    <w:rPr>
      <w:rFonts w:ascii="Times New Roman" w:hAnsi="Times New Roman"/>
      <w:kern w:val="2"/>
      <w:sz w:val="24"/>
      <w:lang w:val="en-GB"/>
      <w14:ligatures w14:val="standardContextual"/>
    </w:rPr>
  </w:style>
  <w:style w:type="paragraph" w:styleId="TOCHeading">
    <w:name w:val="TOC Heading"/>
    <w:basedOn w:val="Heading1"/>
    <w:next w:val="Normal"/>
    <w:uiPriority w:val="39"/>
    <w:unhideWhenUsed/>
    <w:qFormat/>
    <w:rsid w:val="00DE46C8"/>
    <w:pPr>
      <w:spacing w:line="259" w:lineRule="auto"/>
      <w:outlineLvl w:val="9"/>
    </w:pPr>
    <w:rPr>
      <w:rFonts w:asciiTheme="majorHAnsi" w:hAnsiTheme="majorHAnsi"/>
      <w:b w:val="0"/>
      <w:i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DE46C8"/>
    <w:pPr>
      <w:spacing w:after="100"/>
    </w:pPr>
  </w:style>
  <w:style w:type="paragraph" w:styleId="TOC2">
    <w:name w:val="toc 2"/>
    <w:basedOn w:val="Normal"/>
    <w:next w:val="Normal"/>
    <w:autoRedefine/>
    <w:uiPriority w:val="39"/>
    <w:unhideWhenUsed/>
    <w:rsid w:val="00DE46C8"/>
    <w:pPr>
      <w:spacing w:after="100"/>
      <w:ind w:left="240"/>
    </w:pPr>
  </w:style>
  <w:style w:type="paragraph" w:styleId="TOC3">
    <w:name w:val="toc 3"/>
    <w:basedOn w:val="Normal"/>
    <w:next w:val="Normal"/>
    <w:autoRedefine/>
    <w:uiPriority w:val="39"/>
    <w:unhideWhenUsed/>
    <w:rsid w:val="00DE46C8"/>
    <w:pPr>
      <w:spacing w:after="100"/>
      <w:ind w:left="480"/>
    </w:pPr>
  </w:style>
  <w:style w:type="character" w:styleId="Hyperlink">
    <w:name w:val="Hyperlink"/>
    <w:basedOn w:val="DefaultParagraphFont"/>
    <w:uiPriority w:val="99"/>
    <w:unhideWhenUsed/>
    <w:rsid w:val="00DE46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80989">
      <w:bodyDiv w:val="1"/>
      <w:marLeft w:val="0"/>
      <w:marRight w:val="0"/>
      <w:marTop w:val="0"/>
      <w:marBottom w:val="0"/>
      <w:divBdr>
        <w:top w:val="none" w:sz="0" w:space="0" w:color="auto"/>
        <w:left w:val="none" w:sz="0" w:space="0" w:color="auto"/>
        <w:bottom w:val="none" w:sz="0" w:space="0" w:color="auto"/>
        <w:right w:val="none" w:sz="0" w:space="0" w:color="auto"/>
      </w:divBdr>
    </w:div>
    <w:div w:id="625702979">
      <w:bodyDiv w:val="1"/>
      <w:marLeft w:val="0"/>
      <w:marRight w:val="0"/>
      <w:marTop w:val="0"/>
      <w:marBottom w:val="0"/>
      <w:divBdr>
        <w:top w:val="none" w:sz="0" w:space="0" w:color="auto"/>
        <w:left w:val="none" w:sz="0" w:space="0" w:color="auto"/>
        <w:bottom w:val="none" w:sz="0" w:space="0" w:color="auto"/>
        <w:right w:val="none" w:sz="0" w:space="0" w:color="auto"/>
      </w:divBdr>
    </w:div>
    <w:div w:id="870652589">
      <w:bodyDiv w:val="1"/>
      <w:marLeft w:val="0"/>
      <w:marRight w:val="0"/>
      <w:marTop w:val="0"/>
      <w:marBottom w:val="0"/>
      <w:divBdr>
        <w:top w:val="none" w:sz="0" w:space="0" w:color="auto"/>
        <w:left w:val="none" w:sz="0" w:space="0" w:color="auto"/>
        <w:bottom w:val="none" w:sz="0" w:space="0" w:color="auto"/>
        <w:right w:val="none" w:sz="0" w:space="0" w:color="auto"/>
      </w:divBdr>
    </w:div>
    <w:div w:id="1249193630">
      <w:bodyDiv w:val="1"/>
      <w:marLeft w:val="0"/>
      <w:marRight w:val="0"/>
      <w:marTop w:val="0"/>
      <w:marBottom w:val="0"/>
      <w:divBdr>
        <w:top w:val="none" w:sz="0" w:space="0" w:color="auto"/>
        <w:left w:val="none" w:sz="0" w:space="0" w:color="auto"/>
        <w:bottom w:val="none" w:sz="0" w:space="0" w:color="auto"/>
        <w:right w:val="none" w:sz="0" w:space="0" w:color="auto"/>
      </w:divBdr>
    </w:div>
    <w:div w:id="1916427997">
      <w:bodyDiv w:val="1"/>
      <w:marLeft w:val="0"/>
      <w:marRight w:val="0"/>
      <w:marTop w:val="0"/>
      <w:marBottom w:val="0"/>
      <w:divBdr>
        <w:top w:val="none" w:sz="0" w:space="0" w:color="auto"/>
        <w:left w:val="none" w:sz="0" w:space="0" w:color="auto"/>
        <w:bottom w:val="none" w:sz="0" w:space="0" w:color="auto"/>
        <w:right w:val="none" w:sz="0" w:space="0" w:color="auto"/>
      </w:divBdr>
    </w:div>
    <w:div w:id="2097822743">
      <w:bodyDiv w:val="1"/>
      <w:marLeft w:val="0"/>
      <w:marRight w:val="0"/>
      <w:marTop w:val="0"/>
      <w:marBottom w:val="0"/>
      <w:divBdr>
        <w:top w:val="none" w:sz="0" w:space="0" w:color="auto"/>
        <w:left w:val="none" w:sz="0" w:space="0" w:color="auto"/>
        <w:bottom w:val="none" w:sz="0" w:space="0" w:color="auto"/>
        <w:right w:val="none" w:sz="0" w:space="0" w:color="auto"/>
      </w:divBdr>
      <w:divsChild>
        <w:div w:id="373581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475195">
          <w:blockQuote w:val="1"/>
          <w:marLeft w:val="720"/>
          <w:marRight w:val="720"/>
          <w:marTop w:val="100"/>
          <w:marBottom w:val="100"/>
          <w:divBdr>
            <w:top w:val="none" w:sz="0" w:space="0" w:color="auto"/>
            <w:left w:val="none" w:sz="0" w:space="0" w:color="auto"/>
            <w:bottom w:val="none" w:sz="0" w:space="0" w:color="auto"/>
            <w:right w:val="none" w:sz="0" w:space="0" w:color="auto"/>
          </w:divBdr>
        </w:div>
        <w:div w:id="390736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025258">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556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039BC-EFAD-4B69-83AE-F0FF610FF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4060</Words>
  <Characters>23147</Characters>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2025-10-23T15:37:00Z</dcterms:created>
  <dcterms:modified xsi:type="dcterms:W3CDTF">2025-10-23T15:57:00Z</dcterms:modified>
</cp:coreProperties>
</file>