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35858" w14:textId="77777777" w:rsidR="00CF7045" w:rsidRDefault="00CF7045">
      <w:pPr>
        <w:spacing w:line="360" w:lineRule="auto"/>
        <w:jc w:val="center"/>
        <w:rPr>
          <w:rFonts w:ascii="Times New Roman Regular" w:hAnsi="Times New Roman Regular" w:cs="Times New Roman Regular"/>
          <w:b/>
          <w:bCs/>
          <w:sz w:val="24"/>
          <w:szCs w:val="24"/>
        </w:rPr>
      </w:pPr>
    </w:p>
    <w:p w14:paraId="31011417" w14:textId="77777777" w:rsidR="00CF7045" w:rsidRDefault="00CF7045">
      <w:pPr>
        <w:spacing w:line="360" w:lineRule="auto"/>
        <w:jc w:val="center"/>
        <w:rPr>
          <w:rFonts w:ascii="Times New Roman Regular" w:hAnsi="Times New Roman Regular" w:cs="Times New Roman Regular"/>
          <w:b/>
          <w:bCs/>
          <w:sz w:val="24"/>
          <w:szCs w:val="24"/>
        </w:rPr>
      </w:pPr>
    </w:p>
    <w:p w14:paraId="116C9452" w14:textId="77777777" w:rsidR="00CF7045" w:rsidRDefault="00CF7045">
      <w:pPr>
        <w:spacing w:line="360" w:lineRule="auto"/>
        <w:jc w:val="center"/>
        <w:rPr>
          <w:rFonts w:ascii="Times New Roman Regular" w:hAnsi="Times New Roman Regular" w:cs="Times New Roman Regular"/>
          <w:b/>
          <w:bCs/>
          <w:sz w:val="24"/>
          <w:szCs w:val="24"/>
        </w:rPr>
      </w:pPr>
    </w:p>
    <w:p w14:paraId="0D82B8BA" w14:textId="77777777" w:rsidR="00CF7045" w:rsidRDefault="00CF7045">
      <w:pPr>
        <w:spacing w:line="360" w:lineRule="auto"/>
        <w:jc w:val="center"/>
        <w:rPr>
          <w:rFonts w:ascii="Times New Roman Regular" w:hAnsi="Times New Roman Regular" w:cs="Times New Roman Regular"/>
          <w:b/>
          <w:bCs/>
          <w:sz w:val="24"/>
          <w:szCs w:val="24"/>
        </w:rPr>
      </w:pPr>
    </w:p>
    <w:p w14:paraId="6AF56E1E" w14:textId="77777777" w:rsidR="00CF7045" w:rsidRDefault="00CF7045">
      <w:pPr>
        <w:spacing w:line="360" w:lineRule="auto"/>
        <w:jc w:val="center"/>
        <w:rPr>
          <w:rFonts w:ascii="Times New Roman Regular" w:hAnsi="Times New Roman Regular" w:cs="Times New Roman Regular"/>
          <w:b/>
          <w:bCs/>
          <w:sz w:val="24"/>
          <w:szCs w:val="24"/>
        </w:rPr>
      </w:pPr>
    </w:p>
    <w:p w14:paraId="648E57BA" w14:textId="77777777" w:rsidR="00CF7045" w:rsidRDefault="00CF7045">
      <w:pPr>
        <w:spacing w:line="360" w:lineRule="auto"/>
        <w:jc w:val="center"/>
        <w:rPr>
          <w:rFonts w:ascii="Times New Roman Regular" w:hAnsi="Times New Roman Regular" w:cs="Times New Roman Regular"/>
          <w:b/>
          <w:bCs/>
          <w:sz w:val="24"/>
          <w:szCs w:val="24"/>
        </w:rPr>
      </w:pPr>
    </w:p>
    <w:p w14:paraId="43C86AE3" w14:textId="77777777" w:rsidR="00CF7045" w:rsidRDefault="00CF7045">
      <w:pPr>
        <w:spacing w:line="360" w:lineRule="auto"/>
        <w:jc w:val="center"/>
        <w:rPr>
          <w:rFonts w:ascii="Times New Roman Regular" w:hAnsi="Times New Roman Regular" w:cs="Times New Roman Regular"/>
          <w:b/>
          <w:bCs/>
          <w:sz w:val="24"/>
          <w:szCs w:val="24"/>
        </w:rPr>
      </w:pPr>
    </w:p>
    <w:p w14:paraId="7AB96B04" w14:textId="77777777" w:rsidR="00CF7045" w:rsidRDefault="00CF7045">
      <w:pPr>
        <w:spacing w:line="360" w:lineRule="auto"/>
        <w:jc w:val="center"/>
        <w:rPr>
          <w:rFonts w:ascii="Times New Roman Regular" w:hAnsi="Times New Roman Regular" w:cs="Times New Roman Regular"/>
          <w:b/>
          <w:bCs/>
          <w:sz w:val="24"/>
          <w:szCs w:val="24"/>
        </w:rPr>
      </w:pPr>
    </w:p>
    <w:p w14:paraId="364B6F84" w14:textId="77777777" w:rsidR="00CF7045" w:rsidRDefault="001B0FCA">
      <w:pPr>
        <w:spacing w:line="360" w:lineRule="auto"/>
        <w:jc w:val="center"/>
        <w:rPr>
          <w:rFonts w:ascii="Times New Roman Regular" w:hAnsi="Times New Roman Regular" w:cs="Times New Roman Regular"/>
          <w:sz w:val="24"/>
          <w:szCs w:val="24"/>
        </w:rPr>
      </w:pPr>
      <w:r>
        <w:rPr>
          <w:rFonts w:ascii="Times New Roman Regular" w:hAnsi="Times New Roman Regular" w:cs="Times New Roman Regular"/>
          <w:sz w:val="24"/>
          <w:szCs w:val="24"/>
        </w:rPr>
        <w:t>Developing a Stakeholder Management Plan for the New Public Park Project in East Manchester</w:t>
      </w:r>
    </w:p>
    <w:p w14:paraId="0701E68F" w14:textId="77777777" w:rsidR="00CF7045" w:rsidRDefault="00CF7045">
      <w:pPr>
        <w:spacing w:line="360" w:lineRule="auto"/>
        <w:jc w:val="center"/>
        <w:rPr>
          <w:rFonts w:ascii="Times New Roman Regular" w:hAnsi="Times New Roman Regular" w:cs="Times New Roman Regular"/>
          <w:sz w:val="24"/>
          <w:szCs w:val="24"/>
        </w:rPr>
      </w:pPr>
    </w:p>
    <w:p w14:paraId="6EF6B9FD" w14:textId="4D55A088" w:rsidR="00CF7045" w:rsidRDefault="00E07EC2">
      <w:pPr>
        <w:spacing w:line="360" w:lineRule="auto"/>
        <w:jc w:val="center"/>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Student</w:t>
      </w:r>
      <w:r w:rsidR="001B0FCA">
        <w:rPr>
          <w:rFonts w:ascii="Times New Roman Regular" w:hAnsi="Times New Roman Regular" w:cs="Times New Roman Regular"/>
          <w:sz w:val="24"/>
          <w:szCs w:val="24"/>
          <w:lang w:eastAsia="zh-CN"/>
        </w:rPr>
        <w:t xml:space="preserve"> Name</w:t>
      </w:r>
      <w:r>
        <w:rPr>
          <w:rFonts w:ascii="Times New Roman Regular" w:hAnsi="Times New Roman Regular" w:cs="Times New Roman Regular"/>
          <w:sz w:val="24"/>
          <w:szCs w:val="24"/>
          <w:lang w:eastAsia="zh-CN"/>
        </w:rPr>
        <w:t>: Merecan-Diego Stefan</w:t>
      </w:r>
    </w:p>
    <w:p w14:paraId="0A4A080A" w14:textId="393EA01D" w:rsidR="00CF7045" w:rsidRDefault="00E07EC2">
      <w:pPr>
        <w:spacing w:line="360" w:lineRule="auto"/>
        <w:jc w:val="center"/>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 xml:space="preserve">Student ID: </w:t>
      </w:r>
      <w:r w:rsidR="00081BB4">
        <w:rPr>
          <w:rFonts w:ascii="Times New Roman Regular" w:hAnsi="Times New Roman Regular" w:cs="Times New Roman Regular"/>
          <w:sz w:val="24"/>
          <w:szCs w:val="24"/>
          <w:lang w:eastAsia="zh-CN"/>
        </w:rPr>
        <w:t>2325936</w:t>
      </w:r>
    </w:p>
    <w:p w14:paraId="5523151D" w14:textId="72DB6B37" w:rsidR="00CF7045" w:rsidRDefault="00081BB4">
      <w:pPr>
        <w:spacing w:line="360" w:lineRule="auto"/>
        <w:jc w:val="center"/>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 xml:space="preserve">Professor Name: </w:t>
      </w:r>
      <w:r w:rsidR="00090857">
        <w:rPr>
          <w:rFonts w:ascii="Times New Roman Regular" w:hAnsi="Times New Roman Regular" w:cs="Times New Roman Regular"/>
          <w:sz w:val="24"/>
          <w:szCs w:val="24"/>
          <w:lang w:eastAsia="zh-CN"/>
        </w:rPr>
        <w:t>Ivan Rod</w:t>
      </w:r>
      <w:r w:rsidR="001B0FCA">
        <w:rPr>
          <w:rFonts w:ascii="Times New Roman Regular" w:hAnsi="Times New Roman Regular" w:cs="Times New Roman Regular"/>
          <w:sz w:val="24"/>
          <w:szCs w:val="24"/>
          <w:lang w:eastAsia="zh-CN"/>
        </w:rPr>
        <w:t>riguez Hernandez</w:t>
      </w:r>
      <w:r>
        <w:rPr>
          <w:rFonts w:ascii="Times New Roman Regular" w:hAnsi="Times New Roman Regular" w:cs="Times New Roman Regular"/>
          <w:sz w:val="24"/>
          <w:szCs w:val="24"/>
          <w:lang w:eastAsia="zh-CN"/>
        </w:rPr>
        <w:t xml:space="preserve"> </w:t>
      </w:r>
    </w:p>
    <w:p w14:paraId="3DEDDD31" w14:textId="77777777" w:rsidR="00CF7045" w:rsidRDefault="00CF7045">
      <w:pPr>
        <w:spacing w:line="360" w:lineRule="auto"/>
        <w:jc w:val="center"/>
        <w:rPr>
          <w:rFonts w:ascii="Times New Roman Regular" w:hAnsi="Times New Roman Regular" w:cs="Times New Roman Regular"/>
          <w:b/>
          <w:bCs/>
          <w:sz w:val="24"/>
          <w:szCs w:val="24"/>
        </w:rPr>
      </w:pPr>
    </w:p>
    <w:p w14:paraId="694B6A9A" w14:textId="77777777" w:rsidR="00CF7045" w:rsidRDefault="00CF7045">
      <w:pPr>
        <w:spacing w:line="360" w:lineRule="auto"/>
        <w:jc w:val="center"/>
        <w:rPr>
          <w:rFonts w:ascii="Times New Roman Regular" w:hAnsi="Times New Roman Regular" w:cs="Times New Roman Regular"/>
          <w:b/>
          <w:bCs/>
          <w:sz w:val="24"/>
          <w:szCs w:val="24"/>
        </w:rPr>
      </w:pPr>
    </w:p>
    <w:p w14:paraId="0D4592EE" w14:textId="77777777" w:rsidR="00CF7045" w:rsidRDefault="00CF7045">
      <w:pPr>
        <w:spacing w:line="360" w:lineRule="auto"/>
        <w:jc w:val="center"/>
        <w:rPr>
          <w:rFonts w:ascii="Times New Roman Regular" w:hAnsi="Times New Roman Regular" w:cs="Times New Roman Regular"/>
          <w:b/>
          <w:bCs/>
          <w:sz w:val="24"/>
          <w:szCs w:val="24"/>
        </w:rPr>
      </w:pPr>
    </w:p>
    <w:p w14:paraId="4122670A" w14:textId="77777777" w:rsidR="00CF7045" w:rsidRDefault="00CF7045">
      <w:pPr>
        <w:spacing w:line="360" w:lineRule="auto"/>
        <w:jc w:val="center"/>
        <w:rPr>
          <w:rFonts w:ascii="Times New Roman Regular" w:hAnsi="Times New Roman Regular" w:cs="Times New Roman Regular"/>
          <w:b/>
          <w:bCs/>
          <w:sz w:val="24"/>
          <w:szCs w:val="24"/>
        </w:rPr>
      </w:pPr>
    </w:p>
    <w:p w14:paraId="5FD7B569" w14:textId="77777777" w:rsidR="00CF7045" w:rsidRDefault="00CF7045">
      <w:pPr>
        <w:spacing w:line="360" w:lineRule="auto"/>
        <w:jc w:val="center"/>
        <w:rPr>
          <w:rFonts w:ascii="Times New Roman Regular" w:hAnsi="Times New Roman Regular" w:cs="Times New Roman Regular"/>
          <w:b/>
          <w:bCs/>
          <w:sz w:val="24"/>
          <w:szCs w:val="24"/>
        </w:rPr>
      </w:pPr>
    </w:p>
    <w:p w14:paraId="7157619F" w14:textId="77777777" w:rsidR="00CF7045" w:rsidRDefault="00CF7045">
      <w:pPr>
        <w:spacing w:line="360" w:lineRule="auto"/>
        <w:jc w:val="center"/>
        <w:rPr>
          <w:rFonts w:ascii="Times New Roman Regular" w:hAnsi="Times New Roman Regular" w:cs="Times New Roman Regular"/>
          <w:b/>
          <w:bCs/>
          <w:sz w:val="24"/>
          <w:szCs w:val="24"/>
        </w:rPr>
      </w:pPr>
    </w:p>
    <w:p w14:paraId="404900DB" w14:textId="77777777" w:rsidR="00CF7045" w:rsidRDefault="00CF7045">
      <w:pPr>
        <w:spacing w:line="360" w:lineRule="auto"/>
        <w:jc w:val="center"/>
        <w:rPr>
          <w:rFonts w:ascii="Times New Roman Regular" w:hAnsi="Times New Roman Regular" w:cs="Times New Roman Regular"/>
          <w:b/>
          <w:bCs/>
          <w:sz w:val="24"/>
          <w:szCs w:val="24"/>
        </w:rPr>
      </w:pPr>
    </w:p>
    <w:p w14:paraId="4BB2A135" w14:textId="77777777" w:rsidR="00CF7045" w:rsidRDefault="00CF7045">
      <w:pPr>
        <w:spacing w:line="360" w:lineRule="auto"/>
        <w:jc w:val="center"/>
        <w:rPr>
          <w:rFonts w:ascii="Times New Roman Regular" w:hAnsi="Times New Roman Regular" w:cs="Times New Roman Regular"/>
          <w:b/>
          <w:bCs/>
          <w:sz w:val="24"/>
          <w:szCs w:val="24"/>
        </w:rPr>
      </w:pPr>
    </w:p>
    <w:p w14:paraId="1EDF4B51" w14:textId="77777777" w:rsidR="00CF7045" w:rsidRDefault="00CF7045">
      <w:pPr>
        <w:spacing w:line="360" w:lineRule="auto"/>
        <w:jc w:val="center"/>
        <w:rPr>
          <w:rFonts w:ascii="Times New Roman Regular" w:hAnsi="Times New Roman Regular" w:cs="Times New Roman Regular"/>
          <w:b/>
          <w:bCs/>
          <w:sz w:val="24"/>
          <w:szCs w:val="24"/>
        </w:rPr>
      </w:pPr>
    </w:p>
    <w:p w14:paraId="77592CD4" w14:textId="77777777" w:rsidR="00CF7045" w:rsidRDefault="00CF7045">
      <w:pPr>
        <w:spacing w:line="360" w:lineRule="auto"/>
        <w:jc w:val="center"/>
        <w:rPr>
          <w:rFonts w:ascii="Times New Roman Regular" w:hAnsi="Times New Roman Regular" w:cs="Times New Roman Regular"/>
          <w:b/>
          <w:bCs/>
          <w:sz w:val="24"/>
          <w:szCs w:val="24"/>
        </w:rPr>
      </w:pPr>
    </w:p>
    <w:sdt>
      <w:sdtPr>
        <w:rPr>
          <w:rFonts w:ascii="Times New Roman Regular" w:eastAsia="SimSun" w:hAnsi="Times New Roman Regular" w:cs="Times New Roman Regular"/>
          <w:sz w:val="24"/>
          <w:szCs w:val="24"/>
        </w:rPr>
        <w:id w:val="452845634"/>
        <w15:color w:val="DBDBDB"/>
        <w:docPartObj>
          <w:docPartGallery w:val="Table of Contents"/>
          <w:docPartUnique/>
        </w:docPartObj>
      </w:sdtPr>
      <w:sdtEndPr>
        <w:rPr>
          <w:rFonts w:eastAsiaTheme="minorHAnsi"/>
          <w:b/>
          <w:bCs/>
        </w:rPr>
      </w:sdtEndPr>
      <w:sdtContent>
        <w:p w14:paraId="3319A904" w14:textId="77777777" w:rsidR="00CF7045" w:rsidRDefault="001B0FCA">
          <w:pPr>
            <w:spacing w:after="0" w:line="360" w:lineRule="auto"/>
            <w:jc w:val="center"/>
            <w:rPr>
              <w:rFonts w:ascii="Times New Roman Regular" w:hAnsi="Times New Roman Regular" w:cs="Times New Roman Regular"/>
              <w:sz w:val="24"/>
              <w:szCs w:val="24"/>
            </w:rPr>
          </w:pPr>
          <w:r>
            <w:rPr>
              <w:rFonts w:ascii="Times New Roman Regular" w:eastAsia="SimSun" w:hAnsi="Times New Roman Regular" w:cs="Times New Roman Regular"/>
              <w:sz w:val="24"/>
              <w:szCs w:val="24"/>
            </w:rPr>
            <w:t>Table of Contents</w:t>
          </w:r>
        </w:p>
        <w:p w14:paraId="7A75DCC9"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r>
            <w:rPr>
              <w:rFonts w:ascii="Times New Roman Regular" w:hAnsi="Times New Roman Regular" w:cs="Times New Roman Regular"/>
              <w:b/>
              <w:bCs/>
              <w:sz w:val="24"/>
              <w:szCs w:val="24"/>
            </w:rPr>
            <w:fldChar w:fldCharType="begin"/>
          </w:r>
          <w:r>
            <w:rPr>
              <w:rFonts w:ascii="Times New Roman Regular" w:hAnsi="Times New Roman Regular" w:cs="Times New Roman Regular"/>
              <w:b/>
              <w:bCs/>
              <w:sz w:val="24"/>
              <w:szCs w:val="24"/>
            </w:rPr>
            <w:instrText xml:space="preserve">TOC \o "1-2" \h \u </w:instrText>
          </w:r>
          <w:r>
            <w:rPr>
              <w:rFonts w:ascii="Times New Roman Regular" w:hAnsi="Times New Roman Regular" w:cs="Times New Roman Regular"/>
              <w:b/>
              <w:bCs/>
              <w:sz w:val="24"/>
              <w:szCs w:val="24"/>
            </w:rPr>
            <w:fldChar w:fldCharType="separate"/>
          </w:r>
          <w:hyperlink w:anchor="_Toc1819668799" w:history="1">
            <w:r>
              <w:rPr>
                <w:rFonts w:ascii="Times New Roman Regular" w:hAnsi="Times New Roman Regular" w:cs="Times New Roman Regular"/>
                <w:b/>
                <w:sz w:val="24"/>
                <w:szCs w:val="24"/>
              </w:rPr>
              <w:t>Element 1</w:t>
            </w:r>
            <w:r>
              <w:rPr>
                <w:rFonts w:ascii="Times New Roman Regular" w:hAnsi="Times New Roman Regular" w:cs="Times New Roman Regular"/>
                <w:b/>
                <w:sz w:val="24"/>
                <w:szCs w:val="24"/>
                <w:lang w:val="en-US"/>
              </w:rPr>
              <w:t>:</w:t>
            </w:r>
            <w:r>
              <w:rPr>
                <w:rFonts w:ascii="Times New Roman Regular" w:hAnsi="Times New Roman Regular" w:cs="Times New Roman Regular"/>
                <w:b/>
                <w:sz w:val="24"/>
                <w:szCs w:val="24"/>
              </w:rPr>
              <w:t xml:space="preserve"> Introduction</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_Toc1819668799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2</w:t>
            </w:r>
            <w:r>
              <w:rPr>
                <w:rFonts w:ascii="Times New Roman Regular" w:hAnsi="Times New Roman Regular" w:cs="Times New Roman Regular"/>
                <w:b/>
                <w:sz w:val="24"/>
                <w:szCs w:val="24"/>
              </w:rPr>
              <w:fldChar w:fldCharType="end"/>
            </w:r>
          </w:hyperlink>
        </w:p>
        <w:p w14:paraId="16A3FF29"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858887866" w:history="1">
            <w:r>
              <w:rPr>
                <w:rFonts w:ascii="Times New Roman Regular" w:hAnsi="Times New Roman Regular" w:cs="Times New Roman Regular"/>
                <w:sz w:val="24"/>
                <w:szCs w:val="24"/>
              </w:rPr>
              <w:t>1.1 Project Overview</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_Toc858887866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2</w:t>
            </w:r>
            <w:r>
              <w:rPr>
                <w:rFonts w:ascii="Times New Roman Regular" w:hAnsi="Times New Roman Regular" w:cs="Times New Roman Regular"/>
                <w:sz w:val="24"/>
                <w:szCs w:val="24"/>
              </w:rPr>
              <w:fldChar w:fldCharType="end"/>
            </w:r>
          </w:hyperlink>
        </w:p>
        <w:p w14:paraId="2C809034"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2090772375" w:history="1">
            <w:r>
              <w:rPr>
                <w:rFonts w:ascii="Times New Roman Regular" w:hAnsi="Times New Roman Regular" w:cs="Times New Roman Regular"/>
                <w:sz w:val="24"/>
                <w:szCs w:val="24"/>
                <w:lang w:val="en-US" w:eastAsia="zh-CN"/>
              </w:rPr>
              <w:t>1.2 Stakeholder Identification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_Toc2090772375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3</w:t>
            </w:r>
            <w:r>
              <w:rPr>
                <w:rFonts w:ascii="Times New Roman Regular" w:hAnsi="Times New Roman Regular" w:cs="Times New Roman Regular"/>
                <w:sz w:val="24"/>
                <w:szCs w:val="24"/>
              </w:rPr>
              <w:fldChar w:fldCharType="end"/>
            </w:r>
          </w:hyperlink>
        </w:p>
        <w:p w14:paraId="5B28D93B"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336390764" w:history="1">
            <w:r>
              <w:rPr>
                <w:rFonts w:ascii="Times New Roman Regular" w:hAnsi="Times New Roman Regular" w:cs="Times New Roman Regular"/>
                <w:sz w:val="24"/>
                <w:szCs w:val="24"/>
              </w:rPr>
              <w:t>1.3 Project Relevance</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_Toc336390764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4</w:t>
            </w:r>
            <w:r>
              <w:rPr>
                <w:rFonts w:ascii="Times New Roman Regular" w:hAnsi="Times New Roman Regular" w:cs="Times New Roman Regular"/>
                <w:sz w:val="24"/>
                <w:szCs w:val="24"/>
              </w:rPr>
              <w:fldChar w:fldCharType="end"/>
            </w:r>
          </w:hyperlink>
        </w:p>
        <w:p w14:paraId="49228B11"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1542611644" w:history="1">
            <w:r>
              <w:rPr>
                <w:rFonts w:ascii="Times New Roman Regular" w:hAnsi="Times New Roman Regular" w:cs="Times New Roman Regular"/>
                <w:b/>
                <w:sz w:val="24"/>
                <w:szCs w:val="24"/>
                <w:lang w:val="en-US" w:eastAsia="zh-CN"/>
              </w:rPr>
              <w:t>Element 2: Stakeholder Engagement Strategies</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_Toc1542611644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5</w:t>
            </w:r>
            <w:r>
              <w:rPr>
                <w:rFonts w:ascii="Times New Roman Regular" w:hAnsi="Times New Roman Regular" w:cs="Times New Roman Regular"/>
                <w:b/>
                <w:sz w:val="24"/>
                <w:szCs w:val="24"/>
              </w:rPr>
              <w:fldChar w:fldCharType="end"/>
            </w:r>
          </w:hyperlink>
        </w:p>
        <w:p w14:paraId="4D3DF4D3"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103830477" w:history="1">
            <w:r>
              <w:rPr>
                <w:rFonts w:ascii="Times New Roman Regular" w:hAnsi="Times New Roman Regular" w:cs="Times New Roman Regular"/>
                <w:sz w:val="24"/>
                <w:szCs w:val="24"/>
              </w:rPr>
              <w:t>2.1 Theoretical Framework</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_Toc103830477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5</w:t>
            </w:r>
            <w:r>
              <w:rPr>
                <w:rFonts w:ascii="Times New Roman Regular" w:hAnsi="Times New Roman Regular" w:cs="Times New Roman Regular"/>
                <w:sz w:val="24"/>
                <w:szCs w:val="24"/>
              </w:rPr>
              <w:fldChar w:fldCharType="end"/>
            </w:r>
          </w:hyperlink>
        </w:p>
        <w:p w14:paraId="5CE620D6"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1322105575" w:history="1">
            <w:r>
              <w:rPr>
                <w:rFonts w:ascii="Times New Roman Regular" w:hAnsi="Times New Roman Regular" w:cs="Times New Roman Regular"/>
                <w:b/>
                <w:sz w:val="24"/>
                <w:szCs w:val="24"/>
                <w:lang w:val="en-US" w:eastAsia="zh-CN"/>
              </w:rPr>
              <w:t>2.2 Power–Influence–Interest Analysis</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_Toc1322105575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6</w:t>
            </w:r>
            <w:r>
              <w:rPr>
                <w:rFonts w:ascii="Times New Roman Regular" w:hAnsi="Times New Roman Regular" w:cs="Times New Roman Regular"/>
                <w:b/>
                <w:sz w:val="24"/>
                <w:szCs w:val="24"/>
              </w:rPr>
              <w:fldChar w:fldCharType="end"/>
            </w:r>
          </w:hyperlink>
        </w:p>
        <w:p w14:paraId="038697F3"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615103516" w:history="1">
            <w:r>
              <w:rPr>
                <w:rFonts w:ascii="Times New Roman Regular" w:hAnsi="Times New Roman Regular" w:cs="Times New Roman Regular"/>
                <w:sz w:val="24"/>
                <w:szCs w:val="24"/>
                <w:lang w:val="en-US" w:eastAsia="zh-CN"/>
              </w:rPr>
              <w:t>2.3 Stakeholder Map</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_Toc615103516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7</w:t>
            </w:r>
            <w:r>
              <w:rPr>
                <w:rFonts w:ascii="Times New Roman Regular" w:hAnsi="Times New Roman Regular" w:cs="Times New Roman Regular"/>
                <w:sz w:val="24"/>
                <w:szCs w:val="24"/>
              </w:rPr>
              <w:fldChar w:fldCharType="end"/>
            </w:r>
          </w:hyperlink>
        </w:p>
        <w:p w14:paraId="5D7FEF76"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58516754" w:history="1">
            <w:r>
              <w:rPr>
                <w:rFonts w:ascii="Times New Roman Regular" w:hAnsi="Times New Roman Regular" w:cs="Times New Roman Regular"/>
                <w:sz w:val="24"/>
                <w:szCs w:val="24"/>
                <w:lang w:val="en-US" w:eastAsia="zh-CN"/>
              </w:rPr>
              <w:t>2.4 Communication Plan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_Toc58516754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8</w:t>
            </w:r>
            <w:r>
              <w:rPr>
                <w:rFonts w:ascii="Times New Roman Regular" w:hAnsi="Times New Roman Regular" w:cs="Times New Roman Regular"/>
                <w:sz w:val="24"/>
                <w:szCs w:val="24"/>
              </w:rPr>
              <w:fldChar w:fldCharType="end"/>
            </w:r>
          </w:hyperlink>
        </w:p>
        <w:p w14:paraId="101265D3"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2091057799" w:history="1">
            <w:r>
              <w:rPr>
                <w:rFonts w:ascii="Times New Roman Regular" w:hAnsi="Times New Roman Regular" w:cs="Times New Roman Regular"/>
                <w:sz w:val="24"/>
                <w:szCs w:val="24"/>
                <w:lang w:val="en-US" w:eastAsia="zh-CN"/>
              </w:rPr>
              <w:t>2.5 Consultation Strategy</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_Toc2091057799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10</w:t>
            </w:r>
            <w:r>
              <w:rPr>
                <w:rFonts w:ascii="Times New Roman Regular" w:hAnsi="Times New Roman Regular" w:cs="Times New Roman Regular"/>
                <w:sz w:val="24"/>
                <w:szCs w:val="24"/>
              </w:rPr>
              <w:fldChar w:fldCharType="end"/>
            </w:r>
          </w:hyperlink>
        </w:p>
        <w:p w14:paraId="2CD90EF8"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838544638" w:history="1">
            <w:r>
              <w:rPr>
                <w:rFonts w:ascii="Times New Roman Regular" w:hAnsi="Times New Roman Regular" w:cs="Times New Roman Regular"/>
                <w:b/>
                <w:sz w:val="24"/>
                <w:szCs w:val="24"/>
                <w:lang w:val="en-US" w:eastAsia="zh-CN"/>
              </w:rPr>
              <w:t>Element 3: Ethical Considerations in Consultation, Participation &amp; Feedback</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_Toc838544638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11</w:t>
            </w:r>
            <w:r>
              <w:rPr>
                <w:rFonts w:ascii="Times New Roman Regular" w:hAnsi="Times New Roman Regular" w:cs="Times New Roman Regular"/>
                <w:b/>
                <w:sz w:val="24"/>
                <w:szCs w:val="24"/>
              </w:rPr>
              <w:fldChar w:fldCharType="end"/>
            </w:r>
          </w:hyperlink>
        </w:p>
        <w:p w14:paraId="1E20063B"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1632039252" w:history="1">
            <w:r>
              <w:rPr>
                <w:rFonts w:ascii="Times New Roman Regular" w:hAnsi="Times New Roman Regular" w:cs="Times New Roman Regular"/>
                <w:sz w:val="24"/>
                <w:szCs w:val="24"/>
                <w:lang w:val="en-US" w:eastAsia="zh-CN"/>
              </w:rPr>
              <w:t>3.1 Ethical Framework</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_Toc1632039252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11</w:t>
            </w:r>
            <w:r>
              <w:rPr>
                <w:rFonts w:ascii="Times New Roman Regular" w:hAnsi="Times New Roman Regular" w:cs="Times New Roman Regular"/>
                <w:sz w:val="24"/>
                <w:szCs w:val="24"/>
              </w:rPr>
              <w:fldChar w:fldCharType="end"/>
            </w:r>
          </w:hyperlink>
        </w:p>
        <w:p w14:paraId="4D9BB982"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2022568880" w:history="1">
            <w:r>
              <w:rPr>
                <w:rFonts w:ascii="Times New Roman Regular" w:hAnsi="Times New Roman Regular" w:cs="Times New Roman Regular"/>
                <w:sz w:val="24"/>
                <w:szCs w:val="24"/>
                <w:lang w:val="en-US" w:eastAsia="zh-CN"/>
              </w:rPr>
              <w:t>3.2 Consultation and Data Handling</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_Toc2022568880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12</w:t>
            </w:r>
            <w:r>
              <w:rPr>
                <w:rFonts w:ascii="Times New Roman Regular" w:hAnsi="Times New Roman Regular" w:cs="Times New Roman Regular"/>
                <w:sz w:val="24"/>
                <w:szCs w:val="24"/>
              </w:rPr>
              <w:fldChar w:fldCharType="end"/>
            </w:r>
          </w:hyperlink>
        </w:p>
        <w:p w14:paraId="6A289348"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796517797" w:history="1">
            <w:r>
              <w:rPr>
                <w:rFonts w:ascii="Times New Roman Regular" w:hAnsi="Times New Roman Regular" w:cs="Times New Roman Regular"/>
                <w:b/>
                <w:sz w:val="24"/>
                <w:szCs w:val="24"/>
                <w:lang w:val="en-US" w:eastAsia="zh-CN"/>
              </w:rPr>
              <w:t>3.3 Managing Bias, Diversity, Equity &amp; Inclusion (DEI)</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_Toc796517797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12</w:t>
            </w:r>
            <w:r>
              <w:rPr>
                <w:rFonts w:ascii="Times New Roman Regular" w:hAnsi="Times New Roman Regular" w:cs="Times New Roman Regular"/>
                <w:b/>
                <w:sz w:val="24"/>
                <w:szCs w:val="24"/>
              </w:rPr>
              <w:fldChar w:fldCharType="end"/>
            </w:r>
          </w:hyperlink>
        </w:p>
        <w:p w14:paraId="31A70FF1"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1809042428" w:history="1">
            <w:r>
              <w:rPr>
                <w:rFonts w:ascii="Times New Roman Regular" w:hAnsi="Times New Roman Regular" w:cs="Times New Roman Regular"/>
                <w:sz w:val="24"/>
                <w:szCs w:val="24"/>
                <w:lang w:val="en-US" w:eastAsia="zh-CN"/>
              </w:rPr>
              <w:t>3.4 Feedback Review and Integration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_Toc1809042428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14</w:t>
            </w:r>
            <w:r>
              <w:rPr>
                <w:rFonts w:ascii="Times New Roman Regular" w:hAnsi="Times New Roman Regular" w:cs="Times New Roman Regular"/>
                <w:sz w:val="24"/>
                <w:szCs w:val="24"/>
              </w:rPr>
              <w:fldChar w:fldCharType="end"/>
            </w:r>
          </w:hyperlink>
        </w:p>
        <w:p w14:paraId="711B61C5"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502613170" w:history="1">
            <w:r>
              <w:rPr>
                <w:rFonts w:ascii="Times New Roman Regular" w:hAnsi="Times New Roman Regular" w:cs="Times New Roman Regular"/>
                <w:b/>
                <w:sz w:val="24"/>
                <w:szCs w:val="24"/>
                <w:lang w:val="en-US" w:eastAsia="zh-CN"/>
              </w:rPr>
              <w:t>Element 4: Conclusion and Reflection</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_Toc502613170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15</w:t>
            </w:r>
            <w:r>
              <w:rPr>
                <w:rFonts w:ascii="Times New Roman Regular" w:hAnsi="Times New Roman Regular" w:cs="Times New Roman Regular"/>
                <w:b/>
                <w:sz w:val="24"/>
                <w:szCs w:val="24"/>
              </w:rPr>
              <w:fldChar w:fldCharType="end"/>
            </w:r>
          </w:hyperlink>
        </w:p>
        <w:p w14:paraId="4282BEDF"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1366364539" w:history="1">
            <w:r>
              <w:rPr>
                <w:rFonts w:ascii="Times New Roman Regular" w:hAnsi="Times New Roman Regular" w:cs="Times New Roman Regular"/>
                <w:sz w:val="24"/>
                <w:szCs w:val="24"/>
                <w:lang w:val="en-US" w:eastAsia="zh-CN"/>
              </w:rPr>
              <w:t>4.1 Summary of Key Insights</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_Toc1366364539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15</w:t>
            </w:r>
            <w:r>
              <w:rPr>
                <w:rFonts w:ascii="Times New Roman Regular" w:hAnsi="Times New Roman Regular" w:cs="Times New Roman Regular"/>
                <w:sz w:val="24"/>
                <w:szCs w:val="24"/>
              </w:rPr>
              <w:fldChar w:fldCharType="end"/>
            </w:r>
          </w:hyperlink>
        </w:p>
        <w:p w14:paraId="2CE1580A"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1446169602" w:history="1">
            <w:r>
              <w:rPr>
                <w:rFonts w:ascii="Times New Roman Regular" w:hAnsi="Times New Roman Regular" w:cs="Times New Roman Regular"/>
                <w:b/>
                <w:sz w:val="24"/>
                <w:szCs w:val="24"/>
                <w:lang w:val="en-US" w:eastAsia="zh-CN"/>
              </w:rPr>
              <w:t>4.2 Reflective Account (Gibbs’ Model, 1988)</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_Toc1446169602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16</w:t>
            </w:r>
            <w:r>
              <w:rPr>
                <w:rFonts w:ascii="Times New Roman Regular" w:hAnsi="Times New Roman Regular" w:cs="Times New Roman Regular"/>
                <w:b/>
                <w:sz w:val="24"/>
                <w:szCs w:val="24"/>
              </w:rPr>
              <w:fldChar w:fldCharType="end"/>
            </w:r>
          </w:hyperlink>
        </w:p>
        <w:p w14:paraId="5BFB481B" w14:textId="77777777" w:rsidR="00CF7045" w:rsidRDefault="001B0FCA">
          <w:pPr>
            <w:pStyle w:val="WPSOffice2"/>
            <w:tabs>
              <w:tab w:val="right" w:leader="dot" w:pos="8640"/>
            </w:tabs>
            <w:spacing w:line="360" w:lineRule="auto"/>
            <w:ind w:left="440"/>
            <w:rPr>
              <w:rFonts w:ascii="Times New Roman Regular" w:hAnsi="Times New Roman Regular" w:cs="Times New Roman Regular"/>
              <w:sz w:val="24"/>
              <w:szCs w:val="24"/>
            </w:rPr>
          </w:pPr>
          <w:hyperlink w:anchor="_Toc552584068" w:history="1">
            <w:r>
              <w:rPr>
                <w:rFonts w:ascii="Times New Roman Regular" w:hAnsi="Times New Roman Regular" w:cs="Times New Roman Regular"/>
                <w:sz w:val="24"/>
                <w:szCs w:val="24"/>
                <w:lang w:val="en-US" w:eastAsia="zh-CN"/>
              </w:rPr>
              <w:t>4.3 Closing Reflection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_Toc552584068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17</w:t>
            </w:r>
            <w:r>
              <w:rPr>
                <w:rFonts w:ascii="Times New Roman Regular" w:hAnsi="Times New Roman Regular" w:cs="Times New Roman Regular"/>
                <w:sz w:val="24"/>
                <w:szCs w:val="24"/>
              </w:rPr>
              <w:fldChar w:fldCharType="end"/>
            </w:r>
          </w:hyperlink>
        </w:p>
        <w:p w14:paraId="520A10CB" w14:textId="77777777" w:rsidR="00CF7045" w:rsidRDefault="001B0FCA">
          <w:pPr>
            <w:pStyle w:val="WPSOffice1"/>
            <w:tabs>
              <w:tab w:val="right" w:leader="dot" w:pos="8640"/>
            </w:tabs>
            <w:spacing w:line="360" w:lineRule="auto"/>
            <w:rPr>
              <w:rFonts w:ascii="Times New Roman Regular" w:hAnsi="Times New Roman Regular" w:cs="Times New Roman Regular"/>
              <w:b/>
              <w:sz w:val="24"/>
              <w:szCs w:val="24"/>
            </w:rPr>
          </w:pPr>
          <w:hyperlink w:anchor="_Toc1561141248" w:history="1">
            <w:r>
              <w:rPr>
                <w:rFonts w:ascii="Times New Roman Regular" w:hAnsi="Times New Roman Regular" w:cs="Times New Roman Regular"/>
                <w:b/>
                <w:sz w:val="24"/>
                <w:szCs w:val="24"/>
                <w:lang w:val="en-US" w:eastAsia="zh-CN"/>
              </w:rPr>
              <w:t>Reference List</w:t>
            </w:r>
            <w:r>
              <w:rPr>
                <w:rFonts w:ascii="Times New Roman Regular" w:hAnsi="Times New Roman Regular" w:cs="Times New Roman Regular"/>
                <w:b/>
                <w:sz w:val="24"/>
                <w:szCs w:val="24"/>
              </w:rPr>
              <w:tab/>
            </w:r>
            <w:r>
              <w:rPr>
                <w:rFonts w:ascii="Times New Roman Regular" w:hAnsi="Times New Roman Regular" w:cs="Times New Roman Regular"/>
                <w:b/>
                <w:sz w:val="24"/>
                <w:szCs w:val="24"/>
              </w:rPr>
              <w:fldChar w:fldCharType="begin"/>
            </w:r>
            <w:r>
              <w:rPr>
                <w:rFonts w:ascii="Times New Roman Regular" w:hAnsi="Times New Roman Regular" w:cs="Times New Roman Regular"/>
                <w:b/>
                <w:sz w:val="24"/>
                <w:szCs w:val="24"/>
              </w:rPr>
              <w:instrText xml:space="preserve"> PAGEREF _Toc1561141248 \h </w:instrText>
            </w:r>
            <w:r>
              <w:rPr>
                <w:rFonts w:ascii="Times New Roman Regular" w:hAnsi="Times New Roman Regular" w:cs="Times New Roman Regular"/>
                <w:b/>
                <w:sz w:val="24"/>
                <w:szCs w:val="24"/>
              </w:rPr>
            </w:r>
            <w:r>
              <w:rPr>
                <w:rFonts w:ascii="Times New Roman Regular" w:hAnsi="Times New Roman Regular" w:cs="Times New Roman Regular"/>
                <w:b/>
                <w:sz w:val="24"/>
                <w:szCs w:val="24"/>
              </w:rPr>
              <w:fldChar w:fldCharType="separate"/>
            </w:r>
            <w:r>
              <w:rPr>
                <w:rFonts w:ascii="Times New Roman Regular" w:hAnsi="Times New Roman Regular" w:cs="Times New Roman Regular"/>
                <w:b/>
                <w:sz w:val="24"/>
                <w:szCs w:val="24"/>
              </w:rPr>
              <w:t>18</w:t>
            </w:r>
            <w:r>
              <w:rPr>
                <w:rFonts w:ascii="Times New Roman Regular" w:hAnsi="Times New Roman Regular" w:cs="Times New Roman Regular"/>
                <w:b/>
                <w:sz w:val="24"/>
                <w:szCs w:val="24"/>
              </w:rPr>
              <w:fldChar w:fldCharType="end"/>
            </w:r>
          </w:hyperlink>
        </w:p>
        <w:p w14:paraId="6733258B" w14:textId="77777777" w:rsidR="00CF7045" w:rsidRDefault="001B0FCA">
          <w:pPr>
            <w:spacing w:line="360" w:lineRule="auto"/>
            <w:jc w:val="both"/>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fldChar w:fldCharType="end"/>
          </w:r>
        </w:p>
      </w:sdtContent>
    </w:sdt>
    <w:p w14:paraId="3034319E" w14:textId="77777777" w:rsidR="00CF7045" w:rsidRDefault="00CF7045">
      <w:pPr>
        <w:spacing w:line="360" w:lineRule="auto"/>
        <w:jc w:val="both"/>
        <w:rPr>
          <w:rFonts w:ascii="Times New Roman Regular" w:hAnsi="Times New Roman Regular" w:cs="Times New Roman Regular"/>
          <w:b/>
          <w:bCs/>
          <w:sz w:val="24"/>
          <w:szCs w:val="24"/>
        </w:rPr>
      </w:pPr>
    </w:p>
    <w:p w14:paraId="5D60585B" w14:textId="77777777" w:rsidR="00CF7045" w:rsidRDefault="00CF7045">
      <w:pPr>
        <w:spacing w:line="360" w:lineRule="auto"/>
        <w:jc w:val="center"/>
        <w:rPr>
          <w:rFonts w:ascii="Times New Roman Regular" w:hAnsi="Times New Roman Regular" w:cs="Times New Roman Regular"/>
          <w:b/>
          <w:bCs/>
          <w:sz w:val="24"/>
          <w:szCs w:val="24"/>
        </w:rPr>
      </w:pPr>
    </w:p>
    <w:p w14:paraId="542A92B8" w14:textId="77777777" w:rsidR="00CF7045" w:rsidRDefault="00CF7045">
      <w:pPr>
        <w:spacing w:line="360" w:lineRule="auto"/>
        <w:jc w:val="center"/>
        <w:rPr>
          <w:rFonts w:ascii="Times New Roman Regular" w:hAnsi="Times New Roman Regular" w:cs="Times New Roman Regular"/>
          <w:b/>
          <w:bCs/>
          <w:sz w:val="24"/>
          <w:szCs w:val="24"/>
        </w:rPr>
      </w:pPr>
    </w:p>
    <w:p w14:paraId="004B79C2" w14:textId="77777777" w:rsidR="00CF7045" w:rsidRDefault="00CF7045">
      <w:pPr>
        <w:spacing w:line="360" w:lineRule="auto"/>
        <w:jc w:val="center"/>
        <w:rPr>
          <w:rFonts w:ascii="Times New Roman Regular" w:hAnsi="Times New Roman Regular" w:cs="Times New Roman Regular"/>
          <w:b/>
          <w:bCs/>
          <w:sz w:val="24"/>
          <w:szCs w:val="24"/>
        </w:rPr>
      </w:pPr>
    </w:p>
    <w:p w14:paraId="6A8AC3F1" w14:textId="77777777" w:rsidR="00CF7045" w:rsidRDefault="00CF7045">
      <w:pPr>
        <w:spacing w:line="360" w:lineRule="auto"/>
        <w:jc w:val="center"/>
        <w:rPr>
          <w:rFonts w:ascii="Times New Roman Regular" w:hAnsi="Times New Roman Regular" w:cs="Times New Roman Regular"/>
          <w:b/>
          <w:bCs/>
          <w:sz w:val="24"/>
          <w:szCs w:val="24"/>
        </w:rPr>
      </w:pPr>
    </w:p>
    <w:p w14:paraId="688BE4CB" w14:textId="77777777" w:rsidR="00CF7045" w:rsidRDefault="00CF7045">
      <w:pPr>
        <w:spacing w:line="360" w:lineRule="auto"/>
        <w:jc w:val="center"/>
        <w:rPr>
          <w:rFonts w:ascii="Times New Roman Regular" w:hAnsi="Times New Roman Regular" w:cs="Times New Roman Regular"/>
          <w:b/>
          <w:bCs/>
          <w:sz w:val="24"/>
          <w:szCs w:val="24"/>
        </w:rPr>
      </w:pPr>
    </w:p>
    <w:p w14:paraId="59D52BB7" w14:textId="77777777" w:rsidR="00CF7045" w:rsidRDefault="001B0FCA">
      <w:pPr>
        <w:pStyle w:val="Heading1"/>
        <w:spacing w:line="360" w:lineRule="auto"/>
        <w:jc w:val="center"/>
        <w:rPr>
          <w:rFonts w:ascii="Times New Roman Regular" w:hAnsi="Times New Roman Regular" w:cs="Times New Roman Regular" w:hint="default"/>
          <w:sz w:val="24"/>
          <w:szCs w:val="24"/>
        </w:rPr>
      </w:pPr>
      <w:bookmarkStart w:id="0" w:name="_Toc1819668799"/>
      <w:r>
        <w:rPr>
          <w:rFonts w:ascii="Times New Roman Regular" w:hAnsi="Times New Roman Regular" w:cs="Times New Roman Regular" w:hint="default"/>
          <w:sz w:val="24"/>
          <w:szCs w:val="24"/>
        </w:rPr>
        <w:t>Element 1: Introduction</w:t>
      </w:r>
      <w:bookmarkEnd w:id="0"/>
    </w:p>
    <w:p w14:paraId="61FB01DE" w14:textId="77777777" w:rsidR="00CF7045" w:rsidRDefault="001B0FCA">
      <w:pPr>
        <w:pStyle w:val="Heading2"/>
        <w:spacing w:line="360" w:lineRule="auto"/>
        <w:rPr>
          <w:rFonts w:ascii="Times New Roman Regular" w:hAnsi="Times New Roman Regular" w:cs="Times New Roman Regular"/>
          <w:sz w:val="24"/>
          <w:szCs w:val="24"/>
        </w:rPr>
      </w:pPr>
      <w:bookmarkStart w:id="1" w:name="_Toc858887866"/>
      <w:r>
        <w:rPr>
          <w:rFonts w:ascii="Times New Roman Regular" w:hAnsi="Times New Roman Regular" w:cs="Times New Roman Regular"/>
          <w:sz w:val="24"/>
          <w:szCs w:val="24"/>
        </w:rPr>
        <w:t>1.1 Project Overview</w:t>
      </w:r>
      <w:bookmarkEnd w:id="1"/>
    </w:p>
    <w:p w14:paraId="75837B2F"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proposed New Public Park Project in East Manchester forms a major component of Manchester’s Great Outdoors: Green and Blue Infrastructure Strategy and Action Plan 2025–2030 (Manchester City Council, 2025). The project intends to turn a former industrial site into a sustainable, multipurpose public park that promotes biodiversity, climatic resilience, and social well-being. This transition shows the city's commitment to environmental sustainability and inclusive urban renewal, as stated in the Greater Manchester Five-Year Environment Plan 2025–2030 (GMCA, 2025) and Zero Carbon Manchester 2038 Target. </w:t>
      </w:r>
    </w:p>
    <w:p w14:paraId="5019BC99"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The park is located at Mayfield, immediately south-east of Manchester Piccadilly station, centred on Baring Street(approx. 53.4748° N, −2.2255° W), on a brownfield parcel along the River Medlock (Manchester City Council, 2025). </w:t>
      </w:r>
      <w:r>
        <w:rPr>
          <w:rFonts w:ascii="Times New Roman Regular" w:hAnsi="Times New Roman Regular" w:cs="Times New Roman Regular"/>
          <w:sz w:val="24"/>
          <w:szCs w:val="24"/>
        </w:rPr>
        <w:t xml:space="preserve">The park’s proposed features include walking and cycling paths, community gardens, eco-friendly play zones, and solar-powered lighting, consistent with Embedding Green Infrastructure Principles (GMCA, 2024), which promotes multifunctional design that integrates environmental and social benefits. </w:t>
      </w:r>
      <w:r>
        <w:rPr>
          <w:rFonts w:ascii="Times New Roman Regular" w:hAnsi="Times New Roman Regular" w:cs="Times New Roman Regular"/>
          <w:sz w:val="24"/>
          <w:szCs w:val="24"/>
          <w:lang w:eastAsia="zh-CN"/>
        </w:rPr>
        <w:t xml:space="preserve">The indicative footprint is ~26,300 m² (≈6.5 acres), providing room for continuous riverside paths, play zones, and community planting (Manchester City Council, 2025). </w:t>
      </w:r>
      <w:r>
        <w:rPr>
          <w:rFonts w:ascii="Times New Roman Regular" w:hAnsi="Times New Roman Regular" w:cs="Times New Roman Regular"/>
          <w:sz w:val="24"/>
          <w:szCs w:val="24"/>
        </w:rPr>
        <w:t xml:space="preserve">The Manchester City Council Environment and Regeneration Department will oversee the £5 million project, which is planned to finish between 2025 and 2028. According to the GrowGreen EU Project (2024), participatory nature-based solutions increase community resilience and promote long-term environmental stewardship. </w:t>
      </w:r>
      <w:r>
        <w:rPr>
          <w:rFonts w:ascii="Times New Roman Regular" w:hAnsi="Times New Roman Regular" w:cs="Times New Roman Regular"/>
          <w:sz w:val="24"/>
          <w:szCs w:val="24"/>
          <w:lang w:eastAsia="zh-CN"/>
        </w:rPr>
        <w:t>Primary entrances are planned at Baring Street (Boardman Gate) and the former Mayfield Station frontage, improving permeability from Piccadilly and the city centre (GMCA, 2024).</w:t>
      </w:r>
    </w:p>
    <w:p w14:paraId="06652376" w14:textId="77777777" w:rsidR="00CF7045" w:rsidRDefault="001B0FCA">
      <w:p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noProof/>
          <w:sz w:val="24"/>
          <w:szCs w:val="24"/>
          <w:lang w:eastAsia="zh-CN"/>
        </w:rPr>
        <w:drawing>
          <wp:inline distT="0" distB="0" distL="114300" distR="114300" wp14:anchorId="4087D904" wp14:editId="369D437F">
            <wp:extent cx="5471795" cy="3078480"/>
            <wp:effectExtent l="0" t="0" r="14605" b="20320"/>
            <wp:docPr id="3"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G_256"/>
                    <pic:cNvPicPr>
                      <a:picLocks noChangeAspect="1"/>
                    </pic:cNvPicPr>
                  </pic:nvPicPr>
                  <pic:blipFill>
                    <a:blip r:embed="rId8"/>
                    <a:stretch>
                      <a:fillRect/>
                    </a:stretch>
                  </pic:blipFill>
                  <pic:spPr>
                    <a:xfrm>
                      <a:off x="0" y="0"/>
                      <a:ext cx="5471795" cy="3078480"/>
                    </a:xfrm>
                    <a:prstGeom prst="rect">
                      <a:avLst/>
                    </a:prstGeom>
                    <a:noFill/>
                    <a:ln w="9525">
                      <a:noFill/>
                    </a:ln>
                  </pic:spPr>
                </pic:pic>
              </a:graphicData>
            </a:graphic>
          </wp:inline>
        </w:drawing>
      </w:r>
    </w:p>
    <w:p w14:paraId="710E0C3A" w14:textId="77777777" w:rsidR="00CF7045" w:rsidRDefault="001B0FCA">
      <w:pPr>
        <w:spacing w:line="360" w:lineRule="auto"/>
        <w:jc w:val="center"/>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Figure 1. Manchester Mayfield Park  (Watson, 2023)</w:t>
      </w:r>
    </w:p>
    <w:p w14:paraId="42F80D46" w14:textId="77777777" w:rsidR="00CF7045" w:rsidRDefault="001B0FCA">
      <w:pPr>
        <w:pStyle w:val="Heading2"/>
        <w:spacing w:line="360" w:lineRule="auto"/>
        <w:rPr>
          <w:rFonts w:ascii="Times New Roman Regular" w:hAnsi="Times New Roman Regular" w:cs="Times New Roman Regular"/>
          <w:sz w:val="24"/>
          <w:szCs w:val="24"/>
        </w:rPr>
      </w:pPr>
      <w:bookmarkStart w:id="2" w:name="_Toc2090772375"/>
      <w:r>
        <w:rPr>
          <w:rFonts w:ascii="Times New Roman Regular" w:hAnsi="Times New Roman Regular" w:cs="Times New Roman Regular"/>
          <w:sz w:val="24"/>
          <w:szCs w:val="24"/>
          <w:lang w:eastAsia="zh-CN"/>
        </w:rPr>
        <w:t>1.2 Stakeholder Identification</w:t>
      </w:r>
      <w:bookmarkEnd w:id="2"/>
    </w:p>
    <w:p w14:paraId="4122082D"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As defined by Freeman (1984), stakeholders are individuals or groups who can influence or are influenced by the achievement of an organisation’s objectives. For this project, stakeholders include internal, external, and connectedg roups. Applying Mitchell, Agle and Wood’s (1997) salience model, which evaluates stakeholders based on their power, legitimacy, and urgency, the following table categorises key actors in the New Public Park Project.</w:t>
      </w:r>
    </w:p>
    <w:p w14:paraId="51A086B4" w14:textId="77777777" w:rsidR="00CF7045" w:rsidRDefault="001B0FCA">
      <w:p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Table 1. Identification and Classification of Key Stakeholders for the New Public Park Project in East Manchester</w:t>
      </w:r>
    </w:p>
    <w:tbl>
      <w:tblPr>
        <w:tblW w:w="0" w:type="auto"/>
        <w:tblCellMar>
          <w:left w:w="0" w:type="dxa"/>
          <w:right w:w="0" w:type="dxa"/>
        </w:tblCellMar>
        <w:tblLook w:val="04A0" w:firstRow="1" w:lastRow="0" w:firstColumn="1" w:lastColumn="0" w:noHBand="0" w:noVBand="1"/>
      </w:tblPr>
      <w:tblGrid>
        <w:gridCol w:w="2933"/>
        <w:gridCol w:w="1227"/>
        <w:gridCol w:w="1979"/>
        <w:gridCol w:w="2481"/>
      </w:tblGrid>
      <w:tr w:rsidR="00CF7045" w14:paraId="38797E2D" w14:textId="77777777">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165C97DC" w14:textId="77777777" w:rsidR="00CF7045" w:rsidRDefault="001B0FCA">
            <w:pPr>
              <w:spacing w:line="360" w:lineRule="auto"/>
              <w:jc w:val="center"/>
              <w:rPr>
                <w:rFonts w:ascii="Times New Roman Bold" w:hAnsi="Times New Roman Bold" w:cs="Times New Roman Bold"/>
                <w:b/>
                <w:bCs/>
                <w:color w:val="000000"/>
                <w:sz w:val="24"/>
                <w:szCs w:val="24"/>
                <w:lang w:eastAsia="zh-CN"/>
              </w:rPr>
            </w:pPr>
            <w:r>
              <w:rPr>
                <w:rFonts w:ascii="Times New Roman Bold" w:hAnsi="Times New Roman Bold" w:cs="Times New Roman Bold"/>
                <w:b/>
                <w:bCs/>
                <w:color w:val="000000"/>
                <w:sz w:val="24"/>
                <w:szCs w:val="24"/>
                <w:lang w:eastAsia="zh-CN"/>
              </w:rPr>
              <w:t>Stakeholder</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793A9F0C" w14:textId="77777777" w:rsidR="00CF7045" w:rsidRDefault="001B0FCA">
            <w:pPr>
              <w:spacing w:line="360" w:lineRule="auto"/>
              <w:jc w:val="center"/>
              <w:rPr>
                <w:rFonts w:ascii="Times New Roman Bold" w:hAnsi="Times New Roman Bold" w:cs="Times New Roman Bold"/>
                <w:b/>
                <w:bCs/>
                <w:color w:val="000000"/>
                <w:sz w:val="24"/>
                <w:szCs w:val="24"/>
                <w:lang w:eastAsia="zh-CN"/>
              </w:rPr>
            </w:pPr>
            <w:r>
              <w:rPr>
                <w:rFonts w:ascii="Times New Roman Bold" w:hAnsi="Times New Roman Bold" w:cs="Times New Roman Bold"/>
                <w:b/>
                <w:bCs/>
                <w:color w:val="000000"/>
                <w:sz w:val="24"/>
                <w:szCs w:val="24"/>
                <w:lang w:eastAsia="zh-CN"/>
              </w:rPr>
              <w:t>Type</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58F47E2D" w14:textId="77777777" w:rsidR="00CF7045" w:rsidRDefault="001B0FCA">
            <w:pPr>
              <w:spacing w:line="360" w:lineRule="auto"/>
              <w:jc w:val="center"/>
              <w:rPr>
                <w:rFonts w:ascii="Times New Roman Bold" w:hAnsi="Times New Roman Bold" w:cs="Times New Roman Bold"/>
                <w:b/>
                <w:bCs/>
                <w:color w:val="000000"/>
                <w:sz w:val="24"/>
                <w:szCs w:val="24"/>
                <w:lang w:eastAsia="zh-CN"/>
              </w:rPr>
            </w:pPr>
            <w:r>
              <w:rPr>
                <w:rFonts w:ascii="Times New Roman Bold" w:hAnsi="Times New Roman Bold" w:cs="Times New Roman Bold"/>
                <w:b/>
                <w:bCs/>
                <w:color w:val="000000"/>
                <w:sz w:val="24"/>
                <w:szCs w:val="24"/>
                <w:lang w:eastAsia="zh-CN"/>
              </w:rPr>
              <w:t>Interest in Project</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36997710" w14:textId="77777777" w:rsidR="00CF7045" w:rsidRDefault="001B0FCA">
            <w:pPr>
              <w:spacing w:line="360" w:lineRule="auto"/>
              <w:jc w:val="center"/>
              <w:rPr>
                <w:rFonts w:ascii="Times New Roman Bold" w:hAnsi="Times New Roman Bold" w:cs="Times New Roman Bold"/>
                <w:b/>
                <w:bCs/>
                <w:color w:val="000000"/>
                <w:sz w:val="24"/>
                <w:szCs w:val="24"/>
                <w:lang w:eastAsia="zh-CN"/>
              </w:rPr>
            </w:pPr>
            <w:r>
              <w:rPr>
                <w:rFonts w:ascii="Times New Roman Bold" w:hAnsi="Times New Roman Bold" w:cs="Times New Roman Bold"/>
                <w:b/>
                <w:bCs/>
                <w:color w:val="000000"/>
                <w:sz w:val="24"/>
                <w:szCs w:val="24"/>
                <w:lang w:eastAsia="zh-CN"/>
              </w:rPr>
              <w:t>Potential Benefit / Impact</w:t>
            </w:r>
          </w:p>
        </w:tc>
      </w:tr>
      <w:tr w:rsidR="00CF7045" w14:paraId="6B2D6E36" w14:textId="77777777">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7EA4443"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Manchester City Council</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614995DB"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Internal</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5F06D264"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Urban regeneration, sustainability</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3C22C62"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Enhanced image and governance credibility</w:t>
            </w:r>
          </w:p>
        </w:tc>
      </w:tr>
      <w:tr w:rsidR="00CF7045" w14:paraId="3C78759F"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8E9F9D0"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Local Residents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321857D"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External</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80AFFF3"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Recreation, safety, well-being</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909EA90"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Improved quality of life and property value</w:t>
            </w:r>
          </w:p>
        </w:tc>
      </w:tr>
      <w:tr w:rsidR="00CF7045" w14:paraId="11E38149"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4453065"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Environmental NGOs (e.g., Friends of the Earth Manchester)</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D5E9884"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Connected</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510DC32A"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Habitat preservation, advocacy</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804F97A"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Biodiversity enhancement and cleaner air</w:t>
            </w:r>
          </w:p>
        </w:tc>
      </w:tr>
      <w:tr w:rsidR="00CF7045" w14:paraId="224AB148"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FE37754"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Local Businesses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3465B8FE"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External</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3D76BC32"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Increased consumer activity</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F1E8E6D"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Economic growth and tourism stimulation</w:t>
            </w:r>
          </w:p>
        </w:tc>
      </w:tr>
      <w:tr w:rsidR="00CF7045" w14:paraId="143EAFDD"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67FEE26"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Contractors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4DFFD3A"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External</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002503E"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Employment and project delivery</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3CD40E1"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Job creation and economic opportunity</w:t>
            </w:r>
          </w:p>
        </w:tc>
      </w:tr>
      <w:tr w:rsidR="00CF7045" w14:paraId="00430F20"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3ED66A2"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Media (Manchester Evening News)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5873B48"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Connected</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FF9F83F"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Community awareness and transparency</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3B5607B"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Informed public and civic engagement</w:t>
            </w:r>
          </w:p>
        </w:tc>
      </w:tr>
      <w:tr w:rsidR="00CF7045" w14:paraId="53C692A7"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7A7FA32"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Mayfield Development Partnership / Venue Operators (Depot Mayfield; Escape to Freight Island)</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2361326"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Connected</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F898FDE"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Events programming, access, safety</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B61033F"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Placemaking, visitor economy; crowd and traffic management requirements</w:t>
            </w:r>
          </w:p>
        </w:tc>
      </w:tr>
    </w:tbl>
    <w:p w14:paraId="03F4F9CC"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Direct neighbours include Depot Mayfield (events venue), Escape to Freight Island (food/culture), the former Mayfield Station structure, the River Medlock corridor, and rail/Metrolink assets near Manchester Piccadilly. These adjacencies shape patterns of evening/weekend footfall and noise dispersion and therefore appear in the stakeholder list and risk log (Prebanić &amp; Vukomanović, 2023).</w:t>
      </w:r>
    </w:p>
    <w:p w14:paraId="681FB484" w14:textId="77777777" w:rsidR="00CF7045" w:rsidRDefault="001B0FCA">
      <w:pPr>
        <w:pStyle w:val="Heading2"/>
        <w:spacing w:line="360" w:lineRule="auto"/>
        <w:rPr>
          <w:rFonts w:ascii="Times New Roman Regular" w:hAnsi="Times New Roman Regular" w:cs="Times New Roman Regular"/>
          <w:sz w:val="24"/>
          <w:szCs w:val="24"/>
        </w:rPr>
      </w:pPr>
      <w:bookmarkStart w:id="3" w:name="_Toc336390764"/>
      <w:r>
        <w:rPr>
          <w:rFonts w:ascii="Times New Roman Regular" w:hAnsi="Times New Roman Regular" w:cs="Times New Roman Regular"/>
          <w:sz w:val="24"/>
          <w:szCs w:val="24"/>
        </w:rPr>
        <w:t>1.3 Project Relevance</w:t>
      </w:r>
      <w:bookmarkEnd w:id="3"/>
    </w:p>
    <w:p w14:paraId="235D08A4"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Historic industrialisation and intensive urban expansion have left East Manchester without green space. The planned park is needed since the Manchester Green Infrastructure Technical Report (2025) found below-average canopy coverage and few recreational features. Urban greening improves mental health, social inclusion, and air quality </w:t>
      </w:r>
      <w:r>
        <w:rPr>
          <w:rFonts w:ascii="Times New Roman Regular" w:hAnsi="Times New Roman Regular" w:cs="Times New Roman Regular"/>
          <w:sz w:val="24"/>
          <w:szCs w:val="24"/>
          <w:lang w:eastAsia="zh-CN"/>
        </w:rPr>
        <w:t>(Hislop, Scott and Corbett, 2019)</w:t>
      </w:r>
      <w:r>
        <w:rPr>
          <w:rFonts w:ascii="Times New Roman Regular" w:hAnsi="Times New Roman Regular" w:cs="Times New Roman Regular"/>
          <w:sz w:val="24"/>
          <w:szCs w:val="24"/>
        </w:rPr>
        <w:t xml:space="preserve">. In accordance with the Equality Act (UK Government, 2010), the GMCA Natural Environment Topic Paper (2024) supports inclusive planning procedures. Designed for universal accessibility, the park will provide equal pleasure for all inhabitants. </w:t>
      </w:r>
      <w:r>
        <w:rPr>
          <w:rFonts w:ascii="Times New Roman Regular" w:hAnsi="Times New Roman Regular" w:cs="Times New Roman Regular"/>
          <w:sz w:val="24"/>
          <w:szCs w:val="24"/>
          <w:lang w:eastAsia="zh-CN"/>
        </w:rPr>
        <w:t>Proximity to major events and hospitality operators increases both social activation potential and management complexity; aligning opening hours, lighting, and stewarding with venue calendars reduces conflict and maximises shared value (Knox, 2024). Universal-design facilities, including accessible toilets and baby-change, are therefore scoped as critical enablers of equitable access (UK Government, 2010).</w:t>
      </w:r>
    </w:p>
    <w:p w14:paraId="43214981" w14:textId="77777777" w:rsidR="00CF7045" w:rsidRDefault="001B0FCA">
      <w:pPr>
        <w:pStyle w:val="Heading1"/>
        <w:spacing w:line="360" w:lineRule="auto"/>
        <w:jc w:val="center"/>
        <w:rPr>
          <w:rFonts w:ascii="Times New Roman Regular" w:hAnsi="Times New Roman Regular" w:cs="Times New Roman Regular" w:hint="default"/>
          <w:sz w:val="24"/>
          <w:szCs w:val="24"/>
        </w:rPr>
      </w:pPr>
      <w:bookmarkStart w:id="4" w:name="_Toc1542611644"/>
      <w:r>
        <w:rPr>
          <w:rFonts w:ascii="Times New Roman Regular" w:hAnsi="Times New Roman Regular" w:cs="Times New Roman Regular" w:hint="default"/>
          <w:sz w:val="24"/>
          <w:szCs w:val="24"/>
        </w:rPr>
        <w:t>Element 2: Stakeholder Engagement Strategies</w:t>
      </w:r>
      <w:bookmarkEnd w:id="4"/>
    </w:p>
    <w:p w14:paraId="6F0DB01A" w14:textId="77777777" w:rsidR="00CF7045" w:rsidRDefault="001B0FCA">
      <w:pPr>
        <w:pStyle w:val="Heading2"/>
        <w:spacing w:line="360" w:lineRule="auto"/>
        <w:rPr>
          <w:rFonts w:ascii="Times New Roman Regular" w:hAnsi="Times New Roman Regular" w:cs="Times New Roman Regular"/>
          <w:sz w:val="24"/>
          <w:szCs w:val="24"/>
        </w:rPr>
      </w:pPr>
      <w:bookmarkStart w:id="5" w:name="_Toc103830477"/>
      <w:r>
        <w:rPr>
          <w:rFonts w:ascii="Times New Roman Regular" w:hAnsi="Times New Roman Regular" w:cs="Times New Roman Regular"/>
          <w:sz w:val="24"/>
          <w:szCs w:val="24"/>
        </w:rPr>
        <w:t>2.1 Theoretical Framework</w:t>
      </w:r>
      <w:bookmarkEnd w:id="5"/>
    </w:p>
    <w:p w14:paraId="7B29D844"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Effective stakeholder engagement forms the foundation of sustainable project management. Freeman (1984) defines stakeholders as any individual or group that can affect or is affected by the achievement of an organisation’s objectives. In the context of the New Public Park Project in East Manchester, this concept emphasises the need for Manchester City Council and its broad community network to create mutual benefit. Freeman's stakeholder theory promotes cooperation over control, citing legitimacy, trust, and long-term project success. </w:t>
      </w:r>
    </w:p>
    <w:p w14:paraId="0F5AAE74"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Based on Freeman's work, Bourne (2015) suggests stakeholder relationship maturity, a process by which firms go from ad hoc communication to systematic, integrated relationship management. In Bourne's Stakeholder Relationship Management (SRM) model, reactive engagement evolves into proactive involvement and message frequency, medium, and subject must meet each group's influence and expectations. This creates targeted communication channels for Manchester park project inhabitants, NGOs, contractors, and media partners. To identify and rank stakeholders, Mendelow's Power–Interest Matrix and Mitchell, Agle, and Wood's (1997) salience model provide structured analytical methods. Mendelow's grid stratifies stakeholders by interest and power (project impact). Mitchell et al. (1997) construct a dynamic stakeholder salience framework by adding power, legitimacy, and urgency. Combining these methods allows variable project design and execution engagement methodologies.</w:t>
      </w:r>
    </w:p>
    <w:p w14:paraId="24E35476"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Government initiatives use engagement as a management tool and a democratic accountability tool. Knox (2024) says stakeholder participation legitimizes public-sector innovation by encouraging transparency, inclusivity, and shared ownership. Legitimacy is important for municipal projects like the New Public Park because of financing, local identity, and sustainability. Lastly, digital governance needs online involvement tools. Aaltonen, Di Maddaloni, and Sivunen (2024) show that social media updates, online forums, and feedback surveys promote responsiveness, diversity, and real-time dispute management. These findings shape the park project's stakeholder strategy, which combines traditional consultations with digital means for continuing, inclusive engagement. This stakeholder theory, salience frameworks, and communication maturity basis creates a responsive, ethical, and transparent engagement approach.</w:t>
      </w:r>
    </w:p>
    <w:p w14:paraId="402BEECF"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Accordingly, venue operators and rail stakeholders are treated as “context setters” whose salience varies by phase, echoing Bourne’s SRM maturity view of dynamic relationships (Bourne, 2015; Mitchell et al., 1997).</w:t>
      </w:r>
    </w:p>
    <w:p w14:paraId="70756106" w14:textId="77777777" w:rsidR="00CF7045" w:rsidRDefault="001B0FCA">
      <w:pPr>
        <w:pStyle w:val="Heading2"/>
        <w:spacing w:line="360" w:lineRule="auto"/>
        <w:rPr>
          <w:rFonts w:ascii="Times New Roman Regular" w:hAnsi="Times New Roman Regular" w:cs="Times New Roman Regular"/>
          <w:sz w:val="24"/>
          <w:szCs w:val="24"/>
        </w:rPr>
      </w:pPr>
      <w:bookmarkStart w:id="6" w:name="_Toc1322105575"/>
      <w:r>
        <w:rPr>
          <w:rFonts w:ascii="Times New Roman Regular" w:hAnsi="Times New Roman Regular" w:cs="Times New Roman Regular"/>
          <w:sz w:val="24"/>
          <w:szCs w:val="24"/>
          <w:lang w:eastAsia="zh-CN"/>
        </w:rPr>
        <w:t>2.2 Power–Influence–Interest Analysis</w:t>
      </w:r>
      <w:bookmarkEnd w:id="6"/>
    </w:p>
    <w:p w14:paraId="62181D9C"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To ensure balanced engagement, stakeholders must be systematically evaluated based on their power, influence, and interest in the project. Table 2 illustrates these relationships for the New Public Park Project.</w:t>
      </w:r>
    </w:p>
    <w:p w14:paraId="5234E23B" w14:textId="77777777" w:rsidR="00CF7045" w:rsidRDefault="001B0FCA">
      <w:pPr>
        <w:spacing w:line="36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Table 2. Stakeholder Power–Influence–Interest Analysis for the New Public Park Project</w:t>
      </w:r>
    </w:p>
    <w:tbl>
      <w:tblPr>
        <w:tblW w:w="4998" w:type="pct"/>
        <w:tblCellMar>
          <w:left w:w="0" w:type="dxa"/>
          <w:right w:w="0" w:type="dxa"/>
        </w:tblCellMar>
        <w:tblLook w:val="04A0" w:firstRow="1" w:lastRow="0" w:firstColumn="1" w:lastColumn="0" w:noHBand="0" w:noVBand="1"/>
      </w:tblPr>
      <w:tblGrid>
        <w:gridCol w:w="2836"/>
        <w:gridCol w:w="1100"/>
        <w:gridCol w:w="1201"/>
        <w:gridCol w:w="1100"/>
        <w:gridCol w:w="2380"/>
      </w:tblGrid>
      <w:tr w:rsidR="00CF7045" w14:paraId="281F4F5E" w14:textId="77777777">
        <w:tc>
          <w:tcPr>
            <w:tcW w:w="1645" w:type="pct"/>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51D7D53D" w14:textId="77777777" w:rsidR="00CF7045" w:rsidRDefault="001B0FCA">
            <w:pPr>
              <w:spacing w:line="360" w:lineRule="auto"/>
              <w:jc w:val="center"/>
              <w:rPr>
                <w:rFonts w:ascii="Times New Roman Regular" w:hAnsi="Times New Roman Regular" w:cs="Times New Roman Regular"/>
                <w:b/>
                <w:bCs/>
                <w:color w:val="000000"/>
                <w:sz w:val="24"/>
                <w:szCs w:val="24"/>
              </w:rPr>
            </w:pPr>
            <w:r>
              <w:rPr>
                <w:rFonts w:ascii="Times New Roman Regular" w:hAnsi="Times New Roman Regular" w:cs="Times New Roman Regular"/>
                <w:b/>
                <w:bCs/>
                <w:color w:val="000000"/>
                <w:sz w:val="24"/>
                <w:szCs w:val="24"/>
                <w:lang w:eastAsia="zh-CN"/>
              </w:rPr>
              <w:t>Stakeholder</w:t>
            </w:r>
          </w:p>
        </w:tc>
        <w:tc>
          <w:tcPr>
            <w:tcW w:w="638" w:type="pct"/>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601C5CE6" w14:textId="77777777" w:rsidR="00CF7045" w:rsidRDefault="001B0FCA">
            <w:pPr>
              <w:spacing w:line="360" w:lineRule="auto"/>
              <w:jc w:val="center"/>
              <w:rPr>
                <w:rFonts w:ascii="Times New Roman Regular" w:hAnsi="Times New Roman Regular" w:cs="Times New Roman Regular"/>
                <w:b/>
                <w:bCs/>
                <w:color w:val="000000"/>
                <w:sz w:val="24"/>
                <w:szCs w:val="24"/>
              </w:rPr>
            </w:pPr>
            <w:r>
              <w:rPr>
                <w:rFonts w:ascii="Times New Roman Regular" w:hAnsi="Times New Roman Regular" w:cs="Times New Roman Regular"/>
                <w:b/>
                <w:bCs/>
                <w:color w:val="000000"/>
                <w:sz w:val="24"/>
                <w:szCs w:val="24"/>
                <w:lang w:eastAsia="zh-CN"/>
              </w:rPr>
              <w:t>Power</w:t>
            </w:r>
          </w:p>
        </w:tc>
        <w:tc>
          <w:tcPr>
            <w:tcW w:w="697" w:type="pct"/>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3B24D84B" w14:textId="77777777" w:rsidR="00CF7045" w:rsidRDefault="001B0FCA">
            <w:pPr>
              <w:spacing w:line="360" w:lineRule="auto"/>
              <w:jc w:val="center"/>
              <w:rPr>
                <w:rFonts w:ascii="Times New Roman Regular" w:hAnsi="Times New Roman Regular" w:cs="Times New Roman Regular"/>
                <w:b/>
                <w:bCs/>
                <w:color w:val="000000"/>
                <w:sz w:val="24"/>
                <w:szCs w:val="24"/>
              </w:rPr>
            </w:pPr>
            <w:r>
              <w:rPr>
                <w:rFonts w:ascii="Times New Roman Regular" w:hAnsi="Times New Roman Regular" w:cs="Times New Roman Regular"/>
                <w:b/>
                <w:bCs/>
                <w:color w:val="000000"/>
                <w:sz w:val="24"/>
                <w:szCs w:val="24"/>
                <w:lang w:eastAsia="zh-CN"/>
              </w:rPr>
              <w:t>Influence</w:t>
            </w:r>
          </w:p>
        </w:tc>
        <w:tc>
          <w:tcPr>
            <w:tcW w:w="638" w:type="pct"/>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0F8A8EF0" w14:textId="77777777" w:rsidR="00CF7045" w:rsidRDefault="001B0FCA">
            <w:pPr>
              <w:spacing w:line="360" w:lineRule="auto"/>
              <w:jc w:val="center"/>
              <w:rPr>
                <w:rFonts w:ascii="Times New Roman Regular" w:hAnsi="Times New Roman Regular" w:cs="Times New Roman Regular"/>
                <w:b/>
                <w:bCs/>
                <w:color w:val="000000"/>
                <w:sz w:val="24"/>
                <w:szCs w:val="24"/>
              </w:rPr>
            </w:pPr>
            <w:r>
              <w:rPr>
                <w:rFonts w:ascii="Times New Roman Regular" w:hAnsi="Times New Roman Regular" w:cs="Times New Roman Regular"/>
                <w:b/>
                <w:bCs/>
                <w:color w:val="000000"/>
                <w:sz w:val="24"/>
                <w:szCs w:val="24"/>
                <w:lang w:eastAsia="zh-CN"/>
              </w:rPr>
              <w:t>Interest</w:t>
            </w:r>
          </w:p>
        </w:tc>
        <w:tc>
          <w:tcPr>
            <w:tcW w:w="1381" w:type="pct"/>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519A50EC" w14:textId="77777777" w:rsidR="00CF7045" w:rsidRDefault="001B0FCA">
            <w:pPr>
              <w:spacing w:line="360" w:lineRule="auto"/>
              <w:jc w:val="center"/>
              <w:rPr>
                <w:rFonts w:ascii="Times New Roman Regular" w:hAnsi="Times New Roman Regular" w:cs="Times New Roman Regular"/>
                <w:b/>
                <w:bCs/>
                <w:color w:val="000000"/>
                <w:sz w:val="24"/>
                <w:szCs w:val="24"/>
              </w:rPr>
            </w:pPr>
            <w:r>
              <w:rPr>
                <w:rFonts w:ascii="Times New Roman Regular" w:hAnsi="Times New Roman Regular" w:cs="Times New Roman Regular"/>
                <w:b/>
                <w:bCs/>
                <w:color w:val="000000"/>
                <w:sz w:val="24"/>
                <w:szCs w:val="24"/>
                <w:lang w:eastAsia="zh-CN"/>
              </w:rPr>
              <w:t>Engagement Priority</w:t>
            </w:r>
          </w:p>
        </w:tc>
      </w:tr>
      <w:tr w:rsidR="00CF7045" w14:paraId="568D51E0" w14:textId="77777777">
        <w:tc>
          <w:tcPr>
            <w:tcW w:w="1645" w:type="pct"/>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543496A0"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Manchester City Council</w:t>
            </w:r>
          </w:p>
        </w:tc>
        <w:tc>
          <w:tcPr>
            <w:tcW w:w="638" w:type="pct"/>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00834AED"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697" w:type="pct"/>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47DE0E8F"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638" w:type="pct"/>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CE16116"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1381" w:type="pct"/>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5D5665D4"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Manage closely</w:t>
            </w:r>
          </w:p>
        </w:tc>
      </w:tr>
      <w:tr w:rsidR="00CF7045" w14:paraId="6C7908CD" w14:textId="77777777">
        <w:tc>
          <w:tcPr>
            <w:tcW w:w="1645"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68AF2BE"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Local Residents</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B8F19E0"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97"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BE0585A"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8AA5474"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1381"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976C539"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Keep informed</w:t>
            </w:r>
          </w:p>
        </w:tc>
      </w:tr>
      <w:tr w:rsidR="00CF7045" w14:paraId="34E93C14" w14:textId="77777777">
        <w:tc>
          <w:tcPr>
            <w:tcW w:w="1645"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A538C4B"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Environmental NGOs</w:t>
            </w:r>
          </w:p>
        </w:tc>
        <w:tc>
          <w:tcPr>
            <w:tcW w:w="638"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23A01C5"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97"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662CB64"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38"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072199AB"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1381"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F10DC89"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Consult</w:t>
            </w:r>
          </w:p>
        </w:tc>
      </w:tr>
      <w:tr w:rsidR="00CF7045" w14:paraId="0A0B088B" w14:textId="77777777">
        <w:tc>
          <w:tcPr>
            <w:tcW w:w="1645"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2B2899A"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Contractors</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655DDF1"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High</w:t>
            </w:r>
          </w:p>
        </w:tc>
        <w:tc>
          <w:tcPr>
            <w:tcW w:w="697"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7305046"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3847295"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1381"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B2CA036"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Keep satisfied</w:t>
            </w:r>
          </w:p>
        </w:tc>
      </w:tr>
      <w:tr w:rsidR="00CF7045" w14:paraId="2A80E42F" w14:textId="77777777">
        <w:tc>
          <w:tcPr>
            <w:tcW w:w="1645"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64537690"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Local Businesses</w:t>
            </w:r>
          </w:p>
        </w:tc>
        <w:tc>
          <w:tcPr>
            <w:tcW w:w="638"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0F869BF"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97"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04FDB2C3"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Low</w:t>
            </w:r>
          </w:p>
        </w:tc>
        <w:tc>
          <w:tcPr>
            <w:tcW w:w="638"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3BF8563"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1381" w:type="pct"/>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56CD054"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Monitor</w:t>
            </w:r>
          </w:p>
        </w:tc>
      </w:tr>
      <w:tr w:rsidR="00CF7045" w14:paraId="0F82C70F" w14:textId="77777777">
        <w:tc>
          <w:tcPr>
            <w:tcW w:w="1645"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DBEA55C"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Media</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5DA7C70"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Low</w:t>
            </w:r>
          </w:p>
        </w:tc>
        <w:tc>
          <w:tcPr>
            <w:tcW w:w="697"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9E48924"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638"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3F6DE340"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Medium</w:t>
            </w:r>
          </w:p>
        </w:tc>
        <w:tc>
          <w:tcPr>
            <w:tcW w:w="1381" w:type="pct"/>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5B3D86D" w14:textId="77777777" w:rsidR="00CF7045" w:rsidRDefault="001B0FCA">
            <w:pPr>
              <w:spacing w:line="360" w:lineRule="auto"/>
              <w:jc w:val="center"/>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lang w:eastAsia="zh-CN"/>
              </w:rPr>
              <w:t>Keep informed</w:t>
            </w:r>
          </w:p>
        </w:tc>
      </w:tr>
    </w:tbl>
    <w:p w14:paraId="271B4EDC" w14:textId="77777777" w:rsidR="00CF7045" w:rsidRDefault="00CF7045">
      <w:pPr>
        <w:spacing w:line="360" w:lineRule="auto"/>
        <w:jc w:val="both"/>
        <w:rPr>
          <w:rFonts w:ascii="Times New Roman Regular" w:hAnsi="Times New Roman Regular" w:cs="Times New Roman Regular"/>
          <w:sz w:val="24"/>
          <w:szCs w:val="24"/>
        </w:rPr>
      </w:pPr>
    </w:p>
    <w:p w14:paraId="5DAD218A"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Venue operators hold medium power / high influence during events due to crowd flows and reputational spillovers; they are therefore managed as Consult/Keep Satisfied with a joint calendar and incident-response protocol.</w:t>
      </w:r>
    </w:p>
    <w:p w14:paraId="55ECA03F" w14:textId="77777777" w:rsidR="00CF7045" w:rsidRDefault="001B0FCA">
      <w:pPr>
        <w:spacing w:line="36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lang w:eastAsia="zh-CN"/>
        </w:rPr>
        <w:t>Prebanić and Vukomanović (2023) emphasise the importance of mapping traits for infrastructure development, as it simplifies decision-making power and avoids conflict between economic and social aims. Manchester City Council has the most authority in this project owing to its regulatory and financing role, although local citizens have substantial influence via collective action and public opinion. Stakeholder power changes over a project's lifespan, per Dolan (2025). Construction contractors, who were less apparent during consultation, acquire influence on-site, requiring greater control. NGOs and local companies have low impact but great partnership potential in biodiversity monitoring and event sponsorship. The media is crucial to transparency and community feeling. This organised categorisation helps the Council deploy communication resources proportionally, keeping all stakeholders informed, consulted, and empowered.</w:t>
      </w:r>
    </w:p>
    <w:p w14:paraId="71CC670D"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7" w:name="_Toc615103516"/>
      <w:r>
        <w:rPr>
          <w:rFonts w:ascii="Times New Roman Regular" w:hAnsi="Times New Roman Regular" w:cs="Times New Roman Regular"/>
          <w:sz w:val="24"/>
          <w:szCs w:val="24"/>
          <w:lang w:eastAsia="zh-CN"/>
        </w:rPr>
        <w:t>2.3 Stakeholder Map</w:t>
      </w:r>
      <w:bookmarkEnd w:id="7"/>
    </w:p>
    <w:p w14:paraId="499A5994" w14:textId="77777777" w:rsidR="00CF7045" w:rsidRDefault="001B0FCA">
      <w:pPr>
        <w:spacing w:line="360" w:lineRule="auto"/>
        <w:ind w:firstLine="720"/>
        <w:jc w:val="both"/>
        <w:rPr>
          <w:rFonts w:ascii="Times New Roman Regular" w:hAnsi="Times New Roman Regular" w:cs="Times New Roman Regular"/>
          <w:b/>
          <w:bCs/>
          <w:sz w:val="24"/>
          <w:szCs w:val="24"/>
          <w:lang w:eastAsia="zh-CN"/>
        </w:rPr>
      </w:pPr>
      <w:r>
        <w:rPr>
          <w:rFonts w:ascii="Times New Roman Regular" w:hAnsi="Times New Roman Regular" w:cs="Times New Roman Regular"/>
          <w:sz w:val="24"/>
          <w:szCs w:val="24"/>
          <w:lang w:eastAsia="zh-CN"/>
        </w:rPr>
        <w:t>A stakeholder map using Mendelow’s Power–Interest grid (Figure 2) clarifies who needs what style of engagement at each phase. Manchester City Council sits in High Power–High Interest (Manage Closely): involve them in all gate decisions and risk reviews. Local Residents and Environmental NGOs plot in Medium Power–High Interest: co-create/keep informed with fortnightly updates, design charrettes, and clear “You Said–We Did” loops. Venue operators (Depot Mayfield / Escape to Freight Island) are Medium Power–High Interest: consult on crowd flows, lighting, and programming via a shared events calendar and incident protocol. Contractors &amp; Designers and Network Rail/TOCsoccupy High Power–Medium Interest (Keep Satisfied), with salience peaking during construction and any interfaces with Piccadilly, manage via weekly look-aheads, permits, and H&amp;S controls. Local Businesses sit around Medium–Medium(Monitor/consult at milestones) for parking, servicing, and event timing. Media remain Low Power–Medium Interest(Keep Informed) through timely, factual briefings. Because positions shift over time (Erkul, Kumral &amp; Çelik, 2016), conduct quarterly stakeholder audits (Bourne, 2015) to capture attitude changes, update coordinates on the grid, and adjust tactics. An interactive map on the Council website will log interaction frequency, key feedback themes, and movements between quadrants from planning through build to operations.</w:t>
      </w:r>
    </w:p>
    <w:p w14:paraId="416B6658" w14:textId="77777777" w:rsidR="00CF7045" w:rsidRDefault="001B0FCA">
      <w:pPr>
        <w:spacing w:line="360" w:lineRule="auto"/>
        <w:jc w:val="center"/>
        <w:rPr>
          <w:rFonts w:ascii="Times New Roman Regular" w:hAnsi="Times New Roman Regular" w:cs="Times New Roman Regular"/>
          <w:b/>
          <w:bCs/>
          <w:sz w:val="24"/>
          <w:szCs w:val="24"/>
          <w:lang w:eastAsia="zh-CN"/>
        </w:rPr>
      </w:pPr>
      <w:r>
        <w:rPr>
          <w:rFonts w:ascii="Times New Roman Regular" w:hAnsi="Times New Roman Regular" w:cs="Times New Roman Regular"/>
          <w:b/>
          <w:bCs/>
          <w:noProof/>
          <w:sz w:val="24"/>
          <w:szCs w:val="24"/>
          <w:lang w:eastAsia="zh-CN"/>
        </w:rPr>
        <w:drawing>
          <wp:inline distT="0" distB="0" distL="114300" distR="114300" wp14:anchorId="4A333F32" wp14:editId="2B0C35C2">
            <wp:extent cx="5481320" cy="5481320"/>
            <wp:effectExtent l="0" t="0" r="5080" b="5080"/>
            <wp:docPr id="5" name="Picture 5" descr="ChatGPT Image Nov 2, 2025 at 11_15_39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tGPT Image Nov 2, 2025 at 11_15_39 PM"/>
                    <pic:cNvPicPr>
                      <a:picLocks noChangeAspect="1"/>
                    </pic:cNvPicPr>
                  </pic:nvPicPr>
                  <pic:blipFill>
                    <a:blip r:embed="rId9"/>
                    <a:stretch>
                      <a:fillRect/>
                    </a:stretch>
                  </pic:blipFill>
                  <pic:spPr>
                    <a:xfrm>
                      <a:off x="0" y="0"/>
                      <a:ext cx="5481320" cy="5481320"/>
                    </a:xfrm>
                    <a:prstGeom prst="rect">
                      <a:avLst/>
                    </a:prstGeom>
                  </pic:spPr>
                </pic:pic>
              </a:graphicData>
            </a:graphic>
          </wp:inline>
        </w:drawing>
      </w:r>
    </w:p>
    <w:p w14:paraId="5042272B" w14:textId="77777777" w:rsidR="00CF7045" w:rsidRDefault="001B0FCA">
      <w:pPr>
        <w:spacing w:line="360" w:lineRule="auto"/>
        <w:jc w:val="center"/>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Figure 2. Stakeholder Map</w:t>
      </w:r>
    </w:p>
    <w:p w14:paraId="14E5775D"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8" w:name="_Toc58516754"/>
      <w:r>
        <w:rPr>
          <w:rFonts w:ascii="Times New Roman Regular" w:hAnsi="Times New Roman Regular" w:cs="Times New Roman Regular"/>
          <w:sz w:val="24"/>
          <w:szCs w:val="24"/>
          <w:lang w:eastAsia="zh-CN"/>
        </w:rPr>
        <w:t>2.4 Communication Plan</w:t>
      </w:r>
      <w:bookmarkEnd w:id="8"/>
    </w:p>
    <w:p w14:paraId="4220DCFD"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Effective communication keeps stakeholders on project objectives. Communication maturity, from reactive to predictive, measures organisational capabilities, according to Bourne (2015). The New Public Park seeks transparency, inclusion, and frequent input via proactive means. This openness is increasingly supported by digital instruments. Aaltonen et al. (2024) show how social media helps public entities handle enquiries and expectations. Knox (2024) claims that addressing demographically diverse individuals via a combination of conventional and digital methods legitimises involvement. The communication strategy below uses digital and physical channels to enable equitable involvement and two-way interaction in accordance with GMCA (2024) green-infrastructure governance requirements.</w:t>
      </w:r>
    </w:p>
    <w:p w14:paraId="01CAA437" w14:textId="77777777" w:rsidR="00CF7045" w:rsidRDefault="001B0FCA">
      <w:p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Table 3. Stakeholder Communication Plan for the New Public Park Project</w:t>
      </w:r>
    </w:p>
    <w:tbl>
      <w:tblPr>
        <w:tblW w:w="0" w:type="auto"/>
        <w:tblCellMar>
          <w:left w:w="0" w:type="dxa"/>
          <w:right w:w="0" w:type="dxa"/>
        </w:tblCellMar>
        <w:tblLook w:val="04A0" w:firstRow="1" w:lastRow="0" w:firstColumn="1" w:lastColumn="0" w:noHBand="0" w:noVBand="1"/>
      </w:tblPr>
      <w:tblGrid>
        <w:gridCol w:w="1668"/>
        <w:gridCol w:w="1794"/>
        <w:gridCol w:w="1294"/>
        <w:gridCol w:w="1965"/>
        <w:gridCol w:w="1899"/>
      </w:tblGrid>
      <w:tr w:rsidR="00CF7045" w14:paraId="2E79325A" w14:textId="77777777">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560A7E56"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Stakeholder</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6B9D9776"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Information to Communicate</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17C88221"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Frequency</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0234F400"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Communication Medium</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44814678"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Responsible Party</w:t>
            </w:r>
          </w:p>
        </w:tc>
      </w:tr>
      <w:tr w:rsidR="00CF7045" w14:paraId="6D46E738" w14:textId="77777777">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A8D7F7B"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Manchester City Council</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1609B4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Project milestones, risk updates</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230D2F9"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Monthly</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61A636F"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Reports, internal meetings</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6D65966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Project Manager</w:t>
            </w:r>
          </w:p>
        </w:tc>
      </w:tr>
      <w:tr w:rsidR="00CF7045" w14:paraId="09AFEA25"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4214368"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Local Residents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B23D48F"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Design plans, community events, construction notices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89E3B6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Bi-weekly</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958D260"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Newsletters, social media, town-hall sessions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F8B9A6B"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Community Liaison Officer</w:t>
            </w:r>
          </w:p>
        </w:tc>
      </w:tr>
      <w:tr w:rsidR="00CF7045" w14:paraId="06923A11"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CB636CD"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Environmental NGOs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5613A8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Environmental assessments, biodiversity progress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6E0E2D2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Quarterly</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0E6CCD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Email, stakeholder forums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14C48D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Sustainability Officer</w:t>
            </w:r>
          </w:p>
        </w:tc>
      </w:tr>
      <w:tr w:rsidR="00CF7045" w14:paraId="00330169"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32CA643C"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Contractors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974254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Technical requirements, safety standards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7C688E2"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Weekly</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367DFE26"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Briefings, progress dashboards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A8BCC8D"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Site Manager</w:t>
            </w:r>
          </w:p>
        </w:tc>
      </w:tr>
      <w:tr w:rsidR="00CF7045" w14:paraId="75AC8319"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FC9D7DC"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Local Businesses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D6AEE09"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Footfall forecasts, commercial opportunities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4A3AB2B3"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Monthly</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48E6584A"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Email circulars, business roundtables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47D5F1DD"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Economic Development Officer</w:t>
            </w:r>
          </w:p>
        </w:tc>
      </w:tr>
      <w:tr w:rsidR="00CF7045" w14:paraId="0E32EBC6"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62E51C9"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Media</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A048806"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Press releases, human-interest stories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AE33FB2"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As needed</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B0F70A0"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Press kits, online newsroom</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A605F3F"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Communications Team</w:t>
            </w:r>
          </w:p>
        </w:tc>
      </w:tr>
      <w:tr w:rsidR="00CF7045" w14:paraId="3B133D59" w14:textId="77777777">
        <w:tc>
          <w:tcPr>
            <w:tcW w:w="1692" w:type="dxa"/>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28BD662"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Venue Operators (Depot Mayfield / Freight Island)</w:t>
            </w:r>
          </w:p>
        </w:tc>
        <w:tc>
          <w:tcPr>
            <w:tcW w:w="1887" w:type="dxa"/>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9AC441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Works windows, stewarding, noise, joint events</w:t>
            </w:r>
          </w:p>
        </w:tc>
        <w:tc>
          <w:tcPr>
            <w:tcW w:w="1294" w:type="dxa"/>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0BC318B"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Monthly (plan) / Weekly (build) / Pre-event</w:t>
            </w:r>
          </w:p>
        </w:tc>
        <w:tc>
          <w:tcPr>
            <w:tcW w:w="2032" w:type="dxa"/>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EC5748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Liaison meeting; shared calendar; SMS ops channel</w:t>
            </w:r>
          </w:p>
        </w:tc>
        <w:tc>
          <w:tcPr>
            <w:tcW w:w="1935" w:type="dxa"/>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4813CFAF"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Community Liaison + Site Manager</w:t>
            </w:r>
          </w:p>
        </w:tc>
      </w:tr>
    </w:tbl>
    <w:p w14:paraId="6C2551D3" w14:textId="77777777" w:rsidR="00CF7045" w:rsidRDefault="00CF7045">
      <w:pPr>
        <w:spacing w:line="360" w:lineRule="auto"/>
        <w:jc w:val="both"/>
        <w:rPr>
          <w:rFonts w:ascii="Times New Roman Regular" w:hAnsi="Times New Roman Regular" w:cs="Times New Roman Regular"/>
          <w:sz w:val="24"/>
          <w:szCs w:val="24"/>
          <w:lang w:eastAsia="zh-CN"/>
        </w:rPr>
      </w:pPr>
    </w:p>
    <w:p w14:paraId="6EC10B54"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A web page will host photo updates, including toilet location photos and wayfinding maps, to reduce information friction for first-time visitors (Aaltonen et al., 2024).</w:t>
      </w:r>
    </w:p>
    <w:p w14:paraId="7EDC8322" w14:textId="77777777" w:rsidR="00CF7045" w:rsidRDefault="001B0FCA">
      <w:pPr>
        <w:spacing w:line="360" w:lineRule="auto"/>
        <w:jc w:val="both"/>
      </w:pPr>
      <w:r>
        <w:rPr>
          <w:noProof/>
        </w:rPr>
        <w:drawing>
          <wp:inline distT="0" distB="0" distL="114300" distR="114300" wp14:anchorId="0E773017" wp14:editId="0D7CA951">
            <wp:extent cx="5486400" cy="3124835"/>
            <wp:effectExtent l="0" t="0" r="0" b="24765"/>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pic:cNvPicPr>
                      <a:picLocks noChangeAspect="1"/>
                    </pic:cNvPicPr>
                  </pic:nvPicPr>
                  <pic:blipFill>
                    <a:blip r:embed="rId10"/>
                    <a:stretch>
                      <a:fillRect/>
                    </a:stretch>
                  </pic:blipFill>
                  <pic:spPr>
                    <a:xfrm>
                      <a:off x="0" y="0"/>
                      <a:ext cx="5486400" cy="3124835"/>
                    </a:xfrm>
                    <a:prstGeom prst="rect">
                      <a:avLst/>
                    </a:prstGeom>
                    <a:noFill/>
                    <a:ln>
                      <a:noFill/>
                    </a:ln>
                  </pic:spPr>
                </pic:pic>
              </a:graphicData>
            </a:graphic>
          </wp:inline>
        </w:drawing>
      </w:r>
    </w:p>
    <w:p w14:paraId="6C9FA5A9" w14:textId="77777777" w:rsidR="00CF7045" w:rsidRDefault="001B0FCA">
      <w:pPr>
        <w:spacing w:line="360" w:lineRule="auto"/>
        <w:jc w:val="center"/>
        <w:rPr>
          <w:lang w:eastAsia="zh-CN"/>
        </w:rPr>
      </w:pPr>
      <w:r>
        <w:t>Figure 3. Public toilet of Mayfield Park (</w:t>
      </w:r>
      <w:r>
        <w:rPr>
          <w:lang w:eastAsia="zh-CN"/>
        </w:rPr>
        <w:t>Schofield, 2022)</w:t>
      </w:r>
    </w:p>
    <w:p w14:paraId="43A33D67"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This matrix follows Bourne’s (2015) SRM approach, ensuring each communication type is appropriate for the stakeholder’s influence and information needs. The integration of digital dashboards and social media not only supports transparency but also provides a mechanism for real-time feedback and adaptive communication.</w:t>
      </w:r>
    </w:p>
    <w:p w14:paraId="68777FBE"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9" w:name="_Toc2091057799"/>
      <w:r>
        <w:rPr>
          <w:rFonts w:ascii="Times New Roman Regular" w:hAnsi="Times New Roman Regular" w:cs="Times New Roman Regular"/>
          <w:sz w:val="24"/>
          <w:szCs w:val="24"/>
          <w:lang w:eastAsia="zh-CN"/>
        </w:rPr>
        <w:t>2.5 Consultation Strategy</w:t>
      </w:r>
      <w:bookmarkEnd w:id="9"/>
    </w:p>
    <w:p w14:paraId="4B6C885F"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Public consultation turns inactive stakeholders into active co-creators. Using Manchester's GrowGreen EU initiative (2024) methods, this initiative uses multi-modal consultation:</w:t>
      </w:r>
    </w:p>
    <w:p w14:paraId="1DB87104"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Library and community centre exhibits of design concepts for public comment.</w:t>
      </w:r>
    </w:p>
    <w:p w14:paraId="47D46B63"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Virtual surveys and seminars for people who cannot attend meetings improve representativeness.</w:t>
      </w:r>
    </w:p>
    <w:p w14:paraId="3B289300"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Youth sustainability education and park stewardship via school collaborations.</w:t>
      </w:r>
    </w:p>
    <w:p w14:paraId="1E9C3F45"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In co-design, residents consistently request well-signed toilets near the Play Yard and promenades. Drafts therefore include accessible WCs and baby-change with clear sightlines and lighting; mock-ups and photos will be published for comment during RIBA Stage 3 (“You Said–We Did”).</w:t>
      </w:r>
    </w:p>
    <w:p w14:paraId="6B33EC7E"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Inclusivity and early engagement boost legitimacy, whereas iterative consultation enhances decision quality (Stewart et al., 2019). Thus, the park will stress early and continuing interaction and incorporate input into project milestones. In addition, ethical consulting involves openness and response. Brunet (2025) notes that feedback results increase trust and minimise opposition. To do this, the Council will issue quarterly “You Said, We Did” reports summing stakeholder comments and project changes. Anonymous, thoroughly vetted feedback will be gathered via digital forms, public comment boxes, and social-media surveys. Each proposal will be classified by subject (e.g., environmental design, accessibility, safety) to inform technical requirements and social-value aims. The consultation process will be assessed using participation rates, stakeholder satisfaction ratings, and communication-response timeframes, per Bourne (2015) and Knox (2024). This evidence-based strategy promotes ethical and successful involvement throughout the project.</w:t>
      </w:r>
    </w:p>
    <w:p w14:paraId="420480FB" w14:textId="77777777" w:rsidR="00CF7045" w:rsidRDefault="001B0FCA">
      <w:pPr>
        <w:pStyle w:val="Heading1"/>
        <w:spacing w:line="360" w:lineRule="auto"/>
        <w:jc w:val="center"/>
        <w:rPr>
          <w:rFonts w:ascii="Times New Roman Regular" w:hAnsi="Times New Roman Regular" w:cs="Times New Roman Regular" w:hint="default"/>
          <w:sz w:val="24"/>
          <w:szCs w:val="24"/>
        </w:rPr>
      </w:pPr>
      <w:bookmarkStart w:id="10" w:name="_Toc838544638"/>
      <w:r>
        <w:rPr>
          <w:rFonts w:ascii="Times New Roman Regular" w:hAnsi="Times New Roman Regular" w:cs="Times New Roman Regular" w:hint="default"/>
          <w:sz w:val="24"/>
          <w:szCs w:val="24"/>
        </w:rPr>
        <w:t>Element 3: Ethical Considerations in Consultation, Participation &amp; Feedback</w:t>
      </w:r>
      <w:bookmarkEnd w:id="10"/>
    </w:p>
    <w:p w14:paraId="41D4E38B"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1" w:name="_Toc1632039252"/>
      <w:r>
        <w:rPr>
          <w:rFonts w:ascii="Times New Roman Regular" w:hAnsi="Times New Roman Regular" w:cs="Times New Roman Regular"/>
          <w:sz w:val="24"/>
          <w:szCs w:val="24"/>
          <w:lang w:eastAsia="zh-CN"/>
        </w:rPr>
        <w:t>3.1 Ethical Framework</w:t>
      </w:r>
      <w:bookmarkEnd w:id="11"/>
    </w:p>
    <w:p w14:paraId="1F2A147B"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Credible and sustainable public-sector project execution requires ethical stakeholder involvement. The New Public Park Project in East Manchester uses defined ethical criteria to enable open, inclusive, and trustworthy involvement. Professional integrity and openness must govern all engagement and communication, creating stakeholder and community trust, according to the Chartered Institute of Personnel and Development (CIPD, 2023). According to the British Sociological Association's (BSA, 2021) Statement of Ethical Practice, participant autonomy, informed permission, and confidentiality are important. </w:t>
      </w:r>
    </w:p>
    <w:p w14:paraId="2C606304"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These principles provide Manchester City Council three main duties. All consultations must emphasise informed participation, ensuring that participants understand the project's nature, purpose, and scope before giving their opinions. Second, all personally identifiable information must be kept secret and not released without authorisation. Third, publishing findings and adopting input requires honesty and accountability, strengthening the Council's public responsibilities.</w:t>
      </w:r>
    </w:p>
    <w:p w14:paraId="08C34A00"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Manchester's varied metropolitan population benefits from ethical practise's trust-building. According to BSA (2021), researcher-participant relationships should be fair and reciprocal. Community empowerment is Manchester City Council's overall purpose, so public engagement is not only symbolic but really significant in project results. Systematic ethical standards transform consultation from a procedural duty into a citizen-authority relationship.</w:t>
      </w:r>
    </w:p>
    <w:p w14:paraId="46FAA8A8"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2" w:name="_Toc2022568880"/>
      <w:r>
        <w:rPr>
          <w:rFonts w:ascii="Times New Roman Regular" w:hAnsi="Times New Roman Regular" w:cs="Times New Roman Regular"/>
          <w:sz w:val="24"/>
          <w:szCs w:val="24"/>
          <w:lang w:eastAsia="zh-CN"/>
        </w:rPr>
        <w:t>3.2 Consultation and Data Handling</w:t>
      </w:r>
      <w:bookmarkEnd w:id="12"/>
    </w:p>
    <w:p w14:paraId="192519E3"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Engagement data will be collected through surveys, workshops, and online forums. These sources will include quantitative (satisfaction ratings, participation numbers) and qualitative (comments, interviews, visual feedback). All data will be encrypted on council servers and processed in accordance with the GDPR to ensure the highest data protection standards. Records will be anonymised before analysis and only available to Environment and Regeneration Department employees. Participants will be notified that their participation is optional and they may withdraw at any moment without penalty. </w:t>
      </w:r>
    </w:p>
    <w:p w14:paraId="3F5EDFAC"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Before collecting data, including community pictures or testimonies, clear consent forms will be given. These forms will state the data's intended purpose, storage length, and participants' Article 17 GDPR rights to deletion or rectification. Only written consent holders will appear in consultation summaries and picture evidence. Demographic data including age, gender, and ethnicity will be gathered confidentially for representativeness evaluation. A secondary officer will peer-review data analysis to reduce human error and prejudice during interpretation. All engagement officers will get data stewardship training in accordance with CIPD (2023) ethics. This keeps data handling methods strong and compliant and promotes accountability throughout the project.</w:t>
      </w:r>
    </w:p>
    <w:p w14:paraId="35B7AAE4"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3" w:name="_Toc796517797"/>
      <w:r>
        <w:rPr>
          <w:rFonts w:ascii="Times New Roman Regular" w:hAnsi="Times New Roman Regular" w:cs="Times New Roman Regular"/>
          <w:sz w:val="24"/>
          <w:szCs w:val="24"/>
          <w:lang w:eastAsia="zh-CN"/>
        </w:rPr>
        <w:t>3.3 Managing Bias, Diversity, Equity &amp; Inclusion (DEI)</w:t>
      </w:r>
      <w:bookmarkEnd w:id="13"/>
    </w:p>
    <w:p w14:paraId="6223CBC3"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Stakeholder engagement only matters when it represents community diversity. East Manchester has strong Pakistani, Arab, and Polish populations, making Manchester one of the most ethnically and culturally diverse cities in the UK (Manchester Inclusion Strategy, 2024). The Council will adopt DEI-focused solutions to overcome language, mobility, and representation challenges to promote equal participation.</w:t>
      </w:r>
    </w:p>
    <w:p w14:paraId="124CD700" w14:textId="77777777" w:rsidR="00CF7045" w:rsidRDefault="001B0FCA">
      <w:p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Table 4. Diversity, Equity, and Inclusion Measures for Stakeholder Consultation</w:t>
      </w:r>
    </w:p>
    <w:tbl>
      <w:tblPr>
        <w:tblW w:w="0" w:type="auto"/>
        <w:jc w:val="center"/>
        <w:tblCellMar>
          <w:left w:w="0" w:type="dxa"/>
          <w:right w:w="0" w:type="dxa"/>
        </w:tblCellMar>
        <w:tblLook w:val="04A0" w:firstRow="1" w:lastRow="0" w:firstColumn="1" w:lastColumn="0" w:noHBand="0" w:noVBand="1"/>
      </w:tblPr>
      <w:tblGrid>
        <w:gridCol w:w="2276"/>
        <w:gridCol w:w="3113"/>
        <w:gridCol w:w="3231"/>
      </w:tblGrid>
      <w:tr w:rsidR="00CF7045" w14:paraId="2CC43AF4" w14:textId="77777777">
        <w:trPr>
          <w:jc w:val="center"/>
        </w:trPr>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28E0E8B4"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Barrier Identified</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574C02BA"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Inclusive Strategy</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1A118266"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Rationale / Expected Outcome</w:t>
            </w:r>
          </w:p>
        </w:tc>
      </w:tr>
      <w:tr w:rsidR="00CF7045" w14:paraId="7A872E7F" w14:textId="77777777">
        <w:trPr>
          <w:jc w:val="center"/>
        </w:trPr>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F166972"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Language differences</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9D82D3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Provide translated consultation materials in Urdu, Arabic, and Polish</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54B0839"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Ensures comprehension and representation of minority-language speakers</w:t>
            </w:r>
          </w:p>
        </w:tc>
      </w:tr>
      <w:tr w:rsidR="00CF7045" w14:paraId="1C6B2FEC" w14:textId="77777777">
        <w:trPr>
          <w:jc w:val="center"/>
        </w:trPr>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F0FBC64"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Physical accessibility</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9BB24B8"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Provide wheelchair access, hearing-assistance devices, and large-print materials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B7C58E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Enables participation of disabled or elderly residents</w:t>
            </w:r>
          </w:p>
        </w:tc>
      </w:tr>
      <w:tr w:rsidR="00CF7045" w14:paraId="0B4123E7" w14:textId="77777777">
        <w:trPr>
          <w:jc w:val="center"/>
        </w:trPr>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571A2568"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Gender imbalance</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2119FB39"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Partner with women’s groups and parent associations for targeted outreach</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CC7778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Encourages female participation and gender equity</w:t>
            </w:r>
          </w:p>
        </w:tc>
      </w:tr>
      <w:tr w:rsidR="00CF7045" w14:paraId="023C9E9C" w14:textId="77777777">
        <w:trPr>
          <w:jc w:val="center"/>
        </w:trPr>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5D0B0EB0"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Youth underrepresentation</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0C3F5181"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Collaborate with local youth clubs and schools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42673FD"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Builds long-term civic engagement and intergenerational awareness</w:t>
            </w:r>
          </w:p>
        </w:tc>
      </w:tr>
      <w:tr w:rsidR="00CF7045" w14:paraId="67863E87" w14:textId="77777777">
        <w:trPr>
          <w:jc w:val="center"/>
        </w:trPr>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6A9D7726"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Digital exclusion</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5F0DAA7"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Offer physical feedback forms and phone-based consultations</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4010E15" w14:textId="77777777" w:rsidR="00CF7045" w:rsidRDefault="001B0FCA">
            <w:pPr>
              <w:spacing w:line="360" w:lineRule="auto"/>
              <w:jc w:val="center"/>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Prevents exclusion of individuals without internet access</w:t>
            </w:r>
          </w:p>
        </w:tc>
      </w:tr>
    </w:tbl>
    <w:p w14:paraId="2419A779" w14:textId="77777777" w:rsidR="00CF7045" w:rsidRDefault="00CF7045">
      <w:pPr>
        <w:spacing w:line="360" w:lineRule="auto"/>
        <w:jc w:val="both"/>
        <w:rPr>
          <w:rFonts w:ascii="Times New Roman Regular" w:hAnsi="Times New Roman Regular" w:cs="Times New Roman Regular"/>
          <w:sz w:val="24"/>
          <w:szCs w:val="24"/>
          <w:lang w:eastAsia="zh-CN"/>
        </w:rPr>
      </w:pPr>
    </w:p>
    <w:p w14:paraId="073A8C0D"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The Equality Act 2010 (UK Government, 2010) requires public engagement programs to accommodate all participants regardless of age, disability, gender, or ethnicity. The consultation events will follow universal design principles to make physical places, digital platforms, and communication tools accessible to everyone. The Manchester Inclusion Strategy (2024) further emphasises “community co-production” and participatory equity in decision-making. This directive requires DEI officers to assess engagement materials before publishing for cultural sensitivity and linguistic neutrality. Proportional demographic monitoring will also address sampling bias: the Council will compare group representation with local census data to find gaps and alter outreach activities. The New Public Park Project shows that urban sustainability includes social justice and inclusion by incorporating DEI ideals into stakeholder engagement.</w:t>
      </w:r>
    </w:p>
    <w:p w14:paraId="6C1B7FF3"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4" w:name="_Toc1809042428"/>
      <w:r>
        <w:rPr>
          <w:rFonts w:ascii="Times New Roman Regular" w:hAnsi="Times New Roman Regular" w:cs="Times New Roman Regular"/>
          <w:sz w:val="24"/>
          <w:szCs w:val="24"/>
          <w:lang w:eastAsia="zh-CN"/>
        </w:rPr>
        <w:t>3.4 Feedback Review and Integration</w:t>
      </w:r>
      <w:bookmarkEnd w:id="14"/>
    </w:p>
    <w:p w14:paraId="76087413"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Feedback integration represents the final stage of ethical stakeholder engagement. The Manchester City Council will implement a four-step feedback loop to ensure transparency and accountability throughout the project cycle:</w:t>
      </w:r>
    </w:p>
    <w:p w14:paraId="3D5A0533" w14:textId="77777777" w:rsidR="00CF7045" w:rsidRDefault="001B0FCA">
      <w:pPr>
        <w:spacing w:line="360" w:lineRule="auto"/>
        <w:ind w:firstLine="720"/>
        <w:jc w:val="center"/>
        <w:rPr>
          <w:rFonts w:ascii="Times New Roman Regular" w:hAnsi="Times New Roman Regular" w:cs="Times New Roman Regular"/>
          <w:sz w:val="24"/>
          <w:szCs w:val="24"/>
          <w:lang w:eastAsia="zh-CN"/>
        </w:rPr>
      </w:pPr>
      <w:r>
        <w:rPr>
          <w:rFonts w:ascii="Times New Roman Regular" w:hAnsi="Times New Roman Regular" w:cs="Times New Roman Regular"/>
          <w:noProof/>
          <w:sz w:val="24"/>
          <w:szCs w:val="24"/>
          <w:lang w:eastAsia="zh-CN"/>
        </w:rPr>
        <w:drawing>
          <wp:inline distT="0" distB="0" distL="114300" distR="114300" wp14:anchorId="02783C6E" wp14:editId="59B2FDAF">
            <wp:extent cx="4486910" cy="4486910"/>
            <wp:effectExtent l="0" t="0" r="8890" b="8890"/>
            <wp:docPr id="6"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_256"/>
                    <pic:cNvPicPr>
                      <a:picLocks noChangeAspect="1"/>
                    </pic:cNvPicPr>
                  </pic:nvPicPr>
                  <pic:blipFill>
                    <a:blip r:embed="rId11"/>
                    <a:stretch>
                      <a:fillRect/>
                    </a:stretch>
                  </pic:blipFill>
                  <pic:spPr>
                    <a:xfrm>
                      <a:off x="0" y="0"/>
                      <a:ext cx="4486910" cy="4486910"/>
                    </a:xfrm>
                    <a:prstGeom prst="rect">
                      <a:avLst/>
                    </a:prstGeom>
                    <a:noFill/>
                    <a:ln w="9525">
                      <a:noFill/>
                    </a:ln>
                  </pic:spPr>
                </pic:pic>
              </a:graphicData>
            </a:graphic>
          </wp:inline>
        </w:drawing>
      </w:r>
    </w:p>
    <w:p w14:paraId="41863897" w14:textId="77777777" w:rsidR="00CF7045" w:rsidRDefault="001B0FCA">
      <w:pPr>
        <w:spacing w:line="360" w:lineRule="auto"/>
        <w:ind w:firstLine="720"/>
        <w:jc w:val="center"/>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Figure 4. Feedback Loop for Stakeholder Engagement</w:t>
      </w:r>
    </w:p>
    <w:p w14:paraId="5535C222"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b/>
          <w:bCs/>
          <w:sz w:val="24"/>
          <w:szCs w:val="24"/>
          <w:lang w:eastAsia="zh-CN"/>
        </w:rPr>
        <w:t>Collect</w:t>
      </w:r>
      <w:r>
        <w:rPr>
          <w:rFonts w:ascii="Times New Roman Regular" w:hAnsi="Times New Roman Regular" w:cs="Times New Roman Regular"/>
          <w:sz w:val="24"/>
          <w:szCs w:val="24"/>
          <w:lang w:eastAsia="zh-CN"/>
        </w:rPr>
        <w:t>: Feedback will be gathered from surveys, public meetings, social media polls, and comment cards placed at community venues.</w:t>
      </w:r>
    </w:p>
    <w:p w14:paraId="0A6584EC"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 </w:t>
      </w:r>
      <w:r>
        <w:rPr>
          <w:rFonts w:ascii="Times New Roman Regular" w:hAnsi="Times New Roman Regular" w:cs="Times New Roman Regular"/>
          <w:b/>
          <w:bCs/>
          <w:sz w:val="24"/>
          <w:szCs w:val="24"/>
          <w:lang w:eastAsia="zh-CN"/>
        </w:rPr>
        <w:t>Analyse</w:t>
      </w:r>
      <w:r>
        <w:rPr>
          <w:rFonts w:ascii="Times New Roman Regular" w:hAnsi="Times New Roman Regular" w:cs="Times New Roman Regular"/>
          <w:sz w:val="24"/>
          <w:szCs w:val="24"/>
          <w:lang w:eastAsia="zh-CN"/>
        </w:rPr>
        <w:t>: Responses will be classified by accessibility, design, safety, and environmental considerations.</w:t>
      </w:r>
    </w:p>
    <w:p w14:paraId="73A8FACB"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 </w:t>
      </w:r>
      <w:r>
        <w:rPr>
          <w:rFonts w:ascii="Times New Roman Regular" w:hAnsi="Times New Roman Regular" w:cs="Times New Roman Regular"/>
          <w:b/>
          <w:bCs/>
          <w:sz w:val="24"/>
          <w:szCs w:val="24"/>
          <w:lang w:eastAsia="zh-CN"/>
        </w:rPr>
        <w:t>Review</w:t>
      </w:r>
      <w:r>
        <w:rPr>
          <w:rFonts w:ascii="Times New Roman Regular" w:hAnsi="Times New Roman Regular" w:cs="Times New Roman Regular"/>
          <w:sz w:val="24"/>
          <w:szCs w:val="24"/>
          <w:lang w:eastAsia="zh-CN"/>
        </w:rPr>
        <w:t>: Council officials will evaluate proposed improvements alongside architects, contractors, and environmentalists.</w:t>
      </w:r>
    </w:p>
    <w:p w14:paraId="34AA2C44" w14:textId="77777777" w:rsidR="00CF7045" w:rsidRDefault="001B0FCA">
      <w:pPr>
        <w:numPr>
          <w:ilvl w:val="0"/>
          <w:numId w:val="1"/>
        </w:num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b/>
          <w:bCs/>
          <w:sz w:val="24"/>
          <w:szCs w:val="24"/>
          <w:lang w:eastAsia="zh-CN"/>
        </w:rPr>
        <w:t xml:space="preserve">Communicate Outcomes: </w:t>
      </w:r>
      <w:r>
        <w:rPr>
          <w:rFonts w:ascii="Times New Roman Regular" w:hAnsi="Times New Roman Regular" w:cs="Times New Roman Regular"/>
          <w:sz w:val="24"/>
          <w:szCs w:val="24"/>
          <w:lang w:eastAsia="zh-CN"/>
        </w:rPr>
        <w:t xml:space="preserve"> Manchester City Council will publish a “You Said – We Did” summary on its website and in newsletters to show citizens how their feedback affected them.</w:t>
      </w:r>
    </w:p>
    <w:p w14:paraId="7F71038B"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 xml:space="preserve"> Residents worried about park safety at night during early engagement sessions.  In response, the Council added solar-powered lights and CCTV surveillance to the plan, showing proactive governance.  Brunet (2025) notes that ethical consultation is validated when participants see their comments working, boosting trust and validity.  Access to project documents, FAQs, and answer summaries will be maintained by updating the Council's Public Engagement Webpage with progress updates.  One year following park completion, the Council will organise an annual post-implementation review meeting for stakeholders to assess results and suggest adjustments to ensure long-term responsibility.  Engagement becomes a continuous process of collaborative community governance via this continuing discourse, rather than a discrete event.</w:t>
      </w:r>
    </w:p>
    <w:p w14:paraId="2DA1D958" w14:textId="77777777" w:rsidR="00CF7045" w:rsidRDefault="001B0FCA">
      <w:pPr>
        <w:pStyle w:val="Heading1"/>
        <w:spacing w:line="360" w:lineRule="auto"/>
        <w:jc w:val="center"/>
        <w:rPr>
          <w:rFonts w:ascii="Times New Roman Regular" w:hAnsi="Times New Roman Regular" w:cs="Times New Roman Regular" w:hint="default"/>
          <w:sz w:val="24"/>
          <w:szCs w:val="24"/>
        </w:rPr>
      </w:pPr>
      <w:bookmarkStart w:id="15" w:name="_Toc502613170"/>
      <w:r>
        <w:rPr>
          <w:rFonts w:ascii="Times New Roman Regular" w:hAnsi="Times New Roman Regular" w:cs="Times New Roman Regular" w:hint="default"/>
          <w:sz w:val="24"/>
          <w:szCs w:val="24"/>
        </w:rPr>
        <w:t>Element 4: Conclusion and Reflection</w:t>
      </w:r>
      <w:bookmarkEnd w:id="15"/>
    </w:p>
    <w:p w14:paraId="351BC363"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6" w:name="_Toc1366364539"/>
      <w:r>
        <w:rPr>
          <w:rFonts w:ascii="Times New Roman Regular" w:hAnsi="Times New Roman Regular" w:cs="Times New Roman Regular"/>
          <w:sz w:val="24"/>
          <w:szCs w:val="24"/>
          <w:lang w:eastAsia="zh-CN"/>
        </w:rPr>
        <w:t>4.1 Summary of Key Insights</w:t>
      </w:r>
      <w:bookmarkEnd w:id="16"/>
    </w:p>
    <w:p w14:paraId="05236C35"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The New Public Park Project in East Manchester shows how organised stakeholder engagement can make a local infrastructure project inclusive and sustainable. Project success requires acknowledging stakeholders as active partners whose opinions affect planning, development, and operation. Community groups, the Council, and external partners are held responsible for success via value co-creation, based on Freeman's (1984) stakeholder theory. Mitchell, Agle, and Wood's (1997) stakeholder salience model assessed actors' power, legitimacy, and urgency to define the project's communication hierarchy. This analytical structure encourages safety, biodiversity, and accessibility engagement.</w:t>
      </w:r>
    </w:p>
    <w:p w14:paraId="3AFAEC6B"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Integrating CIPD's (2023) Code of Professional Conduct ethical communication principles boosts openness and trust. Public infrastructure ethical governance is moral, not procedural, between individuals and authority. Manchester City Council establishes credibility and community support via impartiality, informed consent, and data confidentiality in consultations. Finally, engagement helps regional sustainability frameworks like the GMCA's (2025) Five-Year Environment Plan and Manchester City Council's (2025) Green and Blue Infrastructure strategy. Participatory governance is required for the Zero Carbon 2038 Target, linking environmental resilience to social inclusion. These results demonstrate that stakeholder engagement is crucial to project success and assures environmental, social, and ethical sustainability.</w:t>
      </w:r>
    </w:p>
    <w:p w14:paraId="474CA36E"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7" w:name="_Toc1446169602"/>
      <w:r>
        <w:rPr>
          <w:rFonts w:ascii="Times New Roman Regular" w:hAnsi="Times New Roman Regular" w:cs="Times New Roman Regular"/>
          <w:sz w:val="24"/>
          <w:szCs w:val="24"/>
          <w:lang w:eastAsia="zh-CN"/>
        </w:rPr>
        <w:t>4.2 Reflective Account (Gibbs’ Model, 1988)</w:t>
      </w:r>
      <w:bookmarkEnd w:id="17"/>
    </w:p>
    <w:p w14:paraId="622695A4" w14:textId="77777777" w:rsidR="00CF7045" w:rsidRDefault="001B0FCA">
      <w:pPr>
        <w:spacing w:line="360" w:lineRule="auto"/>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Table 5. Reflective Account Using Gibbs’ Reflective Cycle (1988)</w:t>
      </w:r>
    </w:p>
    <w:tbl>
      <w:tblPr>
        <w:tblW w:w="0" w:type="auto"/>
        <w:tblCellMar>
          <w:left w:w="0" w:type="dxa"/>
          <w:right w:w="0" w:type="dxa"/>
        </w:tblCellMar>
        <w:tblLook w:val="04A0" w:firstRow="1" w:lastRow="0" w:firstColumn="1" w:lastColumn="0" w:noHBand="0" w:noVBand="1"/>
      </w:tblPr>
      <w:tblGrid>
        <w:gridCol w:w="1746"/>
        <w:gridCol w:w="6874"/>
      </w:tblGrid>
      <w:tr w:rsidR="00CF7045" w14:paraId="0D121B9C" w14:textId="77777777">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7D4796E1"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Stage of Gibbs’ Reflective Cycle</w:t>
            </w:r>
          </w:p>
        </w:tc>
        <w:tc>
          <w:tcPr>
            <w:tcW w:w="0" w:type="auto"/>
            <w:tcBorders>
              <w:top w:val="single" w:sz="8" w:space="0" w:color="4F81BD"/>
              <w:left w:val="single" w:sz="8" w:space="0" w:color="4F81BD"/>
              <w:bottom w:val="single" w:sz="12" w:space="0" w:color="4F81BD"/>
              <w:right w:val="single" w:sz="8" w:space="0" w:color="4F81BD"/>
            </w:tcBorders>
            <w:shd w:val="clear" w:color="auto" w:fill="FFFFFF"/>
            <w:tcMar>
              <w:top w:w="20" w:type="dxa"/>
              <w:left w:w="100" w:type="dxa"/>
              <w:bottom w:w="20" w:type="dxa"/>
              <w:right w:w="100" w:type="dxa"/>
            </w:tcMar>
          </w:tcPr>
          <w:p w14:paraId="3E7441EE" w14:textId="77777777" w:rsidR="00CF7045" w:rsidRDefault="001B0FCA">
            <w:pPr>
              <w:spacing w:line="360" w:lineRule="auto"/>
              <w:jc w:val="center"/>
              <w:rPr>
                <w:rFonts w:ascii="Times New Roman Regular" w:hAnsi="Times New Roman Regular" w:cs="Times New Roman Regular"/>
                <w:b/>
                <w:bCs/>
                <w:color w:val="000000"/>
                <w:sz w:val="24"/>
                <w:szCs w:val="24"/>
                <w:lang w:eastAsia="zh-CN"/>
              </w:rPr>
            </w:pPr>
            <w:r>
              <w:rPr>
                <w:rFonts w:ascii="Times New Roman Regular" w:hAnsi="Times New Roman Regular" w:cs="Times New Roman Regular"/>
                <w:b/>
                <w:bCs/>
                <w:color w:val="000000"/>
                <w:sz w:val="24"/>
                <w:szCs w:val="24"/>
                <w:lang w:eastAsia="zh-CN"/>
              </w:rPr>
              <w:t>Reflection Summary (Applied to New Public Park Project)</w:t>
            </w:r>
          </w:p>
        </w:tc>
      </w:tr>
      <w:tr w:rsidR="00CF7045" w14:paraId="555B3AB1" w14:textId="77777777">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0AB9E27A"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1. Description</w:t>
            </w:r>
          </w:p>
        </w:tc>
        <w:tc>
          <w:tcPr>
            <w:tcW w:w="0" w:type="auto"/>
            <w:tcBorders>
              <w:top w:val="single" w:sz="12"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8321BA5"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The task involved developing a stakeholder management plan for Manchester’s New Public Park, requiring stakeholder identification, engagement strategy, and ethical framework. Initially, my focus was mainly on technical tools like matrices and maps rather than relational aspects.</w:t>
            </w:r>
          </w:p>
        </w:tc>
      </w:tr>
      <w:tr w:rsidR="00CF7045" w14:paraId="4C7ECD07"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7E78985"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2. Feelings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78937866"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 felt uncertain about balancing efficiency and inclusivity, particularly ensuring underrepresented groups were heard. Over time, I became more confident as I learned that engagement must prioritise empathy, trust, and shared ownership.</w:t>
            </w:r>
          </w:p>
        </w:tc>
      </w:tr>
      <w:tr w:rsidR="00CF7045" w14:paraId="29D30509"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378C55A4"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3. Evaluation</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1DBE5517"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Evaluating my approach, I realised that structured communication and feedback loops reduced uncertainty and improved accountability. Using stakeholder mapping tools provided clarity in managing expectations.</w:t>
            </w:r>
          </w:p>
        </w:tc>
      </w:tr>
      <w:tr w:rsidR="00CF7045" w14:paraId="530A40E5"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1F74EE28"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4. Analysis</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3E13DBC"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Analysis of engagement methods showed that inclusivity directly influenced project legitimacy. I observed that diverse participation increased the project’s acceptance and social relevance.</w:t>
            </w:r>
          </w:p>
        </w:tc>
      </w:tr>
      <w:tr w:rsidR="00CF7045" w14:paraId="75B2BF56" w14:textId="77777777">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4B6864BC"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5. Conclusion</w:t>
            </w:r>
          </w:p>
        </w:tc>
        <w:tc>
          <w:tcPr>
            <w:tcW w:w="0" w:type="auto"/>
            <w:tcBorders>
              <w:top w:val="single" w:sz="8" w:space="0" w:color="4F81BD"/>
              <w:left w:val="single" w:sz="8" w:space="0" w:color="4F81BD"/>
              <w:bottom w:val="single" w:sz="8" w:space="0" w:color="4F81BD"/>
              <w:right w:val="single" w:sz="8" w:space="0" w:color="4F81BD"/>
            </w:tcBorders>
            <w:shd w:val="clear" w:color="auto" w:fill="DBE5F1"/>
            <w:tcMar>
              <w:top w:w="20" w:type="dxa"/>
              <w:left w:w="100" w:type="dxa"/>
              <w:bottom w:w="20" w:type="dxa"/>
              <w:right w:w="100" w:type="dxa"/>
            </w:tcMar>
          </w:tcPr>
          <w:p w14:paraId="7EED6E70"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 concluded that ethical, transparent, and inclusive engagement drives project sustainability and strengthens civic trust. Success in stakeholder management depends on both technical planning and moral responsibility.</w:t>
            </w:r>
          </w:p>
        </w:tc>
      </w:tr>
      <w:tr w:rsidR="00CF7045" w14:paraId="4FCC4108" w14:textId="77777777">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656341CC"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6. Action Plan</w:t>
            </w:r>
          </w:p>
        </w:tc>
        <w:tc>
          <w:tcPr>
            <w:tcW w:w="0" w:type="auto"/>
            <w:tcBorders>
              <w:top w:val="single" w:sz="8" w:space="0" w:color="4F81BD"/>
              <w:left w:val="single" w:sz="8" w:space="0" w:color="4F81BD"/>
              <w:bottom w:val="single" w:sz="8" w:space="0" w:color="4F81BD"/>
              <w:right w:val="single" w:sz="8" w:space="0" w:color="4F81BD"/>
            </w:tcBorders>
            <w:shd w:val="clear" w:color="auto" w:fill="FFFFFF"/>
            <w:tcMar>
              <w:top w:w="20" w:type="dxa"/>
              <w:left w:w="100" w:type="dxa"/>
              <w:bottom w:w="20" w:type="dxa"/>
              <w:right w:w="100" w:type="dxa"/>
            </w:tcMar>
          </w:tcPr>
          <w:p w14:paraId="2BE01D2E" w14:textId="77777777" w:rsidR="00CF7045" w:rsidRDefault="001B0FCA">
            <w:pPr>
              <w:spacing w:line="360" w:lineRule="auto"/>
              <w:jc w:val="both"/>
              <w:rPr>
                <w:rFonts w:ascii="Times New Roman Regular" w:hAnsi="Times New Roman Regular" w:cs="Times New Roman Regular"/>
                <w:color w:val="000000"/>
                <w:sz w:val="24"/>
                <w:szCs w:val="24"/>
                <w:lang w:eastAsia="zh-CN"/>
              </w:rPr>
            </w:pPr>
            <w:r>
              <w:rPr>
                <w:rFonts w:ascii="Times New Roman Regular" w:hAnsi="Times New Roman Regular" w:cs="Times New Roman Regular"/>
                <w:color w:val="000000"/>
                <w:sz w:val="24"/>
                <w:szCs w:val="24"/>
                <w:lang w:eastAsia="zh-CN"/>
              </w:rPr>
              <w:t>In future practice, I aim to apply participatory tools early, implement DEI strategies systematically, and integrate regular feedback mechanisms. I will also engage in ethical leadership training.</w:t>
            </w:r>
          </w:p>
        </w:tc>
      </w:tr>
    </w:tbl>
    <w:p w14:paraId="69E7A925" w14:textId="77777777" w:rsidR="00CF7045" w:rsidRDefault="00CF7045">
      <w:pPr>
        <w:spacing w:line="360" w:lineRule="auto"/>
        <w:jc w:val="both"/>
        <w:rPr>
          <w:rFonts w:ascii="Times New Roman Regular" w:hAnsi="Times New Roman Regular" w:cs="Times New Roman Regular"/>
          <w:b/>
          <w:bCs/>
          <w:sz w:val="24"/>
          <w:szCs w:val="24"/>
          <w:lang w:eastAsia="zh-CN"/>
        </w:rPr>
      </w:pPr>
    </w:p>
    <w:p w14:paraId="7750D717" w14:textId="77777777" w:rsidR="00CF7045" w:rsidRDefault="001B0FCA">
      <w:pPr>
        <w:pStyle w:val="Heading2"/>
        <w:spacing w:line="360" w:lineRule="auto"/>
        <w:rPr>
          <w:rFonts w:ascii="Times New Roman Regular" w:hAnsi="Times New Roman Regular" w:cs="Times New Roman Regular"/>
          <w:sz w:val="24"/>
          <w:szCs w:val="24"/>
          <w:lang w:eastAsia="zh-CN"/>
        </w:rPr>
      </w:pPr>
      <w:bookmarkStart w:id="18" w:name="_Toc552584068"/>
      <w:r>
        <w:rPr>
          <w:rFonts w:ascii="Times New Roman Regular" w:hAnsi="Times New Roman Regular" w:cs="Times New Roman Regular"/>
          <w:sz w:val="24"/>
          <w:szCs w:val="24"/>
          <w:lang w:eastAsia="zh-CN"/>
        </w:rPr>
        <w:t>4.3 Closing Reflection</w:t>
      </w:r>
      <w:bookmarkEnd w:id="18"/>
    </w:p>
    <w:p w14:paraId="735887B6" w14:textId="77777777" w:rsidR="00CF7045" w:rsidRDefault="001B0FCA">
      <w:pPr>
        <w:spacing w:line="360" w:lineRule="auto"/>
        <w:ind w:firstLine="720"/>
        <w:jc w:val="both"/>
        <w:rPr>
          <w:rFonts w:ascii="Times New Roman Regular" w:hAnsi="Times New Roman Regular" w:cs="Times New Roman Regular"/>
          <w:sz w:val="24"/>
          <w:szCs w:val="24"/>
          <w:lang w:eastAsia="zh-CN"/>
        </w:rPr>
      </w:pPr>
      <w:r>
        <w:rPr>
          <w:rFonts w:ascii="Times New Roman Regular" w:hAnsi="Times New Roman Regular" w:cs="Times New Roman Regular"/>
          <w:sz w:val="24"/>
          <w:szCs w:val="24"/>
          <w:lang w:eastAsia="zh-CN"/>
        </w:rPr>
        <w:t>Sustainability requires transparency and broad engagement, which underlies Manchester's Zero Carbon by 2038 goal (GMCA, 2025). This initiative taught me that stakeholder management is a strategic and ethical requirement that helps environmental objectives become community results. The Stewart et al. (2019)-inspired project consultation model shows how participatory methods build legitimacy and lessen opposition. When citizens feel their views count, they support public space upkeep, safety, and social usage as fellow sustainability advocates. Brunet (2025) claims that transparent engagement reduces social conflict and boosts organisational resilience, which is important for long-term municipal planning. This contemplation showed me the importance of self-awareness and critical thought in ethical decision-making. As a future stakeholder professional, I want to promote engagement as a chance to create civic pride and shared responsibility. The New Public Park Project shows that urban infrastructure success goes beyond building. To promote collective well-being, people, location, and policy interact and inform each other. Transparent stakeholder management becomes a democratic governance tool, guaranteeing sustainability and community ownership.</w:t>
      </w:r>
    </w:p>
    <w:p w14:paraId="265B42C9" w14:textId="77777777" w:rsidR="00CF7045" w:rsidRDefault="00CF7045">
      <w:pPr>
        <w:spacing w:line="360" w:lineRule="auto"/>
        <w:jc w:val="both"/>
        <w:rPr>
          <w:rFonts w:ascii="Times New Roman Regular" w:hAnsi="Times New Roman Regular" w:cs="Times New Roman Regular"/>
          <w:sz w:val="24"/>
          <w:szCs w:val="24"/>
          <w:lang w:eastAsia="zh-CN"/>
        </w:rPr>
      </w:pPr>
    </w:p>
    <w:p w14:paraId="161DE1A1" w14:textId="77777777" w:rsidR="00CF7045" w:rsidRDefault="00CF7045">
      <w:pPr>
        <w:spacing w:line="360" w:lineRule="auto"/>
        <w:jc w:val="both"/>
        <w:rPr>
          <w:rFonts w:ascii="Times New Roman Regular" w:hAnsi="Times New Roman Regular" w:cs="Times New Roman Regular"/>
          <w:sz w:val="24"/>
          <w:szCs w:val="24"/>
          <w:lang w:eastAsia="zh-CN"/>
        </w:rPr>
      </w:pPr>
    </w:p>
    <w:p w14:paraId="13659157" w14:textId="77777777" w:rsidR="00CF7045" w:rsidRDefault="00CF7045">
      <w:pPr>
        <w:spacing w:line="360" w:lineRule="auto"/>
        <w:jc w:val="both"/>
        <w:rPr>
          <w:rFonts w:ascii="Times New Roman Regular" w:hAnsi="Times New Roman Regular" w:cs="Times New Roman Regular"/>
          <w:sz w:val="24"/>
          <w:szCs w:val="24"/>
          <w:lang w:eastAsia="zh-CN"/>
        </w:rPr>
      </w:pPr>
    </w:p>
    <w:p w14:paraId="3A8584C2" w14:textId="77777777" w:rsidR="00CF7045" w:rsidRDefault="00CF7045">
      <w:pPr>
        <w:spacing w:line="360" w:lineRule="auto"/>
        <w:jc w:val="both"/>
        <w:rPr>
          <w:rFonts w:ascii="Times New Roman Regular" w:hAnsi="Times New Roman Regular" w:cs="Times New Roman Regular"/>
          <w:sz w:val="24"/>
          <w:szCs w:val="24"/>
          <w:lang w:eastAsia="zh-CN"/>
        </w:rPr>
      </w:pPr>
    </w:p>
    <w:p w14:paraId="2F42CB43" w14:textId="77777777" w:rsidR="00CF7045" w:rsidRDefault="00CF7045">
      <w:pPr>
        <w:spacing w:line="360" w:lineRule="auto"/>
        <w:jc w:val="both"/>
        <w:rPr>
          <w:rFonts w:ascii="Times New Roman Regular" w:hAnsi="Times New Roman Regular" w:cs="Times New Roman Regular"/>
          <w:sz w:val="24"/>
          <w:szCs w:val="24"/>
          <w:lang w:eastAsia="zh-CN"/>
        </w:rPr>
      </w:pPr>
    </w:p>
    <w:p w14:paraId="307C9971" w14:textId="77777777" w:rsidR="00CF7045" w:rsidRDefault="00CF7045">
      <w:pPr>
        <w:spacing w:line="360" w:lineRule="auto"/>
        <w:jc w:val="both"/>
        <w:rPr>
          <w:rFonts w:ascii="Times New Roman Regular" w:hAnsi="Times New Roman Regular" w:cs="Times New Roman Regular"/>
          <w:sz w:val="24"/>
          <w:szCs w:val="24"/>
          <w:lang w:eastAsia="zh-CN"/>
        </w:rPr>
      </w:pPr>
    </w:p>
    <w:p w14:paraId="37173E32" w14:textId="77777777" w:rsidR="00CF7045" w:rsidRDefault="00CF7045">
      <w:pPr>
        <w:spacing w:line="360" w:lineRule="auto"/>
        <w:jc w:val="both"/>
        <w:rPr>
          <w:rFonts w:ascii="Times New Roman Regular" w:hAnsi="Times New Roman Regular" w:cs="Times New Roman Regular"/>
          <w:sz w:val="24"/>
          <w:szCs w:val="24"/>
          <w:lang w:eastAsia="zh-CN"/>
        </w:rPr>
      </w:pPr>
    </w:p>
    <w:p w14:paraId="11B9DC35" w14:textId="77777777" w:rsidR="00CF7045" w:rsidRDefault="00CF7045">
      <w:pPr>
        <w:spacing w:line="360" w:lineRule="auto"/>
        <w:jc w:val="both"/>
        <w:rPr>
          <w:rFonts w:ascii="Times New Roman Regular" w:hAnsi="Times New Roman Regular" w:cs="Times New Roman Regular"/>
          <w:sz w:val="24"/>
          <w:szCs w:val="24"/>
          <w:lang w:eastAsia="zh-CN"/>
        </w:rPr>
      </w:pPr>
    </w:p>
    <w:p w14:paraId="2241A124" w14:textId="77777777" w:rsidR="00CF7045" w:rsidRDefault="00CF7045">
      <w:pPr>
        <w:spacing w:line="360" w:lineRule="auto"/>
        <w:jc w:val="both"/>
        <w:rPr>
          <w:rFonts w:ascii="Times New Roman Regular" w:hAnsi="Times New Roman Regular" w:cs="Times New Roman Regular"/>
          <w:sz w:val="24"/>
          <w:szCs w:val="24"/>
          <w:lang w:eastAsia="zh-CN"/>
        </w:rPr>
      </w:pPr>
    </w:p>
    <w:p w14:paraId="4ACFAB48" w14:textId="77777777" w:rsidR="00CF7045" w:rsidRDefault="00CF7045">
      <w:pPr>
        <w:spacing w:line="360" w:lineRule="auto"/>
        <w:jc w:val="both"/>
        <w:rPr>
          <w:rFonts w:ascii="Times New Roman Regular" w:hAnsi="Times New Roman Regular" w:cs="Times New Roman Regular"/>
          <w:sz w:val="24"/>
          <w:szCs w:val="24"/>
          <w:lang w:eastAsia="zh-CN"/>
        </w:rPr>
      </w:pPr>
    </w:p>
    <w:p w14:paraId="1BEAD4C1" w14:textId="77777777" w:rsidR="00CF7045" w:rsidRDefault="00CF7045">
      <w:pPr>
        <w:spacing w:line="360" w:lineRule="auto"/>
        <w:jc w:val="both"/>
        <w:rPr>
          <w:rFonts w:ascii="Times New Roman Regular" w:hAnsi="Times New Roman Regular" w:cs="Times New Roman Regular"/>
          <w:sz w:val="24"/>
          <w:szCs w:val="24"/>
          <w:lang w:eastAsia="zh-CN"/>
        </w:rPr>
      </w:pPr>
    </w:p>
    <w:p w14:paraId="1AF0C3A9" w14:textId="77777777" w:rsidR="00CF7045" w:rsidRDefault="00CF7045">
      <w:pPr>
        <w:spacing w:line="360" w:lineRule="auto"/>
        <w:jc w:val="both"/>
        <w:rPr>
          <w:rFonts w:ascii="Times New Roman Regular" w:hAnsi="Times New Roman Regular" w:cs="Times New Roman Regular"/>
          <w:sz w:val="24"/>
          <w:szCs w:val="24"/>
          <w:lang w:eastAsia="zh-CN"/>
        </w:rPr>
      </w:pPr>
    </w:p>
    <w:p w14:paraId="218EF22E" w14:textId="77777777" w:rsidR="00CF7045" w:rsidRDefault="00CF7045">
      <w:pPr>
        <w:spacing w:line="360" w:lineRule="auto"/>
        <w:jc w:val="both"/>
        <w:rPr>
          <w:rFonts w:ascii="Times New Roman Regular" w:hAnsi="Times New Roman Regular" w:cs="Times New Roman Regular"/>
          <w:sz w:val="24"/>
          <w:szCs w:val="24"/>
          <w:lang w:eastAsia="zh-CN"/>
        </w:rPr>
      </w:pPr>
    </w:p>
    <w:p w14:paraId="03ED82A4" w14:textId="77777777" w:rsidR="00CF7045" w:rsidRDefault="00CF7045">
      <w:pPr>
        <w:spacing w:line="360" w:lineRule="auto"/>
        <w:jc w:val="both"/>
        <w:rPr>
          <w:rFonts w:ascii="Times New Roman Regular" w:hAnsi="Times New Roman Regular" w:cs="Times New Roman Regular"/>
          <w:sz w:val="24"/>
          <w:szCs w:val="24"/>
          <w:lang w:eastAsia="zh-CN"/>
        </w:rPr>
      </w:pPr>
    </w:p>
    <w:p w14:paraId="49B97C55" w14:textId="77777777" w:rsidR="00CF7045" w:rsidRDefault="00CF7045">
      <w:pPr>
        <w:spacing w:line="360" w:lineRule="auto"/>
        <w:jc w:val="both"/>
        <w:rPr>
          <w:rFonts w:ascii="Times New Roman Regular" w:hAnsi="Times New Roman Regular" w:cs="Times New Roman Regular"/>
          <w:sz w:val="24"/>
          <w:szCs w:val="24"/>
          <w:lang w:eastAsia="zh-CN"/>
        </w:rPr>
      </w:pPr>
    </w:p>
    <w:p w14:paraId="6BE3AFE7" w14:textId="77777777" w:rsidR="00CF7045" w:rsidRDefault="00CF7045">
      <w:pPr>
        <w:spacing w:line="360" w:lineRule="auto"/>
        <w:jc w:val="both"/>
        <w:rPr>
          <w:rFonts w:ascii="Times New Roman Regular" w:hAnsi="Times New Roman Regular" w:cs="Times New Roman Regular"/>
          <w:sz w:val="24"/>
          <w:szCs w:val="24"/>
          <w:lang w:eastAsia="zh-CN"/>
        </w:rPr>
      </w:pPr>
    </w:p>
    <w:p w14:paraId="18E027C2" w14:textId="77777777" w:rsidR="00CF7045" w:rsidRDefault="00CF7045">
      <w:pPr>
        <w:spacing w:line="360" w:lineRule="auto"/>
        <w:jc w:val="both"/>
        <w:rPr>
          <w:rFonts w:ascii="Times New Roman Regular" w:hAnsi="Times New Roman Regular" w:cs="Times New Roman Regular"/>
          <w:sz w:val="24"/>
          <w:szCs w:val="24"/>
          <w:lang w:eastAsia="zh-CN"/>
        </w:rPr>
      </w:pPr>
    </w:p>
    <w:p w14:paraId="6A61F419" w14:textId="77777777" w:rsidR="00CF7045" w:rsidRDefault="00CF7045">
      <w:pPr>
        <w:spacing w:line="360" w:lineRule="auto"/>
        <w:jc w:val="both"/>
        <w:rPr>
          <w:rFonts w:ascii="Times New Roman Regular" w:hAnsi="Times New Roman Regular" w:cs="Times New Roman Regular"/>
          <w:sz w:val="24"/>
          <w:szCs w:val="24"/>
          <w:lang w:eastAsia="zh-CN"/>
        </w:rPr>
      </w:pPr>
    </w:p>
    <w:p w14:paraId="4ADE4CE1" w14:textId="77777777" w:rsidR="00CF7045" w:rsidRDefault="00CF7045">
      <w:pPr>
        <w:spacing w:line="360" w:lineRule="auto"/>
        <w:jc w:val="both"/>
        <w:rPr>
          <w:rFonts w:ascii="Times New Roman Regular" w:hAnsi="Times New Roman Regular" w:cs="Times New Roman Regular"/>
          <w:sz w:val="24"/>
          <w:szCs w:val="24"/>
          <w:lang w:eastAsia="zh-CN"/>
        </w:rPr>
      </w:pPr>
    </w:p>
    <w:p w14:paraId="4D383FDC" w14:textId="77777777" w:rsidR="00CF7045" w:rsidRDefault="00CF7045">
      <w:pPr>
        <w:spacing w:line="360" w:lineRule="auto"/>
        <w:jc w:val="both"/>
        <w:rPr>
          <w:rFonts w:ascii="Times New Roman Regular" w:hAnsi="Times New Roman Regular" w:cs="Times New Roman Regular"/>
          <w:sz w:val="24"/>
          <w:szCs w:val="24"/>
          <w:lang w:eastAsia="zh-CN"/>
        </w:rPr>
      </w:pPr>
    </w:p>
    <w:p w14:paraId="01F6B8E3" w14:textId="77777777" w:rsidR="00CF7045" w:rsidRDefault="00CF7045">
      <w:pPr>
        <w:spacing w:line="360" w:lineRule="auto"/>
        <w:jc w:val="both"/>
        <w:rPr>
          <w:rFonts w:ascii="Times New Roman Regular" w:hAnsi="Times New Roman Regular" w:cs="Times New Roman Regular"/>
          <w:sz w:val="24"/>
          <w:szCs w:val="24"/>
          <w:lang w:eastAsia="zh-CN"/>
        </w:rPr>
      </w:pPr>
    </w:p>
    <w:p w14:paraId="711F8765" w14:textId="77777777" w:rsidR="00CF7045" w:rsidRDefault="001B0FCA">
      <w:pPr>
        <w:pStyle w:val="Heading1"/>
        <w:spacing w:line="360" w:lineRule="auto"/>
        <w:rPr>
          <w:rFonts w:ascii="Times New Roman Regular" w:hAnsi="Times New Roman Regular" w:cs="Times New Roman Regular" w:hint="default"/>
          <w:sz w:val="24"/>
          <w:szCs w:val="24"/>
        </w:rPr>
      </w:pPr>
      <w:bookmarkStart w:id="19" w:name="_Toc1561141248"/>
      <w:r>
        <w:rPr>
          <w:rFonts w:ascii="Times New Roman Regular" w:hAnsi="Times New Roman Regular" w:cs="Times New Roman Regular" w:hint="default"/>
          <w:sz w:val="24"/>
          <w:szCs w:val="24"/>
        </w:rPr>
        <w:t>Reference List</w:t>
      </w:r>
      <w:bookmarkEnd w:id="19"/>
    </w:p>
    <w:p w14:paraId="619A30F7"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Aaltonen, K., Di Maddaloni, F. and Sivunen, A. (2024) ‘Response strategies for community stakeholder engagement on social media: A case study of a large infrastructure project’, </w:t>
      </w:r>
      <w:r>
        <w:rPr>
          <w:rFonts w:ascii="Times New Roman Regular" w:eastAsia="Helvetica Neue" w:hAnsi="Times New Roman Regular" w:cs="Times New Roman Regular"/>
          <w:i/>
          <w:iCs/>
          <w:lang w:bidi="ar"/>
        </w:rPr>
        <w:t>International Journal of Project Management</w:t>
      </w:r>
      <w:r>
        <w:rPr>
          <w:rFonts w:ascii="Times New Roman Regular" w:eastAsia="Helvetica Neue" w:hAnsi="Times New Roman Regular" w:cs="Times New Roman Regular"/>
          <w:lang w:bidi="ar"/>
        </w:rPr>
        <w:t>, 42(3), pp. 455–468.</w:t>
      </w:r>
      <w:r>
        <w:rPr>
          <w:rFonts w:ascii="Times New Roman Regular" w:eastAsia="Helvetica Neue" w:hAnsi="Times New Roman Regular" w:cs="Times New Roman Regular"/>
          <w:lang w:bidi="ar"/>
        </w:rPr>
        <w:br/>
        <w:t xml:space="preserve">Available at: </w:t>
      </w:r>
      <w:hyperlink r:id="rId12" w:history="1">
        <w:r>
          <w:rPr>
            <w:rStyle w:val="Hyperlink"/>
            <w:rFonts w:ascii="Times New Roman Regular" w:hAnsi="Times New Roman Regular" w:cs="Times New Roman Regular"/>
          </w:rPr>
          <w:t>https://discovery.ucl.ac.uk/10201052/1/Di%20Maddaloni_1-s2.0-S0263786324000917-main.pdf</w:t>
        </w:r>
      </w:hyperlink>
      <w:r>
        <w:rPr>
          <w:rFonts w:ascii="Times New Roman Regular" w:eastAsia="Helvetica Neue" w:hAnsi="Times New Roman Regular" w:cs="Times New Roman Regular"/>
          <w:lang w:bidi="ar"/>
        </w:rPr>
        <w:t>(Accessed: 13 October 2025).</w:t>
      </w:r>
    </w:p>
    <w:p w14:paraId="73556D7C"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Bourne, L. (2015) </w:t>
      </w:r>
      <w:r>
        <w:rPr>
          <w:rFonts w:ascii="Times New Roman Regular" w:eastAsia="Helvetica Neue" w:hAnsi="Times New Roman Regular" w:cs="Times New Roman Regular"/>
          <w:i/>
          <w:iCs/>
          <w:lang w:bidi="ar"/>
        </w:rPr>
        <w:t>Stakeholder Relationship Management: A Maturity Model for Organisational Implementation.</w:t>
      </w:r>
      <w:r>
        <w:rPr>
          <w:rFonts w:ascii="Times New Roman Regular" w:eastAsia="Helvetica Neue" w:hAnsi="Times New Roman Regular" w:cs="Times New Roman Regular"/>
          <w:lang w:bidi="ar"/>
        </w:rPr>
        <w:t xml:space="preserve"> 2nd edn. Farnham: Gower.</w:t>
      </w:r>
    </w:p>
    <w:p w14:paraId="2F56349F"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British Sociological Association (BSA) (2021) </w:t>
      </w:r>
      <w:r>
        <w:rPr>
          <w:rFonts w:ascii="Times New Roman Regular" w:eastAsia="Helvetica Neue" w:hAnsi="Times New Roman Regular" w:cs="Times New Roman Regular"/>
          <w:i/>
          <w:iCs/>
          <w:lang w:bidi="ar"/>
        </w:rPr>
        <w:t>Statement of Ethical Practice.</w:t>
      </w:r>
      <w:r>
        <w:rPr>
          <w:rFonts w:ascii="Times New Roman Regular" w:eastAsia="Helvetica Neue" w:hAnsi="Times New Roman Regular" w:cs="Times New Roman Regular"/>
          <w:lang w:bidi="ar"/>
        </w:rPr>
        <w:t xml:space="preserve"> Durham: BSA. Available at: https://www.britsoc.co.uk/media/24310/bsa_statement_of_ethical_practice.pdf (Accessed: 13 October 2025).</w:t>
      </w:r>
    </w:p>
    <w:p w14:paraId="192D73EF"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Brunet, M. (2025) ‘Governance, social acceptability and organisational dynamics in public infrastructure projects’, </w:t>
      </w:r>
      <w:r>
        <w:rPr>
          <w:rFonts w:ascii="Times New Roman Regular" w:eastAsia="Helvetica Neue" w:hAnsi="Times New Roman Regular" w:cs="Times New Roman Regular"/>
          <w:i/>
          <w:iCs/>
          <w:lang w:bidi="ar"/>
        </w:rPr>
        <w:t>Project Management Journal</w:t>
      </w:r>
      <w:r>
        <w:rPr>
          <w:rFonts w:ascii="Times New Roman Regular" w:eastAsia="Helvetica Neue" w:hAnsi="Times New Roman Regular" w:cs="Times New Roman Regular"/>
          <w:lang w:bidi="ar"/>
        </w:rPr>
        <w:t>, 56(4), pp. 312–327.</w:t>
      </w:r>
      <w:r>
        <w:rPr>
          <w:rFonts w:ascii="Times New Roman Regular" w:eastAsia="Helvetica Neue" w:hAnsi="Times New Roman Regular" w:cs="Times New Roman Regular"/>
          <w:lang w:bidi="ar"/>
        </w:rPr>
        <w:br/>
        <w:t xml:space="preserve">Available at: </w:t>
      </w:r>
      <w:hyperlink r:id="rId13" w:history="1">
        <w:r>
          <w:rPr>
            <w:rStyle w:val="Hyperlink"/>
            <w:rFonts w:ascii="Times New Roman Regular" w:hAnsi="Times New Roman Regular" w:cs="Times New Roman Regular"/>
          </w:rPr>
          <w:t>https://journals.sagepub.com/doi/full/10.1177/87569728251341288</w:t>
        </w:r>
      </w:hyperlink>
      <w:r>
        <w:rPr>
          <w:rFonts w:ascii="Times New Roman Regular" w:eastAsia="Helvetica Neue" w:hAnsi="Times New Roman Regular" w:cs="Times New Roman Regular"/>
          <w:lang w:bidi="ar"/>
        </w:rPr>
        <w:t xml:space="preserve"> (Accessed: 13 October 2025).</w:t>
      </w:r>
    </w:p>
    <w:p w14:paraId="7FC545D4"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Chartered Institute of Personnel and Development (CIPD) (2023) </w:t>
      </w:r>
      <w:r>
        <w:rPr>
          <w:rFonts w:ascii="Times New Roman Regular" w:eastAsia="Helvetica Neue" w:hAnsi="Times New Roman Regular" w:cs="Times New Roman Regular"/>
          <w:i/>
          <w:iCs/>
          <w:lang w:bidi="ar"/>
        </w:rPr>
        <w:t>Code of Professional Conduct.</w:t>
      </w:r>
      <w:r>
        <w:rPr>
          <w:rFonts w:ascii="Times New Roman Regular" w:eastAsia="Helvetica Neue" w:hAnsi="Times New Roman Regular" w:cs="Times New Roman Regular"/>
          <w:lang w:bidi="ar"/>
        </w:rPr>
        <w:t xml:space="preserve"> London: CIPD.</w:t>
      </w:r>
    </w:p>
    <w:p w14:paraId="4E14C416"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Dolan, K. J. (2025) ‘Stakeholder engagement in large infrastructure projects’, </w:t>
      </w:r>
      <w:r>
        <w:rPr>
          <w:rFonts w:ascii="Times New Roman Regular" w:eastAsia="Helvetica Neue" w:hAnsi="Times New Roman Regular" w:cs="Times New Roman Regular"/>
          <w:i/>
          <w:iCs/>
          <w:lang w:bidi="ar"/>
        </w:rPr>
        <w:t>International Journal of Managing Projects in Business</w:t>
      </w:r>
      <w:r>
        <w:rPr>
          <w:rFonts w:ascii="Times New Roman Regular" w:eastAsia="Helvetica Neue" w:hAnsi="Times New Roman Regular" w:cs="Times New Roman Regular"/>
          <w:lang w:bidi="ar"/>
        </w:rPr>
        <w:t>, 18(2), pp. 221–242.</w:t>
      </w:r>
      <w:r>
        <w:rPr>
          <w:rFonts w:ascii="Times New Roman Regular" w:eastAsia="Helvetica Neue" w:hAnsi="Times New Roman Regular" w:cs="Times New Roman Regular"/>
          <w:lang w:bidi="ar"/>
        </w:rPr>
        <w:br/>
        <w:t xml:space="preserve">Available at: </w:t>
      </w:r>
      <w:hyperlink r:id="rId14" w:history="1">
        <w:r>
          <w:rPr>
            <w:rStyle w:val="Hyperlink"/>
            <w:rFonts w:ascii="Times New Roman Regular" w:hAnsi="Times New Roman Regular" w:cs="Times New Roman Regular"/>
          </w:rPr>
          <w:t>https://www.tandfonline.com/doi/full/10.1080/14488388.2025.2538901</w:t>
        </w:r>
      </w:hyperlink>
      <w:r>
        <w:rPr>
          <w:rFonts w:ascii="Times New Roman Regular" w:eastAsia="Helvetica Neue" w:hAnsi="Times New Roman Regular" w:cs="Times New Roman Regular"/>
          <w:lang w:bidi="ar"/>
        </w:rPr>
        <w:t xml:space="preserve"> (Accessed: 13 October 2025).</w:t>
      </w:r>
    </w:p>
    <w:p w14:paraId="0DB35364"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Erkul, R., Kumral, M. and Celik, T. (2016) ‘Stakeholder engagement in mega transport infrastructure projects’, </w:t>
      </w:r>
      <w:r>
        <w:rPr>
          <w:rFonts w:ascii="Times New Roman Regular" w:eastAsia="Helvetica Neue" w:hAnsi="Times New Roman Regular" w:cs="Times New Roman Regular"/>
          <w:i/>
          <w:iCs/>
          <w:lang w:bidi="ar"/>
        </w:rPr>
        <w:t>Procedia Engineering</w:t>
      </w:r>
      <w:r>
        <w:rPr>
          <w:rFonts w:ascii="Times New Roman Regular" w:eastAsia="Helvetica Neue" w:hAnsi="Times New Roman Regular" w:cs="Times New Roman Regular"/>
          <w:lang w:bidi="ar"/>
        </w:rPr>
        <w:t>, 164, pp. 518–525.</w:t>
      </w:r>
      <w:r>
        <w:rPr>
          <w:rFonts w:ascii="Times New Roman Regular" w:eastAsia="Helvetica Neue" w:hAnsi="Times New Roman Regular" w:cs="Times New Roman Regular"/>
          <w:lang w:bidi="ar"/>
        </w:rPr>
        <w:br/>
        <w:t xml:space="preserve">Available at: </w:t>
      </w:r>
      <w:hyperlink r:id="rId15" w:history="1">
        <w:r>
          <w:rPr>
            <w:rStyle w:val="Hyperlink"/>
            <w:rFonts w:ascii="Times New Roman Regular" w:hAnsi="Times New Roman Regular" w:cs="Times New Roman Regular"/>
          </w:rPr>
          <w:t>https://www.sciencedirect.com/science/article/pii/S1877705816329745</w:t>
        </w:r>
      </w:hyperlink>
      <w:r>
        <w:rPr>
          <w:rFonts w:ascii="Times New Roman Regular" w:eastAsia="Helvetica Neue" w:hAnsi="Times New Roman Regular" w:cs="Times New Roman Regular"/>
          <w:lang w:bidi="ar"/>
        </w:rPr>
        <w:t xml:space="preserve"> (Accessed: 13 October 2025).</w:t>
      </w:r>
    </w:p>
    <w:p w14:paraId="3392DD2D"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Freeman, R. E. (1984) </w:t>
      </w:r>
      <w:r>
        <w:rPr>
          <w:rFonts w:ascii="Times New Roman Regular" w:eastAsia="Helvetica Neue" w:hAnsi="Times New Roman Regular" w:cs="Times New Roman Regular"/>
          <w:i/>
          <w:iCs/>
          <w:lang w:bidi="ar"/>
        </w:rPr>
        <w:t>Strategic Management: A Stakeholder Approach.</w:t>
      </w:r>
      <w:r>
        <w:rPr>
          <w:rFonts w:ascii="Times New Roman Regular" w:eastAsia="Helvetica Neue" w:hAnsi="Times New Roman Regular" w:cs="Times New Roman Regular"/>
          <w:lang w:bidi="ar"/>
        </w:rPr>
        <w:t xml:space="preserve"> Boston: Pitman.</w:t>
      </w:r>
    </w:p>
    <w:p w14:paraId="243BC384"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Greater Manchester Combined Authority (GMCA) (2024) </w:t>
      </w:r>
      <w:r>
        <w:rPr>
          <w:rFonts w:ascii="Times New Roman Regular" w:eastAsia="Helvetica Neue" w:hAnsi="Times New Roman Regular" w:cs="Times New Roman Regular"/>
          <w:i/>
          <w:iCs/>
          <w:lang w:bidi="ar"/>
        </w:rPr>
        <w:t>Embedding Green Infrastructure Principles: Guidance for Greater Manchester Local Authorities.</w:t>
      </w:r>
      <w:r>
        <w:rPr>
          <w:rFonts w:ascii="Times New Roman Regular" w:eastAsia="Helvetica Neue" w:hAnsi="Times New Roman Regular" w:cs="Times New Roman Regular"/>
          <w:lang w:bidi="ar"/>
        </w:rPr>
        <w:br/>
        <w:t xml:space="preserve">Available at: </w:t>
      </w:r>
      <w:hyperlink r:id="rId16" w:history="1">
        <w:r>
          <w:rPr>
            <w:rStyle w:val="Hyperlink"/>
            <w:rFonts w:ascii="Times New Roman Regular" w:hAnsi="Times New Roman Regular" w:cs="Times New Roman Regular"/>
          </w:rPr>
          <w:t>https://greatermanchester-ca.gov.uk/GMCAFiles/PFE/Supporting%20documents/07%20Greener%20Places/07.01.02%20Guidance%20for%20Greater%20Manchester%20-%20Embedding%20Green%20Infrastructure%20Principles.pdf</w:t>
        </w:r>
      </w:hyperlink>
      <w:r>
        <w:rPr>
          <w:rFonts w:ascii="Times New Roman Regular" w:eastAsia="Helvetica Neue" w:hAnsi="Times New Roman Regular" w:cs="Times New Roman Regular"/>
          <w:lang w:bidi="ar"/>
        </w:rPr>
        <w:t xml:space="preserve"> (Accessed: 13 October 2025).</w:t>
      </w:r>
    </w:p>
    <w:p w14:paraId="23C87353"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Greater Manchester Combined Authority (GMCA) (2024) </w:t>
      </w:r>
      <w:r>
        <w:rPr>
          <w:rFonts w:ascii="Times New Roman Regular" w:eastAsia="Helvetica Neue" w:hAnsi="Times New Roman Regular" w:cs="Times New Roman Regular"/>
          <w:i/>
          <w:iCs/>
          <w:lang w:bidi="ar"/>
        </w:rPr>
        <w:t xml:space="preserve">Green Infrastructure Policy Context. </w:t>
      </w:r>
      <w:r>
        <w:rPr>
          <w:rFonts w:ascii="Times New Roman Regular" w:eastAsia="Helvetica Neue" w:hAnsi="Times New Roman Regular" w:cs="Times New Roman Regular"/>
          <w:lang w:bidi="ar"/>
        </w:rPr>
        <w:t>Available at: https://greatermanchester-ca.gov.uk/GMCAFiles/PFE/Supporting%20documents/07%20Greener%20Places/07.01.01%20Green%20Infrastructure%20Policy%20Context.pdf (Accessed: 13 October 2025).</w:t>
      </w:r>
    </w:p>
    <w:p w14:paraId="5BFCFEDB"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Greater Manchester Combined Authority (GMCA) (2024) </w:t>
      </w:r>
      <w:r>
        <w:rPr>
          <w:rFonts w:ascii="Times New Roman Regular" w:eastAsia="Helvetica Neue" w:hAnsi="Times New Roman Regular" w:cs="Times New Roman Regular"/>
          <w:i/>
          <w:iCs/>
          <w:lang w:bidi="ar"/>
        </w:rPr>
        <w:t xml:space="preserve">Natural Environment Topic Paper (Places for Everyone). </w:t>
      </w:r>
      <w:r>
        <w:rPr>
          <w:rFonts w:ascii="Times New Roman Regular" w:eastAsia="Helvetica Neue" w:hAnsi="Times New Roman Regular" w:cs="Times New Roman Regular"/>
          <w:lang w:bidi="ar"/>
        </w:rPr>
        <w:t>Available at: https://greatermanchester-ca.gov.uk/GMCAFiles/PFE/Supporting%20documents/07%20Greener%20Places/07.01.26%20Natural%20Environment%20Topic%20Paper.pdf (Accessed: 13 October 2025).</w:t>
      </w:r>
    </w:p>
    <w:p w14:paraId="13CA113F"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Greater Manchester Combined Authority (GMCA) (2025) </w:t>
      </w:r>
      <w:r>
        <w:rPr>
          <w:rFonts w:ascii="Times New Roman Regular" w:eastAsia="Helvetica Neue" w:hAnsi="Times New Roman Regular" w:cs="Times New Roman Regular"/>
          <w:i/>
          <w:iCs/>
          <w:lang w:bidi="ar"/>
        </w:rPr>
        <w:t xml:space="preserve">Greater Manchester Five-Year Environment Plan 2025–2030. </w:t>
      </w:r>
      <w:r>
        <w:rPr>
          <w:rFonts w:ascii="Times New Roman Regular" w:eastAsia="Helvetica Neue" w:hAnsi="Times New Roman Regular" w:cs="Times New Roman Regular"/>
          <w:lang w:bidi="ar"/>
        </w:rPr>
        <w:t xml:space="preserve">Available at: </w:t>
      </w:r>
      <w:hyperlink r:id="rId17" w:history="1">
        <w:r>
          <w:rPr>
            <w:rStyle w:val="Hyperlink"/>
            <w:rFonts w:ascii="Times New Roman Regular" w:hAnsi="Times New Roman Regular" w:cs="Times New Roman Regular"/>
          </w:rPr>
          <w:t>https://www.greatermanchester-ca.gov.uk/media/alnl0fsy/gmca_5-year-plan_final_digital_v3-ua.pdf</w:t>
        </w:r>
      </w:hyperlink>
      <w:r>
        <w:rPr>
          <w:rFonts w:ascii="Times New Roman Regular" w:eastAsia="Helvetica Neue" w:hAnsi="Times New Roman Regular" w:cs="Times New Roman Regular"/>
          <w:lang w:bidi="ar"/>
        </w:rPr>
        <w:t>(Accessed: 13 October 2025).</w:t>
      </w:r>
    </w:p>
    <w:p w14:paraId="4A0450C3"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GrowGreen EU Project (2024) </w:t>
      </w:r>
      <w:r>
        <w:rPr>
          <w:rFonts w:ascii="Times New Roman Regular" w:eastAsia="Helvetica Neue" w:hAnsi="Times New Roman Regular" w:cs="Times New Roman Regular"/>
          <w:i/>
          <w:iCs/>
          <w:lang w:bidi="ar"/>
        </w:rPr>
        <w:t>Manchester Actions and Nature-Based Strategies.</w:t>
      </w:r>
      <w:r>
        <w:rPr>
          <w:rFonts w:ascii="Times New Roman Regular" w:eastAsia="Helvetica Neue" w:hAnsi="Times New Roman Regular" w:cs="Times New Roman Regular"/>
          <w:lang w:bidi="ar"/>
        </w:rPr>
        <w:br/>
        <w:t xml:space="preserve">Available at: </w:t>
      </w:r>
      <w:hyperlink r:id="rId18" w:history="1">
        <w:r>
          <w:rPr>
            <w:rStyle w:val="Hyperlink"/>
            <w:rFonts w:ascii="Times New Roman Regular" w:hAnsi="Times New Roman Regular" w:cs="Times New Roman Regular"/>
          </w:rPr>
          <w:t>https://growgreenproject.eu/city-actions/manchester/</w:t>
        </w:r>
      </w:hyperlink>
      <w:r>
        <w:rPr>
          <w:rFonts w:ascii="Times New Roman Regular" w:eastAsia="Helvetica Neue" w:hAnsi="Times New Roman Regular" w:cs="Times New Roman Regular"/>
          <w:lang w:bidi="ar"/>
        </w:rPr>
        <w:t xml:space="preserve"> (Accessed: 13 October 2025).</w:t>
      </w:r>
    </w:p>
    <w:p w14:paraId="229B2F7E" w14:textId="77777777" w:rsidR="00CF7045" w:rsidRDefault="001B0FCA">
      <w:pPr>
        <w:pStyle w:val="NormalWeb"/>
        <w:spacing w:beforeLines="100" w:before="240" w:beforeAutospacing="0" w:afterLines="100" w:after="240" w:afterAutospacing="0" w:line="360" w:lineRule="auto"/>
        <w:rPr>
          <w:rFonts w:ascii="Times New Roman Regular" w:eastAsia="Helvetica Neue" w:hAnsi="Times New Roman Regular" w:cs="Times New Roman Regular"/>
          <w:lang w:bidi="ar"/>
        </w:rPr>
      </w:pPr>
      <w:r>
        <w:rPr>
          <w:rFonts w:ascii="Times New Roman Regular" w:eastAsia="Helvetica Neue" w:hAnsi="Times New Roman Regular" w:cs="Times New Roman Regular"/>
          <w:lang w:bidi="ar"/>
        </w:rPr>
        <w:t>Hislop, M., Scott, A.J. and Corbett, A. (2019). What Does Good Green Infrastructure Planning Policy Look Like? Developing and Testing a Policy Assessment Tool Within Central Scotland UK. Planning Theory &amp; Practice, 20(5), pp.633–655. doi:https://doi.org/10.1080/14649357.2019.1678667.</w:t>
      </w:r>
    </w:p>
    <w:p w14:paraId="3679C8C5"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Institution of Civil Engineers (ICE) (2024) </w:t>
      </w:r>
      <w:r>
        <w:rPr>
          <w:rFonts w:ascii="Times New Roman Regular" w:eastAsia="Helvetica Neue" w:hAnsi="Times New Roman Regular" w:cs="Times New Roman Regular"/>
          <w:i/>
          <w:iCs/>
          <w:lang w:bidi="ar"/>
        </w:rPr>
        <w:t xml:space="preserve">Green and Blue Infrastructure: A Transport Sector Perspective. </w:t>
      </w:r>
      <w:r>
        <w:rPr>
          <w:rFonts w:ascii="Times New Roman Regular" w:eastAsia="Helvetica Neue" w:hAnsi="Times New Roman Regular" w:cs="Times New Roman Regular"/>
          <w:lang w:bidi="ar"/>
        </w:rPr>
        <w:t xml:space="preserve">Available at: </w:t>
      </w:r>
      <w:hyperlink r:id="rId19" w:history="1">
        <w:r>
          <w:rPr>
            <w:rStyle w:val="Hyperlink"/>
            <w:rFonts w:ascii="Times New Roman Regular" w:hAnsi="Times New Roman Regular" w:cs="Times New Roman Regular"/>
          </w:rPr>
          <w:t>https://www.ciht.org.uk/media/17093/green-and-blue-infra_single-page-version.pdf</w:t>
        </w:r>
      </w:hyperlink>
      <w:r>
        <w:rPr>
          <w:rFonts w:ascii="Times New Roman Regular" w:eastAsia="Helvetica Neue" w:hAnsi="Times New Roman Regular" w:cs="Times New Roman Regular"/>
          <w:lang w:bidi="ar"/>
        </w:rPr>
        <w:t xml:space="preserve"> (Accessed: 13 October 2025).</w:t>
      </w:r>
    </w:p>
    <w:p w14:paraId="7917F8CB"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Jayasuriya, S. (2024) ‘Towards successful economic infrastructure partnership: Stakeholder management strategies for PPP projects’, </w:t>
      </w:r>
      <w:r>
        <w:rPr>
          <w:rFonts w:ascii="Times New Roman Regular" w:eastAsia="Helvetica Neue" w:hAnsi="Times New Roman Regular" w:cs="Times New Roman Regular"/>
          <w:i/>
          <w:iCs/>
          <w:lang w:bidi="ar"/>
        </w:rPr>
        <w:t>International Journal of Project Management</w:t>
      </w:r>
      <w:r>
        <w:rPr>
          <w:rFonts w:ascii="Times New Roman Regular" w:eastAsia="Helvetica Neue" w:hAnsi="Times New Roman Regular" w:cs="Times New Roman Regular"/>
          <w:lang w:bidi="ar"/>
        </w:rPr>
        <w:t xml:space="preserve">, 42(1), pp. 15–28. Available at: </w:t>
      </w:r>
      <w:hyperlink r:id="rId20" w:history="1">
        <w:r>
          <w:rPr>
            <w:rStyle w:val="Hyperlink"/>
            <w:rFonts w:ascii="Times New Roman Regular" w:hAnsi="Times New Roman Regular" w:cs="Times New Roman Regular"/>
          </w:rPr>
          <w:t>https://www.sciencedirect.com/science/article/pii/S2590198224001593</w:t>
        </w:r>
      </w:hyperlink>
      <w:r>
        <w:rPr>
          <w:rFonts w:ascii="Times New Roman Regular" w:eastAsia="Helvetica Neue" w:hAnsi="Times New Roman Regular" w:cs="Times New Roman Regular"/>
          <w:lang w:bidi="ar"/>
        </w:rPr>
        <w:t xml:space="preserve"> (Accessed: 13 October 2025).</w:t>
      </w:r>
    </w:p>
    <w:p w14:paraId="27B06BAC"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Knox, S. (2024) ‘Stakeholder engagement-as-practice in public sector innovation’, </w:t>
      </w:r>
      <w:r>
        <w:rPr>
          <w:rFonts w:ascii="Times New Roman Regular" w:eastAsia="Helvetica Neue" w:hAnsi="Times New Roman Regular" w:cs="Times New Roman Regular"/>
          <w:i/>
          <w:iCs/>
          <w:lang w:bidi="ar"/>
        </w:rPr>
        <w:t>Public Management Review</w:t>
      </w:r>
      <w:r>
        <w:rPr>
          <w:rFonts w:ascii="Times New Roman Regular" w:eastAsia="Helvetica Neue" w:hAnsi="Times New Roman Regular" w:cs="Times New Roman Regular"/>
          <w:lang w:bidi="ar"/>
        </w:rPr>
        <w:t>, 26(5), pp. 799–816. Available at: https://strathprints.strath.ac.uk/91231/ (Accessed: 13 October 2025).</w:t>
      </w:r>
    </w:p>
    <w:p w14:paraId="361F7CED"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Manchester City Council (2025) </w:t>
      </w:r>
      <w:r>
        <w:rPr>
          <w:rFonts w:ascii="Times New Roman Regular" w:eastAsia="Helvetica Neue" w:hAnsi="Times New Roman Regular" w:cs="Times New Roman Regular"/>
          <w:i/>
          <w:iCs/>
          <w:lang w:bidi="ar"/>
        </w:rPr>
        <w:t xml:space="preserve">Manchester Green Infrastructure Technical Report. </w:t>
      </w:r>
      <w:r>
        <w:rPr>
          <w:rFonts w:ascii="Times New Roman Regular" w:eastAsia="Helvetica Neue" w:hAnsi="Times New Roman Regular" w:cs="Times New Roman Regular"/>
          <w:lang w:bidi="ar"/>
        </w:rPr>
        <w:t xml:space="preserve">Available at: </w:t>
      </w:r>
      <w:hyperlink r:id="rId21" w:history="1">
        <w:r>
          <w:rPr>
            <w:rStyle w:val="Hyperlink"/>
            <w:rFonts w:ascii="Times New Roman Regular" w:hAnsi="Times New Roman Regular" w:cs="Times New Roman Regular"/>
          </w:rPr>
          <w:t>https://media.ontheplatform.org.uk/sites/default/files/Manchester%20GI%20Technical%20Report%20FINAL.pdf</w:t>
        </w:r>
      </w:hyperlink>
      <w:r>
        <w:rPr>
          <w:rFonts w:ascii="Times New Roman Regular" w:eastAsia="Helvetica Neue" w:hAnsi="Times New Roman Regular" w:cs="Times New Roman Regular"/>
          <w:lang w:bidi="ar"/>
        </w:rPr>
        <w:t>(Accessed: 13 October 2025).</w:t>
      </w:r>
    </w:p>
    <w:p w14:paraId="710868F6"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Manchester City Council (2025) </w:t>
      </w:r>
      <w:r>
        <w:rPr>
          <w:rFonts w:ascii="Times New Roman Regular" w:eastAsia="Helvetica Neue" w:hAnsi="Times New Roman Regular" w:cs="Times New Roman Regular"/>
          <w:i/>
          <w:iCs/>
          <w:lang w:bidi="ar"/>
        </w:rPr>
        <w:t xml:space="preserve">Manchester’s Great Outdoors – A Green &amp; Blue Infrastructure Strategy and Action Plan 2025–2030. </w:t>
      </w:r>
      <w:r>
        <w:rPr>
          <w:rFonts w:ascii="Times New Roman Regular" w:eastAsia="Helvetica Neue" w:hAnsi="Times New Roman Regular" w:cs="Times New Roman Regular"/>
          <w:lang w:bidi="ar"/>
        </w:rPr>
        <w:t xml:space="preserve">Available at: </w:t>
      </w:r>
      <w:hyperlink r:id="rId22" w:history="1">
        <w:r>
          <w:rPr>
            <w:rStyle w:val="Hyperlink"/>
            <w:rFonts w:ascii="Times New Roman Regular" w:hAnsi="Times New Roman Regular" w:cs="Times New Roman Regular"/>
          </w:rPr>
          <w:t>https://www.manchester.gov.uk/downloads/download/6314/manchester_green_and_blue_strategy</w:t>
        </w:r>
      </w:hyperlink>
      <w:r>
        <w:rPr>
          <w:rFonts w:ascii="Times New Roman Regular" w:eastAsia="Helvetica Neue" w:hAnsi="Times New Roman Regular" w:cs="Times New Roman Regular"/>
          <w:lang w:bidi="ar"/>
        </w:rPr>
        <w:t>(Accessed: 13 October 2025).</w:t>
      </w:r>
    </w:p>
    <w:p w14:paraId="6AAF8F8A"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Manchester City Council (2025) </w:t>
      </w:r>
      <w:r>
        <w:rPr>
          <w:rFonts w:ascii="Times New Roman Regular" w:eastAsia="Helvetica Neue" w:hAnsi="Times New Roman Regular" w:cs="Times New Roman Regular"/>
          <w:i/>
          <w:iCs/>
          <w:lang w:bidi="ar"/>
        </w:rPr>
        <w:t xml:space="preserve">Tree Action Plan 2025. </w:t>
      </w:r>
      <w:r>
        <w:rPr>
          <w:rFonts w:ascii="Times New Roman Regular" w:eastAsia="Helvetica Neue" w:hAnsi="Times New Roman Regular" w:cs="Times New Roman Regular"/>
          <w:lang w:bidi="ar"/>
        </w:rPr>
        <w:t xml:space="preserve">Available at: </w:t>
      </w:r>
      <w:hyperlink r:id="rId23" w:history="1">
        <w:r>
          <w:rPr>
            <w:rStyle w:val="Hyperlink"/>
            <w:rFonts w:ascii="Times New Roman Regular" w:hAnsi="Times New Roman Regular" w:cs="Times New Roman Regular"/>
          </w:rPr>
          <w:t>https://www.manchester.gov.uk/info/500002/council_policies_and_strategies/7061/green_and_blue_infrastructure/3</w:t>
        </w:r>
      </w:hyperlink>
      <w:r>
        <w:rPr>
          <w:rFonts w:ascii="Times New Roman Regular" w:eastAsia="Helvetica Neue" w:hAnsi="Times New Roman Regular" w:cs="Times New Roman Regular"/>
          <w:lang w:bidi="ar"/>
        </w:rPr>
        <w:t>(Accessed: 13 October 2025).</w:t>
      </w:r>
    </w:p>
    <w:p w14:paraId="6C2289CE"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Mitchell, R. K., Agle, B. R. and Wood, D. J. (1997) ‘Toward a theory of stakeholder identification and salience: Defining the principle of who and what really counts’, </w:t>
      </w:r>
      <w:r>
        <w:rPr>
          <w:rFonts w:ascii="Times New Roman Regular" w:eastAsia="Helvetica Neue" w:hAnsi="Times New Roman Regular" w:cs="Times New Roman Regular"/>
          <w:i/>
          <w:iCs/>
          <w:lang w:bidi="ar"/>
        </w:rPr>
        <w:t>Academy of Management Review</w:t>
      </w:r>
      <w:r>
        <w:rPr>
          <w:rFonts w:ascii="Times New Roman Regular" w:eastAsia="Helvetica Neue" w:hAnsi="Times New Roman Regular" w:cs="Times New Roman Regular"/>
          <w:lang w:bidi="ar"/>
        </w:rPr>
        <w:t>, 22(4), pp. 853–886.</w:t>
      </w:r>
    </w:p>
    <w:p w14:paraId="040D9A87" w14:textId="77777777" w:rsidR="00CF7045" w:rsidRDefault="001B0FCA">
      <w:pPr>
        <w:pStyle w:val="NormalWeb"/>
        <w:spacing w:beforeLines="100" w:before="240" w:beforeAutospacing="0" w:afterLines="100" w:after="240" w:afterAutospacing="0" w:line="360" w:lineRule="auto"/>
        <w:rPr>
          <w:rFonts w:ascii="Times New Roman Regular" w:eastAsia="Helvetica Neue" w:hAnsi="Times New Roman Regular" w:cs="Times New Roman Regular"/>
          <w:lang w:bidi="ar"/>
        </w:rPr>
      </w:pPr>
      <w:r>
        <w:rPr>
          <w:rFonts w:ascii="Times New Roman Regular" w:eastAsia="Helvetica Neue" w:hAnsi="Times New Roman Regular" w:cs="Times New Roman Regular"/>
          <w:lang w:bidi="ar"/>
        </w:rPr>
        <w:t xml:space="preserve">Prebanić, K. R. and Vukomanović, M. (2023) ‘Exploring stakeholder engagement process as the success factor for infrastructure projects’, </w:t>
      </w:r>
      <w:r>
        <w:rPr>
          <w:rFonts w:ascii="Times New Roman Regular" w:eastAsia="Helvetica Neue" w:hAnsi="Times New Roman Regular" w:cs="Times New Roman Regular"/>
          <w:i/>
          <w:iCs/>
          <w:lang w:bidi="ar"/>
        </w:rPr>
        <w:t>Buildings</w:t>
      </w:r>
      <w:r>
        <w:rPr>
          <w:rFonts w:ascii="Times New Roman Regular" w:eastAsia="Helvetica Neue" w:hAnsi="Times New Roman Regular" w:cs="Times New Roman Regular"/>
          <w:lang w:bidi="ar"/>
        </w:rPr>
        <w:t>, 13(7), 1785.</w:t>
      </w:r>
      <w:r>
        <w:rPr>
          <w:rFonts w:ascii="Times New Roman Regular" w:eastAsia="Helvetica Neue" w:hAnsi="Times New Roman Regular" w:cs="Times New Roman Regular"/>
          <w:lang w:bidi="ar"/>
        </w:rPr>
        <w:br/>
        <w:t xml:space="preserve">Available at: </w:t>
      </w:r>
      <w:hyperlink r:id="rId24" w:history="1">
        <w:r>
          <w:rPr>
            <w:rStyle w:val="Hyperlink"/>
            <w:rFonts w:ascii="Times New Roman Regular" w:hAnsi="Times New Roman Regular" w:cs="Times New Roman Regular"/>
          </w:rPr>
          <w:t>https://www.mdpi.com/2075-5309/13/7/1785</w:t>
        </w:r>
      </w:hyperlink>
      <w:r>
        <w:rPr>
          <w:rFonts w:ascii="Times New Roman Regular" w:eastAsia="Helvetica Neue" w:hAnsi="Times New Roman Regular" w:cs="Times New Roman Regular"/>
          <w:lang w:bidi="ar"/>
        </w:rPr>
        <w:t xml:space="preserve"> (Accessed: 13 October 2025).</w:t>
      </w:r>
    </w:p>
    <w:p w14:paraId="18EDD5BB" w14:textId="77777777" w:rsidR="00CF7045" w:rsidRDefault="001B0FCA">
      <w:pPr>
        <w:pStyle w:val="NormalWeb"/>
        <w:spacing w:beforeLines="100" w:before="240" w:beforeAutospacing="0" w:afterLines="100" w:after="240" w:afterAutospacing="0" w:line="360" w:lineRule="auto"/>
        <w:rPr>
          <w:rFonts w:ascii="Times New Roman Regular" w:eastAsia="Helvetica Neue" w:hAnsi="Times New Roman Regular" w:cs="Times New Roman Regular"/>
          <w:lang w:bidi="ar"/>
        </w:rPr>
      </w:pPr>
      <w:r>
        <w:rPr>
          <w:rFonts w:ascii="Times New Roman Regular" w:eastAsia="Helvetica Neue" w:hAnsi="Times New Roman Regular" w:cs="Times New Roman Regular"/>
          <w:lang w:bidi="ar"/>
        </w:rPr>
        <w:t xml:space="preserve">Schofield, J. (2022) ‘Exclusive first look at Mayfield Park: looking wonderful, making the city centre better’, Manchester Confidentials, 31 May. Available at: </w:t>
      </w:r>
      <w:hyperlink r:id="rId25" w:history="1">
        <w:r>
          <w:rPr>
            <w:rFonts w:ascii="Times New Roman Regular" w:eastAsia="Helvetica Neue" w:hAnsi="Times New Roman Regular" w:cs="Times New Roman Regular"/>
            <w:lang w:bidi="ar"/>
          </w:rPr>
          <w:t>https://confidentials.com/manchester/mayfield-park-city-centre-first-look</w:t>
        </w:r>
      </w:hyperlink>
      <w:r>
        <w:rPr>
          <w:rFonts w:ascii="Times New Roman Regular" w:eastAsia="Helvetica Neue" w:hAnsi="Times New Roman Regular" w:cs="Times New Roman Regular"/>
          <w:lang w:bidi="ar"/>
        </w:rPr>
        <w:t>(Accessed: 2 November 2025). </w:t>
      </w:r>
    </w:p>
    <w:p w14:paraId="772D329C" w14:textId="77777777" w:rsidR="00CF7045" w:rsidRDefault="001B0FCA">
      <w:pPr>
        <w:pStyle w:val="NormalWeb"/>
        <w:spacing w:beforeLines="100" w:before="240" w:beforeAutospacing="0" w:afterLines="100" w:after="240" w:afterAutospacing="0" w:line="36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Stewart, R., Williams, A., Morris, C. and Jenkins, T. (2019) ‘Recruiting and integrating stakeholders in public participation processes: Lessons from urban environmental projects’, </w:t>
      </w:r>
      <w:r>
        <w:rPr>
          <w:rFonts w:ascii="Times New Roman Regular" w:eastAsia="Helvetica Neue" w:hAnsi="Times New Roman Regular" w:cs="Times New Roman Regular"/>
          <w:i/>
          <w:iCs/>
          <w:lang w:bidi="ar"/>
        </w:rPr>
        <w:t>Environmental Science &amp; Policy</w:t>
      </w:r>
      <w:r>
        <w:rPr>
          <w:rFonts w:ascii="Times New Roman Regular" w:eastAsia="Helvetica Neue" w:hAnsi="Times New Roman Regular" w:cs="Times New Roman Regular"/>
          <w:lang w:bidi="ar"/>
        </w:rPr>
        <w:t>, 101, pp. 20–29.</w:t>
      </w:r>
      <w:r>
        <w:rPr>
          <w:rFonts w:ascii="Times New Roman Regular" w:eastAsia="Helvetica Neue" w:hAnsi="Times New Roman Regular" w:cs="Times New Roman Regular"/>
          <w:lang w:bidi="ar"/>
        </w:rPr>
        <w:br/>
        <w:t xml:space="preserve">Available at: </w:t>
      </w:r>
      <w:hyperlink r:id="rId26" w:history="1">
        <w:r>
          <w:rPr>
            <w:rStyle w:val="Hyperlink"/>
            <w:rFonts w:ascii="Times New Roman Regular" w:hAnsi="Times New Roman Regular" w:cs="Times New Roman Regular"/>
          </w:rPr>
          <w:t>https://pmc.ncbi.nlm.nih.gov/articles/PMC6512972/</w:t>
        </w:r>
      </w:hyperlink>
      <w:r>
        <w:rPr>
          <w:rFonts w:ascii="Times New Roman Regular" w:eastAsia="Helvetica Neue" w:hAnsi="Times New Roman Regular" w:cs="Times New Roman Regular"/>
          <w:lang w:bidi="ar"/>
        </w:rPr>
        <w:t xml:space="preserve"> (Accessed: 13 October 2025).</w:t>
      </w:r>
    </w:p>
    <w:p w14:paraId="1BFB760C" w14:textId="77777777" w:rsidR="00CF7045" w:rsidRDefault="001B0FCA">
      <w:pPr>
        <w:pStyle w:val="NormalWeb"/>
        <w:spacing w:beforeLines="100" w:before="240" w:beforeAutospacing="0" w:afterLines="100" w:after="240" w:afterAutospacing="0" w:line="360" w:lineRule="auto"/>
        <w:rPr>
          <w:rFonts w:ascii="Times New Roman Regular" w:eastAsia="Helvetica Neue" w:hAnsi="Times New Roman Regular" w:cs="Times New Roman Regular"/>
          <w:lang w:bidi="ar"/>
        </w:rPr>
      </w:pPr>
      <w:r>
        <w:rPr>
          <w:rFonts w:ascii="Times New Roman Regular" w:eastAsia="Helvetica Neue" w:hAnsi="Times New Roman Regular" w:cs="Times New Roman Regular"/>
          <w:lang w:bidi="ar"/>
        </w:rPr>
        <w:t xml:space="preserve">United Kingdom Government (2010) </w:t>
      </w:r>
      <w:r>
        <w:rPr>
          <w:rFonts w:ascii="Times New Roman Regular" w:eastAsia="Helvetica Neue" w:hAnsi="Times New Roman Regular" w:cs="Times New Roman Regular"/>
          <w:i/>
          <w:iCs/>
          <w:lang w:bidi="ar"/>
        </w:rPr>
        <w:t>Equality Act 2010.</w:t>
      </w:r>
      <w:r>
        <w:rPr>
          <w:rFonts w:ascii="Times New Roman Regular" w:eastAsia="Helvetica Neue" w:hAnsi="Times New Roman Regular" w:cs="Times New Roman Regular"/>
          <w:lang w:bidi="ar"/>
        </w:rPr>
        <w:t xml:space="preserve"> London: The Stationery Office.</w:t>
      </w:r>
    </w:p>
    <w:p w14:paraId="18EC6914" w14:textId="77777777" w:rsidR="00CF7045" w:rsidRDefault="001B0FCA">
      <w:pPr>
        <w:pStyle w:val="NormalWeb"/>
        <w:spacing w:beforeLines="100" w:before="240" w:beforeAutospacing="0" w:afterLines="100" w:after="240" w:afterAutospacing="0" w:line="360" w:lineRule="auto"/>
        <w:rPr>
          <w:rFonts w:ascii="Times New Roman Regular" w:eastAsia="Helvetica Neue" w:hAnsi="Times New Roman Regular" w:cs="Times New Roman Regular"/>
          <w:lang w:bidi="ar"/>
        </w:rPr>
      </w:pPr>
      <w:r>
        <w:rPr>
          <w:rFonts w:ascii="Times New Roman Regular" w:eastAsia="Helvetica Neue" w:hAnsi="Times New Roman Regular" w:cs="Times New Roman Regular"/>
          <w:lang w:bidi="ar"/>
        </w:rPr>
        <w:t xml:space="preserve">Watson, J. (2023) ‘First new Manchester park in over a century’, Landscape Architecture Aotearoa, 14 June. Available at: </w:t>
      </w:r>
      <w:hyperlink r:id="rId27" w:history="1">
        <w:r>
          <w:rPr>
            <w:rFonts w:ascii="Times New Roman Regular" w:eastAsia="Helvetica Neue" w:hAnsi="Times New Roman Regular" w:cs="Times New Roman Regular"/>
            <w:lang w:bidi="ar"/>
          </w:rPr>
          <w:t>https://www.landscapearchitecture.nz/landscape-architecture-aotearoa/2023/3/2/first-new-manchester-park-in-over-a-century</w:t>
        </w:r>
      </w:hyperlink>
      <w:r>
        <w:rPr>
          <w:rFonts w:ascii="Times New Roman Regular" w:eastAsia="Helvetica Neue" w:hAnsi="Times New Roman Regular" w:cs="Times New Roman Regular"/>
          <w:lang w:bidi="ar"/>
        </w:rPr>
        <w:t xml:space="preserve"> (Accessed: 2 November 2025).</w:t>
      </w:r>
    </w:p>
    <w:sectPr w:rsidR="00CF7045">
      <w:headerReference w:type="default" r:id="rId28"/>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EDD91" w14:textId="77777777" w:rsidR="00CF7045" w:rsidRDefault="001B0FCA">
      <w:pPr>
        <w:spacing w:line="240" w:lineRule="auto"/>
      </w:pPr>
      <w:r>
        <w:separator/>
      </w:r>
    </w:p>
  </w:endnote>
  <w:endnote w:type="continuationSeparator" w:id="0">
    <w:p w14:paraId="492BF005" w14:textId="77777777" w:rsidR="00CF7045" w:rsidRDefault="001B0F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onsolas">
    <w:altName w:val="苹方-简"/>
    <w:panose1 w:val="020B0609020204030204"/>
    <w:charset w:val="00"/>
    <w:family w:val="modern"/>
    <w:pitch w:val="fixed"/>
    <w:sig w:usb0="E00006FF" w:usb1="0000F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0AFF" w:usb1="00007843" w:usb2="00000001" w:usb3="00000000" w:csb0="400001BF" w:csb1="DFF70000"/>
  </w:font>
  <w:font w:name="Times New Roman Bold">
    <w:altName w:val="Times New Roman"/>
    <w:panose1 w:val="020B0604020202020204"/>
    <w:charset w:val="00"/>
    <w:family w:val="auto"/>
    <w:pitch w:val="default"/>
    <w:sig w:usb0="E0000AFF" w:usb1="00007843" w:usb2="00000001" w:usb3="00000000" w:csb0="400001BF" w:csb1="DFF7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F832B" w14:textId="77777777" w:rsidR="00CF7045" w:rsidRDefault="001B0FCA">
      <w:pPr>
        <w:spacing w:after="0" w:line="240" w:lineRule="auto"/>
      </w:pPr>
      <w:r>
        <w:separator/>
      </w:r>
    </w:p>
  </w:footnote>
  <w:footnote w:type="continuationSeparator" w:id="0">
    <w:p w14:paraId="1F550123" w14:textId="77777777" w:rsidR="00CF7045" w:rsidRDefault="001B0F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8B801" w14:textId="77777777" w:rsidR="00CF7045" w:rsidRDefault="001B0FCA">
    <w:pPr>
      <w:pStyle w:val="Header"/>
    </w:pPr>
    <w:r>
      <w:rPr>
        <w:noProof/>
      </w:rPr>
      <mc:AlternateContent>
        <mc:Choice Requires="wps">
          <w:drawing>
            <wp:anchor distT="0" distB="0" distL="114300" distR="114300" simplePos="0" relativeHeight="251659264" behindDoc="0" locked="0" layoutInCell="1" allowOverlap="1" wp14:anchorId="098A7400" wp14:editId="1F90DD19">
              <wp:simplePos x="0" y="0"/>
              <wp:positionH relativeFrom="margin">
                <wp:align>right</wp:align>
              </wp:positionH>
              <wp:positionV relativeFrom="paragraph">
                <wp:posOffset>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37ECB4C" w14:textId="77777777" w:rsidR="00CF7045" w:rsidRDefault="001B0FCA">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D1C/SyACAABi&#10;BAAADgAAAAAAAAABACAAAAAfAQAAZHJzL2Uyb0RvYy54bWxQSwUGAAAAAAYABgBZAQAAsQUAAAAA&#10;">
              <v:fill on="f" focussize="0,0"/>
              <v:stroke on="f" weight="0.5pt"/>
              <v:imagedata o:title=""/>
              <o:lock v:ext="edit" aspectratio="f"/>
              <v:textbox inset="0mm,0mm,0mm,0mm" style="mso-fit-shape-to-text:t;">
                <w:txbxContent>
                  <w:p w14:paraId="38AE304A">
                    <w:pPr>
                      <w:pStyle w:val="10"/>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F22EB"/>
    <w:multiLevelType w:val="singleLevel"/>
    <w:tmpl w:val="7D5F22EB"/>
    <w:lvl w:ilvl="0">
      <w:start w:val="1"/>
      <w:numFmt w:val="bullet"/>
      <w:lvlText w:val=""/>
      <w:lvlJc w:val="left"/>
      <w:pPr>
        <w:tabs>
          <w:tab w:val="left" w:pos="420"/>
        </w:tabs>
        <w:ind w:left="420" w:hanging="420"/>
      </w:pPr>
      <w:rPr>
        <w:rFonts w:ascii="Wingdings" w:hAnsi="Wingdings" w:hint="default"/>
      </w:rPr>
    </w:lvl>
  </w:abstractNum>
  <w:num w:numId="1" w16cid:durableId="1649938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045"/>
    <w:rsid w:val="00081BB4"/>
    <w:rsid w:val="00090857"/>
    <w:rsid w:val="001B0FCA"/>
    <w:rsid w:val="00532937"/>
    <w:rsid w:val="00CF7045"/>
    <w:rsid w:val="00D40B27"/>
    <w:rsid w:val="00E07EC2"/>
    <w:rsid w:val="00EA32AE"/>
    <w:rsid w:val="00F6482B"/>
    <w:rsid w:val="1FADCD11"/>
    <w:rsid w:val="2F7FACDE"/>
    <w:rsid w:val="3ADF928F"/>
    <w:rsid w:val="3AFF5FB4"/>
    <w:rsid w:val="3DB49930"/>
    <w:rsid w:val="3FCF920F"/>
    <w:rsid w:val="3FF6A997"/>
    <w:rsid w:val="47FB129E"/>
    <w:rsid w:val="4CFD7A68"/>
    <w:rsid w:val="4FEA78FC"/>
    <w:rsid w:val="59E7B3F4"/>
    <w:rsid w:val="5AFF8E9A"/>
    <w:rsid w:val="5CFF6ADF"/>
    <w:rsid w:val="66A68AA3"/>
    <w:rsid w:val="68BC1EFF"/>
    <w:rsid w:val="69EBE6F1"/>
    <w:rsid w:val="6DBF616D"/>
    <w:rsid w:val="6E86CB7B"/>
    <w:rsid w:val="76F8A914"/>
    <w:rsid w:val="77CF591F"/>
    <w:rsid w:val="79FBAB8C"/>
    <w:rsid w:val="7A3787E6"/>
    <w:rsid w:val="7BAF0CE4"/>
    <w:rsid w:val="7BB0F4F9"/>
    <w:rsid w:val="7D87588B"/>
    <w:rsid w:val="7E913FCF"/>
    <w:rsid w:val="7F1595EE"/>
    <w:rsid w:val="7FBE80C6"/>
    <w:rsid w:val="7FE32C53"/>
    <w:rsid w:val="7FEF3C69"/>
    <w:rsid w:val="7FF993FB"/>
    <w:rsid w:val="86CFC65B"/>
    <w:rsid w:val="8DFF9CBE"/>
    <w:rsid w:val="97F1C009"/>
    <w:rsid w:val="9AEF1A25"/>
    <w:rsid w:val="A7C7119A"/>
    <w:rsid w:val="A97ED545"/>
    <w:rsid w:val="AC37BDC8"/>
    <w:rsid w:val="B75F9BDC"/>
    <w:rsid w:val="B97FD942"/>
    <w:rsid w:val="BEEBD95A"/>
    <w:rsid w:val="BFBE4540"/>
    <w:rsid w:val="BFDE9A7D"/>
    <w:rsid w:val="BFF672C8"/>
    <w:rsid w:val="CFF87E0E"/>
    <w:rsid w:val="D2F9AC73"/>
    <w:rsid w:val="DBFDD5AB"/>
    <w:rsid w:val="DD6AD897"/>
    <w:rsid w:val="DE7F20F1"/>
    <w:rsid w:val="DF848BA8"/>
    <w:rsid w:val="DFDE3CEB"/>
    <w:rsid w:val="DFFE564F"/>
    <w:rsid w:val="E5F615F1"/>
    <w:rsid w:val="E7FF874F"/>
    <w:rsid w:val="EBB7B908"/>
    <w:rsid w:val="EEBF57E5"/>
    <w:rsid w:val="EFAB34B7"/>
    <w:rsid w:val="F9FF8E01"/>
    <w:rsid w:val="FB6F0009"/>
    <w:rsid w:val="FE6FED4F"/>
    <w:rsid w:val="FE7DC462"/>
    <w:rsid w:val="FEBF9370"/>
    <w:rsid w:val="FF451C77"/>
    <w:rsid w:val="FFB853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6592615"/>
  <w15:docId w15:val="{4F58EB7A-5176-394C-BCDC-3C3D5A458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120" w:line="240" w:lineRule="atLeast"/>
    </w:pPr>
    <w:rPr>
      <w:rFonts w:ascii="Georgia" w:eastAsiaTheme="minorHAnsi" w:hAnsiTheme="minorHAnsi" w:cstheme="minorBidi"/>
      <w:sz w:val="22"/>
      <w:szCs w:val="22"/>
      <w:lang w:val="en-US" w:eastAsia="en-US"/>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paragraph" w:styleId="Heading4">
    <w:name w:val="heading 4"/>
    <w:next w:val="Normal"/>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character" w:customStyle="1" w:styleId="VerbatimChar">
    <w:name w:val="Verbatim Char"/>
    <w:rPr>
      <w:rFonts w:ascii="Consolas" w:hAnsi="Consolas"/>
      <w:sz w:val="22"/>
    </w:rPr>
  </w:style>
  <w:style w:type="paragraph" w:customStyle="1" w:styleId="p2">
    <w:name w:val="p2"/>
    <w:pPr>
      <w:jc w:val="center"/>
    </w:pPr>
    <w:rPr>
      <w:rFonts w:ascii="Helvetica Neue" w:eastAsia="Helvetica Neue" w:hAnsi="Helvetica Neue"/>
      <w:sz w:val="26"/>
      <w:szCs w:val="26"/>
      <w:lang w:val="en-US" w:eastAsia="zh-CN"/>
    </w:rPr>
  </w:style>
  <w:style w:type="paragraph" w:customStyle="1" w:styleId="p1">
    <w:name w:val="p1"/>
    <w:rPr>
      <w:rFonts w:ascii="Helvetica Neue" w:eastAsia="Helvetica Neue" w:hAnsi="Helvetica Neue"/>
      <w:sz w:val="26"/>
      <w:szCs w:val="26"/>
      <w:lang w:val="en-US" w:eastAsia="zh-CN"/>
    </w:rPr>
  </w:style>
  <w:style w:type="paragraph" w:customStyle="1" w:styleId="p3">
    <w:name w:val="p3"/>
    <w:pPr>
      <w:jc w:val="center"/>
    </w:pPr>
    <w:rPr>
      <w:rFonts w:ascii="Helvetica Neue" w:eastAsia="Helvetica Neue" w:hAnsi="Helvetica Neue"/>
      <w:sz w:val="26"/>
      <w:szCs w:val="26"/>
      <w:lang w:val="en-US" w:eastAsia="zh-CN"/>
    </w:rPr>
  </w:style>
  <w:style w:type="paragraph" w:customStyle="1" w:styleId="WPSOffice1">
    <w:name w:val="WPSOffice手动目录 1"/>
  </w:style>
  <w:style w:type="paragraph" w:customStyle="1" w:styleId="WPSOffice2">
    <w:name w:val="WPSOffice手动目录 2"/>
    <w:pPr>
      <w:ind w:leftChars="200" w:left="200"/>
    </w:pPr>
  </w:style>
  <w:style w:type="character" w:customStyle="1" w:styleId="s1">
    <w:name w:val="s1"/>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full/10.1177/87569728251341288?utm_source=chatgpt.com" TargetMode="External"/><Relationship Id="rId18" Type="http://schemas.openxmlformats.org/officeDocument/2006/relationships/hyperlink" Target="https://growgreenproject.eu/city-actions/manchester/?utm_source=chatgpt.com" TargetMode="External"/><Relationship Id="rId26" Type="http://schemas.openxmlformats.org/officeDocument/2006/relationships/hyperlink" Target="https://pmc.ncbi.nlm.nih.gov/articles/PMC6512972/?utm_source=chatgpt.com" TargetMode="External"/><Relationship Id="rId3" Type="http://schemas.openxmlformats.org/officeDocument/2006/relationships/styles" Target="styles.xml"/><Relationship Id="rId21" Type="http://schemas.openxmlformats.org/officeDocument/2006/relationships/hyperlink" Target="https://media.ontheplatform.org.uk/sites/default/files/Manchester%20GI%20Technical%20Report%20FINAL.pdf?utm_source=chatgpt.com" TargetMode="External"/><Relationship Id="rId7" Type="http://schemas.openxmlformats.org/officeDocument/2006/relationships/endnotes" Target="endnotes.xml"/><Relationship Id="rId12" Type="http://schemas.openxmlformats.org/officeDocument/2006/relationships/hyperlink" Target="https://discovery.ucl.ac.uk/10201052/1/Di%20Maddaloni_1-s2.0-S0263786324000917-main.pdf?utm_source=chatgpt.com" TargetMode="External"/><Relationship Id="rId17" Type="http://schemas.openxmlformats.org/officeDocument/2006/relationships/hyperlink" Target="https://www.greatermanchester-ca.gov.uk/media/alnl0fsy/gmca_5-year-plan_final_digital_v3-ua.pdf?utm_source=chatgpt.com" TargetMode="External"/><Relationship Id="rId25" Type="http://schemas.openxmlformats.org/officeDocument/2006/relationships/hyperlink" Target="https://confidentials.com/manchester/mayfield-park-city-centre-first-look?utm_source=chatgpt.com" TargetMode="External"/><Relationship Id="rId2" Type="http://schemas.openxmlformats.org/officeDocument/2006/relationships/numbering" Target="numbering.xml"/><Relationship Id="rId16" Type="http://schemas.openxmlformats.org/officeDocument/2006/relationships/hyperlink" Target="https://greatermanchester-ca.gov.uk/GMCAFiles/PFE/Supporting%20documents/07%20Greener%20Places/07.01.02%20Guidance%20for%20Greater%20Manchester%20-%20Embedding%20Green%20Infrastructure%20Principles.pdf?utm_source=chatgpt.com" TargetMode="External"/><Relationship Id="rId20" Type="http://schemas.openxmlformats.org/officeDocument/2006/relationships/hyperlink" Target="https://www.sciencedirect.com/science/article/pii/S2590198224001593?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75-5309/13/7/1785?utm_source=chatgpt.com" TargetMode="External"/><Relationship Id="rId5" Type="http://schemas.openxmlformats.org/officeDocument/2006/relationships/webSettings" Target="webSettings.xml"/><Relationship Id="rId15" Type="http://schemas.openxmlformats.org/officeDocument/2006/relationships/hyperlink" Target="https://www.sciencedirect.com/science/article/pii/S1877705816329745?utm_source=chatgpt.com" TargetMode="External"/><Relationship Id="rId23" Type="http://schemas.openxmlformats.org/officeDocument/2006/relationships/hyperlink" Target="https://www.manchester.gov.uk/info/500002/council_policies_and_strategies/7061/green_and_blue_infrastructure/3?utm_source=chatgpt.com"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ciht.org.uk/media/17093/green-and-blue-infra_single-page-version.pdf?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full/10.1080/14488388.2025.2538901?utm_source=chatgpt.com" TargetMode="External"/><Relationship Id="rId22" Type="http://schemas.openxmlformats.org/officeDocument/2006/relationships/hyperlink" Target="https://www.manchester.gov.uk/downloads/download/6314/manchester_green_and_blue_strategy?utm_source=chatgpt.com" TargetMode="External"/><Relationship Id="rId27" Type="http://schemas.openxmlformats.org/officeDocument/2006/relationships/hyperlink" Target="https://www.landscapearchitecture.nz/landscape-architecture-aotearoa/2023/3/2/first-new-manchester-park-in-over-a-century?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5539</Words>
  <Characters>31576</Characters>
  <Application>Microsoft Office Word</Application>
  <DocSecurity>0</DocSecurity>
  <Lines>263</Lines>
  <Paragraphs>74</Paragraphs>
  <ScaleCrop>false</ScaleCrop>
  <Company/>
  <LinksUpToDate>false</LinksUpToDate>
  <CharactersWithSpaces>37041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html-to-docx</dc:creator>
  <cp:keywords>html-to-docx</cp:keywords>
  <cp:lastModifiedBy>Vasile Raul Stefan (2217660)</cp:lastModifiedBy>
  <cp:revision>2</cp:revision>
  <dcterms:created xsi:type="dcterms:W3CDTF">2025-11-15T14:07:00Z</dcterms:created>
  <dcterms:modified xsi:type="dcterms:W3CDTF">2025-11-15T14:07:00Z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1033-6.15.0.8733</vt:lpwstr>
  </property>
  <property fmtid="{D5CDD505-2E9C-101B-9397-08002B2CF9AE}" pid="3" name="ICV">
    <vt:lpwstr>BFB10550ED63B55778A10769326DBFE6_43</vt:lpwstr>
  </property>
</Properties>
</file>