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611E" w:rsidRDefault="003A611E" w:rsidP="003A611E">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3A611E" w:rsidRDefault="003A611E" w:rsidP="003A611E">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form</w:t>
      </w:r>
      <w:proofErr w:type="spellEnd"/>
    </w:p>
    <w:p w:rsidR="003A611E" w:rsidRPr="001E50BB" w:rsidRDefault="003A611E" w:rsidP="003A611E">
      <w:pPr>
        <w:jc w:val="center"/>
        <w:rPr>
          <w:rFonts w:ascii="Arial" w:hAnsi="Arial" w:cs="Arial"/>
          <w:b/>
          <w:lang w:val="cy-GB"/>
        </w:rPr>
      </w:pPr>
      <w:r w:rsidRPr="001E50BB">
        <w:rPr>
          <w:rFonts w:ascii="Arial" w:hAnsi="Arial" w:cs="Arial"/>
          <w:b/>
          <w:lang w:val="cy-GB"/>
        </w:rPr>
        <w:t xml:space="preserve">(to be </w:t>
      </w:r>
      <w:proofErr w:type="spellStart"/>
      <w:r w:rsidRPr="001E50BB">
        <w:rPr>
          <w:rFonts w:ascii="Arial" w:hAnsi="Arial" w:cs="Arial"/>
          <w:b/>
          <w:lang w:val="cy-GB"/>
        </w:rPr>
        <w:t>completed</w:t>
      </w:r>
      <w:proofErr w:type="spellEnd"/>
      <w:r w:rsidRPr="001E50BB">
        <w:rPr>
          <w:rFonts w:ascii="Arial" w:hAnsi="Arial" w:cs="Arial"/>
          <w:b/>
          <w:lang w:val="cy-GB"/>
        </w:rPr>
        <w:t xml:space="preserve"> by </w:t>
      </w:r>
      <w:proofErr w:type="spellStart"/>
      <w:r w:rsidRPr="001E50BB">
        <w:rPr>
          <w:rFonts w:ascii="Arial" w:hAnsi="Arial" w:cs="Arial"/>
          <w:b/>
          <w:lang w:val="cy-GB"/>
        </w:rPr>
        <w:t>marker</w:t>
      </w:r>
      <w:proofErr w:type="spellEnd"/>
      <w:r w:rsidRPr="001E50BB">
        <w:rPr>
          <w:rFonts w:ascii="Arial" w:hAnsi="Arial" w:cs="Arial"/>
          <w:b/>
          <w:lang w:val="cy-GB"/>
        </w:rPr>
        <w:t>)</w:t>
      </w:r>
    </w:p>
    <w:p w:rsidR="003A611E" w:rsidRPr="001E50BB" w:rsidRDefault="003A611E" w:rsidP="003A611E">
      <w:pPr>
        <w:jc w:val="center"/>
        <w:rPr>
          <w:rFonts w:ascii="Arial" w:hAnsi="Arial" w:cs="Arial"/>
          <w:b/>
          <w:lang w:val="cy-GB"/>
        </w:rPr>
      </w:pPr>
    </w:p>
    <w:p w:rsidR="003A611E" w:rsidRDefault="003A611E" w:rsidP="003A611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A611E" w:rsidRPr="0065654E" w:rsidTr="00525C7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3A611E" w:rsidRDefault="003A611E" w:rsidP="00525C7A">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rsidR="003A611E" w:rsidRPr="0065654E" w:rsidRDefault="003A611E" w:rsidP="00525C7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Liam Barton</w:t>
            </w:r>
          </w:p>
        </w:tc>
      </w:tr>
      <w:tr w:rsidR="003A611E" w:rsidRPr="0065654E" w:rsidTr="00525C7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3A611E" w:rsidRDefault="003A611E" w:rsidP="00525C7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4A19B8">
              <w:rPr>
                <w:rFonts w:ascii="Calibri" w:hAnsi="Calibri" w:cs="Tahoma"/>
                <w:i/>
                <w:sz w:val="24"/>
                <w:szCs w:val="24"/>
              </w:rPr>
              <w:t>CLAH6003</w:t>
            </w:r>
          </w:p>
          <w:p w:rsidR="003A611E" w:rsidRDefault="003A611E" w:rsidP="00525C7A">
            <w:pPr>
              <w:pStyle w:val="NormalWeb"/>
              <w:spacing w:before="0" w:beforeAutospacing="0" w:after="0" w:afterAutospacing="0"/>
              <w:ind w:right="34"/>
              <w:rPr>
                <w:rFonts w:ascii="Calibri" w:hAnsi="Calibri" w:cs="Tahoma"/>
                <w:i/>
                <w:sz w:val="24"/>
                <w:szCs w:val="24"/>
              </w:rPr>
            </w:pPr>
          </w:p>
          <w:p w:rsidR="003A611E" w:rsidRDefault="003A611E" w:rsidP="00525C7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4A19B8">
              <w:rPr>
                <w:rFonts w:ascii="Calibri" w:hAnsi="Calibri" w:cs="Tahoma"/>
                <w:i/>
                <w:sz w:val="24"/>
                <w:szCs w:val="24"/>
              </w:rPr>
              <w:t>Armies and Navies: Studies in Ancient Warfare</w:t>
            </w:r>
          </w:p>
          <w:p w:rsidR="003A611E" w:rsidRPr="0065654E" w:rsidRDefault="003A611E" w:rsidP="00525C7A">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3A611E" w:rsidRPr="0065654E" w:rsidRDefault="003A611E" w:rsidP="00525C7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1501193</w:t>
            </w:r>
          </w:p>
        </w:tc>
      </w:tr>
      <w:tr w:rsidR="003A611E" w:rsidRPr="0065654E" w:rsidTr="00525C7A">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3A611E" w:rsidRPr="0065654E" w:rsidRDefault="003A611E" w:rsidP="00525C7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3A611E" w:rsidRDefault="003A611E" w:rsidP="00525C7A">
            <w:pPr>
              <w:pStyle w:val="NormalWeb"/>
              <w:rPr>
                <w:rFonts w:ascii="Calibri" w:hAnsi="Calibri" w:cs="Tahoma"/>
                <w:i/>
                <w:sz w:val="24"/>
                <w:szCs w:val="24"/>
              </w:rPr>
            </w:pPr>
            <w:r w:rsidRPr="0065654E">
              <w:rPr>
                <w:rFonts w:ascii="Calibri" w:hAnsi="Calibri" w:cs="Tahoma"/>
                <w:i/>
                <w:sz w:val="24"/>
                <w:szCs w:val="24"/>
              </w:rPr>
              <w:t>Comments:</w:t>
            </w: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Default="003A611E" w:rsidP="00525C7A">
            <w:pPr>
              <w:pStyle w:val="NormalWeb"/>
              <w:rPr>
                <w:rFonts w:ascii="Calibri" w:hAnsi="Calibri" w:cs="Tahoma"/>
                <w:i/>
                <w:sz w:val="24"/>
                <w:szCs w:val="24"/>
              </w:rPr>
            </w:pPr>
          </w:p>
          <w:p w:rsidR="003A611E" w:rsidRPr="0065654E" w:rsidRDefault="003A611E" w:rsidP="00525C7A">
            <w:pPr>
              <w:pStyle w:val="NormalWeb"/>
              <w:rPr>
                <w:rFonts w:ascii="Calibri" w:hAnsi="Calibri" w:cs="Tahoma"/>
                <w:i/>
                <w:sz w:val="24"/>
                <w:szCs w:val="24"/>
              </w:rPr>
            </w:pPr>
          </w:p>
        </w:tc>
      </w:tr>
      <w:tr w:rsidR="003A611E" w:rsidRPr="0065654E" w:rsidTr="00525C7A">
        <w:trPr>
          <w:trHeight w:val="492"/>
        </w:trPr>
        <w:tc>
          <w:tcPr>
            <w:tcW w:w="6768" w:type="dxa"/>
            <w:gridSpan w:val="2"/>
            <w:tcBorders>
              <w:top w:val="single" w:sz="4" w:space="0" w:color="auto"/>
            </w:tcBorders>
            <w:vAlign w:val="center"/>
          </w:tcPr>
          <w:p w:rsidR="003A611E" w:rsidRPr="0065654E" w:rsidRDefault="003A611E" w:rsidP="00525C7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3A611E" w:rsidRPr="0065654E" w:rsidRDefault="003A611E" w:rsidP="00525C7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3A611E" w:rsidRPr="0065654E" w:rsidTr="00525C7A">
        <w:tc>
          <w:tcPr>
            <w:tcW w:w="8755" w:type="dxa"/>
            <w:gridSpan w:val="3"/>
            <w:vAlign w:val="center"/>
          </w:tcPr>
          <w:p w:rsidR="003A611E" w:rsidRDefault="003A611E" w:rsidP="00525C7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3A611E" w:rsidRPr="0065654E" w:rsidRDefault="003A611E" w:rsidP="00525C7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3A611E" w:rsidRPr="0065654E" w:rsidRDefault="003A611E" w:rsidP="003A611E">
      <w:pPr>
        <w:pStyle w:val="NormalWeb"/>
        <w:spacing w:before="0" w:beforeAutospacing="0" w:after="0" w:afterAutospacing="0"/>
        <w:ind w:right="-334"/>
        <w:rPr>
          <w:rFonts w:ascii="Trebuchet MS" w:hAnsi="Trebuchet MS" w:cs="Tahoma"/>
          <w:b/>
          <w:bCs/>
          <w:sz w:val="24"/>
          <w:szCs w:val="24"/>
        </w:rPr>
      </w:pPr>
    </w:p>
    <w:p w:rsidR="003A611E" w:rsidRDefault="003A611E" w:rsidP="00DC7E29">
      <w:pPr>
        <w:spacing w:line="480" w:lineRule="auto"/>
        <w:rPr>
          <w:rFonts w:ascii="Times New Roman" w:hAnsi="Times New Roman" w:cs="Times New Roman"/>
          <w:sz w:val="28"/>
          <w:szCs w:val="28"/>
          <w:u w:val="single"/>
        </w:rPr>
      </w:pPr>
    </w:p>
    <w:p w:rsidR="000D7F25" w:rsidRDefault="00486A33" w:rsidP="00DC7E29">
      <w:pPr>
        <w:spacing w:line="480" w:lineRule="auto"/>
        <w:rPr>
          <w:rFonts w:ascii="Times New Roman" w:hAnsi="Times New Roman" w:cs="Times New Roman"/>
          <w:sz w:val="28"/>
          <w:szCs w:val="28"/>
          <w:u w:val="single"/>
        </w:rPr>
      </w:pPr>
      <w:r w:rsidRPr="000D7F25">
        <w:rPr>
          <w:rFonts w:ascii="Times New Roman" w:hAnsi="Times New Roman" w:cs="Times New Roman"/>
          <w:sz w:val="28"/>
          <w:szCs w:val="28"/>
          <w:u w:val="single"/>
        </w:rPr>
        <w:t xml:space="preserve">Scholarly Article Reply: </w:t>
      </w:r>
      <w:r w:rsidR="000D7F25" w:rsidRPr="000D7F25">
        <w:rPr>
          <w:rFonts w:ascii="Times New Roman" w:hAnsi="Times New Roman" w:cs="Times New Roman"/>
          <w:sz w:val="28"/>
          <w:szCs w:val="28"/>
          <w:u w:val="single"/>
        </w:rPr>
        <w:t>‘</w:t>
      </w:r>
      <w:r w:rsidRPr="000D7F25">
        <w:rPr>
          <w:rFonts w:ascii="Times New Roman" w:hAnsi="Times New Roman" w:cs="Times New Roman"/>
          <w:sz w:val="28"/>
          <w:szCs w:val="28"/>
          <w:u w:val="single"/>
        </w:rPr>
        <w:t>Conscription of Hoplites in Classical Athens</w:t>
      </w:r>
      <w:r w:rsidR="000D7F25" w:rsidRPr="000D7F25">
        <w:rPr>
          <w:rFonts w:ascii="Times New Roman" w:hAnsi="Times New Roman" w:cs="Times New Roman"/>
          <w:sz w:val="28"/>
          <w:szCs w:val="28"/>
          <w:u w:val="single"/>
        </w:rPr>
        <w:t>’ by M.R. Christ in the Classic Quarterly 51, 2, 398-422.</w:t>
      </w:r>
    </w:p>
    <w:p w:rsidR="000D7F25" w:rsidRDefault="000D7F25" w:rsidP="00DC7E29">
      <w:pPr>
        <w:spacing w:line="480" w:lineRule="auto"/>
        <w:rPr>
          <w:rFonts w:ascii="Times New Roman" w:hAnsi="Times New Roman" w:cs="Times New Roman"/>
          <w:sz w:val="24"/>
          <w:szCs w:val="24"/>
        </w:rPr>
      </w:pPr>
    </w:p>
    <w:p w:rsidR="007F10D7" w:rsidRDefault="00442CA6"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article in question by M.R. Christ is an interesting discussion regarding the conscription of hoplites in Classical Athens. The article’s </w:t>
      </w:r>
      <w:r w:rsidR="00770202">
        <w:rPr>
          <w:rFonts w:ascii="Times New Roman" w:hAnsi="Times New Roman" w:cs="Times New Roman"/>
          <w:sz w:val="24"/>
          <w:szCs w:val="24"/>
        </w:rPr>
        <w:t xml:space="preserve">main focus is regarding the two various believed types of conscription, that being the </w:t>
      </w:r>
      <w:proofErr w:type="spellStart"/>
      <w:r w:rsidR="00770202" w:rsidRPr="00770202">
        <w:rPr>
          <w:rFonts w:ascii="Times New Roman" w:hAnsi="Times New Roman" w:cs="Times New Roman"/>
          <w:i/>
          <w:sz w:val="24"/>
          <w:szCs w:val="24"/>
        </w:rPr>
        <w:t>Katalogos</w:t>
      </w:r>
      <w:proofErr w:type="spellEnd"/>
      <w:r w:rsidR="00770202">
        <w:rPr>
          <w:rFonts w:ascii="Times New Roman" w:hAnsi="Times New Roman" w:cs="Times New Roman"/>
          <w:i/>
          <w:sz w:val="24"/>
          <w:szCs w:val="24"/>
        </w:rPr>
        <w:t xml:space="preserve"> </w:t>
      </w:r>
      <w:r w:rsidR="00770202">
        <w:rPr>
          <w:rFonts w:ascii="Times New Roman" w:hAnsi="Times New Roman" w:cs="Times New Roman"/>
          <w:sz w:val="24"/>
          <w:szCs w:val="24"/>
        </w:rPr>
        <w:t xml:space="preserve">conscription and the age-group conscription. The article is set into two sections each focusing on discussing and comparing the different forms of conscription. Due to the setting of this article, it is appropriate for this reply to also be set into a similar structure, with each section focusing on each form of conscription while giving our own argument and opinion on each form of conscription. This reply will also be looking into the scholarship used by M.R. Christ and the </w:t>
      </w:r>
      <w:r w:rsidR="0057046B">
        <w:rPr>
          <w:rFonts w:ascii="Times New Roman" w:hAnsi="Times New Roman" w:cs="Times New Roman"/>
          <w:sz w:val="24"/>
          <w:szCs w:val="24"/>
        </w:rPr>
        <w:t>comparisons</w:t>
      </w:r>
      <w:r w:rsidR="00770202">
        <w:rPr>
          <w:rFonts w:ascii="Times New Roman" w:hAnsi="Times New Roman" w:cs="Times New Roman"/>
          <w:sz w:val="24"/>
          <w:szCs w:val="24"/>
        </w:rPr>
        <w:t xml:space="preserve"> of which he makes to</w:t>
      </w:r>
      <w:r w:rsidR="0057046B">
        <w:rPr>
          <w:rFonts w:ascii="Times New Roman" w:hAnsi="Times New Roman" w:cs="Times New Roman"/>
          <w:sz w:val="24"/>
          <w:szCs w:val="24"/>
        </w:rPr>
        <w:t xml:space="preserve"> support his overall argument made in the</w:t>
      </w:r>
      <w:r w:rsidR="00770202">
        <w:rPr>
          <w:rFonts w:ascii="Times New Roman" w:hAnsi="Times New Roman" w:cs="Times New Roman"/>
          <w:sz w:val="24"/>
          <w:szCs w:val="24"/>
        </w:rPr>
        <w:t xml:space="preserve"> article</w:t>
      </w:r>
      <w:r w:rsidR="0057046B">
        <w:rPr>
          <w:rFonts w:ascii="Times New Roman" w:hAnsi="Times New Roman" w:cs="Times New Roman"/>
          <w:sz w:val="24"/>
          <w:szCs w:val="24"/>
        </w:rPr>
        <w:t xml:space="preserve">. </w:t>
      </w:r>
    </w:p>
    <w:p w:rsidR="00442CA6" w:rsidRDefault="0057046B" w:rsidP="00DC7E29">
      <w:pPr>
        <w:spacing w:line="480" w:lineRule="auto"/>
        <w:rPr>
          <w:rFonts w:ascii="Times New Roman" w:hAnsi="Times New Roman" w:cs="Times New Roman"/>
          <w:sz w:val="24"/>
          <w:szCs w:val="24"/>
        </w:rPr>
      </w:pPr>
      <w:r>
        <w:rPr>
          <w:rFonts w:ascii="Times New Roman" w:hAnsi="Times New Roman" w:cs="Times New Roman"/>
          <w:sz w:val="24"/>
          <w:szCs w:val="24"/>
        </w:rPr>
        <w:t>It is important to note that this reply will be focused on the context of the classical period of Athens in regard</w:t>
      </w:r>
      <w:r w:rsidR="004029CB">
        <w:rPr>
          <w:rFonts w:ascii="Times New Roman" w:hAnsi="Times New Roman" w:cs="Times New Roman"/>
          <w:sz w:val="24"/>
          <w:szCs w:val="24"/>
        </w:rPr>
        <w:t>s</w:t>
      </w:r>
      <w:r>
        <w:rPr>
          <w:rFonts w:ascii="Times New Roman" w:hAnsi="Times New Roman" w:cs="Times New Roman"/>
          <w:sz w:val="24"/>
          <w:szCs w:val="24"/>
        </w:rPr>
        <w:t xml:space="preserve"> to hoplite conscriptio</w:t>
      </w:r>
      <w:r w:rsidR="00B84E4E">
        <w:rPr>
          <w:rFonts w:ascii="Times New Roman" w:hAnsi="Times New Roman" w:cs="Times New Roman"/>
          <w:sz w:val="24"/>
          <w:szCs w:val="24"/>
        </w:rPr>
        <w:t>n while also using the discussion</w:t>
      </w:r>
      <w:r>
        <w:rPr>
          <w:rFonts w:ascii="Times New Roman" w:hAnsi="Times New Roman" w:cs="Times New Roman"/>
          <w:sz w:val="24"/>
          <w:szCs w:val="24"/>
        </w:rPr>
        <w:t xml:space="preserve"> to understand the overall scholarly opinions on the debate of Athenian hoplite conscription.</w:t>
      </w:r>
      <w:r w:rsidR="007F10D7">
        <w:rPr>
          <w:rFonts w:ascii="Times New Roman" w:hAnsi="Times New Roman" w:cs="Times New Roman"/>
          <w:sz w:val="24"/>
          <w:szCs w:val="24"/>
        </w:rPr>
        <w:t xml:space="preserve"> This includes the complications raised within this article as to wider considerations raised within Classical Athens, as pointed out by M.R. Christ regarding the equality and fairness for all within democratic Athens while asking its citizens to risk their lives on the battlefield.</w:t>
      </w:r>
      <w:r w:rsidR="000258F5">
        <w:rPr>
          <w:rStyle w:val="FootnoteReference"/>
          <w:rFonts w:ascii="Times New Roman" w:hAnsi="Times New Roman" w:cs="Times New Roman"/>
          <w:sz w:val="24"/>
          <w:szCs w:val="24"/>
        </w:rPr>
        <w:footnoteReference w:id="1"/>
      </w:r>
      <w:r w:rsidR="007F10D7">
        <w:rPr>
          <w:rFonts w:ascii="Times New Roman" w:hAnsi="Times New Roman" w:cs="Times New Roman"/>
          <w:sz w:val="24"/>
          <w:szCs w:val="24"/>
        </w:rPr>
        <w:t xml:space="preserve"> This is significant for our studies as it allows us to better understand the ancient mi</w:t>
      </w:r>
      <w:r w:rsidR="00CC2679">
        <w:rPr>
          <w:rFonts w:ascii="Times New Roman" w:hAnsi="Times New Roman" w:cs="Times New Roman"/>
          <w:sz w:val="24"/>
          <w:szCs w:val="24"/>
        </w:rPr>
        <w:t>litary institutions, but also the question of what</w:t>
      </w:r>
      <w:bookmarkStart w:id="0" w:name="_GoBack"/>
      <w:bookmarkEnd w:id="0"/>
      <w:r w:rsidR="007F10D7">
        <w:rPr>
          <w:rFonts w:ascii="Times New Roman" w:hAnsi="Times New Roman" w:cs="Times New Roman"/>
          <w:sz w:val="24"/>
          <w:szCs w:val="24"/>
        </w:rPr>
        <w:t xml:space="preserve"> the required responsibility of an Athenian in the classical era </w:t>
      </w:r>
      <w:r w:rsidR="007F10D7">
        <w:rPr>
          <w:rFonts w:ascii="Times New Roman" w:hAnsi="Times New Roman" w:cs="Times New Roman"/>
          <w:sz w:val="24"/>
          <w:szCs w:val="24"/>
        </w:rPr>
        <w:lastRenderedPageBreak/>
        <w:t>including conscription.</w:t>
      </w:r>
      <w:r w:rsidR="000258F5">
        <w:rPr>
          <w:rStyle w:val="FootnoteReference"/>
          <w:rFonts w:ascii="Times New Roman" w:hAnsi="Times New Roman" w:cs="Times New Roman"/>
          <w:sz w:val="24"/>
          <w:szCs w:val="24"/>
        </w:rPr>
        <w:footnoteReference w:id="2"/>
      </w:r>
      <w:r w:rsidR="007F10D7">
        <w:rPr>
          <w:rFonts w:ascii="Times New Roman" w:hAnsi="Times New Roman" w:cs="Times New Roman"/>
          <w:sz w:val="24"/>
          <w:szCs w:val="24"/>
        </w:rPr>
        <w:t xml:space="preserve"> M.R. Christ makes the argument that this process was taken out in order to ensure that this method was consistent with other contemporary efforts, so the state could ensure that all was considered ‘fair’ when it came to all civic duties, including conscription and warfare.</w:t>
      </w:r>
      <w:r w:rsidR="007F10D7">
        <w:rPr>
          <w:rStyle w:val="FootnoteReference"/>
          <w:rFonts w:ascii="Times New Roman" w:hAnsi="Times New Roman" w:cs="Times New Roman"/>
          <w:sz w:val="24"/>
          <w:szCs w:val="24"/>
        </w:rPr>
        <w:footnoteReference w:id="3"/>
      </w:r>
    </w:p>
    <w:p w:rsidR="008D671F" w:rsidRDefault="0057046B"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Our first section to be discussed is that of </w:t>
      </w:r>
      <w:proofErr w:type="spellStart"/>
      <w:r>
        <w:rPr>
          <w:rFonts w:ascii="Times New Roman" w:hAnsi="Times New Roman" w:cs="Times New Roman"/>
          <w:i/>
          <w:sz w:val="24"/>
          <w:szCs w:val="24"/>
        </w:rPr>
        <w:t>Katalogos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conscription.</w:t>
      </w:r>
      <w:r w:rsidR="00ED0DFF">
        <w:rPr>
          <w:rFonts w:ascii="Times New Roman" w:hAnsi="Times New Roman" w:cs="Times New Roman"/>
          <w:sz w:val="24"/>
          <w:szCs w:val="24"/>
        </w:rPr>
        <w:t xml:space="preserve"> The discussion is set around the four distinct phases used by M.R. Christ: (1) Compilation of lists of conscripts. (2) Notification of conscripts. (3) Granting of exemptions. (4) Muster.</w:t>
      </w:r>
      <w:r w:rsidR="007F10D7">
        <w:rPr>
          <w:rStyle w:val="FootnoteReference"/>
          <w:rFonts w:ascii="Times New Roman" w:hAnsi="Times New Roman" w:cs="Times New Roman"/>
          <w:sz w:val="24"/>
          <w:szCs w:val="24"/>
        </w:rPr>
        <w:footnoteReference w:id="4"/>
      </w:r>
      <w:r w:rsidR="00ED0DFF">
        <w:rPr>
          <w:rFonts w:ascii="Times New Roman" w:hAnsi="Times New Roman" w:cs="Times New Roman"/>
          <w:sz w:val="24"/>
          <w:szCs w:val="24"/>
        </w:rPr>
        <w:t xml:space="preserve"> The first section of this reply will consist of an analysis of the four given phases including our own interpretation and opinion regarding the work set out by M.R. Christ.</w:t>
      </w:r>
      <w:r>
        <w:rPr>
          <w:rFonts w:ascii="Times New Roman" w:hAnsi="Times New Roman" w:cs="Times New Roman"/>
          <w:sz w:val="24"/>
          <w:szCs w:val="24"/>
        </w:rPr>
        <w:t xml:space="preserve"> </w:t>
      </w:r>
    </w:p>
    <w:p w:rsidR="004029CB" w:rsidRDefault="0057046B" w:rsidP="00DC7E29">
      <w:pPr>
        <w:spacing w:line="480" w:lineRule="auto"/>
        <w:rPr>
          <w:rFonts w:ascii="Times New Roman" w:hAnsi="Times New Roman" w:cs="Times New Roman"/>
          <w:sz w:val="24"/>
          <w:szCs w:val="24"/>
        </w:rPr>
      </w:pPr>
      <w:r>
        <w:rPr>
          <w:rFonts w:ascii="Times New Roman" w:hAnsi="Times New Roman" w:cs="Times New Roman"/>
          <w:sz w:val="24"/>
          <w:szCs w:val="24"/>
        </w:rPr>
        <w:t>M.R. Christ gives an interesting and generally satisfying analysis of describing what this form of conscription would have consisted of.</w:t>
      </w:r>
      <w:r w:rsidR="009B1F04">
        <w:rPr>
          <w:rFonts w:ascii="Times New Roman" w:hAnsi="Times New Roman" w:cs="Times New Roman"/>
          <w:sz w:val="24"/>
          <w:szCs w:val="24"/>
        </w:rPr>
        <w:t xml:space="preserve"> This introduction style information does its job to inform </w:t>
      </w:r>
      <w:r w:rsidR="008D671F">
        <w:rPr>
          <w:rFonts w:ascii="Times New Roman" w:hAnsi="Times New Roman" w:cs="Times New Roman"/>
          <w:sz w:val="24"/>
          <w:szCs w:val="24"/>
        </w:rPr>
        <w:t xml:space="preserve">the casual reader of the type of system that we would expect to </w:t>
      </w:r>
      <w:r w:rsidR="009B1F04">
        <w:rPr>
          <w:rFonts w:ascii="Times New Roman" w:hAnsi="Times New Roman" w:cs="Times New Roman"/>
          <w:sz w:val="24"/>
          <w:szCs w:val="24"/>
        </w:rPr>
        <w:t xml:space="preserve">have </w:t>
      </w:r>
      <w:r w:rsidR="008D671F">
        <w:rPr>
          <w:rFonts w:ascii="Times New Roman" w:hAnsi="Times New Roman" w:cs="Times New Roman"/>
          <w:sz w:val="24"/>
          <w:szCs w:val="24"/>
        </w:rPr>
        <w:t>be</w:t>
      </w:r>
      <w:r w:rsidR="009B1F04">
        <w:rPr>
          <w:rFonts w:ascii="Times New Roman" w:hAnsi="Times New Roman" w:cs="Times New Roman"/>
          <w:sz w:val="24"/>
          <w:szCs w:val="24"/>
        </w:rPr>
        <w:t>en</w:t>
      </w:r>
      <w:r w:rsidR="008D671F">
        <w:rPr>
          <w:rFonts w:ascii="Times New Roman" w:hAnsi="Times New Roman" w:cs="Times New Roman"/>
          <w:sz w:val="24"/>
          <w:szCs w:val="24"/>
        </w:rPr>
        <w:t xml:space="preserve"> present in Athens </w:t>
      </w:r>
      <w:r w:rsidR="009B1F04">
        <w:rPr>
          <w:rFonts w:ascii="Times New Roman" w:hAnsi="Times New Roman" w:cs="Times New Roman"/>
          <w:sz w:val="24"/>
          <w:szCs w:val="24"/>
        </w:rPr>
        <w:t xml:space="preserve">with the growing importance of armoured heavy infantry (hoplites) from the </w:t>
      </w:r>
      <w:proofErr w:type="gramStart"/>
      <w:r w:rsidR="009B1F04">
        <w:rPr>
          <w:rFonts w:ascii="Times New Roman" w:hAnsi="Times New Roman" w:cs="Times New Roman"/>
          <w:sz w:val="24"/>
          <w:szCs w:val="24"/>
        </w:rPr>
        <w:t>Archaic</w:t>
      </w:r>
      <w:proofErr w:type="gramEnd"/>
      <w:r w:rsidR="009B1F04">
        <w:rPr>
          <w:rFonts w:ascii="Times New Roman" w:hAnsi="Times New Roman" w:cs="Times New Roman"/>
          <w:sz w:val="24"/>
          <w:szCs w:val="24"/>
        </w:rPr>
        <w:t xml:space="preserve"> period.</w:t>
      </w:r>
      <w:r w:rsidR="007F10D7">
        <w:rPr>
          <w:rStyle w:val="FootnoteReference"/>
          <w:rFonts w:ascii="Times New Roman" w:hAnsi="Times New Roman" w:cs="Times New Roman"/>
          <w:sz w:val="24"/>
          <w:szCs w:val="24"/>
        </w:rPr>
        <w:footnoteReference w:id="5"/>
      </w:r>
      <w:r w:rsidR="009B1F04">
        <w:rPr>
          <w:rFonts w:ascii="Times New Roman" w:hAnsi="Times New Roman" w:cs="Times New Roman"/>
          <w:sz w:val="24"/>
          <w:szCs w:val="24"/>
        </w:rPr>
        <w:t xml:space="preserve"> This comes in the form of the </w:t>
      </w:r>
      <w:proofErr w:type="spellStart"/>
      <w:r w:rsidR="009B1F04">
        <w:rPr>
          <w:rFonts w:ascii="Times New Roman" w:hAnsi="Times New Roman" w:cs="Times New Roman"/>
          <w:sz w:val="24"/>
          <w:szCs w:val="24"/>
        </w:rPr>
        <w:t>Cleisthenic</w:t>
      </w:r>
      <w:proofErr w:type="spellEnd"/>
      <w:r w:rsidR="009B1F04">
        <w:rPr>
          <w:rFonts w:ascii="Times New Roman" w:hAnsi="Times New Roman" w:cs="Times New Roman"/>
          <w:sz w:val="24"/>
          <w:szCs w:val="24"/>
        </w:rPr>
        <w:t xml:space="preserve"> reforms, setting the basis for conscription into ten tribal contingents within Athens, and is argued within the article in question to possibly have been implemented during the period of classical history.</w:t>
      </w:r>
      <w:r w:rsidR="007F10D7">
        <w:rPr>
          <w:rStyle w:val="FootnoteReference"/>
          <w:rFonts w:ascii="Times New Roman" w:hAnsi="Times New Roman" w:cs="Times New Roman"/>
          <w:sz w:val="24"/>
          <w:szCs w:val="24"/>
        </w:rPr>
        <w:footnoteReference w:id="6"/>
      </w:r>
    </w:p>
    <w:p w:rsidR="004029CB" w:rsidRDefault="004029CB"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softHyphen/>
        <w:t>)</w:t>
      </w:r>
      <w:r>
        <w:rPr>
          <w:rFonts w:ascii="Times New Roman" w:hAnsi="Times New Roman" w:cs="Times New Roman"/>
          <w:i/>
          <w:sz w:val="24"/>
          <w:szCs w:val="24"/>
        </w:rPr>
        <w:t xml:space="preserve"> Compilation of lists</w:t>
      </w:r>
    </w:p>
    <w:p w:rsidR="000D0488" w:rsidRDefault="004029CB" w:rsidP="00DC7E29">
      <w:pPr>
        <w:spacing w:before="240" w:line="480" w:lineRule="auto"/>
        <w:rPr>
          <w:rFonts w:ascii="Times New Roman" w:hAnsi="Times New Roman" w:cs="Times New Roman"/>
          <w:i/>
          <w:sz w:val="24"/>
          <w:szCs w:val="24"/>
        </w:rPr>
      </w:pPr>
      <w:r>
        <w:rPr>
          <w:rFonts w:ascii="Times New Roman" w:hAnsi="Times New Roman" w:cs="Times New Roman"/>
          <w:sz w:val="24"/>
          <w:szCs w:val="24"/>
        </w:rPr>
        <w:t xml:space="preserve">The first of the four phases for the </w:t>
      </w:r>
      <w:proofErr w:type="spellStart"/>
      <w:r>
        <w:rPr>
          <w:rFonts w:ascii="Times New Roman" w:hAnsi="Times New Roman" w:cs="Times New Roman"/>
          <w:i/>
          <w:sz w:val="24"/>
          <w:szCs w:val="24"/>
        </w:rPr>
        <w:t>Katalogos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variant of conscription mentioned by M.R. Christ is the compilation of lists. We are given information regarding the lists of each tribe within Athens, of which it is believed that the entire board of generals may have </w:t>
      </w:r>
      <w:r w:rsidR="00275FE4">
        <w:rPr>
          <w:rFonts w:ascii="Times New Roman" w:hAnsi="Times New Roman" w:cs="Times New Roman"/>
          <w:sz w:val="24"/>
          <w:szCs w:val="24"/>
        </w:rPr>
        <w:t xml:space="preserve">been </w:t>
      </w:r>
      <w:r>
        <w:rPr>
          <w:rFonts w:ascii="Times New Roman" w:hAnsi="Times New Roman" w:cs="Times New Roman"/>
          <w:sz w:val="24"/>
          <w:szCs w:val="24"/>
        </w:rPr>
        <w:t>involved within this process</w:t>
      </w:r>
      <w:r w:rsidR="00275FE4">
        <w:rPr>
          <w:rFonts w:ascii="Times New Roman" w:hAnsi="Times New Roman" w:cs="Times New Roman"/>
          <w:sz w:val="24"/>
          <w:szCs w:val="24"/>
        </w:rPr>
        <w:t xml:space="preserve">, which is plausible given that the ten generals would fit with the </w:t>
      </w:r>
      <w:r w:rsidR="00275FE4">
        <w:rPr>
          <w:rFonts w:ascii="Times New Roman" w:hAnsi="Times New Roman" w:cs="Times New Roman"/>
          <w:sz w:val="24"/>
          <w:szCs w:val="24"/>
        </w:rPr>
        <w:lastRenderedPageBreak/>
        <w:t>organisation of the ten tribes.</w:t>
      </w:r>
      <w:r w:rsidR="00275FE4">
        <w:rPr>
          <w:rStyle w:val="FootnoteReference"/>
          <w:rFonts w:ascii="Times New Roman" w:hAnsi="Times New Roman" w:cs="Times New Roman"/>
          <w:sz w:val="24"/>
          <w:szCs w:val="24"/>
        </w:rPr>
        <w:footnoteReference w:id="7"/>
      </w:r>
      <w:r w:rsidR="00275FE4">
        <w:rPr>
          <w:rFonts w:ascii="Times New Roman" w:hAnsi="Times New Roman" w:cs="Times New Roman"/>
          <w:sz w:val="24"/>
          <w:szCs w:val="24"/>
        </w:rPr>
        <w:t xml:space="preserve"> M.R. Christ also includes the information regarding </w:t>
      </w:r>
      <w:proofErr w:type="spellStart"/>
      <w:r w:rsidR="00275FE4">
        <w:rPr>
          <w:rFonts w:ascii="Times New Roman" w:hAnsi="Times New Roman" w:cs="Times New Roman"/>
          <w:i/>
          <w:sz w:val="24"/>
          <w:szCs w:val="24"/>
        </w:rPr>
        <w:t>Lysias</w:t>
      </w:r>
      <w:proofErr w:type="spellEnd"/>
      <w:r w:rsidR="00275FE4">
        <w:rPr>
          <w:rFonts w:ascii="Times New Roman" w:hAnsi="Times New Roman" w:cs="Times New Roman"/>
          <w:i/>
          <w:sz w:val="24"/>
          <w:szCs w:val="24"/>
        </w:rPr>
        <w:t xml:space="preserve"> 9 (For the Soldier) </w:t>
      </w:r>
      <w:r w:rsidR="00275FE4">
        <w:rPr>
          <w:rFonts w:ascii="Times New Roman" w:hAnsi="Times New Roman" w:cs="Times New Roman"/>
          <w:sz w:val="24"/>
          <w:szCs w:val="24"/>
        </w:rPr>
        <w:t xml:space="preserve">which gives a possible example of collegial involvement between generals, M.R. Christ then goes onto give further detail regarding the information given within </w:t>
      </w:r>
      <w:proofErr w:type="spellStart"/>
      <w:r w:rsidR="00275FE4">
        <w:rPr>
          <w:rFonts w:ascii="Times New Roman" w:hAnsi="Times New Roman" w:cs="Times New Roman"/>
          <w:sz w:val="24"/>
          <w:szCs w:val="24"/>
        </w:rPr>
        <w:t>Lysias</w:t>
      </w:r>
      <w:proofErr w:type="spellEnd"/>
      <w:r w:rsidR="00275FE4">
        <w:rPr>
          <w:rFonts w:ascii="Times New Roman" w:hAnsi="Times New Roman" w:cs="Times New Roman"/>
          <w:sz w:val="24"/>
          <w:szCs w:val="24"/>
        </w:rPr>
        <w:t xml:space="preserve">, however, the </w:t>
      </w:r>
      <w:r w:rsidR="000D0488">
        <w:rPr>
          <w:rFonts w:ascii="Times New Roman" w:hAnsi="Times New Roman" w:cs="Times New Roman"/>
          <w:sz w:val="24"/>
          <w:szCs w:val="24"/>
        </w:rPr>
        <w:t>author</w:t>
      </w:r>
      <w:r w:rsidR="00275FE4">
        <w:rPr>
          <w:rFonts w:ascii="Times New Roman" w:hAnsi="Times New Roman" w:cs="Times New Roman"/>
          <w:sz w:val="24"/>
          <w:szCs w:val="24"/>
        </w:rPr>
        <w:t xml:space="preserve"> does note that it is not clear who is specifically being referred </w:t>
      </w:r>
      <w:r w:rsidR="000D0488">
        <w:rPr>
          <w:rFonts w:ascii="Times New Roman" w:hAnsi="Times New Roman" w:cs="Times New Roman"/>
          <w:sz w:val="24"/>
          <w:szCs w:val="24"/>
        </w:rPr>
        <w:t>to and we can only make an inference</w:t>
      </w:r>
      <w:r w:rsidR="00275FE4">
        <w:rPr>
          <w:rFonts w:ascii="Times New Roman" w:hAnsi="Times New Roman" w:cs="Times New Roman"/>
          <w:sz w:val="24"/>
          <w:szCs w:val="24"/>
        </w:rPr>
        <w:t xml:space="preserve"> based upon the limited evidence at hand.</w:t>
      </w:r>
      <w:r w:rsidR="000D0488">
        <w:rPr>
          <w:rStyle w:val="FootnoteReference"/>
          <w:rFonts w:ascii="Times New Roman" w:hAnsi="Times New Roman" w:cs="Times New Roman"/>
          <w:sz w:val="24"/>
          <w:szCs w:val="24"/>
        </w:rPr>
        <w:footnoteReference w:id="8"/>
      </w:r>
      <w:r w:rsidR="00275FE4">
        <w:rPr>
          <w:rFonts w:ascii="Times New Roman" w:hAnsi="Times New Roman" w:cs="Times New Roman"/>
          <w:sz w:val="24"/>
          <w:szCs w:val="24"/>
        </w:rPr>
        <w:t xml:space="preserve"> This is important as it allows the reader to understand the argument and interpretation being put forward by M.R Christ</w:t>
      </w:r>
      <w:r>
        <w:rPr>
          <w:rFonts w:ascii="Times New Roman" w:hAnsi="Times New Roman" w:cs="Times New Roman"/>
          <w:sz w:val="24"/>
          <w:szCs w:val="24"/>
        </w:rPr>
        <w:t xml:space="preserve"> </w:t>
      </w:r>
      <w:r w:rsidR="000D0488">
        <w:rPr>
          <w:rFonts w:ascii="Times New Roman" w:hAnsi="Times New Roman" w:cs="Times New Roman"/>
          <w:sz w:val="24"/>
          <w:szCs w:val="24"/>
        </w:rPr>
        <w:t xml:space="preserve">without taking away any credibility from this interpretation as he himself displays the lack of clear direction towards which individual is being referred to in the passage within </w:t>
      </w:r>
      <w:proofErr w:type="spellStart"/>
      <w:r w:rsidR="000D0488">
        <w:rPr>
          <w:rFonts w:ascii="Times New Roman" w:hAnsi="Times New Roman" w:cs="Times New Roman"/>
          <w:i/>
          <w:sz w:val="24"/>
          <w:szCs w:val="24"/>
        </w:rPr>
        <w:t>Lysias</w:t>
      </w:r>
      <w:proofErr w:type="spellEnd"/>
      <w:r w:rsidR="000D0488">
        <w:rPr>
          <w:rFonts w:ascii="Times New Roman" w:hAnsi="Times New Roman" w:cs="Times New Roman"/>
          <w:i/>
          <w:sz w:val="24"/>
          <w:szCs w:val="24"/>
        </w:rPr>
        <w:t xml:space="preserve"> 9. </w:t>
      </w:r>
    </w:p>
    <w:p w:rsidR="00F93B27" w:rsidRDefault="004029CB"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main argument given within this section of text is regarding the debate over the </w:t>
      </w:r>
      <w:r w:rsidR="000D0488">
        <w:rPr>
          <w:rFonts w:ascii="Times New Roman" w:hAnsi="Times New Roman" w:cs="Times New Roman"/>
          <w:sz w:val="24"/>
          <w:szCs w:val="24"/>
        </w:rPr>
        <w:t>availability of written records, drawing on a permanent, central register, thus giving the title of the ‘</w:t>
      </w:r>
      <w:proofErr w:type="spellStart"/>
      <w:r w:rsidR="000D0488">
        <w:rPr>
          <w:rFonts w:ascii="Times New Roman" w:hAnsi="Times New Roman" w:cs="Times New Roman"/>
          <w:i/>
          <w:sz w:val="24"/>
          <w:szCs w:val="24"/>
        </w:rPr>
        <w:t>Katalogos</w:t>
      </w:r>
      <w:proofErr w:type="spellEnd"/>
      <w:r w:rsidR="000D0488">
        <w:rPr>
          <w:rFonts w:ascii="Times New Roman" w:hAnsi="Times New Roman" w:cs="Times New Roman"/>
          <w:i/>
          <w:sz w:val="24"/>
          <w:szCs w:val="24"/>
        </w:rPr>
        <w:t>’.</w:t>
      </w:r>
      <w:r w:rsidR="00835EB6">
        <w:rPr>
          <w:rStyle w:val="FootnoteReference"/>
          <w:rFonts w:ascii="Times New Roman" w:hAnsi="Times New Roman" w:cs="Times New Roman"/>
          <w:i/>
          <w:sz w:val="24"/>
          <w:szCs w:val="24"/>
        </w:rPr>
        <w:footnoteReference w:id="9"/>
      </w:r>
      <w:r w:rsidR="000D0488">
        <w:rPr>
          <w:rFonts w:ascii="Times New Roman" w:hAnsi="Times New Roman" w:cs="Times New Roman"/>
          <w:i/>
          <w:sz w:val="24"/>
          <w:szCs w:val="24"/>
        </w:rPr>
        <w:t xml:space="preserve"> </w:t>
      </w:r>
      <w:r w:rsidR="000D0488">
        <w:rPr>
          <w:rFonts w:ascii="Times New Roman" w:hAnsi="Times New Roman" w:cs="Times New Roman"/>
          <w:sz w:val="24"/>
          <w:szCs w:val="24"/>
        </w:rPr>
        <w:t xml:space="preserve">The idea of a central register is controversial with various historians having differing views on the practicalities of whether or not such a list would have been likely to have existed within Athens during this time. M.R Christ gives an adequate introduction to the debate of the central list informing the reader of the argument of A.H.M. Jones </w:t>
      </w:r>
      <w:r w:rsidR="00092C81">
        <w:rPr>
          <w:rFonts w:ascii="Times New Roman" w:hAnsi="Times New Roman" w:cs="Times New Roman"/>
          <w:sz w:val="24"/>
          <w:szCs w:val="24"/>
        </w:rPr>
        <w:t xml:space="preserve">(1957) </w:t>
      </w:r>
      <w:r w:rsidR="000D0488">
        <w:rPr>
          <w:rFonts w:ascii="Times New Roman" w:hAnsi="Times New Roman" w:cs="Times New Roman"/>
          <w:sz w:val="24"/>
          <w:szCs w:val="24"/>
        </w:rPr>
        <w:t>who argues that the generals of Athens could draw on this permanent register.</w:t>
      </w:r>
      <w:r w:rsidR="00092C81">
        <w:rPr>
          <w:rStyle w:val="FootnoteReference"/>
          <w:rFonts w:ascii="Times New Roman" w:hAnsi="Times New Roman" w:cs="Times New Roman"/>
          <w:sz w:val="24"/>
          <w:szCs w:val="24"/>
        </w:rPr>
        <w:footnoteReference w:id="10"/>
      </w:r>
      <w:r w:rsidR="000D0488">
        <w:rPr>
          <w:rFonts w:ascii="Times New Roman" w:hAnsi="Times New Roman" w:cs="Times New Roman"/>
          <w:sz w:val="24"/>
          <w:szCs w:val="24"/>
        </w:rPr>
        <w:t xml:space="preserve"> We are then given the contested view of Hansen</w:t>
      </w:r>
      <w:r w:rsidR="00092C81">
        <w:rPr>
          <w:rFonts w:ascii="Times New Roman" w:hAnsi="Times New Roman" w:cs="Times New Roman"/>
          <w:sz w:val="24"/>
          <w:szCs w:val="24"/>
        </w:rPr>
        <w:t xml:space="preserve"> (</w:t>
      </w:r>
      <w:r w:rsidR="00835EB6">
        <w:rPr>
          <w:rFonts w:ascii="Times New Roman" w:hAnsi="Times New Roman" w:cs="Times New Roman"/>
          <w:sz w:val="24"/>
          <w:szCs w:val="24"/>
        </w:rPr>
        <w:t>1981,</w:t>
      </w:r>
      <w:r w:rsidR="00092C81">
        <w:rPr>
          <w:rFonts w:ascii="Times New Roman" w:hAnsi="Times New Roman" w:cs="Times New Roman"/>
          <w:sz w:val="24"/>
          <w:szCs w:val="24"/>
        </w:rPr>
        <w:t>1985) who argues against the idea of a central register believing the conception of such a list to be a ‘modern fabrication ‘and that the idea of the ‘</w:t>
      </w:r>
      <w:proofErr w:type="spellStart"/>
      <w:r w:rsidR="00092C81" w:rsidRPr="00092C81">
        <w:rPr>
          <w:rFonts w:ascii="Times New Roman" w:hAnsi="Times New Roman" w:cs="Times New Roman"/>
          <w:i/>
          <w:sz w:val="24"/>
          <w:szCs w:val="24"/>
        </w:rPr>
        <w:t>Katalogos</w:t>
      </w:r>
      <w:proofErr w:type="spellEnd"/>
      <w:r w:rsidR="00092C81">
        <w:rPr>
          <w:rFonts w:ascii="Times New Roman" w:hAnsi="Times New Roman" w:cs="Times New Roman"/>
          <w:sz w:val="24"/>
          <w:szCs w:val="24"/>
        </w:rPr>
        <w:t>’ was used for a roster for a particular campaign.</w:t>
      </w:r>
      <w:r w:rsidR="00092C81">
        <w:rPr>
          <w:rStyle w:val="FootnoteReference"/>
          <w:rFonts w:ascii="Times New Roman" w:hAnsi="Times New Roman" w:cs="Times New Roman"/>
          <w:sz w:val="24"/>
          <w:szCs w:val="24"/>
        </w:rPr>
        <w:footnoteReference w:id="11"/>
      </w:r>
      <w:r w:rsidR="00092C81">
        <w:rPr>
          <w:rFonts w:ascii="Times New Roman" w:hAnsi="Times New Roman" w:cs="Times New Roman"/>
          <w:sz w:val="24"/>
          <w:szCs w:val="24"/>
        </w:rPr>
        <w:t xml:space="preserve"> Following on from the debate, M.R. Christ gives his interpretation of the evidence we have at our disposal and impressively also looks into the other interpretations of more modern historians. The sum of all of his research regarding this leads him to argue that the idea of a central registe</w:t>
      </w:r>
      <w:r w:rsidR="00F93B27">
        <w:rPr>
          <w:rFonts w:ascii="Times New Roman" w:hAnsi="Times New Roman" w:cs="Times New Roman"/>
          <w:sz w:val="24"/>
          <w:szCs w:val="24"/>
        </w:rPr>
        <w:t xml:space="preserve">r being </w:t>
      </w:r>
      <w:r w:rsidR="00F93B27">
        <w:rPr>
          <w:rFonts w:ascii="Times New Roman" w:hAnsi="Times New Roman" w:cs="Times New Roman"/>
          <w:sz w:val="24"/>
          <w:szCs w:val="24"/>
        </w:rPr>
        <w:lastRenderedPageBreak/>
        <w:t>realistic is ultimately false. M.R. Christ then proceeds to give his reasons for this argument providing us with useful examples of previous scholars and also examples of Athenian campaigns, such as the Sicilian expedition and other examples from the time of The Peloponnesian War, of which the information on hoplites would have been used.</w:t>
      </w:r>
      <w:r w:rsidR="00F93B27">
        <w:rPr>
          <w:rStyle w:val="FootnoteReference"/>
          <w:rFonts w:ascii="Times New Roman" w:hAnsi="Times New Roman" w:cs="Times New Roman"/>
          <w:sz w:val="24"/>
          <w:szCs w:val="24"/>
        </w:rPr>
        <w:footnoteReference w:id="12"/>
      </w:r>
      <w:r w:rsidR="00F93B27">
        <w:rPr>
          <w:rFonts w:ascii="Times New Roman" w:hAnsi="Times New Roman" w:cs="Times New Roman"/>
          <w:sz w:val="24"/>
          <w:szCs w:val="24"/>
        </w:rPr>
        <w:t xml:space="preserve"> However they would have not been in the form of the argued central register; that is the ultimate definition to be make from the views of M.R. Christ on the first phrase.</w:t>
      </w:r>
    </w:p>
    <w:p w:rsidR="004029CB" w:rsidRDefault="00F93B27"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Overall, his opinion and argument on the topic is backed up by a fair amount of evidence taken directly from the translations of ancient sources and also the viewpoints of those involved in the debate before himself, to give an alternative idea for the process of conscription and how the Athenians would have carried </w:t>
      </w:r>
      <w:r w:rsidR="00341B5F">
        <w:rPr>
          <w:rFonts w:ascii="Times New Roman" w:hAnsi="Times New Roman" w:cs="Times New Roman"/>
          <w:sz w:val="24"/>
          <w:szCs w:val="24"/>
        </w:rPr>
        <w:t>this process out, notably through the oral process of a conscription style list for each of the ten tribes.</w:t>
      </w:r>
    </w:p>
    <w:p w:rsidR="00341B5F" w:rsidRDefault="00341B5F" w:rsidP="00DC7E29">
      <w:pPr>
        <w:spacing w:before="240" w:line="480" w:lineRule="auto"/>
        <w:rPr>
          <w:rFonts w:ascii="Times New Roman" w:hAnsi="Times New Roman" w:cs="Times New Roman"/>
          <w:i/>
          <w:sz w:val="24"/>
          <w:szCs w:val="24"/>
        </w:rPr>
      </w:pPr>
      <w:r>
        <w:rPr>
          <w:rFonts w:ascii="Times New Roman" w:hAnsi="Times New Roman" w:cs="Times New Roman"/>
          <w:sz w:val="24"/>
          <w:szCs w:val="24"/>
        </w:rPr>
        <w:t xml:space="preserve">(2). </w:t>
      </w:r>
      <w:r>
        <w:rPr>
          <w:rFonts w:ascii="Times New Roman" w:hAnsi="Times New Roman" w:cs="Times New Roman"/>
          <w:i/>
          <w:sz w:val="24"/>
          <w:szCs w:val="24"/>
        </w:rPr>
        <w:t>Notification of Conscripts</w:t>
      </w:r>
    </w:p>
    <w:p w:rsidR="003C1CCC" w:rsidRDefault="00C6363E"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second of the four phases for the </w:t>
      </w:r>
      <w:proofErr w:type="spellStart"/>
      <w:r>
        <w:rPr>
          <w:rFonts w:ascii="Times New Roman" w:hAnsi="Times New Roman" w:cs="Times New Roman"/>
          <w:i/>
          <w:sz w:val="24"/>
          <w:szCs w:val="24"/>
        </w:rPr>
        <w:t>Katalogos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variant of conscription mentioned by M.R. Christ is the notification of conscripts. In this section, we are informed of the fairly simplistic process described by M.R. Christ regarding the process of notification of each individual of which had been called up to service.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The process its self, included the posting of the ten different </w:t>
      </w:r>
      <w:proofErr w:type="spellStart"/>
      <w:r>
        <w:rPr>
          <w:rFonts w:ascii="Times New Roman" w:hAnsi="Times New Roman" w:cs="Times New Roman"/>
          <w:i/>
          <w:sz w:val="24"/>
          <w:szCs w:val="24"/>
        </w:rPr>
        <w:t>Katalogoi</w:t>
      </w:r>
      <w:proofErr w:type="spellEnd"/>
      <w:r>
        <w:rPr>
          <w:rFonts w:ascii="Times New Roman" w:hAnsi="Times New Roman" w:cs="Times New Roman"/>
          <w:i/>
          <w:sz w:val="24"/>
          <w:szCs w:val="24"/>
        </w:rPr>
        <w:t xml:space="preserve"> </w:t>
      </w:r>
      <w:r>
        <w:rPr>
          <w:rFonts w:ascii="Times New Roman" w:hAnsi="Times New Roman" w:cs="Times New Roman"/>
          <w:sz w:val="24"/>
          <w:szCs w:val="24"/>
        </w:rPr>
        <w:t>on notice boards located at each tribes corresponding hero, located in the Agora, with said lists possibly being subdivided by deme- the form in which lists came into the hands of the generals- for purposes of aiding those of whom would be consulting each list.</w:t>
      </w:r>
      <w:r>
        <w:rPr>
          <w:rStyle w:val="FootnoteReference"/>
          <w:rFonts w:ascii="Times New Roman" w:hAnsi="Times New Roman" w:cs="Times New Roman"/>
          <w:sz w:val="24"/>
          <w:szCs w:val="24"/>
        </w:rPr>
        <w:footnoteReference w:id="14"/>
      </w:r>
      <w:r w:rsidR="003C1CCC">
        <w:rPr>
          <w:rFonts w:ascii="Times New Roman" w:hAnsi="Times New Roman" w:cs="Times New Roman"/>
          <w:sz w:val="24"/>
          <w:szCs w:val="24"/>
        </w:rPr>
        <w:t xml:space="preserve"> The reader is then briefly informed that the listings would probably have been posted in charcoal on whitened wood, as this was easy to remove, for example when the exemptions </w:t>
      </w:r>
      <w:r w:rsidR="003C1CCC">
        <w:rPr>
          <w:rFonts w:ascii="Times New Roman" w:hAnsi="Times New Roman" w:cs="Times New Roman"/>
          <w:sz w:val="24"/>
          <w:szCs w:val="24"/>
        </w:rPr>
        <w:lastRenderedPageBreak/>
        <w:t>for individuals were to come into play, and thus the names would have to be have been removed.</w:t>
      </w:r>
      <w:r w:rsidR="003C1CCC">
        <w:rPr>
          <w:rStyle w:val="FootnoteReference"/>
          <w:rFonts w:ascii="Times New Roman" w:hAnsi="Times New Roman" w:cs="Times New Roman"/>
          <w:sz w:val="24"/>
          <w:szCs w:val="24"/>
        </w:rPr>
        <w:footnoteReference w:id="15"/>
      </w:r>
      <w:r w:rsidR="003C1CCC">
        <w:rPr>
          <w:rFonts w:ascii="Times New Roman" w:hAnsi="Times New Roman" w:cs="Times New Roman"/>
          <w:sz w:val="24"/>
          <w:szCs w:val="24"/>
        </w:rPr>
        <w:t xml:space="preserve"> </w:t>
      </w:r>
    </w:p>
    <w:p w:rsidR="00C6363E" w:rsidRDefault="003C1CCC"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remaining text of this rather brief section, is based upon an interpretation by M.R. Christ of the steps taken by the generals to make sure those who had been called upon, actually showed up and prepared accordingly and appropriately. This includes the use of trumpets to signal to those who may have been in a further away location that the </w:t>
      </w:r>
      <w:proofErr w:type="spellStart"/>
      <w:r>
        <w:rPr>
          <w:rFonts w:ascii="Times New Roman" w:hAnsi="Times New Roman" w:cs="Times New Roman"/>
          <w:i/>
          <w:sz w:val="24"/>
          <w:szCs w:val="24"/>
        </w:rPr>
        <w:t>Katalogoi</w:t>
      </w:r>
      <w:proofErr w:type="spellEnd"/>
      <w:r>
        <w:rPr>
          <w:rFonts w:ascii="Times New Roman" w:hAnsi="Times New Roman" w:cs="Times New Roman"/>
          <w:i/>
          <w:sz w:val="24"/>
          <w:szCs w:val="24"/>
        </w:rPr>
        <w:t xml:space="preserve"> </w:t>
      </w:r>
      <w:r>
        <w:rPr>
          <w:rFonts w:ascii="Times New Roman" w:hAnsi="Times New Roman" w:cs="Times New Roman"/>
          <w:sz w:val="24"/>
          <w:szCs w:val="24"/>
        </w:rPr>
        <w:t>was required to be checked by all those eligible in the case of emergency.</w:t>
      </w:r>
      <w:r w:rsidR="00692BDF">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Another example is that of the use of heralds, travelling to inform the citizens that there had been a posting and those who were in the distant lands were required to travel and update themselves to see if they have been called upon.</w:t>
      </w:r>
      <w:r w:rsidR="006407E0">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w:t>
      </w:r>
    </w:p>
    <w:p w:rsidR="003C1CCC" w:rsidRDefault="003C1CCC"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Overall, this section is small yet effective. While the term brief when assessing an academic article may be considered negative, the opinion of this review is that this section is rather appropriate in length. However, the context of which M.R Christ gains his information is rather lacking compared to the previous section of which the historical debate is mentioned. In this section, the reader is only vaguely informed of the actions of which the notification of conscripts took place. There is a rather general and lack of depth given to the population of Athens of which would have been involved in the notification process; our only definition of citizens is those who are in Athens, and the few who were not</w:t>
      </w:r>
      <w:r w:rsidR="008D7EF1">
        <w:rPr>
          <w:rFonts w:ascii="Times New Roman" w:hAnsi="Times New Roman" w:cs="Times New Roman"/>
          <w:sz w:val="24"/>
          <w:szCs w:val="24"/>
        </w:rPr>
        <w:t>. Information regarding the different social groups within Athens, in particular when wealth is a variable, would have been appreciated within this section.</w:t>
      </w:r>
    </w:p>
    <w:p w:rsidR="002F700C" w:rsidRDefault="002F700C"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(3) Granting of exemptions</w:t>
      </w:r>
    </w:p>
    <w:p w:rsidR="00F374F2" w:rsidRDefault="00F374F2"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the third section of the four phases for the </w:t>
      </w:r>
      <w:proofErr w:type="spellStart"/>
      <w:r w:rsidRPr="00F374F2">
        <w:rPr>
          <w:rFonts w:ascii="Times New Roman" w:hAnsi="Times New Roman" w:cs="Times New Roman"/>
          <w:i/>
          <w:sz w:val="24"/>
          <w:szCs w:val="24"/>
        </w:rPr>
        <w:t>Katalogos</w:t>
      </w:r>
      <w:proofErr w:type="spellEnd"/>
      <w:r>
        <w:rPr>
          <w:rFonts w:ascii="Times New Roman" w:hAnsi="Times New Roman" w:cs="Times New Roman"/>
          <w:sz w:val="24"/>
          <w:szCs w:val="24"/>
        </w:rPr>
        <w:t xml:space="preserve"> variant of conscription mentioned by M.R. Christ is the granting of exemptions. Here we are informed by the author that the burden was set upon the individual to assert and provide evidence for his claim to be released from hoplite service.</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Release from hoplite services was often granted for an individual if it met the recognised grounds of release. Common reasons which w</w:t>
      </w:r>
      <w:r w:rsidR="00B05F8B">
        <w:rPr>
          <w:rFonts w:ascii="Times New Roman" w:hAnsi="Times New Roman" w:cs="Times New Roman"/>
          <w:sz w:val="24"/>
          <w:szCs w:val="24"/>
        </w:rPr>
        <w:t>ere approved we are informed by M.R. Christ include in ineligibility due to age perhaps. In which we are given a relatively useful source from Thucydides regarding the use of the oldest and youngest hoplites to be used for city defence, thus being illegible for campaigns.</w:t>
      </w:r>
      <w:r w:rsidR="00B05F8B">
        <w:rPr>
          <w:rStyle w:val="FootnoteReference"/>
          <w:rFonts w:ascii="Times New Roman" w:hAnsi="Times New Roman" w:cs="Times New Roman"/>
          <w:sz w:val="24"/>
          <w:szCs w:val="24"/>
        </w:rPr>
        <w:footnoteReference w:id="19"/>
      </w:r>
      <w:r w:rsidR="00B05F8B">
        <w:rPr>
          <w:rFonts w:ascii="Times New Roman" w:hAnsi="Times New Roman" w:cs="Times New Roman"/>
          <w:sz w:val="24"/>
          <w:szCs w:val="24"/>
        </w:rPr>
        <w:t xml:space="preserve"> Another factor appropriated mentioned by M.R. Christ is the factor of wealth; as the individual in the earlier periods of time had to be able to afford hoplite equipment which was relatively expensive.</w:t>
      </w:r>
      <w:r w:rsidR="00B05F8B">
        <w:rPr>
          <w:rStyle w:val="FootnoteReference"/>
          <w:rFonts w:ascii="Times New Roman" w:hAnsi="Times New Roman" w:cs="Times New Roman"/>
          <w:sz w:val="24"/>
          <w:szCs w:val="24"/>
        </w:rPr>
        <w:footnoteReference w:id="20"/>
      </w:r>
    </w:p>
    <w:p w:rsidR="00B05F8B" w:rsidRDefault="00B05F8B"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An important part of this which is mentioned by M.R. Christ which allows this section to gin some interesting depth is the important given regarding the change in the Athenian customs, two of the main factors which affected hoplite recruitment were the change in, and more importantly, lack of hoplite required armour as history moved on.</w:t>
      </w:r>
      <w:r w:rsidR="006407E0">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This combined with the state providing a spear and shield allowed many individuals who would have been otherwise unable to serve, now able to join on various campaigns.</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This section is useful to those interested in the internal affairs of which involve hoplite conscription, giving us valuable information including the interpretation that around five per cent of individuals called up may possibly have been exempt due to office-holding or other service type responsibility </w:t>
      </w:r>
      <w:r w:rsidR="00070222">
        <w:rPr>
          <w:rFonts w:ascii="Times New Roman" w:hAnsi="Times New Roman" w:cs="Times New Roman"/>
          <w:sz w:val="24"/>
          <w:szCs w:val="24"/>
        </w:rPr>
        <w:t xml:space="preserve">to the city of Athens; and a further twenty per cent unable to serve due to being physically </w:t>
      </w:r>
      <w:r w:rsidR="00070222">
        <w:rPr>
          <w:rFonts w:ascii="Times New Roman" w:hAnsi="Times New Roman" w:cs="Times New Roman"/>
          <w:sz w:val="24"/>
          <w:szCs w:val="24"/>
        </w:rPr>
        <w:lastRenderedPageBreak/>
        <w:t>incapable.</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w:t>
      </w:r>
      <w:r w:rsidR="00070222">
        <w:rPr>
          <w:rFonts w:ascii="Times New Roman" w:hAnsi="Times New Roman" w:cs="Times New Roman"/>
          <w:sz w:val="24"/>
          <w:szCs w:val="24"/>
        </w:rPr>
        <w:t>This section is a particular joy to read as the information is sources fairly well, however it is also rather engaging, especially compared to the previous section.</w:t>
      </w:r>
    </w:p>
    <w:p w:rsidR="00070222" w:rsidRDefault="00070222" w:rsidP="00DC7E29">
      <w:pPr>
        <w:spacing w:before="240" w:line="480" w:lineRule="auto"/>
        <w:rPr>
          <w:rFonts w:ascii="Times New Roman" w:hAnsi="Times New Roman" w:cs="Times New Roman"/>
          <w:i/>
          <w:sz w:val="24"/>
          <w:szCs w:val="24"/>
        </w:rPr>
      </w:pPr>
      <w:r>
        <w:rPr>
          <w:rFonts w:ascii="Times New Roman" w:hAnsi="Times New Roman" w:cs="Times New Roman"/>
          <w:sz w:val="24"/>
          <w:szCs w:val="24"/>
        </w:rPr>
        <w:t xml:space="preserve">(4) </w:t>
      </w:r>
      <w:r>
        <w:rPr>
          <w:rFonts w:ascii="Times New Roman" w:hAnsi="Times New Roman" w:cs="Times New Roman"/>
          <w:i/>
          <w:sz w:val="24"/>
          <w:szCs w:val="24"/>
        </w:rPr>
        <w:t>Muster</w:t>
      </w:r>
    </w:p>
    <w:p w:rsidR="00070222" w:rsidRDefault="00070222"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In the fourth section of the four phases for the </w:t>
      </w:r>
      <w:proofErr w:type="spellStart"/>
      <w:r>
        <w:rPr>
          <w:rFonts w:ascii="Times New Roman" w:hAnsi="Times New Roman" w:cs="Times New Roman"/>
          <w:i/>
          <w:sz w:val="24"/>
          <w:szCs w:val="24"/>
        </w:rPr>
        <w:t>Katalogos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variant of conscription mentioned by M.R Christ is the mustering of hoplites. This section is not of particular value, not for the lack of appropriate context by the author, but due to its context. The mustering of hoplites is </w:t>
      </w:r>
      <w:r w:rsidR="004A0331">
        <w:rPr>
          <w:rFonts w:ascii="Times New Roman" w:hAnsi="Times New Roman" w:cs="Times New Roman"/>
          <w:sz w:val="24"/>
          <w:szCs w:val="24"/>
        </w:rPr>
        <w:t>argued</w:t>
      </w:r>
      <w:r>
        <w:rPr>
          <w:rFonts w:ascii="Times New Roman" w:hAnsi="Times New Roman" w:cs="Times New Roman"/>
          <w:sz w:val="24"/>
          <w:szCs w:val="24"/>
        </w:rPr>
        <w:t xml:space="preserve"> to have been carried out with in the Agora as this was a location of which many of the men conscripted would have lived near.</w:t>
      </w:r>
      <w:r>
        <w:rPr>
          <w:rStyle w:val="FootnoteReference"/>
          <w:rFonts w:ascii="Times New Roman" w:hAnsi="Times New Roman" w:cs="Times New Roman"/>
          <w:sz w:val="24"/>
          <w:szCs w:val="24"/>
        </w:rPr>
        <w:footnoteReference w:id="24"/>
      </w:r>
      <w:r w:rsidR="0041692D">
        <w:rPr>
          <w:rFonts w:ascii="Times New Roman" w:hAnsi="Times New Roman" w:cs="Times New Roman"/>
          <w:sz w:val="24"/>
          <w:szCs w:val="24"/>
        </w:rPr>
        <w:t xml:space="preserve"> Once there we are informed that the generals would then be able to check off those who had turned up and those who had not; and thus allow the hoplite army to allow its completion of the conscription phase.</w:t>
      </w:r>
      <w:r w:rsidR="0041692D">
        <w:rPr>
          <w:rStyle w:val="FootnoteReference"/>
          <w:rFonts w:ascii="Times New Roman" w:hAnsi="Times New Roman" w:cs="Times New Roman"/>
          <w:sz w:val="24"/>
          <w:szCs w:val="24"/>
        </w:rPr>
        <w:footnoteReference w:id="25"/>
      </w:r>
    </w:p>
    <w:p w:rsidR="0041692D" w:rsidRDefault="0041692D"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The summary of this section by M.R Christ is rather valuable to the work written in his article, here he understands and accepts that the system of </w:t>
      </w:r>
      <w:proofErr w:type="spellStart"/>
      <w:r>
        <w:rPr>
          <w:rFonts w:ascii="Times New Roman" w:hAnsi="Times New Roman" w:cs="Times New Roman"/>
          <w:i/>
          <w:sz w:val="24"/>
          <w:szCs w:val="24"/>
        </w:rPr>
        <w:t>Katalogos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was fairly effective, given example to the usage of hoplites during the Peloponnesian War, and also mentioning that Athens never had to cancel an expedition due to lack of conscripts.</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M.R. Christ also does his argument credit by acknowledging the shortcomings of this type of conscription within Athens. Stating that although it was not designed to be used with great speed, and a majority of the time, great speed was not required, often if it was a rather new or emergency-</w:t>
      </w:r>
      <w:proofErr w:type="spellStart"/>
      <w:r>
        <w:rPr>
          <w:rFonts w:ascii="Times New Roman" w:hAnsi="Times New Roman" w:cs="Times New Roman"/>
          <w:sz w:val="24"/>
          <w:szCs w:val="24"/>
        </w:rPr>
        <w:t>esq</w:t>
      </w:r>
      <w:proofErr w:type="spellEnd"/>
      <w:r>
        <w:rPr>
          <w:rFonts w:ascii="Times New Roman" w:hAnsi="Times New Roman" w:cs="Times New Roman"/>
          <w:sz w:val="24"/>
          <w:szCs w:val="24"/>
        </w:rPr>
        <w:t xml:space="preserve"> situation the limitations of this method were </w:t>
      </w:r>
      <w:r w:rsidR="004A0331">
        <w:rPr>
          <w:rFonts w:ascii="Times New Roman" w:hAnsi="Times New Roman" w:cs="Times New Roman"/>
          <w:sz w:val="24"/>
          <w:szCs w:val="24"/>
        </w:rPr>
        <w:t>obvious</w:t>
      </w:r>
      <w:r w:rsidR="00DB4741">
        <w:rPr>
          <w:rFonts w:ascii="Times New Roman" w:hAnsi="Times New Roman" w:cs="Times New Roman"/>
          <w:sz w:val="24"/>
          <w:szCs w:val="24"/>
        </w:rPr>
        <w:t xml:space="preserve">. This combined with the opinion of the Athenian people that the generals were arbitrary and unfair it terms of troop selection, of </w:t>
      </w:r>
      <w:r w:rsidR="00DB4741">
        <w:rPr>
          <w:rFonts w:ascii="Times New Roman" w:hAnsi="Times New Roman" w:cs="Times New Roman"/>
          <w:sz w:val="24"/>
          <w:szCs w:val="24"/>
        </w:rPr>
        <w:lastRenderedPageBreak/>
        <w:t>which the author respectively notes may have led to the reworking of the conscription system.</w:t>
      </w:r>
      <w:r w:rsidR="00DB4741">
        <w:rPr>
          <w:rStyle w:val="FootnoteReference"/>
          <w:rFonts w:ascii="Times New Roman" w:hAnsi="Times New Roman" w:cs="Times New Roman"/>
          <w:sz w:val="24"/>
          <w:szCs w:val="24"/>
        </w:rPr>
        <w:footnoteReference w:id="27"/>
      </w:r>
    </w:p>
    <w:p w:rsidR="00DB4741" w:rsidRDefault="00DB4741"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In the remaining section of the article, M.R. Christ analyses the change in hoplite conscription in Classical Athens and gives his argument and interpretation regarding the change to conscription by age-groups.</w:t>
      </w:r>
      <w:r w:rsidR="00FB37F1">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The remaining text from M.R. Christ is a well written summary of the military and ideological considerations behind the introduction of this new method of conscription. Also, the attempt made by M.R. Christ to date the change to its historical context is respectable and should be received in a positive manor.</w:t>
      </w:r>
    </w:p>
    <w:p w:rsidR="00DB4741" w:rsidRDefault="00DB4741"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While this reply mostly focuses on the first section of the article by M.R. Christ regarding the </w:t>
      </w:r>
      <w:proofErr w:type="spellStart"/>
      <w:r>
        <w:rPr>
          <w:rFonts w:ascii="Times New Roman" w:hAnsi="Times New Roman" w:cs="Times New Roman"/>
          <w:i/>
          <w:sz w:val="24"/>
          <w:szCs w:val="24"/>
        </w:rPr>
        <w:t>Katalogos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the second section is important for our interpretation and analysis to compare to the previous section. </w:t>
      </w:r>
      <w:r w:rsidR="00FB37F1">
        <w:rPr>
          <w:rFonts w:ascii="Times New Roman" w:hAnsi="Times New Roman" w:cs="Times New Roman"/>
          <w:sz w:val="24"/>
          <w:szCs w:val="24"/>
        </w:rPr>
        <w:t>This reply would like to focus on the significance of the change in systems and the important of the argument that the two different systems would not have ever overlapped, as some historians have argued.</w:t>
      </w:r>
    </w:p>
    <w:p w:rsidR="00FB37F1" w:rsidRDefault="00FB37F1"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Overall, this reply agrees with the information given by M.R. Christ regarding conscription methods, and most importantly, this reply shares the same belief regarding the lack of overlap in conscription systems. As M.R. Christ argues, that the three pieces of information cited by Hansen overall carry little weight to the argument against this separate viewpoint on the conscription situation.</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The references used in this argument to </w:t>
      </w:r>
      <w:proofErr w:type="spellStart"/>
      <w:r>
        <w:rPr>
          <w:rFonts w:ascii="Times New Roman" w:hAnsi="Times New Roman" w:cs="Times New Roman"/>
          <w:sz w:val="24"/>
          <w:szCs w:val="24"/>
        </w:rPr>
        <w:t>Diodorus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Siculus</w:t>
      </w:r>
      <w:proofErr w:type="spellEnd"/>
      <w:r>
        <w:rPr>
          <w:rFonts w:ascii="Times New Roman" w:hAnsi="Times New Roman" w:cs="Times New Roman"/>
          <w:sz w:val="24"/>
          <w:szCs w:val="24"/>
        </w:rPr>
        <w:t xml:space="preserve"> are also important to take into consideration, specifically when using this information to assess M.R. Christ’s interpretation of the dating of the new conscription system.</w:t>
      </w:r>
      <w:r>
        <w:rPr>
          <w:rStyle w:val="FootnoteReference"/>
          <w:rFonts w:ascii="Times New Roman" w:hAnsi="Times New Roman" w:cs="Times New Roman"/>
          <w:sz w:val="24"/>
          <w:szCs w:val="24"/>
        </w:rPr>
        <w:footnoteReference w:id="30"/>
      </w:r>
    </w:p>
    <w:p w:rsidR="00FB37F1" w:rsidRDefault="00FB37F1"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evidence against the view of the improvement of this system are also analysed by M.R. Christ, notable the evidence from </w:t>
      </w:r>
      <w:proofErr w:type="spellStart"/>
      <w:r>
        <w:rPr>
          <w:rFonts w:ascii="Times New Roman" w:hAnsi="Times New Roman" w:cs="Times New Roman"/>
          <w:sz w:val="24"/>
          <w:szCs w:val="24"/>
        </w:rPr>
        <w:t>Tritle</w:t>
      </w:r>
      <w:proofErr w:type="spellEnd"/>
      <w:r>
        <w:rPr>
          <w:rFonts w:ascii="Times New Roman" w:hAnsi="Times New Roman" w:cs="Times New Roman"/>
          <w:sz w:val="24"/>
          <w:szCs w:val="24"/>
        </w:rPr>
        <w:t xml:space="preserve"> citing Plutarch concerning the poor discipline among Athenian hoplites is an interesting argument; as such disciplinary issue were prominent in the old system, also.</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w:t>
      </w:r>
    </w:p>
    <w:p w:rsidR="00486EDF" w:rsidRPr="00DB4741" w:rsidRDefault="00486EDF" w:rsidP="00DC7E29">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A final note on this article is that of the ideological considerations of which this reply believes are important, and this view is also shared in the article in question. Given that the phrase Athenian Democracy is widely used, the renovations to their conscription system seem rather fitting overall. M.R. Christ may have been </w:t>
      </w:r>
      <w:r w:rsidR="00D5633C">
        <w:rPr>
          <w:rFonts w:ascii="Times New Roman" w:hAnsi="Times New Roman" w:cs="Times New Roman"/>
          <w:sz w:val="24"/>
          <w:szCs w:val="24"/>
        </w:rPr>
        <w:t>lacking</w:t>
      </w:r>
      <w:r>
        <w:rPr>
          <w:rFonts w:ascii="Times New Roman" w:hAnsi="Times New Roman" w:cs="Times New Roman"/>
          <w:sz w:val="24"/>
          <w:szCs w:val="24"/>
        </w:rPr>
        <w:t xml:space="preserve"> in examples and details in some of the sections, his point of the importance regarding the ideological beliefs of Athens combined with the military need are very apparent within this article as the strength of the evidence combined with the deep knowledge filled interpretations cannot and should not be underestimated.</w:t>
      </w:r>
    </w:p>
    <w:p w:rsidR="00DB4741" w:rsidRPr="0041692D" w:rsidRDefault="00DB4741" w:rsidP="00DC7E29">
      <w:pPr>
        <w:spacing w:before="240" w:line="480" w:lineRule="auto"/>
        <w:rPr>
          <w:rFonts w:ascii="Times New Roman" w:hAnsi="Times New Roman" w:cs="Times New Roman"/>
          <w:sz w:val="24"/>
          <w:szCs w:val="24"/>
        </w:rPr>
      </w:pPr>
    </w:p>
    <w:p w:rsidR="00341B5F" w:rsidRPr="00341B5F" w:rsidRDefault="00341B5F" w:rsidP="00DC7E29">
      <w:pPr>
        <w:spacing w:before="240" w:line="480" w:lineRule="auto"/>
        <w:rPr>
          <w:rFonts w:ascii="Times New Roman" w:hAnsi="Times New Roman" w:cs="Times New Roman"/>
          <w:sz w:val="24"/>
          <w:szCs w:val="24"/>
        </w:rPr>
      </w:pPr>
    </w:p>
    <w:p w:rsidR="009B1F04" w:rsidRDefault="009B1F04" w:rsidP="00DC7E29">
      <w:pPr>
        <w:spacing w:line="480" w:lineRule="auto"/>
        <w:rPr>
          <w:rFonts w:ascii="Times New Roman" w:hAnsi="Times New Roman" w:cs="Times New Roman"/>
          <w:sz w:val="24"/>
          <w:szCs w:val="24"/>
        </w:rPr>
      </w:pPr>
    </w:p>
    <w:p w:rsidR="009B1F04" w:rsidRDefault="009B1F04" w:rsidP="00DC7E29">
      <w:pPr>
        <w:spacing w:line="480" w:lineRule="auto"/>
        <w:rPr>
          <w:rFonts w:ascii="Times New Roman" w:hAnsi="Times New Roman" w:cs="Times New Roman"/>
          <w:sz w:val="24"/>
          <w:szCs w:val="24"/>
        </w:rPr>
      </w:pPr>
    </w:p>
    <w:p w:rsidR="006407E0" w:rsidRDefault="006407E0" w:rsidP="00DC7E29">
      <w:pPr>
        <w:spacing w:line="480" w:lineRule="auto"/>
        <w:rPr>
          <w:rFonts w:ascii="Times New Roman" w:hAnsi="Times New Roman" w:cs="Times New Roman"/>
          <w:sz w:val="24"/>
          <w:szCs w:val="24"/>
        </w:rPr>
      </w:pPr>
    </w:p>
    <w:p w:rsidR="00DA1D83" w:rsidRDefault="00DA1D83" w:rsidP="00DC7E29">
      <w:pPr>
        <w:spacing w:line="480" w:lineRule="auto"/>
        <w:rPr>
          <w:rFonts w:ascii="Times New Roman" w:hAnsi="Times New Roman" w:cs="Times New Roman"/>
          <w:sz w:val="24"/>
          <w:szCs w:val="24"/>
          <w:u w:val="single"/>
        </w:rPr>
      </w:pPr>
    </w:p>
    <w:p w:rsidR="00DA1D83" w:rsidRDefault="00DA1D83" w:rsidP="00DC7E29">
      <w:pPr>
        <w:spacing w:line="480" w:lineRule="auto"/>
        <w:rPr>
          <w:rFonts w:ascii="Times New Roman" w:hAnsi="Times New Roman" w:cs="Times New Roman"/>
          <w:sz w:val="24"/>
          <w:szCs w:val="24"/>
          <w:u w:val="single"/>
        </w:rPr>
      </w:pPr>
    </w:p>
    <w:p w:rsidR="00DA1D83" w:rsidRDefault="00DA1D83" w:rsidP="00DC7E29">
      <w:pPr>
        <w:spacing w:line="480" w:lineRule="auto"/>
        <w:rPr>
          <w:rFonts w:ascii="Times New Roman" w:hAnsi="Times New Roman" w:cs="Times New Roman"/>
          <w:sz w:val="24"/>
          <w:szCs w:val="24"/>
          <w:u w:val="single"/>
        </w:rPr>
      </w:pPr>
    </w:p>
    <w:p w:rsidR="009B1F04" w:rsidRDefault="009B1F04" w:rsidP="00DC7E2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rsidR="00835EB6" w:rsidRDefault="00835EB6" w:rsidP="00DC7E29">
      <w:pPr>
        <w:spacing w:line="480" w:lineRule="auto"/>
        <w:rPr>
          <w:rFonts w:ascii="Times New Roman" w:hAnsi="Times New Roman" w:cs="Times New Roman"/>
          <w:sz w:val="24"/>
          <w:szCs w:val="24"/>
          <w:u w:val="single"/>
        </w:rPr>
      </w:pPr>
    </w:p>
    <w:p w:rsidR="009B1F04" w:rsidRDefault="009B1F04" w:rsidP="00DC7E2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Ancient</w:t>
      </w:r>
    </w:p>
    <w:p w:rsidR="00925D89" w:rsidRDefault="00925D89"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Herodotus. </w:t>
      </w:r>
      <w:r>
        <w:rPr>
          <w:rFonts w:ascii="Times New Roman" w:hAnsi="Times New Roman" w:cs="Times New Roman"/>
          <w:i/>
          <w:sz w:val="24"/>
          <w:szCs w:val="24"/>
        </w:rPr>
        <w:t xml:space="preserve">The Histories. </w:t>
      </w:r>
      <w:r>
        <w:rPr>
          <w:rFonts w:ascii="Times New Roman" w:hAnsi="Times New Roman" w:cs="Times New Roman"/>
          <w:sz w:val="24"/>
          <w:szCs w:val="24"/>
        </w:rPr>
        <w:t>(Trans.) Godley, A.D. Cambridge. Harvard University Press. 1920.</w:t>
      </w:r>
    </w:p>
    <w:p w:rsidR="00341B5F" w:rsidRPr="00341B5F" w:rsidRDefault="00341B5F" w:rsidP="00DC7E29">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Lysias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For the Soldier. </w:t>
      </w:r>
      <w:r>
        <w:rPr>
          <w:rFonts w:ascii="Times New Roman" w:hAnsi="Times New Roman" w:cs="Times New Roman"/>
          <w:sz w:val="24"/>
          <w:szCs w:val="24"/>
        </w:rPr>
        <w:t xml:space="preserve">(Trans.) Lamb, W.R.M. M.A. Cambridge, MA, Harvard University Press; London, William </w:t>
      </w:r>
      <w:proofErr w:type="spellStart"/>
      <w:r>
        <w:rPr>
          <w:rFonts w:ascii="Times New Roman" w:hAnsi="Times New Roman" w:cs="Times New Roman"/>
          <w:sz w:val="24"/>
          <w:szCs w:val="24"/>
        </w:rPr>
        <w:t>Heinermann</w:t>
      </w:r>
      <w:proofErr w:type="spellEnd"/>
      <w:r>
        <w:rPr>
          <w:rFonts w:ascii="Times New Roman" w:hAnsi="Times New Roman" w:cs="Times New Roman"/>
          <w:sz w:val="24"/>
          <w:szCs w:val="24"/>
        </w:rPr>
        <w:t xml:space="preserve"> Ltd. 1930.</w:t>
      </w:r>
    </w:p>
    <w:p w:rsidR="00925D89" w:rsidRPr="00925D89" w:rsidRDefault="00925D89"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Thucydides. </w:t>
      </w:r>
      <w:r>
        <w:rPr>
          <w:rFonts w:ascii="Times New Roman" w:hAnsi="Times New Roman" w:cs="Times New Roman"/>
          <w:i/>
          <w:sz w:val="24"/>
          <w:szCs w:val="24"/>
        </w:rPr>
        <w:t xml:space="preserve">History of the Peloponnesian War. </w:t>
      </w:r>
      <w:r>
        <w:rPr>
          <w:rFonts w:ascii="Times New Roman" w:hAnsi="Times New Roman" w:cs="Times New Roman"/>
          <w:sz w:val="24"/>
          <w:szCs w:val="24"/>
        </w:rPr>
        <w:t xml:space="preserve">(Trans.) Dent, J.M. London, Dutton, E.P. New York. 1910.  </w:t>
      </w:r>
    </w:p>
    <w:p w:rsidR="00835EB6" w:rsidRDefault="00835EB6" w:rsidP="00DC7E29">
      <w:pPr>
        <w:spacing w:line="480" w:lineRule="auto"/>
        <w:rPr>
          <w:rFonts w:ascii="Times New Roman" w:hAnsi="Times New Roman" w:cs="Times New Roman"/>
          <w:sz w:val="24"/>
          <w:szCs w:val="24"/>
          <w:u w:val="single"/>
        </w:rPr>
      </w:pPr>
    </w:p>
    <w:p w:rsidR="009B1F04" w:rsidRDefault="009B1F04" w:rsidP="00DC7E2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Modern</w:t>
      </w:r>
    </w:p>
    <w:p w:rsidR="009B1F04" w:rsidRDefault="009B1F04"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Christ, M.R. </w:t>
      </w:r>
      <w:r w:rsidR="00DE0E72">
        <w:rPr>
          <w:rFonts w:ascii="Times New Roman" w:hAnsi="Times New Roman" w:cs="Times New Roman"/>
          <w:sz w:val="24"/>
          <w:szCs w:val="24"/>
        </w:rPr>
        <w:t xml:space="preserve">2001. </w:t>
      </w:r>
      <w:r w:rsidR="00DE0E72">
        <w:rPr>
          <w:rFonts w:ascii="Times New Roman" w:hAnsi="Times New Roman" w:cs="Times New Roman"/>
          <w:i/>
          <w:sz w:val="24"/>
          <w:szCs w:val="24"/>
        </w:rPr>
        <w:t>Conscription of Hoplites in Classical Athens.</w:t>
      </w:r>
      <w:r w:rsidR="00DE0E72">
        <w:rPr>
          <w:rFonts w:ascii="Times New Roman" w:hAnsi="Times New Roman" w:cs="Times New Roman"/>
          <w:sz w:val="24"/>
          <w:szCs w:val="24"/>
        </w:rPr>
        <w:t xml:space="preserve"> Classical Quarterly, </w:t>
      </w:r>
      <w:r w:rsidR="006A69FB">
        <w:rPr>
          <w:rFonts w:ascii="Times New Roman" w:hAnsi="Times New Roman" w:cs="Times New Roman"/>
          <w:sz w:val="24"/>
          <w:szCs w:val="24"/>
        </w:rPr>
        <w:t>Vol.51 (</w:t>
      </w:r>
      <w:r w:rsidR="00DE0E72">
        <w:rPr>
          <w:rFonts w:ascii="Times New Roman" w:hAnsi="Times New Roman" w:cs="Times New Roman"/>
          <w:sz w:val="24"/>
          <w:szCs w:val="24"/>
        </w:rPr>
        <w:t>2), pp. 398-422.</w:t>
      </w:r>
    </w:p>
    <w:p w:rsidR="00835EB6" w:rsidRDefault="00835EB6" w:rsidP="00DC7E29">
      <w:pPr>
        <w:spacing w:line="480" w:lineRule="auto"/>
        <w:rPr>
          <w:rFonts w:ascii="Times New Roman" w:hAnsi="Times New Roman" w:cs="Times New Roman"/>
          <w:i/>
          <w:sz w:val="24"/>
          <w:szCs w:val="24"/>
        </w:rPr>
      </w:pPr>
      <w:r>
        <w:rPr>
          <w:rFonts w:ascii="Times New Roman" w:hAnsi="Times New Roman" w:cs="Times New Roman"/>
          <w:sz w:val="24"/>
          <w:szCs w:val="24"/>
        </w:rPr>
        <w:t xml:space="preserve">Hansen, M.H. 1981. </w:t>
      </w:r>
      <w:r>
        <w:rPr>
          <w:rFonts w:ascii="Times New Roman" w:hAnsi="Times New Roman" w:cs="Times New Roman"/>
          <w:i/>
          <w:sz w:val="24"/>
          <w:szCs w:val="24"/>
        </w:rPr>
        <w:t>The Number of Athenian Hoplites in 431B.C. SO 56, 19-32.</w:t>
      </w:r>
    </w:p>
    <w:p w:rsidR="00835EB6" w:rsidRPr="00835EB6" w:rsidRDefault="00835EB6"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Hansen, M.H. 1985. </w:t>
      </w:r>
      <w:r>
        <w:rPr>
          <w:rFonts w:ascii="Times New Roman" w:hAnsi="Times New Roman" w:cs="Times New Roman"/>
          <w:i/>
          <w:sz w:val="24"/>
          <w:szCs w:val="24"/>
        </w:rPr>
        <w:t xml:space="preserve">Demography and Democracy: The Number of Athenian Citizens in the Fourth Century B.C. </w:t>
      </w:r>
      <w:proofErr w:type="spellStart"/>
      <w:r>
        <w:rPr>
          <w:rFonts w:ascii="Times New Roman" w:hAnsi="Times New Roman" w:cs="Times New Roman"/>
          <w:sz w:val="24"/>
          <w:szCs w:val="24"/>
        </w:rPr>
        <w:t>Herning</w:t>
      </w:r>
      <w:proofErr w:type="spellEnd"/>
      <w:r>
        <w:rPr>
          <w:rFonts w:ascii="Times New Roman" w:hAnsi="Times New Roman" w:cs="Times New Roman"/>
          <w:sz w:val="24"/>
          <w:szCs w:val="24"/>
        </w:rPr>
        <w:t>.</w:t>
      </w:r>
    </w:p>
    <w:p w:rsidR="00835EB6" w:rsidRDefault="00835EB6"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Jones, A.H.M. 1957. </w:t>
      </w:r>
      <w:r>
        <w:rPr>
          <w:rFonts w:ascii="Times New Roman" w:hAnsi="Times New Roman" w:cs="Times New Roman"/>
          <w:i/>
          <w:sz w:val="24"/>
          <w:szCs w:val="24"/>
        </w:rPr>
        <w:t xml:space="preserve">Athenian Democracy. </w:t>
      </w:r>
      <w:r>
        <w:rPr>
          <w:rFonts w:ascii="Times New Roman" w:hAnsi="Times New Roman" w:cs="Times New Roman"/>
          <w:sz w:val="24"/>
          <w:szCs w:val="24"/>
        </w:rPr>
        <w:t>Oxford: Basil Blackwell.</w:t>
      </w:r>
    </w:p>
    <w:p w:rsidR="00692BDF" w:rsidRDefault="00692BDF"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Jones, N.F. </w:t>
      </w:r>
      <w:r w:rsidR="006407E0">
        <w:rPr>
          <w:rFonts w:ascii="Times New Roman" w:hAnsi="Times New Roman" w:cs="Times New Roman"/>
          <w:sz w:val="24"/>
          <w:szCs w:val="24"/>
        </w:rPr>
        <w:t xml:space="preserve">1999. </w:t>
      </w:r>
      <w:r w:rsidR="006407E0">
        <w:rPr>
          <w:rFonts w:ascii="Times New Roman" w:hAnsi="Times New Roman" w:cs="Times New Roman"/>
          <w:i/>
          <w:sz w:val="24"/>
          <w:szCs w:val="24"/>
        </w:rPr>
        <w:t xml:space="preserve">The Associations of Classical Athens: The Response to Democracy. </w:t>
      </w:r>
      <w:r w:rsidR="006407E0">
        <w:rPr>
          <w:rFonts w:ascii="Times New Roman" w:hAnsi="Times New Roman" w:cs="Times New Roman"/>
          <w:sz w:val="24"/>
          <w:szCs w:val="24"/>
        </w:rPr>
        <w:t>New York.</w:t>
      </w:r>
    </w:p>
    <w:p w:rsidR="006407E0" w:rsidRPr="006407E0" w:rsidRDefault="006407E0" w:rsidP="00DC7E29">
      <w:pPr>
        <w:spacing w:line="480" w:lineRule="auto"/>
        <w:rPr>
          <w:rFonts w:ascii="Times New Roman" w:hAnsi="Times New Roman" w:cs="Times New Roman"/>
          <w:sz w:val="24"/>
          <w:szCs w:val="24"/>
        </w:rPr>
      </w:pPr>
      <w:r>
        <w:rPr>
          <w:rFonts w:ascii="Times New Roman" w:hAnsi="Times New Roman" w:cs="Times New Roman"/>
          <w:sz w:val="24"/>
          <w:szCs w:val="24"/>
        </w:rPr>
        <w:t xml:space="preserve">Rhodes. P.J. 1988. </w:t>
      </w:r>
      <w:r>
        <w:rPr>
          <w:rFonts w:ascii="Times New Roman" w:hAnsi="Times New Roman" w:cs="Times New Roman"/>
          <w:i/>
          <w:sz w:val="24"/>
          <w:szCs w:val="24"/>
        </w:rPr>
        <w:t xml:space="preserve">Thucydides: History II. </w:t>
      </w:r>
      <w:r>
        <w:rPr>
          <w:rFonts w:ascii="Times New Roman" w:hAnsi="Times New Roman" w:cs="Times New Roman"/>
          <w:sz w:val="24"/>
          <w:szCs w:val="24"/>
        </w:rPr>
        <w:t>Warminster.</w:t>
      </w:r>
    </w:p>
    <w:p w:rsidR="00FB37F1" w:rsidRPr="00486EDF" w:rsidRDefault="00FB37F1" w:rsidP="00DC7E29">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Tritle</w:t>
      </w:r>
      <w:proofErr w:type="spellEnd"/>
      <w:r w:rsidR="00486EDF">
        <w:rPr>
          <w:rFonts w:ascii="Times New Roman" w:hAnsi="Times New Roman" w:cs="Times New Roman"/>
          <w:sz w:val="24"/>
          <w:szCs w:val="24"/>
        </w:rPr>
        <w:t xml:space="preserve">, L.A. 1989. </w:t>
      </w:r>
      <w:proofErr w:type="spellStart"/>
      <w:r w:rsidR="00486EDF">
        <w:rPr>
          <w:rFonts w:ascii="Times New Roman" w:hAnsi="Times New Roman" w:cs="Times New Roman"/>
          <w:i/>
          <w:sz w:val="24"/>
          <w:szCs w:val="24"/>
        </w:rPr>
        <w:t>Epilektoi</w:t>
      </w:r>
      <w:proofErr w:type="spellEnd"/>
      <w:r w:rsidR="00486EDF">
        <w:rPr>
          <w:rFonts w:ascii="Times New Roman" w:hAnsi="Times New Roman" w:cs="Times New Roman"/>
          <w:i/>
          <w:sz w:val="24"/>
          <w:szCs w:val="24"/>
        </w:rPr>
        <w:t xml:space="preserve"> at Athens.</w:t>
      </w:r>
      <w:r w:rsidR="00486EDF">
        <w:rPr>
          <w:rFonts w:ascii="Times New Roman" w:hAnsi="Times New Roman" w:cs="Times New Roman"/>
          <w:sz w:val="24"/>
          <w:szCs w:val="24"/>
        </w:rPr>
        <w:t xml:space="preserve"> AHB 3, 54-9.</w:t>
      </w:r>
    </w:p>
    <w:p w:rsidR="00A9718D" w:rsidRPr="000D7F25" w:rsidRDefault="000D7F25" w:rsidP="00DC7E29">
      <w:pPr>
        <w:spacing w:line="480" w:lineRule="auto"/>
        <w:rPr>
          <w:rFonts w:ascii="Times New Roman" w:hAnsi="Times New Roman" w:cs="Times New Roman"/>
          <w:sz w:val="28"/>
          <w:szCs w:val="28"/>
          <w:u w:val="single"/>
        </w:rPr>
      </w:pPr>
      <w:r w:rsidRPr="000D7F25">
        <w:rPr>
          <w:sz w:val="28"/>
          <w:szCs w:val="28"/>
          <w:u w:val="single"/>
        </w:rPr>
        <w:t xml:space="preserve"> </w:t>
      </w:r>
    </w:p>
    <w:sectPr w:rsidR="00A9718D" w:rsidRPr="000D7F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10D7" w:rsidRDefault="007F10D7" w:rsidP="007F10D7">
      <w:pPr>
        <w:spacing w:after="0" w:line="240" w:lineRule="auto"/>
      </w:pPr>
      <w:r>
        <w:separator/>
      </w:r>
    </w:p>
  </w:endnote>
  <w:endnote w:type="continuationSeparator" w:id="0">
    <w:p w:rsidR="007F10D7" w:rsidRDefault="007F10D7" w:rsidP="007F1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10D7" w:rsidRDefault="007F10D7" w:rsidP="007F10D7">
      <w:pPr>
        <w:spacing w:after="0" w:line="240" w:lineRule="auto"/>
      </w:pPr>
      <w:r>
        <w:separator/>
      </w:r>
    </w:p>
  </w:footnote>
  <w:footnote w:type="continuationSeparator" w:id="0">
    <w:p w:rsidR="007F10D7" w:rsidRDefault="007F10D7" w:rsidP="007F10D7">
      <w:pPr>
        <w:spacing w:after="0" w:line="240" w:lineRule="auto"/>
      </w:pPr>
      <w:r>
        <w:continuationSeparator/>
      </w:r>
    </w:p>
  </w:footnote>
  <w:footnote w:id="1">
    <w:p w:rsidR="000258F5" w:rsidRDefault="000258F5">
      <w:pPr>
        <w:pStyle w:val="FootnoteText"/>
      </w:pPr>
      <w:r>
        <w:rPr>
          <w:rStyle w:val="FootnoteReference"/>
        </w:rPr>
        <w:footnoteRef/>
      </w:r>
      <w:r>
        <w:t xml:space="preserve"> Christ. 2001: 398</w:t>
      </w:r>
    </w:p>
  </w:footnote>
  <w:footnote w:id="2">
    <w:p w:rsidR="000258F5" w:rsidRDefault="000258F5">
      <w:pPr>
        <w:pStyle w:val="FootnoteText"/>
      </w:pPr>
      <w:r>
        <w:rPr>
          <w:rStyle w:val="FootnoteReference"/>
        </w:rPr>
        <w:footnoteRef/>
      </w:r>
      <w:r>
        <w:t xml:space="preserve"> Christ. 2001: 398</w:t>
      </w:r>
    </w:p>
  </w:footnote>
  <w:footnote w:id="3">
    <w:p w:rsidR="007F10D7" w:rsidRDefault="007F10D7">
      <w:pPr>
        <w:pStyle w:val="FootnoteText"/>
      </w:pPr>
      <w:r>
        <w:rPr>
          <w:rStyle w:val="FootnoteReference"/>
        </w:rPr>
        <w:footnoteRef/>
      </w:r>
      <w:r>
        <w:t xml:space="preserve"> Christ. 2001: 398</w:t>
      </w:r>
    </w:p>
  </w:footnote>
  <w:footnote w:id="4">
    <w:p w:rsidR="007F10D7" w:rsidRDefault="007F10D7">
      <w:pPr>
        <w:pStyle w:val="FootnoteText"/>
      </w:pPr>
      <w:r>
        <w:rPr>
          <w:rStyle w:val="FootnoteReference"/>
        </w:rPr>
        <w:footnoteRef/>
      </w:r>
      <w:r>
        <w:t xml:space="preserve"> Christ. 2001: 399</w:t>
      </w:r>
    </w:p>
  </w:footnote>
  <w:footnote w:id="5">
    <w:p w:rsidR="007F10D7" w:rsidRDefault="007F10D7">
      <w:pPr>
        <w:pStyle w:val="FootnoteText"/>
      </w:pPr>
      <w:r>
        <w:rPr>
          <w:rStyle w:val="FootnoteReference"/>
        </w:rPr>
        <w:footnoteRef/>
      </w:r>
      <w:r>
        <w:t xml:space="preserve"> Christ. 2001: 399-400</w:t>
      </w:r>
    </w:p>
  </w:footnote>
  <w:footnote w:id="6">
    <w:p w:rsidR="007F10D7" w:rsidRDefault="007F10D7">
      <w:pPr>
        <w:pStyle w:val="FootnoteText"/>
      </w:pPr>
      <w:r>
        <w:rPr>
          <w:rStyle w:val="FootnoteReference"/>
        </w:rPr>
        <w:footnoteRef/>
      </w:r>
      <w:r>
        <w:t xml:space="preserve"> Christ. 2001: 399-401</w:t>
      </w:r>
      <w:r w:rsidR="00925D89">
        <w:t xml:space="preserve">, </w:t>
      </w:r>
      <w:proofErr w:type="spellStart"/>
      <w:r w:rsidR="00925D89">
        <w:t>Hdt</w:t>
      </w:r>
      <w:proofErr w:type="spellEnd"/>
      <w:r w:rsidR="00925D89">
        <w:t xml:space="preserve">. 6. 111.1, </w:t>
      </w:r>
      <w:proofErr w:type="spellStart"/>
      <w:r w:rsidR="00925D89">
        <w:t>Thuc</w:t>
      </w:r>
      <w:proofErr w:type="spellEnd"/>
      <w:r w:rsidR="00925D89">
        <w:t>. 6.101.5</w:t>
      </w:r>
    </w:p>
  </w:footnote>
  <w:footnote w:id="7">
    <w:p w:rsidR="00275FE4" w:rsidRDefault="00275FE4">
      <w:pPr>
        <w:pStyle w:val="FootnoteText"/>
      </w:pPr>
      <w:r>
        <w:rPr>
          <w:rStyle w:val="FootnoteReference"/>
        </w:rPr>
        <w:footnoteRef/>
      </w:r>
      <w:r>
        <w:t xml:space="preserve"> Christ. 2001: 400</w:t>
      </w:r>
    </w:p>
  </w:footnote>
  <w:footnote w:id="8">
    <w:p w:rsidR="000D0488" w:rsidRDefault="000D0488">
      <w:pPr>
        <w:pStyle w:val="FootnoteText"/>
      </w:pPr>
      <w:r>
        <w:rPr>
          <w:rStyle w:val="FootnoteReference"/>
        </w:rPr>
        <w:footnoteRef/>
      </w:r>
      <w:r w:rsidR="00341B5F">
        <w:t xml:space="preserve"> Christ. 2001. 400-401,</w:t>
      </w:r>
      <w:r>
        <w:t xml:space="preserve"> Lys. Oration 9</w:t>
      </w:r>
    </w:p>
  </w:footnote>
  <w:footnote w:id="9">
    <w:p w:rsidR="00835EB6" w:rsidRDefault="00835EB6">
      <w:pPr>
        <w:pStyle w:val="FootnoteText"/>
      </w:pPr>
      <w:r>
        <w:rPr>
          <w:rStyle w:val="FootnoteReference"/>
        </w:rPr>
        <w:footnoteRef/>
      </w:r>
      <w:r>
        <w:t xml:space="preserve"> Christ. 2001: 400</w:t>
      </w:r>
    </w:p>
  </w:footnote>
  <w:footnote w:id="10">
    <w:p w:rsidR="00092C81" w:rsidRDefault="00092C81">
      <w:pPr>
        <w:pStyle w:val="FootnoteText"/>
      </w:pPr>
      <w:r>
        <w:rPr>
          <w:rStyle w:val="FootnoteReference"/>
        </w:rPr>
        <w:footnoteRef/>
      </w:r>
      <w:r>
        <w:t xml:space="preserve"> </w:t>
      </w:r>
      <w:r w:rsidR="00835EB6">
        <w:t>Jones. 1957: 163</w:t>
      </w:r>
    </w:p>
  </w:footnote>
  <w:footnote w:id="11">
    <w:p w:rsidR="00092C81" w:rsidRDefault="00092C81">
      <w:pPr>
        <w:pStyle w:val="FootnoteText"/>
      </w:pPr>
      <w:r>
        <w:rPr>
          <w:rStyle w:val="FootnoteReference"/>
        </w:rPr>
        <w:footnoteRef/>
      </w:r>
      <w:r w:rsidR="00835EB6">
        <w:t>Hansen. 1981: 24.9, Hansen. 1985: 83-89</w:t>
      </w:r>
      <w:r>
        <w:t xml:space="preserve"> </w:t>
      </w:r>
    </w:p>
  </w:footnote>
  <w:footnote w:id="12">
    <w:p w:rsidR="00F93B27" w:rsidRDefault="00F93B27">
      <w:pPr>
        <w:pStyle w:val="FootnoteText"/>
      </w:pPr>
      <w:r>
        <w:rPr>
          <w:rStyle w:val="FootnoteReference"/>
        </w:rPr>
        <w:footnoteRef/>
      </w:r>
      <w:r>
        <w:t xml:space="preserve"> </w:t>
      </w:r>
      <w:r w:rsidR="00341B5F">
        <w:t>Christ. 2001: 401-402</w:t>
      </w:r>
    </w:p>
  </w:footnote>
  <w:footnote w:id="13">
    <w:p w:rsidR="00C6363E" w:rsidRDefault="00C6363E">
      <w:pPr>
        <w:pStyle w:val="FootnoteText"/>
      </w:pPr>
      <w:r>
        <w:rPr>
          <w:rStyle w:val="FootnoteReference"/>
        </w:rPr>
        <w:footnoteRef/>
      </w:r>
      <w:r>
        <w:t xml:space="preserve"> Christ. 2001: 403</w:t>
      </w:r>
    </w:p>
  </w:footnote>
  <w:footnote w:id="14">
    <w:p w:rsidR="00C6363E" w:rsidRDefault="00C6363E">
      <w:pPr>
        <w:pStyle w:val="FootnoteText"/>
      </w:pPr>
      <w:r>
        <w:rPr>
          <w:rStyle w:val="FootnoteReference"/>
        </w:rPr>
        <w:footnoteRef/>
      </w:r>
      <w:r>
        <w:t xml:space="preserve"> Christ. 2001: 403</w:t>
      </w:r>
      <w:r w:rsidR="003C1CCC">
        <w:t>-404</w:t>
      </w:r>
    </w:p>
  </w:footnote>
  <w:footnote w:id="15">
    <w:p w:rsidR="003C1CCC" w:rsidRDefault="003C1CCC">
      <w:pPr>
        <w:pStyle w:val="FootnoteText"/>
      </w:pPr>
      <w:r>
        <w:rPr>
          <w:rStyle w:val="FootnoteReference"/>
        </w:rPr>
        <w:footnoteRef/>
      </w:r>
      <w:r>
        <w:t xml:space="preserve"> Christ. 2001: 403-404</w:t>
      </w:r>
    </w:p>
  </w:footnote>
  <w:footnote w:id="16">
    <w:p w:rsidR="00692BDF" w:rsidRDefault="00692BDF">
      <w:pPr>
        <w:pStyle w:val="FootnoteText"/>
      </w:pPr>
      <w:r>
        <w:rPr>
          <w:rStyle w:val="FootnoteReference"/>
        </w:rPr>
        <w:footnoteRef/>
      </w:r>
      <w:r>
        <w:t xml:space="preserve"> Jones. 1999: 97-100</w:t>
      </w:r>
    </w:p>
  </w:footnote>
  <w:footnote w:id="17">
    <w:p w:rsidR="006407E0" w:rsidRDefault="006407E0">
      <w:pPr>
        <w:pStyle w:val="FootnoteText"/>
      </w:pPr>
      <w:r>
        <w:rPr>
          <w:rStyle w:val="FootnoteReference"/>
        </w:rPr>
        <w:footnoteRef/>
      </w:r>
      <w:r>
        <w:t xml:space="preserve"> Jones. 1999: 97-100</w:t>
      </w:r>
    </w:p>
  </w:footnote>
  <w:footnote w:id="18">
    <w:p w:rsidR="00F374F2" w:rsidRDefault="00F374F2">
      <w:pPr>
        <w:pStyle w:val="FootnoteText"/>
      </w:pPr>
      <w:r>
        <w:rPr>
          <w:rStyle w:val="FootnoteReference"/>
        </w:rPr>
        <w:footnoteRef/>
      </w:r>
      <w:r>
        <w:t xml:space="preserve"> Christ. 2001: 404</w:t>
      </w:r>
    </w:p>
  </w:footnote>
  <w:footnote w:id="19">
    <w:p w:rsidR="00B05F8B" w:rsidRDefault="00B05F8B">
      <w:pPr>
        <w:pStyle w:val="FootnoteText"/>
      </w:pPr>
      <w:r>
        <w:rPr>
          <w:rStyle w:val="FootnoteReference"/>
        </w:rPr>
        <w:footnoteRef/>
      </w:r>
      <w:r>
        <w:t xml:space="preserve"> Christ. 2001: 404, </w:t>
      </w:r>
      <w:proofErr w:type="spellStart"/>
      <w:r>
        <w:t>Thuc</w:t>
      </w:r>
      <w:proofErr w:type="spellEnd"/>
      <w:r>
        <w:t>. 2.13.7</w:t>
      </w:r>
      <w:r w:rsidR="006407E0">
        <w:t>, Rhodes. 1988: 271</w:t>
      </w:r>
    </w:p>
  </w:footnote>
  <w:footnote w:id="20">
    <w:p w:rsidR="00B05F8B" w:rsidRDefault="00B05F8B">
      <w:pPr>
        <w:pStyle w:val="FootnoteText"/>
      </w:pPr>
      <w:r>
        <w:rPr>
          <w:rStyle w:val="FootnoteReference"/>
        </w:rPr>
        <w:footnoteRef/>
      </w:r>
      <w:r>
        <w:t xml:space="preserve"> Christ. 2001: 405</w:t>
      </w:r>
      <w:r w:rsidR="006407E0">
        <w:t>, Lys. 2.50-53</w:t>
      </w:r>
    </w:p>
  </w:footnote>
  <w:footnote w:id="21">
    <w:p w:rsidR="006407E0" w:rsidRDefault="006407E0">
      <w:pPr>
        <w:pStyle w:val="FootnoteText"/>
      </w:pPr>
      <w:r>
        <w:rPr>
          <w:rStyle w:val="FootnoteReference"/>
        </w:rPr>
        <w:footnoteRef/>
      </w:r>
      <w:r>
        <w:t xml:space="preserve"> Hansen. 1985: 17</w:t>
      </w:r>
    </w:p>
  </w:footnote>
  <w:footnote w:id="22">
    <w:p w:rsidR="00B05F8B" w:rsidRDefault="00B05F8B">
      <w:pPr>
        <w:pStyle w:val="FootnoteText"/>
      </w:pPr>
      <w:r>
        <w:rPr>
          <w:rStyle w:val="FootnoteReference"/>
        </w:rPr>
        <w:footnoteRef/>
      </w:r>
      <w:r>
        <w:t xml:space="preserve"> Christ. 2001: 405, Hansen. 1985: 49</w:t>
      </w:r>
    </w:p>
  </w:footnote>
  <w:footnote w:id="23">
    <w:p w:rsidR="00B05F8B" w:rsidRDefault="00B05F8B">
      <w:pPr>
        <w:pStyle w:val="FootnoteText"/>
      </w:pPr>
      <w:r>
        <w:rPr>
          <w:rStyle w:val="FootnoteReference"/>
        </w:rPr>
        <w:footnoteRef/>
      </w:r>
      <w:r>
        <w:t xml:space="preserve"> Hansen. 1985: 17-20</w:t>
      </w:r>
    </w:p>
  </w:footnote>
  <w:footnote w:id="24">
    <w:p w:rsidR="00070222" w:rsidRDefault="00070222">
      <w:pPr>
        <w:pStyle w:val="FootnoteText"/>
      </w:pPr>
      <w:r>
        <w:rPr>
          <w:rStyle w:val="FootnoteReference"/>
        </w:rPr>
        <w:footnoteRef/>
      </w:r>
      <w:r>
        <w:t xml:space="preserve"> Christ. 2001: 407</w:t>
      </w:r>
    </w:p>
  </w:footnote>
  <w:footnote w:id="25">
    <w:p w:rsidR="0041692D" w:rsidRDefault="0041692D">
      <w:pPr>
        <w:pStyle w:val="FootnoteText"/>
      </w:pPr>
      <w:r>
        <w:rPr>
          <w:rStyle w:val="FootnoteReference"/>
        </w:rPr>
        <w:footnoteRef/>
      </w:r>
      <w:r>
        <w:t xml:space="preserve"> Christ. 2001: 407, Lys. 14.6-7, 15.1-2</w:t>
      </w:r>
    </w:p>
  </w:footnote>
  <w:footnote w:id="26">
    <w:p w:rsidR="0041692D" w:rsidRDefault="0041692D">
      <w:pPr>
        <w:pStyle w:val="FootnoteText"/>
      </w:pPr>
      <w:r>
        <w:rPr>
          <w:rStyle w:val="FootnoteReference"/>
        </w:rPr>
        <w:footnoteRef/>
      </w:r>
      <w:r>
        <w:t xml:space="preserve"> Christ. 2001: 408</w:t>
      </w:r>
    </w:p>
  </w:footnote>
  <w:footnote w:id="27">
    <w:p w:rsidR="00DB4741" w:rsidRDefault="00DB4741">
      <w:pPr>
        <w:pStyle w:val="FootnoteText"/>
      </w:pPr>
      <w:r>
        <w:rPr>
          <w:rStyle w:val="FootnoteReference"/>
        </w:rPr>
        <w:footnoteRef/>
      </w:r>
      <w:r>
        <w:t xml:space="preserve"> Christ. 2001. 408</w:t>
      </w:r>
    </w:p>
  </w:footnote>
  <w:footnote w:id="28">
    <w:p w:rsidR="00FB37F1" w:rsidRDefault="00FB37F1">
      <w:pPr>
        <w:pStyle w:val="FootnoteText"/>
      </w:pPr>
      <w:r>
        <w:rPr>
          <w:rStyle w:val="FootnoteReference"/>
        </w:rPr>
        <w:footnoteRef/>
      </w:r>
      <w:r>
        <w:t xml:space="preserve"> Christ. 2001: 413-415</w:t>
      </w:r>
    </w:p>
  </w:footnote>
  <w:footnote w:id="29">
    <w:p w:rsidR="00FB37F1" w:rsidRDefault="00FB37F1">
      <w:pPr>
        <w:pStyle w:val="FootnoteText"/>
      </w:pPr>
      <w:r>
        <w:rPr>
          <w:rStyle w:val="FootnoteReference"/>
        </w:rPr>
        <w:footnoteRef/>
      </w:r>
      <w:r>
        <w:t xml:space="preserve"> Christ. 2001: 415, Hansen 1985</w:t>
      </w:r>
    </w:p>
  </w:footnote>
  <w:footnote w:id="30">
    <w:p w:rsidR="00FB37F1" w:rsidRDefault="00FB37F1">
      <w:pPr>
        <w:pStyle w:val="FootnoteText"/>
      </w:pPr>
      <w:r>
        <w:rPr>
          <w:rStyle w:val="FootnoteReference"/>
        </w:rPr>
        <w:footnoteRef/>
      </w:r>
      <w:r>
        <w:t xml:space="preserve"> Christ. 2001: 416</w:t>
      </w:r>
    </w:p>
  </w:footnote>
  <w:footnote w:id="31">
    <w:p w:rsidR="00FB37F1" w:rsidRDefault="00FB37F1">
      <w:pPr>
        <w:pStyle w:val="FootnoteText"/>
      </w:pPr>
      <w:r>
        <w:rPr>
          <w:rStyle w:val="FootnoteReference"/>
        </w:rPr>
        <w:footnoteRef/>
      </w:r>
      <w:r>
        <w:t xml:space="preserve"> </w:t>
      </w:r>
      <w:proofErr w:type="spellStart"/>
      <w:r>
        <w:t>Tritle</w:t>
      </w:r>
      <w:proofErr w:type="spellEnd"/>
      <w:r>
        <w:t>. 1989: 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6A33"/>
    <w:rsid w:val="000258F5"/>
    <w:rsid w:val="00070222"/>
    <w:rsid w:val="00092C81"/>
    <w:rsid w:val="000D0488"/>
    <w:rsid w:val="000D7F25"/>
    <w:rsid w:val="00275FE4"/>
    <w:rsid w:val="002F700C"/>
    <w:rsid w:val="003415D8"/>
    <w:rsid w:val="00341B5F"/>
    <w:rsid w:val="003A611E"/>
    <w:rsid w:val="003C1CCC"/>
    <w:rsid w:val="003E2DE3"/>
    <w:rsid w:val="004029CB"/>
    <w:rsid w:val="0041692D"/>
    <w:rsid w:val="00442CA6"/>
    <w:rsid w:val="00453F1C"/>
    <w:rsid w:val="00457452"/>
    <w:rsid w:val="00486A33"/>
    <w:rsid w:val="00486EDF"/>
    <w:rsid w:val="004A0331"/>
    <w:rsid w:val="004A19B8"/>
    <w:rsid w:val="0057046B"/>
    <w:rsid w:val="006407E0"/>
    <w:rsid w:val="00692BDF"/>
    <w:rsid w:val="006A69FB"/>
    <w:rsid w:val="00770202"/>
    <w:rsid w:val="007F10D7"/>
    <w:rsid w:val="00835EB6"/>
    <w:rsid w:val="008D671F"/>
    <w:rsid w:val="008D7EF1"/>
    <w:rsid w:val="00925D89"/>
    <w:rsid w:val="009B1F04"/>
    <w:rsid w:val="00B05F8B"/>
    <w:rsid w:val="00B84E4E"/>
    <w:rsid w:val="00C6363E"/>
    <w:rsid w:val="00CC2679"/>
    <w:rsid w:val="00D5633C"/>
    <w:rsid w:val="00DA1D83"/>
    <w:rsid w:val="00DB4741"/>
    <w:rsid w:val="00DC7E29"/>
    <w:rsid w:val="00DE0E72"/>
    <w:rsid w:val="00ED0DFF"/>
    <w:rsid w:val="00F374F2"/>
    <w:rsid w:val="00F52009"/>
    <w:rsid w:val="00F93B27"/>
    <w:rsid w:val="00FB3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DB9FB"/>
  <w15:chartTrackingRefBased/>
  <w15:docId w15:val="{01727AD7-AD04-4E3E-AC76-356090C0F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3A611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3A611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F10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10D7"/>
    <w:rPr>
      <w:sz w:val="20"/>
      <w:szCs w:val="20"/>
    </w:rPr>
  </w:style>
  <w:style w:type="character" w:styleId="FootnoteReference">
    <w:name w:val="footnote reference"/>
    <w:basedOn w:val="DefaultParagraphFont"/>
    <w:uiPriority w:val="99"/>
    <w:semiHidden/>
    <w:unhideWhenUsed/>
    <w:rsid w:val="007F10D7"/>
    <w:rPr>
      <w:vertAlign w:val="superscript"/>
    </w:rPr>
  </w:style>
  <w:style w:type="character" w:customStyle="1" w:styleId="Heading1Char">
    <w:name w:val="Heading 1 Char"/>
    <w:basedOn w:val="DefaultParagraphFont"/>
    <w:link w:val="Heading1"/>
    <w:rsid w:val="003A611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A611E"/>
    <w:rPr>
      <w:rFonts w:ascii="Tahoma" w:eastAsia="SimSun" w:hAnsi="Tahoma" w:cs="Tahoma"/>
      <w:b/>
      <w:bCs/>
      <w:sz w:val="20"/>
      <w:szCs w:val="20"/>
      <w:lang w:eastAsia="zh-CN"/>
    </w:rPr>
  </w:style>
  <w:style w:type="paragraph" w:styleId="NormalWeb">
    <w:name w:val="Normal (Web)"/>
    <w:basedOn w:val="Normal"/>
    <w:rsid w:val="003A611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3D1E9-7236-4F5C-8798-8EDEA391F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11</Pages>
  <Words>2426</Words>
  <Characters>13829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 (1501193)</dc:creator>
  <cp:keywords/>
  <dc:description/>
  <cp:lastModifiedBy>Liam Barton (1501193)</cp:lastModifiedBy>
  <cp:revision>16</cp:revision>
  <dcterms:created xsi:type="dcterms:W3CDTF">2018-03-15T15:03:00Z</dcterms:created>
  <dcterms:modified xsi:type="dcterms:W3CDTF">2018-03-15T21:40:00Z</dcterms:modified>
</cp:coreProperties>
</file>