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2AC30D" w14:textId="41C0BD0B" w:rsidR="00BB32CC" w:rsidRDefault="00126009" w:rsidP="00F3489F">
      <w:pPr>
        <w:jc w:val="center"/>
        <w:rPr>
          <w:b/>
          <w:bCs/>
          <w:u w:val="single"/>
        </w:rPr>
      </w:pPr>
      <w:r>
        <w:rPr>
          <w:b/>
          <w:bCs/>
          <w:u w:val="single"/>
        </w:rPr>
        <w:t>Chapter</w:t>
      </w:r>
      <w:r w:rsidR="00BB32CC" w:rsidRPr="00BB32CC">
        <w:rPr>
          <w:b/>
          <w:bCs/>
          <w:u w:val="single"/>
        </w:rPr>
        <w:t xml:space="preserve"> Review</w:t>
      </w:r>
    </w:p>
    <w:p w14:paraId="74D33698" w14:textId="55AAC4B8" w:rsidR="00BB32CC" w:rsidRDefault="00BB32CC">
      <w:pPr>
        <w:rPr>
          <w:b/>
          <w:bCs/>
          <w:u w:val="single"/>
        </w:rPr>
      </w:pPr>
      <w:r>
        <w:rPr>
          <w:b/>
          <w:bCs/>
          <w:u w:val="single"/>
        </w:rPr>
        <w:t>Intro</w:t>
      </w:r>
      <w:r w:rsidR="00F3489F">
        <w:rPr>
          <w:b/>
          <w:bCs/>
          <w:u w:val="single"/>
        </w:rPr>
        <w:t>duction</w:t>
      </w:r>
      <w:r>
        <w:rPr>
          <w:b/>
          <w:bCs/>
          <w:u w:val="single"/>
        </w:rPr>
        <w:t>-</w:t>
      </w:r>
    </w:p>
    <w:p w14:paraId="36ADC38B" w14:textId="393EE601" w:rsidR="00BB32CC" w:rsidRPr="00BB32CC" w:rsidRDefault="00BB32CC">
      <w:r>
        <w:t xml:space="preserve">The </w:t>
      </w:r>
      <w:r w:rsidR="00126009">
        <w:t>chapter</w:t>
      </w:r>
      <w:r>
        <w:t xml:space="preserve"> that I have chosen for this review is </w:t>
      </w:r>
      <w:r w:rsidR="00126009">
        <w:t xml:space="preserve">titled </w:t>
      </w:r>
      <w:r w:rsidR="00126009" w:rsidRPr="00126009">
        <w:rPr>
          <w:i/>
          <w:iCs/>
        </w:rPr>
        <w:t>‘From the Maccabees to the Mishnah’</w:t>
      </w:r>
      <w:r w:rsidR="00126009">
        <w:t xml:space="preserve"> by Shaye J D Cohen, which was published in 1991. There are many themes that can be seen throughout this chapter, some of which include </w:t>
      </w:r>
      <w:r w:rsidR="00EB36D7">
        <w:t xml:space="preserve">a focus on pre-exilic Israel to Second Temple Judaism and unity and diversity </w:t>
      </w:r>
      <w:r w:rsidR="00126009">
        <w:t xml:space="preserve">within ancient Judaism. Cohen further makes this claim of assessing the relationship of these themes with Israelite religion and society. He continues to write on the chronology of ancient Judaism, to analyse these different themes in the context of the time, where he has established the main focus of his argument </w:t>
      </w:r>
      <w:r w:rsidR="00F3489F">
        <w:t>from</w:t>
      </w:r>
      <w:r w:rsidR="00126009">
        <w:t xml:space="preserve"> 586/587 BCE</w:t>
      </w:r>
      <w:r w:rsidR="00F3489F">
        <w:t xml:space="preserve"> to Second Temple Judaism.</w:t>
      </w:r>
      <w:r w:rsidR="00590CA2">
        <w:t xml:space="preserve"> The purpose of this article is largely factual, given the information of the chronological events within ancient Jewish history, however other aspects are also relevant to further our understanding of both Judaism itself and also how Judaism as a whole adapted and remained Jewish under foreign rule for much of its history.</w:t>
      </w:r>
      <w:r w:rsidR="00F3489F">
        <w:t xml:space="preserve"> </w:t>
      </w:r>
    </w:p>
    <w:p w14:paraId="31183F76" w14:textId="122D5A5F" w:rsidR="00BB32CC" w:rsidRDefault="00BB32CC">
      <w:pPr>
        <w:rPr>
          <w:b/>
          <w:bCs/>
          <w:u w:val="single"/>
        </w:rPr>
      </w:pPr>
      <w:r>
        <w:rPr>
          <w:b/>
          <w:bCs/>
          <w:u w:val="single"/>
        </w:rPr>
        <w:t>S</w:t>
      </w:r>
      <w:r w:rsidR="00C70353">
        <w:rPr>
          <w:b/>
          <w:bCs/>
          <w:u w:val="single"/>
        </w:rPr>
        <w:t>y</w:t>
      </w:r>
      <w:r>
        <w:rPr>
          <w:b/>
          <w:bCs/>
          <w:u w:val="single"/>
        </w:rPr>
        <w:t xml:space="preserve">mmary- </w:t>
      </w:r>
    </w:p>
    <w:p w14:paraId="11DEBFD5" w14:textId="58532B29" w:rsidR="007F284A" w:rsidRPr="007F284A" w:rsidRDefault="00F3489F">
      <w:r>
        <w:t>The main points that Cohen makes in this chapter are largely on the chronology of ancient Judaism, where he explores this history that is dated from 586/587 BCE until the Rabbinic Period, which he explains as referring to “the society and religion of the second to sixth centuries CE.”</w:t>
      </w:r>
      <w:r>
        <w:rPr>
          <w:rStyle w:val="FootnoteReference"/>
        </w:rPr>
        <w:footnoteReference w:id="1"/>
      </w:r>
      <w:r w:rsidR="00FD1CE8">
        <w:t xml:space="preserve"> With this, Cohen explores further within his two themes of discussion, where he explores this significance of the Rabbis in ancient Judaism. He argues that Rabbis were always at the centre of Judaism and Jewish practices in history, however he makes the claim later that historians would see this differently, by expressing that “’the Rabbis’ became meaningful entities only after 70 CE.”</w:t>
      </w:r>
      <w:r w:rsidR="00FD1CE8">
        <w:rPr>
          <w:rStyle w:val="FootnoteReference"/>
        </w:rPr>
        <w:footnoteReference w:id="2"/>
      </w:r>
      <w:r w:rsidR="00FD1CE8">
        <w:t xml:space="preserve"> </w:t>
      </w:r>
      <w:r w:rsidR="00242485">
        <w:t>This further highlights how Cohen has written on this argument as being very clear that</w:t>
      </w:r>
      <w:r w:rsidR="0001572F">
        <w:t xml:space="preserve"> throughout Jewish history, much can be explored in terms of </w:t>
      </w:r>
      <w:r w:rsidR="004B656F">
        <w:t xml:space="preserve">where the religion has encountered many difficult and catastrophic events, leading from pre-exilic Judaism to 70 CE, which Cohen explores, but also what can be evident throughout Jewish history beyond the destruction of the second temple even to the present day. With this change as Cohen explores also is this need to explore unity and diversity within Judaism. Josephus </w:t>
      </w:r>
      <w:r w:rsidR="00D866F8">
        <w:t xml:space="preserve">also mentions this diversity in his work </w:t>
      </w:r>
      <w:r w:rsidR="00D866F8" w:rsidRPr="00C70353">
        <w:rPr>
          <w:i/>
          <w:iCs/>
        </w:rPr>
        <w:t>‘Antiquities’</w:t>
      </w:r>
      <w:r w:rsidR="00D866F8">
        <w:t xml:space="preserve"> where he highlights specifically on different groups of the time, which include </w:t>
      </w:r>
      <w:r w:rsidR="00C70353">
        <w:t>the Pharisees, Sadducees and the Essenes communities, which he explores also.</w:t>
      </w:r>
      <w:r w:rsidR="007F284A">
        <w:t xml:space="preserve"> This is evident also where William Brown has commented in a similar way to that of both Josephus and Cohen, where he mentions that “t</w:t>
      </w:r>
      <w:r w:rsidR="007F284A" w:rsidRPr="007F284A">
        <w:t>here was no single way to practice Judaism. Although the various groups shared the same traditions more broadly, they often expressed them in unique and distinct ways</w:t>
      </w:r>
      <w:r w:rsidR="007F284A">
        <w:t>,”</w:t>
      </w:r>
      <w:r w:rsidR="007F284A">
        <w:rPr>
          <w:rStyle w:val="FootnoteReference"/>
        </w:rPr>
        <w:footnoteReference w:id="3"/>
      </w:r>
      <w:r w:rsidR="007F284A">
        <w:t xml:space="preserve"> which clearly shows this understanding of diversity within Judaism in the ancient world, as explored by these three very different authors</w:t>
      </w:r>
      <w:r w:rsidR="003F5614">
        <w:t>, which contributes clearly to this aspect within the study of ancient Judaism as being very relevant for scholars to debate even for today.</w:t>
      </w:r>
    </w:p>
    <w:p w14:paraId="2F84CB3E" w14:textId="52EE3AA8" w:rsidR="007F284A" w:rsidRPr="007F284A" w:rsidRDefault="007F284A">
      <w:pPr>
        <w:rPr>
          <w:b/>
          <w:bCs/>
          <w:u w:val="single"/>
        </w:rPr>
      </w:pPr>
      <w:r w:rsidRPr="007F284A">
        <w:rPr>
          <w:b/>
          <w:bCs/>
          <w:u w:val="single"/>
        </w:rPr>
        <w:t>Critique</w:t>
      </w:r>
      <w:r w:rsidR="001F2631">
        <w:rPr>
          <w:b/>
          <w:bCs/>
          <w:u w:val="single"/>
        </w:rPr>
        <w:t xml:space="preserve"> (Part One)</w:t>
      </w:r>
      <w:r w:rsidRPr="007F284A">
        <w:rPr>
          <w:b/>
          <w:bCs/>
          <w:u w:val="single"/>
        </w:rPr>
        <w:t xml:space="preserve">- </w:t>
      </w:r>
    </w:p>
    <w:p w14:paraId="20BD1F25" w14:textId="11AE4945" w:rsidR="00242485" w:rsidRDefault="00242485">
      <w:r>
        <w:t xml:space="preserve">Where it is evident that Cohen has clearly defined much of the history of ancient Judaism in his introduction to this chapter, this is useful in many ways for not only understanding the context in which this chapter is based on but also how Judaism has grown from this context for modern perspectives. What is clear with Cohen’s writing is how he had addressed the history in his initial writing for further guidance on reading and interpreting the later aspects of the chapter, which was </w:t>
      </w:r>
      <w:r>
        <w:lastRenderedPageBreak/>
        <w:t xml:space="preserve">very useful. </w:t>
      </w:r>
      <w:r w:rsidR="001E77FA">
        <w:t>The explanation of the varying differences between pre-exilic Israel to Second Temple Judaism</w:t>
      </w:r>
      <w:r w:rsidR="0001572F">
        <w:t xml:space="preserve"> are written clearly to show, through the works of Josephus, that this change in name from being referred to as Judeans rather than Israelites, marks a major change for Judaism. What is highlighted is how “the practices, ideas, and institutions that were elaborated during the Second Temple Period formed and still form the basis of the religion known as ‘Judaism.’”</w:t>
      </w:r>
      <w:r w:rsidR="0001572F">
        <w:rPr>
          <w:rStyle w:val="FootnoteReference"/>
        </w:rPr>
        <w:footnoteReference w:id="4"/>
      </w:r>
      <w:r w:rsidR="0001572F">
        <w:t xml:space="preserve"> This is very significant within this field due to the relevance of how life had changed during second temple Judaism, where much of the practices, excluding Temple-related practices, are still held at a great significance within Judaism today.</w:t>
      </w:r>
      <w:r w:rsidR="00E843CC">
        <w:t xml:space="preserve"> </w:t>
      </w:r>
      <w:r w:rsidR="00C03985">
        <w:t xml:space="preserve">David </w:t>
      </w:r>
      <w:proofErr w:type="spellStart"/>
      <w:r w:rsidR="00C03985">
        <w:t>Flusser</w:t>
      </w:r>
      <w:proofErr w:type="spellEnd"/>
      <w:r w:rsidR="00C03985">
        <w:t xml:space="preserve"> </w:t>
      </w:r>
      <w:r w:rsidR="004A065A">
        <w:t>also highlights on this aspect, where he comments that “</w:t>
      </w:r>
      <w:r w:rsidR="00C03985">
        <w:t xml:space="preserve">it was during the Second Temple </w:t>
      </w:r>
      <w:r w:rsidR="004A065A">
        <w:t>period</w:t>
      </w:r>
      <w:r w:rsidR="00C03985">
        <w:t xml:space="preserve"> that a theology emerged, one that deals with the attributes of God, and with the role of mankind.</w:t>
      </w:r>
      <w:r w:rsidR="004A065A">
        <w:t>”</w:t>
      </w:r>
      <w:r w:rsidR="004A065A">
        <w:rPr>
          <w:rStyle w:val="FootnoteReference"/>
        </w:rPr>
        <w:footnoteReference w:id="5"/>
      </w:r>
      <w:r w:rsidR="004A065A">
        <w:t xml:space="preserve"> </w:t>
      </w:r>
      <w:r w:rsidR="00C03985">
        <w:t>This clearly shows this difference of understanding within Judaism on God, where this need to interpret their theology was very significant during the Second Temple period, another difference from pre-exilic Israel as also explored by Cohen through the differences between pre- exilic Israel to Second Temple Judaism.</w:t>
      </w:r>
    </w:p>
    <w:p w14:paraId="77E34099" w14:textId="418ED19E" w:rsidR="00BB32CC" w:rsidRPr="00242485" w:rsidRDefault="00242485">
      <w:r>
        <w:t xml:space="preserve">Cohen highlights in many different ways where he mentions the significance of the study of this field, </w:t>
      </w:r>
      <w:r w:rsidR="001F2631">
        <w:t xml:space="preserve">where there are multiple topics and themes that can be explored in great detail for this subject. With this, Cohen </w:t>
      </w:r>
      <w:r>
        <w:t>writes that “ancient Judaism is worthy of study in its own right, not only because it is the matrix of early Christianity.”</w:t>
      </w:r>
      <w:r>
        <w:rPr>
          <w:rStyle w:val="FootnoteReference"/>
        </w:rPr>
        <w:footnoteReference w:id="6"/>
      </w:r>
      <w:r w:rsidR="001E77FA">
        <w:t xml:space="preserve"> This statement is evident where Cohen’s writings in this field are very significant, not only for the history of Judaism and Jewish culture, but also for the precursor of Christianity, where the Jewish history in this context is significant in understanding aspects related with early Christianity also.</w:t>
      </w:r>
      <w:r w:rsidR="001F2631">
        <w:t xml:space="preserve"> This concept could have been explored in more detail however due to this chapter being largely centred on both Judaism and of an introductory format, the statement given is adequate enough to allow the reader to access further information if needed or even for further debate to take place on this matter.</w:t>
      </w:r>
    </w:p>
    <w:p w14:paraId="1B0F152A" w14:textId="5B7EDC5F" w:rsidR="00BB32CC" w:rsidRDefault="00BB32CC">
      <w:pPr>
        <w:rPr>
          <w:b/>
          <w:bCs/>
          <w:u w:val="single"/>
        </w:rPr>
      </w:pPr>
      <w:r>
        <w:rPr>
          <w:b/>
          <w:bCs/>
          <w:u w:val="single"/>
        </w:rPr>
        <w:t>Critique</w:t>
      </w:r>
      <w:r w:rsidR="001F2631">
        <w:rPr>
          <w:b/>
          <w:bCs/>
          <w:u w:val="single"/>
        </w:rPr>
        <w:t xml:space="preserve"> (Part Two)</w:t>
      </w:r>
      <w:r>
        <w:rPr>
          <w:b/>
          <w:bCs/>
          <w:u w:val="single"/>
        </w:rPr>
        <w:t xml:space="preserve">- </w:t>
      </w:r>
    </w:p>
    <w:p w14:paraId="753E3C50" w14:textId="0B8B8230" w:rsidR="00BB32CC" w:rsidRDefault="00A60E04">
      <w:r>
        <w:t xml:space="preserve">Cohen comments in particular on some biases that can be found within his work and research on this topic, which he explores as being a bias of different religions who have some relevance and relation to the interpretation of ancient Judaism. With this, it can be evident where Cohen claims this however with very little further explanation. This is interesting in a way, although not explained further, where he has even noted on some biases forming from within Judaism based off different interpretations, which could have been explored in more detail for this chapter. However, with this, as this was an introductory chapter, this much extra information may not have been very relevant for new readers to this </w:t>
      </w:r>
      <w:r w:rsidR="00E843CC">
        <w:t>aspect of ancient Judaism. As the chapter explores not only Judaism, although is largely centred on this, it is evident also of the significance of this chapter for interdisciplinary uses of this text. Where this can be used not only within Religious Studies or Biblical Studies, much can be taken from a classical angle, archaeological and also ancient historians can all find this chapter to of benefit in multiple different ways.</w:t>
      </w:r>
    </w:p>
    <w:p w14:paraId="020E242A" w14:textId="19269699" w:rsidR="00E843CC" w:rsidRPr="00A60E04" w:rsidRDefault="007F284A">
      <w:r>
        <w:t>When it comes to assessing whether this chapter advances the knowledge of the subject, it is evident throughout that much of this chapter</w:t>
      </w:r>
      <w:r w:rsidR="00213151">
        <w:t xml:space="preserve"> is very relevant and key to understanding and for further interpretation of this subject. With this, it is also relevant to note however that due to this text being published, initially in 1988, the updated edition is currently from 1991. Where there have been more recent discussions taken place, it is clear with this introductory chapter that this can still </w:t>
      </w:r>
      <w:r w:rsidR="00213151">
        <w:lastRenderedPageBreak/>
        <w:t>be used as a basis for more discussion to take place for modern scholarship. Although not as modern as many authors on this subject, this chapter is significant in many ways for this basic understanding of Jewish history, as well as just to gather some relevant points for further research if needed from some modern authors within this field. In terms of advancing the knowledge of the subject, it is clear therefore that although written almost 30 years ago, shows that this text is still highly relevant and useful in many ways in achieving an understanding and also improving knowledge on ancient Judaism.</w:t>
      </w:r>
    </w:p>
    <w:p w14:paraId="20A2D5AC" w14:textId="77777777" w:rsidR="001F2631" w:rsidRDefault="001F2631">
      <w:pPr>
        <w:rPr>
          <w:b/>
          <w:bCs/>
          <w:u w:val="single"/>
        </w:rPr>
      </w:pPr>
    </w:p>
    <w:p w14:paraId="773B5D63" w14:textId="49573D10" w:rsidR="00BB32CC" w:rsidRDefault="00BB32CC">
      <w:pPr>
        <w:rPr>
          <w:b/>
          <w:bCs/>
          <w:u w:val="single"/>
        </w:rPr>
      </w:pPr>
      <w:r>
        <w:rPr>
          <w:b/>
          <w:bCs/>
          <w:u w:val="single"/>
        </w:rPr>
        <w:t xml:space="preserve">Conclusion- </w:t>
      </w:r>
    </w:p>
    <w:p w14:paraId="6CDF27A7" w14:textId="3DF3380D" w:rsidR="00BB32CC" w:rsidRPr="00590CA2" w:rsidRDefault="00590CA2">
      <w:r>
        <w:t xml:space="preserve">Where it is evident on many aspects of this article, where Cohen has highlighted many key themes and areas of discussion in particular, the way in which Cohen writes is very precise and helpful in many ways. With this, the chapter specifically invites the audience to continue to read more, as to answer further questions that arise in the reading, that are later mentioned in different chapters of Cohen’s text. There are also key elements within this chapter that allow the reader sufficient information on ancient Judaism and the way in which </w:t>
      </w:r>
      <w:r w:rsidR="00A60E04">
        <w:t>those practices have been influential for modern Jewry today. For further discussion in this field, it is always important to initially engage with the works of early Jewish scholars and writers, in this case Cohen mentioned some works of Josephus, which helped base his argument more accurately in terms of his use of ancient sources. Overall, this chapter was written clearly and concisely, where this type of reading would be most beneficial to either someone who wants more information on ancient Judaism in general or even for someone who has not studied this area before, the content was very easy to read and follow making this ideal for a large audience.</w:t>
      </w:r>
    </w:p>
    <w:p w14:paraId="38B93791" w14:textId="77777777" w:rsidR="007F284A" w:rsidRDefault="007F284A">
      <w:pPr>
        <w:rPr>
          <w:b/>
          <w:bCs/>
          <w:u w:val="single"/>
        </w:rPr>
      </w:pPr>
    </w:p>
    <w:p w14:paraId="3699BD6C" w14:textId="77777777" w:rsidR="001F2631" w:rsidRDefault="001F2631" w:rsidP="007F284A">
      <w:pPr>
        <w:jc w:val="center"/>
        <w:rPr>
          <w:b/>
          <w:bCs/>
          <w:u w:val="single"/>
        </w:rPr>
      </w:pPr>
    </w:p>
    <w:p w14:paraId="2619559C" w14:textId="77777777" w:rsidR="001F2631" w:rsidRDefault="001F2631" w:rsidP="007F284A">
      <w:pPr>
        <w:jc w:val="center"/>
        <w:rPr>
          <w:b/>
          <w:bCs/>
          <w:u w:val="single"/>
        </w:rPr>
      </w:pPr>
    </w:p>
    <w:p w14:paraId="5FAA0C59" w14:textId="77777777" w:rsidR="001F2631" w:rsidRDefault="001F2631" w:rsidP="007F284A">
      <w:pPr>
        <w:jc w:val="center"/>
        <w:rPr>
          <w:b/>
          <w:bCs/>
          <w:u w:val="single"/>
        </w:rPr>
      </w:pPr>
    </w:p>
    <w:p w14:paraId="7432AD57" w14:textId="77777777" w:rsidR="001F2631" w:rsidRDefault="001F2631" w:rsidP="007F284A">
      <w:pPr>
        <w:jc w:val="center"/>
        <w:rPr>
          <w:b/>
          <w:bCs/>
          <w:u w:val="single"/>
        </w:rPr>
      </w:pPr>
    </w:p>
    <w:p w14:paraId="08493EA9" w14:textId="77777777" w:rsidR="001F2631" w:rsidRDefault="001F2631" w:rsidP="007F284A">
      <w:pPr>
        <w:jc w:val="center"/>
        <w:rPr>
          <w:b/>
          <w:bCs/>
          <w:u w:val="single"/>
        </w:rPr>
      </w:pPr>
    </w:p>
    <w:p w14:paraId="709D960A" w14:textId="77777777" w:rsidR="001F2631" w:rsidRDefault="001F2631" w:rsidP="007F284A">
      <w:pPr>
        <w:jc w:val="center"/>
        <w:rPr>
          <w:b/>
          <w:bCs/>
          <w:u w:val="single"/>
        </w:rPr>
      </w:pPr>
    </w:p>
    <w:p w14:paraId="402BF5E0" w14:textId="77777777" w:rsidR="001F2631" w:rsidRDefault="001F2631" w:rsidP="007F284A">
      <w:pPr>
        <w:jc w:val="center"/>
        <w:rPr>
          <w:b/>
          <w:bCs/>
          <w:u w:val="single"/>
        </w:rPr>
      </w:pPr>
    </w:p>
    <w:p w14:paraId="7D9A89C8" w14:textId="77777777" w:rsidR="001F2631" w:rsidRDefault="001F2631" w:rsidP="007F284A">
      <w:pPr>
        <w:jc w:val="center"/>
        <w:rPr>
          <w:b/>
          <w:bCs/>
          <w:u w:val="single"/>
        </w:rPr>
      </w:pPr>
    </w:p>
    <w:p w14:paraId="47313160" w14:textId="77777777" w:rsidR="001F2631" w:rsidRDefault="001F2631" w:rsidP="007F284A">
      <w:pPr>
        <w:jc w:val="center"/>
        <w:rPr>
          <w:b/>
          <w:bCs/>
          <w:u w:val="single"/>
        </w:rPr>
      </w:pPr>
    </w:p>
    <w:p w14:paraId="454E5CD1" w14:textId="77777777" w:rsidR="001F2631" w:rsidRDefault="001F2631" w:rsidP="007F284A">
      <w:pPr>
        <w:jc w:val="center"/>
        <w:rPr>
          <w:b/>
          <w:bCs/>
          <w:u w:val="single"/>
        </w:rPr>
      </w:pPr>
    </w:p>
    <w:p w14:paraId="6F74BE1B" w14:textId="77777777" w:rsidR="001F2631" w:rsidRDefault="001F2631" w:rsidP="007F284A">
      <w:pPr>
        <w:jc w:val="center"/>
        <w:rPr>
          <w:b/>
          <w:bCs/>
          <w:u w:val="single"/>
        </w:rPr>
      </w:pPr>
    </w:p>
    <w:p w14:paraId="6DBC25D6" w14:textId="77777777" w:rsidR="001F2631" w:rsidRDefault="001F2631" w:rsidP="007F284A">
      <w:pPr>
        <w:jc w:val="center"/>
        <w:rPr>
          <w:b/>
          <w:bCs/>
          <w:u w:val="single"/>
        </w:rPr>
      </w:pPr>
    </w:p>
    <w:p w14:paraId="53B36B98" w14:textId="77777777" w:rsidR="001F2631" w:rsidRDefault="001F2631" w:rsidP="007F284A">
      <w:pPr>
        <w:jc w:val="center"/>
        <w:rPr>
          <w:b/>
          <w:bCs/>
          <w:u w:val="single"/>
        </w:rPr>
      </w:pPr>
    </w:p>
    <w:p w14:paraId="45E9986B" w14:textId="77777777" w:rsidR="001F2631" w:rsidRDefault="001F2631" w:rsidP="007F284A">
      <w:pPr>
        <w:jc w:val="center"/>
        <w:rPr>
          <w:b/>
          <w:bCs/>
          <w:u w:val="single"/>
        </w:rPr>
      </w:pPr>
    </w:p>
    <w:p w14:paraId="02874AA0" w14:textId="77777777" w:rsidR="001F2631" w:rsidRDefault="001F2631" w:rsidP="007F284A">
      <w:pPr>
        <w:jc w:val="center"/>
        <w:rPr>
          <w:b/>
          <w:bCs/>
          <w:u w:val="single"/>
        </w:rPr>
      </w:pPr>
    </w:p>
    <w:p w14:paraId="6AA96B00" w14:textId="748D3587" w:rsidR="00BB32CC" w:rsidRDefault="00BB32CC" w:rsidP="00C03985">
      <w:pPr>
        <w:jc w:val="center"/>
        <w:rPr>
          <w:b/>
          <w:bCs/>
          <w:u w:val="single"/>
        </w:rPr>
      </w:pPr>
      <w:r>
        <w:rPr>
          <w:b/>
          <w:bCs/>
          <w:u w:val="single"/>
        </w:rPr>
        <w:t>Bibliography</w:t>
      </w:r>
    </w:p>
    <w:p w14:paraId="2EEFB83D" w14:textId="77777777" w:rsidR="007F284A" w:rsidRDefault="007F284A" w:rsidP="00BB32CC">
      <w:pPr>
        <w:rPr>
          <w:b/>
          <w:bCs/>
          <w:u w:val="single"/>
        </w:rPr>
      </w:pPr>
    </w:p>
    <w:p w14:paraId="1D2DDCE4" w14:textId="77777777" w:rsidR="00CB224B" w:rsidRDefault="00CB224B" w:rsidP="00BB32CC">
      <w:r w:rsidRPr="007F284A">
        <w:t xml:space="preserve">Brown, William, </w:t>
      </w:r>
      <w:r w:rsidRPr="003F5614">
        <w:rPr>
          <w:i/>
          <w:iCs/>
        </w:rPr>
        <w:t>"Early Judaism",</w:t>
      </w:r>
      <w:r w:rsidRPr="007F284A">
        <w:t xml:space="preserve"> Ancient History </w:t>
      </w:r>
      <w:proofErr w:type="spellStart"/>
      <w:r w:rsidRPr="007F284A">
        <w:t>Encyclopedia</w:t>
      </w:r>
      <w:proofErr w:type="spellEnd"/>
      <w:r w:rsidRPr="007F284A">
        <w:t xml:space="preserve">, 2017 </w:t>
      </w:r>
      <w:hyperlink r:id="rId7" w:history="1">
        <w:r w:rsidRPr="007F284A">
          <w:rPr>
            <w:rStyle w:val="Hyperlink"/>
            <w:u w:val="none"/>
          </w:rPr>
          <w:t>https://www.ancient.eu/article/1139/early-judaism/</w:t>
        </w:r>
      </w:hyperlink>
      <w:r w:rsidRPr="007F284A">
        <w:t xml:space="preserve"> </w:t>
      </w:r>
      <w:r w:rsidRPr="007F284A">
        <w:t>[Accessed 29 May 2020]</w:t>
      </w:r>
    </w:p>
    <w:p w14:paraId="037FDAF1" w14:textId="77777777" w:rsidR="00CB224B" w:rsidRDefault="00CB224B" w:rsidP="00BB32CC">
      <w:r w:rsidRPr="00BB32CC">
        <w:t xml:space="preserve">Cohen, Shaye J. D, </w:t>
      </w:r>
      <w:r w:rsidRPr="003F5614">
        <w:rPr>
          <w:i/>
          <w:iCs/>
        </w:rPr>
        <w:t xml:space="preserve">“From </w:t>
      </w:r>
      <w:proofErr w:type="gramStart"/>
      <w:r w:rsidRPr="003F5614">
        <w:rPr>
          <w:i/>
          <w:iCs/>
        </w:rPr>
        <w:t>The</w:t>
      </w:r>
      <w:proofErr w:type="gramEnd"/>
      <w:r w:rsidRPr="003F5614">
        <w:rPr>
          <w:i/>
          <w:iCs/>
        </w:rPr>
        <w:t xml:space="preserve"> Maccabees To The Mishnah” </w:t>
      </w:r>
      <w:r w:rsidRPr="00BB32CC">
        <w:t>(Philadelphia: Westminster Press, 1991)</w:t>
      </w:r>
    </w:p>
    <w:p w14:paraId="5AFF074C" w14:textId="77777777" w:rsidR="00CB224B" w:rsidRDefault="00CB224B" w:rsidP="00BB32CC">
      <w:proofErr w:type="spellStart"/>
      <w:r w:rsidRPr="00C03985">
        <w:t>Flusser</w:t>
      </w:r>
      <w:proofErr w:type="spellEnd"/>
      <w:r w:rsidRPr="00C03985">
        <w:t xml:space="preserve">, David, </w:t>
      </w:r>
      <w:r w:rsidRPr="00C03985">
        <w:rPr>
          <w:i/>
          <w:iCs/>
        </w:rPr>
        <w:t>“</w:t>
      </w:r>
      <w:r w:rsidRPr="00C03985">
        <w:rPr>
          <w:i/>
          <w:iCs/>
        </w:rPr>
        <w:t xml:space="preserve">Judaism And </w:t>
      </w:r>
      <w:proofErr w:type="gramStart"/>
      <w:r w:rsidRPr="00C03985">
        <w:rPr>
          <w:i/>
          <w:iCs/>
        </w:rPr>
        <w:t>The</w:t>
      </w:r>
      <w:proofErr w:type="gramEnd"/>
      <w:r w:rsidRPr="00C03985">
        <w:rPr>
          <w:i/>
          <w:iCs/>
        </w:rPr>
        <w:t xml:space="preserve"> Second Temple Period: The Jewish Sages And Their Literature</w:t>
      </w:r>
      <w:r w:rsidRPr="00C03985">
        <w:rPr>
          <w:i/>
          <w:iCs/>
        </w:rPr>
        <w:t>”</w:t>
      </w:r>
      <w:r w:rsidRPr="00C03985">
        <w:t xml:space="preserve"> (Grand Rapids, Mich.: William B Eerdmans Publishing Company, 2009)</w:t>
      </w:r>
    </w:p>
    <w:p w14:paraId="04C7CDD9" w14:textId="77777777" w:rsidR="00CB224B" w:rsidRDefault="00CB224B" w:rsidP="00BB32CC">
      <w:r w:rsidRPr="00123D1A">
        <w:t xml:space="preserve">Mason, Steve, </w:t>
      </w:r>
      <w:r w:rsidRPr="00CB224B">
        <w:rPr>
          <w:i/>
          <w:iCs/>
        </w:rPr>
        <w:t xml:space="preserve">"Jews, Judaeans, Judaizing, Judaism: Problems </w:t>
      </w:r>
      <w:proofErr w:type="gramStart"/>
      <w:r w:rsidRPr="00CB224B">
        <w:rPr>
          <w:i/>
          <w:iCs/>
        </w:rPr>
        <w:t>Of</w:t>
      </w:r>
      <w:proofErr w:type="gramEnd"/>
      <w:r w:rsidRPr="00CB224B">
        <w:rPr>
          <w:i/>
          <w:iCs/>
        </w:rPr>
        <w:t xml:space="preserve"> Categorization In Ancient History",</w:t>
      </w:r>
      <w:r w:rsidRPr="00123D1A">
        <w:t xml:space="preserve"> Journal For The Study Of Judaism, 38 (2007)</w:t>
      </w:r>
    </w:p>
    <w:p w14:paraId="0030AC24" w14:textId="77777777" w:rsidR="00CB224B" w:rsidRPr="007F284A" w:rsidRDefault="00CB224B" w:rsidP="00BB32CC">
      <w:r w:rsidRPr="00CB224B">
        <w:t xml:space="preserve">Stone, Michael E, </w:t>
      </w:r>
      <w:r w:rsidRPr="00CB224B">
        <w:rPr>
          <w:i/>
          <w:iCs/>
        </w:rPr>
        <w:t>“</w:t>
      </w:r>
      <w:r w:rsidRPr="00CB224B">
        <w:rPr>
          <w:i/>
          <w:iCs/>
        </w:rPr>
        <w:t xml:space="preserve">Ancient Judaism: New Visions </w:t>
      </w:r>
      <w:proofErr w:type="gramStart"/>
      <w:r w:rsidRPr="00CB224B">
        <w:rPr>
          <w:i/>
          <w:iCs/>
        </w:rPr>
        <w:t>And</w:t>
      </w:r>
      <w:proofErr w:type="gramEnd"/>
      <w:r w:rsidRPr="00CB224B">
        <w:rPr>
          <w:i/>
          <w:iCs/>
        </w:rPr>
        <w:t xml:space="preserve"> Views</w:t>
      </w:r>
      <w:r w:rsidRPr="00CB224B">
        <w:rPr>
          <w:i/>
          <w:iCs/>
        </w:rPr>
        <w:t>”</w:t>
      </w:r>
      <w:r w:rsidRPr="00CB224B">
        <w:t xml:space="preserve"> (Grand Rapids, Mich.: Eerdmans, 2011)</w:t>
      </w:r>
    </w:p>
    <w:sectPr w:rsidR="00CB224B" w:rsidRPr="007F284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34B70" w14:textId="77777777" w:rsidR="00BB32CC" w:rsidRDefault="00BB32CC" w:rsidP="00BB32CC">
      <w:pPr>
        <w:spacing w:after="0" w:line="240" w:lineRule="auto"/>
      </w:pPr>
      <w:r>
        <w:separator/>
      </w:r>
    </w:p>
  </w:endnote>
  <w:endnote w:type="continuationSeparator" w:id="0">
    <w:p w14:paraId="65421E7B" w14:textId="77777777" w:rsidR="00BB32CC" w:rsidRDefault="00BB32CC" w:rsidP="00BB3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20D0C" w14:textId="77777777" w:rsidR="00BB32CC" w:rsidRDefault="00BB32CC" w:rsidP="00BB32CC">
      <w:pPr>
        <w:spacing w:after="0" w:line="240" w:lineRule="auto"/>
      </w:pPr>
      <w:r>
        <w:separator/>
      </w:r>
    </w:p>
  </w:footnote>
  <w:footnote w:type="continuationSeparator" w:id="0">
    <w:p w14:paraId="3D177D5E" w14:textId="77777777" w:rsidR="00BB32CC" w:rsidRDefault="00BB32CC" w:rsidP="00BB32CC">
      <w:pPr>
        <w:spacing w:after="0" w:line="240" w:lineRule="auto"/>
      </w:pPr>
      <w:r>
        <w:continuationSeparator/>
      </w:r>
    </w:p>
  </w:footnote>
  <w:footnote w:id="1">
    <w:p w14:paraId="0A0A3E7E" w14:textId="6E91905E" w:rsidR="00F3489F" w:rsidRDefault="00F3489F">
      <w:pPr>
        <w:pStyle w:val="FootnoteText"/>
      </w:pPr>
      <w:r>
        <w:rPr>
          <w:rStyle w:val="FootnoteReference"/>
        </w:rPr>
        <w:footnoteRef/>
      </w:r>
      <w:r>
        <w:t xml:space="preserve"> </w:t>
      </w:r>
      <w:r w:rsidRPr="00F3489F">
        <w:t xml:space="preserve">Shaye J. D Cohen, </w:t>
      </w:r>
      <w:r w:rsidR="007F284A">
        <w:rPr>
          <w:i/>
          <w:iCs/>
        </w:rPr>
        <w:t>‘’</w:t>
      </w:r>
      <w:r w:rsidRPr="00FD1CE8">
        <w:rPr>
          <w:i/>
          <w:iCs/>
        </w:rPr>
        <w:t>From The Maccabees To The Mishnah</w:t>
      </w:r>
      <w:r w:rsidR="007F284A">
        <w:rPr>
          <w:i/>
          <w:iCs/>
        </w:rPr>
        <w:t>’</w:t>
      </w:r>
      <w:r w:rsidR="00FD1CE8" w:rsidRPr="00FD1CE8">
        <w:rPr>
          <w:i/>
          <w:iCs/>
        </w:rPr>
        <w:t>’</w:t>
      </w:r>
      <w:r w:rsidRPr="00F3489F">
        <w:t xml:space="preserve"> (Philadelphia: Westminster Press, 1991</w:t>
      </w:r>
      <w:proofErr w:type="gramStart"/>
      <w:r w:rsidRPr="00F3489F">
        <w:t>).</w:t>
      </w:r>
      <w:r w:rsidR="00FD1CE8">
        <w:t>p.</w:t>
      </w:r>
      <w:proofErr w:type="gramEnd"/>
      <w:r w:rsidR="00FD1CE8">
        <w:t>18.</w:t>
      </w:r>
    </w:p>
  </w:footnote>
  <w:footnote w:id="2">
    <w:p w14:paraId="4ED8759D" w14:textId="590372A0" w:rsidR="00FD1CE8" w:rsidRDefault="00FD1CE8">
      <w:pPr>
        <w:pStyle w:val="FootnoteText"/>
      </w:pPr>
      <w:r>
        <w:rPr>
          <w:rStyle w:val="FootnoteReference"/>
        </w:rPr>
        <w:footnoteRef/>
      </w:r>
      <w:r>
        <w:t xml:space="preserve"> J. D Cohen, </w:t>
      </w:r>
      <w:r w:rsidR="00123D1A" w:rsidRPr="00123D1A">
        <w:rPr>
          <w:i/>
          <w:iCs/>
        </w:rPr>
        <w:t>“From The Maccabees To The Mishnah</w:t>
      </w:r>
      <w:proofErr w:type="gramStart"/>
      <w:r w:rsidR="00123D1A" w:rsidRPr="00123D1A">
        <w:rPr>
          <w:i/>
          <w:iCs/>
        </w:rPr>
        <w:t>”</w:t>
      </w:r>
      <w:r w:rsidRPr="00123D1A">
        <w:rPr>
          <w:i/>
          <w:iCs/>
        </w:rPr>
        <w:t>.</w:t>
      </w:r>
      <w:r>
        <w:t>p.</w:t>
      </w:r>
      <w:proofErr w:type="gramEnd"/>
      <w:r>
        <w:t>19.</w:t>
      </w:r>
    </w:p>
  </w:footnote>
  <w:footnote w:id="3">
    <w:p w14:paraId="4FF456D4" w14:textId="43942963" w:rsidR="007F284A" w:rsidRDefault="007F284A">
      <w:pPr>
        <w:pStyle w:val="FootnoteText"/>
      </w:pPr>
      <w:r>
        <w:rPr>
          <w:rStyle w:val="FootnoteReference"/>
        </w:rPr>
        <w:footnoteRef/>
      </w:r>
      <w:r>
        <w:t xml:space="preserve"> William Brown, </w:t>
      </w:r>
      <w:r w:rsidRPr="007F284A">
        <w:rPr>
          <w:i/>
          <w:iCs/>
        </w:rPr>
        <w:t>"Early Judaism",</w:t>
      </w:r>
      <w:r w:rsidRPr="007F284A">
        <w:t xml:space="preserve"> Ancient History </w:t>
      </w:r>
      <w:proofErr w:type="spellStart"/>
      <w:r w:rsidRPr="007F284A">
        <w:t>Encyclopedia</w:t>
      </w:r>
      <w:proofErr w:type="spellEnd"/>
      <w:r w:rsidRPr="007F284A">
        <w:t xml:space="preserve">, 2017 </w:t>
      </w:r>
      <w:hyperlink r:id="rId1" w:history="1">
        <w:r w:rsidRPr="00AC33E9">
          <w:rPr>
            <w:rStyle w:val="Hyperlink"/>
          </w:rPr>
          <w:t>https://www.ancient.eu/article/1139/early-judaism/</w:t>
        </w:r>
      </w:hyperlink>
      <w:r>
        <w:t xml:space="preserve"> </w:t>
      </w:r>
      <w:r w:rsidRPr="007F284A">
        <w:t>[Accessed 29 May 2020].</w:t>
      </w:r>
    </w:p>
  </w:footnote>
  <w:footnote w:id="4">
    <w:p w14:paraId="2EB3E0CB" w14:textId="73D14DE4" w:rsidR="0001572F" w:rsidRDefault="0001572F">
      <w:pPr>
        <w:pStyle w:val="FootnoteText"/>
      </w:pPr>
      <w:r>
        <w:rPr>
          <w:rStyle w:val="FootnoteReference"/>
        </w:rPr>
        <w:footnoteRef/>
      </w:r>
      <w:r>
        <w:t xml:space="preserve"> J. D Cohen,</w:t>
      </w:r>
      <w:r w:rsidR="00123D1A">
        <w:t xml:space="preserve"> </w:t>
      </w:r>
      <w:r w:rsidR="00123D1A" w:rsidRPr="00123D1A">
        <w:rPr>
          <w:i/>
          <w:iCs/>
        </w:rPr>
        <w:t>“From The Maccabees To The Mishnah</w:t>
      </w:r>
      <w:proofErr w:type="gramStart"/>
      <w:r w:rsidR="00123D1A" w:rsidRPr="00123D1A">
        <w:rPr>
          <w:i/>
          <w:iCs/>
        </w:rPr>
        <w:t>”</w:t>
      </w:r>
      <w:r w:rsidRPr="00123D1A">
        <w:rPr>
          <w:i/>
          <w:iCs/>
        </w:rPr>
        <w:t>.</w:t>
      </w:r>
      <w:r>
        <w:t>p.</w:t>
      </w:r>
      <w:proofErr w:type="gramEnd"/>
      <w:r>
        <w:t>21.</w:t>
      </w:r>
    </w:p>
  </w:footnote>
  <w:footnote w:id="5">
    <w:p w14:paraId="527148BF" w14:textId="02E10A87" w:rsidR="004A065A" w:rsidRDefault="004A065A">
      <w:pPr>
        <w:pStyle w:val="FootnoteText"/>
      </w:pPr>
      <w:r>
        <w:rPr>
          <w:rStyle w:val="FootnoteReference"/>
        </w:rPr>
        <w:footnoteRef/>
      </w:r>
      <w:r>
        <w:t xml:space="preserve"> </w:t>
      </w:r>
      <w:r w:rsidR="00C03985" w:rsidRPr="00C03985">
        <w:t xml:space="preserve">David </w:t>
      </w:r>
      <w:proofErr w:type="spellStart"/>
      <w:r w:rsidR="00C03985" w:rsidRPr="00C03985">
        <w:t>Flusser</w:t>
      </w:r>
      <w:proofErr w:type="spellEnd"/>
      <w:r w:rsidR="00C03985" w:rsidRPr="00C03985">
        <w:t xml:space="preserve">, </w:t>
      </w:r>
      <w:r w:rsidR="00C03985" w:rsidRPr="00C03985">
        <w:rPr>
          <w:i/>
          <w:iCs/>
        </w:rPr>
        <w:t>“</w:t>
      </w:r>
      <w:r w:rsidR="00C03985" w:rsidRPr="00C03985">
        <w:rPr>
          <w:i/>
          <w:iCs/>
        </w:rPr>
        <w:t>Judaism And The Second Temple Period: The Jewish Sages And Their Literature</w:t>
      </w:r>
      <w:r w:rsidR="00C03985" w:rsidRPr="00C03985">
        <w:rPr>
          <w:i/>
          <w:iCs/>
        </w:rPr>
        <w:t>”</w:t>
      </w:r>
      <w:r w:rsidR="00C03985" w:rsidRPr="00C03985">
        <w:rPr>
          <w:i/>
          <w:iCs/>
        </w:rPr>
        <w:t xml:space="preserve"> </w:t>
      </w:r>
      <w:r w:rsidR="00C03985" w:rsidRPr="00C03985">
        <w:t>(Grand Rapids, Mich.: William B Eerdmans Publishing Company, 2009</w:t>
      </w:r>
      <w:proofErr w:type="gramStart"/>
      <w:r w:rsidR="00C03985" w:rsidRPr="00C03985">
        <w:t>).</w:t>
      </w:r>
      <w:r w:rsidR="00C03985">
        <w:t>p.</w:t>
      </w:r>
      <w:proofErr w:type="gramEnd"/>
      <w:r w:rsidR="00C03985">
        <w:t>11.</w:t>
      </w:r>
    </w:p>
  </w:footnote>
  <w:footnote w:id="6">
    <w:p w14:paraId="57670D85" w14:textId="15182FFB" w:rsidR="00242485" w:rsidRDefault="00242485">
      <w:pPr>
        <w:pStyle w:val="FootnoteText"/>
      </w:pPr>
      <w:r>
        <w:rPr>
          <w:rStyle w:val="FootnoteReference"/>
        </w:rPr>
        <w:footnoteRef/>
      </w:r>
      <w:r>
        <w:t xml:space="preserve"> J. D Cohen,</w:t>
      </w:r>
      <w:r w:rsidR="00123D1A">
        <w:t xml:space="preserve"> </w:t>
      </w:r>
      <w:r w:rsidR="00123D1A" w:rsidRPr="00123D1A">
        <w:rPr>
          <w:i/>
          <w:iCs/>
        </w:rPr>
        <w:t>“From The Maccabees To The Mishnah</w:t>
      </w:r>
      <w:proofErr w:type="gramStart"/>
      <w:r w:rsidR="00123D1A" w:rsidRPr="00123D1A">
        <w:rPr>
          <w:i/>
          <w:iCs/>
        </w:rPr>
        <w:t>”</w:t>
      </w:r>
      <w:r w:rsidRPr="00123D1A">
        <w:rPr>
          <w:i/>
          <w:iCs/>
        </w:rPr>
        <w:t>.</w:t>
      </w:r>
      <w:r>
        <w:t>p.</w:t>
      </w:r>
      <w:proofErr w:type="gramEnd"/>
      <w:r>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B253F" w14:textId="6659DC4D" w:rsidR="00BB32CC" w:rsidRDefault="00BB32CC">
    <w:pPr>
      <w:pStyle w:val="Header"/>
    </w:pPr>
    <w:r>
      <w:t>Portfolio Part One</w:t>
    </w:r>
    <w:r>
      <w:tab/>
      <w:t>HPRS6008</w:t>
    </w:r>
    <w:r>
      <w:tab/>
      <w:t>1700646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2CC"/>
    <w:rsid w:val="0001572F"/>
    <w:rsid w:val="00123D1A"/>
    <w:rsid w:val="00126009"/>
    <w:rsid w:val="001E77FA"/>
    <w:rsid w:val="001F2631"/>
    <w:rsid w:val="00213151"/>
    <w:rsid w:val="00242485"/>
    <w:rsid w:val="00353829"/>
    <w:rsid w:val="003F5614"/>
    <w:rsid w:val="004A065A"/>
    <w:rsid w:val="004B656F"/>
    <w:rsid w:val="00590CA2"/>
    <w:rsid w:val="007F284A"/>
    <w:rsid w:val="00A60E04"/>
    <w:rsid w:val="00BB32CC"/>
    <w:rsid w:val="00C03985"/>
    <w:rsid w:val="00C70353"/>
    <w:rsid w:val="00CB224B"/>
    <w:rsid w:val="00D866F8"/>
    <w:rsid w:val="00E843CC"/>
    <w:rsid w:val="00EB36D7"/>
    <w:rsid w:val="00F3489F"/>
    <w:rsid w:val="00FD1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F1328"/>
  <w15:chartTrackingRefBased/>
  <w15:docId w15:val="{28DD88E3-1568-4CE3-8CC3-C531B9BF9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2CC"/>
  </w:style>
  <w:style w:type="paragraph" w:styleId="Footer">
    <w:name w:val="footer"/>
    <w:basedOn w:val="Normal"/>
    <w:link w:val="FooterChar"/>
    <w:uiPriority w:val="99"/>
    <w:unhideWhenUsed/>
    <w:rsid w:val="00BB3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2CC"/>
  </w:style>
  <w:style w:type="paragraph" w:styleId="FootnoteText">
    <w:name w:val="footnote text"/>
    <w:basedOn w:val="Normal"/>
    <w:link w:val="FootnoteTextChar"/>
    <w:uiPriority w:val="99"/>
    <w:semiHidden/>
    <w:unhideWhenUsed/>
    <w:rsid w:val="00F348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489F"/>
    <w:rPr>
      <w:sz w:val="20"/>
      <w:szCs w:val="20"/>
    </w:rPr>
  </w:style>
  <w:style w:type="character" w:styleId="FootnoteReference">
    <w:name w:val="footnote reference"/>
    <w:basedOn w:val="DefaultParagraphFont"/>
    <w:uiPriority w:val="99"/>
    <w:semiHidden/>
    <w:unhideWhenUsed/>
    <w:rsid w:val="00F3489F"/>
    <w:rPr>
      <w:vertAlign w:val="superscript"/>
    </w:rPr>
  </w:style>
  <w:style w:type="character" w:styleId="Hyperlink">
    <w:name w:val="Hyperlink"/>
    <w:basedOn w:val="DefaultParagraphFont"/>
    <w:uiPriority w:val="99"/>
    <w:unhideWhenUsed/>
    <w:rsid w:val="007F284A"/>
    <w:rPr>
      <w:color w:val="0563C1" w:themeColor="hyperlink"/>
      <w:u w:val="single"/>
    </w:rPr>
  </w:style>
  <w:style w:type="character" w:styleId="UnresolvedMention">
    <w:name w:val="Unresolved Mention"/>
    <w:basedOn w:val="DefaultParagraphFont"/>
    <w:uiPriority w:val="99"/>
    <w:semiHidden/>
    <w:unhideWhenUsed/>
    <w:rsid w:val="007F2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ncient.eu/article/1139/early-judais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ancient.eu/article/1139/early-juda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45A23-90FA-41C8-923E-DA0ECC0DF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Seale</dc:creator>
  <cp:keywords/>
  <dc:description/>
  <cp:lastModifiedBy>Amy Seale</cp:lastModifiedBy>
  <cp:revision>2</cp:revision>
  <dcterms:created xsi:type="dcterms:W3CDTF">2020-05-29T15:35:00Z</dcterms:created>
  <dcterms:modified xsi:type="dcterms:W3CDTF">2020-05-29T15:35:00Z</dcterms:modified>
</cp:coreProperties>
</file>