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114996" w14:textId="77777777" w:rsidR="00AA0B88" w:rsidRDefault="00AA0B88" w:rsidP="00AA0B88">
      <w:r>
        <w:rPr>
          <w:noProof/>
        </w:rPr>
        <w:drawing>
          <wp:anchor distT="0" distB="0" distL="114300" distR="114300" simplePos="0" relativeHeight="251659264" behindDoc="1" locked="0" layoutInCell="1" allowOverlap="1" wp14:anchorId="38B0C935" wp14:editId="7123B8A3">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5">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2440CF33" w14:textId="77777777" w:rsidR="00AA0B88" w:rsidRDefault="00AA0B88" w:rsidP="00AA0B88"/>
    <w:p w14:paraId="65599D0A" w14:textId="77777777" w:rsidR="00AA0B88" w:rsidRDefault="00AA0B88" w:rsidP="00AA0B88"/>
    <w:p w14:paraId="39EA7FEB" w14:textId="77777777" w:rsidR="00AA0B88" w:rsidRDefault="00AA0B88" w:rsidP="00AA0B88"/>
    <w:p w14:paraId="743A3ACD" w14:textId="77777777" w:rsidR="00AA0B88" w:rsidRDefault="00AA0B88" w:rsidP="00AA0B88">
      <w:pPr>
        <w:ind w:right="1229"/>
      </w:pPr>
    </w:p>
    <w:p w14:paraId="78EEC1E8" w14:textId="77777777" w:rsidR="00AA0B88" w:rsidRPr="00063B4C" w:rsidRDefault="00AA0B88" w:rsidP="00AA0B88">
      <w:pPr>
        <w:ind w:right="1229"/>
        <w:jc w:val="center"/>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A91CFA6" w14:textId="77777777" w:rsidR="00AA0B88" w:rsidRPr="00063B4C" w:rsidRDefault="00AA0B88" w:rsidP="00AA0B88">
      <w:pPr>
        <w:pStyle w:val="BodyText"/>
        <w:jc w:val="center"/>
        <w:rPr>
          <w:rFonts w:ascii="Aptos" w:hAnsi="Aptos" w:cs="Arial"/>
          <w:sz w:val="20"/>
        </w:rPr>
      </w:pPr>
    </w:p>
    <w:p w14:paraId="567BC9F0" w14:textId="77777777" w:rsidR="00AA0B88" w:rsidRDefault="00AA0B88" w:rsidP="00AA0B88">
      <w:pPr>
        <w:spacing w:line="813" w:lineRule="exact"/>
        <w:jc w:val="center"/>
        <w:rPr>
          <w:rFonts w:cs="Arial"/>
          <w:sz w:val="60"/>
          <w:szCs w:val="60"/>
        </w:rPr>
      </w:pPr>
    </w:p>
    <w:p w14:paraId="7B62E7DA" w14:textId="77777777" w:rsidR="00AA0B88" w:rsidRDefault="00AA0B88" w:rsidP="00AA0B88">
      <w:pPr>
        <w:spacing w:line="813" w:lineRule="exact"/>
        <w:jc w:val="center"/>
        <w:rPr>
          <w:rFonts w:cs="Arial"/>
          <w:sz w:val="60"/>
          <w:szCs w:val="60"/>
        </w:rPr>
      </w:pPr>
      <w:r w:rsidRPr="00063B4C">
        <w:rPr>
          <w:rFonts w:cs="Arial"/>
          <w:sz w:val="60"/>
          <w:szCs w:val="60"/>
        </w:rPr>
        <w:t>BSc (Hons) Health and Social Care</w:t>
      </w:r>
    </w:p>
    <w:p w14:paraId="7E4DAF8F" w14:textId="77777777" w:rsidR="00AA0B88" w:rsidRDefault="00AA0B88" w:rsidP="00AA0B88">
      <w:pPr>
        <w:spacing w:line="813" w:lineRule="exact"/>
        <w:jc w:val="center"/>
        <w:rPr>
          <w:rFonts w:cs="Arial"/>
          <w:sz w:val="60"/>
          <w:szCs w:val="60"/>
        </w:rPr>
      </w:pPr>
    </w:p>
    <w:p w14:paraId="138C47C8" w14:textId="77777777" w:rsidR="00AA0B88" w:rsidRDefault="00AA0B88" w:rsidP="00AA0B88">
      <w:pPr>
        <w:spacing w:line="813" w:lineRule="exact"/>
        <w:jc w:val="center"/>
        <w:rPr>
          <w:rFonts w:cs="Arial"/>
          <w:sz w:val="60"/>
          <w:szCs w:val="60"/>
        </w:rPr>
      </w:pPr>
      <w:r>
        <w:rPr>
          <w:rFonts w:cs="Arial"/>
          <w:sz w:val="60"/>
          <w:szCs w:val="60"/>
        </w:rPr>
        <w:t xml:space="preserve">Chapter 1 &amp; 2 Draft </w:t>
      </w:r>
    </w:p>
    <w:p w14:paraId="359457E4" w14:textId="77777777" w:rsidR="00AA0B88" w:rsidRDefault="00AA0B88" w:rsidP="00AA0B88">
      <w:pPr>
        <w:spacing w:line="813" w:lineRule="exact"/>
        <w:jc w:val="center"/>
        <w:rPr>
          <w:rFonts w:cs="Arial"/>
          <w:sz w:val="60"/>
          <w:szCs w:val="60"/>
        </w:rPr>
      </w:pPr>
    </w:p>
    <w:p w14:paraId="71A37607" w14:textId="77777777" w:rsidR="00AA0B88" w:rsidRDefault="00AA0B88" w:rsidP="00AA0B88">
      <w:pPr>
        <w:spacing w:line="813" w:lineRule="exact"/>
        <w:jc w:val="center"/>
        <w:rPr>
          <w:rFonts w:cs="Arial"/>
          <w:sz w:val="60"/>
          <w:szCs w:val="60"/>
        </w:rPr>
      </w:pPr>
    </w:p>
    <w:p w14:paraId="742E6DD3" w14:textId="77777777" w:rsidR="00AA0B88" w:rsidRDefault="00AA0B88" w:rsidP="00AA0B88">
      <w:pPr>
        <w:spacing w:line="813" w:lineRule="exact"/>
        <w:jc w:val="center"/>
        <w:rPr>
          <w:rFonts w:cs="Arial"/>
          <w:sz w:val="60"/>
          <w:szCs w:val="60"/>
        </w:rPr>
      </w:pPr>
    </w:p>
    <w:p w14:paraId="6D0E2F5B" w14:textId="77777777" w:rsidR="00AA0B88" w:rsidRDefault="00AA0B88" w:rsidP="00AA0B88">
      <w:pPr>
        <w:spacing w:line="813" w:lineRule="exact"/>
        <w:jc w:val="center"/>
        <w:rPr>
          <w:rFonts w:cs="Arial"/>
          <w:sz w:val="60"/>
          <w:szCs w:val="60"/>
        </w:rPr>
      </w:pPr>
    </w:p>
    <w:p w14:paraId="0FB27233" w14:textId="77777777" w:rsidR="00AA0B88" w:rsidRDefault="00AA0B88" w:rsidP="00AA0B88">
      <w:pPr>
        <w:spacing w:line="813" w:lineRule="exact"/>
        <w:jc w:val="center"/>
        <w:rPr>
          <w:rFonts w:cs="Arial"/>
          <w:sz w:val="60"/>
          <w:szCs w:val="60"/>
        </w:rPr>
      </w:pPr>
    </w:p>
    <w:p w14:paraId="16368CFF" w14:textId="77777777" w:rsidR="00AA0B88" w:rsidRDefault="00AA0B88" w:rsidP="00AA0B88">
      <w:pPr>
        <w:spacing w:line="813" w:lineRule="exact"/>
        <w:jc w:val="center"/>
        <w:rPr>
          <w:rFonts w:cs="Arial"/>
          <w:sz w:val="60"/>
          <w:szCs w:val="60"/>
        </w:rPr>
      </w:pPr>
    </w:p>
    <w:p w14:paraId="34540587" w14:textId="77777777" w:rsidR="00AA0B88" w:rsidRDefault="00AA0B88" w:rsidP="00AA0B88">
      <w:pPr>
        <w:spacing w:line="813" w:lineRule="exact"/>
        <w:jc w:val="center"/>
        <w:rPr>
          <w:rFonts w:cs="Arial"/>
          <w:sz w:val="60"/>
          <w:szCs w:val="60"/>
        </w:rPr>
      </w:pPr>
    </w:p>
    <w:p w14:paraId="38217D48" w14:textId="77777777" w:rsidR="00AA0B88" w:rsidRDefault="00AA0B88" w:rsidP="00AA0B88">
      <w:pPr>
        <w:spacing w:line="813" w:lineRule="exact"/>
        <w:jc w:val="center"/>
        <w:rPr>
          <w:rFonts w:cs="Arial"/>
          <w:sz w:val="60"/>
          <w:szCs w:val="60"/>
        </w:rPr>
      </w:pPr>
    </w:p>
    <w:p w14:paraId="49CD94C7" w14:textId="5AD8D909" w:rsidR="00AA0B88" w:rsidRPr="00593718" w:rsidRDefault="00AA0B88" w:rsidP="00593718">
      <w:pPr>
        <w:pStyle w:val="Heading1"/>
        <w:spacing w:line="360" w:lineRule="auto"/>
        <w:jc w:val="both"/>
        <w:rPr>
          <w:rFonts w:ascii="Arial" w:hAnsi="Arial" w:cs="Arial"/>
          <w:b/>
          <w:color w:val="000000" w:themeColor="text1"/>
          <w:sz w:val="22"/>
          <w:szCs w:val="22"/>
        </w:rPr>
      </w:pPr>
      <w:r w:rsidRPr="00593718">
        <w:rPr>
          <w:rFonts w:ascii="Arial" w:hAnsi="Arial" w:cs="Arial"/>
          <w:sz w:val="22"/>
          <w:szCs w:val="22"/>
        </w:rPr>
        <w:lastRenderedPageBreak/>
        <w:br/>
      </w:r>
      <w:bookmarkStart w:id="0" w:name="_Toc234966919"/>
      <w:r w:rsidRPr="00593718">
        <w:rPr>
          <w:rFonts w:ascii="Arial" w:hAnsi="Arial" w:cs="Arial"/>
          <w:color w:val="000000" w:themeColor="text1"/>
          <w:sz w:val="22"/>
          <w:szCs w:val="22"/>
        </w:rPr>
        <w:t>CHAPTER 1: Introduction</w:t>
      </w:r>
      <w:bookmarkEnd w:id="0"/>
    </w:p>
    <w:p w14:paraId="6ED16EB5" w14:textId="77777777" w:rsidR="00AA0B88" w:rsidRPr="00593718" w:rsidRDefault="00AA0B88" w:rsidP="00593718">
      <w:pPr>
        <w:pStyle w:val="BodyText"/>
        <w:spacing w:line="360" w:lineRule="auto"/>
        <w:jc w:val="both"/>
        <w:rPr>
          <w:rFonts w:cs="Arial"/>
          <w:color w:val="000000" w:themeColor="text1"/>
        </w:rPr>
      </w:pPr>
    </w:p>
    <w:p w14:paraId="7390FC7A" w14:textId="246A44A8" w:rsidR="00AA0B88" w:rsidRPr="00593718" w:rsidRDefault="00AA0B88" w:rsidP="00593718">
      <w:pPr>
        <w:pStyle w:val="Heading1"/>
        <w:spacing w:line="360" w:lineRule="auto"/>
        <w:jc w:val="both"/>
        <w:rPr>
          <w:rFonts w:ascii="Arial" w:hAnsi="Arial" w:cs="Arial"/>
          <w:color w:val="000000" w:themeColor="text1"/>
          <w:sz w:val="22"/>
          <w:szCs w:val="22"/>
        </w:rPr>
      </w:pPr>
      <w:bookmarkStart w:id="1" w:name="_Toc234966920"/>
      <w:r w:rsidRPr="00593718">
        <w:rPr>
          <w:rStyle w:val="normaltextrun"/>
          <w:rFonts w:ascii="Arial" w:hAnsi="Arial" w:cs="Arial"/>
          <w:color w:val="000000" w:themeColor="text1"/>
          <w:sz w:val="22"/>
          <w:szCs w:val="22"/>
        </w:rPr>
        <w:t xml:space="preserve">1.1 Introduction </w:t>
      </w:r>
      <w:bookmarkEnd w:id="1"/>
    </w:p>
    <w:p w14:paraId="1C32D5B9" w14:textId="4CDC41A6" w:rsidR="00AA0B88" w:rsidRPr="005B4BF5" w:rsidRDefault="00AA0B88" w:rsidP="00593718">
      <w:pPr>
        <w:pStyle w:val="isselectedend"/>
        <w:spacing w:line="360" w:lineRule="auto"/>
        <w:jc w:val="both"/>
        <w:rPr>
          <w:rFonts w:ascii="Arial" w:hAnsi="Arial" w:cs="Arial"/>
          <w:color w:val="000000" w:themeColor="text1"/>
          <w:sz w:val="22"/>
          <w:szCs w:val="22"/>
        </w:rPr>
      </w:pPr>
      <w:r w:rsidRPr="005B4BF5">
        <w:rPr>
          <w:rFonts w:ascii="Arial" w:hAnsi="Arial" w:cs="Arial"/>
          <w:color w:val="000000" w:themeColor="text1"/>
          <w:sz w:val="22"/>
          <w:szCs w:val="22"/>
        </w:rPr>
        <w:t>Health is recognised as a fundamental human right; however, opportunities to achieve good health remain unequally distributed across society. Despite the founding principle of the National Health Service (NHS) to provide comprehensive healthcare free at the point of delivery, significant health inequalities</w:t>
      </w:r>
      <w:r w:rsidR="00361938" w:rsidRPr="005B4BF5">
        <w:rPr>
          <w:rFonts w:ascii="Arial" w:hAnsi="Arial" w:cs="Arial"/>
          <w:color w:val="000000" w:themeColor="text1"/>
          <w:sz w:val="22"/>
          <w:szCs w:val="22"/>
        </w:rPr>
        <w:t xml:space="preserve"> (HI)</w:t>
      </w:r>
      <w:r w:rsidRPr="005B4BF5">
        <w:rPr>
          <w:rFonts w:ascii="Arial" w:hAnsi="Arial" w:cs="Arial"/>
          <w:color w:val="000000" w:themeColor="text1"/>
          <w:sz w:val="22"/>
          <w:szCs w:val="22"/>
        </w:rPr>
        <w:t xml:space="preserve"> continue to exist across England. </w:t>
      </w:r>
      <w:r w:rsidR="005B4BF5" w:rsidRPr="005B4BF5">
        <w:rPr>
          <w:rFonts w:ascii="Arial" w:hAnsi="Arial" w:cs="Arial"/>
          <w:sz w:val="22"/>
          <w:szCs w:val="22"/>
        </w:rPr>
        <w:t>Individuals living in socioeconomically deprived communities often experience poorer health outcomes, reduced life expectancy, and greater barriers to accessing healthcare compared with those living in more affluent areas (Marmot, 2020; Raymond et al., 2024). These health inequalities are strongly influenced by the wider SD</w:t>
      </w:r>
      <w:r w:rsidR="005B4BF5" w:rsidRPr="005B4BF5">
        <w:rPr>
          <w:rFonts w:ascii="Arial" w:hAnsi="Arial" w:cs="Arial"/>
          <w:sz w:val="22"/>
          <w:szCs w:val="22"/>
        </w:rPr>
        <w:t>O</w:t>
      </w:r>
      <w:r w:rsidR="005B4BF5" w:rsidRPr="005B4BF5">
        <w:rPr>
          <w:rFonts w:ascii="Arial" w:hAnsi="Arial" w:cs="Arial"/>
          <w:sz w:val="22"/>
          <w:szCs w:val="22"/>
        </w:rPr>
        <w:t>H, such as income, employment, education, housing, and the social and physical environments in which people are born, grow, live, work, and age (Marmot and Allen, 2014).</w:t>
      </w:r>
    </w:p>
    <w:p w14:paraId="653DE85B" w14:textId="77777777" w:rsidR="00AA0B88" w:rsidRPr="00593718" w:rsidRDefault="00AA0B88" w:rsidP="00593718">
      <w:pPr>
        <w:pStyle w:val="isselectedend"/>
        <w:spacing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Socioeconomic deprivation is widely recognised as one of the strongest predictors of poor health and unequal access to healthcare. Although NHS services are universally available, people living in deprived communities continue to experience structural, geographical, financial and organisational barriers that limit their ability to obtain timely and appropriate care (Cookson et al., 2016; Eberhardt et al., 2025). Understanding these barriers is essential for developing effective policies that promote health equity and reduce preventable differences in health outcomes.</w:t>
      </w:r>
    </w:p>
    <w:p w14:paraId="1307D636" w14:textId="257909F7" w:rsidR="00AA0B88" w:rsidRPr="00593718" w:rsidRDefault="00AA0B88" w:rsidP="00593718">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593718">
        <w:rPr>
          <w:rFonts w:ascii="Arial" w:hAnsi="Arial" w:cs="Arial"/>
          <w:color w:val="000000" w:themeColor="text1"/>
          <w:sz w:val="22"/>
          <w:szCs w:val="22"/>
        </w:rPr>
        <w:t>This dissertation explores the relationship between socioeconomic deprivation and healthcare access among low-income communities in England. It examines the underlying causes of</w:t>
      </w:r>
      <w:r w:rsidR="00361938">
        <w:rPr>
          <w:rFonts w:ascii="Arial" w:hAnsi="Arial" w:cs="Arial"/>
          <w:color w:val="000000" w:themeColor="text1"/>
          <w:sz w:val="22"/>
          <w:szCs w:val="22"/>
        </w:rPr>
        <w:t xml:space="preserve"> HI</w:t>
      </w:r>
      <w:r w:rsidRPr="00593718">
        <w:rPr>
          <w:rFonts w:ascii="Arial" w:hAnsi="Arial" w:cs="Arial"/>
          <w:color w:val="000000" w:themeColor="text1"/>
          <w:sz w:val="22"/>
          <w:szCs w:val="22"/>
        </w:rPr>
        <w:t xml:space="preserve">, evaluates current evidence and policy responses, and identifies opportunities to improve equitable access to health and social care services. The dissertation is organised into five chapters. Chapter One introduces the research topic, defines key terminology, outlines the background and rationale for the study, and presents the research aim and objectives. Chapter Two provides a comprehensive Background Information and Analysis of the topic through the exploration of international, national, and local perspectives, alongside relevant theory, policy, legislation, and current evidence. Chapter Three explains the methodology adopted for the </w:t>
      </w:r>
      <w:r w:rsidRPr="005B4BF5">
        <w:rPr>
          <w:rFonts w:ascii="Arial" w:hAnsi="Arial" w:cs="Arial"/>
          <w:color w:val="000000" w:themeColor="text1"/>
          <w:sz w:val="22"/>
          <w:szCs w:val="22"/>
        </w:rPr>
        <w:t xml:space="preserve">research. </w:t>
      </w:r>
      <w:r w:rsidR="005B4BF5" w:rsidRPr="005B4BF5">
        <w:rPr>
          <w:rFonts w:ascii="Arial" w:hAnsi="Arial" w:cs="Arial"/>
          <w:sz w:val="22"/>
          <w:szCs w:val="22"/>
        </w:rPr>
        <w:t>Chapter Four focuses on the analysis and discussion of the findings, whereas Chapter Five synthesises the overall conclusions and proposes recommendations for improving policy and practice.</w:t>
      </w:r>
    </w:p>
    <w:p w14:paraId="2EB17F5B" w14:textId="77777777" w:rsidR="00AA0B88" w:rsidRPr="00593718" w:rsidRDefault="00AA0B88" w:rsidP="00593718">
      <w:pPr>
        <w:pStyle w:val="paragraph"/>
        <w:spacing w:before="0" w:beforeAutospacing="0" w:after="0" w:afterAutospacing="0" w:line="360" w:lineRule="auto"/>
        <w:jc w:val="both"/>
        <w:textAlignment w:val="baseline"/>
        <w:rPr>
          <w:rFonts w:ascii="Arial" w:hAnsi="Arial" w:cs="Arial"/>
          <w:color w:val="000000" w:themeColor="text1"/>
          <w:sz w:val="22"/>
          <w:szCs w:val="22"/>
        </w:rPr>
      </w:pPr>
    </w:p>
    <w:p w14:paraId="6A6F8033" w14:textId="0ADE487C" w:rsidR="00AA0B88" w:rsidRPr="00593718" w:rsidRDefault="00AA0B88" w:rsidP="00593718">
      <w:pPr>
        <w:pStyle w:val="Heading1"/>
        <w:spacing w:line="360" w:lineRule="auto"/>
        <w:jc w:val="both"/>
        <w:rPr>
          <w:rFonts w:ascii="Arial" w:hAnsi="Arial" w:cs="Arial"/>
          <w:color w:val="000000" w:themeColor="text1"/>
          <w:sz w:val="22"/>
          <w:szCs w:val="22"/>
        </w:rPr>
      </w:pPr>
      <w:bookmarkStart w:id="2" w:name="_Toc234966921"/>
      <w:r w:rsidRPr="00593718">
        <w:rPr>
          <w:rStyle w:val="normaltextrun"/>
          <w:rFonts w:ascii="Arial" w:hAnsi="Arial" w:cs="Arial"/>
          <w:color w:val="000000" w:themeColor="text1"/>
          <w:sz w:val="22"/>
          <w:szCs w:val="22"/>
        </w:rPr>
        <w:t>1.2 Definitions and Terminology</w:t>
      </w:r>
      <w:bookmarkEnd w:id="2"/>
    </w:p>
    <w:p w14:paraId="529622EE" w14:textId="77777777" w:rsidR="00AA0B88" w:rsidRPr="00593718" w:rsidRDefault="00AA0B88" w:rsidP="00593718">
      <w:pPr>
        <w:spacing w:line="360" w:lineRule="auto"/>
        <w:jc w:val="both"/>
        <w:rPr>
          <w:rFonts w:ascii="Arial" w:hAnsi="Arial" w:cs="Arial"/>
          <w:color w:val="000000" w:themeColor="text1"/>
          <w:sz w:val="22"/>
          <w:szCs w:val="22"/>
        </w:rPr>
      </w:pPr>
    </w:p>
    <w:p w14:paraId="652770E0" w14:textId="77777777" w:rsidR="00593718" w:rsidRPr="00593718" w:rsidRDefault="00593718" w:rsidP="00593718">
      <w:pPr>
        <w:pStyle w:val="Heading3"/>
        <w:spacing w:line="360" w:lineRule="auto"/>
        <w:jc w:val="both"/>
        <w:rPr>
          <w:rFonts w:ascii="Arial" w:hAnsi="Arial" w:cs="Arial"/>
          <w:color w:val="000000"/>
          <w:sz w:val="22"/>
          <w:szCs w:val="22"/>
        </w:rPr>
      </w:pPr>
      <w:r w:rsidRPr="00593718">
        <w:rPr>
          <w:rFonts w:ascii="Arial" w:hAnsi="Arial" w:cs="Arial"/>
          <w:color w:val="000000"/>
          <w:sz w:val="22"/>
          <w:szCs w:val="22"/>
        </w:rPr>
        <w:t>Key Definitions</w:t>
      </w:r>
    </w:p>
    <w:p w14:paraId="35223E6E" w14:textId="77777777" w:rsidR="00593718" w:rsidRPr="00593718" w:rsidRDefault="00593718" w:rsidP="00593718">
      <w:pPr>
        <w:pStyle w:val="isselectedend"/>
        <w:spacing w:line="360" w:lineRule="auto"/>
        <w:jc w:val="both"/>
        <w:rPr>
          <w:rFonts w:ascii="Arial" w:hAnsi="Arial" w:cs="Arial"/>
          <w:color w:val="000000"/>
          <w:sz w:val="22"/>
          <w:szCs w:val="22"/>
        </w:rPr>
      </w:pPr>
      <w:r w:rsidRPr="00593718">
        <w:rPr>
          <w:rFonts w:ascii="Arial" w:hAnsi="Arial" w:cs="Arial"/>
          <w:color w:val="000000"/>
          <w:sz w:val="22"/>
          <w:szCs w:val="22"/>
        </w:rPr>
        <w:t>To ensure consistency throughout this dissertation, the following key concepts are defined.</w:t>
      </w:r>
    </w:p>
    <w:p w14:paraId="7DC1E1DE" w14:textId="700D51B5" w:rsidR="00593718" w:rsidRPr="00593718" w:rsidRDefault="00593718" w:rsidP="00593718">
      <w:pPr>
        <w:pStyle w:val="isselectedend"/>
        <w:spacing w:line="360" w:lineRule="auto"/>
        <w:jc w:val="both"/>
        <w:rPr>
          <w:rFonts w:ascii="Arial" w:hAnsi="Arial" w:cs="Arial"/>
          <w:color w:val="000000"/>
          <w:sz w:val="22"/>
          <w:szCs w:val="22"/>
        </w:rPr>
      </w:pPr>
      <w:r w:rsidRPr="00593718">
        <w:rPr>
          <w:rStyle w:val="Strong"/>
          <w:rFonts w:ascii="Arial" w:eastAsiaTheme="majorEastAsia" w:hAnsi="Arial" w:cs="Arial"/>
          <w:b w:val="0"/>
          <w:bCs w:val="0"/>
          <w:color w:val="000000"/>
          <w:sz w:val="22"/>
          <w:szCs w:val="22"/>
        </w:rPr>
        <w:t>HI</w:t>
      </w:r>
      <w:r w:rsidRPr="00593718">
        <w:rPr>
          <w:rStyle w:val="apple-converted-space"/>
          <w:rFonts w:ascii="Arial" w:eastAsiaTheme="majorEastAsia" w:hAnsi="Arial" w:cs="Arial"/>
          <w:color w:val="000000"/>
          <w:sz w:val="22"/>
          <w:szCs w:val="22"/>
        </w:rPr>
        <w:t> </w:t>
      </w:r>
      <w:r w:rsidRPr="00593718">
        <w:rPr>
          <w:rFonts w:ascii="Arial" w:hAnsi="Arial" w:cs="Arial"/>
          <w:color w:val="000000"/>
          <w:sz w:val="22"/>
          <w:szCs w:val="22"/>
        </w:rPr>
        <w:t>refer to the avoidable, unfair and systematic differences in health outcomes, life expectancy and access to healthcare experienced by different population groups. These inequalities arise primarily from unequal social, economic and environmental conditions rather than biological differences alone (Marmot, 2020; The King's Fund, 2024).</w:t>
      </w:r>
    </w:p>
    <w:p w14:paraId="1202EEAC" w14:textId="3526E43E" w:rsidR="00593718" w:rsidRPr="00593718" w:rsidRDefault="00593718" w:rsidP="00593718">
      <w:pPr>
        <w:pStyle w:val="isselectedend"/>
        <w:spacing w:line="360" w:lineRule="auto"/>
        <w:jc w:val="both"/>
        <w:rPr>
          <w:rFonts w:ascii="Arial" w:hAnsi="Arial" w:cs="Arial"/>
          <w:color w:val="000000"/>
          <w:sz w:val="22"/>
          <w:szCs w:val="22"/>
        </w:rPr>
      </w:pPr>
      <w:r w:rsidRPr="00593718">
        <w:rPr>
          <w:rStyle w:val="Strong"/>
          <w:rFonts w:ascii="Arial" w:eastAsiaTheme="majorEastAsia" w:hAnsi="Arial" w:cs="Arial"/>
          <w:b w:val="0"/>
          <w:bCs w:val="0"/>
          <w:color w:val="000000"/>
          <w:sz w:val="22"/>
          <w:szCs w:val="22"/>
        </w:rPr>
        <w:t>Socioeconomic deprivation</w:t>
      </w:r>
      <w:r w:rsidRPr="00593718">
        <w:rPr>
          <w:rStyle w:val="apple-converted-space"/>
          <w:rFonts w:ascii="Arial" w:eastAsiaTheme="majorEastAsia" w:hAnsi="Arial" w:cs="Arial"/>
          <w:color w:val="000000"/>
          <w:sz w:val="22"/>
          <w:szCs w:val="22"/>
        </w:rPr>
        <w:t> </w:t>
      </w:r>
      <w:r w:rsidRPr="00593718">
        <w:rPr>
          <w:rFonts w:ascii="Arial" w:hAnsi="Arial" w:cs="Arial"/>
          <w:color w:val="000000"/>
          <w:sz w:val="22"/>
          <w:szCs w:val="22"/>
        </w:rPr>
        <w:t>describes the relative disadvantage experienced by individuals or communities due to limited access to income, employment, education, housing and other resources that influence health and wellbeing (World Health Organization</w:t>
      </w:r>
      <w:r w:rsidR="00361938">
        <w:rPr>
          <w:rFonts w:ascii="Arial" w:hAnsi="Arial" w:cs="Arial"/>
          <w:color w:val="000000"/>
          <w:sz w:val="22"/>
          <w:szCs w:val="22"/>
        </w:rPr>
        <w:t>(</w:t>
      </w:r>
      <w:r w:rsidR="00361938">
        <w:rPr>
          <w:rFonts w:ascii="Arial" w:hAnsi="Arial" w:cs="Arial"/>
          <w:color w:val="000000"/>
          <w:sz w:val="22"/>
          <w:szCs w:val="22"/>
        </w:rPr>
        <w:tab/>
        <w:t>WHO)</w:t>
      </w:r>
      <w:r w:rsidRPr="00593718">
        <w:rPr>
          <w:rFonts w:ascii="Arial" w:hAnsi="Arial" w:cs="Arial"/>
          <w:color w:val="000000"/>
          <w:sz w:val="22"/>
          <w:szCs w:val="22"/>
        </w:rPr>
        <w:t>, n.d.).</w:t>
      </w:r>
    </w:p>
    <w:p w14:paraId="158AFB0D" w14:textId="77777777" w:rsidR="00593718" w:rsidRPr="00593718" w:rsidRDefault="00593718" w:rsidP="00593718">
      <w:pPr>
        <w:pStyle w:val="isselectedend"/>
        <w:spacing w:line="360" w:lineRule="auto"/>
        <w:jc w:val="both"/>
        <w:rPr>
          <w:rFonts w:ascii="Arial" w:hAnsi="Arial" w:cs="Arial"/>
          <w:color w:val="000000"/>
          <w:sz w:val="22"/>
          <w:szCs w:val="22"/>
        </w:rPr>
      </w:pPr>
      <w:r w:rsidRPr="00593718">
        <w:rPr>
          <w:rStyle w:val="Strong"/>
          <w:rFonts w:ascii="Arial" w:eastAsiaTheme="majorEastAsia" w:hAnsi="Arial" w:cs="Arial"/>
          <w:b w:val="0"/>
          <w:bCs w:val="0"/>
          <w:color w:val="000000"/>
          <w:sz w:val="22"/>
          <w:szCs w:val="22"/>
        </w:rPr>
        <w:t>Healthcare access</w:t>
      </w:r>
      <w:r w:rsidRPr="00593718">
        <w:rPr>
          <w:rStyle w:val="apple-converted-space"/>
          <w:rFonts w:ascii="Arial" w:eastAsiaTheme="majorEastAsia" w:hAnsi="Arial" w:cs="Arial"/>
          <w:color w:val="000000"/>
          <w:sz w:val="22"/>
          <w:szCs w:val="22"/>
        </w:rPr>
        <w:t> </w:t>
      </w:r>
      <w:r w:rsidRPr="00593718">
        <w:rPr>
          <w:rFonts w:ascii="Arial" w:hAnsi="Arial" w:cs="Arial"/>
          <w:color w:val="000000"/>
          <w:sz w:val="22"/>
          <w:szCs w:val="22"/>
        </w:rPr>
        <w:t>refers to an individual's ability to obtain appropriate healthcare services when needed. It encompasses affordability, accessibility, acceptability, availability, health literacy, waiting times and digital inclusion, all of which influence the use of healthcare services (Levesque, Harris and Russell, 2013).</w:t>
      </w:r>
    </w:p>
    <w:p w14:paraId="0FCDEEE7" w14:textId="127AF2C0" w:rsidR="00593718" w:rsidRPr="00593718" w:rsidRDefault="00593718" w:rsidP="00593718">
      <w:pPr>
        <w:pStyle w:val="isselectedend"/>
        <w:spacing w:line="360" w:lineRule="auto"/>
        <w:jc w:val="both"/>
        <w:rPr>
          <w:rFonts w:ascii="Arial" w:hAnsi="Arial" w:cs="Arial"/>
          <w:color w:val="000000"/>
          <w:sz w:val="22"/>
          <w:szCs w:val="22"/>
        </w:rPr>
      </w:pPr>
      <w:r w:rsidRPr="00593718">
        <w:rPr>
          <w:rStyle w:val="Strong"/>
          <w:rFonts w:ascii="Arial" w:eastAsiaTheme="majorEastAsia" w:hAnsi="Arial" w:cs="Arial"/>
          <w:b w:val="0"/>
          <w:bCs w:val="0"/>
          <w:color w:val="000000"/>
          <w:sz w:val="22"/>
          <w:szCs w:val="22"/>
        </w:rPr>
        <w:t>Social determinants of health (SD</w:t>
      </w:r>
      <w:r w:rsidR="005B4BF5">
        <w:rPr>
          <w:rStyle w:val="Strong"/>
          <w:rFonts w:ascii="Arial" w:eastAsiaTheme="majorEastAsia" w:hAnsi="Arial" w:cs="Arial"/>
          <w:b w:val="0"/>
          <w:bCs w:val="0"/>
          <w:color w:val="000000"/>
          <w:sz w:val="22"/>
          <w:szCs w:val="22"/>
        </w:rPr>
        <w:t>O</w:t>
      </w:r>
      <w:r w:rsidRPr="00593718">
        <w:rPr>
          <w:rStyle w:val="Strong"/>
          <w:rFonts w:ascii="Arial" w:eastAsiaTheme="majorEastAsia" w:hAnsi="Arial" w:cs="Arial"/>
          <w:b w:val="0"/>
          <w:bCs w:val="0"/>
          <w:color w:val="000000"/>
          <w:sz w:val="22"/>
          <w:szCs w:val="22"/>
        </w:rPr>
        <w:t>H)</w:t>
      </w:r>
      <w:r w:rsidRPr="00593718">
        <w:rPr>
          <w:rStyle w:val="apple-converted-space"/>
          <w:rFonts w:ascii="Arial" w:eastAsiaTheme="majorEastAsia" w:hAnsi="Arial" w:cs="Arial"/>
          <w:color w:val="000000"/>
          <w:sz w:val="22"/>
          <w:szCs w:val="22"/>
        </w:rPr>
        <w:t> </w:t>
      </w:r>
      <w:r w:rsidRPr="00593718">
        <w:rPr>
          <w:rFonts w:ascii="Arial" w:hAnsi="Arial" w:cs="Arial"/>
          <w:color w:val="000000"/>
          <w:sz w:val="22"/>
          <w:szCs w:val="22"/>
        </w:rPr>
        <w:t xml:space="preserve">are the social, economic and environmental conditions in which people are born, grow, live, work and age. These factors strongly influence health outcomes and contribute significantly to </w:t>
      </w:r>
      <w:r w:rsidR="00361938">
        <w:rPr>
          <w:rFonts w:ascii="Arial" w:hAnsi="Arial" w:cs="Arial"/>
          <w:color w:val="000000"/>
          <w:sz w:val="22"/>
          <w:szCs w:val="22"/>
        </w:rPr>
        <w:t xml:space="preserve">HI </w:t>
      </w:r>
      <w:r w:rsidRPr="00593718">
        <w:rPr>
          <w:rFonts w:ascii="Arial" w:hAnsi="Arial" w:cs="Arial"/>
          <w:color w:val="000000"/>
          <w:sz w:val="22"/>
          <w:szCs w:val="22"/>
        </w:rPr>
        <w:t>(WHO, 2008; Marmot and Allen, 2014).</w:t>
      </w:r>
    </w:p>
    <w:p w14:paraId="31F97776" w14:textId="77777777" w:rsidR="0053601F" w:rsidRPr="0053601F" w:rsidRDefault="0053601F" w:rsidP="0053601F">
      <w:pPr>
        <w:pStyle w:val="Heading3"/>
        <w:spacing w:line="360" w:lineRule="auto"/>
        <w:jc w:val="both"/>
        <w:rPr>
          <w:rFonts w:ascii="Arial" w:hAnsi="Arial" w:cs="Arial"/>
          <w:color w:val="000000" w:themeColor="text1"/>
          <w:sz w:val="22"/>
          <w:szCs w:val="22"/>
        </w:rPr>
      </w:pPr>
      <w:r w:rsidRPr="0053601F">
        <w:rPr>
          <w:rFonts w:ascii="Arial" w:hAnsi="Arial" w:cs="Arial"/>
          <w:color w:val="000000" w:themeColor="text1"/>
          <w:sz w:val="22"/>
          <w:szCs w:val="22"/>
        </w:rPr>
        <w:t>The Inverse Care Law, developed by Hart (1971), states that people with the greatest health needs often have the least access to good-quality healthcare. As a result, communities with higher levels of ill health are more likely to experience difficulties accessing healthcare services.</w:t>
      </w:r>
    </w:p>
    <w:p w14:paraId="053C796B" w14:textId="6F3DD3F6" w:rsidR="00593718" w:rsidRPr="00593718" w:rsidRDefault="00593718" w:rsidP="00593718">
      <w:pPr>
        <w:pStyle w:val="Heading3"/>
        <w:spacing w:line="360" w:lineRule="auto"/>
        <w:jc w:val="both"/>
        <w:rPr>
          <w:rFonts w:ascii="Arial" w:hAnsi="Arial" w:cs="Arial"/>
          <w:color w:val="000000"/>
          <w:sz w:val="22"/>
          <w:szCs w:val="22"/>
        </w:rPr>
      </w:pPr>
      <w:r w:rsidRPr="00593718">
        <w:rPr>
          <w:rFonts w:ascii="Arial" w:hAnsi="Arial" w:cs="Arial"/>
          <w:color w:val="000000"/>
          <w:sz w:val="22"/>
          <w:szCs w:val="22"/>
        </w:rPr>
        <w:t>Abbreviations</w:t>
      </w:r>
    </w:p>
    <w:p w14:paraId="7C0AB324" w14:textId="77777777" w:rsidR="00593718" w:rsidRPr="00593718" w:rsidRDefault="00593718" w:rsidP="00593718">
      <w:pPr>
        <w:pStyle w:val="isselectedend"/>
        <w:spacing w:line="360" w:lineRule="auto"/>
        <w:jc w:val="both"/>
        <w:rPr>
          <w:rFonts w:ascii="Arial" w:hAnsi="Arial" w:cs="Arial"/>
          <w:color w:val="000000"/>
          <w:sz w:val="22"/>
          <w:szCs w:val="22"/>
        </w:rPr>
      </w:pPr>
      <w:r w:rsidRPr="00593718">
        <w:rPr>
          <w:rFonts w:ascii="Arial" w:hAnsi="Arial" w:cs="Arial"/>
          <w:color w:val="000000"/>
          <w:sz w:val="22"/>
          <w:szCs w:val="22"/>
        </w:rPr>
        <w:t>The following abbreviations are used throughout this dissertation:</w:t>
      </w:r>
    </w:p>
    <w:p w14:paraId="418771E6" w14:textId="77777777" w:rsidR="00593718" w:rsidRPr="00593718" w:rsidRDefault="00593718" w:rsidP="00593718">
      <w:pPr>
        <w:numPr>
          <w:ilvl w:val="0"/>
          <w:numId w:val="3"/>
        </w:numPr>
        <w:spacing w:before="100" w:beforeAutospacing="1" w:after="100" w:afterAutospacing="1" w:line="360" w:lineRule="auto"/>
        <w:jc w:val="both"/>
        <w:rPr>
          <w:rFonts w:ascii="Arial" w:hAnsi="Arial" w:cs="Arial"/>
          <w:color w:val="000000"/>
          <w:sz w:val="22"/>
          <w:szCs w:val="22"/>
        </w:rPr>
      </w:pPr>
      <w:r w:rsidRPr="00593718">
        <w:rPr>
          <w:rStyle w:val="Strong"/>
          <w:rFonts w:ascii="Arial" w:hAnsi="Arial" w:cs="Arial"/>
          <w:color w:val="000000"/>
          <w:sz w:val="22"/>
          <w:szCs w:val="22"/>
        </w:rPr>
        <w:t>NHS</w:t>
      </w:r>
      <w:r w:rsidRPr="00593718">
        <w:rPr>
          <w:rStyle w:val="apple-converted-space"/>
          <w:rFonts w:ascii="Arial" w:hAnsi="Arial" w:cs="Arial"/>
          <w:color w:val="000000"/>
          <w:sz w:val="22"/>
          <w:szCs w:val="22"/>
        </w:rPr>
        <w:t> </w:t>
      </w:r>
      <w:r w:rsidRPr="00593718">
        <w:rPr>
          <w:rFonts w:ascii="Arial" w:hAnsi="Arial" w:cs="Arial"/>
          <w:color w:val="000000"/>
          <w:sz w:val="22"/>
          <w:szCs w:val="22"/>
        </w:rPr>
        <w:t>– National Health Service</w:t>
      </w:r>
    </w:p>
    <w:p w14:paraId="04296E22" w14:textId="77777777" w:rsidR="00593718" w:rsidRPr="00593718" w:rsidRDefault="00593718" w:rsidP="00593718">
      <w:pPr>
        <w:numPr>
          <w:ilvl w:val="0"/>
          <w:numId w:val="3"/>
        </w:numPr>
        <w:spacing w:before="100" w:beforeAutospacing="1" w:after="100" w:afterAutospacing="1" w:line="360" w:lineRule="auto"/>
        <w:jc w:val="both"/>
        <w:rPr>
          <w:rFonts w:ascii="Arial" w:hAnsi="Arial" w:cs="Arial"/>
          <w:color w:val="000000"/>
          <w:sz w:val="22"/>
          <w:szCs w:val="22"/>
        </w:rPr>
      </w:pPr>
      <w:r w:rsidRPr="00593718">
        <w:rPr>
          <w:rStyle w:val="Strong"/>
          <w:rFonts w:ascii="Arial" w:hAnsi="Arial" w:cs="Arial"/>
          <w:color w:val="000000"/>
          <w:sz w:val="22"/>
          <w:szCs w:val="22"/>
        </w:rPr>
        <w:t>ICS</w:t>
      </w:r>
      <w:r w:rsidRPr="00593718">
        <w:rPr>
          <w:rStyle w:val="apple-converted-space"/>
          <w:rFonts w:ascii="Arial" w:hAnsi="Arial" w:cs="Arial"/>
          <w:color w:val="000000"/>
          <w:sz w:val="22"/>
          <w:szCs w:val="22"/>
        </w:rPr>
        <w:t> </w:t>
      </w:r>
      <w:r w:rsidRPr="00593718">
        <w:rPr>
          <w:rFonts w:ascii="Arial" w:hAnsi="Arial" w:cs="Arial"/>
          <w:color w:val="000000"/>
          <w:sz w:val="22"/>
          <w:szCs w:val="22"/>
        </w:rPr>
        <w:t>– Integrated Care System</w:t>
      </w:r>
    </w:p>
    <w:p w14:paraId="4472BF34" w14:textId="7C724CB4" w:rsidR="00593718" w:rsidRPr="00593718" w:rsidRDefault="00593718" w:rsidP="00593718">
      <w:pPr>
        <w:numPr>
          <w:ilvl w:val="0"/>
          <w:numId w:val="3"/>
        </w:numPr>
        <w:spacing w:before="100" w:beforeAutospacing="1" w:after="100" w:afterAutospacing="1" w:line="360" w:lineRule="auto"/>
        <w:jc w:val="both"/>
        <w:rPr>
          <w:rFonts w:ascii="Arial" w:hAnsi="Arial" w:cs="Arial"/>
          <w:color w:val="000000"/>
          <w:sz w:val="22"/>
          <w:szCs w:val="22"/>
        </w:rPr>
      </w:pPr>
      <w:r w:rsidRPr="00593718">
        <w:rPr>
          <w:rStyle w:val="Strong"/>
          <w:rFonts w:ascii="Arial" w:hAnsi="Arial" w:cs="Arial"/>
          <w:color w:val="000000"/>
          <w:sz w:val="22"/>
          <w:szCs w:val="22"/>
        </w:rPr>
        <w:t>SD</w:t>
      </w:r>
      <w:r w:rsidR="00361938">
        <w:rPr>
          <w:rStyle w:val="Strong"/>
          <w:rFonts w:ascii="Arial" w:hAnsi="Arial" w:cs="Arial"/>
          <w:color w:val="000000"/>
          <w:sz w:val="22"/>
          <w:szCs w:val="22"/>
        </w:rPr>
        <w:t>O</w:t>
      </w:r>
      <w:r w:rsidRPr="00593718">
        <w:rPr>
          <w:rStyle w:val="Strong"/>
          <w:rFonts w:ascii="Arial" w:hAnsi="Arial" w:cs="Arial"/>
          <w:color w:val="000000"/>
          <w:sz w:val="22"/>
          <w:szCs w:val="22"/>
        </w:rPr>
        <w:t>H</w:t>
      </w:r>
      <w:r w:rsidRPr="00593718">
        <w:rPr>
          <w:rStyle w:val="apple-converted-space"/>
          <w:rFonts w:ascii="Arial" w:hAnsi="Arial" w:cs="Arial"/>
          <w:color w:val="000000"/>
          <w:sz w:val="22"/>
          <w:szCs w:val="22"/>
        </w:rPr>
        <w:t> </w:t>
      </w:r>
      <w:r w:rsidRPr="00593718">
        <w:rPr>
          <w:rFonts w:ascii="Arial" w:hAnsi="Arial" w:cs="Arial"/>
          <w:color w:val="000000"/>
          <w:sz w:val="22"/>
          <w:szCs w:val="22"/>
        </w:rPr>
        <w:t>– Social Determinants of Health</w:t>
      </w:r>
    </w:p>
    <w:p w14:paraId="011E1838" w14:textId="77777777" w:rsidR="00593718" w:rsidRPr="00593718" w:rsidRDefault="00593718" w:rsidP="00593718">
      <w:pPr>
        <w:numPr>
          <w:ilvl w:val="0"/>
          <w:numId w:val="3"/>
        </w:numPr>
        <w:spacing w:before="100" w:beforeAutospacing="1" w:after="100" w:afterAutospacing="1" w:line="360" w:lineRule="auto"/>
        <w:jc w:val="both"/>
        <w:rPr>
          <w:rFonts w:ascii="Arial" w:hAnsi="Arial" w:cs="Arial"/>
          <w:color w:val="000000"/>
          <w:sz w:val="22"/>
          <w:szCs w:val="22"/>
        </w:rPr>
      </w:pPr>
      <w:r w:rsidRPr="00593718">
        <w:rPr>
          <w:rStyle w:val="Strong"/>
          <w:rFonts w:ascii="Arial" w:hAnsi="Arial" w:cs="Arial"/>
          <w:color w:val="000000"/>
          <w:sz w:val="22"/>
          <w:szCs w:val="22"/>
        </w:rPr>
        <w:t>WHO</w:t>
      </w:r>
      <w:r w:rsidRPr="00593718">
        <w:rPr>
          <w:rStyle w:val="apple-converted-space"/>
          <w:rFonts w:ascii="Arial" w:hAnsi="Arial" w:cs="Arial"/>
          <w:color w:val="000000"/>
          <w:sz w:val="22"/>
          <w:szCs w:val="22"/>
        </w:rPr>
        <w:t> </w:t>
      </w:r>
      <w:r w:rsidRPr="00593718">
        <w:rPr>
          <w:rFonts w:ascii="Arial" w:hAnsi="Arial" w:cs="Arial"/>
          <w:color w:val="000000"/>
          <w:sz w:val="22"/>
          <w:szCs w:val="22"/>
        </w:rPr>
        <w:t>– World Health Organization</w:t>
      </w:r>
    </w:p>
    <w:p w14:paraId="7A93C627" w14:textId="77777777" w:rsidR="00593718" w:rsidRPr="00593718" w:rsidRDefault="00593718" w:rsidP="00593718">
      <w:pPr>
        <w:numPr>
          <w:ilvl w:val="0"/>
          <w:numId w:val="3"/>
        </w:numPr>
        <w:spacing w:before="100" w:beforeAutospacing="1" w:after="100" w:afterAutospacing="1" w:line="360" w:lineRule="auto"/>
        <w:jc w:val="both"/>
        <w:rPr>
          <w:rFonts w:ascii="Arial" w:hAnsi="Arial" w:cs="Arial"/>
          <w:color w:val="000000"/>
          <w:sz w:val="22"/>
          <w:szCs w:val="22"/>
        </w:rPr>
      </w:pPr>
      <w:r w:rsidRPr="00593718">
        <w:rPr>
          <w:rStyle w:val="Strong"/>
          <w:rFonts w:ascii="Arial" w:hAnsi="Arial" w:cs="Arial"/>
          <w:color w:val="000000"/>
          <w:sz w:val="22"/>
          <w:szCs w:val="22"/>
        </w:rPr>
        <w:lastRenderedPageBreak/>
        <w:t>HI</w:t>
      </w:r>
      <w:r w:rsidRPr="00593718">
        <w:rPr>
          <w:rStyle w:val="apple-converted-space"/>
          <w:rFonts w:ascii="Arial" w:hAnsi="Arial" w:cs="Arial"/>
          <w:color w:val="000000"/>
          <w:sz w:val="22"/>
          <w:szCs w:val="22"/>
        </w:rPr>
        <w:t> </w:t>
      </w:r>
      <w:r w:rsidRPr="00593718">
        <w:rPr>
          <w:rFonts w:ascii="Arial" w:hAnsi="Arial" w:cs="Arial"/>
          <w:color w:val="000000"/>
          <w:sz w:val="22"/>
          <w:szCs w:val="22"/>
        </w:rPr>
        <w:t>– Health Inequalities</w:t>
      </w:r>
    </w:p>
    <w:p w14:paraId="1225ADA6" w14:textId="77777777" w:rsidR="00593718" w:rsidRPr="00593718" w:rsidRDefault="00593718" w:rsidP="00593718">
      <w:pPr>
        <w:numPr>
          <w:ilvl w:val="0"/>
          <w:numId w:val="3"/>
        </w:numPr>
        <w:spacing w:before="100" w:beforeAutospacing="1" w:after="100" w:afterAutospacing="1" w:line="360" w:lineRule="auto"/>
        <w:jc w:val="both"/>
        <w:rPr>
          <w:rFonts w:ascii="Arial" w:hAnsi="Arial" w:cs="Arial"/>
          <w:color w:val="000000"/>
          <w:sz w:val="22"/>
          <w:szCs w:val="22"/>
        </w:rPr>
      </w:pPr>
      <w:r w:rsidRPr="00593718">
        <w:rPr>
          <w:rStyle w:val="Strong"/>
          <w:rFonts w:ascii="Arial" w:hAnsi="Arial" w:cs="Arial"/>
          <w:color w:val="000000"/>
          <w:sz w:val="22"/>
          <w:szCs w:val="22"/>
        </w:rPr>
        <w:t>OHID</w:t>
      </w:r>
      <w:r w:rsidRPr="00593718">
        <w:rPr>
          <w:rStyle w:val="apple-converted-space"/>
          <w:rFonts w:ascii="Arial" w:hAnsi="Arial" w:cs="Arial"/>
          <w:color w:val="000000"/>
          <w:sz w:val="22"/>
          <w:szCs w:val="22"/>
        </w:rPr>
        <w:t> </w:t>
      </w:r>
      <w:r w:rsidRPr="00593718">
        <w:rPr>
          <w:rFonts w:ascii="Arial" w:hAnsi="Arial" w:cs="Arial"/>
          <w:color w:val="000000"/>
          <w:sz w:val="22"/>
          <w:szCs w:val="22"/>
        </w:rPr>
        <w:t>– Office for Health Improvement and Disparities</w:t>
      </w:r>
    </w:p>
    <w:p w14:paraId="57E21F2E" w14:textId="77777777" w:rsidR="00AA0B88" w:rsidRPr="00593718" w:rsidRDefault="00AA0B88" w:rsidP="00593718">
      <w:pPr>
        <w:spacing w:before="100" w:beforeAutospacing="1" w:after="100" w:afterAutospacing="1" w:line="360" w:lineRule="auto"/>
        <w:ind w:left="720"/>
        <w:jc w:val="both"/>
        <w:rPr>
          <w:rFonts w:ascii="Arial" w:eastAsia="Times New Roman" w:hAnsi="Arial" w:cs="Arial"/>
          <w:color w:val="000000" w:themeColor="text1"/>
          <w:kern w:val="0"/>
          <w:sz w:val="22"/>
          <w:szCs w:val="22"/>
          <w:lang w:eastAsia="en-GB"/>
          <w14:ligatures w14:val="none"/>
        </w:rPr>
      </w:pPr>
    </w:p>
    <w:p w14:paraId="18D3011A" w14:textId="74C5C2E5" w:rsidR="00AA0B88" w:rsidRPr="00593718" w:rsidRDefault="00AA0B88" w:rsidP="00593718">
      <w:pPr>
        <w:pStyle w:val="Heading1"/>
        <w:spacing w:line="360" w:lineRule="auto"/>
        <w:jc w:val="both"/>
        <w:rPr>
          <w:rFonts w:ascii="Arial" w:hAnsi="Arial" w:cs="Arial"/>
          <w:color w:val="000000" w:themeColor="text1"/>
          <w:sz w:val="22"/>
          <w:szCs w:val="22"/>
        </w:rPr>
      </w:pPr>
      <w:bookmarkStart w:id="3" w:name="_Toc234966923"/>
      <w:r w:rsidRPr="00593718">
        <w:rPr>
          <w:rStyle w:val="eop"/>
          <w:rFonts w:ascii="Arial" w:hAnsi="Arial" w:cs="Arial"/>
          <w:color w:val="000000" w:themeColor="text1"/>
          <w:sz w:val="22"/>
          <w:szCs w:val="22"/>
        </w:rPr>
        <w:t xml:space="preserve">1.3 Background and Current Context </w:t>
      </w:r>
      <w:bookmarkEnd w:id="3"/>
    </w:p>
    <w:p w14:paraId="71DE10AB" w14:textId="10434E7F" w:rsidR="00AA0B88" w:rsidRPr="00593718" w:rsidRDefault="00AA0B88" w:rsidP="00593718">
      <w:pPr>
        <w:pStyle w:val="isselectedend"/>
        <w:spacing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 xml:space="preserve">HI remain one of the most significant public </w:t>
      </w:r>
      <w:r w:rsidRPr="0053601F">
        <w:rPr>
          <w:rFonts w:ascii="Arial" w:hAnsi="Arial" w:cs="Arial"/>
          <w:color w:val="000000" w:themeColor="text1"/>
          <w:sz w:val="22"/>
          <w:szCs w:val="22"/>
        </w:rPr>
        <w:t>health challenges in England.</w:t>
      </w:r>
      <w:r w:rsidR="0053601F" w:rsidRPr="0053601F">
        <w:rPr>
          <w:rFonts w:ascii="Arial" w:hAnsi="Arial" w:cs="Arial"/>
          <w:sz w:val="22"/>
          <w:szCs w:val="22"/>
        </w:rPr>
        <w:t xml:space="preserve"> </w:t>
      </w:r>
      <w:r w:rsidR="0053601F" w:rsidRPr="0053601F">
        <w:rPr>
          <w:rFonts w:ascii="Arial" w:hAnsi="Arial" w:cs="Arial"/>
          <w:sz w:val="22"/>
          <w:szCs w:val="22"/>
        </w:rPr>
        <w:t>The Marmot Review (2010) found that health outcomes follow a social gradient, meaning that people from more socioeconomically deprived backgrounds generally experience poorer health and shorter life expectancy than those living in more affluent areas (Marmot, 2010)</w:t>
      </w:r>
      <w:r w:rsidRPr="0053601F">
        <w:rPr>
          <w:rFonts w:ascii="Arial" w:hAnsi="Arial" w:cs="Arial"/>
          <w:color w:val="000000" w:themeColor="text1"/>
          <w:sz w:val="22"/>
          <w:szCs w:val="22"/>
        </w:rPr>
        <w:t>.</w:t>
      </w:r>
      <w:r w:rsidRPr="00593718">
        <w:rPr>
          <w:rFonts w:ascii="Arial" w:hAnsi="Arial" w:cs="Arial"/>
          <w:color w:val="000000" w:themeColor="text1"/>
          <w:sz w:val="22"/>
          <w:szCs w:val="22"/>
        </w:rPr>
        <w:t xml:space="preserve"> A decade later</w:t>
      </w:r>
      <w:r w:rsidRPr="00593718">
        <w:rPr>
          <w:rFonts w:ascii="Arial" w:hAnsi="Arial" w:cs="Arial"/>
          <w:i/>
          <w:iCs/>
          <w:color w:val="000000" w:themeColor="text1"/>
          <w:sz w:val="22"/>
          <w:szCs w:val="22"/>
        </w:rPr>
        <w:t>,</w:t>
      </w:r>
      <w:r w:rsidRPr="00593718">
        <w:rPr>
          <w:rFonts w:ascii="Arial" w:hAnsi="Arial" w:cs="Arial"/>
          <w:color w:val="000000" w:themeColor="text1"/>
          <w:sz w:val="22"/>
          <w:szCs w:val="22"/>
        </w:rPr>
        <w:t xml:space="preserve"> </w:t>
      </w:r>
      <w:r w:rsidRPr="00593718">
        <w:rPr>
          <w:rStyle w:val="Emphasis"/>
          <w:rFonts w:ascii="Arial" w:eastAsia="Calibri Light" w:hAnsi="Arial" w:cs="Arial"/>
          <w:i w:val="0"/>
          <w:iCs w:val="0"/>
          <w:color w:val="000000" w:themeColor="text1"/>
          <w:sz w:val="22"/>
          <w:szCs w:val="22"/>
        </w:rPr>
        <w:t>Health Equity in England: The Marmot Review 10 Years On</w:t>
      </w:r>
      <w:r w:rsidRPr="00593718">
        <w:rPr>
          <w:rFonts w:ascii="Arial" w:hAnsi="Arial" w:cs="Arial"/>
          <w:color w:val="000000" w:themeColor="text1"/>
          <w:sz w:val="22"/>
          <w:szCs w:val="22"/>
        </w:rPr>
        <w:t xml:space="preserve"> reported that these inequalities had widened, overall population health had deteriorated, and improvements in life expectancy had stalled, highlighting the continuing impact of socioeconomic deprivation (Marmot, 2020; Iacobucci, 2020).</w:t>
      </w:r>
    </w:p>
    <w:p w14:paraId="6F32623C" w14:textId="77777777" w:rsidR="00AA0B88" w:rsidRPr="00593718" w:rsidRDefault="00AA0B88" w:rsidP="00593718">
      <w:pPr>
        <w:pStyle w:val="isselectedend"/>
        <w:spacing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Although the NHS provides healthcare that is free at the point of delivery, access to services is not experienced equally across the population. Individuals living in deprived communities continue to face barriers such as transport difficulties, digital exclusion, workforce shortages and financial pressures that can delay or prevent access to healthcare (Cookson et al., 2016; Eberhardt et al., 2025). These barriers contribute to poorer health outcomes and place additional pressure on health and social care services.</w:t>
      </w:r>
    </w:p>
    <w:p w14:paraId="7AEF8A36" w14:textId="77777777" w:rsidR="00AA0B88" w:rsidRPr="00593718" w:rsidRDefault="00AA0B88" w:rsidP="00593718">
      <w:pPr>
        <w:pStyle w:val="NormalWeb"/>
        <w:spacing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 xml:space="preserve">In response, NHS England introduced the </w:t>
      </w:r>
      <w:r w:rsidRPr="00593718">
        <w:rPr>
          <w:rStyle w:val="Strong"/>
          <w:rFonts w:ascii="Arial" w:hAnsi="Arial" w:cs="Arial"/>
          <w:b w:val="0"/>
          <w:bCs w:val="0"/>
          <w:color w:val="000000" w:themeColor="text1"/>
          <w:sz w:val="22"/>
          <w:szCs w:val="22"/>
        </w:rPr>
        <w:t>Core20PLUS5</w:t>
      </w:r>
      <w:r w:rsidRPr="00593718">
        <w:rPr>
          <w:rFonts w:ascii="Arial" w:hAnsi="Arial" w:cs="Arial"/>
          <w:b/>
          <w:bCs/>
          <w:color w:val="000000" w:themeColor="text1"/>
          <w:sz w:val="22"/>
          <w:szCs w:val="22"/>
        </w:rPr>
        <w:t xml:space="preserve"> </w:t>
      </w:r>
      <w:r w:rsidRPr="00593718">
        <w:rPr>
          <w:rFonts w:ascii="Arial" w:hAnsi="Arial" w:cs="Arial"/>
          <w:color w:val="000000" w:themeColor="text1"/>
          <w:sz w:val="22"/>
          <w:szCs w:val="22"/>
        </w:rPr>
        <w:t>approach to help reduce healthcare inequalities by prioritising the most deprived populations and other vulnerable groups (NHS England, 2021). However, despite national initiatives, reducing HI remains a significant challenge. The wider causes of these inequalities, alongside the relevant policies, legislation and evidence, will be explored in greater depth in Chapter Two.</w:t>
      </w:r>
    </w:p>
    <w:p w14:paraId="5296218B" w14:textId="77777777" w:rsidR="00AA0B88" w:rsidRPr="00593718" w:rsidRDefault="00AA0B88" w:rsidP="00593718">
      <w:pPr>
        <w:pStyle w:val="Heading1"/>
        <w:spacing w:line="360" w:lineRule="auto"/>
        <w:jc w:val="both"/>
        <w:rPr>
          <w:rFonts w:ascii="Arial" w:hAnsi="Arial" w:cs="Arial"/>
          <w:color w:val="000000" w:themeColor="text1"/>
          <w:sz w:val="22"/>
          <w:szCs w:val="22"/>
        </w:rPr>
      </w:pPr>
      <w:r w:rsidRPr="00593718">
        <w:rPr>
          <w:rStyle w:val="eop"/>
          <w:rFonts w:ascii="Arial" w:hAnsi="Arial" w:cs="Arial"/>
          <w:color w:val="000000" w:themeColor="text1"/>
          <w:sz w:val="22"/>
          <w:szCs w:val="22"/>
        </w:rPr>
        <w:t> </w:t>
      </w:r>
    </w:p>
    <w:p w14:paraId="6491A8EF" w14:textId="58BA859A" w:rsidR="00AA0B88" w:rsidRPr="00593718" w:rsidRDefault="00AA0B88" w:rsidP="00593718">
      <w:pPr>
        <w:pStyle w:val="Heading1"/>
        <w:spacing w:line="360" w:lineRule="auto"/>
        <w:jc w:val="both"/>
        <w:rPr>
          <w:rFonts w:ascii="Arial" w:hAnsi="Arial" w:cs="Arial"/>
          <w:color w:val="000000" w:themeColor="text1"/>
          <w:sz w:val="22"/>
          <w:szCs w:val="22"/>
        </w:rPr>
      </w:pPr>
      <w:bookmarkStart w:id="4" w:name="_Toc234966924"/>
      <w:r w:rsidRPr="00593718">
        <w:rPr>
          <w:rStyle w:val="normaltextrun"/>
          <w:rFonts w:ascii="Arial" w:hAnsi="Arial" w:cs="Arial"/>
          <w:color w:val="000000" w:themeColor="text1"/>
          <w:sz w:val="22"/>
          <w:szCs w:val="22"/>
        </w:rPr>
        <w:t xml:space="preserve">1.4 </w:t>
      </w:r>
      <w:r w:rsidRPr="00593718">
        <w:rPr>
          <w:rStyle w:val="eop"/>
          <w:rFonts w:ascii="Arial" w:hAnsi="Arial" w:cs="Arial"/>
          <w:color w:val="000000" w:themeColor="text1"/>
          <w:sz w:val="22"/>
          <w:szCs w:val="22"/>
        </w:rPr>
        <w:t xml:space="preserve">Rationale </w:t>
      </w:r>
      <w:bookmarkEnd w:id="4"/>
    </w:p>
    <w:p w14:paraId="430AD80D" w14:textId="77777777" w:rsidR="00AA0B88" w:rsidRPr="00593718" w:rsidRDefault="00AA0B88" w:rsidP="00593718">
      <w:pPr>
        <w:pStyle w:val="isselectedend"/>
        <w:spacing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 xml:space="preserve">Despite the NHS providing healthcare free at the point of delivery, significant inequalities in healthcare access remain across England. Individuals living in socioeconomically deprived communities experience poorer health outcomes and face greater barriers to accessing healthcare than those in more affluent areas (Marmot, 2020; Raymond et al., 2024). Although </w:t>
      </w:r>
      <w:r w:rsidRPr="00593718">
        <w:rPr>
          <w:rFonts w:ascii="Arial" w:hAnsi="Arial" w:cs="Arial"/>
          <w:color w:val="000000" w:themeColor="text1"/>
          <w:sz w:val="22"/>
          <w:szCs w:val="22"/>
        </w:rPr>
        <w:lastRenderedPageBreak/>
        <w:t>national policies aim to reduce HI, evidence suggests there is often a gap between policy intentions and local implementation (</w:t>
      </w:r>
      <w:proofErr w:type="spellStart"/>
      <w:r w:rsidRPr="00593718">
        <w:rPr>
          <w:rFonts w:ascii="Arial" w:hAnsi="Arial" w:cs="Arial"/>
          <w:color w:val="000000" w:themeColor="text1"/>
          <w:sz w:val="22"/>
          <w:szCs w:val="22"/>
        </w:rPr>
        <w:t>Alderwick</w:t>
      </w:r>
      <w:proofErr w:type="spellEnd"/>
      <w:r w:rsidRPr="00593718">
        <w:rPr>
          <w:rFonts w:ascii="Arial" w:hAnsi="Arial" w:cs="Arial"/>
          <w:color w:val="000000" w:themeColor="text1"/>
          <w:sz w:val="22"/>
          <w:szCs w:val="22"/>
        </w:rPr>
        <w:t>, Hutchings and Mays, 2024).</w:t>
      </w:r>
    </w:p>
    <w:p w14:paraId="120F54E6" w14:textId="77777777" w:rsidR="00AA0B88" w:rsidRPr="00593718" w:rsidRDefault="00AA0B88" w:rsidP="00593718">
      <w:pPr>
        <w:pStyle w:val="isselectedend"/>
        <w:spacing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Socioeconomic deprivation creates barriers such as financial pressures, transport difficulties, digital exclusion and workforce shortages, limiting access to timely and appropriate healthcare (Cookson et al., 2016; Eberhardt et al., 2025).</w:t>
      </w:r>
    </w:p>
    <w:p w14:paraId="7138BDCA" w14:textId="77777777" w:rsidR="00AA0B88" w:rsidRPr="00593718" w:rsidRDefault="00AA0B88" w:rsidP="00593718">
      <w:pPr>
        <w:pStyle w:val="NormalWeb"/>
        <w:spacing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This research explores how socioeconomic deprivation affects healthcare access among low-income communities in England, with the aim of identifying barriers and providing evidence-based recommendations to improve equitable access to health and social care services.</w:t>
      </w:r>
    </w:p>
    <w:p w14:paraId="28D5DE1A" w14:textId="0C03166D" w:rsidR="00AA0B88" w:rsidRPr="00593718" w:rsidRDefault="00AA0B88" w:rsidP="00593718">
      <w:pPr>
        <w:pStyle w:val="Heading1"/>
        <w:spacing w:line="360" w:lineRule="auto"/>
        <w:jc w:val="both"/>
        <w:rPr>
          <w:rFonts w:ascii="Arial" w:hAnsi="Arial" w:cs="Arial"/>
          <w:color w:val="000000" w:themeColor="text1"/>
          <w:sz w:val="22"/>
          <w:szCs w:val="22"/>
        </w:rPr>
      </w:pPr>
      <w:bookmarkStart w:id="5" w:name="_Toc234966925"/>
      <w:r w:rsidRPr="00593718">
        <w:rPr>
          <w:rStyle w:val="normaltextrun"/>
          <w:rFonts w:ascii="Arial" w:hAnsi="Arial" w:cs="Arial"/>
          <w:color w:val="000000" w:themeColor="text1"/>
          <w:sz w:val="22"/>
          <w:szCs w:val="22"/>
        </w:rPr>
        <w:t xml:space="preserve">1.5 </w:t>
      </w:r>
      <w:r w:rsidRPr="00593718">
        <w:rPr>
          <w:rStyle w:val="eop"/>
          <w:rFonts w:ascii="Arial" w:hAnsi="Arial" w:cs="Arial"/>
          <w:color w:val="000000" w:themeColor="text1"/>
          <w:sz w:val="22"/>
          <w:szCs w:val="22"/>
        </w:rPr>
        <w:t>Aim and Objectives</w:t>
      </w:r>
      <w:bookmarkEnd w:id="5"/>
    </w:p>
    <w:p w14:paraId="2FB65EB1" w14:textId="77777777" w:rsidR="00AA0B88" w:rsidRPr="00593718" w:rsidRDefault="00AA0B88" w:rsidP="00593718">
      <w:pPr>
        <w:pStyle w:val="Heading3"/>
        <w:spacing w:line="360" w:lineRule="auto"/>
        <w:jc w:val="both"/>
        <w:rPr>
          <w:rFonts w:ascii="Arial" w:hAnsi="Arial" w:cs="Arial"/>
          <w:color w:val="000000" w:themeColor="text1"/>
          <w:sz w:val="22"/>
          <w:szCs w:val="22"/>
        </w:rPr>
      </w:pPr>
    </w:p>
    <w:p w14:paraId="025B7E93" w14:textId="7ED13DF8" w:rsidR="00AA0B88" w:rsidRPr="00593718" w:rsidRDefault="00AA0B88" w:rsidP="00593718">
      <w:pPr>
        <w:pStyle w:val="isselectedend"/>
        <w:spacing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 xml:space="preserve">The aim of this dissertation is to explore how socioeconomic deprivation contributes to </w:t>
      </w:r>
      <w:r w:rsidR="00361938">
        <w:rPr>
          <w:rFonts w:ascii="Arial" w:hAnsi="Arial" w:cs="Arial"/>
          <w:color w:val="000000" w:themeColor="text1"/>
          <w:sz w:val="22"/>
          <w:szCs w:val="22"/>
        </w:rPr>
        <w:t xml:space="preserve">HI </w:t>
      </w:r>
      <w:r w:rsidRPr="00593718">
        <w:rPr>
          <w:rFonts w:ascii="Arial" w:hAnsi="Arial" w:cs="Arial"/>
          <w:color w:val="000000" w:themeColor="text1"/>
          <w:sz w:val="22"/>
          <w:szCs w:val="22"/>
        </w:rPr>
        <w:t>and influences access to health and social care services among low-income communities in England.</w:t>
      </w:r>
    </w:p>
    <w:p w14:paraId="0B1391D1" w14:textId="77777777" w:rsidR="00AA0B88" w:rsidRPr="00593718" w:rsidRDefault="00AA0B88" w:rsidP="00593718">
      <w:pPr>
        <w:pStyle w:val="isselectedend"/>
        <w:spacing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To achieve this aim, the dissertation will address the following objectives:</w:t>
      </w:r>
    </w:p>
    <w:p w14:paraId="08CDAC30" w14:textId="77777777" w:rsidR="00AA0B88" w:rsidRPr="00593718" w:rsidRDefault="00AA0B88" w:rsidP="00593718">
      <w:pPr>
        <w:numPr>
          <w:ilvl w:val="0"/>
          <w:numId w:val="1"/>
        </w:numPr>
        <w:spacing w:before="100" w:beforeAutospacing="1" w:after="100" w:afterAutospacing="1"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To define and explore the key factors contributing to health inequalities among individuals from lower socioeconomic backgrounds in England.</w:t>
      </w:r>
    </w:p>
    <w:p w14:paraId="55536CD1" w14:textId="77777777" w:rsidR="00AA0B88" w:rsidRPr="00593718" w:rsidRDefault="00AA0B88" w:rsidP="00593718">
      <w:pPr>
        <w:numPr>
          <w:ilvl w:val="0"/>
          <w:numId w:val="1"/>
        </w:numPr>
        <w:spacing w:before="100" w:beforeAutospacing="1" w:after="100" w:afterAutospacing="1"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To critically analyse existing literature on the impact of socioeconomic deprivation on access to health and social care services.</w:t>
      </w:r>
    </w:p>
    <w:p w14:paraId="7C827221" w14:textId="77777777" w:rsidR="00AA0B88" w:rsidRPr="00593718" w:rsidRDefault="00AA0B88" w:rsidP="00593718">
      <w:pPr>
        <w:numPr>
          <w:ilvl w:val="0"/>
          <w:numId w:val="1"/>
        </w:numPr>
        <w:spacing w:before="100" w:beforeAutospacing="1" w:after="100" w:afterAutospacing="1"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To evaluate how health inequalities influence access to healthcare services and the physical and mental health outcomes of disadvantaged populations.</w:t>
      </w:r>
    </w:p>
    <w:p w14:paraId="33615DFD" w14:textId="77777777" w:rsidR="00AA0B88" w:rsidRPr="00593718" w:rsidRDefault="00AA0B88" w:rsidP="00593718">
      <w:pPr>
        <w:numPr>
          <w:ilvl w:val="0"/>
          <w:numId w:val="1"/>
        </w:numPr>
        <w:spacing w:before="100" w:beforeAutospacing="1" w:after="100" w:afterAutospacing="1"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To provide evidence-based recommendations for reducing health inequalities and improving equitable access to health and social care services in England.</w:t>
      </w:r>
    </w:p>
    <w:p w14:paraId="395F9272" w14:textId="77777777" w:rsidR="00AA0B88" w:rsidRPr="00593718" w:rsidRDefault="00AA0B88" w:rsidP="00593718">
      <w:pPr>
        <w:pStyle w:val="paragraph"/>
        <w:tabs>
          <w:tab w:val="num" w:pos="0"/>
        </w:tabs>
        <w:spacing w:before="0" w:beforeAutospacing="0" w:after="0" w:afterAutospacing="0" w:line="360" w:lineRule="auto"/>
        <w:jc w:val="both"/>
        <w:textAlignment w:val="baseline"/>
        <w:rPr>
          <w:rFonts w:ascii="Arial" w:hAnsi="Arial" w:cs="Arial"/>
          <w:color w:val="000000" w:themeColor="text1"/>
          <w:sz w:val="22"/>
          <w:szCs w:val="22"/>
        </w:rPr>
      </w:pPr>
    </w:p>
    <w:p w14:paraId="2281E998" w14:textId="66DAF032" w:rsidR="00AA0B88" w:rsidRPr="00593718" w:rsidRDefault="00AA0B88" w:rsidP="00593718">
      <w:pPr>
        <w:pStyle w:val="Heading1"/>
        <w:spacing w:line="360" w:lineRule="auto"/>
        <w:jc w:val="both"/>
        <w:rPr>
          <w:rStyle w:val="eop"/>
          <w:rFonts w:ascii="Arial" w:hAnsi="Arial" w:cs="Arial"/>
          <w:color w:val="000000" w:themeColor="text1"/>
          <w:sz w:val="22"/>
          <w:szCs w:val="22"/>
        </w:rPr>
      </w:pPr>
      <w:bookmarkStart w:id="6" w:name="_Toc234966928"/>
      <w:r w:rsidRPr="00593718">
        <w:rPr>
          <w:rStyle w:val="eop"/>
          <w:rFonts w:ascii="Arial" w:hAnsi="Arial" w:cs="Arial"/>
          <w:color w:val="000000" w:themeColor="text1"/>
          <w:sz w:val="22"/>
          <w:szCs w:val="22"/>
        </w:rPr>
        <w:t xml:space="preserve">1.6 Conclusion </w:t>
      </w:r>
      <w:bookmarkEnd w:id="6"/>
    </w:p>
    <w:p w14:paraId="6CEB3F50" w14:textId="77777777" w:rsidR="00AA0B88" w:rsidRPr="00593718" w:rsidRDefault="00AA0B88" w:rsidP="00593718">
      <w:pPr>
        <w:pStyle w:val="NormalWeb"/>
        <w:spacing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In summary, Chapter 1 has established the foundational framework for this research by contextualising the persistence of HI within low-income communities in England. Defining key terminology, detailing the current NHS landscape, and establishing structured research objectives has reinforced the vital importance of investigating these socio-economic barriers.</w:t>
      </w:r>
    </w:p>
    <w:p w14:paraId="17E8CAC3" w14:textId="3C4349C8" w:rsidR="00AA0B88" w:rsidRPr="00593718" w:rsidRDefault="00AA0B88" w:rsidP="00593718">
      <w:pPr>
        <w:pStyle w:val="NormalWeb"/>
        <w:spacing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lastRenderedPageBreak/>
        <w:t xml:space="preserve">The following chapter will provide a Background Information and Analysis of the topic through the exploration of international, national, and local perspectives, alongside relevant theory, policy, legislation, and current evidence. </w:t>
      </w:r>
    </w:p>
    <w:p w14:paraId="32E00C09" w14:textId="77777777" w:rsidR="00593718" w:rsidRPr="00593718" w:rsidRDefault="00AA0B88" w:rsidP="00593718">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593718">
        <w:rPr>
          <w:rStyle w:val="eop"/>
          <w:rFonts w:ascii="Arial" w:hAnsi="Arial" w:cs="Arial"/>
          <w:color w:val="000000" w:themeColor="text1"/>
          <w:sz w:val="22"/>
          <w:szCs w:val="22"/>
        </w:rPr>
        <w:t> </w:t>
      </w:r>
      <w:bookmarkStart w:id="7" w:name="_Toc234966929"/>
    </w:p>
    <w:p w14:paraId="0F0A1FA6" w14:textId="4A2D3E05" w:rsidR="00AA0B88" w:rsidRPr="00593718" w:rsidRDefault="00AA0B88" w:rsidP="00593718">
      <w:pPr>
        <w:pStyle w:val="paragraph"/>
        <w:spacing w:before="0" w:beforeAutospacing="0" w:after="0" w:afterAutospacing="0" w:line="360" w:lineRule="auto"/>
        <w:jc w:val="both"/>
        <w:textAlignment w:val="baseline"/>
        <w:rPr>
          <w:rFonts w:ascii="Arial" w:hAnsi="Arial" w:cs="Arial"/>
          <w:color w:val="000000" w:themeColor="text1"/>
          <w:sz w:val="22"/>
          <w:szCs w:val="22"/>
        </w:rPr>
      </w:pPr>
      <w:r w:rsidRPr="00593718">
        <w:rPr>
          <w:rFonts w:ascii="Arial" w:hAnsi="Arial" w:cs="Arial"/>
          <w:color w:val="000000" w:themeColor="text1"/>
          <w:sz w:val="22"/>
          <w:szCs w:val="22"/>
        </w:rPr>
        <w:t>CHAPTER 2 – Background Information and Analysis</w:t>
      </w:r>
      <w:bookmarkEnd w:id="7"/>
    </w:p>
    <w:p w14:paraId="126CD2BD" w14:textId="77777777" w:rsidR="00AA0B88" w:rsidRPr="00593718" w:rsidRDefault="00AA0B88" w:rsidP="00593718">
      <w:pPr>
        <w:pStyle w:val="paragraph"/>
        <w:spacing w:before="0" w:beforeAutospacing="0" w:after="0" w:afterAutospacing="0" w:line="360" w:lineRule="auto"/>
        <w:jc w:val="both"/>
        <w:textAlignment w:val="baseline"/>
        <w:rPr>
          <w:rFonts w:ascii="Arial" w:hAnsi="Arial" w:cs="Arial"/>
          <w:color w:val="000000" w:themeColor="text1"/>
          <w:sz w:val="22"/>
          <w:szCs w:val="22"/>
        </w:rPr>
      </w:pPr>
      <w:r w:rsidRPr="00593718">
        <w:rPr>
          <w:rStyle w:val="eop"/>
          <w:rFonts w:ascii="Arial" w:eastAsia="Calibri Light" w:hAnsi="Arial" w:cs="Arial"/>
          <w:color w:val="000000" w:themeColor="text1"/>
          <w:sz w:val="22"/>
          <w:szCs w:val="22"/>
        </w:rPr>
        <w:t> </w:t>
      </w:r>
    </w:p>
    <w:p w14:paraId="73DD4F4F" w14:textId="7106A170" w:rsidR="00AA0B88" w:rsidRPr="00593718" w:rsidRDefault="00AA0B88" w:rsidP="00593718">
      <w:pPr>
        <w:pStyle w:val="Heading1"/>
        <w:spacing w:line="360" w:lineRule="auto"/>
        <w:jc w:val="both"/>
        <w:rPr>
          <w:rFonts w:ascii="Arial" w:hAnsi="Arial" w:cs="Arial"/>
          <w:color w:val="000000" w:themeColor="text1"/>
          <w:sz w:val="22"/>
          <w:szCs w:val="22"/>
        </w:rPr>
      </w:pPr>
      <w:bookmarkStart w:id="8" w:name="_Toc234966930"/>
      <w:r w:rsidRPr="00593718">
        <w:rPr>
          <w:rStyle w:val="normaltextrun"/>
          <w:rFonts w:ascii="Arial" w:hAnsi="Arial" w:cs="Arial"/>
          <w:color w:val="000000" w:themeColor="text1"/>
          <w:sz w:val="22"/>
          <w:szCs w:val="22"/>
        </w:rPr>
        <w:t xml:space="preserve">2.1 Introduction </w:t>
      </w:r>
      <w:bookmarkEnd w:id="8"/>
    </w:p>
    <w:p w14:paraId="0C3881D0" w14:textId="77777777" w:rsidR="00AA0B88" w:rsidRPr="00593718" w:rsidRDefault="00AA0B88" w:rsidP="00593718">
      <w:pPr>
        <w:pStyle w:val="isselectedend"/>
        <w:spacing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This chapter provides the background and analytical foundation for examining health inequalities in access to health and social care services among low-income communities in England. It explores the historical development of HI, the theoretical perspectives that explain their persistence, and the wider international and national contexts that have shaped current approaches to reducing inequalities. Understanding these factors is essential, as health is influenced by a broad range of social, economic and environmental determinants that extend beyond healthcare services alone (WHO, 2008; OHID, 2021).</w:t>
      </w:r>
    </w:p>
    <w:p w14:paraId="6ED8C2A1" w14:textId="77777777" w:rsidR="00AA0B88" w:rsidRPr="00593718" w:rsidRDefault="00AA0B88" w:rsidP="00593718">
      <w:pPr>
        <w:pStyle w:val="NormalWeb"/>
        <w:spacing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The chapter begins by examining the historical development of HI and the key reports that have influenced public health policy. It then critically evaluates the theories underpinning this research before considering international evidence and comparing approaches adopted by different countries. Finally, the chapter explores the UK context by reviewing relevant legislation, national policies and current initiatives aimed at reducing HI. Collectively, this chapter provides the theoretical and contextual foundation for the research and informs the methodology presented in Chapter Three.</w:t>
      </w:r>
    </w:p>
    <w:p w14:paraId="0CAF91ED" w14:textId="77777777" w:rsidR="00AA0B88" w:rsidRPr="00593718" w:rsidRDefault="00AA0B88" w:rsidP="00593718">
      <w:pPr>
        <w:pStyle w:val="paragraph"/>
        <w:spacing w:before="0" w:beforeAutospacing="0" w:after="0" w:afterAutospacing="0" w:line="360" w:lineRule="auto"/>
        <w:ind w:left="1080"/>
        <w:jc w:val="both"/>
        <w:textAlignment w:val="baseline"/>
        <w:rPr>
          <w:rFonts w:ascii="Arial" w:hAnsi="Arial" w:cs="Arial"/>
          <w:color w:val="000000" w:themeColor="text1"/>
          <w:sz w:val="22"/>
          <w:szCs w:val="22"/>
        </w:rPr>
      </w:pPr>
      <w:r w:rsidRPr="00593718">
        <w:rPr>
          <w:rStyle w:val="eop"/>
          <w:rFonts w:ascii="Arial" w:eastAsia="Calibri Light" w:hAnsi="Arial" w:cs="Arial"/>
          <w:color w:val="000000" w:themeColor="text1"/>
          <w:sz w:val="22"/>
          <w:szCs w:val="22"/>
        </w:rPr>
        <w:t> </w:t>
      </w:r>
    </w:p>
    <w:p w14:paraId="467DF91B" w14:textId="22BC4DD6" w:rsidR="00AA0B88" w:rsidRPr="00593718" w:rsidRDefault="00AA0B88" w:rsidP="00593718">
      <w:pPr>
        <w:pStyle w:val="paragraph"/>
        <w:spacing w:before="0" w:beforeAutospacing="0" w:after="0" w:afterAutospacing="0" w:line="360" w:lineRule="auto"/>
        <w:jc w:val="both"/>
        <w:textAlignment w:val="baseline"/>
        <w:rPr>
          <w:rFonts w:ascii="Arial" w:hAnsi="Arial" w:cs="Arial"/>
          <w:color w:val="000000" w:themeColor="text1"/>
          <w:sz w:val="22"/>
          <w:szCs w:val="22"/>
        </w:rPr>
      </w:pPr>
      <w:bookmarkStart w:id="9" w:name="_Toc234966931"/>
      <w:r w:rsidRPr="00593718">
        <w:rPr>
          <w:rStyle w:val="Heading1Char"/>
          <w:rFonts w:ascii="Arial" w:hAnsi="Arial" w:cs="Arial"/>
          <w:color w:val="000000" w:themeColor="text1"/>
          <w:sz w:val="22"/>
          <w:szCs w:val="22"/>
        </w:rPr>
        <w:t xml:space="preserve">2.2 Historical Background </w:t>
      </w:r>
      <w:bookmarkEnd w:id="9"/>
    </w:p>
    <w:p w14:paraId="69CA49A3" w14:textId="773D4A36" w:rsidR="00AA0B88" w:rsidRPr="00593718" w:rsidRDefault="00AA0B88" w:rsidP="00593718">
      <w:pPr>
        <w:pStyle w:val="isselectedend"/>
        <w:spacing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 xml:space="preserve">HI have existed for </w:t>
      </w:r>
      <w:r w:rsidR="00A55324" w:rsidRPr="00593718">
        <w:rPr>
          <w:rFonts w:ascii="Arial" w:hAnsi="Arial" w:cs="Arial"/>
          <w:color w:val="000000" w:themeColor="text1"/>
          <w:sz w:val="22"/>
          <w:szCs w:val="22"/>
        </w:rPr>
        <w:t>centuries</w:t>
      </w:r>
      <w:r w:rsidR="00A55324">
        <w:rPr>
          <w:rFonts w:ascii="Arial" w:hAnsi="Arial" w:cs="Arial"/>
          <w:color w:val="000000" w:themeColor="text1"/>
          <w:sz w:val="22"/>
          <w:szCs w:val="22"/>
        </w:rPr>
        <w:t>; however,</w:t>
      </w:r>
      <w:r w:rsidRPr="00593718">
        <w:rPr>
          <w:rFonts w:ascii="Arial" w:hAnsi="Arial" w:cs="Arial"/>
          <w:color w:val="000000" w:themeColor="text1"/>
          <w:sz w:val="22"/>
          <w:szCs w:val="22"/>
        </w:rPr>
        <w:t xml:space="preserve"> they became a major public health concern during the nineteenth century as rapid industrialisation and urbanisation exposed significant differences in living conditions and health outcomes. Poor housing, overcrowding, inadequate sanitation and unsafe working environments contributed to widespread infectious diseases and high mortality rates among lower socioeconomic groups (WHO, 2008). These early disparities highlighted the strong relationship between social conditions and health, forming the basis of modern public health practice.</w:t>
      </w:r>
    </w:p>
    <w:p w14:paraId="1077E156" w14:textId="77777777" w:rsidR="00AA0B88" w:rsidRPr="00593718" w:rsidRDefault="00AA0B88" w:rsidP="00593718">
      <w:pPr>
        <w:pStyle w:val="isselectedend"/>
        <w:spacing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lastRenderedPageBreak/>
        <w:t xml:space="preserve">A significant milestone in the development of healthcare in England was the publication of the </w:t>
      </w:r>
      <w:r w:rsidRPr="00593718">
        <w:rPr>
          <w:rStyle w:val="Strong"/>
          <w:rFonts w:ascii="Arial" w:eastAsia="Calibri Light" w:hAnsi="Arial" w:cs="Arial"/>
          <w:b w:val="0"/>
          <w:bCs w:val="0"/>
          <w:color w:val="000000" w:themeColor="text1"/>
          <w:sz w:val="22"/>
          <w:szCs w:val="22"/>
        </w:rPr>
        <w:t>Beveridge Report</w:t>
      </w:r>
      <w:r w:rsidRPr="00593718">
        <w:rPr>
          <w:rFonts w:ascii="Arial" w:hAnsi="Arial" w:cs="Arial"/>
          <w:color w:val="000000" w:themeColor="text1"/>
          <w:sz w:val="22"/>
          <w:szCs w:val="22"/>
        </w:rPr>
        <w:t xml:space="preserve"> in 1942. The report identified five "Giant Evils" want, disease, ignorance, squalor and idleness and recommended the establishment of a comprehensive welfare system to improve health and social wellbeing (Beveridge, 1942). Its recommendations led to the creation of the </w:t>
      </w:r>
      <w:r w:rsidRPr="00593718">
        <w:rPr>
          <w:rStyle w:val="Strong"/>
          <w:rFonts w:ascii="Arial" w:eastAsia="Calibri Light" w:hAnsi="Arial" w:cs="Arial"/>
          <w:b w:val="0"/>
          <w:bCs w:val="0"/>
          <w:color w:val="000000" w:themeColor="text1"/>
          <w:sz w:val="22"/>
          <w:szCs w:val="22"/>
        </w:rPr>
        <w:t>NHS</w:t>
      </w:r>
      <w:r w:rsidRPr="00593718">
        <w:rPr>
          <w:rFonts w:ascii="Arial" w:hAnsi="Arial" w:cs="Arial"/>
          <w:b/>
          <w:bCs/>
          <w:color w:val="000000" w:themeColor="text1"/>
          <w:sz w:val="22"/>
          <w:szCs w:val="22"/>
        </w:rPr>
        <w:t xml:space="preserve"> </w:t>
      </w:r>
      <w:r w:rsidRPr="00593718">
        <w:rPr>
          <w:rFonts w:ascii="Arial" w:hAnsi="Arial" w:cs="Arial"/>
          <w:color w:val="000000" w:themeColor="text1"/>
          <w:sz w:val="22"/>
          <w:szCs w:val="22"/>
        </w:rPr>
        <w:t>in 1948, providing healthcare that was free at the point of delivery and available to all citizens regardless of their ability to pay (Gorsky, 2008). Although the NHS substantially improved access to healthcare, inequalities in health outcomes continued to persist because wider socioeconomic factors were not fully addressed.</w:t>
      </w:r>
    </w:p>
    <w:p w14:paraId="620C6207" w14:textId="77777777" w:rsidR="00AA0B88" w:rsidRPr="00593718" w:rsidRDefault="00AA0B88" w:rsidP="00593718">
      <w:pPr>
        <w:pStyle w:val="isselectedend"/>
        <w:spacing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 xml:space="preserve">The publication of the </w:t>
      </w:r>
      <w:r w:rsidRPr="00593718">
        <w:rPr>
          <w:rStyle w:val="Strong"/>
          <w:rFonts w:ascii="Arial" w:eastAsia="Calibri Light" w:hAnsi="Arial" w:cs="Arial"/>
          <w:b w:val="0"/>
          <w:bCs w:val="0"/>
          <w:color w:val="000000" w:themeColor="text1"/>
          <w:sz w:val="22"/>
          <w:szCs w:val="22"/>
        </w:rPr>
        <w:t>Black Report</w:t>
      </w:r>
      <w:r w:rsidRPr="00593718">
        <w:rPr>
          <w:rFonts w:ascii="Arial" w:hAnsi="Arial" w:cs="Arial"/>
          <w:color w:val="000000" w:themeColor="text1"/>
          <w:sz w:val="22"/>
          <w:szCs w:val="22"/>
        </w:rPr>
        <w:t xml:space="preserve"> in 1980 represented another landmark in understanding HI. Commissioned by the UK Government, the report demonstrated that despite improvements in healthcare provision through the NHS, substantial differences in health persisted between social classes (</w:t>
      </w:r>
      <w:r w:rsidRPr="00593718">
        <w:rPr>
          <w:rFonts w:ascii="Arial" w:hAnsi="Arial" w:cs="Arial"/>
          <w:color w:val="000000"/>
          <w:sz w:val="22"/>
          <w:szCs w:val="22"/>
        </w:rPr>
        <w:t xml:space="preserve">Gray,1982). </w:t>
      </w:r>
      <w:r w:rsidRPr="00593718">
        <w:rPr>
          <w:rFonts w:ascii="Arial" w:hAnsi="Arial" w:cs="Arial"/>
          <w:color w:val="000000" w:themeColor="text1"/>
          <w:sz w:val="22"/>
          <w:szCs w:val="22"/>
        </w:rPr>
        <w:t>It concluded that income, employment, education and housing had a greater influence on health than healthcare services alone. Although the report received limited political support at the time, it became one of the most influential pieces of evidence informing future health inequality research and policy.</w:t>
      </w:r>
    </w:p>
    <w:p w14:paraId="101992D1" w14:textId="77777777" w:rsidR="00AA0B88" w:rsidRPr="00593718" w:rsidRDefault="00AA0B88" w:rsidP="00593718">
      <w:pPr>
        <w:pStyle w:val="isselectedend"/>
        <w:spacing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 xml:space="preserve">Building on this work, the </w:t>
      </w:r>
      <w:r w:rsidRPr="00593718">
        <w:rPr>
          <w:rStyle w:val="Strong"/>
          <w:rFonts w:ascii="Arial" w:eastAsia="Calibri Light" w:hAnsi="Arial" w:cs="Arial"/>
          <w:b w:val="0"/>
          <w:bCs w:val="0"/>
          <w:color w:val="000000" w:themeColor="text1"/>
          <w:sz w:val="22"/>
          <w:szCs w:val="22"/>
        </w:rPr>
        <w:t>Acheson Report</w:t>
      </w:r>
      <w:r w:rsidRPr="00593718">
        <w:rPr>
          <w:rFonts w:ascii="Arial" w:hAnsi="Arial" w:cs="Arial"/>
          <w:color w:val="000000" w:themeColor="text1"/>
          <w:sz w:val="22"/>
          <w:szCs w:val="22"/>
        </w:rPr>
        <w:t xml:space="preserve"> (1998) reinforced the importance of addressing the wider determinants of health. The report recommended reducing poverty, improving educational opportunities and strengthening public health policies to reduce avoidable inequalities (Acheson, 1998). These recommendations shifted policy attention towards tackling the social causes of ill health rather than focusing solely on healthcare delivery.</w:t>
      </w:r>
    </w:p>
    <w:p w14:paraId="40222176" w14:textId="77777777" w:rsidR="00AA0B88" w:rsidRPr="00593718" w:rsidRDefault="00AA0B88" w:rsidP="00593718">
      <w:pPr>
        <w:pStyle w:val="isselectedend"/>
        <w:spacing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More recently</w:t>
      </w:r>
      <w:r w:rsidRPr="00593718">
        <w:rPr>
          <w:rFonts w:ascii="Arial" w:hAnsi="Arial" w:cs="Arial"/>
          <w:b/>
          <w:bCs/>
          <w:color w:val="000000" w:themeColor="text1"/>
          <w:sz w:val="22"/>
          <w:szCs w:val="22"/>
        </w:rPr>
        <w:t xml:space="preserve">, </w:t>
      </w:r>
      <w:r w:rsidRPr="00593718">
        <w:rPr>
          <w:rStyle w:val="Strong"/>
          <w:rFonts w:ascii="Arial" w:eastAsia="Calibri Light" w:hAnsi="Arial" w:cs="Arial"/>
          <w:b w:val="0"/>
          <w:bCs w:val="0"/>
          <w:color w:val="000000" w:themeColor="text1"/>
          <w:sz w:val="22"/>
          <w:szCs w:val="22"/>
        </w:rPr>
        <w:t>Sir Michael Marmot</w:t>
      </w:r>
      <w:r w:rsidRPr="00593718">
        <w:rPr>
          <w:rFonts w:ascii="Arial" w:hAnsi="Arial" w:cs="Arial"/>
          <w:color w:val="000000" w:themeColor="text1"/>
          <w:sz w:val="22"/>
          <w:szCs w:val="22"/>
        </w:rPr>
        <w:t xml:space="preserve"> has played a central role in advancing understanding of HI. The </w:t>
      </w:r>
      <w:r w:rsidRPr="00593718">
        <w:rPr>
          <w:rStyle w:val="Strong"/>
          <w:rFonts w:ascii="Arial" w:eastAsia="Calibri Light" w:hAnsi="Arial" w:cs="Arial"/>
          <w:b w:val="0"/>
          <w:bCs w:val="0"/>
          <w:color w:val="000000" w:themeColor="text1"/>
          <w:sz w:val="22"/>
          <w:szCs w:val="22"/>
        </w:rPr>
        <w:t>Marmot Review</w:t>
      </w:r>
      <w:r w:rsidRPr="00593718">
        <w:rPr>
          <w:rFonts w:ascii="Arial" w:hAnsi="Arial" w:cs="Arial"/>
          <w:color w:val="000000" w:themeColor="text1"/>
          <w:sz w:val="22"/>
          <w:szCs w:val="22"/>
        </w:rPr>
        <w:t xml:space="preserve"> (2010) demonstrated that health follows a social gradient, whereby individuals from more disadvantaged backgrounds experience progressively poorer health and shorter life expectancy (Marmot, 2010). Ten years later, </w:t>
      </w:r>
      <w:r w:rsidRPr="00593718">
        <w:rPr>
          <w:rStyle w:val="Strong"/>
          <w:rFonts w:ascii="Arial" w:eastAsia="Calibri Light" w:hAnsi="Arial" w:cs="Arial"/>
          <w:b w:val="0"/>
          <w:bCs w:val="0"/>
          <w:color w:val="000000" w:themeColor="text1"/>
          <w:sz w:val="22"/>
          <w:szCs w:val="22"/>
        </w:rPr>
        <w:t>Health Equity in England: The Marmot Review 10 Years On</w:t>
      </w:r>
      <w:r w:rsidRPr="00593718">
        <w:rPr>
          <w:rFonts w:ascii="Arial" w:hAnsi="Arial" w:cs="Arial"/>
          <w:color w:val="000000" w:themeColor="text1"/>
          <w:sz w:val="22"/>
          <w:szCs w:val="22"/>
        </w:rPr>
        <w:t xml:space="preserve"> concluded that HI had widened, improvements in life expectancy had stalled and health had deteriorated in many deprived communities, particularly following reductions in public spending after 2010 (Marmot, 2020).</w:t>
      </w:r>
    </w:p>
    <w:p w14:paraId="786A74EB" w14:textId="77777777" w:rsidR="00AA0B88" w:rsidRPr="00593718" w:rsidRDefault="00AA0B88" w:rsidP="00593718">
      <w:pPr>
        <w:pStyle w:val="NormalWeb"/>
        <w:spacing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 xml:space="preserve">Today, HI remain a major public health challenge in England. Recent evidence from </w:t>
      </w:r>
      <w:r w:rsidRPr="00593718">
        <w:rPr>
          <w:rStyle w:val="Strong"/>
          <w:rFonts w:ascii="Arial" w:eastAsia="Calibri Light" w:hAnsi="Arial" w:cs="Arial"/>
          <w:b w:val="0"/>
          <w:bCs w:val="0"/>
          <w:color w:val="000000" w:themeColor="text1"/>
          <w:sz w:val="22"/>
          <w:szCs w:val="22"/>
        </w:rPr>
        <w:t>The Health Foundation</w:t>
      </w:r>
      <w:r w:rsidRPr="00593718">
        <w:rPr>
          <w:rFonts w:ascii="Arial" w:hAnsi="Arial" w:cs="Arial"/>
          <w:color w:val="000000" w:themeColor="text1"/>
          <w:sz w:val="22"/>
          <w:szCs w:val="22"/>
        </w:rPr>
        <w:t xml:space="preserve"> indicates that people living in the most deprived areas continue to experience significantly higher levels of chronic illness, disability and premature mortality than those living in the least deprived areas (Raymond et al., 2024). Despite decades of policy initiatives, the persistence of these inequalities demonstrates that improving access to healthcare alone is insufficient without addressing the wider social, economic and environmental factors that shape health throughout the life course.</w:t>
      </w:r>
    </w:p>
    <w:p w14:paraId="27145F66" w14:textId="77777777" w:rsidR="00AA0B88" w:rsidRPr="00593718" w:rsidRDefault="00AA0B88" w:rsidP="00593718">
      <w:pPr>
        <w:pStyle w:val="paragraph"/>
        <w:spacing w:before="0" w:beforeAutospacing="0" w:after="0" w:afterAutospacing="0" w:line="360" w:lineRule="auto"/>
        <w:ind w:left="1440"/>
        <w:jc w:val="both"/>
        <w:textAlignment w:val="baseline"/>
        <w:rPr>
          <w:rFonts w:ascii="Arial" w:hAnsi="Arial" w:cs="Arial"/>
          <w:color w:val="000000" w:themeColor="text1"/>
          <w:sz w:val="22"/>
          <w:szCs w:val="22"/>
        </w:rPr>
      </w:pPr>
      <w:r w:rsidRPr="00593718">
        <w:rPr>
          <w:rStyle w:val="eop"/>
          <w:rFonts w:ascii="Arial" w:eastAsia="Calibri Light" w:hAnsi="Arial" w:cs="Arial"/>
          <w:color w:val="000000" w:themeColor="text1"/>
          <w:sz w:val="22"/>
          <w:szCs w:val="22"/>
        </w:rPr>
        <w:lastRenderedPageBreak/>
        <w:t>  </w:t>
      </w:r>
    </w:p>
    <w:p w14:paraId="539C817A" w14:textId="74EFA15F" w:rsidR="00AA0B88" w:rsidRPr="00593718" w:rsidRDefault="00AA0B88" w:rsidP="00593718">
      <w:pPr>
        <w:pStyle w:val="Heading1"/>
        <w:spacing w:line="360" w:lineRule="auto"/>
        <w:jc w:val="both"/>
        <w:rPr>
          <w:rFonts w:ascii="Arial" w:hAnsi="Arial" w:cs="Arial"/>
          <w:color w:val="000000" w:themeColor="text1"/>
          <w:sz w:val="22"/>
          <w:szCs w:val="22"/>
        </w:rPr>
      </w:pPr>
      <w:bookmarkStart w:id="10" w:name="_Toc234966932"/>
      <w:r w:rsidRPr="00593718">
        <w:rPr>
          <w:rStyle w:val="normaltextrun"/>
          <w:rFonts w:ascii="Arial" w:hAnsi="Arial" w:cs="Arial"/>
          <w:color w:val="000000" w:themeColor="text1"/>
          <w:sz w:val="22"/>
          <w:szCs w:val="22"/>
        </w:rPr>
        <w:t xml:space="preserve">2.3 Theoretical Background </w:t>
      </w:r>
      <w:bookmarkEnd w:id="10"/>
    </w:p>
    <w:p w14:paraId="362012B7" w14:textId="47F5876E" w:rsidR="00AA0B88" w:rsidRPr="00593718" w:rsidRDefault="00AA0B88" w:rsidP="00593718">
      <w:pPr>
        <w:pStyle w:val="isselectedend"/>
        <w:spacing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 xml:space="preserve">One of the most influential frameworks is the </w:t>
      </w:r>
      <w:r w:rsidRPr="00593718">
        <w:rPr>
          <w:rStyle w:val="Strong"/>
          <w:rFonts w:ascii="Arial" w:eastAsia="Calibri Light" w:hAnsi="Arial" w:cs="Arial"/>
          <w:b w:val="0"/>
          <w:bCs w:val="0"/>
          <w:color w:val="000000" w:themeColor="text1"/>
          <w:sz w:val="22"/>
          <w:szCs w:val="22"/>
        </w:rPr>
        <w:t>SDH</w:t>
      </w:r>
      <w:r w:rsidRPr="00593718">
        <w:rPr>
          <w:rFonts w:ascii="Arial" w:hAnsi="Arial" w:cs="Arial"/>
          <w:b/>
          <w:bCs/>
          <w:color w:val="000000" w:themeColor="text1"/>
          <w:sz w:val="22"/>
          <w:szCs w:val="22"/>
        </w:rPr>
        <w:t>,</w:t>
      </w:r>
      <w:r w:rsidRPr="00593718">
        <w:rPr>
          <w:rFonts w:ascii="Arial" w:hAnsi="Arial" w:cs="Arial"/>
          <w:color w:val="000000" w:themeColor="text1"/>
          <w:sz w:val="22"/>
          <w:szCs w:val="22"/>
        </w:rPr>
        <w:t xml:space="preserve"> developed by the </w:t>
      </w:r>
      <w:r w:rsidRPr="00593718">
        <w:rPr>
          <w:rStyle w:val="Strong"/>
          <w:rFonts w:ascii="Arial" w:eastAsia="Calibri Light" w:hAnsi="Arial" w:cs="Arial"/>
          <w:b w:val="0"/>
          <w:bCs w:val="0"/>
          <w:color w:val="000000" w:themeColor="text1"/>
          <w:sz w:val="22"/>
          <w:szCs w:val="22"/>
        </w:rPr>
        <w:t>WHO’S Commission</w:t>
      </w:r>
      <w:r w:rsidRPr="00593718">
        <w:rPr>
          <w:rStyle w:val="Strong"/>
          <w:rFonts w:ascii="Arial" w:eastAsia="Calibri Light" w:hAnsi="Arial" w:cs="Arial"/>
          <w:color w:val="000000" w:themeColor="text1"/>
          <w:sz w:val="22"/>
          <w:szCs w:val="22"/>
        </w:rPr>
        <w:t xml:space="preserve"> </w:t>
      </w:r>
      <w:r w:rsidRPr="00593718">
        <w:rPr>
          <w:rStyle w:val="Strong"/>
          <w:rFonts w:ascii="Arial" w:eastAsia="Calibri Light" w:hAnsi="Arial" w:cs="Arial"/>
          <w:b w:val="0"/>
          <w:bCs w:val="0"/>
          <w:color w:val="000000" w:themeColor="text1"/>
          <w:sz w:val="22"/>
          <w:szCs w:val="22"/>
        </w:rPr>
        <w:t>on SD</w:t>
      </w:r>
      <w:r w:rsidR="00361938">
        <w:rPr>
          <w:rStyle w:val="Strong"/>
          <w:rFonts w:ascii="Arial" w:eastAsia="Calibri Light" w:hAnsi="Arial" w:cs="Arial"/>
          <w:b w:val="0"/>
          <w:bCs w:val="0"/>
          <w:color w:val="000000" w:themeColor="text1"/>
          <w:sz w:val="22"/>
          <w:szCs w:val="22"/>
        </w:rPr>
        <w:t>O</w:t>
      </w:r>
      <w:r w:rsidRPr="00593718">
        <w:rPr>
          <w:rStyle w:val="Strong"/>
          <w:rFonts w:ascii="Arial" w:eastAsia="Calibri Light" w:hAnsi="Arial" w:cs="Arial"/>
          <w:b w:val="0"/>
          <w:bCs w:val="0"/>
          <w:color w:val="000000" w:themeColor="text1"/>
          <w:sz w:val="22"/>
          <w:szCs w:val="22"/>
        </w:rPr>
        <w:t>H</w:t>
      </w:r>
      <w:r w:rsidRPr="00593718">
        <w:rPr>
          <w:rStyle w:val="Strong"/>
          <w:rFonts w:ascii="Arial" w:eastAsia="Calibri Light" w:hAnsi="Arial" w:cs="Arial"/>
          <w:color w:val="000000" w:themeColor="text1"/>
          <w:sz w:val="22"/>
          <w:szCs w:val="22"/>
        </w:rPr>
        <w:t xml:space="preserve"> </w:t>
      </w:r>
      <w:r w:rsidRPr="00593718">
        <w:rPr>
          <w:rFonts w:ascii="Arial" w:hAnsi="Arial" w:cs="Arial"/>
          <w:color w:val="000000" w:themeColor="text1"/>
          <w:sz w:val="22"/>
          <w:szCs w:val="22"/>
        </w:rPr>
        <w:t>(WHO, 2008). The framework argues that health is influenced by the conditions in which people are born, grow, live, work and age. Factors such as income, education, employment, housing and social support significantly affect an individual's opportunities to achieve good health. Marmot and Allen (2014) expanded this perspective by demonstrating that health follows a social gradient, whereby individuals from lower socioeconomic backgrounds consistently experience poorer health outcomes than those who are more affluent. Rather than focusing solely on healthcare provision, the theory emphasises the need to address the wider social determinants that contribute to HI.</w:t>
      </w:r>
    </w:p>
    <w:p w14:paraId="077AD7D1" w14:textId="31597256" w:rsidR="00AA0B88" w:rsidRPr="00593718" w:rsidRDefault="00AA0B88" w:rsidP="00593718">
      <w:pPr>
        <w:pStyle w:val="isselectedend"/>
        <w:spacing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The SD</w:t>
      </w:r>
      <w:r w:rsidR="00361938">
        <w:rPr>
          <w:rFonts w:ascii="Arial" w:hAnsi="Arial" w:cs="Arial"/>
          <w:color w:val="000000" w:themeColor="text1"/>
          <w:sz w:val="22"/>
          <w:szCs w:val="22"/>
        </w:rPr>
        <w:t>O</w:t>
      </w:r>
      <w:r w:rsidRPr="00593718">
        <w:rPr>
          <w:rFonts w:ascii="Arial" w:hAnsi="Arial" w:cs="Arial"/>
          <w:color w:val="000000" w:themeColor="text1"/>
          <w:sz w:val="22"/>
          <w:szCs w:val="22"/>
        </w:rPr>
        <w:t>H framework has been widely applied in public health research and policy. For example, the Marmot Review (2010) used this approach to examine the relationship between socioeconomic deprivation and HI in England, influencing subsequent public health strategies, including NHS England's Core20PLUS5 initiative (NHS England, 2021). Its principal strength lies in recognising that improving population health requires coordinated action across sectors such as education, housing and employment.</w:t>
      </w:r>
    </w:p>
    <w:p w14:paraId="0EB61E88" w14:textId="5FFD1C48" w:rsidR="00AA0B88" w:rsidRPr="005B4BF5" w:rsidRDefault="00AA0B88" w:rsidP="005B4BF5">
      <w:pPr>
        <w:pStyle w:val="NormalWeb"/>
        <w:spacing w:line="360" w:lineRule="auto"/>
        <w:jc w:val="both"/>
        <w:rPr>
          <w:rFonts w:ascii="Arial" w:hAnsi="Arial" w:cs="Arial"/>
          <w:sz w:val="22"/>
          <w:szCs w:val="22"/>
        </w:rPr>
      </w:pPr>
      <w:r w:rsidRPr="005B4BF5">
        <w:rPr>
          <w:rFonts w:ascii="Arial" w:hAnsi="Arial" w:cs="Arial"/>
          <w:color w:val="000000" w:themeColor="text1"/>
          <w:sz w:val="22"/>
          <w:szCs w:val="22"/>
        </w:rPr>
        <w:t>Building on the SD</w:t>
      </w:r>
      <w:r w:rsidR="00361938" w:rsidRPr="005B4BF5">
        <w:rPr>
          <w:rFonts w:ascii="Arial" w:hAnsi="Arial" w:cs="Arial"/>
          <w:color w:val="000000" w:themeColor="text1"/>
          <w:sz w:val="22"/>
          <w:szCs w:val="22"/>
        </w:rPr>
        <w:t>O</w:t>
      </w:r>
      <w:r w:rsidRPr="005B4BF5">
        <w:rPr>
          <w:rFonts w:ascii="Arial" w:hAnsi="Arial" w:cs="Arial"/>
          <w:color w:val="000000" w:themeColor="text1"/>
          <w:sz w:val="22"/>
          <w:szCs w:val="22"/>
        </w:rPr>
        <w:t xml:space="preserve">H framework, </w:t>
      </w:r>
      <w:r w:rsidRPr="005B4BF5">
        <w:rPr>
          <w:rStyle w:val="Strong"/>
          <w:rFonts w:ascii="Arial" w:eastAsia="Calibri Light" w:hAnsi="Arial" w:cs="Arial"/>
          <w:b w:val="0"/>
          <w:bCs w:val="0"/>
          <w:color w:val="000000" w:themeColor="text1"/>
          <w:sz w:val="22"/>
          <w:szCs w:val="22"/>
        </w:rPr>
        <w:t>Hart's (1971) Inverse Care Law</w:t>
      </w:r>
      <w:r w:rsidRPr="005B4BF5">
        <w:rPr>
          <w:rFonts w:ascii="Arial" w:hAnsi="Arial" w:cs="Arial"/>
          <w:color w:val="000000" w:themeColor="text1"/>
          <w:sz w:val="22"/>
          <w:szCs w:val="22"/>
        </w:rPr>
        <w:t xml:space="preserve"> provides a more specific explanation of inequalities in healthcare access. </w:t>
      </w:r>
      <w:r w:rsidR="005B4BF5" w:rsidRPr="005B4BF5">
        <w:rPr>
          <w:rFonts w:ascii="Arial" w:hAnsi="Arial" w:cs="Arial"/>
          <w:sz w:val="22"/>
          <w:szCs w:val="22"/>
        </w:rPr>
        <w:t>Hart argued that people with the greatest health needs often have the least access to good healthcare. In other words, communities with poorer health tend to receive fewer healthcare services than those with lower levels of need.</w:t>
      </w:r>
      <w:r w:rsidR="005B4BF5" w:rsidRPr="005B4BF5">
        <w:rPr>
          <w:rFonts w:ascii="Arial" w:hAnsi="Arial" w:cs="Arial"/>
          <w:sz w:val="22"/>
          <w:szCs w:val="22"/>
        </w:rPr>
        <w:t xml:space="preserve"> </w:t>
      </w:r>
      <w:r w:rsidRPr="005B4BF5">
        <w:rPr>
          <w:rFonts w:ascii="Arial" w:hAnsi="Arial" w:cs="Arial"/>
          <w:color w:val="000000" w:themeColor="text1"/>
          <w:sz w:val="22"/>
          <w:szCs w:val="22"/>
        </w:rPr>
        <w:t>Despite the establishment of the NHS, this theory remains relevant, as deprived areas continue to experience shortages of healthcare professionals, longer waiting times and greater barriers to accessing primary care (Cookson et al., 2016). Research has consistently demonstrated that socioeconomic deprivation is associated with reduced access to preventive healthcare and poorer health outcomes, supporting Hart's original argument (The King's Fund, 2024). A key strength of the Inverse Care Law is its ability to explain why inequalities persist despite universal healthcare provision. However, critics argue that the theory primarily focuses on healthcare availability and gives less consideration to wider social and behavioural factors that also influence HI (Hart, 1971).</w:t>
      </w:r>
    </w:p>
    <w:p w14:paraId="7BBE0452" w14:textId="77777777" w:rsidR="00AA0B88" w:rsidRPr="00593718" w:rsidRDefault="00AA0B88" w:rsidP="00593718">
      <w:pPr>
        <w:pStyle w:val="isselectedend"/>
        <w:spacing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 xml:space="preserve">Another important framework is the </w:t>
      </w:r>
      <w:r w:rsidRPr="00593718">
        <w:rPr>
          <w:rStyle w:val="Strong"/>
          <w:rFonts w:ascii="Arial" w:eastAsia="Calibri Light" w:hAnsi="Arial" w:cs="Arial"/>
          <w:b w:val="0"/>
          <w:bCs w:val="0"/>
          <w:color w:val="000000" w:themeColor="text1"/>
          <w:sz w:val="22"/>
          <w:szCs w:val="22"/>
        </w:rPr>
        <w:t>Healthcare Access Framework</w:t>
      </w:r>
      <w:r w:rsidRPr="00593718">
        <w:rPr>
          <w:rFonts w:ascii="Arial" w:hAnsi="Arial" w:cs="Arial"/>
          <w:color w:val="000000" w:themeColor="text1"/>
          <w:sz w:val="22"/>
          <w:szCs w:val="22"/>
        </w:rPr>
        <w:t xml:space="preserve"> developed by Levesque, Harris and Russell (2013). This model conceptualises healthcare access as a dynamic interaction between healthcare systems and the populations they serve. It proposes that </w:t>
      </w:r>
      <w:r w:rsidRPr="00593718">
        <w:rPr>
          <w:rFonts w:ascii="Arial" w:hAnsi="Arial" w:cs="Arial"/>
          <w:color w:val="000000" w:themeColor="text1"/>
          <w:sz w:val="22"/>
          <w:szCs w:val="22"/>
        </w:rPr>
        <w:lastRenderedPageBreak/>
        <w:t>access is influenced by five dimensions: approachability, acceptability, availability and accommodation, affordability, and appropriateness. Unlike traditional definitions that focus only on service availability, this framework acknowledges that individuals must also have the knowledge, financial resources and ability to engage with healthcare services. The model has been widely used in health services research to examine barriers experienced by disadvantaged populations, including those living in socioeconomically deprived communities (Levesque, Harris and Russell, 2013). Its comprehensive approach is particularly relevant to this dissertation because it highlights the multiple factors that influence healthcare access beyond the provision of services alone. Nevertheless, the framework has been criticised for its complexity, as measuring all dimensions of access can be difficult in empirical research.</w:t>
      </w:r>
    </w:p>
    <w:p w14:paraId="1F7D808C" w14:textId="0554F4E1" w:rsidR="00AA0B88" w:rsidRPr="00593718" w:rsidRDefault="00AA0B88" w:rsidP="00A55324">
      <w:pPr>
        <w:pStyle w:val="NormalWeb"/>
        <w:spacing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Collectively, these theories demonstrate that HI arise through the interaction of broader social determinants, inequalities in healthcare provision and individual ability to access services. While each framework offers a different perspective, together they provide a comprehensive theoretical foundation for understanding how socioeconomic deprivation influences healthcare access among low-income communities in England. These theories will underpin the analysis of evidence presented throughout the remainder of this dissertation.</w:t>
      </w:r>
    </w:p>
    <w:p w14:paraId="2CB92B90" w14:textId="4F1FAE12" w:rsidR="00AA0B88" w:rsidRPr="00593718" w:rsidRDefault="00AA0B88" w:rsidP="00593718">
      <w:pPr>
        <w:pStyle w:val="Heading1"/>
        <w:spacing w:line="360" w:lineRule="auto"/>
        <w:jc w:val="both"/>
        <w:rPr>
          <w:rFonts w:ascii="Arial" w:hAnsi="Arial" w:cs="Arial"/>
          <w:color w:val="000000" w:themeColor="text1"/>
          <w:sz w:val="22"/>
          <w:szCs w:val="22"/>
        </w:rPr>
      </w:pPr>
      <w:bookmarkStart w:id="11" w:name="_Toc234966933"/>
      <w:r w:rsidRPr="00593718">
        <w:rPr>
          <w:rStyle w:val="normaltextrun"/>
          <w:rFonts w:ascii="Arial" w:hAnsi="Arial" w:cs="Arial"/>
          <w:color w:val="000000" w:themeColor="text1"/>
          <w:sz w:val="22"/>
          <w:szCs w:val="22"/>
        </w:rPr>
        <w:t xml:space="preserve">2.4 International Context </w:t>
      </w:r>
      <w:bookmarkEnd w:id="11"/>
    </w:p>
    <w:p w14:paraId="67C708B3" w14:textId="21FF26D0" w:rsidR="00AA0B88" w:rsidRPr="00593718" w:rsidRDefault="00AA0B88" w:rsidP="00593718">
      <w:pPr>
        <w:pStyle w:val="isselectedend"/>
        <w:spacing w:line="360" w:lineRule="auto"/>
        <w:jc w:val="both"/>
        <w:rPr>
          <w:rFonts w:ascii="Arial" w:hAnsi="Arial" w:cs="Arial"/>
          <w:sz w:val="22"/>
          <w:szCs w:val="22"/>
        </w:rPr>
      </w:pPr>
      <w:r w:rsidRPr="00593718">
        <w:rPr>
          <w:rFonts w:ascii="Arial" w:hAnsi="Arial" w:cs="Arial"/>
          <w:sz w:val="22"/>
          <w:szCs w:val="22"/>
        </w:rPr>
        <w:t>HI are recognised as a global public health challenge, affecting countries regardless of the structure of their healthcare systems. WHO defines HI as avoidable and unfair differences in health outcomes that result from unequal social, economic and environmental conditions (WHO, 2023). Reducing these inequalities is central to the United Nations Sustainable Development Goals (SDGs), particularly Goal 3, which promotes good health and well-being, and Goal 10, which aims to reduce inequalities within and between countries (United Nations, 2015). Consequently, many governments have implemented policies that address both healthcare provision and the wider</w:t>
      </w:r>
      <w:r w:rsidR="00B4097A">
        <w:rPr>
          <w:rFonts w:ascii="Arial" w:hAnsi="Arial" w:cs="Arial"/>
          <w:sz w:val="22"/>
          <w:szCs w:val="22"/>
        </w:rPr>
        <w:t xml:space="preserve"> SDOH</w:t>
      </w:r>
      <w:r w:rsidRPr="00593718">
        <w:rPr>
          <w:rFonts w:ascii="Arial" w:hAnsi="Arial" w:cs="Arial"/>
          <w:sz w:val="22"/>
          <w:szCs w:val="22"/>
        </w:rPr>
        <w:t>.</w:t>
      </w:r>
    </w:p>
    <w:p w14:paraId="59A5A606" w14:textId="77777777" w:rsidR="00AA0B88" w:rsidRPr="00593718" w:rsidRDefault="00AA0B88" w:rsidP="00593718">
      <w:pPr>
        <w:pStyle w:val="isselectedend"/>
        <w:spacing w:line="360" w:lineRule="auto"/>
        <w:jc w:val="both"/>
        <w:rPr>
          <w:rFonts w:ascii="Arial" w:hAnsi="Arial" w:cs="Arial"/>
          <w:sz w:val="22"/>
          <w:szCs w:val="22"/>
        </w:rPr>
      </w:pPr>
      <w:r w:rsidRPr="00593718">
        <w:rPr>
          <w:rFonts w:ascii="Arial" w:hAnsi="Arial" w:cs="Arial"/>
          <w:sz w:val="22"/>
          <w:szCs w:val="22"/>
        </w:rPr>
        <w:t xml:space="preserve">International evidence suggests that countries with comprehensive welfare systems generally experience lower levels of health inequality than those relying primarily on market-based healthcare. Sweden is frequently recognised as an example of a country that combines universal healthcare with extensive welfare policies, including income protection, education and employment support. However, research demonstrates that socioeconomic inequalities in health persist despite these measures (Eikemo et al., 2008; Huijts, Eikemo and Skalická, 2010). This has been described as the </w:t>
      </w:r>
      <w:r w:rsidRPr="00A55324">
        <w:rPr>
          <w:rStyle w:val="Emphasis"/>
          <w:rFonts w:ascii="Arial" w:eastAsiaTheme="majorEastAsia" w:hAnsi="Arial" w:cs="Arial"/>
          <w:i w:val="0"/>
          <w:iCs w:val="0"/>
          <w:sz w:val="22"/>
          <w:szCs w:val="22"/>
        </w:rPr>
        <w:t>Nordic paradox</w:t>
      </w:r>
      <w:r w:rsidRPr="00593718">
        <w:rPr>
          <w:rFonts w:ascii="Arial" w:hAnsi="Arial" w:cs="Arial"/>
          <w:sz w:val="22"/>
          <w:szCs w:val="22"/>
        </w:rPr>
        <w:t xml:space="preserve">, where countries with generous welfare systems continue to experience differences in health outcomes between socioeconomic </w:t>
      </w:r>
      <w:r w:rsidRPr="00593718">
        <w:rPr>
          <w:rFonts w:ascii="Arial" w:hAnsi="Arial" w:cs="Arial"/>
          <w:sz w:val="22"/>
          <w:szCs w:val="22"/>
        </w:rPr>
        <w:lastRenderedPageBreak/>
        <w:t>groups (Mackenbach, 2017). Studies in Sweden have also identified continuing inequalities in mortality and self-rated health, highlighting that universal healthcare alone cannot eliminate the effects of income, education and wealth on health (</w:t>
      </w:r>
      <w:proofErr w:type="spellStart"/>
      <w:r w:rsidRPr="00593718">
        <w:rPr>
          <w:rFonts w:ascii="Arial" w:hAnsi="Arial" w:cs="Arial"/>
          <w:sz w:val="22"/>
          <w:szCs w:val="22"/>
        </w:rPr>
        <w:t>Katikireddi</w:t>
      </w:r>
      <w:proofErr w:type="spellEnd"/>
      <w:r w:rsidRPr="00593718">
        <w:rPr>
          <w:rFonts w:ascii="Arial" w:hAnsi="Arial" w:cs="Arial"/>
          <w:sz w:val="22"/>
          <w:szCs w:val="22"/>
        </w:rPr>
        <w:t xml:space="preserve"> et al., 2020; Carlander, Andersson and Ylander, 2023).</w:t>
      </w:r>
    </w:p>
    <w:p w14:paraId="42DF1CB4" w14:textId="77777777" w:rsidR="00AA0B88" w:rsidRPr="00593718" w:rsidRDefault="00AA0B88" w:rsidP="00593718">
      <w:pPr>
        <w:pStyle w:val="isselectedend"/>
        <w:spacing w:line="360" w:lineRule="auto"/>
        <w:jc w:val="both"/>
        <w:rPr>
          <w:rFonts w:ascii="Arial" w:hAnsi="Arial" w:cs="Arial"/>
          <w:sz w:val="22"/>
          <w:szCs w:val="22"/>
        </w:rPr>
      </w:pPr>
      <w:r w:rsidRPr="00593718">
        <w:rPr>
          <w:rFonts w:ascii="Arial" w:hAnsi="Arial" w:cs="Arial"/>
          <w:sz w:val="22"/>
          <w:szCs w:val="22"/>
        </w:rPr>
        <w:t>Canada provides a similar example. Although it operates a universal healthcare system, significant inequalities remain among Indigenous populations, rural communities and socioeconomically disadvantaged groups. Geographic isolation, unequal distribution of healthcare services and social deprivation continue to restrict access to healthcare and contribute to poorer health outcomes (Martin et al., 2018; Bourke et al., 2012).</w:t>
      </w:r>
    </w:p>
    <w:p w14:paraId="045D0E25" w14:textId="77777777" w:rsidR="00AA0B88" w:rsidRPr="00593718" w:rsidRDefault="00AA0B88" w:rsidP="00593718">
      <w:pPr>
        <w:pStyle w:val="isselectedend"/>
        <w:spacing w:line="360" w:lineRule="auto"/>
        <w:jc w:val="both"/>
        <w:rPr>
          <w:rFonts w:ascii="Arial" w:hAnsi="Arial" w:cs="Arial"/>
          <w:sz w:val="22"/>
          <w:szCs w:val="22"/>
        </w:rPr>
      </w:pPr>
      <w:r w:rsidRPr="00593718">
        <w:rPr>
          <w:rFonts w:ascii="Arial" w:hAnsi="Arial" w:cs="Arial"/>
          <w:sz w:val="22"/>
          <w:szCs w:val="22"/>
        </w:rPr>
        <w:t xml:space="preserve">In contrast, the United States relies largely on a private health insurance system. Individuals without adequate insurance are more likely to delay or avoid seeking medical care because of financial barriers, resulting in poorer health outcomes and greater inequalities (Papanicolas, </w:t>
      </w:r>
      <w:proofErr w:type="spellStart"/>
      <w:r w:rsidRPr="00593718">
        <w:rPr>
          <w:rFonts w:ascii="Arial" w:hAnsi="Arial" w:cs="Arial"/>
          <w:sz w:val="22"/>
          <w:szCs w:val="22"/>
        </w:rPr>
        <w:t>Woskie</w:t>
      </w:r>
      <w:proofErr w:type="spellEnd"/>
      <w:r w:rsidRPr="00593718">
        <w:rPr>
          <w:rFonts w:ascii="Arial" w:hAnsi="Arial" w:cs="Arial"/>
          <w:sz w:val="22"/>
          <w:szCs w:val="22"/>
        </w:rPr>
        <w:t xml:space="preserve"> and Jha, 2018). Compared with England's NHS, which provides healthcare free at the point of delivery, the United States illustrates how insurance-based systems can widen socioeconomic inequalities in healthcare access.</w:t>
      </w:r>
    </w:p>
    <w:p w14:paraId="00F45260" w14:textId="02C87380" w:rsidR="00AA0B88" w:rsidRPr="00593718" w:rsidRDefault="00AA0B88" w:rsidP="00593718">
      <w:pPr>
        <w:pStyle w:val="NormalWeb"/>
        <w:spacing w:line="360" w:lineRule="auto"/>
        <w:jc w:val="both"/>
        <w:rPr>
          <w:rFonts w:ascii="Arial" w:hAnsi="Arial" w:cs="Arial"/>
          <w:sz w:val="22"/>
          <w:szCs w:val="22"/>
        </w:rPr>
      </w:pPr>
      <w:r w:rsidRPr="00593718">
        <w:rPr>
          <w:rFonts w:ascii="Arial" w:hAnsi="Arial" w:cs="Arial"/>
          <w:sz w:val="22"/>
          <w:szCs w:val="22"/>
        </w:rPr>
        <w:t xml:space="preserve">Overall, international evidence demonstrates that universal healthcare can reduce financial barriers and improve population health. However, the greatest reductions in </w:t>
      </w:r>
      <w:r w:rsidR="00A55324">
        <w:rPr>
          <w:rFonts w:ascii="Arial" w:hAnsi="Arial" w:cs="Arial"/>
          <w:sz w:val="22"/>
          <w:szCs w:val="22"/>
        </w:rPr>
        <w:t xml:space="preserve">HI </w:t>
      </w:r>
      <w:r w:rsidRPr="00593718">
        <w:rPr>
          <w:rFonts w:ascii="Arial" w:hAnsi="Arial" w:cs="Arial"/>
          <w:sz w:val="22"/>
          <w:szCs w:val="22"/>
        </w:rPr>
        <w:t xml:space="preserve">occur when universal healthcare is combined with wider policies that address education, employment, housing and income. These international experiences provide valuable lessons for England, highlighting that reducing </w:t>
      </w:r>
      <w:r w:rsidR="00A55324">
        <w:rPr>
          <w:rFonts w:ascii="Arial" w:hAnsi="Arial" w:cs="Arial"/>
          <w:sz w:val="22"/>
          <w:szCs w:val="22"/>
        </w:rPr>
        <w:t xml:space="preserve">HI </w:t>
      </w:r>
      <w:r w:rsidRPr="00593718">
        <w:rPr>
          <w:rFonts w:ascii="Arial" w:hAnsi="Arial" w:cs="Arial"/>
          <w:sz w:val="22"/>
          <w:szCs w:val="22"/>
        </w:rPr>
        <w:t>requires action beyond healthcare services alone.</w:t>
      </w:r>
    </w:p>
    <w:p w14:paraId="56C90FB3" w14:textId="3808D171" w:rsidR="00AA0B88" w:rsidRPr="00593718" w:rsidRDefault="00AA0B88" w:rsidP="00593718">
      <w:pPr>
        <w:pStyle w:val="paragraph"/>
        <w:spacing w:before="0" w:beforeAutospacing="0" w:after="0" w:afterAutospacing="0" w:line="360" w:lineRule="auto"/>
        <w:jc w:val="both"/>
        <w:textAlignment w:val="baseline"/>
        <w:rPr>
          <w:rStyle w:val="normaltextrun"/>
          <w:rFonts w:ascii="Arial" w:hAnsi="Arial" w:cs="Arial"/>
          <w:b/>
          <w:bCs/>
          <w:color w:val="000000" w:themeColor="text1"/>
          <w:sz w:val="22"/>
          <w:szCs w:val="22"/>
        </w:rPr>
      </w:pPr>
    </w:p>
    <w:p w14:paraId="75E0B9FB" w14:textId="5D134B35" w:rsidR="00AA0B88" w:rsidRPr="00593718" w:rsidRDefault="00AA0B88" w:rsidP="00593718">
      <w:pPr>
        <w:pStyle w:val="Heading1"/>
        <w:spacing w:line="360" w:lineRule="auto"/>
        <w:jc w:val="both"/>
        <w:rPr>
          <w:rFonts w:ascii="Arial" w:hAnsi="Arial" w:cs="Arial"/>
          <w:color w:val="000000" w:themeColor="text1"/>
          <w:sz w:val="22"/>
          <w:szCs w:val="22"/>
        </w:rPr>
      </w:pPr>
      <w:bookmarkStart w:id="12" w:name="_Toc234966934"/>
      <w:r w:rsidRPr="00593718">
        <w:rPr>
          <w:rStyle w:val="normaltextrun"/>
          <w:rFonts w:ascii="Arial" w:hAnsi="Arial" w:cs="Arial"/>
          <w:color w:val="000000" w:themeColor="text1"/>
          <w:sz w:val="22"/>
          <w:szCs w:val="22"/>
        </w:rPr>
        <w:t>2.5 National/Local UK Context</w:t>
      </w:r>
      <w:bookmarkEnd w:id="12"/>
    </w:p>
    <w:p w14:paraId="494BD109" w14:textId="77777777" w:rsidR="00AA0B88" w:rsidRPr="00593718" w:rsidRDefault="00AA0B88" w:rsidP="00593718">
      <w:pPr>
        <w:pStyle w:val="isselectedend"/>
        <w:spacing w:line="360" w:lineRule="auto"/>
        <w:jc w:val="both"/>
        <w:rPr>
          <w:rFonts w:ascii="Arial" w:hAnsi="Arial" w:cs="Arial"/>
          <w:color w:val="000000" w:themeColor="text1"/>
          <w:sz w:val="22"/>
          <w:szCs w:val="22"/>
        </w:rPr>
      </w:pPr>
      <w:r w:rsidRPr="00593718">
        <w:rPr>
          <w:rStyle w:val="eop"/>
          <w:rFonts w:ascii="Arial" w:eastAsia="Calibri Light" w:hAnsi="Arial" w:cs="Arial"/>
          <w:color w:val="000000" w:themeColor="text1"/>
          <w:sz w:val="22"/>
          <w:szCs w:val="22"/>
        </w:rPr>
        <w:t xml:space="preserve">HI </w:t>
      </w:r>
      <w:r w:rsidRPr="00593718">
        <w:rPr>
          <w:rFonts w:ascii="Arial" w:hAnsi="Arial" w:cs="Arial"/>
          <w:color w:val="000000" w:themeColor="text1"/>
          <w:sz w:val="22"/>
          <w:szCs w:val="22"/>
        </w:rPr>
        <w:t>remain a major public health priority within the United Kingdom, particularly in England, where individuals living in socioeconomically deprived communities continue to experience poorer health outcomes and reduced access to healthcare services than those living in more affluent areas (The King's Fund, 2024). Although the NHS was established to provide healthcare that is free at the point of delivery, significant inequalities persist due to wider social determinants, including income, education, employment and housing (Marmot, 2020). Consequently, reducing HI has become a central objective of national health policy.</w:t>
      </w:r>
    </w:p>
    <w:p w14:paraId="7C9F3409" w14:textId="77777777" w:rsidR="00AA0B88" w:rsidRPr="00593718" w:rsidRDefault="00AA0B88" w:rsidP="00593718">
      <w:pPr>
        <w:pStyle w:val="NormalWeb"/>
        <w:spacing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 xml:space="preserve">In response to these challenges, the </w:t>
      </w:r>
      <w:r w:rsidRPr="00593718">
        <w:rPr>
          <w:rStyle w:val="Strong"/>
          <w:rFonts w:ascii="Arial" w:hAnsi="Arial" w:cs="Arial"/>
          <w:b w:val="0"/>
          <w:bCs w:val="0"/>
          <w:color w:val="000000" w:themeColor="text1"/>
          <w:sz w:val="22"/>
          <w:szCs w:val="22"/>
        </w:rPr>
        <w:t>NHS Long Term Plan</w:t>
      </w:r>
      <w:r w:rsidRPr="00593718">
        <w:rPr>
          <w:rFonts w:ascii="Arial" w:hAnsi="Arial" w:cs="Arial"/>
          <w:color w:val="000000" w:themeColor="text1"/>
          <w:sz w:val="22"/>
          <w:szCs w:val="22"/>
        </w:rPr>
        <w:t xml:space="preserve"> identified reducing HI as one of its core priorities, placing greater emphasis on prevention, early intervention and improving </w:t>
      </w:r>
      <w:r w:rsidRPr="00593718">
        <w:rPr>
          <w:rFonts w:ascii="Arial" w:hAnsi="Arial" w:cs="Arial"/>
          <w:color w:val="000000" w:themeColor="text1"/>
          <w:sz w:val="22"/>
          <w:szCs w:val="22"/>
        </w:rPr>
        <w:lastRenderedPageBreak/>
        <w:t xml:space="preserve">access to healthcare for disadvantaged populations (NHS England, 2019). Building upon this commitment, NHS England introduced the </w:t>
      </w:r>
      <w:r w:rsidRPr="00593718">
        <w:rPr>
          <w:rStyle w:val="Strong"/>
          <w:rFonts w:ascii="Arial" w:hAnsi="Arial" w:cs="Arial"/>
          <w:b w:val="0"/>
          <w:bCs w:val="0"/>
          <w:color w:val="000000" w:themeColor="text1"/>
          <w:sz w:val="22"/>
          <w:szCs w:val="22"/>
        </w:rPr>
        <w:t>Core20PLUS5</w:t>
      </w:r>
      <w:r w:rsidRPr="00593718">
        <w:rPr>
          <w:rFonts w:ascii="Arial" w:hAnsi="Arial" w:cs="Arial"/>
          <w:b/>
          <w:bCs/>
          <w:color w:val="000000" w:themeColor="text1"/>
          <w:sz w:val="22"/>
          <w:szCs w:val="22"/>
        </w:rPr>
        <w:t xml:space="preserve"> </w:t>
      </w:r>
      <w:r w:rsidRPr="00593718">
        <w:rPr>
          <w:rFonts w:ascii="Arial" w:hAnsi="Arial" w:cs="Arial"/>
          <w:color w:val="000000" w:themeColor="text1"/>
          <w:sz w:val="22"/>
          <w:szCs w:val="22"/>
        </w:rPr>
        <w:t xml:space="preserve">framework, which targets the most deprived 20% of the population alongside locally identified vulnerable groups. The framework aims to reduce inequalities by improving outcomes in priority clinical areas, including maternity care, severe mental illness, chronic respiratory disease, hypertension and early cancer diagnosis (NHS England, 2021). These initiatives demonstrate a shift towards addressing inequalities through targeted interventions while recognising the influence of wider socioeconomic factors on health. </w:t>
      </w:r>
    </w:p>
    <w:p w14:paraId="029C4172" w14:textId="77777777" w:rsidR="00AA0B88" w:rsidRPr="00593718" w:rsidRDefault="00AA0B88" w:rsidP="00593718">
      <w:pPr>
        <w:pStyle w:val="isselectedend"/>
        <w:spacing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 xml:space="preserve">The </w:t>
      </w:r>
      <w:r w:rsidRPr="00593718">
        <w:rPr>
          <w:rStyle w:val="Strong"/>
          <w:rFonts w:ascii="Arial" w:eastAsia="Calibri Light" w:hAnsi="Arial" w:cs="Arial"/>
          <w:b w:val="0"/>
          <w:bCs w:val="0"/>
          <w:color w:val="000000" w:themeColor="text1"/>
          <w:sz w:val="22"/>
          <w:szCs w:val="22"/>
        </w:rPr>
        <w:t>Health and Care Act 2022</w:t>
      </w:r>
      <w:r w:rsidRPr="00593718">
        <w:rPr>
          <w:rFonts w:ascii="Arial" w:hAnsi="Arial" w:cs="Arial"/>
          <w:color w:val="000000" w:themeColor="text1"/>
          <w:sz w:val="22"/>
          <w:szCs w:val="22"/>
        </w:rPr>
        <w:t xml:space="preserve"> further strengthened the NHS's responsibility to reduce HI by placing a statutory duty on </w:t>
      </w:r>
      <w:r w:rsidRPr="00593718">
        <w:rPr>
          <w:rStyle w:val="Strong"/>
          <w:rFonts w:ascii="Arial" w:eastAsia="Calibri Light" w:hAnsi="Arial" w:cs="Arial"/>
          <w:b w:val="0"/>
          <w:bCs w:val="0"/>
          <w:color w:val="000000" w:themeColor="text1"/>
          <w:sz w:val="22"/>
          <w:szCs w:val="22"/>
        </w:rPr>
        <w:t>ICSs</w:t>
      </w:r>
      <w:r w:rsidRPr="00593718">
        <w:rPr>
          <w:rFonts w:ascii="Arial" w:hAnsi="Arial" w:cs="Arial"/>
          <w:color w:val="000000" w:themeColor="text1"/>
          <w:sz w:val="22"/>
          <w:szCs w:val="22"/>
        </w:rPr>
        <w:t xml:space="preserve"> to improve access, experience and health outcomes across local populations (Department of Health and Social Care, 2022). Working in partnership with local authorities, voluntary organisations and community services, ICSs are expected to coordinate health and social care according to local population needs. In addition, the </w:t>
      </w:r>
      <w:r w:rsidRPr="00593718">
        <w:rPr>
          <w:rStyle w:val="Strong"/>
          <w:rFonts w:ascii="Arial" w:eastAsia="Calibri Light" w:hAnsi="Arial" w:cs="Arial"/>
          <w:b w:val="0"/>
          <w:bCs w:val="0"/>
          <w:color w:val="000000" w:themeColor="text1"/>
          <w:sz w:val="22"/>
          <w:szCs w:val="22"/>
        </w:rPr>
        <w:t>Equality Act 2010</w:t>
      </w:r>
      <w:r w:rsidRPr="00593718">
        <w:rPr>
          <w:rFonts w:ascii="Arial" w:hAnsi="Arial" w:cs="Arial"/>
          <w:color w:val="000000" w:themeColor="text1"/>
          <w:sz w:val="22"/>
          <w:szCs w:val="22"/>
        </w:rPr>
        <w:t xml:space="preserve"> requires healthcare providers to ensure that services are delivered fairly and without discrimination, promoting equal access for individuals regardless of protected characteristics such as age, disability, race or sex (Equality Act 2010).</w:t>
      </w:r>
    </w:p>
    <w:p w14:paraId="3F8775C6" w14:textId="5480CBD5" w:rsidR="00AA0B88" w:rsidRPr="00593718" w:rsidRDefault="00AA0B88" w:rsidP="00593718">
      <w:pPr>
        <w:pStyle w:val="NormalWeb"/>
        <w:spacing w:line="360" w:lineRule="auto"/>
        <w:jc w:val="both"/>
        <w:rPr>
          <w:rFonts w:ascii="Arial" w:hAnsi="Arial" w:cs="Arial"/>
          <w:color w:val="000000" w:themeColor="text1"/>
          <w:sz w:val="22"/>
          <w:szCs w:val="22"/>
        </w:rPr>
      </w:pPr>
      <w:r w:rsidRPr="00593718">
        <w:rPr>
          <w:rFonts w:ascii="Arial" w:hAnsi="Arial" w:cs="Arial"/>
          <w:color w:val="000000" w:themeColor="text1"/>
          <w:sz w:val="22"/>
          <w:szCs w:val="22"/>
        </w:rPr>
        <w:t xml:space="preserve">Despite these policy developments, considerable regional inequalities remain across England. Areas experiencing higher levels of deprivation, particularly in the North of England, continue to report lower life expectancy, higher levels of long-term illness and greater pressure on primary care services than more affluent regions </w:t>
      </w:r>
      <w:r w:rsidRPr="00593718">
        <w:rPr>
          <w:rStyle w:val="Strong"/>
          <w:rFonts w:ascii="Arial" w:eastAsia="Calibri Light" w:hAnsi="Arial" w:cs="Arial"/>
          <w:b w:val="0"/>
          <w:bCs w:val="0"/>
          <w:color w:val="000000" w:themeColor="text1"/>
          <w:sz w:val="22"/>
          <w:szCs w:val="22"/>
        </w:rPr>
        <w:t>(Raymond et al., 2024).</w:t>
      </w:r>
      <w:r w:rsidRPr="00593718">
        <w:rPr>
          <w:rStyle w:val="Strong"/>
          <w:rFonts w:ascii="Arial" w:eastAsia="Calibri Light" w:hAnsi="Arial" w:cs="Arial"/>
          <w:color w:val="000000" w:themeColor="text1"/>
          <w:sz w:val="22"/>
          <w:szCs w:val="22"/>
        </w:rPr>
        <w:t xml:space="preserve"> </w:t>
      </w:r>
      <w:r w:rsidRPr="00593718">
        <w:rPr>
          <w:rFonts w:ascii="Arial" w:hAnsi="Arial" w:cs="Arial"/>
          <w:color w:val="000000" w:themeColor="text1"/>
          <w:sz w:val="22"/>
          <w:szCs w:val="22"/>
        </w:rPr>
        <w:t xml:space="preserve">Local authorities and the </w:t>
      </w:r>
      <w:r w:rsidRPr="00593718">
        <w:rPr>
          <w:rStyle w:val="Strong"/>
          <w:rFonts w:ascii="Arial" w:eastAsia="Calibri Light" w:hAnsi="Arial" w:cs="Arial"/>
          <w:b w:val="0"/>
          <w:bCs w:val="0"/>
          <w:color w:val="000000" w:themeColor="text1"/>
          <w:sz w:val="22"/>
          <w:szCs w:val="22"/>
        </w:rPr>
        <w:t>OHID</w:t>
      </w:r>
      <w:r w:rsidRPr="00593718">
        <w:rPr>
          <w:rFonts w:ascii="Arial" w:hAnsi="Arial" w:cs="Arial"/>
          <w:b/>
          <w:bCs/>
          <w:color w:val="000000" w:themeColor="text1"/>
          <w:sz w:val="22"/>
          <w:szCs w:val="22"/>
        </w:rPr>
        <w:t xml:space="preserve"> </w:t>
      </w:r>
      <w:r w:rsidRPr="00593718">
        <w:rPr>
          <w:rFonts w:ascii="Arial" w:hAnsi="Arial" w:cs="Arial"/>
          <w:color w:val="000000" w:themeColor="text1"/>
          <w:sz w:val="22"/>
          <w:szCs w:val="22"/>
        </w:rPr>
        <w:t>work alongside ICSs to improve population health through targeted public health programmes, prevention initiatives and community partnerships (</w:t>
      </w:r>
      <w:r w:rsidRPr="00593718">
        <w:rPr>
          <w:rStyle w:val="Strong"/>
          <w:rFonts w:ascii="Arial" w:eastAsia="Calibri Light" w:hAnsi="Arial" w:cs="Arial"/>
          <w:b w:val="0"/>
          <w:bCs w:val="0"/>
          <w:color w:val="000000" w:themeColor="text1"/>
          <w:sz w:val="22"/>
          <w:szCs w:val="22"/>
        </w:rPr>
        <w:t>OHID</w:t>
      </w:r>
      <w:r w:rsidRPr="00593718">
        <w:rPr>
          <w:rFonts w:ascii="Arial" w:hAnsi="Arial" w:cs="Arial"/>
          <w:color w:val="000000" w:themeColor="text1"/>
          <w:sz w:val="22"/>
          <w:szCs w:val="22"/>
        </w:rPr>
        <w:t>,2021). These findings demonstrate that although England has established a comprehensive policy framework to reduce HI, achieving equitable healthcare access requires sustained investment in both healthcare services and the wider SD</w:t>
      </w:r>
      <w:r w:rsidR="00B4097A">
        <w:rPr>
          <w:rFonts w:ascii="Arial" w:hAnsi="Arial" w:cs="Arial"/>
          <w:color w:val="000000" w:themeColor="text1"/>
          <w:sz w:val="22"/>
          <w:szCs w:val="22"/>
        </w:rPr>
        <w:t>O</w:t>
      </w:r>
      <w:r w:rsidRPr="00593718">
        <w:rPr>
          <w:rFonts w:ascii="Arial" w:hAnsi="Arial" w:cs="Arial"/>
          <w:color w:val="000000" w:themeColor="text1"/>
          <w:sz w:val="22"/>
          <w:szCs w:val="22"/>
        </w:rPr>
        <w:t>H.</w:t>
      </w:r>
    </w:p>
    <w:p w14:paraId="4ABE1216" w14:textId="77777777" w:rsidR="00AA0B88" w:rsidRPr="00593718" w:rsidRDefault="00AA0B88" w:rsidP="00593718">
      <w:pPr>
        <w:pStyle w:val="paragraph"/>
        <w:spacing w:before="0" w:beforeAutospacing="0" w:after="0" w:afterAutospacing="0" w:line="360" w:lineRule="auto"/>
        <w:jc w:val="both"/>
        <w:textAlignment w:val="baseline"/>
        <w:rPr>
          <w:rFonts w:ascii="Arial" w:hAnsi="Arial" w:cs="Arial"/>
          <w:color w:val="000000" w:themeColor="text1"/>
          <w:sz w:val="22"/>
          <w:szCs w:val="22"/>
        </w:rPr>
      </w:pPr>
    </w:p>
    <w:p w14:paraId="78C8A8B6" w14:textId="4941B19A" w:rsidR="00AA0B88" w:rsidRPr="00593718" w:rsidRDefault="00AA0B88" w:rsidP="00593718">
      <w:pPr>
        <w:pStyle w:val="Heading1"/>
        <w:spacing w:line="360" w:lineRule="auto"/>
        <w:jc w:val="both"/>
        <w:rPr>
          <w:rFonts w:ascii="Arial" w:hAnsi="Arial" w:cs="Arial"/>
          <w:color w:val="000000" w:themeColor="text1"/>
          <w:sz w:val="22"/>
          <w:szCs w:val="22"/>
        </w:rPr>
      </w:pPr>
      <w:bookmarkStart w:id="13" w:name="_Toc234966935"/>
      <w:r w:rsidRPr="00593718">
        <w:rPr>
          <w:rStyle w:val="normaltextrun"/>
          <w:rFonts w:ascii="Arial" w:hAnsi="Arial" w:cs="Arial"/>
          <w:color w:val="000000" w:themeColor="text1"/>
          <w:sz w:val="22"/>
          <w:szCs w:val="22"/>
        </w:rPr>
        <w:t>2.6 Conclusion</w:t>
      </w:r>
      <w:bookmarkEnd w:id="13"/>
    </w:p>
    <w:p w14:paraId="44FD3C56" w14:textId="77777777" w:rsidR="00AA0B88" w:rsidRPr="00593718" w:rsidRDefault="00AA0B88" w:rsidP="00593718">
      <w:pPr>
        <w:pStyle w:val="paragraph"/>
        <w:spacing w:before="0" w:beforeAutospacing="0" w:after="0" w:afterAutospacing="0" w:line="360" w:lineRule="auto"/>
        <w:jc w:val="both"/>
        <w:textAlignment w:val="baseline"/>
        <w:rPr>
          <w:rFonts w:ascii="Arial" w:hAnsi="Arial" w:cs="Arial"/>
          <w:color w:val="000000" w:themeColor="text1"/>
          <w:sz w:val="22"/>
          <w:szCs w:val="22"/>
        </w:rPr>
      </w:pPr>
      <w:r w:rsidRPr="00593718">
        <w:rPr>
          <w:rStyle w:val="eop"/>
          <w:rFonts w:ascii="Arial" w:eastAsia="Calibri Light" w:hAnsi="Arial" w:cs="Arial"/>
          <w:color w:val="000000" w:themeColor="text1"/>
          <w:sz w:val="22"/>
          <w:szCs w:val="22"/>
        </w:rPr>
        <w:t> </w:t>
      </w:r>
    </w:p>
    <w:p w14:paraId="42009093" w14:textId="6C189526" w:rsidR="00AA0B88" w:rsidRPr="00593718" w:rsidRDefault="00AA0B88" w:rsidP="00593718">
      <w:pPr>
        <w:pStyle w:val="paragraph"/>
        <w:spacing w:before="0" w:beforeAutospacing="0" w:after="0" w:afterAutospacing="0" w:line="360" w:lineRule="auto"/>
        <w:jc w:val="both"/>
        <w:textAlignment w:val="baseline"/>
        <w:rPr>
          <w:rFonts w:ascii="Arial" w:hAnsi="Arial" w:cs="Arial"/>
          <w:color w:val="000000" w:themeColor="text1"/>
          <w:sz w:val="22"/>
          <w:szCs w:val="22"/>
        </w:rPr>
      </w:pPr>
      <w:r w:rsidRPr="00593718">
        <w:rPr>
          <w:rFonts w:ascii="Arial" w:hAnsi="Arial" w:cs="Arial"/>
          <w:color w:val="000000" w:themeColor="text1"/>
          <w:sz w:val="22"/>
          <w:szCs w:val="22"/>
        </w:rPr>
        <w:t xml:space="preserve">This chapter has provided the historical, theoretical and contextual foundation for understanding HI in access to health and social care services among low-income communities in England. It demonstrated that HI have developed over many decades and continue to be influenced by wider social, economic and environmental factors. The chapter critically examined key theories, including the </w:t>
      </w:r>
      <w:r w:rsidRPr="00593718">
        <w:rPr>
          <w:rFonts w:ascii="Arial" w:hAnsi="Arial" w:cs="Arial"/>
          <w:color w:val="000000" w:themeColor="text1"/>
          <w:sz w:val="22"/>
          <w:szCs w:val="22"/>
          <w:lang w:eastAsia="en-GB"/>
        </w:rPr>
        <w:t>SD</w:t>
      </w:r>
      <w:r w:rsidR="00B4097A">
        <w:rPr>
          <w:rFonts w:ascii="Arial" w:hAnsi="Arial" w:cs="Arial"/>
          <w:color w:val="000000" w:themeColor="text1"/>
          <w:sz w:val="22"/>
          <w:szCs w:val="22"/>
          <w:lang w:eastAsia="en-GB"/>
        </w:rPr>
        <w:t>O</w:t>
      </w:r>
      <w:r w:rsidRPr="00593718">
        <w:rPr>
          <w:rFonts w:ascii="Arial" w:hAnsi="Arial" w:cs="Arial"/>
          <w:color w:val="000000" w:themeColor="text1"/>
          <w:sz w:val="22"/>
          <w:szCs w:val="22"/>
          <w:lang w:eastAsia="en-GB"/>
        </w:rPr>
        <w:t>H</w:t>
      </w:r>
      <w:r w:rsidRPr="00593718">
        <w:rPr>
          <w:rFonts w:ascii="Arial" w:hAnsi="Arial" w:cs="Arial"/>
          <w:color w:val="000000" w:themeColor="text1"/>
          <w:sz w:val="22"/>
          <w:szCs w:val="22"/>
        </w:rPr>
        <w:t xml:space="preserve">, the Inverse Care Law and the Healthcare Access </w:t>
      </w:r>
      <w:r w:rsidRPr="00593718">
        <w:rPr>
          <w:rFonts w:ascii="Arial" w:hAnsi="Arial" w:cs="Arial"/>
          <w:color w:val="000000" w:themeColor="text1"/>
          <w:sz w:val="22"/>
          <w:szCs w:val="22"/>
        </w:rPr>
        <w:lastRenderedPageBreak/>
        <w:t>Framework, highlighting how they explain the relationship between socioeconomic deprivation and healthcare access. It also explored international approaches to reducing HI and compared these with current policies and legislation in England, including the NHS Long Term Plan, Core20PLUS5 and the Health and Care Act 2022. Collectively, the evidence demonstrates that reducing HI requires action beyond healthcare services alone. The next chapter outlines the research methodology, explaining the research design, search strategy, data collection and analytical approach used to examine the existing literature and address the research aim and objectives.</w:t>
      </w:r>
    </w:p>
    <w:p w14:paraId="2AB72F5F" w14:textId="77777777" w:rsidR="00AA0B88" w:rsidRPr="00593718" w:rsidRDefault="00AA0B88" w:rsidP="00593718">
      <w:pPr>
        <w:pStyle w:val="paragraph"/>
        <w:spacing w:before="0" w:beforeAutospacing="0" w:after="0" w:afterAutospacing="0" w:line="360" w:lineRule="auto"/>
        <w:jc w:val="both"/>
        <w:textAlignment w:val="baseline"/>
        <w:rPr>
          <w:rFonts w:ascii="Arial" w:hAnsi="Arial" w:cs="Arial"/>
          <w:sz w:val="22"/>
          <w:szCs w:val="22"/>
          <w:lang w:eastAsia="en-GB"/>
        </w:rPr>
      </w:pPr>
      <w:r w:rsidRPr="00593718">
        <w:rPr>
          <w:rStyle w:val="eop"/>
          <w:rFonts w:ascii="Arial" w:eastAsia="Calibri Light" w:hAnsi="Arial" w:cs="Arial"/>
          <w:sz w:val="22"/>
          <w:szCs w:val="22"/>
        </w:rPr>
        <w:t> </w:t>
      </w:r>
    </w:p>
    <w:p w14:paraId="46D80293" w14:textId="50A10C6D" w:rsidR="00AA0B88" w:rsidRPr="00063B4C" w:rsidRDefault="00AA0B88" w:rsidP="00AA0B88">
      <w:pPr>
        <w:spacing w:line="813" w:lineRule="exact"/>
        <w:jc w:val="center"/>
        <w:rPr>
          <w:rFonts w:cs="Arial"/>
          <w:sz w:val="60"/>
          <w:szCs w:val="60"/>
        </w:rPr>
      </w:pPr>
    </w:p>
    <w:p w14:paraId="67E79133" w14:textId="77777777" w:rsidR="00AA0B88" w:rsidRDefault="00AA0B88" w:rsidP="00AA0B88">
      <w:pPr>
        <w:rPr>
          <w:rFonts w:cs="Arial"/>
          <w:sz w:val="70"/>
          <w:szCs w:val="70"/>
        </w:rPr>
      </w:pPr>
    </w:p>
    <w:p w14:paraId="39BA3C87" w14:textId="77777777" w:rsidR="00AA0B88" w:rsidRDefault="00AA0B88" w:rsidP="00AA0B88">
      <w:pPr>
        <w:rPr>
          <w:rFonts w:cs="Arial"/>
          <w:sz w:val="70"/>
          <w:szCs w:val="70"/>
        </w:rPr>
      </w:pPr>
    </w:p>
    <w:p w14:paraId="05558790" w14:textId="77777777" w:rsidR="00AA0B88" w:rsidRDefault="00AA0B88" w:rsidP="00AA0B88">
      <w:pPr>
        <w:pStyle w:val="isselectedend"/>
        <w:rPr>
          <w:rFonts w:ascii="Arial" w:hAnsi="Arial" w:cs="Arial"/>
          <w:sz w:val="22"/>
          <w:szCs w:val="22"/>
        </w:rPr>
      </w:pPr>
    </w:p>
    <w:p w14:paraId="39696553" w14:textId="77777777" w:rsidR="00AA0B88" w:rsidRDefault="00AA0B88" w:rsidP="00AA0B88">
      <w:pPr>
        <w:pStyle w:val="isselectedend"/>
        <w:rPr>
          <w:rFonts w:ascii="Arial" w:hAnsi="Arial" w:cs="Arial"/>
          <w:sz w:val="22"/>
          <w:szCs w:val="22"/>
        </w:rPr>
      </w:pPr>
    </w:p>
    <w:p w14:paraId="7119C47F" w14:textId="77777777" w:rsidR="00AA0B88" w:rsidRDefault="00AA0B88" w:rsidP="00AA0B88">
      <w:pPr>
        <w:pStyle w:val="isselectedend"/>
        <w:rPr>
          <w:rFonts w:ascii="Arial" w:hAnsi="Arial" w:cs="Arial"/>
          <w:sz w:val="22"/>
          <w:szCs w:val="22"/>
        </w:rPr>
      </w:pPr>
    </w:p>
    <w:p w14:paraId="445A78AF" w14:textId="77777777" w:rsidR="00AA0B88" w:rsidRDefault="00AA0B88" w:rsidP="00AA0B88">
      <w:pPr>
        <w:pStyle w:val="isselectedend"/>
        <w:rPr>
          <w:rFonts w:ascii="Arial" w:hAnsi="Arial" w:cs="Arial"/>
          <w:sz w:val="22"/>
          <w:szCs w:val="22"/>
        </w:rPr>
      </w:pPr>
    </w:p>
    <w:p w14:paraId="403FD005" w14:textId="77777777" w:rsidR="00AA0B88" w:rsidRDefault="00AA0B88" w:rsidP="00AA0B88">
      <w:pPr>
        <w:pStyle w:val="isselectedend"/>
        <w:rPr>
          <w:rFonts w:ascii="Arial" w:hAnsi="Arial" w:cs="Arial"/>
          <w:sz w:val="22"/>
          <w:szCs w:val="22"/>
        </w:rPr>
      </w:pPr>
    </w:p>
    <w:p w14:paraId="32238774" w14:textId="77777777" w:rsidR="00AA0B88" w:rsidRDefault="00AA0B88" w:rsidP="00AA0B88">
      <w:pPr>
        <w:pStyle w:val="isselectedend"/>
        <w:rPr>
          <w:rFonts w:ascii="Arial" w:hAnsi="Arial" w:cs="Arial"/>
          <w:sz w:val="22"/>
          <w:szCs w:val="22"/>
        </w:rPr>
      </w:pPr>
    </w:p>
    <w:p w14:paraId="7FDBCA2E" w14:textId="77777777" w:rsidR="00593718" w:rsidRDefault="00593718" w:rsidP="00AA0B88">
      <w:pPr>
        <w:pStyle w:val="isselectedend"/>
        <w:rPr>
          <w:rFonts w:ascii="Arial" w:hAnsi="Arial" w:cs="Arial"/>
          <w:sz w:val="22"/>
          <w:szCs w:val="22"/>
        </w:rPr>
      </w:pPr>
    </w:p>
    <w:p w14:paraId="43D86677" w14:textId="77777777" w:rsidR="00593718" w:rsidRDefault="00593718" w:rsidP="00AA0B88">
      <w:pPr>
        <w:pStyle w:val="isselectedend"/>
        <w:rPr>
          <w:rFonts w:ascii="Arial" w:hAnsi="Arial" w:cs="Arial"/>
          <w:sz w:val="22"/>
          <w:szCs w:val="22"/>
        </w:rPr>
      </w:pPr>
    </w:p>
    <w:p w14:paraId="22882E31" w14:textId="77777777" w:rsidR="00593718" w:rsidRDefault="00593718" w:rsidP="00AA0B88">
      <w:pPr>
        <w:pStyle w:val="isselectedend"/>
        <w:rPr>
          <w:rFonts w:ascii="Arial" w:hAnsi="Arial" w:cs="Arial"/>
          <w:sz w:val="22"/>
          <w:szCs w:val="22"/>
        </w:rPr>
      </w:pPr>
    </w:p>
    <w:p w14:paraId="6614193F" w14:textId="77777777" w:rsidR="00593718" w:rsidRDefault="00593718" w:rsidP="00AA0B88">
      <w:pPr>
        <w:pStyle w:val="isselectedend"/>
        <w:rPr>
          <w:rFonts w:ascii="Arial" w:hAnsi="Arial" w:cs="Arial"/>
          <w:sz w:val="22"/>
          <w:szCs w:val="22"/>
        </w:rPr>
      </w:pPr>
    </w:p>
    <w:p w14:paraId="64B69186" w14:textId="77777777" w:rsidR="00593718" w:rsidRDefault="00593718" w:rsidP="00AA0B88">
      <w:pPr>
        <w:pStyle w:val="isselectedend"/>
        <w:rPr>
          <w:rFonts w:ascii="Arial" w:hAnsi="Arial" w:cs="Arial"/>
          <w:sz w:val="22"/>
          <w:szCs w:val="22"/>
        </w:rPr>
      </w:pPr>
    </w:p>
    <w:p w14:paraId="6905FE7D" w14:textId="77777777" w:rsidR="00593718" w:rsidRDefault="00593718" w:rsidP="00AA0B88">
      <w:pPr>
        <w:pStyle w:val="isselectedend"/>
        <w:rPr>
          <w:rFonts w:ascii="Arial" w:hAnsi="Arial" w:cs="Arial"/>
          <w:sz w:val="22"/>
          <w:szCs w:val="22"/>
        </w:rPr>
      </w:pPr>
    </w:p>
    <w:p w14:paraId="0DF5A93D" w14:textId="77777777" w:rsidR="00593718" w:rsidRDefault="00593718" w:rsidP="00AA0B88">
      <w:pPr>
        <w:pStyle w:val="isselectedend"/>
        <w:rPr>
          <w:rFonts w:ascii="Arial" w:hAnsi="Arial" w:cs="Arial"/>
          <w:sz w:val="22"/>
          <w:szCs w:val="22"/>
        </w:rPr>
      </w:pPr>
    </w:p>
    <w:p w14:paraId="2C8458D4" w14:textId="77777777" w:rsidR="00A55324" w:rsidRDefault="00A55324" w:rsidP="00AA0B88">
      <w:pPr>
        <w:pStyle w:val="isselectedend"/>
        <w:rPr>
          <w:rFonts w:ascii="Arial" w:hAnsi="Arial" w:cs="Arial"/>
          <w:sz w:val="22"/>
          <w:szCs w:val="22"/>
        </w:rPr>
      </w:pPr>
    </w:p>
    <w:p w14:paraId="6A50A5E2" w14:textId="77777777" w:rsidR="00A55324" w:rsidRDefault="00A55324" w:rsidP="00AA0B88">
      <w:pPr>
        <w:pStyle w:val="isselectedend"/>
        <w:rPr>
          <w:rFonts w:ascii="Arial" w:hAnsi="Arial" w:cs="Arial"/>
          <w:sz w:val="22"/>
          <w:szCs w:val="22"/>
        </w:rPr>
      </w:pPr>
    </w:p>
    <w:p w14:paraId="0B0F56F7" w14:textId="77777777" w:rsidR="0061020A" w:rsidRDefault="0061020A" w:rsidP="00AA0B88">
      <w:pPr>
        <w:pStyle w:val="isselectedend"/>
        <w:rPr>
          <w:rFonts w:ascii="Arial" w:hAnsi="Arial" w:cs="Arial"/>
          <w:sz w:val="22"/>
          <w:szCs w:val="22"/>
        </w:rPr>
      </w:pPr>
    </w:p>
    <w:p w14:paraId="441B15DF" w14:textId="660C9079" w:rsidR="00AA0B88" w:rsidRDefault="00AA0B88" w:rsidP="00AA0B88">
      <w:pPr>
        <w:pStyle w:val="isselectedend"/>
        <w:rPr>
          <w:rFonts w:ascii="Arial" w:hAnsi="Arial" w:cs="Arial"/>
          <w:sz w:val="22"/>
          <w:szCs w:val="22"/>
        </w:rPr>
      </w:pPr>
      <w:r>
        <w:rPr>
          <w:rFonts w:ascii="Arial" w:hAnsi="Arial" w:cs="Arial"/>
          <w:sz w:val="22"/>
          <w:szCs w:val="22"/>
        </w:rPr>
        <w:t xml:space="preserve">Reference list </w:t>
      </w:r>
    </w:p>
    <w:p w14:paraId="6F72EC55" w14:textId="20F9A153" w:rsidR="00AA0B88" w:rsidRPr="00AA0B88" w:rsidRDefault="00AA0B88" w:rsidP="00AA0B88">
      <w:pPr>
        <w:pStyle w:val="isselectedend"/>
        <w:rPr>
          <w:rFonts w:ascii="Arial" w:hAnsi="Arial" w:cs="Arial"/>
          <w:sz w:val="22"/>
          <w:szCs w:val="22"/>
        </w:rPr>
      </w:pPr>
      <w:r w:rsidRPr="00AA0B88">
        <w:rPr>
          <w:rFonts w:ascii="Arial" w:hAnsi="Arial" w:cs="Arial"/>
          <w:sz w:val="22"/>
          <w:szCs w:val="22"/>
        </w:rPr>
        <w:t xml:space="preserve">Acheson, D. (1998) </w:t>
      </w:r>
      <w:r w:rsidRPr="00AA0B88">
        <w:rPr>
          <w:rStyle w:val="Emphasis"/>
          <w:rFonts w:ascii="Arial" w:eastAsiaTheme="majorEastAsia" w:hAnsi="Arial" w:cs="Arial"/>
          <w:sz w:val="22"/>
          <w:szCs w:val="22"/>
        </w:rPr>
        <w:t>Independent Inquiry into Inequalities in Health Report</w:t>
      </w:r>
      <w:r w:rsidRPr="00AA0B88">
        <w:rPr>
          <w:rFonts w:ascii="Arial" w:hAnsi="Arial" w:cs="Arial"/>
          <w:sz w:val="22"/>
          <w:szCs w:val="22"/>
        </w:rPr>
        <w:t xml:space="preserve">. London: The Stationery Office. Available at: </w:t>
      </w:r>
      <w:hyperlink r:id="rId6" w:history="1">
        <w:r w:rsidRPr="00AA0B88">
          <w:rPr>
            <w:rStyle w:val="Hyperlink"/>
            <w:rFonts w:ascii="Arial" w:eastAsiaTheme="majorEastAsia" w:hAnsi="Arial" w:cs="Arial"/>
            <w:sz w:val="22"/>
            <w:szCs w:val="22"/>
          </w:rPr>
          <w:t>https://assets.publishing.service.gov.uk/government/uploads/system/uploads/attachment_data/file/265503/ih.pdf</w:t>
        </w:r>
      </w:hyperlink>
      <w:r w:rsidRPr="00AA0B88">
        <w:rPr>
          <w:rFonts w:ascii="Arial" w:hAnsi="Arial" w:cs="Arial"/>
          <w:sz w:val="22"/>
          <w:szCs w:val="22"/>
        </w:rPr>
        <w:t xml:space="preserve"> (Accessed: 25 June 2026).</w:t>
      </w:r>
    </w:p>
    <w:p w14:paraId="26E16574" w14:textId="77777777" w:rsidR="00AA0B88" w:rsidRPr="00AA0B88" w:rsidRDefault="00AA0B88" w:rsidP="00AA0B88">
      <w:pPr>
        <w:pStyle w:val="isselectedend"/>
        <w:rPr>
          <w:rFonts w:ascii="Arial" w:hAnsi="Arial" w:cs="Arial"/>
          <w:sz w:val="22"/>
          <w:szCs w:val="22"/>
        </w:rPr>
      </w:pPr>
      <w:proofErr w:type="spellStart"/>
      <w:r w:rsidRPr="00AA0B88">
        <w:rPr>
          <w:rFonts w:ascii="Arial" w:hAnsi="Arial" w:cs="Arial"/>
          <w:sz w:val="22"/>
          <w:szCs w:val="22"/>
        </w:rPr>
        <w:t>Alderwick</w:t>
      </w:r>
      <w:proofErr w:type="spellEnd"/>
      <w:r w:rsidRPr="00AA0B88">
        <w:rPr>
          <w:rFonts w:ascii="Arial" w:hAnsi="Arial" w:cs="Arial"/>
          <w:sz w:val="22"/>
          <w:szCs w:val="22"/>
        </w:rPr>
        <w:t xml:space="preserve">, H., Hutchings, A. and Mays, N. (2024) ‘Solving poverty or tackling healthcare inequalities? Qualitative study exploring local interpretations of national policy on health inequalities under new NHS reforms in England’, </w:t>
      </w:r>
      <w:r w:rsidRPr="00AA0B88">
        <w:rPr>
          <w:rStyle w:val="Emphasis"/>
          <w:rFonts w:ascii="Arial" w:eastAsiaTheme="majorEastAsia" w:hAnsi="Arial" w:cs="Arial"/>
          <w:sz w:val="22"/>
          <w:szCs w:val="22"/>
        </w:rPr>
        <w:t>BMJ Open</w:t>
      </w:r>
      <w:r w:rsidRPr="00AA0B88">
        <w:rPr>
          <w:rFonts w:ascii="Arial" w:hAnsi="Arial" w:cs="Arial"/>
          <w:sz w:val="22"/>
          <w:szCs w:val="22"/>
        </w:rPr>
        <w:t xml:space="preserve">, 14(4), e081954. Available at: </w:t>
      </w:r>
      <w:hyperlink r:id="rId7" w:history="1">
        <w:r w:rsidRPr="00AA0B88">
          <w:rPr>
            <w:rStyle w:val="Hyperlink"/>
            <w:rFonts w:ascii="Arial" w:eastAsiaTheme="majorEastAsia" w:hAnsi="Arial" w:cs="Arial"/>
            <w:sz w:val="22"/>
            <w:szCs w:val="22"/>
          </w:rPr>
          <w:t>https://bmjopen.bmj.com/content/14/4/e081954</w:t>
        </w:r>
      </w:hyperlink>
      <w:r w:rsidRPr="00AA0B88">
        <w:rPr>
          <w:rFonts w:ascii="Arial" w:hAnsi="Arial" w:cs="Arial"/>
          <w:sz w:val="22"/>
          <w:szCs w:val="22"/>
        </w:rPr>
        <w:t xml:space="preserve"> (Accessed: 30 June 2026).</w:t>
      </w:r>
    </w:p>
    <w:p w14:paraId="2FFDCE43" w14:textId="77777777" w:rsidR="00AA0B88" w:rsidRPr="00AA0B88" w:rsidRDefault="00AA0B88" w:rsidP="00AA0B88">
      <w:pPr>
        <w:pStyle w:val="isselectedend"/>
        <w:rPr>
          <w:rFonts w:ascii="Arial" w:hAnsi="Arial" w:cs="Arial"/>
          <w:sz w:val="22"/>
          <w:szCs w:val="22"/>
        </w:rPr>
      </w:pPr>
      <w:r w:rsidRPr="00AA0B88">
        <w:rPr>
          <w:rFonts w:ascii="Arial" w:hAnsi="Arial" w:cs="Arial"/>
          <w:sz w:val="22"/>
          <w:szCs w:val="22"/>
        </w:rPr>
        <w:t xml:space="preserve">Beveridge, W. (1942) </w:t>
      </w:r>
      <w:r w:rsidRPr="00AA0B88">
        <w:rPr>
          <w:rStyle w:val="Emphasis"/>
          <w:rFonts w:ascii="Arial" w:eastAsiaTheme="majorEastAsia" w:hAnsi="Arial" w:cs="Arial"/>
          <w:sz w:val="22"/>
          <w:szCs w:val="22"/>
        </w:rPr>
        <w:t>Social Insurance and Allied Services</w:t>
      </w:r>
      <w:r w:rsidRPr="00AA0B88">
        <w:rPr>
          <w:rFonts w:ascii="Arial" w:hAnsi="Arial" w:cs="Arial"/>
          <w:sz w:val="22"/>
          <w:szCs w:val="22"/>
        </w:rPr>
        <w:t xml:space="preserve">. London: His Majesty's Stationery Office. Available at: </w:t>
      </w:r>
      <w:hyperlink r:id="rId8" w:history="1">
        <w:r w:rsidRPr="00AA0B88">
          <w:rPr>
            <w:rStyle w:val="Hyperlink"/>
            <w:rFonts w:ascii="Arial" w:eastAsiaTheme="majorEastAsia" w:hAnsi="Arial" w:cs="Arial"/>
            <w:sz w:val="22"/>
            <w:szCs w:val="22"/>
          </w:rPr>
          <w:t>https://archive.org/details/in.ernet.dli.2015.275849</w:t>
        </w:r>
      </w:hyperlink>
      <w:r w:rsidRPr="00AA0B88">
        <w:rPr>
          <w:rFonts w:ascii="Arial" w:hAnsi="Arial" w:cs="Arial"/>
          <w:sz w:val="22"/>
          <w:szCs w:val="22"/>
        </w:rPr>
        <w:t xml:space="preserve"> (Accessed: 25 June 2026).</w:t>
      </w:r>
    </w:p>
    <w:p w14:paraId="36DE9FE1" w14:textId="77777777" w:rsidR="00AA0B88" w:rsidRPr="00AA0B88" w:rsidRDefault="00AA0B88" w:rsidP="00AA0B88">
      <w:pPr>
        <w:pStyle w:val="isselectedend"/>
        <w:rPr>
          <w:rFonts w:ascii="Arial" w:hAnsi="Arial" w:cs="Arial"/>
          <w:sz w:val="22"/>
          <w:szCs w:val="22"/>
        </w:rPr>
      </w:pPr>
      <w:r w:rsidRPr="00AA0B88">
        <w:rPr>
          <w:rFonts w:ascii="Arial" w:hAnsi="Arial" w:cs="Arial"/>
          <w:sz w:val="22"/>
          <w:szCs w:val="22"/>
        </w:rPr>
        <w:t xml:space="preserve">Bourke, L., Humphreys, J.S., </w:t>
      </w:r>
      <w:proofErr w:type="spellStart"/>
      <w:r w:rsidRPr="00AA0B88">
        <w:rPr>
          <w:rFonts w:ascii="Arial" w:hAnsi="Arial" w:cs="Arial"/>
          <w:sz w:val="22"/>
          <w:szCs w:val="22"/>
        </w:rPr>
        <w:t>Wakerman</w:t>
      </w:r>
      <w:proofErr w:type="spellEnd"/>
      <w:r w:rsidRPr="00AA0B88">
        <w:rPr>
          <w:rFonts w:ascii="Arial" w:hAnsi="Arial" w:cs="Arial"/>
          <w:sz w:val="22"/>
          <w:szCs w:val="22"/>
        </w:rPr>
        <w:t xml:space="preserve">, J. and Taylor, J. (2012) ‘Understanding rural and remote health: A framework for analysis in Australia’, </w:t>
      </w:r>
      <w:r w:rsidRPr="00AA0B88">
        <w:rPr>
          <w:rStyle w:val="Emphasis"/>
          <w:rFonts w:ascii="Arial" w:eastAsiaTheme="majorEastAsia" w:hAnsi="Arial" w:cs="Arial"/>
          <w:sz w:val="22"/>
          <w:szCs w:val="22"/>
        </w:rPr>
        <w:t>Health &amp; Place</w:t>
      </w:r>
      <w:r w:rsidRPr="00AA0B88">
        <w:rPr>
          <w:rFonts w:ascii="Arial" w:hAnsi="Arial" w:cs="Arial"/>
          <w:sz w:val="22"/>
          <w:szCs w:val="22"/>
        </w:rPr>
        <w:t xml:space="preserve">, 18(3), pp. 496–503. Available at: </w:t>
      </w:r>
      <w:hyperlink r:id="rId9" w:history="1">
        <w:r w:rsidRPr="00AA0B88">
          <w:rPr>
            <w:rStyle w:val="Hyperlink"/>
            <w:rFonts w:ascii="Arial" w:eastAsiaTheme="majorEastAsia" w:hAnsi="Arial" w:cs="Arial"/>
            <w:sz w:val="22"/>
            <w:szCs w:val="22"/>
          </w:rPr>
          <w:t>https://www.sciencedirect.com/science/article/abs/pii/S1353829212000354</w:t>
        </w:r>
      </w:hyperlink>
      <w:r w:rsidRPr="00AA0B88">
        <w:rPr>
          <w:rFonts w:ascii="Arial" w:hAnsi="Arial" w:cs="Arial"/>
          <w:sz w:val="22"/>
          <w:szCs w:val="22"/>
        </w:rPr>
        <w:t xml:space="preserve"> (Accessed: 29 June 2026).</w:t>
      </w:r>
    </w:p>
    <w:p w14:paraId="15A855C7" w14:textId="77777777" w:rsidR="00AA0B88" w:rsidRPr="00AA0B88" w:rsidRDefault="00AA0B88" w:rsidP="00AA0B88">
      <w:pPr>
        <w:pStyle w:val="isselectedend"/>
        <w:rPr>
          <w:rFonts w:ascii="Arial" w:hAnsi="Arial" w:cs="Arial"/>
          <w:sz w:val="22"/>
          <w:szCs w:val="22"/>
        </w:rPr>
      </w:pPr>
      <w:r w:rsidRPr="00AA0B88">
        <w:rPr>
          <w:rFonts w:ascii="Arial" w:hAnsi="Arial" w:cs="Arial"/>
          <w:sz w:val="22"/>
          <w:szCs w:val="22"/>
        </w:rPr>
        <w:t xml:space="preserve">Carlander, A., Andersson, D. and Ylander, J. (2023) ‘The ever gap: The relationship between socioeconomic position and self-rated health in Sweden, 1999–2021’, </w:t>
      </w:r>
      <w:r w:rsidRPr="00AA0B88">
        <w:rPr>
          <w:rStyle w:val="Emphasis"/>
          <w:rFonts w:ascii="Arial" w:eastAsiaTheme="majorEastAsia" w:hAnsi="Arial" w:cs="Arial"/>
          <w:sz w:val="22"/>
          <w:szCs w:val="22"/>
        </w:rPr>
        <w:t>SSM – Population Health</w:t>
      </w:r>
      <w:r w:rsidRPr="00AA0B88">
        <w:rPr>
          <w:rFonts w:ascii="Arial" w:hAnsi="Arial" w:cs="Arial"/>
          <w:sz w:val="22"/>
          <w:szCs w:val="22"/>
        </w:rPr>
        <w:t xml:space="preserve">, 24, 101511. Available at: </w:t>
      </w:r>
      <w:hyperlink r:id="rId10" w:history="1">
        <w:r w:rsidRPr="00AA0B88">
          <w:rPr>
            <w:rStyle w:val="Hyperlink"/>
            <w:rFonts w:ascii="Arial" w:eastAsiaTheme="majorEastAsia" w:hAnsi="Arial" w:cs="Arial"/>
            <w:sz w:val="22"/>
            <w:szCs w:val="22"/>
          </w:rPr>
          <w:t>https://www.sciencedirect.com/science/article/pii/S2590291123003510</w:t>
        </w:r>
      </w:hyperlink>
      <w:r w:rsidRPr="00AA0B88">
        <w:rPr>
          <w:rFonts w:ascii="Arial" w:hAnsi="Arial" w:cs="Arial"/>
          <w:sz w:val="22"/>
          <w:szCs w:val="22"/>
        </w:rPr>
        <w:t xml:space="preserve"> (Accessed: 29 June 2026).</w:t>
      </w:r>
    </w:p>
    <w:p w14:paraId="75EF815E" w14:textId="77777777" w:rsidR="00AA0B88" w:rsidRPr="00AA0B88" w:rsidRDefault="00AA0B88" w:rsidP="00AA0B88">
      <w:pPr>
        <w:pStyle w:val="isselectedend"/>
        <w:rPr>
          <w:rFonts w:ascii="Arial" w:hAnsi="Arial" w:cs="Arial"/>
          <w:sz w:val="22"/>
          <w:szCs w:val="22"/>
        </w:rPr>
      </w:pPr>
      <w:r w:rsidRPr="00AA0B88">
        <w:rPr>
          <w:rFonts w:ascii="Arial" w:hAnsi="Arial" w:cs="Arial"/>
          <w:sz w:val="22"/>
          <w:szCs w:val="22"/>
        </w:rPr>
        <w:t xml:space="preserve">Cookson, R., Propper, C., Asaria, M. and Raine, R. (2016) ‘Socio-economic inequalities in health care in England’, </w:t>
      </w:r>
      <w:r w:rsidRPr="00AA0B88">
        <w:rPr>
          <w:rStyle w:val="Emphasis"/>
          <w:rFonts w:ascii="Arial" w:eastAsiaTheme="majorEastAsia" w:hAnsi="Arial" w:cs="Arial"/>
          <w:sz w:val="22"/>
          <w:szCs w:val="22"/>
        </w:rPr>
        <w:t>Fiscal Studies</w:t>
      </w:r>
      <w:r w:rsidRPr="00AA0B88">
        <w:rPr>
          <w:rFonts w:ascii="Arial" w:hAnsi="Arial" w:cs="Arial"/>
          <w:sz w:val="22"/>
          <w:szCs w:val="22"/>
        </w:rPr>
        <w:t xml:space="preserve">, 37(3–4), pp. 371–403. Available at: </w:t>
      </w:r>
      <w:hyperlink r:id="rId11" w:history="1">
        <w:r w:rsidRPr="00AA0B88">
          <w:rPr>
            <w:rStyle w:val="Hyperlink"/>
            <w:rFonts w:ascii="Arial" w:eastAsiaTheme="majorEastAsia" w:hAnsi="Arial" w:cs="Arial"/>
            <w:sz w:val="22"/>
            <w:szCs w:val="22"/>
          </w:rPr>
          <w:t>https://onlinelibrary.wiley.com/doi/10.1111/j.1475-5890.2016.12109</w:t>
        </w:r>
      </w:hyperlink>
      <w:r w:rsidRPr="00AA0B88">
        <w:rPr>
          <w:rFonts w:ascii="Arial" w:hAnsi="Arial" w:cs="Arial"/>
          <w:sz w:val="22"/>
          <w:szCs w:val="22"/>
        </w:rPr>
        <w:t xml:space="preserve"> (Accessed: 26 June 2026).</w:t>
      </w:r>
    </w:p>
    <w:p w14:paraId="0042D755" w14:textId="77777777" w:rsidR="00AA0B88" w:rsidRPr="00AA0B88" w:rsidRDefault="00AA0B88" w:rsidP="00AA0B88">
      <w:pPr>
        <w:pStyle w:val="isselectedend"/>
        <w:rPr>
          <w:rFonts w:ascii="Arial" w:hAnsi="Arial" w:cs="Arial"/>
          <w:sz w:val="22"/>
          <w:szCs w:val="22"/>
        </w:rPr>
      </w:pPr>
      <w:r w:rsidRPr="00AA0B88">
        <w:rPr>
          <w:rFonts w:ascii="Arial" w:hAnsi="Arial" w:cs="Arial"/>
          <w:sz w:val="22"/>
          <w:szCs w:val="22"/>
        </w:rPr>
        <w:t xml:space="preserve">Department of Health and Social Care (2022) </w:t>
      </w:r>
      <w:r w:rsidRPr="00AA0B88">
        <w:rPr>
          <w:rStyle w:val="Emphasis"/>
          <w:rFonts w:ascii="Arial" w:eastAsiaTheme="majorEastAsia" w:hAnsi="Arial" w:cs="Arial"/>
          <w:sz w:val="22"/>
          <w:szCs w:val="22"/>
        </w:rPr>
        <w:t>Health and Care Act 2022</w:t>
      </w:r>
      <w:r w:rsidRPr="00AA0B88">
        <w:rPr>
          <w:rFonts w:ascii="Arial" w:hAnsi="Arial" w:cs="Arial"/>
          <w:sz w:val="22"/>
          <w:szCs w:val="22"/>
        </w:rPr>
        <w:t xml:space="preserve">. Available at: </w:t>
      </w:r>
      <w:hyperlink r:id="rId12" w:history="1">
        <w:r w:rsidRPr="00AA0B88">
          <w:rPr>
            <w:rStyle w:val="Hyperlink"/>
            <w:rFonts w:ascii="Arial" w:eastAsiaTheme="majorEastAsia" w:hAnsi="Arial" w:cs="Arial"/>
            <w:sz w:val="22"/>
            <w:szCs w:val="22"/>
          </w:rPr>
          <w:t>https://www.legislation.gov.uk/ukpga/2022/31/contents</w:t>
        </w:r>
      </w:hyperlink>
      <w:r w:rsidRPr="00AA0B88">
        <w:rPr>
          <w:rFonts w:ascii="Arial" w:hAnsi="Arial" w:cs="Arial"/>
          <w:sz w:val="22"/>
          <w:szCs w:val="22"/>
        </w:rPr>
        <w:t xml:space="preserve"> (Accessed: 28 June 2026).</w:t>
      </w:r>
    </w:p>
    <w:p w14:paraId="1F4B85D0" w14:textId="77777777" w:rsidR="00AA0B88" w:rsidRPr="00AA0B88" w:rsidRDefault="00AA0B88" w:rsidP="00AA0B88">
      <w:pPr>
        <w:pStyle w:val="isselectedend"/>
        <w:rPr>
          <w:rFonts w:ascii="Arial" w:hAnsi="Arial" w:cs="Arial"/>
          <w:sz w:val="22"/>
          <w:szCs w:val="22"/>
        </w:rPr>
      </w:pPr>
      <w:r w:rsidRPr="00AA0B88">
        <w:rPr>
          <w:rFonts w:ascii="Arial" w:hAnsi="Arial" w:cs="Arial"/>
          <w:sz w:val="22"/>
          <w:szCs w:val="22"/>
        </w:rPr>
        <w:t xml:space="preserve">Eberhardt, J., Kane, L., Portman, R., Ling, J., Goddard, T., Johnston, M., Robinson, C., Reay, A., Divers, A. and Newbury-Birch, D. (2025) ‘Barriers and facilitators of NHS Health Checks in socioeconomically deprived communities in the North East of England: A qualitative study with peer researchers’, </w:t>
      </w:r>
      <w:r w:rsidRPr="00AA0B88">
        <w:rPr>
          <w:rStyle w:val="Emphasis"/>
          <w:rFonts w:ascii="Arial" w:eastAsiaTheme="majorEastAsia" w:hAnsi="Arial" w:cs="Arial"/>
          <w:sz w:val="22"/>
          <w:szCs w:val="22"/>
        </w:rPr>
        <w:t>BMC Primary Care</w:t>
      </w:r>
      <w:r w:rsidRPr="00AA0B88">
        <w:rPr>
          <w:rFonts w:ascii="Arial" w:hAnsi="Arial" w:cs="Arial"/>
          <w:sz w:val="22"/>
          <w:szCs w:val="22"/>
        </w:rPr>
        <w:t xml:space="preserve">. Available at: </w:t>
      </w:r>
      <w:hyperlink r:id="rId13" w:history="1">
        <w:r w:rsidRPr="00AA0B88">
          <w:rPr>
            <w:rStyle w:val="Hyperlink"/>
            <w:rFonts w:ascii="Arial" w:eastAsiaTheme="majorEastAsia" w:hAnsi="Arial" w:cs="Arial"/>
            <w:sz w:val="22"/>
            <w:szCs w:val="22"/>
          </w:rPr>
          <w:t>https://pubmed.ncbi.nlm.nih.gov/40235142/</w:t>
        </w:r>
      </w:hyperlink>
      <w:r w:rsidRPr="00AA0B88">
        <w:rPr>
          <w:rFonts w:ascii="Arial" w:hAnsi="Arial" w:cs="Arial"/>
          <w:sz w:val="22"/>
          <w:szCs w:val="22"/>
        </w:rPr>
        <w:t xml:space="preserve"> (Accessed: 1 July 2026).</w:t>
      </w:r>
    </w:p>
    <w:p w14:paraId="2F593D4E" w14:textId="77777777" w:rsidR="00AA0B88" w:rsidRPr="00AA0B88" w:rsidRDefault="00AA0B88" w:rsidP="00AA0B88">
      <w:pPr>
        <w:pStyle w:val="isselectedend"/>
        <w:rPr>
          <w:rFonts w:ascii="Arial" w:hAnsi="Arial" w:cs="Arial"/>
          <w:sz w:val="22"/>
          <w:szCs w:val="22"/>
        </w:rPr>
      </w:pPr>
      <w:r w:rsidRPr="00AA0B88">
        <w:rPr>
          <w:rFonts w:ascii="Arial" w:hAnsi="Arial" w:cs="Arial"/>
          <w:sz w:val="22"/>
          <w:szCs w:val="22"/>
        </w:rPr>
        <w:t xml:space="preserve">Eikemo, T.A., Bambra, C., Judge, K. and Ringdal, K. (2008) ‘Welfare state regimes and differences in self-perceived health in Europe: A multilevel analysis’, </w:t>
      </w:r>
      <w:r w:rsidRPr="00AA0B88">
        <w:rPr>
          <w:rStyle w:val="Emphasis"/>
          <w:rFonts w:ascii="Arial" w:eastAsiaTheme="majorEastAsia" w:hAnsi="Arial" w:cs="Arial"/>
          <w:sz w:val="22"/>
          <w:szCs w:val="22"/>
        </w:rPr>
        <w:t>Social Science &amp; Medicine</w:t>
      </w:r>
      <w:r w:rsidRPr="00AA0B88">
        <w:rPr>
          <w:rFonts w:ascii="Arial" w:hAnsi="Arial" w:cs="Arial"/>
          <w:sz w:val="22"/>
          <w:szCs w:val="22"/>
        </w:rPr>
        <w:t xml:space="preserve">, 66(11), pp. 2281–2295. Available at: </w:t>
      </w:r>
      <w:hyperlink r:id="rId14" w:history="1">
        <w:r w:rsidRPr="00AA0B88">
          <w:rPr>
            <w:rStyle w:val="Hyperlink"/>
            <w:rFonts w:ascii="Arial" w:eastAsiaTheme="majorEastAsia" w:hAnsi="Arial" w:cs="Arial"/>
            <w:sz w:val="22"/>
            <w:szCs w:val="22"/>
          </w:rPr>
          <w:t>https://www.sciencedirect.com/science/article/abs/pii/S027795360800049X</w:t>
        </w:r>
      </w:hyperlink>
      <w:r w:rsidRPr="00AA0B88">
        <w:rPr>
          <w:rFonts w:ascii="Arial" w:hAnsi="Arial" w:cs="Arial"/>
          <w:sz w:val="22"/>
          <w:szCs w:val="22"/>
        </w:rPr>
        <w:t xml:space="preserve"> (Accessed: 29 June 2026).</w:t>
      </w:r>
    </w:p>
    <w:p w14:paraId="0D9198CE" w14:textId="77777777" w:rsidR="00AA0B88" w:rsidRPr="00AA0B88" w:rsidRDefault="00AA0B88" w:rsidP="00AA0B88">
      <w:pPr>
        <w:pStyle w:val="isselectedend"/>
        <w:rPr>
          <w:rFonts w:ascii="Arial" w:hAnsi="Arial" w:cs="Arial"/>
          <w:sz w:val="22"/>
          <w:szCs w:val="22"/>
        </w:rPr>
      </w:pPr>
      <w:r w:rsidRPr="00AA0B88">
        <w:rPr>
          <w:rFonts w:ascii="Arial" w:hAnsi="Arial" w:cs="Arial"/>
          <w:sz w:val="22"/>
          <w:szCs w:val="22"/>
        </w:rPr>
        <w:t xml:space="preserve">Equality Act 2010 (c. 15). London: The Stationery Office. Available at: </w:t>
      </w:r>
      <w:hyperlink r:id="rId15" w:history="1">
        <w:r w:rsidRPr="00AA0B88">
          <w:rPr>
            <w:rStyle w:val="Hyperlink"/>
            <w:rFonts w:ascii="Arial" w:eastAsiaTheme="majorEastAsia" w:hAnsi="Arial" w:cs="Arial"/>
            <w:sz w:val="22"/>
            <w:szCs w:val="22"/>
          </w:rPr>
          <w:t>https://www.legislation.gov.uk/ukpga/2010/15/contents</w:t>
        </w:r>
      </w:hyperlink>
      <w:r w:rsidRPr="00AA0B88">
        <w:rPr>
          <w:rFonts w:ascii="Arial" w:hAnsi="Arial" w:cs="Arial"/>
          <w:sz w:val="22"/>
          <w:szCs w:val="22"/>
        </w:rPr>
        <w:t xml:space="preserve"> (Accessed: 28 June 2026).</w:t>
      </w:r>
    </w:p>
    <w:p w14:paraId="259FC48B" w14:textId="77777777" w:rsidR="00AA0B88" w:rsidRPr="00AA0B88" w:rsidRDefault="00AA0B88" w:rsidP="00AA0B88">
      <w:pPr>
        <w:pStyle w:val="isselectedend"/>
        <w:rPr>
          <w:rFonts w:ascii="Arial" w:hAnsi="Arial" w:cs="Arial"/>
          <w:sz w:val="22"/>
          <w:szCs w:val="22"/>
        </w:rPr>
      </w:pPr>
      <w:r w:rsidRPr="00AA0B88">
        <w:rPr>
          <w:rFonts w:ascii="Arial" w:hAnsi="Arial" w:cs="Arial"/>
          <w:sz w:val="22"/>
          <w:szCs w:val="22"/>
        </w:rPr>
        <w:lastRenderedPageBreak/>
        <w:t xml:space="preserve">Gorsky, M. (2008) ‘The British National Health Service 1948–2008: A review of the historiography’, </w:t>
      </w:r>
      <w:r w:rsidRPr="00AA0B88">
        <w:rPr>
          <w:rStyle w:val="Emphasis"/>
          <w:rFonts w:ascii="Arial" w:eastAsiaTheme="majorEastAsia" w:hAnsi="Arial" w:cs="Arial"/>
          <w:sz w:val="22"/>
          <w:szCs w:val="22"/>
        </w:rPr>
        <w:t>Social History of Medicine</w:t>
      </w:r>
      <w:r w:rsidRPr="00AA0B88">
        <w:rPr>
          <w:rFonts w:ascii="Arial" w:hAnsi="Arial" w:cs="Arial"/>
          <w:sz w:val="22"/>
          <w:szCs w:val="22"/>
        </w:rPr>
        <w:t xml:space="preserve">, 21(3), pp. 437–460. Available at: </w:t>
      </w:r>
      <w:hyperlink r:id="rId16" w:history="1">
        <w:r w:rsidRPr="00AA0B88">
          <w:rPr>
            <w:rStyle w:val="Hyperlink"/>
            <w:rFonts w:ascii="Arial" w:eastAsiaTheme="majorEastAsia" w:hAnsi="Arial" w:cs="Arial"/>
            <w:sz w:val="22"/>
            <w:szCs w:val="22"/>
          </w:rPr>
          <w:t>https://doi.org/10.1093/shm/hkn064</w:t>
        </w:r>
      </w:hyperlink>
      <w:r w:rsidRPr="00AA0B88">
        <w:rPr>
          <w:rFonts w:ascii="Arial" w:hAnsi="Arial" w:cs="Arial"/>
          <w:sz w:val="22"/>
          <w:szCs w:val="22"/>
        </w:rPr>
        <w:t xml:space="preserve"> (Accessed: 26 June 2026).</w:t>
      </w:r>
    </w:p>
    <w:p w14:paraId="7D43DAB0" w14:textId="77777777" w:rsidR="00AA0B88" w:rsidRPr="00AA0B88" w:rsidRDefault="00AA0B88" w:rsidP="00AA0B88">
      <w:pPr>
        <w:pStyle w:val="isselectedend"/>
        <w:rPr>
          <w:rFonts w:ascii="Arial" w:hAnsi="Arial" w:cs="Arial"/>
          <w:sz w:val="22"/>
          <w:szCs w:val="22"/>
        </w:rPr>
      </w:pPr>
      <w:r w:rsidRPr="00AA0B88">
        <w:rPr>
          <w:rFonts w:ascii="Arial" w:hAnsi="Arial" w:cs="Arial"/>
          <w:sz w:val="22"/>
          <w:szCs w:val="22"/>
        </w:rPr>
        <w:t xml:space="preserve">Gray, A.M. (1982) ‘Inequalities in health. The Black Report: A summary and comment’, </w:t>
      </w:r>
      <w:r w:rsidRPr="00AA0B88">
        <w:rPr>
          <w:rStyle w:val="Emphasis"/>
          <w:rFonts w:ascii="Arial" w:eastAsiaTheme="majorEastAsia" w:hAnsi="Arial" w:cs="Arial"/>
          <w:sz w:val="22"/>
          <w:szCs w:val="22"/>
        </w:rPr>
        <w:t>International Journal of Health Services</w:t>
      </w:r>
      <w:r w:rsidRPr="00AA0B88">
        <w:rPr>
          <w:rFonts w:ascii="Arial" w:hAnsi="Arial" w:cs="Arial"/>
          <w:sz w:val="22"/>
          <w:szCs w:val="22"/>
        </w:rPr>
        <w:t xml:space="preserve">, 12(3), pp. 349–380. Available at: </w:t>
      </w:r>
      <w:hyperlink r:id="rId17" w:history="1">
        <w:r w:rsidRPr="00AA0B88">
          <w:rPr>
            <w:rStyle w:val="Hyperlink"/>
            <w:rFonts w:ascii="Arial" w:eastAsiaTheme="majorEastAsia" w:hAnsi="Arial" w:cs="Arial"/>
            <w:sz w:val="22"/>
            <w:szCs w:val="22"/>
          </w:rPr>
          <w:t>https://pubmed.ncbi.nlm.nih.gov/7118327/</w:t>
        </w:r>
      </w:hyperlink>
      <w:r w:rsidRPr="00AA0B88">
        <w:rPr>
          <w:rFonts w:ascii="Arial" w:hAnsi="Arial" w:cs="Arial"/>
          <w:sz w:val="22"/>
          <w:szCs w:val="22"/>
        </w:rPr>
        <w:t xml:space="preserve"> (Accessed: 25 June 2026).</w:t>
      </w:r>
    </w:p>
    <w:p w14:paraId="2F299C1B" w14:textId="0A8DFA92" w:rsidR="00AA0B88" w:rsidRPr="00AA0B88" w:rsidRDefault="00AA0B88" w:rsidP="00AA0B88">
      <w:pPr>
        <w:pStyle w:val="isselectedend"/>
        <w:rPr>
          <w:rFonts w:ascii="Arial" w:hAnsi="Arial" w:cs="Arial"/>
          <w:sz w:val="22"/>
          <w:szCs w:val="22"/>
        </w:rPr>
      </w:pPr>
      <w:r w:rsidRPr="00AA0B88">
        <w:rPr>
          <w:rFonts w:ascii="Arial" w:hAnsi="Arial" w:cs="Arial"/>
          <w:sz w:val="22"/>
          <w:szCs w:val="22"/>
        </w:rPr>
        <w:t xml:space="preserve">Hart, J.T. (1971) ‘The Inverse Care Law’, </w:t>
      </w:r>
      <w:r w:rsidRPr="00AA0B88">
        <w:rPr>
          <w:rStyle w:val="Emphasis"/>
          <w:rFonts w:ascii="Arial" w:eastAsiaTheme="majorEastAsia" w:hAnsi="Arial" w:cs="Arial"/>
          <w:sz w:val="22"/>
          <w:szCs w:val="22"/>
        </w:rPr>
        <w:t>The Lancet</w:t>
      </w:r>
      <w:r w:rsidRPr="00AA0B88">
        <w:rPr>
          <w:rFonts w:ascii="Arial" w:hAnsi="Arial" w:cs="Arial"/>
          <w:sz w:val="22"/>
          <w:szCs w:val="22"/>
        </w:rPr>
        <w:t>, 297(7696), pp. 405–412. Available at:</w:t>
      </w:r>
      <w:r w:rsidR="00906B5C">
        <w:rPr>
          <w:rFonts w:ascii="Arial" w:hAnsi="Arial" w:cs="Arial"/>
          <w:sz w:val="22"/>
          <w:szCs w:val="22"/>
        </w:rPr>
        <w:t xml:space="preserve"> </w:t>
      </w:r>
      <w:hyperlink r:id="rId18" w:history="1">
        <w:r w:rsidR="00906B5C" w:rsidRPr="001612B5">
          <w:rPr>
            <w:rStyle w:val="Hyperlink"/>
            <w:rFonts w:ascii="Arial" w:hAnsi="Arial" w:cs="Arial"/>
            <w:sz w:val="22"/>
            <w:szCs w:val="22"/>
          </w:rPr>
          <w:t>https://www.sciencedirect.com/science/article/pii/S014067367192410X</w:t>
        </w:r>
      </w:hyperlink>
      <w:r w:rsidR="00906B5C">
        <w:rPr>
          <w:rFonts w:ascii="Arial" w:hAnsi="Arial" w:cs="Arial"/>
          <w:sz w:val="22"/>
          <w:szCs w:val="22"/>
        </w:rPr>
        <w:t xml:space="preserve"> </w:t>
      </w:r>
      <w:r w:rsidRPr="00AA0B88">
        <w:rPr>
          <w:rFonts w:ascii="Arial" w:hAnsi="Arial" w:cs="Arial"/>
          <w:sz w:val="22"/>
          <w:szCs w:val="22"/>
        </w:rPr>
        <w:t>(Accessed: 25 June 2026).</w:t>
      </w:r>
    </w:p>
    <w:p w14:paraId="6A568F8C" w14:textId="77777777" w:rsidR="00AA0B88" w:rsidRPr="00AA0B88" w:rsidRDefault="00AA0B88" w:rsidP="00AA0B88">
      <w:pPr>
        <w:pStyle w:val="NormalWeb"/>
        <w:rPr>
          <w:rFonts w:ascii="Arial" w:hAnsi="Arial" w:cs="Arial"/>
          <w:sz w:val="22"/>
          <w:szCs w:val="22"/>
        </w:rPr>
      </w:pPr>
      <w:r w:rsidRPr="00AA0B88">
        <w:rPr>
          <w:rFonts w:ascii="Arial" w:hAnsi="Arial" w:cs="Arial"/>
          <w:sz w:val="22"/>
          <w:szCs w:val="22"/>
        </w:rPr>
        <w:t xml:space="preserve">Huijts, T., Eikemo, T.A. and Skalická, V. (2010) ‘Income-related health inequalities in the Nordic countries: Examining the role of education, occupational class and age’, </w:t>
      </w:r>
      <w:r w:rsidRPr="00AA0B88">
        <w:rPr>
          <w:rStyle w:val="Emphasis"/>
          <w:rFonts w:ascii="Arial" w:eastAsiaTheme="majorEastAsia" w:hAnsi="Arial" w:cs="Arial"/>
          <w:sz w:val="22"/>
          <w:szCs w:val="22"/>
        </w:rPr>
        <w:t>Social Science &amp; Medicine</w:t>
      </w:r>
      <w:r w:rsidRPr="00AA0B88">
        <w:rPr>
          <w:rFonts w:ascii="Arial" w:hAnsi="Arial" w:cs="Arial"/>
          <w:sz w:val="22"/>
          <w:szCs w:val="22"/>
        </w:rPr>
        <w:t xml:space="preserve">, 71(11), pp. 1964–1972. Available at: </w:t>
      </w:r>
      <w:hyperlink r:id="rId19" w:history="1">
        <w:r w:rsidRPr="00AA0B88">
          <w:rPr>
            <w:rStyle w:val="Hyperlink"/>
            <w:rFonts w:ascii="Arial" w:eastAsiaTheme="majorEastAsia" w:hAnsi="Arial" w:cs="Arial"/>
            <w:sz w:val="22"/>
            <w:szCs w:val="22"/>
          </w:rPr>
          <w:t>https://www.sciencedirect.com/science/article/abs/pii/S0277953610006702</w:t>
        </w:r>
      </w:hyperlink>
      <w:r w:rsidRPr="00AA0B88">
        <w:rPr>
          <w:rFonts w:ascii="Arial" w:hAnsi="Arial" w:cs="Arial"/>
          <w:sz w:val="22"/>
          <w:szCs w:val="22"/>
        </w:rPr>
        <w:t xml:space="preserve"> (Accessed: 29 June 2026).</w:t>
      </w:r>
    </w:p>
    <w:p w14:paraId="07DB277C" w14:textId="77777777" w:rsidR="00AA0B88" w:rsidRPr="00AA0B88" w:rsidRDefault="00AA0B88" w:rsidP="00AA0B88">
      <w:pPr>
        <w:pStyle w:val="isselectedend"/>
        <w:rPr>
          <w:rFonts w:ascii="Arial" w:hAnsi="Arial" w:cs="Arial"/>
          <w:sz w:val="22"/>
          <w:szCs w:val="22"/>
        </w:rPr>
      </w:pPr>
      <w:r w:rsidRPr="00AA0B88">
        <w:rPr>
          <w:rFonts w:ascii="Arial" w:hAnsi="Arial" w:cs="Arial"/>
          <w:sz w:val="22"/>
          <w:szCs w:val="22"/>
        </w:rPr>
        <w:t xml:space="preserve">Iacobucci, G. (2020) ‘Marmot 10 years on: Austerity has damaged nation’s health, say experts’, </w:t>
      </w:r>
      <w:r w:rsidRPr="00AA0B88">
        <w:rPr>
          <w:rStyle w:val="Emphasis"/>
          <w:rFonts w:ascii="Arial" w:eastAsiaTheme="majorEastAsia" w:hAnsi="Arial" w:cs="Arial"/>
          <w:sz w:val="22"/>
          <w:szCs w:val="22"/>
        </w:rPr>
        <w:t>BMJ</w:t>
      </w:r>
      <w:r w:rsidRPr="00AA0B88">
        <w:rPr>
          <w:rFonts w:ascii="Arial" w:hAnsi="Arial" w:cs="Arial"/>
          <w:sz w:val="22"/>
          <w:szCs w:val="22"/>
        </w:rPr>
        <w:t xml:space="preserve">, 368, m747. Available at: </w:t>
      </w:r>
      <w:hyperlink r:id="rId20" w:history="1">
        <w:r w:rsidRPr="00AA0B88">
          <w:rPr>
            <w:rStyle w:val="Hyperlink"/>
            <w:rFonts w:ascii="Arial" w:eastAsiaTheme="majorEastAsia" w:hAnsi="Arial" w:cs="Arial"/>
            <w:sz w:val="22"/>
            <w:szCs w:val="22"/>
          </w:rPr>
          <w:t>https://www.bmj.com/content/368/bmj.m747</w:t>
        </w:r>
      </w:hyperlink>
      <w:r w:rsidRPr="00AA0B88">
        <w:rPr>
          <w:rFonts w:ascii="Arial" w:hAnsi="Arial" w:cs="Arial"/>
          <w:sz w:val="22"/>
          <w:szCs w:val="22"/>
        </w:rPr>
        <w:t xml:space="preserve"> (Accessed: 26 June 2026).</w:t>
      </w:r>
    </w:p>
    <w:p w14:paraId="7D868055" w14:textId="77777777" w:rsidR="00AA0B88" w:rsidRPr="00AA0B88" w:rsidRDefault="00AA0B88" w:rsidP="00AA0B88">
      <w:pPr>
        <w:pStyle w:val="isselectedend"/>
        <w:rPr>
          <w:rFonts w:ascii="Arial" w:hAnsi="Arial" w:cs="Arial"/>
          <w:sz w:val="22"/>
          <w:szCs w:val="22"/>
        </w:rPr>
      </w:pPr>
      <w:proofErr w:type="spellStart"/>
      <w:r w:rsidRPr="00AA0B88">
        <w:rPr>
          <w:rFonts w:ascii="Arial" w:hAnsi="Arial" w:cs="Arial"/>
          <w:sz w:val="22"/>
          <w:szCs w:val="22"/>
        </w:rPr>
        <w:t>Katikireddi</w:t>
      </w:r>
      <w:proofErr w:type="spellEnd"/>
      <w:r w:rsidRPr="00AA0B88">
        <w:rPr>
          <w:rFonts w:ascii="Arial" w:hAnsi="Arial" w:cs="Arial"/>
          <w:sz w:val="22"/>
          <w:szCs w:val="22"/>
        </w:rPr>
        <w:t xml:space="preserve">, S.V., Leyland, A.H., McKee, M., Ralston, K. and Stuckler, D. (2020) ‘Inequalities in all-cause and cause-specific mortality across the adult life course by wealth and income in Sweden’, </w:t>
      </w:r>
      <w:r w:rsidRPr="00AA0B88">
        <w:rPr>
          <w:rStyle w:val="Emphasis"/>
          <w:rFonts w:ascii="Arial" w:eastAsiaTheme="majorEastAsia" w:hAnsi="Arial" w:cs="Arial"/>
          <w:sz w:val="22"/>
          <w:szCs w:val="22"/>
        </w:rPr>
        <w:t>International Journal of Epidemiology</w:t>
      </w:r>
      <w:r w:rsidRPr="00AA0B88">
        <w:rPr>
          <w:rFonts w:ascii="Arial" w:hAnsi="Arial" w:cs="Arial"/>
          <w:sz w:val="22"/>
          <w:szCs w:val="22"/>
        </w:rPr>
        <w:t xml:space="preserve">, 49(3), pp. 917–930. Available at: </w:t>
      </w:r>
      <w:hyperlink r:id="rId21" w:history="1">
        <w:r w:rsidRPr="00AA0B88">
          <w:rPr>
            <w:rStyle w:val="Hyperlink"/>
            <w:rFonts w:ascii="Arial" w:eastAsiaTheme="majorEastAsia" w:hAnsi="Arial" w:cs="Arial"/>
            <w:sz w:val="22"/>
            <w:szCs w:val="22"/>
          </w:rPr>
          <w:t>https://pubmed.ncbi.nlm.nih.gov/32380544/</w:t>
        </w:r>
      </w:hyperlink>
      <w:r w:rsidRPr="00AA0B88">
        <w:rPr>
          <w:rFonts w:ascii="Arial" w:hAnsi="Arial" w:cs="Arial"/>
          <w:sz w:val="22"/>
          <w:szCs w:val="22"/>
        </w:rPr>
        <w:t xml:space="preserve"> (Accessed: 29 June 2026).</w:t>
      </w:r>
    </w:p>
    <w:p w14:paraId="2BF6373D" w14:textId="77777777" w:rsidR="00AA0B88" w:rsidRPr="00AA0B88" w:rsidRDefault="00AA0B88" w:rsidP="00AA0B88">
      <w:pPr>
        <w:pStyle w:val="isselectedend"/>
        <w:rPr>
          <w:rFonts w:ascii="Arial" w:hAnsi="Arial" w:cs="Arial"/>
          <w:sz w:val="22"/>
          <w:szCs w:val="22"/>
        </w:rPr>
      </w:pPr>
      <w:r w:rsidRPr="00AA0B88">
        <w:rPr>
          <w:rFonts w:ascii="Arial" w:hAnsi="Arial" w:cs="Arial"/>
          <w:sz w:val="22"/>
          <w:szCs w:val="22"/>
        </w:rPr>
        <w:t xml:space="preserve">Levesque, J.F., Harris, M.F. and Russell, G. (2013) ‘Patient-centred access to health care: Conceptualising access at the interface of health systems and populations’, </w:t>
      </w:r>
      <w:r w:rsidRPr="00AA0B88">
        <w:rPr>
          <w:rStyle w:val="Emphasis"/>
          <w:rFonts w:ascii="Arial" w:eastAsiaTheme="majorEastAsia" w:hAnsi="Arial" w:cs="Arial"/>
          <w:sz w:val="22"/>
          <w:szCs w:val="22"/>
        </w:rPr>
        <w:t>International Journal for Equity in Health</w:t>
      </w:r>
      <w:r w:rsidRPr="00AA0B88">
        <w:rPr>
          <w:rFonts w:ascii="Arial" w:hAnsi="Arial" w:cs="Arial"/>
          <w:sz w:val="22"/>
          <w:szCs w:val="22"/>
        </w:rPr>
        <w:t xml:space="preserve">, 12, 18. Available at: </w:t>
      </w:r>
      <w:hyperlink r:id="rId22" w:history="1">
        <w:r w:rsidRPr="00AA0B88">
          <w:rPr>
            <w:rStyle w:val="Hyperlink"/>
            <w:rFonts w:ascii="Arial" w:eastAsiaTheme="majorEastAsia" w:hAnsi="Arial" w:cs="Arial"/>
            <w:sz w:val="22"/>
            <w:szCs w:val="22"/>
          </w:rPr>
          <w:t>https://link.springer.com/article/10.1186/1475-9276-12-18</w:t>
        </w:r>
      </w:hyperlink>
      <w:r w:rsidRPr="00AA0B88">
        <w:rPr>
          <w:rFonts w:ascii="Arial" w:hAnsi="Arial" w:cs="Arial"/>
          <w:sz w:val="22"/>
          <w:szCs w:val="22"/>
        </w:rPr>
        <w:t xml:space="preserve"> (Accessed: 27 June 2026).</w:t>
      </w:r>
    </w:p>
    <w:p w14:paraId="1FB1EA77" w14:textId="77777777" w:rsidR="00AA0B88" w:rsidRPr="00AA0B88" w:rsidRDefault="00AA0B88" w:rsidP="00AA0B88">
      <w:pPr>
        <w:pStyle w:val="isselectedend"/>
        <w:rPr>
          <w:rFonts w:ascii="Arial" w:hAnsi="Arial" w:cs="Arial"/>
          <w:sz w:val="22"/>
          <w:szCs w:val="22"/>
        </w:rPr>
      </w:pPr>
      <w:proofErr w:type="spellStart"/>
      <w:r w:rsidRPr="00AA0B88">
        <w:rPr>
          <w:rFonts w:ascii="Arial" w:hAnsi="Arial" w:cs="Arial"/>
          <w:sz w:val="22"/>
          <w:szCs w:val="22"/>
        </w:rPr>
        <w:t>Mackenbach</w:t>
      </w:r>
      <w:proofErr w:type="spellEnd"/>
      <w:r w:rsidRPr="00AA0B88">
        <w:rPr>
          <w:rFonts w:ascii="Arial" w:hAnsi="Arial" w:cs="Arial"/>
          <w:sz w:val="22"/>
          <w:szCs w:val="22"/>
        </w:rPr>
        <w:t xml:space="preserve">, J.P. (2017) ‘Nordic paradox, Southern miracle, Eastern disaster: Persistence of inequalities in mortality in Europe’, </w:t>
      </w:r>
      <w:r w:rsidRPr="00AA0B88">
        <w:rPr>
          <w:rStyle w:val="Emphasis"/>
          <w:rFonts w:ascii="Arial" w:eastAsiaTheme="majorEastAsia" w:hAnsi="Arial" w:cs="Arial"/>
          <w:sz w:val="22"/>
          <w:szCs w:val="22"/>
        </w:rPr>
        <w:t>European Journal of Public Health</w:t>
      </w:r>
      <w:r w:rsidRPr="00AA0B88">
        <w:rPr>
          <w:rFonts w:ascii="Arial" w:hAnsi="Arial" w:cs="Arial"/>
          <w:sz w:val="22"/>
          <w:szCs w:val="22"/>
        </w:rPr>
        <w:t xml:space="preserve">, 27(Suppl. 4), pp. 14–17. Available at: </w:t>
      </w:r>
      <w:hyperlink r:id="rId23" w:history="1">
        <w:r w:rsidRPr="00AA0B88">
          <w:rPr>
            <w:rStyle w:val="Hyperlink"/>
            <w:rFonts w:ascii="Arial" w:eastAsiaTheme="majorEastAsia" w:hAnsi="Arial" w:cs="Arial"/>
            <w:sz w:val="22"/>
            <w:szCs w:val="22"/>
          </w:rPr>
          <w:t>https://pubmed.ncbi.nlm.nih.gov/29028239/</w:t>
        </w:r>
      </w:hyperlink>
      <w:r w:rsidRPr="00AA0B88">
        <w:rPr>
          <w:rFonts w:ascii="Arial" w:hAnsi="Arial" w:cs="Arial"/>
          <w:sz w:val="22"/>
          <w:szCs w:val="22"/>
        </w:rPr>
        <w:t xml:space="preserve"> (Accessed: 29 June 2026).</w:t>
      </w:r>
    </w:p>
    <w:p w14:paraId="077C9FC4" w14:textId="77777777" w:rsidR="00AA0B88" w:rsidRPr="00AA0B88" w:rsidRDefault="00AA0B88" w:rsidP="00AA0B88">
      <w:pPr>
        <w:pStyle w:val="isselectedend"/>
        <w:rPr>
          <w:rFonts w:ascii="Arial" w:hAnsi="Arial" w:cs="Arial"/>
          <w:sz w:val="22"/>
          <w:szCs w:val="22"/>
        </w:rPr>
      </w:pPr>
      <w:r w:rsidRPr="00AA0B88">
        <w:rPr>
          <w:rFonts w:ascii="Arial" w:hAnsi="Arial" w:cs="Arial"/>
          <w:sz w:val="22"/>
          <w:szCs w:val="22"/>
        </w:rPr>
        <w:t xml:space="preserve">Marmot, M. (2010) </w:t>
      </w:r>
      <w:r w:rsidRPr="00AA0B88">
        <w:rPr>
          <w:rStyle w:val="Emphasis"/>
          <w:rFonts w:ascii="Arial" w:eastAsiaTheme="majorEastAsia" w:hAnsi="Arial" w:cs="Arial"/>
          <w:sz w:val="22"/>
          <w:szCs w:val="22"/>
        </w:rPr>
        <w:t>Fair Society, Healthy Lives: The Marmot Review</w:t>
      </w:r>
      <w:r w:rsidRPr="00AA0B88">
        <w:rPr>
          <w:rFonts w:ascii="Arial" w:hAnsi="Arial" w:cs="Arial"/>
          <w:sz w:val="22"/>
          <w:szCs w:val="22"/>
        </w:rPr>
        <w:t xml:space="preserve">. London: Institute of Health Equity. Available at: </w:t>
      </w:r>
      <w:hyperlink r:id="rId24" w:history="1">
        <w:r w:rsidRPr="00AA0B88">
          <w:rPr>
            <w:rStyle w:val="Hyperlink"/>
            <w:rFonts w:ascii="Arial" w:eastAsiaTheme="majorEastAsia" w:hAnsi="Arial" w:cs="Arial"/>
            <w:sz w:val="22"/>
            <w:szCs w:val="22"/>
          </w:rPr>
          <w:t>https://www.instituteofhealthequity.org/resources-reports/fair-society-healthy-lives-the-marmot-review</w:t>
        </w:r>
      </w:hyperlink>
      <w:r w:rsidRPr="00AA0B88">
        <w:rPr>
          <w:rFonts w:ascii="Arial" w:hAnsi="Arial" w:cs="Arial"/>
          <w:sz w:val="22"/>
          <w:szCs w:val="22"/>
        </w:rPr>
        <w:t xml:space="preserve"> (Accessed: 25 June 2026).</w:t>
      </w:r>
    </w:p>
    <w:p w14:paraId="5309CF16" w14:textId="77777777" w:rsidR="00AA0B88" w:rsidRPr="00AA0B88" w:rsidRDefault="00AA0B88" w:rsidP="00AA0B88">
      <w:pPr>
        <w:pStyle w:val="isselectedend"/>
        <w:rPr>
          <w:rFonts w:ascii="Arial" w:hAnsi="Arial" w:cs="Arial"/>
          <w:sz w:val="22"/>
          <w:szCs w:val="22"/>
        </w:rPr>
      </w:pPr>
      <w:r w:rsidRPr="00AA0B88">
        <w:rPr>
          <w:rFonts w:ascii="Arial" w:hAnsi="Arial" w:cs="Arial"/>
          <w:sz w:val="22"/>
          <w:szCs w:val="22"/>
        </w:rPr>
        <w:t xml:space="preserve">Marmot, M. (2020) </w:t>
      </w:r>
      <w:r w:rsidRPr="00AA0B88">
        <w:rPr>
          <w:rStyle w:val="Emphasis"/>
          <w:rFonts w:ascii="Arial" w:eastAsiaTheme="majorEastAsia" w:hAnsi="Arial" w:cs="Arial"/>
          <w:sz w:val="22"/>
          <w:szCs w:val="22"/>
        </w:rPr>
        <w:t>Health Equity in England: The Marmot Review 10 Years On</w:t>
      </w:r>
      <w:r w:rsidRPr="00AA0B88">
        <w:rPr>
          <w:rFonts w:ascii="Arial" w:hAnsi="Arial" w:cs="Arial"/>
          <w:sz w:val="22"/>
          <w:szCs w:val="22"/>
        </w:rPr>
        <w:t xml:space="preserve">. London: Institute of Health Equity. Available at: </w:t>
      </w:r>
      <w:hyperlink r:id="rId25" w:history="1">
        <w:r w:rsidRPr="00AA0B88">
          <w:rPr>
            <w:rStyle w:val="Hyperlink"/>
            <w:rFonts w:ascii="Arial" w:eastAsiaTheme="majorEastAsia" w:hAnsi="Arial" w:cs="Arial"/>
            <w:sz w:val="22"/>
            <w:szCs w:val="22"/>
          </w:rPr>
          <w:t>https://www.instituteofhealthequity.org/resources-reports/marmot-review-10-years-on</w:t>
        </w:r>
      </w:hyperlink>
      <w:r w:rsidRPr="00AA0B88">
        <w:rPr>
          <w:rFonts w:ascii="Arial" w:hAnsi="Arial" w:cs="Arial"/>
          <w:sz w:val="22"/>
          <w:szCs w:val="22"/>
        </w:rPr>
        <w:t xml:space="preserve"> (Accessed: 26 June 2026).</w:t>
      </w:r>
    </w:p>
    <w:p w14:paraId="3A5A5144" w14:textId="77777777" w:rsidR="00AA0B88" w:rsidRPr="00AA0B88" w:rsidRDefault="00AA0B88" w:rsidP="00AA0B88">
      <w:pPr>
        <w:pStyle w:val="isselectedend"/>
        <w:rPr>
          <w:rFonts w:ascii="Arial" w:hAnsi="Arial" w:cs="Arial"/>
          <w:sz w:val="22"/>
          <w:szCs w:val="22"/>
        </w:rPr>
      </w:pPr>
      <w:r w:rsidRPr="00AA0B88">
        <w:rPr>
          <w:rFonts w:ascii="Arial" w:hAnsi="Arial" w:cs="Arial"/>
          <w:sz w:val="22"/>
          <w:szCs w:val="22"/>
        </w:rPr>
        <w:t xml:space="preserve">Marmot, M. and Allen, J. (2014) ‘Social determinants of health equity’, </w:t>
      </w:r>
      <w:r w:rsidRPr="00AA0B88">
        <w:rPr>
          <w:rStyle w:val="Emphasis"/>
          <w:rFonts w:ascii="Arial" w:eastAsiaTheme="majorEastAsia" w:hAnsi="Arial" w:cs="Arial"/>
          <w:sz w:val="22"/>
          <w:szCs w:val="22"/>
        </w:rPr>
        <w:t>American Journal of Public Health</w:t>
      </w:r>
      <w:r w:rsidRPr="00AA0B88">
        <w:rPr>
          <w:rFonts w:ascii="Arial" w:hAnsi="Arial" w:cs="Arial"/>
          <w:sz w:val="22"/>
          <w:szCs w:val="22"/>
        </w:rPr>
        <w:t xml:space="preserve">, 104(S4), pp. S517–S519. Available at: </w:t>
      </w:r>
      <w:hyperlink r:id="rId26" w:history="1">
        <w:r w:rsidRPr="00AA0B88">
          <w:rPr>
            <w:rStyle w:val="Hyperlink"/>
            <w:rFonts w:ascii="Arial" w:eastAsiaTheme="majorEastAsia" w:hAnsi="Arial" w:cs="Arial"/>
            <w:sz w:val="22"/>
            <w:szCs w:val="22"/>
          </w:rPr>
          <w:t>https://ajph.aphapublications.org/doi/10.2105/AJPH.2014.302200</w:t>
        </w:r>
      </w:hyperlink>
      <w:r w:rsidRPr="00AA0B88">
        <w:rPr>
          <w:rFonts w:ascii="Arial" w:hAnsi="Arial" w:cs="Arial"/>
          <w:sz w:val="22"/>
          <w:szCs w:val="22"/>
        </w:rPr>
        <w:t xml:space="preserve"> (Accessed: 26 June 2026).</w:t>
      </w:r>
    </w:p>
    <w:p w14:paraId="35EC621D" w14:textId="77777777" w:rsidR="00AA0B88" w:rsidRPr="00AA0B88" w:rsidRDefault="00AA0B88" w:rsidP="00AA0B88">
      <w:pPr>
        <w:pStyle w:val="NormalWeb"/>
        <w:rPr>
          <w:rFonts w:ascii="Arial" w:hAnsi="Arial" w:cs="Arial"/>
          <w:sz w:val="22"/>
          <w:szCs w:val="22"/>
        </w:rPr>
      </w:pPr>
      <w:r w:rsidRPr="00AA0B88">
        <w:rPr>
          <w:rFonts w:ascii="Arial" w:hAnsi="Arial" w:cs="Arial"/>
          <w:sz w:val="22"/>
          <w:szCs w:val="22"/>
        </w:rPr>
        <w:t xml:space="preserve">Martin, D., Miller, A.P., Quesnel-Vallée, A., Caron, N.R. and </w:t>
      </w:r>
      <w:proofErr w:type="spellStart"/>
      <w:r w:rsidRPr="00AA0B88">
        <w:rPr>
          <w:rFonts w:ascii="Arial" w:hAnsi="Arial" w:cs="Arial"/>
          <w:sz w:val="22"/>
          <w:szCs w:val="22"/>
        </w:rPr>
        <w:t>Vissandjée</w:t>
      </w:r>
      <w:proofErr w:type="spellEnd"/>
      <w:r w:rsidRPr="00AA0B88">
        <w:rPr>
          <w:rFonts w:ascii="Arial" w:hAnsi="Arial" w:cs="Arial"/>
          <w:sz w:val="22"/>
          <w:szCs w:val="22"/>
        </w:rPr>
        <w:t xml:space="preserve">, B. (2018) ‘Canada’s universal health-care system: Achieving its potential’, </w:t>
      </w:r>
      <w:r w:rsidRPr="00AA0B88">
        <w:rPr>
          <w:rStyle w:val="Emphasis"/>
          <w:rFonts w:ascii="Arial" w:eastAsiaTheme="majorEastAsia" w:hAnsi="Arial" w:cs="Arial"/>
          <w:sz w:val="22"/>
          <w:szCs w:val="22"/>
        </w:rPr>
        <w:t>The Lancet</w:t>
      </w:r>
      <w:r w:rsidRPr="00AA0B88">
        <w:rPr>
          <w:rFonts w:ascii="Arial" w:hAnsi="Arial" w:cs="Arial"/>
          <w:sz w:val="22"/>
          <w:szCs w:val="22"/>
        </w:rPr>
        <w:t xml:space="preserve">, 391(10131), pp. 1718–1735. Available at: </w:t>
      </w:r>
      <w:hyperlink r:id="rId27" w:history="1">
        <w:r w:rsidRPr="00AA0B88">
          <w:rPr>
            <w:rStyle w:val="Hyperlink"/>
            <w:rFonts w:ascii="Arial" w:eastAsiaTheme="majorEastAsia" w:hAnsi="Arial" w:cs="Arial"/>
            <w:sz w:val="22"/>
            <w:szCs w:val="22"/>
          </w:rPr>
          <w:t>https://www.thelancet.com/journals/lancet/article/PIIS0140-6736(18)30181-8/fulltext</w:t>
        </w:r>
      </w:hyperlink>
      <w:r w:rsidRPr="00AA0B88">
        <w:rPr>
          <w:rFonts w:ascii="Arial" w:hAnsi="Arial" w:cs="Arial"/>
          <w:sz w:val="22"/>
          <w:szCs w:val="22"/>
        </w:rPr>
        <w:t xml:space="preserve"> (Accessed: 29 June 2026).</w:t>
      </w:r>
    </w:p>
    <w:p w14:paraId="68692929" w14:textId="77777777" w:rsidR="00AA0B88" w:rsidRPr="00AA0B88" w:rsidRDefault="00AA0B88" w:rsidP="00AA0B88">
      <w:pPr>
        <w:pStyle w:val="isselectedend"/>
        <w:rPr>
          <w:rFonts w:ascii="Arial" w:hAnsi="Arial" w:cs="Arial"/>
          <w:sz w:val="22"/>
          <w:szCs w:val="22"/>
        </w:rPr>
      </w:pPr>
      <w:r w:rsidRPr="00AA0B88">
        <w:rPr>
          <w:rFonts w:ascii="Arial" w:hAnsi="Arial" w:cs="Arial"/>
          <w:sz w:val="22"/>
          <w:szCs w:val="22"/>
        </w:rPr>
        <w:lastRenderedPageBreak/>
        <w:t xml:space="preserve">NHS England (2019) </w:t>
      </w:r>
      <w:r w:rsidRPr="00AA0B88">
        <w:rPr>
          <w:rStyle w:val="Emphasis"/>
          <w:rFonts w:ascii="Arial" w:eastAsiaTheme="majorEastAsia" w:hAnsi="Arial" w:cs="Arial"/>
          <w:sz w:val="22"/>
          <w:szCs w:val="22"/>
        </w:rPr>
        <w:t>The NHS Long Term Plan</w:t>
      </w:r>
      <w:r w:rsidRPr="00AA0B88">
        <w:rPr>
          <w:rFonts w:ascii="Arial" w:hAnsi="Arial" w:cs="Arial"/>
          <w:sz w:val="22"/>
          <w:szCs w:val="22"/>
        </w:rPr>
        <w:t xml:space="preserve">. Available at: </w:t>
      </w:r>
      <w:hyperlink r:id="rId28" w:history="1">
        <w:r w:rsidRPr="00AA0B88">
          <w:rPr>
            <w:rStyle w:val="Hyperlink"/>
            <w:rFonts w:ascii="Arial" w:eastAsiaTheme="majorEastAsia" w:hAnsi="Arial" w:cs="Arial"/>
            <w:sz w:val="22"/>
            <w:szCs w:val="22"/>
          </w:rPr>
          <w:t>https://www.longtermplan.nhs.uk/</w:t>
        </w:r>
      </w:hyperlink>
      <w:r w:rsidRPr="00AA0B88">
        <w:rPr>
          <w:rFonts w:ascii="Arial" w:hAnsi="Arial" w:cs="Arial"/>
          <w:sz w:val="22"/>
          <w:szCs w:val="22"/>
        </w:rPr>
        <w:t xml:space="preserve"> (Accessed: 27 June 2026).</w:t>
      </w:r>
    </w:p>
    <w:p w14:paraId="255CF4BF" w14:textId="77777777" w:rsidR="00AA0B88" w:rsidRPr="00AA0B88" w:rsidRDefault="00AA0B88" w:rsidP="00AA0B88">
      <w:pPr>
        <w:pStyle w:val="isselectedend"/>
        <w:rPr>
          <w:rFonts w:ascii="Arial" w:hAnsi="Arial" w:cs="Arial"/>
          <w:sz w:val="22"/>
          <w:szCs w:val="22"/>
        </w:rPr>
      </w:pPr>
      <w:r w:rsidRPr="00AA0B88">
        <w:rPr>
          <w:rFonts w:ascii="Arial" w:hAnsi="Arial" w:cs="Arial"/>
          <w:sz w:val="22"/>
          <w:szCs w:val="22"/>
        </w:rPr>
        <w:t xml:space="preserve">NHS England (2021) </w:t>
      </w:r>
      <w:r w:rsidRPr="00AA0B88">
        <w:rPr>
          <w:rStyle w:val="Emphasis"/>
          <w:rFonts w:ascii="Arial" w:eastAsiaTheme="majorEastAsia" w:hAnsi="Arial" w:cs="Arial"/>
          <w:sz w:val="22"/>
          <w:szCs w:val="22"/>
        </w:rPr>
        <w:t>Core20PLUS5: An approach to reducing healthcare inequalities</w:t>
      </w:r>
      <w:r w:rsidRPr="00AA0B88">
        <w:rPr>
          <w:rFonts w:ascii="Arial" w:hAnsi="Arial" w:cs="Arial"/>
          <w:sz w:val="22"/>
          <w:szCs w:val="22"/>
        </w:rPr>
        <w:t xml:space="preserve">. Available at: </w:t>
      </w:r>
      <w:hyperlink r:id="rId29" w:history="1">
        <w:r w:rsidRPr="00AA0B88">
          <w:rPr>
            <w:rStyle w:val="Hyperlink"/>
            <w:rFonts w:ascii="Arial" w:eastAsiaTheme="majorEastAsia" w:hAnsi="Arial" w:cs="Arial"/>
            <w:sz w:val="22"/>
            <w:szCs w:val="22"/>
          </w:rPr>
          <w:t>https://www.england.nhs.uk/about/equality/equality-hub/core20plus5/</w:t>
        </w:r>
      </w:hyperlink>
      <w:r w:rsidRPr="00AA0B88">
        <w:rPr>
          <w:rFonts w:ascii="Arial" w:hAnsi="Arial" w:cs="Arial"/>
          <w:sz w:val="22"/>
          <w:szCs w:val="22"/>
        </w:rPr>
        <w:t xml:space="preserve"> (Accessed: 27 June 2026).</w:t>
      </w:r>
    </w:p>
    <w:p w14:paraId="7A25F79C" w14:textId="77777777" w:rsidR="00AA0B88" w:rsidRPr="00AA0B88" w:rsidRDefault="00AA0B88" w:rsidP="00AA0B88">
      <w:pPr>
        <w:pStyle w:val="isselectedend"/>
        <w:rPr>
          <w:rFonts w:ascii="Arial" w:hAnsi="Arial" w:cs="Arial"/>
          <w:sz w:val="22"/>
          <w:szCs w:val="22"/>
        </w:rPr>
      </w:pPr>
      <w:r w:rsidRPr="00AA0B88">
        <w:rPr>
          <w:rFonts w:ascii="Arial" w:hAnsi="Arial" w:cs="Arial"/>
          <w:sz w:val="22"/>
          <w:szCs w:val="22"/>
        </w:rPr>
        <w:t xml:space="preserve">Office for Health Improvement and Disparities (2021) </w:t>
      </w:r>
      <w:r w:rsidRPr="00AA0B88">
        <w:rPr>
          <w:rStyle w:val="Emphasis"/>
          <w:rFonts w:ascii="Arial" w:eastAsiaTheme="majorEastAsia" w:hAnsi="Arial" w:cs="Arial"/>
          <w:sz w:val="22"/>
          <w:szCs w:val="22"/>
        </w:rPr>
        <w:t>Health inequalities: Place-based approaches to reduce inequalities</w:t>
      </w:r>
      <w:r w:rsidRPr="00AA0B88">
        <w:rPr>
          <w:rFonts w:ascii="Arial" w:hAnsi="Arial" w:cs="Arial"/>
          <w:sz w:val="22"/>
          <w:szCs w:val="22"/>
        </w:rPr>
        <w:t xml:space="preserve">. Available at: </w:t>
      </w:r>
      <w:hyperlink r:id="rId30" w:history="1">
        <w:r w:rsidRPr="00AA0B88">
          <w:rPr>
            <w:rStyle w:val="Hyperlink"/>
            <w:rFonts w:ascii="Arial" w:eastAsiaTheme="majorEastAsia" w:hAnsi="Arial" w:cs="Arial"/>
            <w:sz w:val="22"/>
            <w:szCs w:val="22"/>
          </w:rPr>
          <w:t>https://www.gov.uk/government/publications/health-inequalities-place-based-approaches-to-reduce-inequalities/place-based-approaches-for-reducing-health-inequalities-main-report</w:t>
        </w:r>
      </w:hyperlink>
      <w:r w:rsidRPr="00AA0B88">
        <w:rPr>
          <w:rFonts w:ascii="Arial" w:hAnsi="Arial" w:cs="Arial"/>
          <w:sz w:val="22"/>
          <w:szCs w:val="22"/>
        </w:rPr>
        <w:t xml:space="preserve"> (Accessed: 28 June 2026).</w:t>
      </w:r>
    </w:p>
    <w:p w14:paraId="1D990CAB" w14:textId="77777777" w:rsidR="00AA0B88" w:rsidRPr="00AA0B88" w:rsidRDefault="00AA0B88" w:rsidP="00AA0B88">
      <w:pPr>
        <w:pStyle w:val="isselectedend"/>
        <w:rPr>
          <w:rFonts w:ascii="Arial" w:hAnsi="Arial" w:cs="Arial"/>
          <w:sz w:val="22"/>
          <w:szCs w:val="22"/>
        </w:rPr>
      </w:pPr>
      <w:r w:rsidRPr="00AA0B88">
        <w:rPr>
          <w:rFonts w:ascii="Arial" w:hAnsi="Arial" w:cs="Arial"/>
          <w:sz w:val="22"/>
          <w:szCs w:val="22"/>
        </w:rPr>
        <w:t xml:space="preserve">Papanicolas, I., </w:t>
      </w:r>
      <w:proofErr w:type="spellStart"/>
      <w:r w:rsidRPr="00AA0B88">
        <w:rPr>
          <w:rFonts w:ascii="Arial" w:hAnsi="Arial" w:cs="Arial"/>
          <w:sz w:val="22"/>
          <w:szCs w:val="22"/>
        </w:rPr>
        <w:t>Woskie</w:t>
      </w:r>
      <w:proofErr w:type="spellEnd"/>
      <w:r w:rsidRPr="00AA0B88">
        <w:rPr>
          <w:rFonts w:ascii="Arial" w:hAnsi="Arial" w:cs="Arial"/>
          <w:sz w:val="22"/>
          <w:szCs w:val="22"/>
        </w:rPr>
        <w:t xml:space="preserve">, L.R. and Jha, A.K. (2018) ‘Health care spending in the United States and other high-income countries’, </w:t>
      </w:r>
      <w:r w:rsidRPr="00AA0B88">
        <w:rPr>
          <w:rStyle w:val="Emphasis"/>
          <w:rFonts w:ascii="Arial" w:eastAsiaTheme="majorEastAsia" w:hAnsi="Arial" w:cs="Arial"/>
          <w:sz w:val="22"/>
          <w:szCs w:val="22"/>
        </w:rPr>
        <w:t>JAMA</w:t>
      </w:r>
      <w:r w:rsidRPr="00AA0B88">
        <w:rPr>
          <w:rFonts w:ascii="Arial" w:hAnsi="Arial" w:cs="Arial"/>
          <w:sz w:val="22"/>
          <w:szCs w:val="22"/>
        </w:rPr>
        <w:t xml:space="preserve">, 319(10), pp. 1024–1039. Available at: </w:t>
      </w:r>
      <w:hyperlink r:id="rId31" w:history="1">
        <w:r w:rsidRPr="00AA0B88">
          <w:rPr>
            <w:rStyle w:val="Hyperlink"/>
            <w:rFonts w:ascii="Arial" w:eastAsiaTheme="majorEastAsia" w:hAnsi="Arial" w:cs="Arial"/>
            <w:sz w:val="22"/>
            <w:szCs w:val="22"/>
          </w:rPr>
          <w:t>https://jamanetwork.com/journals/jama/article-abstract/2674671</w:t>
        </w:r>
      </w:hyperlink>
      <w:r w:rsidRPr="00AA0B88">
        <w:rPr>
          <w:rFonts w:ascii="Arial" w:hAnsi="Arial" w:cs="Arial"/>
          <w:sz w:val="22"/>
          <w:szCs w:val="22"/>
        </w:rPr>
        <w:t xml:space="preserve"> (Accessed: 30 June 2026).</w:t>
      </w:r>
    </w:p>
    <w:p w14:paraId="1387AC4E" w14:textId="77777777" w:rsidR="00AA0B88" w:rsidRPr="00AA0B88" w:rsidRDefault="00AA0B88" w:rsidP="00AA0B88">
      <w:pPr>
        <w:pStyle w:val="isselectedend"/>
        <w:rPr>
          <w:rFonts w:ascii="Arial" w:hAnsi="Arial" w:cs="Arial"/>
          <w:sz w:val="22"/>
          <w:szCs w:val="22"/>
        </w:rPr>
      </w:pPr>
      <w:r w:rsidRPr="00AA0B88">
        <w:rPr>
          <w:rFonts w:ascii="Arial" w:hAnsi="Arial" w:cs="Arial"/>
          <w:sz w:val="22"/>
          <w:szCs w:val="22"/>
        </w:rPr>
        <w:t xml:space="preserve">Raymond, A., Watt, T., Douglas, H.R., Head, A., </w:t>
      </w:r>
      <w:proofErr w:type="spellStart"/>
      <w:r w:rsidRPr="00AA0B88">
        <w:rPr>
          <w:rFonts w:ascii="Arial" w:hAnsi="Arial" w:cs="Arial"/>
          <w:sz w:val="22"/>
          <w:szCs w:val="22"/>
        </w:rPr>
        <w:t>Kypridemos</w:t>
      </w:r>
      <w:proofErr w:type="spellEnd"/>
      <w:r w:rsidRPr="00AA0B88">
        <w:rPr>
          <w:rFonts w:ascii="Arial" w:hAnsi="Arial" w:cs="Arial"/>
          <w:sz w:val="22"/>
          <w:szCs w:val="22"/>
        </w:rPr>
        <w:t xml:space="preserve">, C. and Rachet-Jacquet, L. (2024) </w:t>
      </w:r>
      <w:r w:rsidRPr="00AA0B88">
        <w:rPr>
          <w:rStyle w:val="Emphasis"/>
          <w:rFonts w:ascii="Arial" w:eastAsiaTheme="majorEastAsia" w:hAnsi="Arial" w:cs="Arial"/>
          <w:sz w:val="22"/>
          <w:szCs w:val="22"/>
        </w:rPr>
        <w:t>Health inequalities in 2040: Current and projected patterns of illness by deprivation in England</w:t>
      </w:r>
      <w:r w:rsidRPr="00AA0B88">
        <w:rPr>
          <w:rFonts w:ascii="Arial" w:hAnsi="Arial" w:cs="Arial"/>
          <w:sz w:val="22"/>
          <w:szCs w:val="22"/>
        </w:rPr>
        <w:t xml:space="preserve">. London: The Health Foundation. Available at: </w:t>
      </w:r>
      <w:hyperlink r:id="rId32" w:history="1">
        <w:r w:rsidRPr="00AA0B88">
          <w:rPr>
            <w:rStyle w:val="Hyperlink"/>
            <w:rFonts w:ascii="Arial" w:eastAsiaTheme="majorEastAsia" w:hAnsi="Arial" w:cs="Arial"/>
            <w:sz w:val="22"/>
            <w:szCs w:val="22"/>
          </w:rPr>
          <w:t>https://www.health.org.uk/publications/reports/health-inequalities-in-2040</w:t>
        </w:r>
      </w:hyperlink>
      <w:r w:rsidRPr="00AA0B88">
        <w:rPr>
          <w:rFonts w:ascii="Arial" w:hAnsi="Arial" w:cs="Arial"/>
          <w:sz w:val="22"/>
          <w:szCs w:val="22"/>
        </w:rPr>
        <w:t xml:space="preserve"> (Accessed: 30 June 2026).</w:t>
      </w:r>
    </w:p>
    <w:p w14:paraId="56E9D7F1" w14:textId="77777777" w:rsidR="00AA0B88" w:rsidRPr="00AA0B88" w:rsidRDefault="00AA0B88" w:rsidP="00AA0B88">
      <w:pPr>
        <w:pStyle w:val="isselectedend"/>
        <w:rPr>
          <w:rFonts w:ascii="Arial" w:hAnsi="Arial" w:cs="Arial"/>
          <w:sz w:val="22"/>
          <w:szCs w:val="22"/>
        </w:rPr>
      </w:pPr>
      <w:r w:rsidRPr="00AA0B88">
        <w:rPr>
          <w:rFonts w:ascii="Arial" w:hAnsi="Arial" w:cs="Arial"/>
          <w:sz w:val="22"/>
          <w:szCs w:val="22"/>
        </w:rPr>
        <w:t xml:space="preserve">The King's Fund (2024) </w:t>
      </w:r>
      <w:r w:rsidRPr="00AA0B88">
        <w:rPr>
          <w:rStyle w:val="Emphasis"/>
          <w:rFonts w:ascii="Arial" w:eastAsiaTheme="majorEastAsia" w:hAnsi="Arial" w:cs="Arial"/>
          <w:sz w:val="22"/>
          <w:szCs w:val="22"/>
        </w:rPr>
        <w:t>What are health inequalities?</w:t>
      </w:r>
      <w:r w:rsidRPr="00AA0B88">
        <w:rPr>
          <w:rFonts w:ascii="Arial" w:hAnsi="Arial" w:cs="Arial"/>
          <w:sz w:val="22"/>
          <w:szCs w:val="22"/>
        </w:rPr>
        <w:t xml:space="preserve"> Available at: </w:t>
      </w:r>
      <w:hyperlink r:id="rId33" w:history="1">
        <w:r w:rsidRPr="00AA0B88">
          <w:rPr>
            <w:rStyle w:val="Hyperlink"/>
            <w:rFonts w:ascii="Arial" w:eastAsiaTheme="majorEastAsia" w:hAnsi="Arial" w:cs="Arial"/>
            <w:sz w:val="22"/>
            <w:szCs w:val="22"/>
          </w:rPr>
          <w:t>https://www.kingsfund.org.uk/insight-and-analysis/long-reads/what-are-health-inequalities</w:t>
        </w:r>
      </w:hyperlink>
      <w:r w:rsidRPr="00AA0B88">
        <w:rPr>
          <w:rFonts w:ascii="Arial" w:hAnsi="Arial" w:cs="Arial"/>
          <w:sz w:val="22"/>
          <w:szCs w:val="22"/>
        </w:rPr>
        <w:t xml:space="preserve"> (Accessed: 30 June 2026).</w:t>
      </w:r>
    </w:p>
    <w:p w14:paraId="640E2DD0" w14:textId="77777777" w:rsidR="00AA0B88" w:rsidRPr="00AA0B88" w:rsidRDefault="00AA0B88" w:rsidP="00AA0B88">
      <w:pPr>
        <w:pStyle w:val="isselectedend"/>
        <w:rPr>
          <w:rFonts w:ascii="Arial" w:hAnsi="Arial" w:cs="Arial"/>
          <w:sz w:val="22"/>
          <w:szCs w:val="22"/>
        </w:rPr>
      </w:pPr>
      <w:r w:rsidRPr="00AA0B88">
        <w:rPr>
          <w:rFonts w:ascii="Arial" w:hAnsi="Arial" w:cs="Arial"/>
          <w:sz w:val="22"/>
          <w:szCs w:val="22"/>
        </w:rPr>
        <w:t xml:space="preserve">United Nations (2015) </w:t>
      </w:r>
      <w:r w:rsidRPr="00AA0B88">
        <w:rPr>
          <w:rStyle w:val="Emphasis"/>
          <w:rFonts w:ascii="Arial" w:eastAsiaTheme="majorEastAsia" w:hAnsi="Arial" w:cs="Arial"/>
          <w:sz w:val="22"/>
          <w:szCs w:val="22"/>
        </w:rPr>
        <w:t>Transforming Our World: The 2030 Agenda for Sustainable Development</w:t>
      </w:r>
      <w:r w:rsidRPr="00AA0B88">
        <w:rPr>
          <w:rFonts w:ascii="Arial" w:hAnsi="Arial" w:cs="Arial"/>
          <w:sz w:val="22"/>
          <w:szCs w:val="22"/>
        </w:rPr>
        <w:t xml:space="preserve">. New York: United Nations. Available at: </w:t>
      </w:r>
      <w:hyperlink r:id="rId34" w:history="1">
        <w:r w:rsidRPr="00AA0B88">
          <w:rPr>
            <w:rStyle w:val="Hyperlink"/>
            <w:rFonts w:ascii="Arial" w:eastAsiaTheme="majorEastAsia" w:hAnsi="Arial" w:cs="Arial"/>
            <w:sz w:val="22"/>
            <w:szCs w:val="22"/>
          </w:rPr>
          <w:t>https://sdgs.un.org/2030agenda</w:t>
        </w:r>
      </w:hyperlink>
      <w:r w:rsidRPr="00AA0B88">
        <w:rPr>
          <w:rFonts w:ascii="Arial" w:hAnsi="Arial" w:cs="Arial"/>
          <w:sz w:val="22"/>
          <w:szCs w:val="22"/>
        </w:rPr>
        <w:t xml:space="preserve"> (Accessed: 30 June 2026).</w:t>
      </w:r>
    </w:p>
    <w:p w14:paraId="0F0068AC" w14:textId="77777777" w:rsidR="00AA0B88" w:rsidRPr="00AA0B88" w:rsidRDefault="00AA0B88" w:rsidP="00AA0B88">
      <w:pPr>
        <w:pStyle w:val="isselectedend"/>
        <w:rPr>
          <w:rFonts w:ascii="Arial" w:hAnsi="Arial" w:cs="Arial"/>
          <w:sz w:val="22"/>
          <w:szCs w:val="22"/>
        </w:rPr>
      </w:pPr>
      <w:r w:rsidRPr="00AA0B88">
        <w:rPr>
          <w:rFonts w:ascii="Arial" w:hAnsi="Arial" w:cs="Arial"/>
          <w:sz w:val="22"/>
          <w:szCs w:val="22"/>
        </w:rPr>
        <w:t xml:space="preserve">World Health Organization (2008) </w:t>
      </w:r>
      <w:r w:rsidRPr="00AA0B88">
        <w:rPr>
          <w:rStyle w:val="Emphasis"/>
          <w:rFonts w:ascii="Arial" w:eastAsiaTheme="majorEastAsia" w:hAnsi="Arial" w:cs="Arial"/>
          <w:sz w:val="22"/>
          <w:szCs w:val="22"/>
        </w:rPr>
        <w:t>Closing the Gap in a Generation: Health Equity Through Action on the Social Determinants of Health</w:t>
      </w:r>
      <w:r w:rsidRPr="00AA0B88">
        <w:rPr>
          <w:rFonts w:ascii="Arial" w:hAnsi="Arial" w:cs="Arial"/>
          <w:sz w:val="22"/>
          <w:szCs w:val="22"/>
        </w:rPr>
        <w:t xml:space="preserve">. Geneva: World Health Organization. Available at: </w:t>
      </w:r>
      <w:hyperlink r:id="rId35" w:history="1">
        <w:r w:rsidRPr="00AA0B88">
          <w:rPr>
            <w:rStyle w:val="Hyperlink"/>
            <w:rFonts w:ascii="Arial" w:eastAsiaTheme="majorEastAsia" w:hAnsi="Arial" w:cs="Arial"/>
            <w:sz w:val="22"/>
            <w:szCs w:val="22"/>
          </w:rPr>
          <w:t>https://www.who.int/publications/i/item/WHO-IER-CSDH-08.1</w:t>
        </w:r>
      </w:hyperlink>
      <w:r w:rsidRPr="00AA0B88">
        <w:rPr>
          <w:rFonts w:ascii="Arial" w:hAnsi="Arial" w:cs="Arial"/>
          <w:sz w:val="22"/>
          <w:szCs w:val="22"/>
        </w:rPr>
        <w:t xml:space="preserve"> (Accessed: 25 June 2026).</w:t>
      </w:r>
    </w:p>
    <w:p w14:paraId="1DBC3560" w14:textId="77777777" w:rsidR="00AA0B88" w:rsidRPr="00AA0B88" w:rsidRDefault="00AA0B88" w:rsidP="00AA0B88">
      <w:pPr>
        <w:pStyle w:val="isselectedend"/>
        <w:rPr>
          <w:rFonts w:ascii="Arial" w:hAnsi="Arial" w:cs="Arial"/>
          <w:sz w:val="22"/>
          <w:szCs w:val="22"/>
        </w:rPr>
      </w:pPr>
      <w:r w:rsidRPr="00AA0B88">
        <w:rPr>
          <w:rFonts w:ascii="Arial" w:hAnsi="Arial" w:cs="Arial"/>
          <w:sz w:val="22"/>
          <w:szCs w:val="22"/>
        </w:rPr>
        <w:t xml:space="preserve">World Health Organization (2023) </w:t>
      </w:r>
      <w:r w:rsidRPr="00AA0B88">
        <w:rPr>
          <w:rStyle w:val="Emphasis"/>
          <w:rFonts w:ascii="Arial" w:eastAsiaTheme="majorEastAsia" w:hAnsi="Arial" w:cs="Arial"/>
          <w:sz w:val="22"/>
          <w:szCs w:val="22"/>
        </w:rPr>
        <w:t>Health inequities and their causes</w:t>
      </w:r>
      <w:r w:rsidRPr="00AA0B88">
        <w:rPr>
          <w:rFonts w:ascii="Arial" w:hAnsi="Arial" w:cs="Arial"/>
          <w:sz w:val="22"/>
          <w:szCs w:val="22"/>
        </w:rPr>
        <w:t xml:space="preserve">. Available at: </w:t>
      </w:r>
      <w:hyperlink r:id="rId36" w:history="1">
        <w:r w:rsidRPr="00AA0B88">
          <w:rPr>
            <w:rStyle w:val="Hyperlink"/>
            <w:rFonts w:ascii="Arial" w:eastAsiaTheme="majorEastAsia" w:hAnsi="Arial" w:cs="Arial"/>
            <w:sz w:val="22"/>
            <w:szCs w:val="22"/>
          </w:rPr>
          <w:t>https://www.who.int/news-room/facts-in-pictures/detail/health-inequities-and-their-causes</w:t>
        </w:r>
      </w:hyperlink>
      <w:r w:rsidRPr="00AA0B88">
        <w:rPr>
          <w:rFonts w:ascii="Arial" w:hAnsi="Arial" w:cs="Arial"/>
          <w:sz w:val="22"/>
          <w:szCs w:val="22"/>
        </w:rPr>
        <w:t xml:space="preserve"> (Accessed: 1 July 2026).</w:t>
      </w:r>
    </w:p>
    <w:p w14:paraId="585861C4" w14:textId="77777777" w:rsidR="00AA0B88" w:rsidRPr="00AA0B88" w:rsidRDefault="00AA0B88" w:rsidP="00AA0B88">
      <w:pPr>
        <w:pStyle w:val="NormalWeb"/>
        <w:rPr>
          <w:rFonts w:ascii="Arial" w:hAnsi="Arial" w:cs="Arial"/>
          <w:sz w:val="22"/>
          <w:szCs w:val="22"/>
        </w:rPr>
      </w:pPr>
      <w:r w:rsidRPr="00AA0B88">
        <w:rPr>
          <w:rFonts w:ascii="Arial" w:hAnsi="Arial" w:cs="Arial"/>
          <w:sz w:val="22"/>
          <w:szCs w:val="22"/>
        </w:rPr>
        <w:t xml:space="preserve">World Health Organization (n.d.) </w:t>
      </w:r>
      <w:r w:rsidRPr="00AA0B88">
        <w:rPr>
          <w:rStyle w:val="Emphasis"/>
          <w:rFonts w:ascii="Arial" w:eastAsiaTheme="majorEastAsia" w:hAnsi="Arial" w:cs="Arial"/>
          <w:sz w:val="22"/>
          <w:szCs w:val="22"/>
        </w:rPr>
        <w:t>Social determinants of health</w:t>
      </w:r>
      <w:r w:rsidRPr="00AA0B88">
        <w:rPr>
          <w:rFonts w:ascii="Arial" w:hAnsi="Arial" w:cs="Arial"/>
          <w:sz w:val="22"/>
          <w:szCs w:val="22"/>
        </w:rPr>
        <w:t xml:space="preserve">. Available at: </w:t>
      </w:r>
      <w:hyperlink r:id="rId37" w:anchor="tab=tab_1" w:history="1">
        <w:r w:rsidRPr="00AA0B88">
          <w:rPr>
            <w:rStyle w:val="Hyperlink"/>
            <w:rFonts w:ascii="Arial" w:eastAsiaTheme="majorEastAsia" w:hAnsi="Arial" w:cs="Arial"/>
            <w:sz w:val="22"/>
            <w:szCs w:val="22"/>
          </w:rPr>
          <w:t>https://www.who.int/health-topics/social-determinants-of-health#tab=tab_1</w:t>
        </w:r>
      </w:hyperlink>
      <w:r w:rsidRPr="00AA0B88">
        <w:rPr>
          <w:rFonts w:ascii="Arial" w:hAnsi="Arial" w:cs="Arial"/>
          <w:sz w:val="22"/>
          <w:szCs w:val="22"/>
        </w:rPr>
        <w:t xml:space="preserve"> (Accessed: 1 July 2026).</w:t>
      </w:r>
    </w:p>
    <w:p w14:paraId="51733B15" w14:textId="77777777" w:rsidR="002C39C1" w:rsidRDefault="002C39C1"/>
    <w:sectPr w:rsidR="002C39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144946"/>
    <w:multiLevelType w:val="multilevel"/>
    <w:tmpl w:val="B16AB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4CB1C02"/>
    <w:multiLevelType w:val="multilevel"/>
    <w:tmpl w:val="6D0A9E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D314596"/>
    <w:multiLevelType w:val="multilevel"/>
    <w:tmpl w:val="ADD66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9289204">
    <w:abstractNumId w:val="1"/>
  </w:num>
  <w:num w:numId="2" w16cid:durableId="1631518938">
    <w:abstractNumId w:val="2"/>
  </w:num>
  <w:num w:numId="3" w16cid:durableId="8898095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B88"/>
    <w:rsid w:val="00173A04"/>
    <w:rsid w:val="002C39C1"/>
    <w:rsid w:val="00361938"/>
    <w:rsid w:val="0053601F"/>
    <w:rsid w:val="00593718"/>
    <w:rsid w:val="005B4BF5"/>
    <w:rsid w:val="0061020A"/>
    <w:rsid w:val="00906B5C"/>
    <w:rsid w:val="00A55324"/>
    <w:rsid w:val="00AA0B88"/>
    <w:rsid w:val="00B4097A"/>
    <w:rsid w:val="00D330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C77026"/>
  <w15:chartTrackingRefBased/>
  <w15:docId w15:val="{A7CABF15-9CA0-FD49-8CEC-CD798AB3D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1"/>
    <w:qFormat/>
    <w:rsid w:val="00AA0B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0B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A0B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0B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0B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0B8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0B8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0B8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0B8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AA0B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0B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A0B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0B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0B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0B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0B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0B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0B88"/>
    <w:rPr>
      <w:rFonts w:eastAsiaTheme="majorEastAsia" w:cstheme="majorBidi"/>
      <w:color w:val="272727" w:themeColor="text1" w:themeTint="D8"/>
    </w:rPr>
  </w:style>
  <w:style w:type="paragraph" w:styleId="Title">
    <w:name w:val="Title"/>
    <w:basedOn w:val="Normal"/>
    <w:next w:val="Normal"/>
    <w:link w:val="TitleChar"/>
    <w:uiPriority w:val="10"/>
    <w:qFormat/>
    <w:rsid w:val="00AA0B8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0B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0B8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0B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0B8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A0B88"/>
    <w:rPr>
      <w:i/>
      <w:iCs/>
      <w:color w:val="404040" w:themeColor="text1" w:themeTint="BF"/>
    </w:rPr>
  </w:style>
  <w:style w:type="paragraph" w:styleId="ListParagraph">
    <w:name w:val="List Paragraph"/>
    <w:basedOn w:val="Normal"/>
    <w:uiPriority w:val="34"/>
    <w:qFormat/>
    <w:rsid w:val="00AA0B88"/>
    <w:pPr>
      <w:ind w:left="720"/>
      <w:contextualSpacing/>
    </w:pPr>
  </w:style>
  <w:style w:type="character" w:styleId="IntenseEmphasis">
    <w:name w:val="Intense Emphasis"/>
    <w:basedOn w:val="DefaultParagraphFont"/>
    <w:uiPriority w:val="21"/>
    <w:qFormat/>
    <w:rsid w:val="00AA0B88"/>
    <w:rPr>
      <w:i/>
      <w:iCs/>
      <w:color w:val="0F4761" w:themeColor="accent1" w:themeShade="BF"/>
    </w:rPr>
  </w:style>
  <w:style w:type="paragraph" w:styleId="IntenseQuote">
    <w:name w:val="Intense Quote"/>
    <w:basedOn w:val="Normal"/>
    <w:next w:val="Normal"/>
    <w:link w:val="IntenseQuoteChar"/>
    <w:uiPriority w:val="30"/>
    <w:qFormat/>
    <w:rsid w:val="00AA0B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0B88"/>
    <w:rPr>
      <w:i/>
      <w:iCs/>
      <w:color w:val="0F4761" w:themeColor="accent1" w:themeShade="BF"/>
    </w:rPr>
  </w:style>
  <w:style w:type="character" w:styleId="IntenseReference">
    <w:name w:val="Intense Reference"/>
    <w:basedOn w:val="DefaultParagraphFont"/>
    <w:uiPriority w:val="32"/>
    <w:qFormat/>
    <w:rsid w:val="00AA0B88"/>
    <w:rPr>
      <w:b/>
      <w:bCs/>
      <w:smallCaps/>
      <w:color w:val="0F4761" w:themeColor="accent1" w:themeShade="BF"/>
      <w:spacing w:val="5"/>
    </w:rPr>
  </w:style>
  <w:style w:type="paragraph" w:customStyle="1" w:styleId="isselectedend">
    <w:name w:val="isselectedend"/>
    <w:basedOn w:val="Normal"/>
    <w:rsid w:val="00AA0B8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A0B88"/>
    <w:rPr>
      <w:i/>
      <w:iCs/>
    </w:rPr>
  </w:style>
  <w:style w:type="character" w:styleId="Hyperlink">
    <w:name w:val="Hyperlink"/>
    <w:basedOn w:val="DefaultParagraphFont"/>
    <w:uiPriority w:val="99"/>
    <w:unhideWhenUsed/>
    <w:rsid w:val="00AA0B88"/>
    <w:rPr>
      <w:color w:val="0000FF"/>
      <w:u w:val="single"/>
    </w:rPr>
  </w:style>
  <w:style w:type="paragraph" w:styleId="NormalWeb">
    <w:name w:val="Normal (Web)"/>
    <w:basedOn w:val="Normal"/>
    <w:uiPriority w:val="99"/>
    <w:unhideWhenUsed/>
    <w:rsid w:val="00AA0B8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AA0B88"/>
    <w:rPr>
      <w:color w:val="96607D" w:themeColor="followedHyperlink"/>
      <w:u w:val="single"/>
    </w:rPr>
  </w:style>
  <w:style w:type="paragraph" w:styleId="BodyText">
    <w:name w:val="Body Text"/>
    <w:basedOn w:val="Normal"/>
    <w:link w:val="BodyTextChar"/>
    <w:uiPriority w:val="1"/>
    <w:unhideWhenUsed/>
    <w:qFormat/>
    <w:rsid w:val="00AA0B88"/>
    <w:pPr>
      <w:widowControl w:val="0"/>
      <w:autoSpaceDE w:val="0"/>
      <w:autoSpaceDN w:val="0"/>
    </w:pPr>
    <w:rPr>
      <w:rFonts w:ascii="Arial" w:eastAsia="Calibri Light" w:hAnsi="Arial" w:cs="Calibri Light"/>
      <w:kern w:val="0"/>
      <w:sz w:val="22"/>
      <w:szCs w:val="22"/>
      <w:lang w:eastAsia="en-GB" w:bidi="en-GB"/>
      <w14:ligatures w14:val="none"/>
    </w:rPr>
  </w:style>
  <w:style w:type="character" w:customStyle="1" w:styleId="BodyTextChar">
    <w:name w:val="Body Text Char"/>
    <w:basedOn w:val="DefaultParagraphFont"/>
    <w:link w:val="BodyText"/>
    <w:uiPriority w:val="1"/>
    <w:rsid w:val="00AA0B88"/>
    <w:rPr>
      <w:rFonts w:ascii="Arial" w:eastAsia="Calibri Light" w:hAnsi="Arial" w:cs="Calibri Light"/>
      <w:kern w:val="0"/>
      <w:sz w:val="22"/>
      <w:szCs w:val="22"/>
      <w:lang w:eastAsia="en-GB" w:bidi="en-GB"/>
      <w14:ligatures w14:val="none"/>
    </w:rPr>
  </w:style>
  <w:style w:type="paragraph" w:customStyle="1" w:styleId="paragraph">
    <w:name w:val="paragraph"/>
    <w:basedOn w:val="Normal"/>
    <w:rsid w:val="00AA0B88"/>
    <w:pPr>
      <w:spacing w:before="100" w:beforeAutospacing="1" w:after="100" w:afterAutospacing="1"/>
    </w:pPr>
    <w:rPr>
      <w:rFonts w:ascii="Times New Roman" w:eastAsia="Times New Roman" w:hAnsi="Times New Roman" w:cs="Times New Roman"/>
      <w:kern w:val="0"/>
      <w:lang w:eastAsia="zh-CN"/>
      <w14:ligatures w14:val="none"/>
    </w:rPr>
  </w:style>
  <w:style w:type="character" w:customStyle="1" w:styleId="normaltextrun">
    <w:name w:val="normaltextrun"/>
    <w:basedOn w:val="DefaultParagraphFont"/>
    <w:rsid w:val="00AA0B88"/>
  </w:style>
  <w:style w:type="character" w:customStyle="1" w:styleId="eop">
    <w:name w:val="eop"/>
    <w:basedOn w:val="DefaultParagraphFont"/>
    <w:rsid w:val="00AA0B88"/>
  </w:style>
  <w:style w:type="character" w:styleId="Strong">
    <w:name w:val="Strong"/>
    <w:basedOn w:val="DefaultParagraphFont"/>
    <w:uiPriority w:val="22"/>
    <w:qFormat/>
    <w:rsid w:val="00AA0B88"/>
    <w:rPr>
      <w:b/>
      <w:bCs/>
    </w:rPr>
  </w:style>
  <w:style w:type="character" w:customStyle="1" w:styleId="apple-converted-space">
    <w:name w:val="apple-converted-space"/>
    <w:basedOn w:val="DefaultParagraphFont"/>
    <w:rsid w:val="00593718"/>
  </w:style>
  <w:style w:type="character" w:styleId="UnresolvedMention">
    <w:name w:val="Unresolved Mention"/>
    <w:basedOn w:val="DefaultParagraphFont"/>
    <w:uiPriority w:val="99"/>
    <w:semiHidden/>
    <w:unhideWhenUsed/>
    <w:rsid w:val="00906B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ubmed.ncbi.nlm.nih.gov/40235142/" TargetMode="External"/><Relationship Id="rId18" Type="http://schemas.openxmlformats.org/officeDocument/2006/relationships/hyperlink" Target="https://www.sciencedirect.com/science/article/pii/S014067367192410X" TargetMode="External"/><Relationship Id="rId26" Type="http://schemas.openxmlformats.org/officeDocument/2006/relationships/hyperlink" Target="https://ajph.aphapublications.org/doi/10.2105/AJPH.2014.302200" TargetMode="External"/><Relationship Id="rId39" Type="http://schemas.openxmlformats.org/officeDocument/2006/relationships/theme" Target="theme/theme1.xml"/><Relationship Id="rId21" Type="http://schemas.openxmlformats.org/officeDocument/2006/relationships/hyperlink" Target="https://pubmed.ncbi.nlm.nih.gov/32380544/" TargetMode="External"/><Relationship Id="rId34" Type="http://schemas.openxmlformats.org/officeDocument/2006/relationships/hyperlink" Target="https://sdgs.un.org/2030agenda" TargetMode="External"/><Relationship Id="rId7" Type="http://schemas.openxmlformats.org/officeDocument/2006/relationships/hyperlink" Target="https://bmjopen.bmj.com/content/14/4/e081954" TargetMode="External"/><Relationship Id="rId12" Type="http://schemas.openxmlformats.org/officeDocument/2006/relationships/hyperlink" Target="https://www.legislation.gov.uk/ukpga/2022/31/contents" TargetMode="External"/><Relationship Id="rId17" Type="http://schemas.openxmlformats.org/officeDocument/2006/relationships/hyperlink" Target="https://pubmed.ncbi.nlm.nih.gov/7118327/" TargetMode="External"/><Relationship Id="rId25" Type="http://schemas.openxmlformats.org/officeDocument/2006/relationships/hyperlink" Target="https://www.instituteofhealthequity.org/resources-reports/marmot-review-10-years-on" TargetMode="External"/><Relationship Id="rId33" Type="http://schemas.openxmlformats.org/officeDocument/2006/relationships/hyperlink" Target="https://www.kingsfund.org.uk/insight-and-analysis/long-reads/what-are-health-inequalities"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93/shm/hkn064" TargetMode="External"/><Relationship Id="rId20" Type="http://schemas.openxmlformats.org/officeDocument/2006/relationships/hyperlink" Target="https://www.bmj.com/content/368/bmj.m747" TargetMode="External"/><Relationship Id="rId29" Type="http://schemas.openxmlformats.org/officeDocument/2006/relationships/hyperlink" Target="https://www.england.nhs.uk/about/equality/equality-hub/core20plus5/" TargetMode="Externa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265503/ih.pdf" TargetMode="External"/><Relationship Id="rId11" Type="http://schemas.openxmlformats.org/officeDocument/2006/relationships/hyperlink" Target="https://onlinelibrary.wiley.com/doi/10.1111/j.1475-5890.2016.12109" TargetMode="External"/><Relationship Id="rId24" Type="http://schemas.openxmlformats.org/officeDocument/2006/relationships/hyperlink" Target="https://www.instituteofhealthequity.org/resources-reports/fair-society-healthy-lives-the-marmot-review" TargetMode="External"/><Relationship Id="rId32" Type="http://schemas.openxmlformats.org/officeDocument/2006/relationships/hyperlink" Target="https://www.health.org.uk/publications/reports/health-inequalities-in-2040" TargetMode="External"/><Relationship Id="rId37" Type="http://schemas.openxmlformats.org/officeDocument/2006/relationships/hyperlink" Target="https://www.who.int/health-topics/social-determinants-of-health" TargetMode="External"/><Relationship Id="rId5" Type="http://schemas.openxmlformats.org/officeDocument/2006/relationships/image" Target="media/image1.png"/><Relationship Id="rId15" Type="http://schemas.openxmlformats.org/officeDocument/2006/relationships/hyperlink" Target="https://www.legislation.gov.uk/ukpga/2010/15/contents" TargetMode="External"/><Relationship Id="rId23" Type="http://schemas.openxmlformats.org/officeDocument/2006/relationships/hyperlink" Target="https://pubmed.ncbi.nlm.nih.gov/29028239/" TargetMode="External"/><Relationship Id="rId28" Type="http://schemas.openxmlformats.org/officeDocument/2006/relationships/hyperlink" Target="https://www.longtermplan.nhs.uk/" TargetMode="External"/><Relationship Id="rId36" Type="http://schemas.openxmlformats.org/officeDocument/2006/relationships/hyperlink" Target="https://www.who.int/news-room/facts-in-pictures/detail/health-inequities-and-their-causes" TargetMode="External"/><Relationship Id="rId10" Type="http://schemas.openxmlformats.org/officeDocument/2006/relationships/hyperlink" Target="https://www.sciencedirect.com/science/article/pii/S2590291123003510" TargetMode="External"/><Relationship Id="rId19" Type="http://schemas.openxmlformats.org/officeDocument/2006/relationships/hyperlink" Target="https://www.sciencedirect.com/science/article/abs/pii/S0277953610006702" TargetMode="External"/><Relationship Id="rId31" Type="http://schemas.openxmlformats.org/officeDocument/2006/relationships/hyperlink" Target="https://jamanetwork.com/journals/jama/article-abstract/2674671" TargetMode="External"/><Relationship Id="rId4" Type="http://schemas.openxmlformats.org/officeDocument/2006/relationships/webSettings" Target="webSettings.xml"/><Relationship Id="rId9" Type="http://schemas.openxmlformats.org/officeDocument/2006/relationships/hyperlink" Target="https://www.sciencedirect.com/science/article/abs/pii/S1353829212000354" TargetMode="External"/><Relationship Id="rId14" Type="http://schemas.openxmlformats.org/officeDocument/2006/relationships/hyperlink" Target="https://www.sciencedirect.com/science/article/abs/pii/S027795360800049X" TargetMode="External"/><Relationship Id="rId22" Type="http://schemas.openxmlformats.org/officeDocument/2006/relationships/hyperlink" Target="https://link.springer.com/article/10.1186/1475-9276-12-18" TargetMode="External"/><Relationship Id="rId27" Type="http://schemas.openxmlformats.org/officeDocument/2006/relationships/hyperlink" Target="https://www.thelancet.com/journals/lancet/article/PIIS0140-6736(18)30181-8/fulltext" TargetMode="External"/><Relationship Id="rId30" Type="http://schemas.openxmlformats.org/officeDocument/2006/relationships/hyperlink" Target="https://www.gov.uk/government/publications/health-inequalities-place-based-approaches-to-reduce-inequalities/place-based-approaches-for-reducing-health-inequalities-main-report" TargetMode="External"/><Relationship Id="rId35" Type="http://schemas.openxmlformats.org/officeDocument/2006/relationships/hyperlink" Target="https://www.who.int/publications/i/item/WHO-IER-CSDH-08.1" TargetMode="External"/><Relationship Id="rId8" Type="http://schemas.openxmlformats.org/officeDocument/2006/relationships/hyperlink" Target="https://archive.org/details/in.ernet.dli.2015.275849"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TotalTime>
  <Pages>15</Pages>
  <Words>5307</Words>
  <Characters>30253</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Mohammad (2325946)</dc:creator>
  <cp:keywords/>
  <dc:description/>
  <cp:lastModifiedBy>Iqra Mohammad (2325946)</cp:lastModifiedBy>
  <cp:revision>5</cp:revision>
  <dcterms:created xsi:type="dcterms:W3CDTF">2026-07-20T12:52:00Z</dcterms:created>
  <dcterms:modified xsi:type="dcterms:W3CDTF">2026-07-20T14:12:00Z</dcterms:modified>
</cp:coreProperties>
</file>