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1C1FA" w14:textId="5428EBA4" w:rsidR="00C1106F" w:rsidRDefault="006C59F4">
      <w:pPr>
        <w:rPr>
          <w:rFonts w:asciiTheme="majorHAnsi" w:hAnsiTheme="majorHAnsi" w:cstheme="majorHAnsi"/>
          <w:sz w:val="24"/>
          <w:szCs w:val="24"/>
        </w:rPr>
      </w:pPr>
      <w:r>
        <w:rPr>
          <w:rFonts w:asciiTheme="majorHAnsi" w:hAnsiTheme="majorHAnsi" w:cstheme="majorHAnsi"/>
          <w:sz w:val="24"/>
          <w:szCs w:val="24"/>
        </w:rPr>
        <w:t xml:space="preserve">The aim of this assignment is to evaluate the problem question that has been given and </w:t>
      </w:r>
      <w:r w:rsidR="003D5D22">
        <w:rPr>
          <w:rFonts w:asciiTheme="majorHAnsi" w:hAnsiTheme="majorHAnsi" w:cstheme="majorHAnsi"/>
          <w:sz w:val="24"/>
          <w:szCs w:val="24"/>
        </w:rPr>
        <w:t>to see what offences Polly could be prosecuted for</w:t>
      </w:r>
      <w:r w:rsidR="00913055">
        <w:rPr>
          <w:rFonts w:asciiTheme="majorHAnsi" w:hAnsiTheme="majorHAnsi" w:cstheme="majorHAnsi"/>
          <w:sz w:val="24"/>
          <w:szCs w:val="24"/>
        </w:rPr>
        <w:t xml:space="preserve">, as well as </w:t>
      </w:r>
      <w:r w:rsidR="00AB081F">
        <w:rPr>
          <w:rFonts w:asciiTheme="majorHAnsi" w:hAnsiTheme="majorHAnsi" w:cstheme="majorHAnsi"/>
          <w:sz w:val="24"/>
          <w:szCs w:val="24"/>
        </w:rPr>
        <w:t xml:space="preserve">possible defences that </w:t>
      </w:r>
      <w:r w:rsidR="002339BB">
        <w:rPr>
          <w:rFonts w:asciiTheme="majorHAnsi" w:hAnsiTheme="majorHAnsi" w:cstheme="majorHAnsi"/>
          <w:sz w:val="24"/>
          <w:szCs w:val="24"/>
        </w:rPr>
        <w:t xml:space="preserve">can be given if </w:t>
      </w:r>
      <w:r w:rsidR="007F3843">
        <w:rPr>
          <w:rFonts w:asciiTheme="majorHAnsi" w:hAnsiTheme="majorHAnsi" w:cstheme="majorHAnsi"/>
          <w:sz w:val="24"/>
          <w:szCs w:val="24"/>
        </w:rPr>
        <w:t>Polly</w:t>
      </w:r>
      <w:r w:rsidR="009057E8">
        <w:rPr>
          <w:rFonts w:asciiTheme="majorHAnsi" w:hAnsiTheme="majorHAnsi" w:cstheme="majorHAnsi"/>
          <w:sz w:val="24"/>
          <w:szCs w:val="24"/>
        </w:rPr>
        <w:t xml:space="preserve"> meets the criteria.</w:t>
      </w:r>
    </w:p>
    <w:p w14:paraId="0B257306" w14:textId="122402BA" w:rsidR="00CF6AA6" w:rsidRDefault="00CF6AA6">
      <w:pPr>
        <w:rPr>
          <w:rFonts w:asciiTheme="majorHAnsi" w:hAnsiTheme="majorHAnsi" w:cstheme="majorHAnsi"/>
          <w:sz w:val="24"/>
          <w:szCs w:val="24"/>
        </w:rPr>
      </w:pPr>
      <w:r>
        <w:rPr>
          <w:rFonts w:asciiTheme="majorHAnsi" w:hAnsiTheme="majorHAnsi" w:cstheme="majorHAnsi"/>
          <w:sz w:val="24"/>
          <w:szCs w:val="24"/>
        </w:rPr>
        <w:t xml:space="preserve">Polly noticed Mohammed flirting with the barmaid Roxanne during a social event in their local pub. When walking past Roxanne, Polly calls her a ‘bitch’ and gestures her middle finger at her. </w:t>
      </w:r>
      <w:r w:rsidR="00440C09">
        <w:rPr>
          <w:rFonts w:asciiTheme="majorHAnsi" w:hAnsiTheme="majorHAnsi" w:cstheme="majorHAnsi"/>
          <w:sz w:val="24"/>
          <w:szCs w:val="24"/>
        </w:rPr>
        <w:t>Although it does not state that Roxanne was intimidated or distressed by Polly’s name calling Section 5 of the Public Order Act 1986 could be an offence that Polly could be charged with. The prosecution must prove that defendant used words or behaviours that were abusive, threatening, insulting or the defendant acted in a disorderly way</w:t>
      </w:r>
      <w:r w:rsidR="00D44774">
        <w:rPr>
          <w:rFonts w:asciiTheme="majorHAnsi" w:hAnsiTheme="majorHAnsi" w:cstheme="majorHAnsi"/>
          <w:sz w:val="24"/>
          <w:szCs w:val="24"/>
        </w:rPr>
        <w:t>, this can be seen in the case of Harvey V Director of Public Prosecutions [2011].</w:t>
      </w:r>
      <w:r w:rsidR="00440C09">
        <w:rPr>
          <w:rFonts w:asciiTheme="majorHAnsi" w:hAnsiTheme="majorHAnsi" w:cstheme="majorHAnsi"/>
          <w:sz w:val="24"/>
          <w:szCs w:val="24"/>
        </w:rPr>
        <w:t xml:space="preserve"> </w:t>
      </w:r>
      <w:r w:rsidR="00440C09" w:rsidRPr="00440C09">
        <w:rPr>
          <w:rFonts w:asciiTheme="majorHAnsi" w:hAnsiTheme="majorHAnsi" w:cstheme="majorHAnsi"/>
          <w:sz w:val="24"/>
          <w:szCs w:val="24"/>
        </w:rPr>
        <w:t>In contrast to the section 4A offence, there is no requirement to show that a person intended to cause alarm or distress by their actions.</w:t>
      </w:r>
      <w:r w:rsidR="0074733D">
        <w:rPr>
          <w:rFonts w:asciiTheme="majorHAnsi" w:hAnsiTheme="majorHAnsi" w:cstheme="majorHAnsi"/>
          <w:sz w:val="24"/>
          <w:szCs w:val="24"/>
        </w:rPr>
        <w:t xml:space="preserve"> Section 5 is a summary only offence and a non-imprisonable offence, this means that the maximum penalty that can be imposed is a fine.</w:t>
      </w:r>
    </w:p>
    <w:p w14:paraId="33A489A6" w14:textId="13D98357" w:rsidR="00671EA9" w:rsidRDefault="003D628F">
      <w:pPr>
        <w:rPr>
          <w:rFonts w:asciiTheme="majorHAnsi" w:hAnsiTheme="majorHAnsi" w:cstheme="majorHAnsi"/>
          <w:sz w:val="24"/>
          <w:szCs w:val="24"/>
        </w:rPr>
      </w:pPr>
      <w:r>
        <w:rPr>
          <w:rFonts w:asciiTheme="majorHAnsi" w:hAnsiTheme="majorHAnsi" w:cstheme="majorHAnsi"/>
          <w:sz w:val="24"/>
          <w:szCs w:val="24"/>
        </w:rPr>
        <w:t xml:space="preserve">Common assault is a summary offence and </w:t>
      </w:r>
      <w:r w:rsidR="002C0DA3">
        <w:rPr>
          <w:rFonts w:asciiTheme="majorHAnsi" w:hAnsiTheme="majorHAnsi" w:cstheme="majorHAnsi"/>
          <w:sz w:val="24"/>
          <w:szCs w:val="24"/>
        </w:rPr>
        <w:t>is set out in</w:t>
      </w:r>
      <w:r w:rsidR="00B5735C">
        <w:rPr>
          <w:rFonts w:asciiTheme="majorHAnsi" w:hAnsiTheme="majorHAnsi" w:cstheme="majorHAnsi"/>
          <w:sz w:val="24"/>
          <w:szCs w:val="24"/>
        </w:rPr>
        <w:t xml:space="preserve"> section </w:t>
      </w:r>
      <w:r w:rsidR="00671EA9">
        <w:rPr>
          <w:rFonts w:asciiTheme="majorHAnsi" w:hAnsiTheme="majorHAnsi" w:cstheme="majorHAnsi"/>
          <w:sz w:val="24"/>
          <w:szCs w:val="24"/>
        </w:rPr>
        <w:t>39 of the Criminal Justice Act 1988</w:t>
      </w:r>
      <w:r w:rsidR="002C0DA3">
        <w:rPr>
          <w:rFonts w:asciiTheme="majorHAnsi" w:hAnsiTheme="majorHAnsi" w:cstheme="majorHAnsi"/>
          <w:sz w:val="24"/>
          <w:szCs w:val="24"/>
        </w:rPr>
        <w:t xml:space="preserve">. </w:t>
      </w:r>
      <w:r w:rsidR="00626FF6">
        <w:rPr>
          <w:rFonts w:asciiTheme="majorHAnsi" w:hAnsiTheme="majorHAnsi" w:cstheme="majorHAnsi"/>
          <w:sz w:val="24"/>
          <w:szCs w:val="24"/>
        </w:rPr>
        <w:t xml:space="preserve">The actus reus of assault is </w:t>
      </w:r>
      <w:r w:rsidR="00304ECF">
        <w:rPr>
          <w:rFonts w:asciiTheme="majorHAnsi" w:hAnsiTheme="majorHAnsi" w:cstheme="majorHAnsi"/>
          <w:sz w:val="24"/>
          <w:szCs w:val="24"/>
        </w:rPr>
        <w:t xml:space="preserve">causing a person to apprehend the </w:t>
      </w:r>
      <w:r w:rsidR="00104A2C">
        <w:rPr>
          <w:rFonts w:asciiTheme="majorHAnsi" w:hAnsiTheme="majorHAnsi" w:cstheme="majorHAnsi"/>
          <w:sz w:val="24"/>
          <w:szCs w:val="24"/>
        </w:rPr>
        <w:t>immediate application of unlawful force, there does not need to be any application of actual force on the victim. Mens rea of assault</w:t>
      </w:r>
      <w:r w:rsidR="00626FF6">
        <w:rPr>
          <w:rFonts w:asciiTheme="majorHAnsi" w:hAnsiTheme="majorHAnsi" w:cstheme="majorHAnsi"/>
          <w:sz w:val="24"/>
          <w:szCs w:val="24"/>
        </w:rPr>
        <w:t xml:space="preserve"> </w:t>
      </w:r>
      <w:r w:rsidR="00104A2C">
        <w:rPr>
          <w:rFonts w:asciiTheme="majorHAnsi" w:hAnsiTheme="majorHAnsi" w:cstheme="majorHAnsi"/>
          <w:sz w:val="24"/>
          <w:szCs w:val="24"/>
        </w:rPr>
        <w:t xml:space="preserve">is intending the victim to cause the apprehension of unlawful force or foreseeing that the victim </w:t>
      </w:r>
      <w:r w:rsidR="007D4FCB">
        <w:rPr>
          <w:rFonts w:asciiTheme="majorHAnsi" w:hAnsiTheme="majorHAnsi" w:cstheme="majorHAnsi"/>
          <w:sz w:val="24"/>
          <w:szCs w:val="24"/>
        </w:rPr>
        <w:t xml:space="preserve">might be caused such apprehension. As was established </w:t>
      </w:r>
      <w:r w:rsidR="00BF2DC9">
        <w:rPr>
          <w:rFonts w:asciiTheme="majorHAnsi" w:hAnsiTheme="majorHAnsi" w:cstheme="majorHAnsi"/>
          <w:sz w:val="24"/>
          <w:szCs w:val="24"/>
        </w:rPr>
        <w:t xml:space="preserve">in the case of Savage and Parmenter [1992] </w:t>
      </w:r>
      <w:r w:rsidR="00764804">
        <w:rPr>
          <w:rFonts w:asciiTheme="majorHAnsi" w:hAnsiTheme="majorHAnsi" w:cstheme="majorHAnsi"/>
          <w:sz w:val="24"/>
          <w:szCs w:val="24"/>
        </w:rPr>
        <w:t xml:space="preserve">this involves a subjective element of recklessness, meaning the defendant must have been aware of the possibility </w:t>
      </w:r>
      <w:r w:rsidR="005D68CF">
        <w:rPr>
          <w:rFonts w:asciiTheme="majorHAnsi" w:hAnsiTheme="majorHAnsi" w:cstheme="majorHAnsi"/>
          <w:sz w:val="24"/>
          <w:szCs w:val="24"/>
        </w:rPr>
        <w:t xml:space="preserve">of inciting fear of violence. </w:t>
      </w:r>
      <w:r w:rsidR="00771945">
        <w:rPr>
          <w:rFonts w:asciiTheme="majorHAnsi" w:hAnsiTheme="majorHAnsi" w:cstheme="majorHAnsi"/>
          <w:sz w:val="24"/>
          <w:szCs w:val="24"/>
        </w:rPr>
        <w:t>In the case of R V Wilson [1955] it was stated that assault does not need to be physical</w:t>
      </w:r>
      <w:r w:rsidR="00F13F7C">
        <w:rPr>
          <w:rFonts w:asciiTheme="majorHAnsi" w:hAnsiTheme="majorHAnsi" w:cstheme="majorHAnsi"/>
          <w:sz w:val="24"/>
          <w:szCs w:val="24"/>
        </w:rPr>
        <w:t>,</w:t>
      </w:r>
      <w:r w:rsidR="00771945">
        <w:rPr>
          <w:rFonts w:asciiTheme="majorHAnsi" w:hAnsiTheme="majorHAnsi" w:cstheme="majorHAnsi"/>
          <w:sz w:val="24"/>
          <w:szCs w:val="24"/>
        </w:rPr>
        <w:t xml:space="preserve"> words could amount to assault</w:t>
      </w:r>
      <w:r w:rsidR="00F13F7C">
        <w:rPr>
          <w:rFonts w:asciiTheme="majorHAnsi" w:hAnsiTheme="majorHAnsi" w:cstheme="majorHAnsi"/>
          <w:sz w:val="24"/>
          <w:szCs w:val="24"/>
        </w:rPr>
        <w:t>. T</w:t>
      </w:r>
      <w:r w:rsidR="00771945">
        <w:rPr>
          <w:rFonts w:asciiTheme="majorHAnsi" w:hAnsiTheme="majorHAnsi" w:cstheme="majorHAnsi"/>
          <w:sz w:val="24"/>
          <w:szCs w:val="24"/>
        </w:rPr>
        <w:t xml:space="preserve">his was later accepted in the case of R V Constanza [1997]. </w:t>
      </w:r>
      <w:r w:rsidR="005D68CF">
        <w:rPr>
          <w:rFonts w:asciiTheme="majorHAnsi" w:hAnsiTheme="majorHAnsi" w:cstheme="majorHAnsi"/>
          <w:sz w:val="24"/>
          <w:szCs w:val="24"/>
        </w:rPr>
        <w:t xml:space="preserve">Although </w:t>
      </w:r>
      <w:r w:rsidR="00EF550A">
        <w:rPr>
          <w:rFonts w:asciiTheme="majorHAnsi" w:hAnsiTheme="majorHAnsi" w:cstheme="majorHAnsi"/>
          <w:sz w:val="24"/>
          <w:szCs w:val="24"/>
        </w:rPr>
        <w:t xml:space="preserve">Polly called Roxanne a ‘bitch’ </w:t>
      </w:r>
      <w:r w:rsidR="00521BF7">
        <w:rPr>
          <w:rFonts w:asciiTheme="majorHAnsi" w:hAnsiTheme="majorHAnsi" w:cstheme="majorHAnsi"/>
          <w:sz w:val="24"/>
          <w:szCs w:val="24"/>
        </w:rPr>
        <w:t xml:space="preserve">it does not say that Roxanne felt intimidated </w:t>
      </w:r>
      <w:r w:rsidR="00B55AA8">
        <w:rPr>
          <w:rFonts w:asciiTheme="majorHAnsi" w:hAnsiTheme="majorHAnsi" w:cstheme="majorHAnsi"/>
          <w:sz w:val="24"/>
          <w:szCs w:val="24"/>
        </w:rPr>
        <w:t xml:space="preserve">or that she felt it was going to escalate into more than name calling, because of this </w:t>
      </w:r>
      <w:r w:rsidR="00B94FC8">
        <w:rPr>
          <w:rFonts w:asciiTheme="majorHAnsi" w:hAnsiTheme="majorHAnsi" w:cstheme="majorHAnsi"/>
          <w:sz w:val="24"/>
          <w:szCs w:val="24"/>
        </w:rPr>
        <w:t>the offence of assault seems unlikely.</w:t>
      </w:r>
    </w:p>
    <w:p w14:paraId="436CBE60" w14:textId="48681C40" w:rsidR="00C1106F" w:rsidRDefault="00D44774">
      <w:pPr>
        <w:rPr>
          <w:rFonts w:asciiTheme="majorHAnsi" w:hAnsiTheme="majorHAnsi" w:cstheme="majorHAnsi"/>
          <w:sz w:val="24"/>
          <w:szCs w:val="24"/>
        </w:rPr>
      </w:pPr>
      <w:r>
        <w:rPr>
          <w:rFonts w:asciiTheme="majorHAnsi" w:hAnsiTheme="majorHAnsi" w:cstheme="majorHAnsi"/>
          <w:sz w:val="24"/>
          <w:szCs w:val="24"/>
        </w:rPr>
        <w:t xml:space="preserve">After Polly had been asked to leave the pub and went outside she came across Roxanne’s moped, using a broken glass that she had found in the carpark she cut Roxanne’s brake cables. </w:t>
      </w:r>
      <w:r w:rsidR="00C80281">
        <w:rPr>
          <w:rFonts w:asciiTheme="majorHAnsi" w:hAnsiTheme="majorHAnsi" w:cstheme="majorHAnsi"/>
          <w:sz w:val="24"/>
          <w:szCs w:val="24"/>
        </w:rPr>
        <w:t>Polly could be charged with aggravated criminal damage under section 1(2) of the Criminal Damage Act 1971</w:t>
      </w:r>
      <w:r w:rsidR="004D399D">
        <w:rPr>
          <w:rFonts w:asciiTheme="majorHAnsi" w:hAnsiTheme="majorHAnsi" w:cstheme="majorHAnsi"/>
          <w:sz w:val="24"/>
          <w:szCs w:val="24"/>
        </w:rPr>
        <w:t>. Although it is the same offence as criminal damage is also an intention to endanger another life either recklessly or intentionally</w:t>
      </w:r>
      <w:r w:rsidR="00C80281">
        <w:rPr>
          <w:rFonts w:asciiTheme="majorHAnsi" w:hAnsiTheme="majorHAnsi" w:cstheme="majorHAnsi"/>
          <w:sz w:val="24"/>
          <w:szCs w:val="24"/>
        </w:rPr>
        <w:t xml:space="preserve">. The definition of aggravated criminal damage is ‘a man or woman who without lawful excuse destroys or damages any property, whether or not belonging to himself or another’. </w:t>
      </w:r>
      <w:r w:rsidR="0027016D">
        <w:rPr>
          <w:rFonts w:asciiTheme="majorHAnsi" w:hAnsiTheme="majorHAnsi" w:cstheme="majorHAnsi"/>
          <w:sz w:val="24"/>
          <w:szCs w:val="24"/>
        </w:rPr>
        <w:t>The</w:t>
      </w:r>
      <w:r w:rsidR="00C80281">
        <w:rPr>
          <w:rFonts w:asciiTheme="majorHAnsi" w:hAnsiTheme="majorHAnsi" w:cstheme="majorHAnsi"/>
          <w:sz w:val="24"/>
          <w:szCs w:val="24"/>
        </w:rPr>
        <w:t xml:space="preserve"> </w:t>
      </w:r>
      <w:r w:rsidR="0027016D">
        <w:rPr>
          <w:rFonts w:asciiTheme="majorHAnsi" w:hAnsiTheme="majorHAnsi" w:cstheme="majorHAnsi"/>
          <w:sz w:val="24"/>
          <w:szCs w:val="24"/>
        </w:rPr>
        <w:t xml:space="preserve">Act </w:t>
      </w:r>
      <w:r w:rsidR="00C80281">
        <w:rPr>
          <w:rFonts w:asciiTheme="majorHAnsi" w:hAnsiTheme="majorHAnsi" w:cstheme="majorHAnsi"/>
          <w:sz w:val="24"/>
          <w:szCs w:val="24"/>
        </w:rPr>
        <w:t xml:space="preserve">states ‘whether the defendant intended or damaged any property or being reckless as to whether any property would be destroyed </w:t>
      </w:r>
      <w:r w:rsidR="0027016D">
        <w:rPr>
          <w:rFonts w:asciiTheme="majorHAnsi" w:hAnsiTheme="majorHAnsi" w:cstheme="majorHAnsi"/>
          <w:sz w:val="24"/>
          <w:szCs w:val="24"/>
        </w:rPr>
        <w:t>or damaged and intending by the destruction or damage to endanger the life of another or being reckless as to whether the life of another would be thereby endangered shall be guilty of an offence’.</w:t>
      </w:r>
      <w:r w:rsidR="004D399D">
        <w:rPr>
          <w:rFonts w:asciiTheme="majorHAnsi" w:hAnsiTheme="majorHAnsi" w:cstheme="majorHAnsi"/>
          <w:sz w:val="24"/>
          <w:szCs w:val="24"/>
        </w:rPr>
        <w:t xml:space="preserve"> The maximum penalty for aggravated criminal damage is life imprisonment depending on the circumstances of the case.</w:t>
      </w:r>
    </w:p>
    <w:p w14:paraId="682C355A" w14:textId="581FD9A8" w:rsidR="0027016D" w:rsidRDefault="004D399D">
      <w:pPr>
        <w:rPr>
          <w:rFonts w:asciiTheme="majorHAnsi" w:hAnsiTheme="majorHAnsi" w:cstheme="majorHAnsi"/>
          <w:sz w:val="24"/>
          <w:szCs w:val="24"/>
        </w:rPr>
      </w:pPr>
      <w:r>
        <w:rPr>
          <w:rFonts w:asciiTheme="majorHAnsi" w:hAnsiTheme="majorHAnsi" w:cstheme="majorHAnsi"/>
          <w:sz w:val="24"/>
          <w:szCs w:val="24"/>
        </w:rPr>
        <w:t xml:space="preserve">The actus reus of aggravated criminal damage is the destroying or damaging of property without lawful excuse. In Polly’s case she picked up a piece of broken glass, walked up to Roxanne’s moped and cut her brake cable herself. The mens reas of aggravated criminal damage is split into two parts. </w:t>
      </w:r>
      <w:r w:rsidR="0027016D">
        <w:rPr>
          <w:rFonts w:asciiTheme="majorHAnsi" w:hAnsiTheme="majorHAnsi" w:cstheme="majorHAnsi"/>
          <w:sz w:val="24"/>
          <w:szCs w:val="24"/>
        </w:rPr>
        <w:t xml:space="preserve">First it must be proven that the defendant intended or was negligent to destroy or damage property, this is the same as the criminal </w:t>
      </w:r>
      <w:r>
        <w:rPr>
          <w:rFonts w:asciiTheme="majorHAnsi" w:hAnsiTheme="majorHAnsi" w:cstheme="majorHAnsi"/>
          <w:sz w:val="24"/>
          <w:szCs w:val="24"/>
        </w:rPr>
        <w:t>damage’s</w:t>
      </w:r>
      <w:r w:rsidR="0027016D">
        <w:rPr>
          <w:rFonts w:asciiTheme="majorHAnsi" w:hAnsiTheme="majorHAnsi" w:cstheme="majorHAnsi"/>
          <w:sz w:val="24"/>
          <w:szCs w:val="24"/>
        </w:rPr>
        <w:t xml:space="preserve"> </w:t>
      </w:r>
      <w:r w:rsidR="0027016D">
        <w:rPr>
          <w:rFonts w:asciiTheme="majorHAnsi" w:hAnsiTheme="majorHAnsi" w:cstheme="majorHAnsi"/>
          <w:sz w:val="24"/>
          <w:szCs w:val="24"/>
        </w:rPr>
        <w:lastRenderedPageBreak/>
        <w:t xml:space="preserve">requirement. </w:t>
      </w:r>
      <w:r>
        <w:rPr>
          <w:rFonts w:asciiTheme="majorHAnsi" w:hAnsiTheme="majorHAnsi" w:cstheme="majorHAnsi"/>
          <w:sz w:val="24"/>
          <w:szCs w:val="24"/>
        </w:rPr>
        <w:t>Secondly, it must be shown that the defendant knowingly or recklessly endangered life as the result of criminal damage, this can be seen in the case of R V Steer [1988]. It must also be proven that the endangerment of another must result from the criminal damage.</w:t>
      </w:r>
    </w:p>
    <w:p w14:paraId="3ED2A0E2" w14:textId="0AC4255B" w:rsidR="00475DC6" w:rsidRDefault="000545EF">
      <w:pPr>
        <w:rPr>
          <w:rFonts w:asciiTheme="majorHAnsi" w:hAnsiTheme="majorHAnsi" w:cstheme="majorHAnsi"/>
          <w:sz w:val="24"/>
          <w:szCs w:val="24"/>
        </w:rPr>
      </w:pPr>
      <w:r>
        <w:rPr>
          <w:rFonts w:asciiTheme="majorHAnsi" w:hAnsiTheme="majorHAnsi" w:cstheme="majorHAnsi"/>
          <w:sz w:val="24"/>
          <w:szCs w:val="24"/>
        </w:rPr>
        <w:t xml:space="preserve">Polly and Mohammed were in a heated argument which was then intensified when Mohammed admitted that he was indeed having an affair with Roxanne. It was this confession that led to Polly picking up an ashtray smashing it over Mohammed’s head causing his death. Polly </w:t>
      </w:r>
      <w:r w:rsidR="007C34C7">
        <w:rPr>
          <w:rFonts w:asciiTheme="majorHAnsi" w:hAnsiTheme="majorHAnsi" w:cstheme="majorHAnsi"/>
          <w:sz w:val="24"/>
          <w:szCs w:val="24"/>
        </w:rPr>
        <w:t>could</w:t>
      </w:r>
      <w:r>
        <w:rPr>
          <w:rFonts w:asciiTheme="majorHAnsi" w:hAnsiTheme="majorHAnsi" w:cstheme="majorHAnsi"/>
          <w:sz w:val="24"/>
          <w:szCs w:val="24"/>
        </w:rPr>
        <w:t xml:space="preserve"> </w:t>
      </w:r>
      <w:r w:rsidR="00CC2243">
        <w:rPr>
          <w:rFonts w:asciiTheme="majorHAnsi" w:hAnsiTheme="majorHAnsi" w:cstheme="majorHAnsi"/>
          <w:sz w:val="24"/>
          <w:szCs w:val="24"/>
        </w:rPr>
        <w:t>initially</w:t>
      </w:r>
      <w:r>
        <w:rPr>
          <w:rFonts w:asciiTheme="majorHAnsi" w:hAnsiTheme="majorHAnsi" w:cstheme="majorHAnsi"/>
          <w:sz w:val="24"/>
          <w:szCs w:val="24"/>
        </w:rPr>
        <w:t xml:space="preserve"> be charged with murder </w:t>
      </w:r>
      <w:r w:rsidR="00224A3F">
        <w:rPr>
          <w:rFonts w:asciiTheme="majorHAnsi" w:hAnsiTheme="majorHAnsi" w:cstheme="majorHAnsi"/>
          <w:sz w:val="24"/>
          <w:szCs w:val="24"/>
        </w:rPr>
        <w:t xml:space="preserve">under the Coroners and Justice Act 2009. </w:t>
      </w:r>
      <w:r w:rsidR="0066445B">
        <w:rPr>
          <w:rFonts w:asciiTheme="majorHAnsi" w:hAnsiTheme="majorHAnsi" w:cstheme="majorHAnsi"/>
          <w:sz w:val="24"/>
          <w:szCs w:val="24"/>
        </w:rPr>
        <w:t xml:space="preserve">The actus reus of murder is the unlawful killing of a human being under the </w:t>
      </w:r>
      <w:r w:rsidR="00CC2243">
        <w:rPr>
          <w:rFonts w:asciiTheme="majorHAnsi" w:hAnsiTheme="majorHAnsi" w:cstheme="majorHAnsi"/>
          <w:sz w:val="24"/>
          <w:szCs w:val="24"/>
        </w:rPr>
        <w:t>King</w:t>
      </w:r>
      <w:r w:rsidR="007C34C7">
        <w:rPr>
          <w:rFonts w:asciiTheme="majorHAnsi" w:hAnsiTheme="majorHAnsi" w:cstheme="majorHAnsi"/>
          <w:sz w:val="24"/>
          <w:szCs w:val="24"/>
        </w:rPr>
        <w:t>s</w:t>
      </w:r>
      <w:r w:rsidR="0066445B">
        <w:rPr>
          <w:rFonts w:asciiTheme="majorHAnsi" w:hAnsiTheme="majorHAnsi" w:cstheme="majorHAnsi"/>
          <w:sz w:val="24"/>
          <w:szCs w:val="24"/>
        </w:rPr>
        <w:t xml:space="preserve"> peace</w:t>
      </w:r>
      <w:r w:rsidR="00BE1F85">
        <w:rPr>
          <w:rFonts w:asciiTheme="majorHAnsi" w:hAnsiTheme="majorHAnsi" w:cstheme="majorHAnsi"/>
          <w:sz w:val="24"/>
          <w:szCs w:val="24"/>
        </w:rPr>
        <w:t>.</w:t>
      </w:r>
      <w:r w:rsidR="00CF3EA0">
        <w:rPr>
          <w:rFonts w:asciiTheme="majorHAnsi" w:hAnsiTheme="majorHAnsi" w:cstheme="majorHAnsi"/>
          <w:sz w:val="24"/>
          <w:szCs w:val="24"/>
        </w:rPr>
        <w:t xml:space="preserve"> </w:t>
      </w:r>
      <w:r w:rsidR="00AF5CC3">
        <w:rPr>
          <w:rFonts w:asciiTheme="majorHAnsi" w:hAnsiTheme="majorHAnsi" w:cstheme="majorHAnsi"/>
          <w:sz w:val="24"/>
          <w:szCs w:val="24"/>
        </w:rPr>
        <w:t xml:space="preserve">The mens rea for murder is malice afterthought and both actus reus and mens rea must be met to charge a defendant with murder. </w:t>
      </w:r>
      <w:r w:rsidR="00CF3EA0">
        <w:rPr>
          <w:rFonts w:asciiTheme="majorHAnsi" w:hAnsiTheme="majorHAnsi" w:cstheme="majorHAnsi"/>
          <w:sz w:val="24"/>
          <w:szCs w:val="24"/>
        </w:rPr>
        <w:t>Polly smashing an ashtray over Mohammed’s head is the act</w:t>
      </w:r>
      <w:r w:rsidR="00AF5CC3">
        <w:rPr>
          <w:rFonts w:asciiTheme="majorHAnsi" w:hAnsiTheme="majorHAnsi" w:cstheme="majorHAnsi"/>
          <w:sz w:val="24"/>
          <w:szCs w:val="24"/>
        </w:rPr>
        <w:t xml:space="preserve"> itself</w:t>
      </w:r>
      <w:r w:rsidR="00CF3EA0">
        <w:rPr>
          <w:rFonts w:asciiTheme="majorHAnsi" w:hAnsiTheme="majorHAnsi" w:cstheme="majorHAnsi"/>
          <w:sz w:val="24"/>
          <w:szCs w:val="24"/>
        </w:rPr>
        <w:t xml:space="preserve"> and </w:t>
      </w:r>
      <w:r w:rsidR="00223E5C">
        <w:rPr>
          <w:rFonts w:asciiTheme="majorHAnsi" w:hAnsiTheme="majorHAnsi" w:cstheme="majorHAnsi"/>
          <w:sz w:val="24"/>
          <w:szCs w:val="24"/>
        </w:rPr>
        <w:t>it caused the death of the victim.</w:t>
      </w:r>
      <w:r w:rsidR="00AF5CC3">
        <w:rPr>
          <w:rFonts w:asciiTheme="majorHAnsi" w:hAnsiTheme="majorHAnsi" w:cstheme="majorHAnsi"/>
          <w:sz w:val="24"/>
          <w:szCs w:val="24"/>
        </w:rPr>
        <w:t xml:space="preserve"> </w:t>
      </w:r>
      <w:r w:rsidR="00223E5C">
        <w:rPr>
          <w:rFonts w:asciiTheme="majorHAnsi" w:hAnsiTheme="majorHAnsi" w:cstheme="majorHAnsi"/>
          <w:sz w:val="24"/>
          <w:szCs w:val="24"/>
        </w:rPr>
        <w:t>Mens rea is defined as the state of mind of the person committing the crime.</w:t>
      </w:r>
      <w:r w:rsidR="00223E5C">
        <w:rPr>
          <w:rFonts w:asciiTheme="majorHAnsi" w:hAnsiTheme="majorHAnsi" w:cstheme="majorHAnsi"/>
          <w:sz w:val="24"/>
          <w:szCs w:val="24"/>
        </w:rPr>
        <w:t xml:space="preserve"> </w:t>
      </w:r>
      <w:r w:rsidR="00224A3F">
        <w:rPr>
          <w:rFonts w:asciiTheme="majorHAnsi" w:hAnsiTheme="majorHAnsi" w:cstheme="majorHAnsi"/>
          <w:sz w:val="24"/>
          <w:szCs w:val="24"/>
        </w:rPr>
        <w:t>The defendant must have the intention to cause death or serious bodily harm and be aware that it is highly likely to occur as a result of their actions  - as seen in the case of R C Matthews [2003].</w:t>
      </w:r>
      <w:r w:rsidR="00B83BB5">
        <w:rPr>
          <w:rFonts w:asciiTheme="majorHAnsi" w:hAnsiTheme="majorHAnsi" w:cstheme="majorHAnsi"/>
          <w:sz w:val="24"/>
          <w:szCs w:val="24"/>
        </w:rPr>
        <w:t xml:space="preserve"> </w:t>
      </w:r>
    </w:p>
    <w:p w14:paraId="21CD7185" w14:textId="7A7A4A3A" w:rsidR="00475DC6" w:rsidRDefault="005C2D66">
      <w:pPr>
        <w:rPr>
          <w:rFonts w:asciiTheme="majorHAnsi" w:hAnsiTheme="majorHAnsi" w:cstheme="majorHAnsi"/>
          <w:sz w:val="24"/>
          <w:szCs w:val="24"/>
        </w:rPr>
      </w:pPr>
      <w:r>
        <w:rPr>
          <w:rFonts w:asciiTheme="majorHAnsi" w:hAnsiTheme="majorHAnsi" w:cstheme="majorHAnsi"/>
          <w:sz w:val="24"/>
          <w:szCs w:val="24"/>
        </w:rPr>
        <w:t xml:space="preserve">Polly’s defence could argue diminished responsibility which is a partial defence </w:t>
      </w:r>
      <w:r w:rsidR="00CF6AA6">
        <w:rPr>
          <w:rFonts w:asciiTheme="majorHAnsi" w:hAnsiTheme="majorHAnsi" w:cstheme="majorHAnsi"/>
          <w:sz w:val="24"/>
          <w:szCs w:val="24"/>
        </w:rPr>
        <w:t>to</w:t>
      </w:r>
      <w:r>
        <w:rPr>
          <w:rFonts w:asciiTheme="majorHAnsi" w:hAnsiTheme="majorHAnsi" w:cstheme="majorHAnsi"/>
          <w:sz w:val="24"/>
          <w:szCs w:val="24"/>
        </w:rPr>
        <w:t xml:space="preserve"> murder. A partial defence contains all the elements of murder but if successfully argued it could reduce the offence to manslaughter instead of murder. There are four stages that must be met to argue diminished responsibility under section 52 of the Coroners and Justice Act 200</w:t>
      </w:r>
      <w:r w:rsidR="00616A09">
        <w:rPr>
          <w:rFonts w:asciiTheme="majorHAnsi" w:hAnsiTheme="majorHAnsi" w:cstheme="majorHAnsi"/>
          <w:sz w:val="24"/>
          <w:szCs w:val="24"/>
        </w:rPr>
        <w:t xml:space="preserve">9. The  four stages look at the </w:t>
      </w:r>
      <w:r w:rsidR="00CF6AA6">
        <w:rPr>
          <w:rFonts w:asciiTheme="majorHAnsi" w:hAnsiTheme="majorHAnsi" w:cstheme="majorHAnsi"/>
          <w:sz w:val="24"/>
          <w:szCs w:val="24"/>
        </w:rPr>
        <w:t>defendant’s</w:t>
      </w:r>
      <w:r w:rsidR="00616A09">
        <w:rPr>
          <w:rFonts w:asciiTheme="majorHAnsi" w:hAnsiTheme="majorHAnsi" w:cstheme="majorHAnsi"/>
          <w:sz w:val="24"/>
          <w:szCs w:val="24"/>
        </w:rPr>
        <w:t xml:space="preserve"> mental state and whether there was an abnormality of mental state and if so whether this was caused by a recognised medical condition that substantially impaired the </w:t>
      </w:r>
      <w:r w:rsidR="00CF6AA6">
        <w:rPr>
          <w:rFonts w:asciiTheme="majorHAnsi" w:hAnsiTheme="majorHAnsi" w:cstheme="majorHAnsi"/>
          <w:sz w:val="24"/>
          <w:szCs w:val="24"/>
        </w:rPr>
        <w:t>defendant’s</w:t>
      </w:r>
      <w:r w:rsidR="00616A09">
        <w:rPr>
          <w:rFonts w:asciiTheme="majorHAnsi" w:hAnsiTheme="majorHAnsi" w:cstheme="majorHAnsi"/>
          <w:sz w:val="24"/>
          <w:szCs w:val="24"/>
        </w:rPr>
        <w:t xml:space="preserve"> ability to understand their conduct, form a rational judgement, or exercise self-control providing an explanation for the defendants conduct.</w:t>
      </w:r>
      <w:r w:rsidR="00CF6AA6">
        <w:rPr>
          <w:rFonts w:asciiTheme="majorHAnsi" w:hAnsiTheme="majorHAnsi" w:cstheme="majorHAnsi"/>
          <w:sz w:val="24"/>
          <w:szCs w:val="24"/>
        </w:rPr>
        <w:t xml:space="preserve"> Abnormality of mind can be seen in the case of R V Bryne [1960] and due to a recognised medical condition the murder charge was reduced to manslaughter.</w:t>
      </w:r>
    </w:p>
    <w:p w14:paraId="35E8642F" w14:textId="4C2D2EFA" w:rsidR="00CF6AA6" w:rsidRDefault="00CF6AA6">
      <w:pPr>
        <w:rPr>
          <w:rFonts w:asciiTheme="majorHAnsi" w:hAnsiTheme="majorHAnsi" w:cstheme="majorHAnsi"/>
          <w:sz w:val="24"/>
          <w:szCs w:val="24"/>
        </w:rPr>
      </w:pPr>
      <w:r>
        <w:rPr>
          <w:rFonts w:asciiTheme="majorHAnsi" w:hAnsiTheme="majorHAnsi" w:cstheme="majorHAnsi"/>
          <w:sz w:val="24"/>
          <w:szCs w:val="24"/>
        </w:rPr>
        <w:t xml:space="preserve">Loss of control is another partial defence to murder </w:t>
      </w:r>
      <w:r w:rsidR="004D399D">
        <w:rPr>
          <w:rFonts w:asciiTheme="majorHAnsi" w:hAnsiTheme="majorHAnsi" w:cstheme="majorHAnsi"/>
          <w:sz w:val="24"/>
          <w:szCs w:val="24"/>
        </w:rPr>
        <w:t xml:space="preserve">under </w:t>
      </w:r>
      <w:r w:rsidR="00C115FE">
        <w:rPr>
          <w:rFonts w:asciiTheme="majorHAnsi" w:hAnsiTheme="majorHAnsi" w:cstheme="majorHAnsi"/>
          <w:sz w:val="24"/>
          <w:szCs w:val="24"/>
        </w:rPr>
        <w:t xml:space="preserve">section 54 of the Coroners and Justice Act 2009, previously known as provocation under the Homicide Act 1957. </w:t>
      </w:r>
      <w:r w:rsidR="002C0945">
        <w:rPr>
          <w:rFonts w:asciiTheme="majorHAnsi" w:hAnsiTheme="majorHAnsi" w:cstheme="majorHAnsi"/>
          <w:sz w:val="24"/>
          <w:szCs w:val="24"/>
        </w:rPr>
        <w:t>The Coroners and Justice Act 2009 states that to use loss of control as a partial defence the defendant must have lost self-control, a person of the same sex and age would have reacted in the same way as the defendant in the same circumstances and there must be a qualifying trigger. When looking at the qualifying triggers under the Coroners and Justice Act 2009 the defendant fears serious violence from the victim and a thing or things done or said which constituted circumstances of an extremely grave character and caused the defendant to have a justifiable sense of being seriously wronged. It must be noted that under section 54(6) of the Coroners and Justice Act 2009 sexual infidelity cannot be a qualifying trigger</w:t>
      </w:r>
      <w:r w:rsidR="000116F0">
        <w:rPr>
          <w:rFonts w:asciiTheme="majorHAnsi" w:hAnsiTheme="majorHAnsi" w:cstheme="majorHAnsi"/>
          <w:sz w:val="24"/>
          <w:szCs w:val="24"/>
        </w:rPr>
        <w:t>, this can be seen in the case of R V Clinton [2012] where the court of appeal said, “the Coroners and Justice Act 2009 is designed to prevent the misuse of sexual infidelity as an excuse to kill people”. It is from this case it would be less likely that Polly’s defence team could use loss of control as a defence as she smashed Mohammed over the head straight after him admitting to the affair.</w:t>
      </w:r>
    </w:p>
    <w:p w14:paraId="05D29DE3" w14:textId="77777777" w:rsidR="00BE4EE8" w:rsidRDefault="00BE4EE8">
      <w:pPr>
        <w:rPr>
          <w:rFonts w:asciiTheme="majorHAnsi" w:hAnsiTheme="majorHAnsi" w:cstheme="majorHAnsi"/>
          <w:sz w:val="24"/>
          <w:szCs w:val="24"/>
        </w:rPr>
      </w:pPr>
    </w:p>
    <w:p w14:paraId="467CAE64" w14:textId="4A3A0EBE" w:rsidR="00BE4EE8" w:rsidRDefault="00334FCB">
      <w:pPr>
        <w:rPr>
          <w:rFonts w:asciiTheme="majorHAnsi" w:hAnsiTheme="majorHAnsi" w:cstheme="majorHAnsi"/>
          <w:sz w:val="24"/>
          <w:szCs w:val="24"/>
        </w:rPr>
      </w:pPr>
      <w:r>
        <w:rPr>
          <w:rFonts w:asciiTheme="majorHAnsi" w:hAnsiTheme="majorHAnsi" w:cstheme="majorHAnsi"/>
          <w:sz w:val="24"/>
          <w:szCs w:val="24"/>
        </w:rPr>
        <w:lastRenderedPageBreak/>
        <w:t xml:space="preserve">When looking at the offence of section 5 of the </w:t>
      </w:r>
      <w:r w:rsidR="00965F6F">
        <w:rPr>
          <w:rFonts w:asciiTheme="majorHAnsi" w:hAnsiTheme="majorHAnsi" w:cstheme="majorHAnsi"/>
          <w:sz w:val="24"/>
          <w:szCs w:val="24"/>
        </w:rPr>
        <w:t xml:space="preserve">Public Order Act 1986 regarding Polly calling Roxanne a ‘bitch’ </w:t>
      </w:r>
      <w:r w:rsidR="00453357">
        <w:rPr>
          <w:rFonts w:asciiTheme="majorHAnsi" w:hAnsiTheme="majorHAnsi" w:cstheme="majorHAnsi"/>
          <w:sz w:val="24"/>
          <w:szCs w:val="24"/>
        </w:rPr>
        <w:t xml:space="preserve">although the word can be classed as abusive and </w:t>
      </w:r>
      <w:r w:rsidR="00E308BF">
        <w:rPr>
          <w:rFonts w:asciiTheme="majorHAnsi" w:hAnsiTheme="majorHAnsi" w:cstheme="majorHAnsi"/>
          <w:sz w:val="24"/>
          <w:szCs w:val="24"/>
        </w:rPr>
        <w:t xml:space="preserve">insulting </w:t>
      </w:r>
      <w:r w:rsidR="004957A8">
        <w:rPr>
          <w:rFonts w:asciiTheme="majorHAnsi" w:hAnsiTheme="majorHAnsi" w:cstheme="majorHAnsi"/>
          <w:sz w:val="24"/>
          <w:szCs w:val="24"/>
        </w:rPr>
        <w:t>it does not state that Roxanne felt either</w:t>
      </w:r>
      <w:r w:rsidR="00D07F63">
        <w:rPr>
          <w:rFonts w:asciiTheme="majorHAnsi" w:hAnsiTheme="majorHAnsi" w:cstheme="majorHAnsi"/>
          <w:sz w:val="24"/>
          <w:szCs w:val="24"/>
        </w:rPr>
        <w:t xml:space="preserve"> mentioned above so it would be unlikely that Polly would be charged with this offence. </w:t>
      </w:r>
      <w:r w:rsidR="001D5000">
        <w:rPr>
          <w:rFonts w:asciiTheme="majorHAnsi" w:hAnsiTheme="majorHAnsi" w:cstheme="majorHAnsi"/>
          <w:sz w:val="24"/>
          <w:szCs w:val="24"/>
        </w:rPr>
        <w:t>I</w:t>
      </w:r>
      <w:r w:rsidR="009437ED">
        <w:rPr>
          <w:rFonts w:asciiTheme="majorHAnsi" w:hAnsiTheme="majorHAnsi" w:cstheme="majorHAnsi"/>
          <w:sz w:val="24"/>
          <w:szCs w:val="24"/>
        </w:rPr>
        <w:t xml:space="preserve">t states in the case of </w:t>
      </w:r>
      <w:r w:rsidR="00E92B98">
        <w:rPr>
          <w:rFonts w:asciiTheme="majorHAnsi" w:hAnsiTheme="majorHAnsi" w:cstheme="majorHAnsi"/>
          <w:sz w:val="24"/>
          <w:szCs w:val="24"/>
        </w:rPr>
        <w:t>R V Wilson [</w:t>
      </w:r>
      <w:r w:rsidR="00F13F7C">
        <w:rPr>
          <w:rFonts w:asciiTheme="majorHAnsi" w:hAnsiTheme="majorHAnsi" w:cstheme="majorHAnsi"/>
          <w:sz w:val="24"/>
          <w:szCs w:val="24"/>
        </w:rPr>
        <w:t>1955] that assault does not need to be physical</w:t>
      </w:r>
      <w:r w:rsidR="001D5000">
        <w:rPr>
          <w:rFonts w:asciiTheme="majorHAnsi" w:hAnsiTheme="majorHAnsi" w:cstheme="majorHAnsi"/>
          <w:sz w:val="24"/>
          <w:szCs w:val="24"/>
        </w:rPr>
        <w:t>, words can amount to assault</w:t>
      </w:r>
      <w:r w:rsidR="00166591">
        <w:rPr>
          <w:rFonts w:asciiTheme="majorHAnsi" w:hAnsiTheme="majorHAnsi" w:cstheme="majorHAnsi"/>
          <w:sz w:val="24"/>
          <w:szCs w:val="24"/>
        </w:rPr>
        <w:t>. The problem question does not state that Roxanne was offended by the word ‘bitch</w:t>
      </w:r>
      <w:proofErr w:type="gramStart"/>
      <w:r w:rsidR="00166591">
        <w:rPr>
          <w:rFonts w:asciiTheme="majorHAnsi" w:hAnsiTheme="majorHAnsi" w:cstheme="majorHAnsi"/>
          <w:sz w:val="24"/>
          <w:szCs w:val="24"/>
        </w:rPr>
        <w:t>’</w:t>
      </w:r>
      <w:proofErr w:type="gramEnd"/>
      <w:r w:rsidR="00166591">
        <w:rPr>
          <w:rFonts w:asciiTheme="majorHAnsi" w:hAnsiTheme="majorHAnsi" w:cstheme="majorHAnsi"/>
          <w:sz w:val="24"/>
          <w:szCs w:val="24"/>
        </w:rPr>
        <w:t xml:space="preserve"> and it also doesn’t state that </w:t>
      </w:r>
      <w:r w:rsidR="00CB6331">
        <w:rPr>
          <w:rFonts w:asciiTheme="majorHAnsi" w:hAnsiTheme="majorHAnsi" w:cstheme="majorHAnsi"/>
          <w:sz w:val="24"/>
          <w:szCs w:val="24"/>
        </w:rPr>
        <w:t>she thought harm would follow after</w:t>
      </w:r>
      <w:r w:rsidR="00D87078">
        <w:rPr>
          <w:rFonts w:asciiTheme="majorHAnsi" w:hAnsiTheme="majorHAnsi" w:cstheme="majorHAnsi"/>
          <w:sz w:val="24"/>
          <w:szCs w:val="24"/>
        </w:rPr>
        <w:t xml:space="preserve"> as Polly left </w:t>
      </w:r>
      <w:r w:rsidR="00CC67D2">
        <w:rPr>
          <w:rFonts w:asciiTheme="majorHAnsi" w:hAnsiTheme="majorHAnsi" w:cstheme="majorHAnsi"/>
          <w:sz w:val="24"/>
          <w:szCs w:val="24"/>
        </w:rPr>
        <w:t>when asked</w:t>
      </w:r>
      <w:r w:rsidR="00CB6331">
        <w:rPr>
          <w:rFonts w:asciiTheme="majorHAnsi" w:hAnsiTheme="majorHAnsi" w:cstheme="majorHAnsi"/>
          <w:sz w:val="24"/>
          <w:szCs w:val="24"/>
        </w:rPr>
        <w:t xml:space="preserve">, from this the offence of </w:t>
      </w:r>
      <w:r w:rsidR="00D818A3">
        <w:rPr>
          <w:rFonts w:asciiTheme="majorHAnsi" w:hAnsiTheme="majorHAnsi" w:cstheme="majorHAnsi"/>
          <w:sz w:val="24"/>
          <w:szCs w:val="24"/>
        </w:rPr>
        <w:t xml:space="preserve">common assault </w:t>
      </w:r>
      <w:r w:rsidR="000C3901">
        <w:rPr>
          <w:rFonts w:asciiTheme="majorHAnsi" w:hAnsiTheme="majorHAnsi" w:cstheme="majorHAnsi"/>
          <w:sz w:val="24"/>
          <w:szCs w:val="24"/>
        </w:rPr>
        <w:t xml:space="preserve">seems to not apply to this scenario. </w:t>
      </w:r>
    </w:p>
    <w:p w14:paraId="7BBC6E6A" w14:textId="6EE72701" w:rsidR="00D87078" w:rsidRDefault="00CC67D2">
      <w:pPr>
        <w:rPr>
          <w:rFonts w:asciiTheme="majorHAnsi" w:hAnsiTheme="majorHAnsi" w:cstheme="majorHAnsi"/>
          <w:sz w:val="24"/>
          <w:szCs w:val="24"/>
        </w:rPr>
      </w:pPr>
      <w:r>
        <w:rPr>
          <w:rFonts w:asciiTheme="majorHAnsi" w:hAnsiTheme="majorHAnsi" w:cstheme="majorHAnsi"/>
          <w:sz w:val="24"/>
          <w:szCs w:val="24"/>
        </w:rPr>
        <w:t xml:space="preserve">When Polly left the pub she </w:t>
      </w:r>
      <w:r w:rsidR="00C72F70">
        <w:rPr>
          <w:rFonts w:asciiTheme="majorHAnsi" w:hAnsiTheme="majorHAnsi" w:cstheme="majorHAnsi"/>
          <w:sz w:val="24"/>
          <w:szCs w:val="24"/>
        </w:rPr>
        <w:t>cut Roxanne’s brake cables on her moped with a piece of glass</w:t>
      </w:r>
      <w:r w:rsidR="00621FC5">
        <w:rPr>
          <w:rFonts w:asciiTheme="majorHAnsi" w:hAnsiTheme="majorHAnsi" w:cstheme="majorHAnsi"/>
          <w:sz w:val="24"/>
          <w:szCs w:val="24"/>
        </w:rPr>
        <w:t xml:space="preserve">. Polly meets the actus reus and mens rea of </w:t>
      </w:r>
      <w:r w:rsidR="00531595">
        <w:rPr>
          <w:rFonts w:asciiTheme="majorHAnsi" w:hAnsiTheme="majorHAnsi" w:cstheme="majorHAnsi"/>
          <w:sz w:val="24"/>
          <w:szCs w:val="24"/>
        </w:rPr>
        <w:t>aggravated criminal damage under section 1(2) of the Criminal Damage Act 1971</w:t>
      </w:r>
      <w:r w:rsidR="00D67C7D">
        <w:rPr>
          <w:rFonts w:asciiTheme="majorHAnsi" w:hAnsiTheme="majorHAnsi" w:cstheme="majorHAnsi"/>
          <w:sz w:val="24"/>
          <w:szCs w:val="24"/>
        </w:rPr>
        <w:t xml:space="preserve">. If there is CCTV, witnesses or Polly admits to the crime it is highly likely that she would be charged with the offence. </w:t>
      </w:r>
      <w:r w:rsidR="00403F57">
        <w:rPr>
          <w:rFonts w:asciiTheme="majorHAnsi" w:hAnsiTheme="majorHAnsi" w:cstheme="majorHAnsi"/>
          <w:sz w:val="24"/>
          <w:szCs w:val="24"/>
        </w:rPr>
        <w:t xml:space="preserve">Cutting the brake cables of the moped could endanger the life of Roxanne and </w:t>
      </w:r>
      <w:r w:rsidR="00F51074">
        <w:rPr>
          <w:rFonts w:asciiTheme="majorHAnsi" w:hAnsiTheme="majorHAnsi" w:cstheme="majorHAnsi"/>
          <w:sz w:val="24"/>
          <w:szCs w:val="24"/>
        </w:rPr>
        <w:t>other members of the public</w:t>
      </w:r>
      <w:r w:rsidR="00BD0D8A">
        <w:rPr>
          <w:rFonts w:asciiTheme="majorHAnsi" w:hAnsiTheme="majorHAnsi" w:cstheme="majorHAnsi"/>
          <w:sz w:val="24"/>
          <w:szCs w:val="24"/>
        </w:rPr>
        <w:t>.</w:t>
      </w:r>
    </w:p>
    <w:p w14:paraId="29E3CAA0" w14:textId="0B824A06" w:rsidR="000116F0" w:rsidRDefault="00A321AB">
      <w:pPr>
        <w:rPr>
          <w:rFonts w:asciiTheme="majorHAnsi" w:hAnsiTheme="majorHAnsi" w:cstheme="majorHAnsi"/>
          <w:sz w:val="24"/>
          <w:szCs w:val="24"/>
        </w:rPr>
      </w:pPr>
      <w:r>
        <w:rPr>
          <w:rFonts w:asciiTheme="majorHAnsi" w:hAnsiTheme="majorHAnsi" w:cstheme="majorHAnsi"/>
          <w:sz w:val="24"/>
          <w:szCs w:val="24"/>
        </w:rPr>
        <w:t xml:space="preserve">Although Polly would more than likely be first charged with murder </w:t>
      </w:r>
      <w:r w:rsidR="00BD0D8A">
        <w:rPr>
          <w:rFonts w:asciiTheme="majorHAnsi" w:hAnsiTheme="majorHAnsi" w:cstheme="majorHAnsi"/>
          <w:sz w:val="24"/>
          <w:szCs w:val="24"/>
        </w:rPr>
        <w:t xml:space="preserve">for smashing an ashtray over Mohammed’s head causing his death </w:t>
      </w:r>
      <w:r>
        <w:rPr>
          <w:rFonts w:asciiTheme="majorHAnsi" w:hAnsiTheme="majorHAnsi" w:cstheme="majorHAnsi"/>
          <w:sz w:val="24"/>
          <w:szCs w:val="24"/>
        </w:rPr>
        <w:t xml:space="preserve">it would be up to the defence to argue that she should be charged with the lesser charge of manslaughter </w:t>
      </w:r>
      <w:r w:rsidR="00CC3178">
        <w:rPr>
          <w:rFonts w:asciiTheme="majorHAnsi" w:hAnsiTheme="majorHAnsi" w:cstheme="majorHAnsi"/>
          <w:sz w:val="24"/>
          <w:szCs w:val="24"/>
        </w:rPr>
        <w:t xml:space="preserve">by pleading diminished responsibility. </w:t>
      </w:r>
      <w:r w:rsidR="00C57D21">
        <w:rPr>
          <w:rFonts w:asciiTheme="majorHAnsi" w:hAnsiTheme="majorHAnsi" w:cstheme="majorHAnsi"/>
          <w:sz w:val="24"/>
          <w:szCs w:val="24"/>
        </w:rPr>
        <w:t xml:space="preserve">Polly has schizophrenia a recognised medical condition </w:t>
      </w:r>
      <w:r w:rsidR="0026026A">
        <w:rPr>
          <w:rFonts w:asciiTheme="majorHAnsi" w:hAnsiTheme="majorHAnsi" w:cstheme="majorHAnsi"/>
          <w:sz w:val="24"/>
          <w:szCs w:val="24"/>
        </w:rPr>
        <w:t xml:space="preserve">which could have </w:t>
      </w:r>
      <w:r w:rsidR="008427F1">
        <w:rPr>
          <w:rFonts w:asciiTheme="majorHAnsi" w:hAnsiTheme="majorHAnsi" w:cstheme="majorHAnsi"/>
          <w:sz w:val="24"/>
          <w:szCs w:val="24"/>
        </w:rPr>
        <w:t xml:space="preserve">substantially impaired her mental ability to understand the nature of her </w:t>
      </w:r>
      <w:r w:rsidR="004D43F8">
        <w:rPr>
          <w:rFonts w:asciiTheme="majorHAnsi" w:hAnsiTheme="majorHAnsi" w:cstheme="majorHAnsi"/>
          <w:sz w:val="24"/>
          <w:szCs w:val="24"/>
        </w:rPr>
        <w:t xml:space="preserve">conduct to form </w:t>
      </w:r>
      <w:r w:rsidR="003D700B">
        <w:rPr>
          <w:rFonts w:asciiTheme="majorHAnsi" w:hAnsiTheme="majorHAnsi" w:cstheme="majorHAnsi"/>
          <w:sz w:val="24"/>
          <w:szCs w:val="24"/>
        </w:rPr>
        <w:t xml:space="preserve">a rational judgement or exercise self-control. </w:t>
      </w:r>
      <w:r w:rsidR="00177071">
        <w:rPr>
          <w:rFonts w:asciiTheme="majorHAnsi" w:hAnsiTheme="majorHAnsi" w:cstheme="majorHAnsi"/>
          <w:sz w:val="24"/>
          <w:szCs w:val="24"/>
        </w:rPr>
        <w:t xml:space="preserve">The partial defence of loss of control </w:t>
      </w:r>
      <w:r w:rsidR="00E63F2A">
        <w:rPr>
          <w:rFonts w:asciiTheme="majorHAnsi" w:hAnsiTheme="majorHAnsi" w:cstheme="majorHAnsi"/>
          <w:sz w:val="24"/>
          <w:szCs w:val="24"/>
        </w:rPr>
        <w:t xml:space="preserve">would be less likely when compared to diminished responsibility because </w:t>
      </w:r>
      <w:r w:rsidR="0094258F">
        <w:rPr>
          <w:rFonts w:asciiTheme="majorHAnsi" w:hAnsiTheme="majorHAnsi" w:cstheme="majorHAnsi"/>
          <w:sz w:val="24"/>
          <w:szCs w:val="24"/>
        </w:rPr>
        <w:t>sexual infidelity is not a qualifying trigger as seen in the case of R V Clinton [2012].</w:t>
      </w:r>
    </w:p>
    <w:p w14:paraId="5B0749B9" w14:textId="77777777" w:rsidR="00190D80" w:rsidRDefault="00190D80">
      <w:pPr>
        <w:rPr>
          <w:rFonts w:asciiTheme="majorHAnsi" w:hAnsiTheme="majorHAnsi" w:cstheme="majorHAnsi"/>
          <w:sz w:val="24"/>
          <w:szCs w:val="24"/>
        </w:rPr>
      </w:pPr>
    </w:p>
    <w:p w14:paraId="4FB9D057" w14:textId="77777777" w:rsidR="00190D80" w:rsidRDefault="00190D80">
      <w:pPr>
        <w:rPr>
          <w:rFonts w:asciiTheme="majorHAnsi" w:hAnsiTheme="majorHAnsi" w:cstheme="majorHAnsi"/>
          <w:sz w:val="24"/>
          <w:szCs w:val="24"/>
        </w:rPr>
      </w:pPr>
    </w:p>
    <w:p w14:paraId="5026985E" w14:textId="77777777" w:rsidR="0057553F" w:rsidRPr="00224A3F" w:rsidRDefault="0057553F">
      <w:pPr>
        <w:rPr>
          <w:rFonts w:asciiTheme="majorHAnsi" w:hAnsiTheme="majorHAnsi" w:cstheme="majorHAnsi"/>
          <w:sz w:val="24"/>
          <w:szCs w:val="24"/>
        </w:rPr>
      </w:pPr>
    </w:p>
    <w:sectPr w:rsidR="0057553F" w:rsidRPr="00224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5EF"/>
    <w:rsid w:val="000116F0"/>
    <w:rsid w:val="000545EF"/>
    <w:rsid w:val="0009023A"/>
    <w:rsid w:val="000C3901"/>
    <w:rsid w:val="00104A2C"/>
    <w:rsid w:val="00166591"/>
    <w:rsid w:val="00173F42"/>
    <w:rsid w:val="00177071"/>
    <w:rsid w:val="00190D80"/>
    <w:rsid w:val="001D5000"/>
    <w:rsid w:val="00223E5C"/>
    <w:rsid w:val="00224A3F"/>
    <w:rsid w:val="002339BB"/>
    <w:rsid w:val="0026026A"/>
    <w:rsid w:val="0027016D"/>
    <w:rsid w:val="002C0945"/>
    <w:rsid w:val="002C0DA3"/>
    <w:rsid w:val="00304ECF"/>
    <w:rsid w:val="00334FCB"/>
    <w:rsid w:val="003616CA"/>
    <w:rsid w:val="003D5D22"/>
    <w:rsid w:val="003D628F"/>
    <w:rsid w:val="003D700B"/>
    <w:rsid w:val="00403F57"/>
    <w:rsid w:val="00440C09"/>
    <w:rsid w:val="00453357"/>
    <w:rsid w:val="00475DC6"/>
    <w:rsid w:val="004957A8"/>
    <w:rsid w:val="004D399D"/>
    <w:rsid w:val="004D43F8"/>
    <w:rsid w:val="00521BF7"/>
    <w:rsid w:val="00531595"/>
    <w:rsid w:val="0057553F"/>
    <w:rsid w:val="005C2D66"/>
    <w:rsid w:val="005D68CF"/>
    <w:rsid w:val="00616A09"/>
    <w:rsid w:val="00621FC5"/>
    <w:rsid w:val="00626FF6"/>
    <w:rsid w:val="0066445B"/>
    <w:rsid w:val="00671EA9"/>
    <w:rsid w:val="006C59F4"/>
    <w:rsid w:val="006D190F"/>
    <w:rsid w:val="006E747A"/>
    <w:rsid w:val="0074733D"/>
    <w:rsid w:val="00764804"/>
    <w:rsid w:val="00771945"/>
    <w:rsid w:val="007C2774"/>
    <w:rsid w:val="007C34C7"/>
    <w:rsid w:val="007D4FCB"/>
    <w:rsid w:val="007F0414"/>
    <w:rsid w:val="007F30EB"/>
    <w:rsid w:val="007F3843"/>
    <w:rsid w:val="008228F8"/>
    <w:rsid w:val="008427F1"/>
    <w:rsid w:val="008C45DA"/>
    <w:rsid w:val="009057E8"/>
    <w:rsid w:val="00913055"/>
    <w:rsid w:val="0094258F"/>
    <w:rsid w:val="009437ED"/>
    <w:rsid w:val="00965F6F"/>
    <w:rsid w:val="009D5490"/>
    <w:rsid w:val="00A321AB"/>
    <w:rsid w:val="00A83C1D"/>
    <w:rsid w:val="00AB081F"/>
    <w:rsid w:val="00AF5CC3"/>
    <w:rsid w:val="00B15FB3"/>
    <w:rsid w:val="00B55AA8"/>
    <w:rsid w:val="00B5735C"/>
    <w:rsid w:val="00B6273D"/>
    <w:rsid w:val="00B83BB5"/>
    <w:rsid w:val="00B94FC8"/>
    <w:rsid w:val="00B97F69"/>
    <w:rsid w:val="00BD0D8A"/>
    <w:rsid w:val="00BE1F85"/>
    <w:rsid w:val="00BE4EE8"/>
    <w:rsid w:val="00BF2DC9"/>
    <w:rsid w:val="00C1106F"/>
    <w:rsid w:val="00C115FE"/>
    <w:rsid w:val="00C57D21"/>
    <w:rsid w:val="00C72F70"/>
    <w:rsid w:val="00C80281"/>
    <w:rsid w:val="00CB6331"/>
    <w:rsid w:val="00CC2243"/>
    <w:rsid w:val="00CC3178"/>
    <w:rsid w:val="00CC67D2"/>
    <w:rsid w:val="00CF3EA0"/>
    <w:rsid w:val="00CF6AA6"/>
    <w:rsid w:val="00D07F63"/>
    <w:rsid w:val="00D44774"/>
    <w:rsid w:val="00D67C7D"/>
    <w:rsid w:val="00D818A3"/>
    <w:rsid w:val="00D87078"/>
    <w:rsid w:val="00E308BF"/>
    <w:rsid w:val="00E63F2A"/>
    <w:rsid w:val="00E92B98"/>
    <w:rsid w:val="00EA6457"/>
    <w:rsid w:val="00EF550A"/>
    <w:rsid w:val="00F13F7C"/>
    <w:rsid w:val="00F466EE"/>
    <w:rsid w:val="00F51074"/>
    <w:rsid w:val="00F57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BE800"/>
  <w15:chartTrackingRefBased/>
  <w15:docId w15:val="{762CE73E-E44A-49E4-AAAA-B8A35C8A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007689658f4afca65152590fe6e78da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db9e31dd0e62bab8be07fd3f56904f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2323344A-35E2-42FB-83A1-7B9770227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E62509-877A-4292-A4FF-059F57AFB3BF}">
  <ds:schemaRefs>
    <ds:schemaRef ds:uri="http://schemas.microsoft.com/sharepoint/v3/contenttype/forms"/>
  </ds:schemaRefs>
</ds:datastoreItem>
</file>

<file path=customXml/itemProps3.xml><?xml version="1.0" encoding="utf-8"?>
<ds:datastoreItem xmlns:ds="http://schemas.openxmlformats.org/officeDocument/2006/customXml" ds:itemID="{00FD18DF-E6FC-42C7-892F-5D96182C3843}">
  <ds:schemaRefs>
    <ds:schemaRef ds:uri="http://purl.org/dc/terms/"/>
    <ds:schemaRef ds:uri="http://schemas.microsoft.com/office/2006/documentManagement/types"/>
    <ds:schemaRef ds:uri="http://www.w3.org/XML/1998/namespace"/>
    <ds:schemaRef ds:uri="http://schemas.microsoft.com/office/2006/metadata/properties"/>
    <ds:schemaRef ds:uri="http://purl.org/dc/dcmitype/"/>
    <ds:schemaRef ds:uri="0338428b-3fc8-4989-9d03-78e16c931d9f"/>
    <ds:schemaRef ds:uri="http://schemas.microsoft.com/office/infopath/2007/PartnerControls"/>
    <ds:schemaRef ds:uri="http://schemas.openxmlformats.org/package/2006/metadata/core-properties"/>
    <ds:schemaRef ds:uri="4055ddc6-ee7b-4b5b-b8fb-52871646f80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 Thompson</cp:lastModifiedBy>
  <cp:revision>2</cp:revision>
  <dcterms:created xsi:type="dcterms:W3CDTF">2023-05-04T16:26:00Z</dcterms:created>
  <dcterms:modified xsi:type="dcterms:W3CDTF">2023-05-04T16:26:00Z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