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166DB37" w14:textId="77777777" w:rsidR="00C26914" w:rsidRDefault="00C26914">
      <w:r>
        <w:rPr>
          <w:noProof/>
          <w:lang w:eastAsia="en-GB"/>
        </w:rPr>
        <w:drawing>
          <wp:anchor distT="0" distB="0" distL="114300" distR="114300" simplePos="0" relativeHeight="251658240" behindDoc="0" locked="0" layoutInCell="1" allowOverlap="1" wp14:anchorId="1586F9B4" wp14:editId="76263412">
            <wp:simplePos x="0" y="0"/>
            <wp:positionH relativeFrom="column">
              <wp:posOffset>-180975</wp:posOffset>
            </wp:positionH>
            <wp:positionV relativeFrom="paragraph">
              <wp:posOffset>0</wp:posOffset>
            </wp:positionV>
            <wp:extent cx="1457325" cy="600075"/>
            <wp:effectExtent l="0" t="0" r="9525" b="9525"/>
            <wp:wrapSquare wrapText="bothSides"/>
            <wp:docPr id="1" name="Picture 1" descr="C:\Users\1702887\AppData\Local\Microsoft\Windows\INetCache\Content.MSO\E33EC05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702887\AppData\Local\Microsoft\Windows\INetCache\Content.MSO\E33EC057.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57325" cy="600075"/>
                    </a:xfrm>
                    <a:prstGeom prst="rect">
                      <a:avLst/>
                    </a:prstGeom>
                    <a:noFill/>
                    <a:ln>
                      <a:noFill/>
                    </a:ln>
                  </pic:spPr>
                </pic:pic>
              </a:graphicData>
            </a:graphic>
          </wp:anchor>
        </w:drawing>
      </w:r>
    </w:p>
    <w:p w14:paraId="31F484BA" w14:textId="77777777" w:rsidR="00C26914" w:rsidRPr="00C26914" w:rsidRDefault="00C26914" w:rsidP="00C26914"/>
    <w:p w14:paraId="0C94B2CF" w14:textId="77777777" w:rsidR="00C26914" w:rsidRPr="00C26914" w:rsidRDefault="00C26914" w:rsidP="00C26914"/>
    <w:p w14:paraId="3F9C5D81" w14:textId="77777777" w:rsidR="00C26914" w:rsidRDefault="00C26914" w:rsidP="00C26914"/>
    <w:p w14:paraId="6CBC0171" w14:textId="77777777" w:rsidR="00C26914" w:rsidRDefault="00C26914" w:rsidP="00C26914">
      <w:pPr>
        <w:tabs>
          <w:tab w:val="left" w:pos="2745"/>
        </w:tabs>
        <w:jc w:val="center"/>
        <w:rPr>
          <w:b/>
          <w:sz w:val="36"/>
        </w:rPr>
      </w:pPr>
    </w:p>
    <w:p w14:paraId="03903541" w14:textId="77777777" w:rsidR="00C26914" w:rsidRDefault="00C26914" w:rsidP="00C26914">
      <w:pPr>
        <w:tabs>
          <w:tab w:val="left" w:pos="2745"/>
        </w:tabs>
        <w:jc w:val="center"/>
        <w:rPr>
          <w:b/>
          <w:sz w:val="36"/>
        </w:rPr>
      </w:pPr>
    </w:p>
    <w:p w14:paraId="4E57B2FD" w14:textId="77777777" w:rsidR="00C26914" w:rsidRDefault="00C26914" w:rsidP="00C26914">
      <w:pPr>
        <w:tabs>
          <w:tab w:val="left" w:pos="2745"/>
        </w:tabs>
        <w:jc w:val="center"/>
        <w:rPr>
          <w:b/>
          <w:sz w:val="36"/>
        </w:rPr>
      </w:pPr>
    </w:p>
    <w:p w14:paraId="157A6C7A" w14:textId="77777777" w:rsidR="00C26914" w:rsidRDefault="00C26914" w:rsidP="00C26914">
      <w:pPr>
        <w:tabs>
          <w:tab w:val="left" w:pos="2745"/>
        </w:tabs>
        <w:jc w:val="center"/>
        <w:rPr>
          <w:b/>
          <w:sz w:val="36"/>
        </w:rPr>
      </w:pPr>
    </w:p>
    <w:p w14:paraId="14A052A0" w14:textId="77777777" w:rsidR="009B5A9A" w:rsidRDefault="00C26914" w:rsidP="00C26914">
      <w:pPr>
        <w:tabs>
          <w:tab w:val="left" w:pos="2745"/>
        </w:tabs>
        <w:jc w:val="center"/>
        <w:rPr>
          <w:b/>
          <w:sz w:val="36"/>
        </w:rPr>
      </w:pPr>
      <w:r w:rsidRPr="00C26914">
        <w:rPr>
          <w:b/>
          <w:sz w:val="36"/>
        </w:rPr>
        <w:t>Coping with change: exploring the lived experience of moving to a new University campus</w:t>
      </w:r>
    </w:p>
    <w:p w14:paraId="658E707B" w14:textId="77777777" w:rsidR="00C26914" w:rsidRDefault="00C26914" w:rsidP="00C26914">
      <w:pPr>
        <w:tabs>
          <w:tab w:val="left" w:pos="2745"/>
        </w:tabs>
        <w:jc w:val="center"/>
        <w:rPr>
          <w:b/>
          <w:sz w:val="36"/>
        </w:rPr>
      </w:pPr>
    </w:p>
    <w:p w14:paraId="247E0CE8" w14:textId="77777777" w:rsidR="00C26914" w:rsidRDefault="00C26914" w:rsidP="00C26914">
      <w:pPr>
        <w:tabs>
          <w:tab w:val="left" w:pos="2745"/>
        </w:tabs>
        <w:jc w:val="center"/>
        <w:rPr>
          <w:b/>
          <w:sz w:val="36"/>
        </w:rPr>
      </w:pPr>
      <w:r>
        <w:rPr>
          <w:b/>
          <w:sz w:val="36"/>
        </w:rPr>
        <w:t>1702887</w:t>
      </w:r>
    </w:p>
    <w:p w14:paraId="12C1DB2E" w14:textId="77777777" w:rsidR="00C26914" w:rsidRDefault="00C26914" w:rsidP="00C26914">
      <w:pPr>
        <w:tabs>
          <w:tab w:val="left" w:pos="2745"/>
        </w:tabs>
        <w:jc w:val="center"/>
        <w:rPr>
          <w:b/>
          <w:sz w:val="36"/>
        </w:rPr>
      </w:pPr>
    </w:p>
    <w:p w14:paraId="32021E59" w14:textId="77777777" w:rsidR="006D2D67" w:rsidRPr="00C26914" w:rsidRDefault="00C26914" w:rsidP="006D2D67">
      <w:pPr>
        <w:tabs>
          <w:tab w:val="left" w:pos="2745"/>
        </w:tabs>
        <w:jc w:val="center"/>
        <w:rPr>
          <w:b/>
          <w:sz w:val="36"/>
        </w:rPr>
      </w:pPr>
      <w:r>
        <w:rPr>
          <w:b/>
          <w:sz w:val="36"/>
        </w:rPr>
        <w:t>Univers</w:t>
      </w:r>
      <w:r w:rsidR="006D2D67">
        <w:rPr>
          <w:b/>
          <w:sz w:val="36"/>
        </w:rPr>
        <w:t>ity of Wales Trinity Saint David.</w:t>
      </w:r>
    </w:p>
    <w:p w14:paraId="1652FD5F" w14:textId="77777777" w:rsidR="00C26914" w:rsidRDefault="00C26914" w:rsidP="00C26914">
      <w:pPr>
        <w:tabs>
          <w:tab w:val="left" w:pos="2745"/>
        </w:tabs>
        <w:jc w:val="center"/>
        <w:rPr>
          <w:b/>
          <w:sz w:val="36"/>
        </w:rPr>
      </w:pPr>
    </w:p>
    <w:p w14:paraId="08CEF277" w14:textId="77777777" w:rsidR="00C26914" w:rsidRDefault="00C26914">
      <w:pPr>
        <w:rPr>
          <w:b/>
          <w:sz w:val="36"/>
        </w:rPr>
      </w:pPr>
      <w:r>
        <w:rPr>
          <w:b/>
          <w:sz w:val="36"/>
        </w:rPr>
        <w:br w:type="page"/>
      </w:r>
    </w:p>
    <w:p w14:paraId="6737E78D" w14:textId="3DEBDB08" w:rsidR="00F9018B" w:rsidRDefault="00F9018B" w:rsidP="00C26914">
      <w:pPr>
        <w:jc w:val="center"/>
        <w:rPr>
          <w:b/>
          <w:i/>
          <w:sz w:val="36"/>
        </w:rPr>
      </w:pPr>
      <w:r w:rsidRPr="00F9018B">
        <w:rPr>
          <w:b/>
          <w:i/>
          <w:sz w:val="36"/>
        </w:rPr>
        <w:lastRenderedPageBreak/>
        <w:t>Abstract</w:t>
      </w:r>
    </w:p>
    <w:p w14:paraId="1C3E9DEC" w14:textId="2E8385C5" w:rsidR="00F9018B" w:rsidRPr="00F9018B" w:rsidRDefault="00F9018B" w:rsidP="00F9018B">
      <w:pPr>
        <w:jc w:val="both"/>
        <w:rPr>
          <w:b/>
          <w:i/>
          <w:sz w:val="36"/>
        </w:rPr>
      </w:pPr>
      <w:r w:rsidRPr="00F9018B">
        <w:rPr>
          <w:i/>
          <w:sz w:val="24"/>
        </w:rPr>
        <w:t xml:space="preserve">Entering a new environment can be a scary experience for anyone. Previous research on elderly participants suggests that entering a new environment can create feelings </w:t>
      </w:r>
      <w:r w:rsidR="00062ABF" w:rsidRPr="00F9018B">
        <w:rPr>
          <w:i/>
          <w:sz w:val="24"/>
        </w:rPr>
        <w:t>of insecurity</w:t>
      </w:r>
      <w:r w:rsidRPr="00F9018B">
        <w:rPr>
          <w:i/>
          <w:sz w:val="24"/>
        </w:rPr>
        <w:t xml:space="preserve"> and disorientation</w:t>
      </w:r>
      <w:sdt>
        <w:sdtPr>
          <w:rPr>
            <w:i/>
            <w:sz w:val="24"/>
          </w:rPr>
          <w:id w:val="452755272"/>
          <w:citation/>
        </w:sdtPr>
        <w:sdtContent>
          <w:r w:rsidRPr="00F9018B">
            <w:rPr>
              <w:i/>
              <w:sz w:val="24"/>
            </w:rPr>
            <w:fldChar w:fldCharType="begin"/>
          </w:r>
          <w:r w:rsidRPr="00F9018B">
            <w:rPr>
              <w:i/>
              <w:sz w:val="24"/>
            </w:rPr>
            <w:instrText xml:space="preserve"> CITATION Phi13 \l 2057 </w:instrText>
          </w:r>
          <w:r w:rsidRPr="00F9018B">
            <w:rPr>
              <w:i/>
              <w:sz w:val="24"/>
            </w:rPr>
            <w:fldChar w:fldCharType="separate"/>
          </w:r>
          <w:r w:rsidR="00062ABF">
            <w:rPr>
              <w:i/>
              <w:noProof/>
              <w:sz w:val="24"/>
            </w:rPr>
            <w:t xml:space="preserve"> </w:t>
          </w:r>
          <w:r w:rsidR="00062ABF" w:rsidRPr="00062ABF">
            <w:rPr>
              <w:noProof/>
              <w:sz w:val="24"/>
            </w:rPr>
            <w:t>(Phillips, Walford, Hockey, Foreman, &amp; Lewis, 2013)</w:t>
          </w:r>
          <w:r w:rsidRPr="00F9018B">
            <w:rPr>
              <w:i/>
              <w:sz w:val="24"/>
            </w:rPr>
            <w:fldChar w:fldCharType="end"/>
          </w:r>
        </w:sdtContent>
      </w:sdt>
      <w:r w:rsidRPr="00F9018B">
        <w:rPr>
          <w:i/>
          <w:sz w:val="24"/>
        </w:rPr>
        <w:t>.</w:t>
      </w:r>
      <w:r>
        <w:rPr>
          <w:i/>
          <w:sz w:val="24"/>
        </w:rPr>
        <w:t xml:space="preserve"> Other research on vitiligo sufferers suggests that upon experiencing big change, coping strategies are applied to regain equilibrium </w:t>
      </w:r>
      <w:sdt>
        <w:sdtPr>
          <w:rPr>
            <w:i/>
            <w:sz w:val="24"/>
          </w:rPr>
          <w:id w:val="-489635532"/>
          <w:citation/>
        </w:sdtPr>
        <w:sdtEndPr/>
        <w:sdtContent>
          <w:r w:rsidRPr="00F9018B">
            <w:rPr>
              <w:i/>
              <w:sz w:val="24"/>
            </w:rPr>
            <w:fldChar w:fldCharType="begin"/>
          </w:r>
          <w:r w:rsidRPr="00F9018B">
            <w:rPr>
              <w:i/>
              <w:sz w:val="24"/>
            </w:rPr>
            <w:instrText xml:space="preserve"> CITATION Tho02 \l 2057 </w:instrText>
          </w:r>
          <w:r w:rsidRPr="00F9018B">
            <w:rPr>
              <w:i/>
              <w:sz w:val="24"/>
            </w:rPr>
            <w:fldChar w:fldCharType="separate"/>
          </w:r>
          <w:r w:rsidR="00062ABF" w:rsidRPr="00062ABF">
            <w:rPr>
              <w:noProof/>
              <w:sz w:val="24"/>
            </w:rPr>
            <w:t>(Thompson, Kent, &amp; Smith, 2002)</w:t>
          </w:r>
          <w:r w:rsidRPr="00F9018B">
            <w:rPr>
              <w:i/>
              <w:sz w:val="24"/>
            </w:rPr>
            <w:fldChar w:fldCharType="end"/>
          </w:r>
        </w:sdtContent>
      </w:sdt>
      <w:r>
        <w:rPr>
          <w:i/>
          <w:sz w:val="24"/>
        </w:rPr>
        <w:t xml:space="preserve">. The study aims to explore the lived experience of moving to a new university campus by interviewing three undergraduate </w:t>
      </w:r>
      <w:r w:rsidRPr="00062ABF">
        <w:rPr>
          <w:i/>
          <w:sz w:val="24"/>
        </w:rPr>
        <w:t>university students who experienced that move</w:t>
      </w:r>
      <w:r w:rsidR="00062ABF" w:rsidRPr="00062ABF">
        <w:rPr>
          <w:i/>
          <w:sz w:val="24"/>
        </w:rPr>
        <w:t xml:space="preserve"> and analysing their responses using In</w:t>
      </w:r>
      <w:r w:rsidR="00062ABF">
        <w:rPr>
          <w:i/>
          <w:sz w:val="24"/>
        </w:rPr>
        <w:t>ter</w:t>
      </w:r>
      <w:r w:rsidR="00062ABF" w:rsidRPr="00062ABF">
        <w:rPr>
          <w:i/>
          <w:sz w:val="24"/>
        </w:rPr>
        <w:t xml:space="preserve">pretative Phenomenological Analysis </w:t>
      </w:r>
      <w:r w:rsidR="00062ABF" w:rsidRPr="00062ABF">
        <w:rPr>
          <w:i/>
          <w:sz w:val="24"/>
        </w:rPr>
        <w:t>(IPA)</w:t>
      </w:r>
      <w:r w:rsidRPr="00062ABF">
        <w:rPr>
          <w:i/>
          <w:sz w:val="24"/>
        </w:rPr>
        <w:t xml:space="preserve">. </w:t>
      </w:r>
      <w:r w:rsidR="00062ABF" w:rsidRPr="00062ABF">
        <w:rPr>
          <w:i/>
          <w:sz w:val="24"/>
        </w:rPr>
        <w:t>Themes of lack of prior information, uncertainty and enthusiasm emerged from the transcriptions</w:t>
      </w:r>
      <w:r w:rsidR="00062ABF">
        <w:rPr>
          <w:i/>
          <w:sz w:val="24"/>
        </w:rPr>
        <w:t>, and links were made between the themes and how they influence each other.</w:t>
      </w:r>
    </w:p>
    <w:p w14:paraId="45BA61AC" w14:textId="77777777" w:rsidR="00F9018B" w:rsidRDefault="00F9018B" w:rsidP="00C26914">
      <w:pPr>
        <w:jc w:val="center"/>
        <w:rPr>
          <w:b/>
          <w:sz w:val="36"/>
          <w:u w:val="single"/>
        </w:rPr>
      </w:pPr>
    </w:p>
    <w:p w14:paraId="110C977A" w14:textId="2BD74014" w:rsidR="00F9018B" w:rsidRDefault="00F9018B" w:rsidP="00062ABF">
      <w:pPr>
        <w:jc w:val="center"/>
        <w:rPr>
          <w:b/>
          <w:sz w:val="36"/>
          <w:u w:val="single"/>
        </w:rPr>
      </w:pPr>
    </w:p>
    <w:p w14:paraId="33A11760" w14:textId="77777777" w:rsidR="00F9018B" w:rsidRDefault="00F9018B" w:rsidP="00C26914">
      <w:pPr>
        <w:jc w:val="center"/>
        <w:rPr>
          <w:b/>
          <w:sz w:val="36"/>
          <w:u w:val="single"/>
        </w:rPr>
      </w:pPr>
    </w:p>
    <w:p w14:paraId="0638879D" w14:textId="3EDCB1E3" w:rsidR="00C26914" w:rsidRPr="00C26914" w:rsidRDefault="00C26914" w:rsidP="00C26914">
      <w:pPr>
        <w:jc w:val="center"/>
        <w:rPr>
          <w:b/>
          <w:sz w:val="36"/>
          <w:u w:val="single"/>
        </w:rPr>
      </w:pPr>
      <w:r w:rsidRPr="00C26914">
        <w:rPr>
          <w:b/>
          <w:sz w:val="36"/>
          <w:u w:val="single"/>
        </w:rPr>
        <w:t>Introduction</w:t>
      </w:r>
    </w:p>
    <w:p w14:paraId="41B75758" w14:textId="77777777" w:rsidR="00C26914" w:rsidRDefault="00C26914" w:rsidP="00C26914">
      <w:pPr>
        <w:spacing w:line="480" w:lineRule="auto"/>
        <w:jc w:val="both"/>
        <w:rPr>
          <w:sz w:val="24"/>
        </w:rPr>
      </w:pPr>
      <w:r>
        <w:rPr>
          <w:sz w:val="24"/>
        </w:rPr>
        <w:tab/>
      </w:r>
    </w:p>
    <w:p w14:paraId="33B1D903" w14:textId="2F8028F5" w:rsidR="00605347" w:rsidRDefault="00C26914" w:rsidP="0064189E">
      <w:pPr>
        <w:spacing w:line="480" w:lineRule="auto"/>
        <w:jc w:val="both"/>
        <w:rPr>
          <w:sz w:val="24"/>
        </w:rPr>
      </w:pPr>
      <w:r>
        <w:rPr>
          <w:sz w:val="24"/>
        </w:rPr>
        <w:tab/>
      </w:r>
      <w:r w:rsidR="006D2D67">
        <w:rPr>
          <w:sz w:val="24"/>
        </w:rPr>
        <w:t xml:space="preserve">Entering a new environment can be a scary experience for anyone. Research has suggested that entering an unfamiliar space can lead to feelings of insecurity, disorientation and social exclusion </w:t>
      </w:r>
      <w:sdt>
        <w:sdtPr>
          <w:rPr>
            <w:sz w:val="24"/>
          </w:rPr>
          <w:id w:val="1661728342"/>
          <w:citation/>
        </w:sdtPr>
        <w:sdtEndPr/>
        <w:sdtContent>
          <w:r w:rsidR="006D2D67">
            <w:rPr>
              <w:sz w:val="24"/>
            </w:rPr>
            <w:fldChar w:fldCharType="begin"/>
          </w:r>
          <w:r w:rsidR="006D2D67">
            <w:rPr>
              <w:sz w:val="24"/>
            </w:rPr>
            <w:instrText xml:space="preserve"> CITATION Phi13 \l 2057 </w:instrText>
          </w:r>
          <w:r w:rsidR="006D2D67">
            <w:rPr>
              <w:sz w:val="24"/>
            </w:rPr>
            <w:fldChar w:fldCharType="separate"/>
          </w:r>
          <w:r w:rsidR="00062ABF" w:rsidRPr="00062ABF">
            <w:rPr>
              <w:noProof/>
              <w:sz w:val="24"/>
            </w:rPr>
            <w:t>(Phillips, Walford, Hockey, Foreman, &amp; Lewis, 2013)</w:t>
          </w:r>
          <w:r w:rsidR="006D2D67">
            <w:rPr>
              <w:sz w:val="24"/>
            </w:rPr>
            <w:fldChar w:fldCharType="end"/>
          </w:r>
        </w:sdtContent>
      </w:sdt>
      <w:r w:rsidR="006D2D67">
        <w:rPr>
          <w:sz w:val="24"/>
        </w:rPr>
        <w:t>.</w:t>
      </w:r>
      <w:r w:rsidR="007355CD">
        <w:rPr>
          <w:sz w:val="24"/>
        </w:rPr>
        <w:t xml:space="preserve"> The study attributed this feelings of attachment, in this case to the familiarity of their ‘safe space’ home, and becoming lost and disorientated without it.</w:t>
      </w:r>
      <w:r w:rsidR="00907C3B">
        <w:rPr>
          <w:sz w:val="24"/>
        </w:rPr>
        <w:t xml:space="preserve"> </w:t>
      </w:r>
      <w:r w:rsidR="007355CD">
        <w:rPr>
          <w:sz w:val="24"/>
        </w:rPr>
        <w:t>The experience of change can be a dauntin</w:t>
      </w:r>
      <w:r w:rsidR="00F35ACB">
        <w:rPr>
          <w:sz w:val="24"/>
        </w:rPr>
        <w:t>g one. Thompson et al</w:t>
      </w:r>
      <w:r w:rsidR="003C404C">
        <w:rPr>
          <w:sz w:val="24"/>
        </w:rPr>
        <w:t xml:space="preserve"> (2002)</w:t>
      </w:r>
      <w:r w:rsidR="00F35ACB">
        <w:rPr>
          <w:sz w:val="24"/>
        </w:rPr>
        <w:t xml:space="preserve"> suggests that </w:t>
      </w:r>
      <w:r w:rsidR="003C404C">
        <w:rPr>
          <w:sz w:val="24"/>
        </w:rPr>
        <w:t>it is important to integrate coping strategies to regain equ</w:t>
      </w:r>
      <w:r w:rsidR="00BD3D0E">
        <w:rPr>
          <w:sz w:val="24"/>
        </w:rPr>
        <w:t>ilibrium when faced with change.</w:t>
      </w:r>
      <w:r w:rsidR="00605347">
        <w:rPr>
          <w:sz w:val="24"/>
        </w:rPr>
        <w:t xml:space="preserve"> Whilst this previous research is important, it is limited by its sample being only the elderly population or people living with vitiligo. Older people have been shown to find it more difficult to recognise familiar places including their own homes </w:t>
      </w:r>
      <w:sdt>
        <w:sdtPr>
          <w:rPr>
            <w:sz w:val="24"/>
          </w:rPr>
          <w:id w:val="-571359672"/>
          <w:citation/>
        </w:sdtPr>
        <w:sdtContent>
          <w:r w:rsidR="00605347">
            <w:rPr>
              <w:sz w:val="24"/>
            </w:rPr>
            <w:fldChar w:fldCharType="begin"/>
          </w:r>
          <w:r w:rsidR="00605347">
            <w:rPr>
              <w:sz w:val="24"/>
            </w:rPr>
            <w:instrText xml:space="preserve"> CITATION Set99 \l 2057 </w:instrText>
          </w:r>
          <w:r w:rsidR="00605347">
            <w:rPr>
              <w:sz w:val="24"/>
            </w:rPr>
            <w:fldChar w:fldCharType="separate"/>
          </w:r>
          <w:r w:rsidR="00062ABF" w:rsidRPr="00062ABF">
            <w:rPr>
              <w:noProof/>
              <w:sz w:val="24"/>
            </w:rPr>
            <w:t>(Setterstein, 1999)</w:t>
          </w:r>
          <w:r w:rsidR="00605347">
            <w:rPr>
              <w:sz w:val="24"/>
            </w:rPr>
            <w:fldChar w:fldCharType="end"/>
          </w:r>
        </w:sdtContent>
      </w:sdt>
      <w:r w:rsidR="00605347">
        <w:rPr>
          <w:sz w:val="24"/>
        </w:rPr>
        <w:t xml:space="preserve">. </w:t>
      </w:r>
    </w:p>
    <w:p w14:paraId="2F59E4D9" w14:textId="6501F641" w:rsidR="00605347" w:rsidRDefault="00605347" w:rsidP="0064189E">
      <w:pPr>
        <w:spacing w:line="480" w:lineRule="auto"/>
        <w:jc w:val="both"/>
        <w:rPr>
          <w:sz w:val="24"/>
        </w:rPr>
      </w:pPr>
      <w:r>
        <w:rPr>
          <w:sz w:val="24"/>
        </w:rPr>
        <w:lastRenderedPageBreak/>
        <w:tab/>
        <w:t xml:space="preserve">The purpose of this study is explore the </w:t>
      </w:r>
      <w:r w:rsidR="00F9018B">
        <w:rPr>
          <w:sz w:val="24"/>
        </w:rPr>
        <w:t xml:space="preserve">lived </w:t>
      </w:r>
      <w:r>
        <w:rPr>
          <w:sz w:val="24"/>
        </w:rPr>
        <w:t>experience of moving to a new university campus</w:t>
      </w:r>
      <w:r w:rsidR="00F9018B">
        <w:rPr>
          <w:sz w:val="24"/>
        </w:rPr>
        <w:t xml:space="preserve"> by interviewing three university students who experienced the move</w:t>
      </w:r>
      <w:r w:rsidR="00062ABF">
        <w:rPr>
          <w:sz w:val="24"/>
        </w:rPr>
        <w:t xml:space="preserve"> and analysing their responses using Inter</w:t>
      </w:r>
      <w:r w:rsidR="00062ABF">
        <w:rPr>
          <w:sz w:val="24"/>
        </w:rPr>
        <w:t>pretative Phenomenological A</w:t>
      </w:r>
      <w:r w:rsidR="00062ABF" w:rsidRPr="00E627C1">
        <w:rPr>
          <w:sz w:val="24"/>
        </w:rPr>
        <w:t>nalysis</w:t>
      </w:r>
      <w:r w:rsidR="00F9018B">
        <w:rPr>
          <w:sz w:val="24"/>
        </w:rPr>
        <w:t>.</w:t>
      </w:r>
      <w:r w:rsidR="00F9018B">
        <w:rPr>
          <w:sz w:val="24"/>
        </w:rPr>
        <w:t xml:space="preserve"> This is to strengthen research on entering an unfamiliar environment and exploring the themes that emerge as this happens, and to explore whether age is a factor that influences this.</w:t>
      </w:r>
    </w:p>
    <w:p w14:paraId="59E6CAD1" w14:textId="782EBA66" w:rsidR="00BD3D0E" w:rsidRPr="00BD3D0E" w:rsidRDefault="00BD3D0E" w:rsidP="0064189E">
      <w:pPr>
        <w:spacing w:line="480" w:lineRule="auto"/>
        <w:jc w:val="both"/>
        <w:rPr>
          <w:sz w:val="24"/>
        </w:rPr>
      </w:pPr>
      <w:r>
        <w:rPr>
          <w:b/>
          <w:sz w:val="28"/>
        </w:rPr>
        <w:br/>
      </w:r>
    </w:p>
    <w:p w14:paraId="1C2FB704" w14:textId="5E01E6F6" w:rsidR="00C26914" w:rsidRDefault="00BD3D0E" w:rsidP="00A13EB8">
      <w:pPr>
        <w:spacing w:line="480" w:lineRule="auto"/>
        <w:jc w:val="center"/>
        <w:rPr>
          <w:b/>
          <w:sz w:val="36"/>
          <w:u w:val="single"/>
        </w:rPr>
      </w:pPr>
      <w:bookmarkStart w:id="0" w:name="_GoBack"/>
      <w:bookmarkEnd w:id="0"/>
      <w:r w:rsidRPr="00BD3D0E">
        <w:rPr>
          <w:b/>
          <w:sz w:val="36"/>
          <w:u w:val="single"/>
        </w:rPr>
        <w:t>Method</w:t>
      </w:r>
    </w:p>
    <w:p w14:paraId="0B455B1B" w14:textId="77777777" w:rsidR="006725E5" w:rsidRDefault="00BD3D0E" w:rsidP="0064189E">
      <w:pPr>
        <w:spacing w:line="480" w:lineRule="auto"/>
        <w:jc w:val="both"/>
        <w:rPr>
          <w:b/>
          <w:sz w:val="28"/>
        </w:rPr>
      </w:pPr>
      <w:r w:rsidRPr="00BD3D0E">
        <w:rPr>
          <w:b/>
          <w:sz w:val="28"/>
        </w:rPr>
        <w:t>Participants</w:t>
      </w:r>
    </w:p>
    <w:p w14:paraId="25FAA152" w14:textId="3334797B" w:rsidR="00BD3D0E" w:rsidRDefault="006725E5" w:rsidP="0064189E">
      <w:pPr>
        <w:spacing w:line="480" w:lineRule="auto"/>
        <w:jc w:val="both"/>
        <w:rPr>
          <w:sz w:val="24"/>
        </w:rPr>
      </w:pPr>
      <w:r>
        <w:rPr>
          <w:b/>
          <w:sz w:val="28"/>
        </w:rPr>
        <w:t xml:space="preserve">        </w:t>
      </w:r>
      <w:r w:rsidR="00BD3D0E">
        <w:rPr>
          <w:sz w:val="24"/>
        </w:rPr>
        <w:t>Three</w:t>
      </w:r>
      <w:r>
        <w:rPr>
          <w:sz w:val="24"/>
        </w:rPr>
        <w:t xml:space="preserve"> </w:t>
      </w:r>
      <w:r w:rsidR="008D0217">
        <w:rPr>
          <w:sz w:val="24"/>
        </w:rPr>
        <w:t xml:space="preserve">undergraduate </w:t>
      </w:r>
      <w:r>
        <w:rPr>
          <w:sz w:val="24"/>
        </w:rPr>
        <w:t>female</w:t>
      </w:r>
      <w:r w:rsidR="00BD3D0E">
        <w:rPr>
          <w:sz w:val="24"/>
        </w:rPr>
        <w:t xml:space="preserve"> students from the </w:t>
      </w:r>
      <w:r w:rsidR="00BD3D0E" w:rsidRPr="00BD3D0E">
        <w:rPr>
          <w:sz w:val="24"/>
        </w:rPr>
        <w:t>University of Wales Trinity Saint David</w:t>
      </w:r>
      <w:r w:rsidR="00BD3D0E">
        <w:rPr>
          <w:sz w:val="24"/>
        </w:rPr>
        <w:t xml:space="preserve"> were recruited through opportunity sampling</w:t>
      </w:r>
      <w:r>
        <w:rPr>
          <w:sz w:val="24"/>
        </w:rPr>
        <w:t xml:space="preserve"> to participate in the interviews</w:t>
      </w:r>
      <w:r w:rsidR="008D0217">
        <w:rPr>
          <w:sz w:val="24"/>
        </w:rPr>
        <w:t>. They were selected on the basis that they had experienced change in regards to the move to a new university campus</w:t>
      </w:r>
      <w:r>
        <w:rPr>
          <w:sz w:val="24"/>
        </w:rPr>
        <w:t xml:space="preserve">. </w:t>
      </w:r>
      <w:r w:rsidR="008D0217">
        <w:rPr>
          <w:sz w:val="24"/>
        </w:rPr>
        <w:t>Participants</w:t>
      </w:r>
      <w:r>
        <w:rPr>
          <w:sz w:val="24"/>
        </w:rPr>
        <w:t xml:space="preserve"> ranged in age between 19 and 22 (M= </w:t>
      </w:r>
      <w:r w:rsidR="00D61298">
        <w:rPr>
          <w:sz w:val="24"/>
        </w:rPr>
        <w:t>20</w:t>
      </w:r>
      <w:r w:rsidR="00E627C1">
        <w:rPr>
          <w:sz w:val="24"/>
        </w:rPr>
        <w:t>.33</w:t>
      </w:r>
      <w:r w:rsidR="00D61298">
        <w:rPr>
          <w:sz w:val="24"/>
        </w:rPr>
        <w:t>, SD = 1.25)</w:t>
      </w:r>
      <w:r w:rsidR="008D0217">
        <w:rPr>
          <w:sz w:val="24"/>
        </w:rPr>
        <w:t>. Each participant was provided with a pseudonym to maintain anonymity.</w:t>
      </w:r>
      <w:r w:rsidR="0064189E">
        <w:rPr>
          <w:sz w:val="24"/>
        </w:rPr>
        <w:t xml:space="preserve"> The </w:t>
      </w:r>
      <w:r w:rsidR="004A3FBA">
        <w:rPr>
          <w:sz w:val="24"/>
        </w:rPr>
        <w:t>participant’s</w:t>
      </w:r>
      <w:r w:rsidR="0064189E">
        <w:rPr>
          <w:sz w:val="24"/>
        </w:rPr>
        <w:t xml:space="preserve"> pseudonyms were Rachel, Jodie and Harriet.</w:t>
      </w:r>
    </w:p>
    <w:p w14:paraId="5ACDCDBF" w14:textId="28CCBA8B" w:rsidR="004A3FBA" w:rsidRDefault="004A3FBA" w:rsidP="0064189E">
      <w:pPr>
        <w:spacing w:line="480" w:lineRule="auto"/>
        <w:jc w:val="both"/>
        <w:rPr>
          <w:b/>
          <w:sz w:val="28"/>
        </w:rPr>
      </w:pPr>
    </w:p>
    <w:p w14:paraId="2A48D2AC" w14:textId="5E075828" w:rsidR="008D0217" w:rsidRDefault="008D0217" w:rsidP="0064189E">
      <w:pPr>
        <w:spacing w:line="480" w:lineRule="auto"/>
        <w:jc w:val="both"/>
        <w:rPr>
          <w:b/>
          <w:sz w:val="28"/>
        </w:rPr>
      </w:pPr>
      <w:r w:rsidRPr="008D0217">
        <w:rPr>
          <w:b/>
          <w:sz w:val="28"/>
        </w:rPr>
        <w:t>Design</w:t>
      </w:r>
    </w:p>
    <w:p w14:paraId="00AC963F" w14:textId="09060C1F" w:rsidR="008D0217" w:rsidRDefault="008D0217" w:rsidP="0064189E">
      <w:pPr>
        <w:spacing w:line="480" w:lineRule="auto"/>
        <w:jc w:val="both"/>
        <w:rPr>
          <w:sz w:val="24"/>
        </w:rPr>
      </w:pPr>
      <w:r>
        <w:rPr>
          <w:b/>
          <w:sz w:val="28"/>
        </w:rPr>
        <w:tab/>
      </w:r>
      <w:r>
        <w:rPr>
          <w:sz w:val="24"/>
        </w:rPr>
        <w:t xml:space="preserve">The design of the study was a qualitative semi-structured interview with questions tailored towards </w:t>
      </w:r>
      <w:r w:rsidR="00DB461E">
        <w:rPr>
          <w:sz w:val="24"/>
        </w:rPr>
        <w:t xml:space="preserve">the experience </w:t>
      </w:r>
      <w:r w:rsidR="002421A0">
        <w:rPr>
          <w:sz w:val="24"/>
        </w:rPr>
        <w:t>of moving to a new university campus. The interview was recorded,</w:t>
      </w:r>
      <w:r w:rsidR="00E627C1">
        <w:rPr>
          <w:sz w:val="24"/>
        </w:rPr>
        <w:t xml:space="preserve"> transcribed</w:t>
      </w:r>
      <w:r w:rsidR="0064189E">
        <w:rPr>
          <w:sz w:val="24"/>
        </w:rPr>
        <w:t xml:space="preserve"> and</w:t>
      </w:r>
      <w:r w:rsidR="00E627C1">
        <w:rPr>
          <w:sz w:val="24"/>
        </w:rPr>
        <w:t xml:space="preserve"> analysed using Interpretative Phenomenological A</w:t>
      </w:r>
      <w:r w:rsidR="00E627C1" w:rsidRPr="00E627C1">
        <w:rPr>
          <w:sz w:val="24"/>
        </w:rPr>
        <w:t>nalysis</w:t>
      </w:r>
      <w:r w:rsidR="00E627C1">
        <w:rPr>
          <w:sz w:val="24"/>
        </w:rPr>
        <w:t xml:space="preserve"> (IPA).</w:t>
      </w:r>
      <w:r w:rsidR="0064189E">
        <w:rPr>
          <w:sz w:val="24"/>
        </w:rPr>
        <w:t xml:space="preserve"> </w:t>
      </w:r>
    </w:p>
    <w:p w14:paraId="2D599325" w14:textId="5DCE2718" w:rsidR="00AC5339" w:rsidRDefault="00AC5339" w:rsidP="0064189E">
      <w:pPr>
        <w:spacing w:line="480" w:lineRule="auto"/>
        <w:jc w:val="both"/>
        <w:rPr>
          <w:b/>
          <w:sz w:val="28"/>
        </w:rPr>
      </w:pPr>
      <w:r>
        <w:rPr>
          <w:b/>
          <w:sz w:val="28"/>
        </w:rPr>
        <w:lastRenderedPageBreak/>
        <w:t>Materials</w:t>
      </w:r>
    </w:p>
    <w:p w14:paraId="52ADA65F" w14:textId="3B7EB89C" w:rsidR="00A63387" w:rsidRDefault="00AC5339" w:rsidP="0064189E">
      <w:pPr>
        <w:spacing w:line="480" w:lineRule="auto"/>
        <w:jc w:val="both"/>
        <w:rPr>
          <w:sz w:val="24"/>
        </w:rPr>
      </w:pPr>
      <w:r>
        <w:rPr>
          <w:sz w:val="24"/>
        </w:rPr>
        <w:tab/>
        <w:t>Participants were provided with a consent form</w:t>
      </w:r>
      <w:r w:rsidR="00393112">
        <w:rPr>
          <w:sz w:val="24"/>
        </w:rPr>
        <w:t xml:space="preserve"> (Appendix 1)</w:t>
      </w:r>
      <w:r>
        <w:rPr>
          <w:sz w:val="24"/>
        </w:rPr>
        <w:t xml:space="preserve"> to sign that provided a base outline of the topic being discussed as well as reminding them of their right to withdraw thei</w:t>
      </w:r>
      <w:r w:rsidR="00393112">
        <w:rPr>
          <w:sz w:val="24"/>
        </w:rPr>
        <w:t>r information at any time. The</w:t>
      </w:r>
      <w:r>
        <w:rPr>
          <w:sz w:val="24"/>
        </w:rPr>
        <w:t xml:space="preserve"> form also informed the participant of how their data would be used and stored. </w:t>
      </w:r>
      <w:r w:rsidR="00393112">
        <w:rPr>
          <w:sz w:val="24"/>
        </w:rPr>
        <w:t xml:space="preserve"> An interview schedule (Appendix 2) was also prepared prior to the interview,</w:t>
      </w:r>
      <w:r w:rsidR="00BF75DD">
        <w:rPr>
          <w:sz w:val="24"/>
        </w:rPr>
        <w:t xml:space="preserve"> it was semi-structured and </w:t>
      </w:r>
      <w:r w:rsidR="00393112">
        <w:rPr>
          <w:sz w:val="24"/>
        </w:rPr>
        <w:t>included four main questions</w:t>
      </w:r>
      <w:r w:rsidR="00BF75DD">
        <w:rPr>
          <w:sz w:val="24"/>
        </w:rPr>
        <w:t>. The exact wording of the questions was flexible as all changes related back to the same topic of moving to a new university campus. The questions were designed to stimulate talk about the information provided prior to the move, the participant’s first day experience, and the atmosphere of the new campus and if they feel they have settled in overall. Prompts were used to help the participant if they struggled to answer sufficiently or didn’t understand the question.</w:t>
      </w:r>
      <w:r w:rsidR="00A63387">
        <w:rPr>
          <w:sz w:val="24"/>
        </w:rPr>
        <w:t xml:space="preserve"> The interview was recorded using the Voice Memo app for iPhones. The participant was given a debrief form also (Appendix 3) documenting the purpose of the study and providing contact details on the researchers.</w:t>
      </w:r>
    </w:p>
    <w:p w14:paraId="61E0AB49" w14:textId="077D07CD" w:rsidR="00B3010E" w:rsidRDefault="00B3010E" w:rsidP="0064189E">
      <w:pPr>
        <w:spacing w:line="480" w:lineRule="auto"/>
        <w:jc w:val="both"/>
        <w:rPr>
          <w:sz w:val="24"/>
        </w:rPr>
      </w:pPr>
    </w:p>
    <w:p w14:paraId="62A0EFC1" w14:textId="68CAD81A" w:rsidR="00A63387" w:rsidRDefault="00A63387" w:rsidP="0064189E">
      <w:pPr>
        <w:spacing w:line="480" w:lineRule="auto"/>
        <w:jc w:val="both"/>
        <w:rPr>
          <w:b/>
          <w:sz w:val="28"/>
        </w:rPr>
      </w:pPr>
      <w:r w:rsidRPr="00A63387">
        <w:rPr>
          <w:b/>
          <w:sz w:val="28"/>
        </w:rPr>
        <w:t>Procedure</w:t>
      </w:r>
    </w:p>
    <w:p w14:paraId="5C23D3C7" w14:textId="650F6065" w:rsidR="006D05C6" w:rsidRPr="006D05C6" w:rsidRDefault="00A63387" w:rsidP="0064189E">
      <w:pPr>
        <w:spacing w:line="480" w:lineRule="auto"/>
        <w:jc w:val="both"/>
        <w:rPr>
          <w:sz w:val="24"/>
        </w:rPr>
      </w:pPr>
      <w:r>
        <w:rPr>
          <w:sz w:val="24"/>
        </w:rPr>
        <w:t> </w:t>
      </w:r>
      <w:r>
        <w:rPr>
          <w:sz w:val="24"/>
        </w:rPr>
        <w:tab/>
        <w:t>Firstly, the participants were invited to sit in a private interviewing room within the psychology laboratories of the university campus, where they were provided with a consent form (Appendix 1). Once consent was provided, t</w:t>
      </w:r>
      <w:r w:rsidR="006D05C6">
        <w:rPr>
          <w:sz w:val="24"/>
        </w:rPr>
        <w:t xml:space="preserve">he researcher introduced the topic of discussion and then asked for verbal consent to record the interview. The voice recorder was then placed in the middle of the table between the participant and researcher and the interview began. The first question of four was asked which stimulated answers from the </w:t>
      </w:r>
      <w:r w:rsidR="006D05C6">
        <w:rPr>
          <w:sz w:val="24"/>
        </w:rPr>
        <w:lastRenderedPageBreak/>
        <w:t>respondent. At appropriate points in the interview the researcher would integrate prompts if the participant went off-topic or struggled to answer the question sufficiently. The researcher continued asking questions until the interview was finished. The participant was then asked if they had any questions or anything to add. After this the recording was switched off, the participant was thanked for their time and was provided with a debrief form (Appendix 3).</w:t>
      </w:r>
    </w:p>
    <w:p w14:paraId="4C943357" w14:textId="77777777" w:rsidR="004A3FBA" w:rsidRDefault="00A72144" w:rsidP="00A72144">
      <w:pPr>
        <w:tabs>
          <w:tab w:val="left" w:pos="450"/>
          <w:tab w:val="left" w:pos="990"/>
          <w:tab w:val="center" w:pos="4513"/>
        </w:tabs>
        <w:spacing w:line="480" w:lineRule="auto"/>
        <w:rPr>
          <w:b/>
          <w:sz w:val="32"/>
        </w:rPr>
      </w:pPr>
      <w:r w:rsidRPr="00A72144">
        <w:rPr>
          <w:b/>
          <w:sz w:val="32"/>
        </w:rPr>
        <w:tab/>
      </w:r>
      <w:r w:rsidRPr="00A72144">
        <w:rPr>
          <w:b/>
          <w:sz w:val="32"/>
        </w:rPr>
        <w:tab/>
      </w:r>
      <w:r w:rsidRPr="00A72144">
        <w:rPr>
          <w:b/>
          <w:sz w:val="32"/>
        </w:rPr>
        <w:tab/>
      </w:r>
    </w:p>
    <w:p w14:paraId="47AE954B" w14:textId="25DA8E5C" w:rsidR="008D0217" w:rsidRDefault="006D05C6" w:rsidP="004A3FBA">
      <w:pPr>
        <w:tabs>
          <w:tab w:val="left" w:pos="450"/>
          <w:tab w:val="left" w:pos="990"/>
          <w:tab w:val="center" w:pos="4513"/>
        </w:tabs>
        <w:spacing w:line="480" w:lineRule="auto"/>
        <w:jc w:val="center"/>
        <w:rPr>
          <w:b/>
          <w:sz w:val="36"/>
          <w:u w:val="single"/>
        </w:rPr>
      </w:pPr>
      <w:r w:rsidRPr="006D05C6">
        <w:rPr>
          <w:b/>
          <w:sz w:val="36"/>
          <w:u w:val="single"/>
        </w:rPr>
        <w:t>Results</w:t>
      </w:r>
    </w:p>
    <w:p w14:paraId="7B8DD676" w14:textId="3076B7EB" w:rsidR="00A72144" w:rsidRPr="00A72144" w:rsidRDefault="00A72144" w:rsidP="00A72144">
      <w:pPr>
        <w:tabs>
          <w:tab w:val="left" w:pos="990"/>
          <w:tab w:val="center" w:pos="4513"/>
        </w:tabs>
        <w:spacing w:line="480" w:lineRule="auto"/>
        <w:jc w:val="both"/>
        <w:rPr>
          <w:b/>
          <w:i/>
          <w:sz w:val="24"/>
          <w:u w:val="single"/>
        </w:rPr>
      </w:pPr>
      <w:r>
        <w:rPr>
          <w:b/>
          <w:sz w:val="24"/>
        </w:rPr>
        <w:tab/>
      </w:r>
      <w:r w:rsidRPr="00A72144">
        <w:rPr>
          <w:b/>
          <w:i/>
          <w:sz w:val="24"/>
          <w:u w:val="single"/>
        </w:rPr>
        <w:t>Table 1</w:t>
      </w:r>
    </w:p>
    <w:p w14:paraId="269CB3FC" w14:textId="5506A8FD" w:rsidR="00A72144" w:rsidRPr="00A72144" w:rsidRDefault="00A72144" w:rsidP="004A3FBA">
      <w:pPr>
        <w:tabs>
          <w:tab w:val="left" w:pos="990"/>
          <w:tab w:val="center" w:pos="4513"/>
        </w:tabs>
        <w:spacing w:line="480" w:lineRule="auto"/>
        <w:ind w:firstLine="720"/>
        <w:jc w:val="center"/>
        <w:rPr>
          <w:b/>
          <w:sz w:val="28"/>
        </w:rPr>
      </w:pPr>
      <w:r w:rsidRPr="00A72144">
        <w:rPr>
          <w:b/>
          <w:noProof/>
          <w:sz w:val="32"/>
          <w:lang w:eastAsia="en-GB"/>
        </w:rPr>
        <w:drawing>
          <wp:anchor distT="0" distB="0" distL="114300" distR="114300" simplePos="0" relativeHeight="251643392" behindDoc="0" locked="0" layoutInCell="1" allowOverlap="1" wp14:anchorId="7A3BDAB4" wp14:editId="56ADEDAA">
            <wp:simplePos x="0" y="0"/>
            <wp:positionH relativeFrom="margin">
              <wp:posOffset>800100</wp:posOffset>
            </wp:positionH>
            <wp:positionV relativeFrom="paragraph">
              <wp:posOffset>243840</wp:posOffset>
            </wp:positionV>
            <wp:extent cx="4486275" cy="2667000"/>
            <wp:effectExtent l="19050" t="19050" r="28575" b="1905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tage 4 IPA analysis table_Page_1.jpg"/>
                    <pic:cNvPicPr/>
                  </pic:nvPicPr>
                  <pic:blipFill rotWithShape="1">
                    <a:blip r:embed="rId8" cstate="print">
                      <a:extLst>
                        <a:ext uri="{28A0092B-C50C-407E-A947-70E740481C1C}">
                          <a14:useLocalDpi xmlns:a14="http://schemas.microsoft.com/office/drawing/2010/main" val="0"/>
                        </a:ext>
                      </a:extLst>
                    </a:blip>
                    <a:srcRect l="4789" t="15713" r="4981" b="8434"/>
                    <a:stretch/>
                  </pic:blipFill>
                  <pic:spPr bwMode="auto">
                    <a:xfrm>
                      <a:off x="0" y="0"/>
                      <a:ext cx="4486275" cy="2667000"/>
                    </a:xfrm>
                    <a:prstGeom prst="rect">
                      <a:avLst/>
                    </a:prstGeom>
                    <a:ln w="9525" cap="flat" cmpd="sng" algn="ctr">
                      <a:solidFill>
                        <a:schemeClr val="bg1"/>
                      </a:solidFill>
                      <a:prstDash val="solid"/>
                      <a:round/>
                      <a:headEnd type="none" w="med" len="med"/>
                      <a:tailEnd type="none" w="med" len="med"/>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72144">
        <w:rPr>
          <w:b/>
          <w:sz w:val="24"/>
        </w:rPr>
        <w:t>Table of themes and subthemes from study.</w:t>
      </w:r>
    </w:p>
    <w:p w14:paraId="273F844A" w14:textId="1213553C" w:rsidR="006D05C6" w:rsidRDefault="006D05C6" w:rsidP="006D05C6">
      <w:pPr>
        <w:spacing w:line="480" w:lineRule="auto"/>
        <w:rPr>
          <w:sz w:val="24"/>
        </w:rPr>
      </w:pPr>
      <w:r>
        <w:rPr>
          <w:sz w:val="24"/>
        </w:rPr>
        <w:tab/>
      </w:r>
    </w:p>
    <w:p w14:paraId="11709302" w14:textId="22000C35" w:rsidR="00A72144" w:rsidRDefault="00A72144" w:rsidP="006D05C6">
      <w:pPr>
        <w:spacing w:line="480" w:lineRule="auto"/>
        <w:rPr>
          <w:sz w:val="24"/>
        </w:rPr>
      </w:pPr>
    </w:p>
    <w:p w14:paraId="76E116D5" w14:textId="030655D0" w:rsidR="00A72144" w:rsidRDefault="00A72144" w:rsidP="006D05C6">
      <w:pPr>
        <w:spacing w:line="480" w:lineRule="auto"/>
        <w:rPr>
          <w:sz w:val="24"/>
        </w:rPr>
      </w:pPr>
    </w:p>
    <w:p w14:paraId="2516B45A" w14:textId="4F727F1B" w:rsidR="00A72144" w:rsidRDefault="00A72144" w:rsidP="006D05C6">
      <w:pPr>
        <w:spacing w:line="480" w:lineRule="auto"/>
        <w:rPr>
          <w:sz w:val="24"/>
        </w:rPr>
      </w:pPr>
    </w:p>
    <w:p w14:paraId="76831768" w14:textId="0FD6AB89" w:rsidR="00A72144" w:rsidRDefault="00A72144" w:rsidP="006D05C6">
      <w:pPr>
        <w:spacing w:line="480" w:lineRule="auto"/>
        <w:rPr>
          <w:sz w:val="24"/>
        </w:rPr>
      </w:pPr>
    </w:p>
    <w:p w14:paraId="397F5620" w14:textId="66626579" w:rsidR="00A72144" w:rsidRDefault="00A72144" w:rsidP="006D05C6">
      <w:pPr>
        <w:spacing w:line="480" w:lineRule="auto"/>
        <w:rPr>
          <w:sz w:val="24"/>
        </w:rPr>
      </w:pPr>
    </w:p>
    <w:p w14:paraId="67DBBFE7" w14:textId="2CA2199F" w:rsidR="00A72144" w:rsidRDefault="00A72144" w:rsidP="004A3FBA">
      <w:pPr>
        <w:spacing w:line="480" w:lineRule="auto"/>
        <w:jc w:val="both"/>
        <w:rPr>
          <w:sz w:val="24"/>
        </w:rPr>
      </w:pPr>
      <w:r>
        <w:rPr>
          <w:sz w:val="24"/>
        </w:rPr>
        <w:tab/>
        <w:t xml:space="preserve">The transcripts were analysed using </w:t>
      </w:r>
      <w:r w:rsidRPr="00A72144">
        <w:rPr>
          <w:sz w:val="24"/>
        </w:rPr>
        <w:t>Interpretative Phenomenological Analysis</w:t>
      </w:r>
      <w:r>
        <w:rPr>
          <w:sz w:val="24"/>
        </w:rPr>
        <w:t xml:space="preserve"> (IPA). </w:t>
      </w:r>
      <w:r w:rsidR="002B0814">
        <w:rPr>
          <w:sz w:val="24"/>
        </w:rPr>
        <w:t>Stage 1 &amp; 2 require</w:t>
      </w:r>
      <w:r w:rsidR="00E01A88">
        <w:rPr>
          <w:sz w:val="24"/>
        </w:rPr>
        <w:t>d the reading of the first transcript</w:t>
      </w:r>
      <w:r w:rsidR="002B0814">
        <w:rPr>
          <w:sz w:val="24"/>
        </w:rPr>
        <w:t xml:space="preserve"> and </w:t>
      </w:r>
      <w:r w:rsidR="00E01A88">
        <w:rPr>
          <w:sz w:val="24"/>
        </w:rPr>
        <w:t xml:space="preserve">to note </w:t>
      </w:r>
      <w:r w:rsidR="002B0814">
        <w:rPr>
          <w:sz w:val="24"/>
        </w:rPr>
        <w:t xml:space="preserve">initial </w:t>
      </w:r>
      <w:r w:rsidR="00E01A88">
        <w:rPr>
          <w:sz w:val="24"/>
        </w:rPr>
        <w:t>thoughts and themes,</w:t>
      </w:r>
      <w:r w:rsidR="002B0814">
        <w:rPr>
          <w:sz w:val="24"/>
        </w:rPr>
        <w:t xml:space="preserve"> in which themes of uncertainty, lack of prior knowledge and enthusiasm emerged (Appendix 4). The themes were then</w:t>
      </w:r>
      <w:r w:rsidR="00E01A88">
        <w:rPr>
          <w:sz w:val="24"/>
        </w:rPr>
        <w:t xml:space="preserve"> cross checked across all transcripts</w:t>
      </w:r>
      <w:r w:rsidR="002B0814">
        <w:rPr>
          <w:sz w:val="24"/>
        </w:rPr>
        <w:t xml:space="preserve"> </w:t>
      </w:r>
      <w:r w:rsidR="00E01A88">
        <w:rPr>
          <w:sz w:val="24"/>
        </w:rPr>
        <w:t xml:space="preserve">and </w:t>
      </w:r>
      <w:r w:rsidR="002B0814">
        <w:rPr>
          <w:sz w:val="24"/>
        </w:rPr>
        <w:t>documented in a</w:t>
      </w:r>
      <w:r w:rsidR="00E01A88">
        <w:rPr>
          <w:sz w:val="24"/>
        </w:rPr>
        <w:t xml:space="preserve"> table (Appendix 5), including sub-themes which had emerged throughout</w:t>
      </w:r>
      <w:r w:rsidR="004A3FBA">
        <w:rPr>
          <w:sz w:val="24"/>
        </w:rPr>
        <w:t xml:space="preserve"> (Stage 3)</w:t>
      </w:r>
      <w:r w:rsidR="00E01A88">
        <w:rPr>
          <w:sz w:val="24"/>
        </w:rPr>
        <w:t>. The sub-</w:t>
      </w:r>
      <w:r w:rsidR="00E01A88">
        <w:rPr>
          <w:sz w:val="24"/>
        </w:rPr>
        <w:lastRenderedPageBreak/>
        <w:t>themes were ticked if they emerged in any of the transcripts. Not all sub-themes emerged across all transcriptions so the table was created to reflect this.</w:t>
      </w:r>
      <w:r w:rsidR="004A3FBA">
        <w:rPr>
          <w:sz w:val="24"/>
        </w:rPr>
        <w:t xml:space="preserve"> Table 1 (above) shows the emergent themes, sub-themes, and line and page numbers in the transcripts as well as examples of quotes to illustrate the sub-themes (Stage 4 &amp; 5).  </w:t>
      </w:r>
    </w:p>
    <w:p w14:paraId="746D8245" w14:textId="2A89B56E" w:rsidR="004A3FBA" w:rsidRDefault="004A3FBA" w:rsidP="004A3FBA">
      <w:pPr>
        <w:spacing w:line="480" w:lineRule="auto"/>
        <w:jc w:val="both"/>
        <w:rPr>
          <w:sz w:val="24"/>
        </w:rPr>
      </w:pPr>
    </w:p>
    <w:p w14:paraId="000200B3" w14:textId="4306A36D" w:rsidR="004A3FBA" w:rsidRDefault="004A3FBA" w:rsidP="004A3FBA">
      <w:pPr>
        <w:spacing w:line="480" w:lineRule="auto"/>
        <w:jc w:val="center"/>
        <w:rPr>
          <w:b/>
          <w:sz w:val="36"/>
          <w:u w:val="single"/>
        </w:rPr>
      </w:pPr>
      <w:r w:rsidRPr="004A3FBA">
        <w:rPr>
          <w:b/>
          <w:sz w:val="36"/>
          <w:u w:val="single"/>
        </w:rPr>
        <w:t>Discussion</w:t>
      </w:r>
    </w:p>
    <w:p w14:paraId="70B86D41" w14:textId="50CD4F96" w:rsidR="004A3FBA" w:rsidRDefault="004A3FBA" w:rsidP="004A3FBA">
      <w:pPr>
        <w:spacing w:line="480" w:lineRule="auto"/>
        <w:jc w:val="both"/>
        <w:rPr>
          <w:sz w:val="24"/>
        </w:rPr>
      </w:pPr>
      <w:r>
        <w:rPr>
          <w:sz w:val="24"/>
        </w:rPr>
        <w:tab/>
        <w:t>La</w:t>
      </w:r>
      <w:r>
        <w:rPr>
          <w:sz w:val="24"/>
        </w:rPr>
        <w:t>ck of prior information, uncertainty and enthusiasm emerged as the themes across all interviews.</w:t>
      </w:r>
      <w:r>
        <w:rPr>
          <w:sz w:val="24"/>
        </w:rPr>
        <w:t xml:space="preserve"> </w:t>
      </w:r>
      <w:r w:rsidR="002450CA">
        <w:rPr>
          <w:sz w:val="24"/>
        </w:rPr>
        <w:t>These themes reoccurred throughout all interviews. The results do not entirely support the initial research</w:t>
      </w:r>
      <w:r w:rsidR="00605347">
        <w:rPr>
          <w:sz w:val="24"/>
        </w:rPr>
        <w:t xml:space="preserve"> mentioned in the introduction</w:t>
      </w:r>
      <w:r w:rsidR="002450CA">
        <w:rPr>
          <w:sz w:val="24"/>
        </w:rPr>
        <w:t>, but links can be made between them and the results of this study.</w:t>
      </w:r>
      <w:r w:rsidR="00F9018B">
        <w:rPr>
          <w:sz w:val="24"/>
        </w:rPr>
        <w:t xml:space="preserve"> It can however be implied that age is a factor that influences the feelings experienced when entering an unfamiliar environment. </w:t>
      </w:r>
      <w:r w:rsidR="002450CA">
        <w:rPr>
          <w:sz w:val="24"/>
        </w:rPr>
        <w:t xml:space="preserve"> The results suggest that each theme influenced the other in the exact order they emerged.</w:t>
      </w:r>
    </w:p>
    <w:p w14:paraId="7DE48057" w14:textId="4AD80149" w:rsidR="002450CA" w:rsidRDefault="002450CA" w:rsidP="004A3FBA">
      <w:pPr>
        <w:spacing w:line="480" w:lineRule="auto"/>
        <w:jc w:val="both"/>
        <w:rPr>
          <w:sz w:val="24"/>
        </w:rPr>
      </w:pPr>
      <w:r>
        <w:rPr>
          <w:sz w:val="24"/>
        </w:rPr>
        <w:tab/>
        <w:t>Lack of prior information was mentioned frequently throughout each interview. The first question asked to the participants</w:t>
      </w:r>
      <w:r w:rsidR="00BA745D">
        <w:rPr>
          <w:sz w:val="24"/>
        </w:rPr>
        <w:t xml:space="preserve"> was</w:t>
      </w:r>
      <w:r>
        <w:rPr>
          <w:sz w:val="24"/>
        </w:rPr>
        <w:t xml:space="preserve"> about the information provided prior to the move.</w:t>
      </w:r>
      <w:r w:rsidR="00BA745D">
        <w:rPr>
          <w:sz w:val="24"/>
        </w:rPr>
        <w:t xml:space="preserve"> Poor relay of information was noted as a reason for this. Knowledge is a powerful tool which influences all decisions and actions</w:t>
      </w:r>
      <w:r w:rsidR="00846438">
        <w:rPr>
          <w:sz w:val="24"/>
        </w:rPr>
        <w:t>, which without it can lead to the fear of the unknown. Carleton (2016</w:t>
      </w:r>
      <w:r w:rsidR="001D1EA4">
        <w:rPr>
          <w:sz w:val="24"/>
        </w:rPr>
        <w:t>, p39</w:t>
      </w:r>
      <w:r w:rsidR="00846438">
        <w:rPr>
          <w:sz w:val="24"/>
        </w:rPr>
        <w:t xml:space="preserve">) </w:t>
      </w:r>
      <w:r w:rsidR="001D1EA4">
        <w:rPr>
          <w:sz w:val="24"/>
        </w:rPr>
        <w:t>defined</w:t>
      </w:r>
      <w:r w:rsidR="00846438">
        <w:rPr>
          <w:sz w:val="24"/>
        </w:rPr>
        <w:t xml:space="preserve"> the fear of the unknown as “</w:t>
      </w:r>
      <w:r w:rsidR="00846438" w:rsidRPr="00846438">
        <w:rPr>
          <w:sz w:val="24"/>
        </w:rPr>
        <w:t>an individual’s propensity to experience fear caused by the p</w:t>
      </w:r>
      <w:r w:rsidR="001D1EA4">
        <w:rPr>
          <w:sz w:val="24"/>
        </w:rPr>
        <w:t>erceived absence of information”. The lack of</w:t>
      </w:r>
      <w:r w:rsidR="003415E6">
        <w:rPr>
          <w:sz w:val="24"/>
        </w:rPr>
        <w:t xml:space="preserve"> prior</w:t>
      </w:r>
      <w:r w:rsidR="001D1EA4">
        <w:rPr>
          <w:sz w:val="24"/>
        </w:rPr>
        <w:t xml:space="preserve"> information provided about the new campus could have elicited feelings of uncertainty.</w:t>
      </w:r>
    </w:p>
    <w:p w14:paraId="51A5C3A3" w14:textId="4F1A2512" w:rsidR="00480B91" w:rsidRDefault="001D1EA4" w:rsidP="004A3FBA">
      <w:pPr>
        <w:spacing w:line="480" w:lineRule="auto"/>
        <w:jc w:val="both"/>
        <w:rPr>
          <w:sz w:val="24"/>
        </w:rPr>
      </w:pPr>
      <w:r>
        <w:rPr>
          <w:sz w:val="24"/>
        </w:rPr>
        <w:tab/>
        <w:t>Uncertainty emerged as the second common theme across all interviews.</w:t>
      </w:r>
      <w:r w:rsidR="003415E6">
        <w:rPr>
          <w:sz w:val="24"/>
        </w:rPr>
        <w:t xml:space="preserve"> Nervousness and drastic change emerged as sub-themes to this. All participants experienced a sense of nervousness in regards to the move to the new campus. The uncertainty of the </w:t>
      </w:r>
      <w:r w:rsidR="003415E6">
        <w:rPr>
          <w:sz w:val="24"/>
        </w:rPr>
        <w:lastRenderedPageBreak/>
        <w:t xml:space="preserve">location, parking spaces and facilities elicited feelings of nervousness. Jodie explicitly stated that she was nervous after the difficult journey to get there, and the nerves followed when walking in to the new building (2.25). This implies a link between the lack of information provided prior and feelings of uncertainty. The feeling of uncertainty has been suggested to intensify people’s reactions to </w:t>
      </w:r>
      <w:r w:rsidR="00480B91">
        <w:rPr>
          <w:sz w:val="24"/>
        </w:rPr>
        <w:t>unknown situations</w:t>
      </w:r>
      <w:r w:rsidR="003415E6">
        <w:rPr>
          <w:sz w:val="24"/>
        </w:rPr>
        <w:t xml:space="preserve"> </w:t>
      </w:r>
      <w:sdt>
        <w:sdtPr>
          <w:rPr>
            <w:sz w:val="24"/>
          </w:rPr>
          <w:id w:val="1780521833"/>
          <w:citation/>
        </w:sdtPr>
        <w:sdtContent>
          <w:r w:rsidR="003415E6">
            <w:rPr>
              <w:sz w:val="24"/>
            </w:rPr>
            <w:fldChar w:fldCharType="begin"/>
          </w:r>
          <w:r w:rsidR="003415E6">
            <w:rPr>
              <w:sz w:val="24"/>
            </w:rPr>
            <w:instrText xml:space="preserve"> CITATION Bar09 \l 2057 </w:instrText>
          </w:r>
          <w:r w:rsidR="003415E6">
            <w:rPr>
              <w:sz w:val="24"/>
            </w:rPr>
            <w:fldChar w:fldCharType="separate"/>
          </w:r>
          <w:r w:rsidR="00062ABF" w:rsidRPr="00062ABF">
            <w:rPr>
              <w:noProof/>
              <w:sz w:val="24"/>
            </w:rPr>
            <w:t>(Bar-Anan, Wilson, &amp; Gilbert, 2009)</w:t>
          </w:r>
          <w:r w:rsidR="003415E6">
            <w:rPr>
              <w:sz w:val="24"/>
            </w:rPr>
            <w:fldChar w:fldCharType="end"/>
          </w:r>
        </w:sdtContent>
      </w:sdt>
      <w:r w:rsidR="003415E6">
        <w:rPr>
          <w:sz w:val="24"/>
        </w:rPr>
        <w:t>.</w:t>
      </w:r>
      <w:r w:rsidR="00480B91">
        <w:rPr>
          <w:sz w:val="24"/>
        </w:rPr>
        <w:t xml:space="preserve"> The study also suggested that uncertainty makes unknown events more unpleasant. It can be implied that the participant’s feelings of uncertainty reduced as their knowledge of the campus increased.</w:t>
      </w:r>
      <w:r w:rsidR="0006207D">
        <w:rPr>
          <w:sz w:val="24"/>
        </w:rPr>
        <w:t xml:space="preserve"> </w:t>
      </w:r>
      <w:r w:rsidR="00480B91">
        <w:rPr>
          <w:sz w:val="24"/>
        </w:rPr>
        <w:t xml:space="preserve">The Uncertainty Reduction Theory (URT) </w:t>
      </w:r>
      <w:sdt>
        <w:sdtPr>
          <w:rPr>
            <w:sz w:val="24"/>
          </w:rPr>
          <w:id w:val="400726226"/>
          <w:citation/>
        </w:sdtPr>
        <w:sdtContent>
          <w:r w:rsidR="00480B91">
            <w:rPr>
              <w:sz w:val="24"/>
            </w:rPr>
            <w:fldChar w:fldCharType="begin"/>
          </w:r>
          <w:r w:rsidR="00480B91">
            <w:rPr>
              <w:sz w:val="24"/>
            </w:rPr>
            <w:instrText xml:space="preserve"> CITATION Ber75 \l 2057 </w:instrText>
          </w:r>
          <w:r w:rsidR="00480B91">
            <w:rPr>
              <w:sz w:val="24"/>
            </w:rPr>
            <w:fldChar w:fldCharType="separate"/>
          </w:r>
          <w:r w:rsidR="00062ABF" w:rsidRPr="00062ABF">
            <w:rPr>
              <w:noProof/>
              <w:sz w:val="24"/>
            </w:rPr>
            <w:t>(Berger &amp; Calabrese, 1975)</w:t>
          </w:r>
          <w:r w:rsidR="00480B91">
            <w:rPr>
              <w:sz w:val="24"/>
            </w:rPr>
            <w:fldChar w:fldCharType="end"/>
          </w:r>
        </w:sdtContent>
      </w:sdt>
      <w:r w:rsidR="00480B91">
        <w:rPr>
          <w:sz w:val="24"/>
        </w:rPr>
        <w:t xml:space="preserve"> is a model that suggests that </w:t>
      </w:r>
      <w:r w:rsidR="0006207D">
        <w:rPr>
          <w:sz w:val="24"/>
        </w:rPr>
        <w:t>high levels of uncertainty are stimulus for seeking information. The model suggests there is a positive relationship between level of uncertainty and information seeking. As the participants adapted to their new campus, their knowledge naturally began to broaden and in turn their levels of uncertainty reduced.</w:t>
      </w:r>
    </w:p>
    <w:p w14:paraId="64A82FB3" w14:textId="60E1C3BC" w:rsidR="0006207D" w:rsidRDefault="0006207D" w:rsidP="004A3FBA">
      <w:pPr>
        <w:spacing w:line="480" w:lineRule="auto"/>
        <w:jc w:val="both"/>
        <w:rPr>
          <w:sz w:val="24"/>
        </w:rPr>
      </w:pPr>
      <w:r>
        <w:rPr>
          <w:sz w:val="24"/>
        </w:rPr>
        <w:tab/>
        <w:t xml:space="preserve">The third theme that emerged was enthusiasm. </w:t>
      </w:r>
      <w:r w:rsidR="009175AB">
        <w:rPr>
          <w:sz w:val="24"/>
        </w:rPr>
        <w:t xml:space="preserve">The participants all spoke enthusiastically about the improvements to the new campus and the greater opportunities to learn. The more advanced library facilities were noted as being an integral factor to this. A sub-theme of positive comparison emerged, the participants mentioned how the campus had improved in comparison to the previous year. A sub-theme of excitement emerged also as the participants described their excitement about the prospect of a brand new campus to learn in. Research has suggested that uncertainty can also elicit feelings of excitement. A study by Shen, Fishbach and Hsee (2015) suggested that uncertainty can actually bring </w:t>
      </w:r>
      <w:r w:rsidR="00BB40FD">
        <w:rPr>
          <w:sz w:val="24"/>
        </w:rPr>
        <w:t>excitement and boost motivation, in regards to potential reward gains (better facilities; better grades).</w:t>
      </w:r>
    </w:p>
    <w:p w14:paraId="501EE53A" w14:textId="3B65CB98" w:rsidR="00BB40FD" w:rsidRDefault="00BB40FD" w:rsidP="004A3FBA">
      <w:pPr>
        <w:spacing w:line="480" w:lineRule="auto"/>
        <w:jc w:val="both"/>
        <w:rPr>
          <w:sz w:val="24"/>
        </w:rPr>
      </w:pPr>
      <w:r>
        <w:rPr>
          <w:sz w:val="24"/>
        </w:rPr>
        <w:lastRenderedPageBreak/>
        <w:tab/>
        <w:t>It can be suggested from the study that it is important to provide as much information as possible when moving university campus’. It can also be suggested that the lack of information provided by the university in regards to the move in turn led to levels of uncertainty, and as those levels of uncertainty dropped, the enthusiasm increased.</w:t>
      </w:r>
    </w:p>
    <w:p w14:paraId="4B404AC7" w14:textId="35E90EA9" w:rsidR="00BB40FD" w:rsidRDefault="00BB40FD" w:rsidP="004A3FBA">
      <w:pPr>
        <w:spacing w:line="480" w:lineRule="auto"/>
        <w:jc w:val="both"/>
        <w:rPr>
          <w:sz w:val="24"/>
        </w:rPr>
      </w:pPr>
      <w:r>
        <w:rPr>
          <w:sz w:val="24"/>
        </w:rPr>
        <w:tab/>
        <w:t>The study however did face some limitations. The researcher for the project was a second year undergraduate student in the same class as the participants. Each participant completed the exact same assignment so researcher bias may have affected their responses, as they already had prior knowledge of what to expect. Though the questions were the same for each participant, as seen in the transcript</w:t>
      </w:r>
      <w:r w:rsidR="00605347">
        <w:rPr>
          <w:sz w:val="24"/>
        </w:rPr>
        <w:t xml:space="preserve"> (Appendix4)</w:t>
      </w:r>
      <w:r>
        <w:rPr>
          <w:sz w:val="24"/>
        </w:rPr>
        <w:t xml:space="preserve">, some of the questions incorporated the prompts into them. The </w:t>
      </w:r>
      <w:r w:rsidR="00605347">
        <w:rPr>
          <w:sz w:val="24"/>
        </w:rPr>
        <w:t>participant’s</w:t>
      </w:r>
      <w:r>
        <w:rPr>
          <w:sz w:val="24"/>
        </w:rPr>
        <w:t xml:space="preserve"> natural response to the question may have been influenced by this.</w:t>
      </w:r>
      <w:r w:rsidR="00605347">
        <w:rPr>
          <w:sz w:val="24"/>
        </w:rPr>
        <w:t xml:space="preserve"> The study was conducted by a first-time interviewee, and upon repetition extra care would be taken to only use prompts when appropriate.</w:t>
      </w:r>
    </w:p>
    <w:p w14:paraId="7488B1D7" w14:textId="7E0F3356" w:rsidR="00480B91" w:rsidRPr="004A3FBA" w:rsidRDefault="00480B91" w:rsidP="004A3FBA">
      <w:pPr>
        <w:spacing w:line="480" w:lineRule="auto"/>
        <w:jc w:val="both"/>
        <w:rPr>
          <w:b/>
          <w:sz w:val="44"/>
          <w:u w:val="single"/>
        </w:rPr>
      </w:pPr>
      <w:r>
        <w:rPr>
          <w:sz w:val="24"/>
        </w:rPr>
        <w:tab/>
      </w:r>
    </w:p>
    <w:sdt>
      <w:sdtPr>
        <w:rPr>
          <w:rFonts w:asciiTheme="minorHAnsi" w:eastAsiaTheme="minorHAnsi" w:hAnsiTheme="minorHAnsi" w:cstheme="minorBidi"/>
          <w:color w:val="auto"/>
          <w:sz w:val="22"/>
          <w:szCs w:val="22"/>
          <w:lang w:val="en-GB"/>
        </w:rPr>
        <w:id w:val="822933970"/>
        <w:docPartObj>
          <w:docPartGallery w:val="Bibliographies"/>
          <w:docPartUnique/>
        </w:docPartObj>
      </w:sdtPr>
      <w:sdtEndPr/>
      <w:sdtContent>
        <w:p w14:paraId="6ABDEDD6" w14:textId="77777777" w:rsidR="00BD3D0E" w:rsidRPr="00BD3D0E" w:rsidRDefault="00BD3D0E" w:rsidP="00BD3D0E">
          <w:pPr>
            <w:pStyle w:val="Heading1"/>
            <w:rPr>
              <w:rFonts w:asciiTheme="minorHAnsi" w:eastAsiaTheme="minorHAnsi" w:hAnsiTheme="minorHAnsi" w:cstheme="minorBidi"/>
              <w:color w:val="auto"/>
              <w:sz w:val="22"/>
              <w:szCs w:val="22"/>
              <w:lang w:val="en-GB"/>
            </w:rPr>
          </w:pPr>
          <w:r>
            <w:t>References</w:t>
          </w:r>
        </w:p>
        <w:sdt>
          <w:sdtPr>
            <w:id w:val="-573587230"/>
            <w:bibliography/>
          </w:sdtPr>
          <w:sdtEndPr/>
          <w:sdtContent>
            <w:p w14:paraId="43464063" w14:textId="77777777" w:rsidR="00062ABF" w:rsidRDefault="00BD3D0E" w:rsidP="00062ABF">
              <w:pPr>
                <w:pStyle w:val="Bibliography"/>
                <w:ind w:left="720" w:hanging="720"/>
                <w:rPr>
                  <w:noProof/>
                  <w:sz w:val="24"/>
                  <w:szCs w:val="24"/>
                  <w:lang w:val="en-US"/>
                </w:rPr>
              </w:pPr>
              <w:r>
                <w:fldChar w:fldCharType="begin"/>
              </w:r>
              <w:r>
                <w:instrText xml:space="preserve"> BIBLIOGRAPHY </w:instrText>
              </w:r>
              <w:r>
                <w:fldChar w:fldCharType="separate"/>
              </w:r>
              <w:r w:rsidR="00062ABF">
                <w:rPr>
                  <w:noProof/>
                  <w:lang w:val="en-US"/>
                </w:rPr>
                <w:t xml:space="preserve">Bar-Anan, Y., Wilson, T. D., &amp; Gilbert, D. T. (2009). The Feeling of Uncertainty Intensifies Affective Reactions. </w:t>
              </w:r>
              <w:r w:rsidR="00062ABF">
                <w:rPr>
                  <w:i/>
                  <w:iCs/>
                  <w:noProof/>
                  <w:lang w:val="en-US"/>
                </w:rPr>
                <w:t>Emotion</w:t>
              </w:r>
              <w:r w:rsidR="00062ABF">
                <w:rPr>
                  <w:noProof/>
                  <w:lang w:val="en-US"/>
                </w:rPr>
                <w:t>, 123-127.</w:t>
              </w:r>
            </w:p>
            <w:p w14:paraId="7920F220" w14:textId="77777777" w:rsidR="00062ABF" w:rsidRDefault="00062ABF" w:rsidP="00062ABF">
              <w:pPr>
                <w:pStyle w:val="Bibliography"/>
                <w:ind w:left="720" w:hanging="720"/>
                <w:rPr>
                  <w:noProof/>
                  <w:lang w:val="en-US"/>
                </w:rPr>
              </w:pPr>
              <w:r>
                <w:rPr>
                  <w:noProof/>
                  <w:lang w:val="en-US"/>
                </w:rPr>
                <w:t xml:space="preserve">Berger, C. R., &amp; Calabrese, R. J. (1975). Some explorations in initial interaction and beyond: Toward a developmental theory of interpersonal communication. </w:t>
              </w:r>
              <w:r>
                <w:rPr>
                  <w:i/>
                  <w:iCs/>
                  <w:noProof/>
                  <w:lang w:val="en-US"/>
                </w:rPr>
                <w:t>Human Communication Research</w:t>
              </w:r>
              <w:r>
                <w:rPr>
                  <w:noProof/>
                  <w:lang w:val="en-US"/>
                </w:rPr>
                <w:t>, 99-12.</w:t>
              </w:r>
            </w:p>
            <w:p w14:paraId="7FF59F7F" w14:textId="77777777" w:rsidR="00062ABF" w:rsidRDefault="00062ABF" w:rsidP="00062ABF">
              <w:pPr>
                <w:pStyle w:val="Bibliography"/>
                <w:ind w:left="720" w:hanging="720"/>
                <w:rPr>
                  <w:noProof/>
                  <w:lang w:val="en-US"/>
                </w:rPr>
              </w:pPr>
              <w:r>
                <w:rPr>
                  <w:noProof/>
                  <w:lang w:val="en-US"/>
                </w:rPr>
                <w:t xml:space="preserve">Carleton, R. N. (2016). Into the Unknown: a review and synthesis of contemporary models involving uncertainty. </w:t>
              </w:r>
              <w:r>
                <w:rPr>
                  <w:i/>
                  <w:iCs/>
                  <w:noProof/>
                  <w:lang w:val="en-US"/>
                </w:rPr>
                <w:t>Journal of Anxiety Disorders</w:t>
              </w:r>
              <w:r>
                <w:rPr>
                  <w:noProof/>
                  <w:lang w:val="en-US"/>
                </w:rPr>
                <w:t>, 30-43.</w:t>
              </w:r>
            </w:p>
            <w:p w14:paraId="0CF4BE4E" w14:textId="77777777" w:rsidR="00062ABF" w:rsidRDefault="00062ABF" w:rsidP="00062ABF">
              <w:pPr>
                <w:pStyle w:val="Bibliography"/>
                <w:ind w:left="720" w:hanging="720"/>
                <w:rPr>
                  <w:noProof/>
                  <w:lang w:val="en-US"/>
                </w:rPr>
              </w:pPr>
              <w:r>
                <w:rPr>
                  <w:noProof/>
                  <w:lang w:val="en-US"/>
                </w:rPr>
                <w:t xml:space="preserve">Phillips, J., Walford, N., Hockey, A., Foreman, N., &amp; Lewis, M. (2013). Older people and outdoor environments: Pedestrian anxieties and barriers in the use of familiar and unfamiliar spaces. </w:t>
              </w:r>
              <w:r>
                <w:rPr>
                  <w:i/>
                  <w:iCs/>
                  <w:noProof/>
                  <w:lang w:val="en-US"/>
                </w:rPr>
                <w:t>Geoforum</w:t>
              </w:r>
              <w:r>
                <w:rPr>
                  <w:noProof/>
                  <w:lang w:val="en-US"/>
                </w:rPr>
                <w:t>, 113-124.</w:t>
              </w:r>
            </w:p>
            <w:p w14:paraId="243570DB" w14:textId="77777777" w:rsidR="00062ABF" w:rsidRDefault="00062ABF" w:rsidP="00062ABF">
              <w:pPr>
                <w:pStyle w:val="Bibliography"/>
                <w:ind w:left="720" w:hanging="720"/>
                <w:rPr>
                  <w:noProof/>
                  <w:lang w:val="en-US"/>
                </w:rPr>
              </w:pPr>
              <w:r>
                <w:rPr>
                  <w:noProof/>
                  <w:lang w:val="en-US"/>
                </w:rPr>
                <w:t xml:space="preserve">Setterstein, R. (1999). </w:t>
              </w:r>
              <w:r>
                <w:rPr>
                  <w:i/>
                  <w:iCs/>
                  <w:noProof/>
                  <w:lang w:val="en-US"/>
                </w:rPr>
                <w:t>Lives in Time and Place: The Problems and Promises of Developmental Sciences.</w:t>
              </w:r>
              <w:r>
                <w:rPr>
                  <w:noProof/>
                  <w:lang w:val="en-US"/>
                </w:rPr>
                <w:t xml:space="preserve"> New York: Baywood Publishing.</w:t>
              </w:r>
            </w:p>
            <w:p w14:paraId="31375614" w14:textId="77777777" w:rsidR="00062ABF" w:rsidRDefault="00062ABF" w:rsidP="00062ABF">
              <w:pPr>
                <w:pStyle w:val="Bibliography"/>
                <w:ind w:left="720" w:hanging="720"/>
                <w:rPr>
                  <w:noProof/>
                  <w:lang w:val="en-US"/>
                </w:rPr>
              </w:pPr>
              <w:r>
                <w:rPr>
                  <w:noProof/>
                  <w:lang w:val="en-US"/>
                </w:rPr>
                <w:lastRenderedPageBreak/>
                <w:t xml:space="preserve">Shen, L., Fishbach, A., &amp; Hsee, C. K. (2015). The Motivating-Uncertainty Effect: Uncertainty Increases Resource Investment in the Process of Reward Pursuit. </w:t>
              </w:r>
              <w:r>
                <w:rPr>
                  <w:i/>
                  <w:iCs/>
                  <w:noProof/>
                  <w:lang w:val="en-US"/>
                </w:rPr>
                <w:t>Journal of Consumer Research</w:t>
              </w:r>
              <w:r>
                <w:rPr>
                  <w:noProof/>
                  <w:lang w:val="en-US"/>
                </w:rPr>
                <w:t>, 1301-1316.</w:t>
              </w:r>
            </w:p>
            <w:p w14:paraId="32EE12E9" w14:textId="77777777" w:rsidR="00062ABF" w:rsidRDefault="00062ABF" w:rsidP="00062ABF">
              <w:pPr>
                <w:pStyle w:val="Bibliography"/>
                <w:ind w:left="720" w:hanging="720"/>
                <w:rPr>
                  <w:noProof/>
                  <w:lang w:val="en-US"/>
                </w:rPr>
              </w:pPr>
              <w:r>
                <w:rPr>
                  <w:noProof/>
                  <w:lang w:val="en-US"/>
                </w:rPr>
                <w:t xml:space="preserve">Thompson, A. R., Kent, G., &amp; Smith, J. A. (2002). Living with vitiligo: Dealing with difference. </w:t>
              </w:r>
              <w:r>
                <w:rPr>
                  <w:i/>
                  <w:iCs/>
                  <w:noProof/>
                  <w:lang w:val="en-US"/>
                </w:rPr>
                <w:t>British Journal of Health Psychology</w:t>
              </w:r>
              <w:r>
                <w:rPr>
                  <w:noProof/>
                  <w:lang w:val="en-US"/>
                </w:rPr>
                <w:t>, 213-225.</w:t>
              </w:r>
            </w:p>
            <w:p w14:paraId="047C1F9C" w14:textId="77777777" w:rsidR="00BD3D0E" w:rsidRDefault="00BD3D0E" w:rsidP="00062ABF">
              <w:r>
                <w:rPr>
                  <w:b/>
                  <w:bCs/>
                  <w:noProof/>
                </w:rPr>
                <w:fldChar w:fldCharType="end"/>
              </w:r>
            </w:p>
          </w:sdtContent>
        </w:sdt>
      </w:sdtContent>
    </w:sdt>
    <w:p w14:paraId="6D8CE6CC" w14:textId="4B2385E4" w:rsidR="00AC5339" w:rsidRDefault="00AC5339" w:rsidP="00C26914">
      <w:pPr>
        <w:tabs>
          <w:tab w:val="left" w:pos="2745"/>
        </w:tabs>
        <w:jc w:val="center"/>
        <w:rPr>
          <w:b/>
          <w:sz w:val="36"/>
        </w:rPr>
      </w:pPr>
    </w:p>
    <w:p w14:paraId="04A3A5DE" w14:textId="77777777" w:rsidR="00393112" w:rsidRDefault="00AC5339" w:rsidP="00AC5339">
      <w:pPr>
        <w:rPr>
          <w:b/>
          <w:sz w:val="28"/>
        </w:rPr>
      </w:pPr>
      <w:r>
        <w:rPr>
          <w:b/>
          <w:noProof/>
          <w:sz w:val="36"/>
          <w:lang w:eastAsia="en-GB"/>
        </w:rPr>
        <w:lastRenderedPageBreak/>
        <w:drawing>
          <wp:anchor distT="0" distB="0" distL="114300" distR="114300" simplePos="0" relativeHeight="251595264" behindDoc="0" locked="0" layoutInCell="1" allowOverlap="1" wp14:anchorId="47D0FFEF" wp14:editId="3B217730">
            <wp:simplePos x="0" y="0"/>
            <wp:positionH relativeFrom="column">
              <wp:posOffset>-12700</wp:posOffset>
            </wp:positionH>
            <wp:positionV relativeFrom="paragraph">
              <wp:posOffset>957580</wp:posOffset>
            </wp:positionV>
            <wp:extent cx="5562600" cy="7865745"/>
            <wp:effectExtent l="19050" t="19050" r="19050" b="2095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obby consent qualitative form.jpg"/>
                    <pic:cNvPicPr/>
                  </pic:nvPicPr>
                  <pic:blipFill>
                    <a:blip r:embed="rId9">
                      <a:extLst>
                        <a:ext uri="{28A0092B-C50C-407E-A947-70E740481C1C}">
                          <a14:useLocalDpi xmlns:a14="http://schemas.microsoft.com/office/drawing/2010/main" val="0"/>
                        </a:ext>
                      </a:extLst>
                    </a:blip>
                    <a:stretch>
                      <a:fillRect/>
                    </a:stretch>
                  </pic:blipFill>
                  <pic:spPr>
                    <a:xfrm>
                      <a:off x="0" y="0"/>
                      <a:ext cx="5562600" cy="786574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b/>
          <w:sz w:val="36"/>
        </w:rPr>
        <w:t>Appendices</w:t>
      </w:r>
      <w:r>
        <w:rPr>
          <w:b/>
          <w:sz w:val="36"/>
        </w:rPr>
        <w:br/>
      </w:r>
      <w:r>
        <w:rPr>
          <w:b/>
          <w:sz w:val="36"/>
        </w:rPr>
        <w:br/>
      </w:r>
      <w:r>
        <w:rPr>
          <w:b/>
          <w:sz w:val="28"/>
        </w:rPr>
        <w:t>Appendix 1</w:t>
      </w:r>
    </w:p>
    <w:p w14:paraId="5EE4F6A8" w14:textId="5E13665F" w:rsidR="00393112" w:rsidRDefault="00393112">
      <w:pPr>
        <w:rPr>
          <w:b/>
          <w:sz w:val="28"/>
        </w:rPr>
      </w:pPr>
      <w:r>
        <w:rPr>
          <w:b/>
          <w:sz w:val="28"/>
        </w:rPr>
        <w:lastRenderedPageBreak/>
        <w:t>Appendix 2</w:t>
      </w:r>
      <w:r>
        <w:rPr>
          <w:b/>
          <w:noProof/>
          <w:sz w:val="28"/>
          <w:lang w:eastAsia="en-GB"/>
        </w:rPr>
        <w:drawing>
          <wp:anchor distT="0" distB="0" distL="114300" distR="114300" simplePos="0" relativeHeight="251600384" behindDoc="0" locked="0" layoutInCell="1" allowOverlap="1" wp14:anchorId="5E4E2C38" wp14:editId="153F81BC">
            <wp:simplePos x="0" y="0"/>
            <wp:positionH relativeFrom="column">
              <wp:posOffset>0</wp:posOffset>
            </wp:positionH>
            <wp:positionV relativeFrom="paragraph">
              <wp:posOffset>238125</wp:posOffset>
            </wp:positionV>
            <wp:extent cx="5731510" cy="8105140"/>
            <wp:effectExtent l="19050" t="19050" r="21590" b="1016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Qualitative Interview Schedule_Page_1.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b/>
          <w:sz w:val="28"/>
        </w:rPr>
        <w:br w:type="page"/>
      </w:r>
    </w:p>
    <w:p w14:paraId="05FD592F" w14:textId="59F93AFB" w:rsidR="00A72144" w:rsidRDefault="00A63387" w:rsidP="00AC5339">
      <w:pPr>
        <w:rPr>
          <w:b/>
          <w:sz w:val="28"/>
        </w:rPr>
      </w:pPr>
      <w:r>
        <w:rPr>
          <w:b/>
          <w:sz w:val="28"/>
        </w:rPr>
        <w:lastRenderedPageBreak/>
        <w:t>Appendix 3</w:t>
      </w:r>
    </w:p>
    <w:p w14:paraId="3491864C" w14:textId="77777777" w:rsidR="00A72144" w:rsidRPr="00A72144" w:rsidRDefault="00A72144" w:rsidP="00A72144">
      <w:pPr>
        <w:rPr>
          <w:sz w:val="28"/>
        </w:rPr>
      </w:pPr>
    </w:p>
    <w:p w14:paraId="3B8973B1" w14:textId="686A505C" w:rsidR="00A72144" w:rsidRPr="00A72144" w:rsidRDefault="002450CA" w:rsidP="00A72144">
      <w:pPr>
        <w:rPr>
          <w:sz w:val="28"/>
        </w:rPr>
      </w:pPr>
      <w:r>
        <w:rPr>
          <w:noProof/>
          <w:sz w:val="28"/>
          <w:lang w:eastAsia="en-GB"/>
        </w:rPr>
        <w:drawing>
          <wp:inline distT="0" distB="0" distL="0" distR="0" wp14:anchorId="5199DAF9" wp14:editId="20CD7EF8">
            <wp:extent cx="5731510" cy="810514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Bobby debrief qual final.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p>
    <w:p w14:paraId="5678217E" w14:textId="77777777" w:rsidR="00A72144" w:rsidRPr="00A72144" w:rsidRDefault="00A72144" w:rsidP="00A72144">
      <w:pPr>
        <w:rPr>
          <w:sz w:val="28"/>
        </w:rPr>
      </w:pPr>
    </w:p>
    <w:p w14:paraId="5DCEBFB5" w14:textId="77777777" w:rsidR="00A72144" w:rsidRPr="00A72144" w:rsidRDefault="00A72144" w:rsidP="00A72144">
      <w:pPr>
        <w:rPr>
          <w:sz w:val="28"/>
        </w:rPr>
      </w:pPr>
    </w:p>
    <w:p w14:paraId="358B2726" w14:textId="77777777" w:rsidR="00A72144" w:rsidRPr="00A72144" w:rsidRDefault="00A72144" w:rsidP="00A72144">
      <w:pPr>
        <w:rPr>
          <w:sz w:val="28"/>
        </w:rPr>
      </w:pPr>
    </w:p>
    <w:p w14:paraId="0C6ED935" w14:textId="77777777" w:rsidR="00A72144" w:rsidRPr="00A72144" w:rsidRDefault="00A72144" w:rsidP="00A72144">
      <w:pPr>
        <w:rPr>
          <w:sz w:val="28"/>
        </w:rPr>
      </w:pPr>
    </w:p>
    <w:p w14:paraId="053A6A35" w14:textId="77777777" w:rsidR="00A72144" w:rsidRPr="00A72144" w:rsidRDefault="00A72144" w:rsidP="00A72144">
      <w:pPr>
        <w:rPr>
          <w:sz w:val="28"/>
        </w:rPr>
      </w:pPr>
    </w:p>
    <w:p w14:paraId="55810A30" w14:textId="77777777" w:rsidR="00A72144" w:rsidRPr="00A72144" w:rsidRDefault="00A72144" w:rsidP="00A72144">
      <w:pPr>
        <w:rPr>
          <w:sz w:val="28"/>
        </w:rPr>
      </w:pPr>
    </w:p>
    <w:p w14:paraId="48F0803D" w14:textId="77777777" w:rsidR="00A72144" w:rsidRPr="00A72144" w:rsidRDefault="00A72144" w:rsidP="00A72144">
      <w:pPr>
        <w:rPr>
          <w:sz w:val="28"/>
        </w:rPr>
      </w:pPr>
    </w:p>
    <w:p w14:paraId="0A0F8C4B" w14:textId="77777777" w:rsidR="00A72144" w:rsidRPr="00A72144" w:rsidRDefault="00A72144" w:rsidP="00A72144">
      <w:pPr>
        <w:rPr>
          <w:sz w:val="28"/>
        </w:rPr>
      </w:pPr>
    </w:p>
    <w:p w14:paraId="581F4371" w14:textId="77777777" w:rsidR="00A72144" w:rsidRPr="00A72144" w:rsidRDefault="00A72144" w:rsidP="00A72144">
      <w:pPr>
        <w:rPr>
          <w:sz w:val="28"/>
        </w:rPr>
      </w:pPr>
    </w:p>
    <w:p w14:paraId="25E39AC6" w14:textId="77777777" w:rsidR="00A72144" w:rsidRPr="00A72144" w:rsidRDefault="00A72144" w:rsidP="00A72144">
      <w:pPr>
        <w:rPr>
          <w:sz w:val="28"/>
        </w:rPr>
      </w:pPr>
    </w:p>
    <w:p w14:paraId="74C3F4A3" w14:textId="77777777" w:rsidR="00A72144" w:rsidRPr="00A72144" w:rsidRDefault="00A72144" w:rsidP="00A72144">
      <w:pPr>
        <w:rPr>
          <w:sz w:val="28"/>
        </w:rPr>
      </w:pPr>
    </w:p>
    <w:p w14:paraId="685E2496" w14:textId="77777777" w:rsidR="00A72144" w:rsidRPr="00A72144" w:rsidRDefault="00A72144" w:rsidP="00A72144">
      <w:pPr>
        <w:rPr>
          <w:sz w:val="28"/>
        </w:rPr>
      </w:pPr>
    </w:p>
    <w:p w14:paraId="053B672A" w14:textId="77777777" w:rsidR="00A72144" w:rsidRPr="00A72144" w:rsidRDefault="00A72144" w:rsidP="00A72144">
      <w:pPr>
        <w:rPr>
          <w:sz w:val="28"/>
        </w:rPr>
      </w:pPr>
    </w:p>
    <w:p w14:paraId="13A2D543" w14:textId="77777777" w:rsidR="00A72144" w:rsidRPr="00A72144" w:rsidRDefault="00A72144" w:rsidP="00A72144">
      <w:pPr>
        <w:rPr>
          <w:sz w:val="28"/>
        </w:rPr>
      </w:pPr>
    </w:p>
    <w:p w14:paraId="3BDD10D4" w14:textId="68DC35E4" w:rsidR="00A72144" w:rsidRDefault="00A72144" w:rsidP="00A72144">
      <w:pPr>
        <w:rPr>
          <w:sz w:val="28"/>
        </w:rPr>
      </w:pPr>
    </w:p>
    <w:p w14:paraId="630C61C3" w14:textId="65E80A3A" w:rsidR="00A72144" w:rsidRDefault="00A72144" w:rsidP="00A72144">
      <w:pPr>
        <w:rPr>
          <w:sz w:val="28"/>
        </w:rPr>
      </w:pPr>
    </w:p>
    <w:p w14:paraId="11DD3FDF" w14:textId="77777777" w:rsidR="00A72144" w:rsidRDefault="00A72144">
      <w:pPr>
        <w:rPr>
          <w:sz w:val="28"/>
        </w:rPr>
      </w:pPr>
      <w:r>
        <w:rPr>
          <w:sz w:val="28"/>
        </w:rPr>
        <w:br w:type="page"/>
      </w:r>
    </w:p>
    <w:p w14:paraId="35DC77AD" w14:textId="5DC10DDB" w:rsidR="00AC5339" w:rsidRDefault="00A72144" w:rsidP="00A72144">
      <w:pPr>
        <w:rPr>
          <w:b/>
          <w:sz w:val="28"/>
        </w:rPr>
      </w:pPr>
      <w:r>
        <w:rPr>
          <w:b/>
          <w:noProof/>
          <w:sz w:val="28"/>
          <w:lang w:eastAsia="en-GB"/>
        </w:rPr>
        <w:lastRenderedPageBreak/>
        <w:drawing>
          <wp:anchor distT="0" distB="0" distL="114300" distR="114300" simplePos="0" relativeHeight="251661824" behindDoc="0" locked="0" layoutInCell="1" allowOverlap="1" wp14:anchorId="029A07C8" wp14:editId="4A6EE3DE">
            <wp:simplePos x="0" y="0"/>
            <wp:positionH relativeFrom="column">
              <wp:posOffset>76200</wp:posOffset>
            </wp:positionH>
            <wp:positionV relativeFrom="paragraph">
              <wp:posOffset>4505325</wp:posOffset>
            </wp:positionV>
            <wp:extent cx="5731510" cy="4053205"/>
            <wp:effectExtent l="19050" t="19050" r="21590" b="2349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nterview transcripts_Page_02.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05320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b/>
          <w:noProof/>
          <w:sz w:val="28"/>
          <w:lang w:eastAsia="en-GB"/>
        </w:rPr>
        <w:drawing>
          <wp:anchor distT="0" distB="0" distL="114300" distR="114300" simplePos="0" relativeHeight="251656704" behindDoc="0" locked="0" layoutInCell="1" allowOverlap="1" wp14:anchorId="236559D5" wp14:editId="2F49EB59">
            <wp:simplePos x="0" y="0"/>
            <wp:positionH relativeFrom="margin">
              <wp:posOffset>54610</wp:posOffset>
            </wp:positionH>
            <wp:positionV relativeFrom="paragraph">
              <wp:posOffset>306705</wp:posOffset>
            </wp:positionV>
            <wp:extent cx="5731510" cy="4053205"/>
            <wp:effectExtent l="19050" t="19050" r="21590" b="2349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nterview transcripts_Page_01.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405320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Pr="00A72144">
        <w:rPr>
          <w:b/>
          <w:sz w:val="28"/>
        </w:rPr>
        <w:t>Appendix 4</w:t>
      </w:r>
    </w:p>
    <w:p w14:paraId="3C953991" w14:textId="77777777" w:rsidR="002B0814" w:rsidRDefault="002B0814" w:rsidP="00A72144">
      <w:pPr>
        <w:rPr>
          <w:b/>
          <w:sz w:val="28"/>
        </w:rPr>
      </w:pPr>
    </w:p>
    <w:p w14:paraId="5A20F30F" w14:textId="12BF1B41" w:rsidR="002B0814" w:rsidRDefault="002B0814">
      <w:pPr>
        <w:rPr>
          <w:b/>
          <w:sz w:val="28"/>
        </w:rPr>
      </w:pPr>
      <w:r>
        <w:rPr>
          <w:b/>
          <w:noProof/>
          <w:sz w:val="28"/>
          <w:lang w:eastAsia="en-GB"/>
        </w:rPr>
        <w:lastRenderedPageBreak/>
        <w:drawing>
          <wp:anchor distT="0" distB="0" distL="114300" distR="114300" simplePos="0" relativeHeight="251672064" behindDoc="0" locked="0" layoutInCell="1" allowOverlap="1" wp14:anchorId="33B4E073" wp14:editId="75D8A51A">
            <wp:simplePos x="0" y="0"/>
            <wp:positionH relativeFrom="margin">
              <wp:align>center</wp:align>
            </wp:positionH>
            <wp:positionV relativeFrom="paragraph">
              <wp:posOffset>4229100</wp:posOffset>
            </wp:positionV>
            <wp:extent cx="5731510" cy="4053205"/>
            <wp:effectExtent l="19050" t="19050" r="21590" b="2349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nterview transcripts_Page_04.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405320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b/>
          <w:noProof/>
          <w:sz w:val="28"/>
          <w:lang w:eastAsia="en-GB"/>
        </w:rPr>
        <w:drawing>
          <wp:anchor distT="0" distB="0" distL="114300" distR="114300" simplePos="0" relativeHeight="251666944" behindDoc="0" locked="0" layoutInCell="1" allowOverlap="1" wp14:anchorId="498001DB" wp14:editId="1666D174">
            <wp:simplePos x="0" y="0"/>
            <wp:positionH relativeFrom="column">
              <wp:posOffset>0</wp:posOffset>
            </wp:positionH>
            <wp:positionV relativeFrom="paragraph">
              <wp:posOffset>0</wp:posOffset>
            </wp:positionV>
            <wp:extent cx="5731510" cy="4053205"/>
            <wp:effectExtent l="19050" t="19050" r="21590" b="2349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nterview transcripts_Page_03.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405320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b/>
          <w:sz w:val="28"/>
        </w:rPr>
        <w:br w:type="page"/>
      </w:r>
    </w:p>
    <w:p w14:paraId="7416C5A1" w14:textId="225AD895" w:rsidR="002B0814" w:rsidRDefault="002B0814" w:rsidP="00A72144">
      <w:pPr>
        <w:rPr>
          <w:b/>
          <w:sz w:val="28"/>
        </w:rPr>
      </w:pPr>
      <w:r>
        <w:rPr>
          <w:b/>
          <w:noProof/>
          <w:sz w:val="28"/>
          <w:lang w:eastAsia="en-GB"/>
        </w:rPr>
        <w:lastRenderedPageBreak/>
        <w:drawing>
          <wp:anchor distT="0" distB="0" distL="114300" distR="114300" simplePos="0" relativeHeight="251701760" behindDoc="0" locked="0" layoutInCell="1" allowOverlap="1" wp14:anchorId="04AC4573" wp14:editId="1CDAE7A5">
            <wp:simplePos x="0" y="0"/>
            <wp:positionH relativeFrom="margin">
              <wp:posOffset>-59690</wp:posOffset>
            </wp:positionH>
            <wp:positionV relativeFrom="paragraph">
              <wp:posOffset>4248150</wp:posOffset>
            </wp:positionV>
            <wp:extent cx="5731510" cy="4053205"/>
            <wp:effectExtent l="19050" t="19050" r="21590" b="23495"/>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interview transcripts_Page_10.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405320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b/>
          <w:noProof/>
          <w:sz w:val="28"/>
          <w:lang w:eastAsia="en-GB"/>
        </w:rPr>
        <w:drawing>
          <wp:anchor distT="0" distB="0" distL="114300" distR="114300" simplePos="0" relativeHeight="251695616" behindDoc="0" locked="0" layoutInCell="1" allowOverlap="1" wp14:anchorId="5A05D557" wp14:editId="7136C174">
            <wp:simplePos x="0" y="0"/>
            <wp:positionH relativeFrom="column">
              <wp:posOffset>-47625</wp:posOffset>
            </wp:positionH>
            <wp:positionV relativeFrom="paragraph">
              <wp:posOffset>0</wp:posOffset>
            </wp:positionV>
            <wp:extent cx="5731510" cy="4053205"/>
            <wp:effectExtent l="19050" t="19050" r="21590" b="23495"/>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nterview transcripts_Page_09.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405320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68F2596D" w14:textId="3F05763C" w:rsidR="002B0814" w:rsidRDefault="002B0814">
      <w:pPr>
        <w:rPr>
          <w:b/>
          <w:sz w:val="28"/>
        </w:rPr>
      </w:pPr>
      <w:r>
        <w:rPr>
          <w:b/>
          <w:noProof/>
          <w:sz w:val="28"/>
          <w:lang w:eastAsia="en-GB"/>
        </w:rPr>
        <w:lastRenderedPageBreak/>
        <w:drawing>
          <wp:anchor distT="0" distB="0" distL="114300" distR="114300" simplePos="0" relativeHeight="251679232" behindDoc="0" locked="0" layoutInCell="1" allowOverlap="1" wp14:anchorId="4470CB41" wp14:editId="685025C6">
            <wp:simplePos x="0" y="0"/>
            <wp:positionH relativeFrom="margin">
              <wp:align>left</wp:align>
            </wp:positionH>
            <wp:positionV relativeFrom="paragraph">
              <wp:posOffset>4221480</wp:posOffset>
            </wp:positionV>
            <wp:extent cx="5731510" cy="4053205"/>
            <wp:effectExtent l="19050" t="19050" r="21590" b="23495"/>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nterview transcripts_Page_05.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405320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b/>
          <w:sz w:val="28"/>
        </w:rPr>
        <w:br w:type="page"/>
      </w:r>
      <w:r>
        <w:rPr>
          <w:b/>
          <w:noProof/>
          <w:sz w:val="28"/>
          <w:lang w:eastAsia="en-GB"/>
        </w:rPr>
        <w:drawing>
          <wp:anchor distT="0" distB="0" distL="114300" distR="114300" simplePos="0" relativeHeight="251707904" behindDoc="0" locked="0" layoutInCell="1" allowOverlap="1" wp14:anchorId="136A4180" wp14:editId="1BBE1AFB">
            <wp:simplePos x="0" y="0"/>
            <wp:positionH relativeFrom="column">
              <wp:posOffset>0</wp:posOffset>
            </wp:positionH>
            <wp:positionV relativeFrom="paragraph">
              <wp:posOffset>0</wp:posOffset>
            </wp:positionV>
            <wp:extent cx="5731510" cy="4053205"/>
            <wp:effectExtent l="19050" t="19050" r="21590" b="23495"/>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nterview transcripts_Page_11.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405320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337E2714" w14:textId="4678DA27" w:rsidR="002B0814" w:rsidRDefault="002B0814" w:rsidP="00A72144">
      <w:pPr>
        <w:rPr>
          <w:b/>
          <w:sz w:val="28"/>
        </w:rPr>
      </w:pPr>
      <w:r>
        <w:rPr>
          <w:b/>
          <w:noProof/>
          <w:sz w:val="28"/>
          <w:lang w:eastAsia="en-GB"/>
        </w:rPr>
        <w:lastRenderedPageBreak/>
        <w:drawing>
          <wp:anchor distT="0" distB="0" distL="114300" distR="114300" simplePos="0" relativeHeight="251718144" behindDoc="0" locked="0" layoutInCell="1" allowOverlap="1" wp14:anchorId="73681301" wp14:editId="6FE705F0">
            <wp:simplePos x="0" y="0"/>
            <wp:positionH relativeFrom="margin">
              <wp:posOffset>102235</wp:posOffset>
            </wp:positionH>
            <wp:positionV relativeFrom="paragraph">
              <wp:posOffset>4431030</wp:posOffset>
            </wp:positionV>
            <wp:extent cx="5731510" cy="4053205"/>
            <wp:effectExtent l="19050" t="19050" r="21590" b="23495"/>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nterview transcripts_Page_07.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405320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b/>
          <w:noProof/>
          <w:sz w:val="28"/>
          <w:lang w:eastAsia="en-GB"/>
        </w:rPr>
        <w:drawing>
          <wp:anchor distT="0" distB="0" distL="114300" distR="114300" simplePos="0" relativeHeight="251689472" behindDoc="0" locked="0" layoutInCell="1" allowOverlap="1" wp14:anchorId="227F9209" wp14:editId="3204924C">
            <wp:simplePos x="0" y="0"/>
            <wp:positionH relativeFrom="margin">
              <wp:posOffset>73660</wp:posOffset>
            </wp:positionH>
            <wp:positionV relativeFrom="paragraph">
              <wp:posOffset>95250</wp:posOffset>
            </wp:positionV>
            <wp:extent cx="5731510" cy="4053205"/>
            <wp:effectExtent l="19050" t="19050" r="21590" b="2349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nterview transcripts_Page_06.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405320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72A6FF93" w14:textId="23BDE14C" w:rsidR="002B0814" w:rsidRDefault="002B0814">
      <w:pPr>
        <w:rPr>
          <w:b/>
          <w:sz w:val="28"/>
        </w:rPr>
      </w:pPr>
      <w:r>
        <w:rPr>
          <w:b/>
          <w:sz w:val="28"/>
        </w:rPr>
        <w:br w:type="page"/>
      </w:r>
    </w:p>
    <w:p w14:paraId="4FD0D28F" w14:textId="0653BF45" w:rsidR="00E01A88" w:rsidRDefault="002B0814" w:rsidP="00A72144">
      <w:pPr>
        <w:rPr>
          <w:b/>
          <w:sz w:val="28"/>
        </w:rPr>
      </w:pPr>
      <w:r>
        <w:rPr>
          <w:b/>
          <w:noProof/>
          <w:sz w:val="28"/>
          <w:lang w:eastAsia="en-GB"/>
        </w:rPr>
        <w:lastRenderedPageBreak/>
        <w:drawing>
          <wp:anchor distT="0" distB="0" distL="114300" distR="114300" simplePos="0" relativeHeight="251720192" behindDoc="0" locked="0" layoutInCell="1" allowOverlap="1" wp14:anchorId="506BF4E1" wp14:editId="06E39EA5">
            <wp:simplePos x="0" y="0"/>
            <wp:positionH relativeFrom="column">
              <wp:posOffset>0</wp:posOffset>
            </wp:positionH>
            <wp:positionV relativeFrom="paragraph">
              <wp:posOffset>0</wp:posOffset>
            </wp:positionV>
            <wp:extent cx="5731510" cy="4053205"/>
            <wp:effectExtent l="19050" t="19050" r="21590" b="23495"/>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interview transcripts_Page_08.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405320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55DD5E7B" w14:textId="4B523136" w:rsidR="00A72144" w:rsidRPr="00E01A88" w:rsidRDefault="00E01A88" w:rsidP="00E01A88">
      <w:pPr>
        <w:rPr>
          <w:b/>
          <w:sz w:val="28"/>
        </w:rPr>
      </w:pPr>
      <w:r>
        <w:rPr>
          <w:b/>
          <w:sz w:val="28"/>
        </w:rPr>
        <w:lastRenderedPageBreak/>
        <w:t>Appendix 5</w:t>
      </w:r>
      <w:r>
        <w:rPr>
          <w:b/>
          <w:noProof/>
          <w:sz w:val="28"/>
          <w:lang w:eastAsia="en-GB"/>
        </w:rPr>
        <w:drawing>
          <wp:inline distT="0" distB="0" distL="0" distR="0" wp14:anchorId="2B36D3D0" wp14:editId="50DC631F">
            <wp:extent cx="5731510" cy="8105140"/>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tage 3 IPA Analysis.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p>
    <w:sectPr w:rsidR="00A72144" w:rsidRPr="00E01A8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609ECFB" w14:textId="77777777" w:rsidR="00D50C30" w:rsidRDefault="00D50C30" w:rsidP="00AC5339">
      <w:pPr>
        <w:spacing w:after="0" w:line="240" w:lineRule="auto"/>
      </w:pPr>
      <w:r>
        <w:separator/>
      </w:r>
    </w:p>
  </w:endnote>
  <w:endnote w:type="continuationSeparator" w:id="0">
    <w:p w14:paraId="4C335FF5" w14:textId="77777777" w:rsidR="00D50C30" w:rsidRDefault="00D50C30" w:rsidP="00AC53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D8B9C5D" w14:textId="77777777" w:rsidR="00D50C30" w:rsidRDefault="00D50C30" w:rsidP="00AC5339">
      <w:pPr>
        <w:spacing w:after="0" w:line="240" w:lineRule="auto"/>
      </w:pPr>
      <w:r>
        <w:separator/>
      </w:r>
    </w:p>
  </w:footnote>
  <w:footnote w:type="continuationSeparator" w:id="0">
    <w:p w14:paraId="35E6F3A7" w14:textId="77777777" w:rsidR="00D50C30" w:rsidRDefault="00D50C30" w:rsidP="00AC533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26914"/>
    <w:rsid w:val="0006207D"/>
    <w:rsid w:val="00062ABF"/>
    <w:rsid w:val="001D1EA4"/>
    <w:rsid w:val="002421A0"/>
    <w:rsid w:val="002450CA"/>
    <w:rsid w:val="002B0814"/>
    <w:rsid w:val="003415E6"/>
    <w:rsid w:val="00393112"/>
    <w:rsid w:val="003C404C"/>
    <w:rsid w:val="00480B91"/>
    <w:rsid w:val="004A3FBA"/>
    <w:rsid w:val="005A08B3"/>
    <w:rsid w:val="00605347"/>
    <w:rsid w:val="0064189E"/>
    <w:rsid w:val="006725E5"/>
    <w:rsid w:val="006D05C6"/>
    <w:rsid w:val="006D2D67"/>
    <w:rsid w:val="006F0E3D"/>
    <w:rsid w:val="007355CD"/>
    <w:rsid w:val="00846438"/>
    <w:rsid w:val="008B4603"/>
    <w:rsid w:val="008D0217"/>
    <w:rsid w:val="00907C3B"/>
    <w:rsid w:val="009175AB"/>
    <w:rsid w:val="00924200"/>
    <w:rsid w:val="009B5A9A"/>
    <w:rsid w:val="00A13EB8"/>
    <w:rsid w:val="00A63387"/>
    <w:rsid w:val="00A72144"/>
    <w:rsid w:val="00AC5339"/>
    <w:rsid w:val="00B3010E"/>
    <w:rsid w:val="00BA745D"/>
    <w:rsid w:val="00BB40FD"/>
    <w:rsid w:val="00BD3D0E"/>
    <w:rsid w:val="00BF75DD"/>
    <w:rsid w:val="00C26914"/>
    <w:rsid w:val="00D50C30"/>
    <w:rsid w:val="00D61298"/>
    <w:rsid w:val="00DB461E"/>
    <w:rsid w:val="00E01A88"/>
    <w:rsid w:val="00E627C1"/>
    <w:rsid w:val="00EC5861"/>
    <w:rsid w:val="00F35ACB"/>
    <w:rsid w:val="00F901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3E8DB0"/>
  <w15:chartTrackingRefBased/>
  <w15:docId w15:val="{1E8D028B-27B1-499B-BD69-0D7C4E535D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D2D67"/>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2D67"/>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6D2D67"/>
  </w:style>
  <w:style w:type="paragraph" w:styleId="Header">
    <w:name w:val="header"/>
    <w:basedOn w:val="Normal"/>
    <w:link w:val="HeaderChar"/>
    <w:uiPriority w:val="99"/>
    <w:unhideWhenUsed/>
    <w:rsid w:val="00AC53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5339"/>
  </w:style>
  <w:style w:type="paragraph" w:styleId="Footer">
    <w:name w:val="footer"/>
    <w:basedOn w:val="Normal"/>
    <w:link w:val="FooterChar"/>
    <w:uiPriority w:val="99"/>
    <w:unhideWhenUsed/>
    <w:rsid w:val="00AC53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53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9132158">
      <w:bodyDiv w:val="1"/>
      <w:marLeft w:val="0"/>
      <w:marRight w:val="0"/>
      <w:marTop w:val="0"/>
      <w:marBottom w:val="0"/>
      <w:divBdr>
        <w:top w:val="none" w:sz="0" w:space="0" w:color="auto"/>
        <w:left w:val="none" w:sz="0" w:space="0" w:color="auto"/>
        <w:bottom w:val="none" w:sz="0" w:space="0" w:color="auto"/>
        <w:right w:val="none" w:sz="0" w:space="0" w:color="auto"/>
      </w:divBdr>
    </w:div>
    <w:div w:id="60372916">
      <w:bodyDiv w:val="1"/>
      <w:marLeft w:val="0"/>
      <w:marRight w:val="0"/>
      <w:marTop w:val="0"/>
      <w:marBottom w:val="0"/>
      <w:divBdr>
        <w:top w:val="none" w:sz="0" w:space="0" w:color="auto"/>
        <w:left w:val="none" w:sz="0" w:space="0" w:color="auto"/>
        <w:bottom w:val="none" w:sz="0" w:space="0" w:color="auto"/>
        <w:right w:val="none" w:sz="0" w:space="0" w:color="auto"/>
      </w:divBdr>
    </w:div>
    <w:div w:id="145979097">
      <w:bodyDiv w:val="1"/>
      <w:marLeft w:val="0"/>
      <w:marRight w:val="0"/>
      <w:marTop w:val="0"/>
      <w:marBottom w:val="0"/>
      <w:divBdr>
        <w:top w:val="none" w:sz="0" w:space="0" w:color="auto"/>
        <w:left w:val="none" w:sz="0" w:space="0" w:color="auto"/>
        <w:bottom w:val="none" w:sz="0" w:space="0" w:color="auto"/>
        <w:right w:val="none" w:sz="0" w:space="0" w:color="auto"/>
      </w:divBdr>
    </w:div>
    <w:div w:id="197787675">
      <w:bodyDiv w:val="1"/>
      <w:marLeft w:val="0"/>
      <w:marRight w:val="0"/>
      <w:marTop w:val="0"/>
      <w:marBottom w:val="0"/>
      <w:divBdr>
        <w:top w:val="none" w:sz="0" w:space="0" w:color="auto"/>
        <w:left w:val="none" w:sz="0" w:space="0" w:color="auto"/>
        <w:bottom w:val="none" w:sz="0" w:space="0" w:color="auto"/>
        <w:right w:val="none" w:sz="0" w:space="0" w:color="auto"/>
      </w:divBdr>
    </w:div>
    <w:div w:id="220217861">
      <w:bodyDiv w:val="1"/>
      <w:marLeft w:val="0"/>
      <w:marRight w:val="0"/>
      <w:marTop w:val="0"/>
      <w:marBottom w:val="0"/>
      <w:divBdr>
        <w:top w:val="none" w:sz="0" w:space="0" w:color="auto"/>
        <w:left w:val="none" w:sz="0" w:space="0" w:color="auto"/>
        <w:bottom w:val="none" w:sz="0" w:space="0" w:color="auto"/>
        <w:right w:val="none" w:sz="0" w:space="0" w:color="auto"/>
      </w:divBdr>
    </w:div>
    <w:div w:id="236208344">
      <w:bodyDiv w:val="1"/>
      <w:marLeft w:val="0"/>
      <w:marRight w:val="0"/>
      <w:marTop w:val="0"/>
      <w:marBottom w:val="0"/>
      <w:divBdr>
        <w:top w:val="none" w:sz="0" w:space="0" w:color="auto"/>
        <w:left w:val="none" w:sz="0" w:space="0" w:color="auto"/>
        <w:bottom w:val="none" w:sz="0" w:space="0" w:color="auto"/>
        <w:right w:val="none" w:sz="0" w:space="0" w:color="auto"/>
      </w:divBdr>
    </w:div>
    <w:div w:id="240141105">
      <w:bodyDiv w:val="1"/>
      <w:marLeft w:val="0"/>
      <w:marRight w:val="0"/>
      <w:marTop w:val="0"/>
      <w:marBottom w:val="0"/>
      <w:divBdr>
        <w:top w:val="none" w:sz="0" w:space="0" w:color="auto"/>
        <w:left w:val="none" w:sz="0" w:space="0" w:color="auto"/>
        <w:bottom w:val="none" w:sz="0" w:space="0" w:color="auto"/>
        <w:right w:val="none" w:sz="0" w:space="0" w:color="auto"/>
      </w:divBdr>
    </w:div>
    <w:div w:id="241260157">
      <w:bodyDiv w:val="1"/>
      <w:marLeft w:val="0"/>
      <w:marRight w:val="0"/>
      <w:marTop w:val="0"/>
      <w:marBottom w:val="0"/>
      <w:divBdr>
        <w:top w:val="none" w:sz="0" w:space="0" w:color="auto"/>
        <w:left w:val="none" w:sz="0" w:space="0" w:color="auto"/>
        <w:bottom w:val="none" w:sz="0" w:space="0" w:color="auto"/>
        <w:right w:val="none" w:sz="0" w:space="0" w:color="auto"/>
      </w:divBdr>
    </w:div>
    <w:div w:id="243615503">
      <w:bodyDiv w:val="1"/>
      <w:marLeft w:val="0"/>
      <w:marRight w:val="0"/>
      <w:marTop w:val="0"/>
      <w:marBottom w:val="0"/>
      <w:divBdr>
        <w:top w:val="none" w:sz="0" w:space="0" w:color="auto"/>
        <w:left w:val="none" w:sz="0" w:space="0" w:color="auto"/>
        <w:bottom w:val="none" w:sz="0" w:space="0" w:color="auto"/>
        <w:right w:val="none" w:sz="0" w:space="0" w:color="auto"/>
      </w:divBdr>
    </w:div>
    <w:div w:id="273249237">
      <w:bodyDiv w:val="1"/>
      <w:marLeft w:val="0"/>
      <w:marRight w:val="0"/>
      <w:marTop w:val="0"/>
      <w:marBottom w:val="0"/>
      <w:divBdr>
        <w:top w:val="none" w:sz="0" w:space="0" w:color="auto"/>
        <w:left w:val="none" w:sz="0" w:space="0" w:color="auto"/>
        <w:bottom w:val="none" w:sz="0" w:space="0" w:color="auto"/>
        <w:right w:val="none" w:sz="0" w:space="0" w:color="auto"/>
      </w:divBdr>
    </w:div>
    <w:div w:id="345064380">
      <w:bodyDiv w:val="1"/>
      <w:marLeft w:val="0"/>
      <w:marRight w:val="0"/>
      <w:marTop w:val="0"/>
      <w:marBottom w:val="0"/>
      <w:divBdr>
        <w:top w:val="none" w:sz="0" w:space="0" w:color="auto"/>
        <w:left w:val="none" w:sz="0" w:space="0" w:color="auto"/>
        <w:bottom w:val="none" w:sz="0" w:space="0" w:color="auto"/>
        <w:right w:val="none" w:sz="0" w:space="0" w:color="auto"/>
      </w:divBdr>
    </w:div>
    <w:div w:id="487750684">
      <w:bodyDiv w:val="1"/>
      <w:marLeft w:val="0"/>
      <w:marRight w:val="0"/>
      <w:marTop w:val="0"/>
      <w:marBottom w:val="0"/>
      <w:divBdr>
        <w:top w:val="none" w:sz="0" w:space="0" w:color="auto"/>
        <w:left w:val="none" w:sz="0" w:space="0" w:color="auto"/>
        <w:bottom w:val="none" w:sz="0" w:space="0" w:color="auto"/>
        <w:right w:val="none" w:sz="0" w:space="0" w:color="auto"/>
      </w:divBdr>
    </w:div>
    <w:div w:id="523446675">
      <w:bodyDiv w:val="1"/>
      <w:marLeft w:val="0"/>
      <w:marRight w:val="0"/>
      <w:marTop w:val="0"/>
      <w:marBottom w:val="0"/>
      <w:divBdr>
        <w:top w:val="none" w:sz="0" w:space="0" w:color="auto"/>
        <w:left w:val="none" w:sz="0" w:space="0" w:color="auto"/>
        <w:bottom w:val="none" w:sz="0" w:space="0" w:color="auto"/>
        <w:right w:val="none" w:sz="0" w:space="0" w:color="auto"/>
      </w:divBdr>
    </w:div>
    <w:div w:id="571308488">
      <w:bodyDiv w:val="1"/>
      <w:marLeft w:val="0"/>
      <w:marRight w:val="0"/>
      <w:marTop w:val="0"/>
      <w:marBottom w:val="0"/>
      <w:divBdr>
        <w:top w:val="none" w:sz="0" w:space="0" w:color="auto"/>
        <w:left w:val="none" w:sz="0" w:space="0" w:color="auto"/>
        <w:bottom w:val="none" w:sz="0" w:space="0" w:color="auto"/>
        <w:right w:val="none" w:sz="0" w:space="0" w:color="auto"/>
      </w:divBdr>
    </w:div>
    <w:div w:id="604732935">
      <w:bodyDiv w:val="1"/>
      <w:marLeft w:val="0"/>
      <w:marRight w:val="0"/>
      <w:marTop w:val="0"/>
      <w:marBottom w:val="0"/>
      <w:divBdr>
        <w:top w:val="none" w:sz="0" w:space="0" w:color="auto"/>
        <w:left w:val="none" w:sz="0" w:space="0" w:color="auto"/>
        <w:bottom w:val="none" w:sz="0" w:space="0" w:color="auto"/>
        <w:right w:val="none" w:sz="0" w:space="0" w:color="auto"/>
      </w:divBdr>
    </w:div>
    <w:div w:id="627053921">
      <w:bodyDiv w:val="1"/>
      <w:marLeft w:val="0"/>
      <w:marRight w:val="0"/>
      <w:marTop w:val="0"/>
      <w:marBottom w:val="0"/>
      <w:divBdr>
        <w:top w:val="none" w:sz="0" w:space="0" w:color="auto"/>
        <w:left w:val="none" w:sz="0" w:space="0" w:color="auto"/>
        <w:bottom w:val="none" w:sz="0" w:space="0" w:color="auto"/>
        <w:right w:val="none" w:sz="0" w:space="0" w:color="auto"/>
      </w:divBdr>
    </w:div>
    <w:div w:id="702560842">
      <w:bodyDiv w:val="1"/>
      <w:marLeft w:val="0"/>
      <w:marRight w:val="0"/>
      <w:marTop w:val="0"/>
      <w:marBottom w:val="0"/>
      <w:divBdr>
        <w:top w:val="none" w:sz="0" w:space="0" w:color="auto"/>
        <w:left w:val="none" w:sz="0" w:space="0" w:color="auto"/>
        <w:bottom w:val="none" w:sz="0" w:space="0" w:color="auto"/>
        <w:right w:val="none" w:sz="0" w:space="0" w:color="auto"/>
      </w:divBdr>
    </w:div>
    <w:div w:id="1026443145">
      <w:bodyDiv w:val="1"/>
      <w:marLeft w:val="0"/>
      <w:marRight w:val="0"/>
      <w:marTop w:val="0"/>
      <w:marBottom w:val="0"/>
      <w:divBdr>
        <w:top w:val="none" w:sz="0" w:space="0" w:color="auto"/>
        <w:left w:val="none" w:sz="0" w:space="0" w:color="auto"/>
        <w:bottom w:val="none" w:sz="0" w:space="0" w:color="auto"/>
        <w:right w:val="none" w:sz="0" w:space="0" w:color="auto"/>
      </w:divBdr>
    </w:div>
    <w:div w:id="1280603259">
      <w:bodyDiv w:val="1"/>
      <w:marLeft w:val="0"/>
      <w:marRight w:val="0"/>
      <w:marTop w:val="0"/>
      <w:marBottom w:val="0"/>
      <w:divBdr>
        <w:top w:val="none" w:sz="0" w:space="0" w:color="auto"/>
        <w:left w:val="none" w:sz="0" w:space="0" w:color="auto"/>
        <w:bottom w:val="none" w:sz="0" w:space="0" w:color="auto"/>
        <w:right w:val="none" w:sz="0" w:space="0" w:color="auto"/>
      </w:divBdr>
    </w:div>
    <w:div w:id="1314066079">
      <w:bodyDiv w:val="1"/>
      <w:marLeft w:val="0"/>
      <w:marRight w:val="0"/>
      <w:marTop w:val="0"/>
      <w:marBottom w:val="0"/>
      <w:divBdr>
        <w:top w:val="none" w:sz="0" w:space="0" w:color="auto"/>
        <w:left w:val="none" w:sz="0" w:space="0" w:color="auto"/>
        <w:bottom w:val="none" w:sz="0" w:space="0" w:color="auto"/>
        <w:right w:val="none" w:sz="0" w:space="0" w:color="auto"/>
      </w:divBdr>
    </w:div>
    <w:div w:id="1314606232">
      <w:bodyDiv w:val="1"/>
      <w:marLeft w:val="0"/>
      <w:marRight w:val="0"/>
      <w:marTop w:val="0"/>
      <w:marBottom w:val="0"/>
      <w:divBdr>
        <w:top w:val="none" w:sz="0" w:space="0" w:color="auto"/>
        <w:left w:val="none" w:sz="0" w:space="0" w:color="auto"/>
        <w:bottom w:val="none" w:sz="0" w:space="0" w:color="auto"/>
        <w:right w:val="none" w:sz="0" w:space="0" w:color="auto"/>
      </w:divBdr>
    </w:div>
    <w:div w:id="1338071822">
      <w:bodyDiv w:val="1"/>
      <w:marLeft w:val="0"/>
      <w:marRight w:val="0"/>
      <w:marTop w:val="0"/>
      <w:marBottom w:val="0"/>
      <w:divBdr>
        <w:top w:val="none" w:sz="0" w:space="0" w:color="auto"/>
        <w:left w:val="none" w:sz="0" w:space="0" w:color="auto"/>
        <w:bottom w:val="none" w:sz="0" w:space="0" w:color="auto"/>
        <w:right w:val="none" w:sz="0" w:space="0" w:color="auto"/>
      </w:divBdr>
    </w:div>
    <w:div w:id="1351057032">
      <w:bodyDiv w:val="1"/>
      <w:marLeft w:val="0"/>
      <w:marRight w:val="0"/>
      <w:marTop w:val="0"/>
      <w:marBottom w:val="0"/>
      <w:divBdr>
        <w:top w:val="none" w:sz="0" w:space="0" w:color="auto"/>
        <w:left w:val="none" w:sz="0" w:space="0" w:color="auto"/>
        <w:bottom w:val="none" w:sz="0" w:space="0" w:color="auto"/>
        <w:right w:val="none" w:sz="0" w:space="0" w:color="auto"/>
      </w:divBdr>
    </w:div>
    <w:div w:id="1360816586">
      <w:bodyDiv w:val="1"/>
      <w:marLeft w:val="0"/>
      <w:marRight w:val="0"/>
      <w:marTop w:val="0"/>
      <w:marBottom w:val="0"/>
      <w:divBdr>
        <w:top w:val="none" w:sz="0" w:space="0" w:color="auto"/>
        <w:left w:val="none" w:sz="0" w:space="0" w:color="auto"/>
        <w:bottom w:val="none" w:sz="0" w:space="0" w:color="auto"/>
        <w:right w:val="none" w:sz="0" w:space="0" w:color="auto"/>
      </w:divBdr>
    </w:div>
    <w:div w:id="1423723634">
      <w:bodyDiv w:val="1"/>
      <w:marLeft w:val="0"/>
      <w:marRight w:val="0"/>
      <w:marTop w:val="0"/>
      <w:marBottom w:val="0"/>
      <w:divBdr>
        <w:top w:val="none" w:sz="0" w:space="0" w:color="auto"/>
        <w:left w:val="none" w:sz="0" w:space="0" w:color="auto"/>
        <w:bottom w:val="none" w:sz="0" w:space="0" w:color="auto"/>
        <w:right w:val="none" w:sz="0" w:space="0" w:color="auto"/>
      </w:divBdr>
    </w:div>
    <w:div w:id="1446192283">
      <w:bodyDiv w:val="1"/>
      <w:marLeft w:val="0"/>
      <w:marRight w:val="0"/>
      <w:marTop w:val="0"/>
      <w:marBottom w:val="0"/>
      <w:divBdr>
        <w:top w:val="none" w:sz="0" w:space="0" w:color="auto"/>
        <w:left w:val="none" w:sz="0" w:space="0" w:color="auto"/>
        <w:bottom w:val="none" w:sz="0" w:space="0" w:color="auto"/>
        <w:right w:val="none" w:sz="0" w:space="0" w:color="auto"/>
      </w:divBdr>
    </w:div>
    <w:div w:id="1464738322">
      <w:bodyDiv w:val="1"/>
      <w:marLeft w:val="0"/>
      <w:marRight w:val="0"/>
      <w:marTop w:val="0"/>
      <w:marBottom w:val="0"/>
      <w:divBdr>
        <w:top w:val="none" w:sz="0" w:space="0" w:color="auto"/>
        <w:left w:val="none" w:sz="0" w:space="0" w:color="auto"/>
        <w:bottom w:val="none" w:sz="0" w:space="0" w:color="auto"/>
        <w:right w:val="none" w:sz="0" w:space="0" w:color="auto"/>
      </w:divBdr>
    </w:div>
    <w:div w:id="1668243484">
      <w:bodyDiv w:val="1"/>
      <w:marLeft w:val="0"/>
      <w:marRight w:val="0"/>
      <w:marTop w:val="0"/>
      <w:marBottom w:val="0"/>
      <w:divBdr>
        <w:top w:val="none" w:sz="0" w:space="0" w:color="auto"/>
        <w:left w:val="none" w:sz="0" w:space="0" w:color="auto"/>
        <w:bottom w:val="none" w:sz="0" w:space="0" w:color="auto"/>
        <w:right w:val="none" w:sz="0" w:space="0" w:color="auto"/>
      </w:divBdr>
    </w:div>
    <w:div w:id="1757357865">
      <w:bodyDiv w:val="1"/>
      <w:marLeft w:val="0"/>
      <w:marRight w:val="0"/>
      <w:marTop w:val="0"/>
      <w:marBottom w:val="0"/>
      <w:divBdr>
        <w:top w:val="none" w:sz="0" w:space="0" w:color="auto"/>
        <w:left w:val="none" w:sz="0" w:space="0" w:color="auto"/>
        <w:bottom w:val="none" w:sz="0" w:space="0" w:color="auto"/>
        <w:right w:val="none" w:sz="0" w:space="0" w:color="auto"/>
      </w:divBdr>
    </w:div>
    <w:div w:id="1782332857">
      <w:bodyDiv w:val="1"/>
      <w:marLeft w:val="0"/>
      <w:marRight w:val="0"/>
      <w:marTop w:val="0"/>
      <w:marBottom w:val="0"/>
      <w:divBdr>
        <w:top w:val="none" w:sz="0" w:space="0" w:color="auto"/>
        <w:left w:val="none" w:sz="0" w:space="0" w:color="auto"/>
        <w:bottom w:val="none" w:sz="0" w:space="0" w:color="auto"/>
        <w:right w:val="none" w:sz="0" w:space="0" w:color="auto"/>
      </w:divBdr>
    </w:div>
    <w:div w:id="1785536012">
      <w:bodyDiv w:val="1"/>
      <w:marLeft w:val="0"/>
      <w:marRight w:val="0"/>
      <w:marTop w:val="0"/>
      <w:marBottom w:val="0"/>
      <w:divBdr>
        <w:top w:val="none" w:sz="0" w:space="0" w:color="auto"/>
        <w:left w:val="none" w:sz="0" w:space="0" w:color="auto"/>
        <w:bottom w:val="none" w:sz="0" w:space="0" w:color="auto"/>
        <w:right w:val="none" w:sz="0" w:space="0" w:color="auto"/>
      </w:divBdr>
    </w:div>
    <w:div w:id="1803882705">
      <w:bodyDiv w:val="1"/>
      <w:marLeft w:val="0"/>
      <w:marRight w:val="0"/>
      <w:marTop w:val="0"/>
      <w:marBottom w:val="0"/>
      <w:divBdr>
        <w:top w:val="none" w:sz="0" w:space="0" w:color="auto"/>
        <w:left w:val="none" w:sz="0" w:space="0" w:color="auto"/>
        <w:bottom w:val="none" w:sz="0" w:space="0" w:color="auto"/>
        <w:right w:val="none" w:sz="0" w:space="0" w:color="auto"/>
      </w:divBdr>
    </w:div>
    <w:div w:id="2068911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g"/><Relationship Id="rId10" Type="http://schemas.openxmlformats.org/officeDocument/2006/relationships/image" Target="media/image4.jp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eg"/><Relationship Id="rId22" Type="http://schemas.openxmlformats.org/officeDocument/2006/relationships/image" Target="media/image1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Phi13</b:Tag>
    <b:SourceType>JournalArticle</b:SourceType>
    <b:Guid>{3C68A4D7-C0C0-4E34-88FD-5C5937733C17}</b:Guid>
    <b:Title>Older people and outdoor environments: Pedestrian anxieties and barriers in the use of familiar and unfamiliar spaces</b:Title>
    <b:Year>2013</b:Year>
    <b:Author>
      <b:Author>
        <b:NameList>
          <b:Person>
            <b:Last>Phillips</b:Last>
            <b:First>J</b:First>
          </b:Person>
          <b:Person>
            <b:Last>Walford</b:Last>
            <b:First>N</b:First>
          </b:Person>
          <b:Person>
            <b:Last>Hockey</b:Last>
            <b:First>A</b:First>
          </b:Person>
          <b:Person>
            <b:Last>Foreman</b:Last>
            <b:First>N</b:First>
          </b:Person>
          <b:Person>
            <b:Last>Lewis</b:Last>
            <b:First>M</b:First>
          </b:Person>
        </b:NameList>
      </b:Author>
    </b:Author>
    <b:JournalName>Geoforum</b:JournalName>
    <b:Pages>113-124</b:Pages>
    <b:RefOrder>1</b:RefOrder>
  </b:Source>
  <b:Source>
    <b:Tag>Tho02</b:Tag>
    <b:SourceType>JournalArticle</b:SourceType>
    <b:Guid>{BBF10CFA-9B52-4E1D-B4E1-E3E25250026F}</b:Guid>
    <b:Author>
      <b:Author>
        <b:NameList>
          <b:Person>
            <b:Last>Thompson</b:Last>
            <b:First>A.</b:First>
            <b:Middle>R</b:Middle>
          </b:Person>
          <b:Person>
            <b:Last>Kent</b:Last>
            <b:First>G</b:First>
          </b:Person>
          <b:Person>
            <b:Last>Smith</b:Last>
            <b:First>J.</b:First>
            <b:Middle>A</b:Middle>
          </b:Person>
        </b:NameList>
      </b:Author>
    </b:Author>
    <b:Title>Living with vitiligo: Dealing with difference</b:Title>
    <b:JournalName>British Journal of Health Psychology</b:JournalName>
    <b:Year>2002</b:Year>
    <b:Pages>213-225</b:Pages>
    <b:RefOrder>2</b:RefOrder>
  </b:Source>
  <b:Source>
    <b:Tag>Car16</b:Tag>
    <b:SourceType>JournalArticle</b:SourceType>
    <b:Guid>{D1EA59B6-F7F0-4832-AA72-4A5DBB700A4F}</b:Guid>
    <b:Author>
      <b:Author>
        <b:NameList>
          <b:Person>
            <b:Last>Carleton</b:Last>
            <b:First>R.</b:First>
            <b:Middle>N</b:Middle>
          </b:Person>
        </b:NameList>
      </b:Author>
    </b:Author>
    <b:Title>Into the Unknown: a review and synthesis of contemporary models involving uncertainty</b:Title>
    <b:JournalName>Journal of Anxiety Disorders</b:JournalName>
    <b:Year>2016</b:Year>
    <b:Pages>30-43</b:Pages>
    <b:RefOrder>6</b:RefOrder>
  </b:Source>
  <b:Source>
    <b:Tag>Bar09</b:Tag>
    <b:SourceType>JournalArticle</b:SourceType>
    <b:Guid>{81DE6F1B-2ED8-4955-A76E-D1D606BD4E83}</b:Guid>
    <b:Author>
      <b:Author>
        <b:NameList>
          <b:Person>
            <b:Last>Bar-Anan</b:Last>
            <b:First>Y</b:First>
          </b:Person>
          <b:Person>
            <b:Last>Wilson</b:Last>
            <b:First>T.</b:First>
            <b:Middle>D</b:Middle>
          </b:Person>
          <b:Person>
            <b:Last>Gilbert</b:Last>
            <b:First>D.</b:First>
            <b:Middle>T</b:Middle>
          </b:Person>
        </b:NameList>
      </b:Author>
    </b:Author>
    <b:Title>The Feeling of Uncertainty Intensifies Affective Reactions</b:Title>
    <b:JournalName>Emotion</b:JournalName>
    <b:Year>2009</b:Year>
    <b:Pages>123-127</b:Pages>
    <b:RefOrder>4</b:RefOrder>
  </b:Source>
  <b:Source>
    <b:Tag>Ber75</b:Tag>
    <b:SourceType>JournalArticle</b:SourceType>
    <b:Guid>{3D1C311A-E022-4F62-82D3-54DEA3BCF19F}</b:Guid>
    <b:Author>
      <b:Author>
        <b:NameList>
          <b:Person>
            <b:Last>Berger</b:Last>
            <b:First>C.</b:First>
            <b:Middle>R</b:Middle>
          </b:Person>
          <b:Person>
            <b:Last>Calabrese</b:Last>
            <b:First>R.</b:First>
            <b:Middle>J</b:Middle>
          </b:Person>
        </b:NameList>
      </b:Author>
    </b:Author>
    <b:Title>Some explorations in initial interaction and beyond: Toward a developmental theory of interpersonal communication</b:Title>
    <b:JournalName>Human Communication Research</b:JournalName>
    <b:Year>1975</b:Year>
    <b:Pages>99-12</b:Pages>
    <b:RefOrder>5</b:RefOrder>
  </b:Source>
  <b:Source>
    <b:Tag>She15</b:Tag>
    <b:SourceType>JournalArticle</b:SourceType>
    <b:Guid>{78FEC80E-D7EF-4186-8F22-99037561FDA6}</b:Guid>
    <b:Author>
      <b:Author>
        <b:NameList>
          <b:Person>
            <b:Last>Shen</b:Last>
            <b:First>L</b:First>
          </b:Person>
          <b:Person>
            <b:Last>Fishbach</b:Last>
            <b:First>A</b:First>
          </b:Person>
          <b:Person>
            <b:Last>Hsee</b:Last>
            <b:First>C.</b:First>
            <b:Middle>K</b:Middle>
          </b:Person>
        </b:NameList>
      </b:Author>
    </b:Author>
    <b:Title>The Motivating-Uncertainty Effect: Uncertainty Increases Resource Investment in the Process of Reward Pursuit</b:Title>
    <b:JournalName>Journal of Consumer Research</b:JournalName>
    <b:Year>2015</b:Year>
    <b:Pages>1301-1316</b:Pages>
    <b:RefOrder>7</b:RefOrder>
  </b:Source>
  <b:Source>
    <b:Tag>Set99</b:Tag>
    <b:SourceType>Book</b:SourceType>
    <b:Guid>{D13A8FEA-A87D-4A8C-90F0-A339BC701FA4}</b:Guid>
    <b:Title>Lives in Time and Place: The Problems and Promises of Developmental Sciences</b:Title>
    <b:Year>1999</b:Year>
    <b:Author>
      <b:Author>
        <b:NameList>
          <b:Person>
            <b:Last>Setterstein</b:Last>
            <b:First>R</b:First>
          </b:Person>
        </b:NameList>
      </b:Author>
    </b:Author>
    <b:City>New York</b:City>
    <b:Publisher>Baywood Publishing</b:Publisher>
    <b:RefOrder>3</b:RefOrder>
  </b:Source>
</b:Sources>
</file>

<file path=customXml/itemProps1.xml><?xml version="1.0" encoding="utf-8"?>
<ds:datastoreItem xmlns:ds="http://schemas.openxmlformats.org/officeDocument/2006/customXml" ds:itemID="{376322BB-1881-4B71-AA6B-B9431B63AC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1942</Words>
  <Characters>9905</Characters>
  <Application>Microsoft Office Word</Application>
  <DocSecurity>0</DocSecurity>
  <Lines>366</Lines>
  <Paragraphs>149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Bobby Farmer (1702887)</dc:creator>
  <cp:keywords/>
  <dc:description/>
  <cp:lastModifiedBy>Bobby Farmer (1702887)</cp:lastModifiedBy>
  <cp:revision>2</cp:revision>
  <dcterms:created xsi:type="dcterms:W3CDTF">2019-03-26T18:13:00Z</dcterms:created>
  <dcterms:modified xsi:type="dcterms:W3CDTF">2019-03-26T18:13:00Z</dcterms:modified>
</cp:coreProperties>
</file>